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168"/>
        <w:gridCol w:w="540"/>
        <w:gridCol w:w="5129"/>
      </w:tblGrid>
      <w:tr w:rsidR="00ED7730" w:rsidRPr="00C8284F" w14:paraId="7AFDDB03" w14:textId="77777777" w:rsidTr="00464DDA">
        <w:tc>
          <w:tcPr>
            <w:tcW w:w="3168" w:type="dxa"/>
          </w:tcPr>
          <w:p w14:paraId="3C41AEFB" w14:textId="77777777" w:rsidR="00ED7730" w:rsidRPr="00C8284F" w:rsidRDefault="00ED7730" w:rsidP="00464DDA">
            <w:pPr>
              <w:rPr>
                <w:rFonts w:ascii="Georgia" w:hAnsi="Georgia"/>
              </w:rPr>
            </w:pPr>
            <w:r w:rsidRPr="00C8284F">
              <w:rPr>
                <w:rFonts w:ascii="Georgia" w:hAnsi="Georgia"/>
                <w:noProof/>
              </w:rPr>
              <w:drawing>
                <wp:inline distT="0" distB="0" distL="0" distR="0" wp14:anchorId="75A1E3DC" wp14:editId="5EAF70C5">
                  <wp:extent cx="914400" cy="771525"/>
                  <wp:effectExtent l="0" t="0" r="0" b="952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540" w:type="dxa"/>
          </w:tcPr>
          <w:p w14:paraId="3EE2945F" w14:textId="77777777" w:rsidR="00ED7730" w:rsidRPr="00C8284F" w:rsidRDefault="00ED7730" w:rsidP="00464DDA">
            <w:pPr>
              <w:jc w:val="center"/>
              <w:rPr>
                <w:rFonts w:ascii="Georgia" w:hAnsi="Georgia"/>
              </w:rPr>
            </w:pPr>
          </w:p>
        </w:tc>
        <w:tc>
          <w:tcPr>
            <w:tcW w:w="5129" w:type="dxa"/>
          </w:tcPr>
          <w:p w14:paraId="1562DB67" w14:textId="77777777" w:rsidR="00ED7730" w:rsidRPr="00C8284F" w:rsidRDefault="00ED7730" w:rsidP="00464DDA">
            <w:pPr>
              <w:pStyle w:val="Title"/>
              <w:ind w:left="3600" w:hanging="3600"/>
              <w:rPr>
                <w:rFonts w:ascii="Georgia" w:hAnsi="Georgia"/>
                <w:sz w:val="24"/>
              </w:rPr>
            </w:pPr>
          </w:p>
          <w:p w14:paraId="0C87BE8F" w14:textId="77777777" w:rsidR="00ED7730" w:rsidRPr="004C3925" w:rsidRDefault="00ED7730" w:rsidP="00464DDA">
            <w:pPr>
              <w:pStyle w:val="Title"/>
              <w:ind w:left="3600" w:hanging="3600"/>
              <w:rPr>
                <w:rFonts w:ascii="Georgia" w:hAnsi="Georgia"/>
                <w:b/>
                <w:bCs/>
                <w:sz w:val="24"/>
              </w:rPr>
            </w:pPr>
            <w:r w:rsidRPr="004C3925">
              <w:rPr>
                <w:rFonts w:ascii="Georgia" w:hAnsi="Georgia"/>
                <w:b/>
                <w:bCs/>
                <w:sz w:val="24"/>
              </w:rPr>
              <w:t>FIRST-TIER TRIBUNAL</w:t>
            </w:r>
          </w:p>
          <w:p w14:paraId="4EA63A02" w14:textId="77777777" w:rsidR="00ED7730" w:rsidRPr="00C8284F" w:rsidRDefault="00ED7730" w:rsidP="00464DDA">
            <w:pPr>
              <w:rPr>
                <w:rFonts w:ascii="Georgia" w:hAnsi="Georgia"/>
                <w:b/>
              </w:rPr>
            </w:pPr>
            <w:r w:rsidRPr="00C8284F">
              <w:rPr>
                <w:rFonts w:ascii="Georgia" w:hAnsi="Georgia"/>
                <w:b/>
              </w:rPr>
              <w:t xml:space="preserve">PROPERTY CHAMBER </w:t>
            </w:r>
          </w:p>
          <w:p w14:paraId="5A0C3232" w14:textId="77777777" w:rsidR="00ED7730" w:rsidRPr="00C8284F" w:rsidRDefault="00ED7730" w:rsidP="00464DDA">
            <w:pPr>
              <w:rPr>
                <w:rFonts w:ascii="Georgia" w:hAnsi="Georgia"/>
                <w:b/>
              </w:rPr>
            </w:pPr>
            <w:r w:rsidRPr="00C8284F">
              <w:rPr>
                <w:rFonts w:ascii="Georgia" w:hAnsi="Georgia"/>
                <w:b/>
              </w:rPr>
              <w:t>(RESIDENTIAL PROPERTY)</w:t>
            </w:r>
          </w:p>
          <w:p w14:paraId="20EE8F58" w14:textId="77777777" w:rsidR="00ED7730" w:rsidRPr="00C8284F" w:rsidRDefault="00ED7730" w:rsidP="00464DDA">
            <w:pPr>
              <w:rPr>
                <w:rFonts w:ascii="Georgia" w:hAnsi="Georgia"/>
              </w:rPr>
            </w:pPr>
          </w:p>
        </w:tc>
      </w:tr>
      <w:tr w:rsidR="00ED7730" w:rsidRPr="00BE0B7E" w14:paraId="26CCB398" w14:textId="77777777" w:rsidTr="00464DDA">
        <w:tc>
          <w:tcPr>
            <w:tcW w:w="3168" w:type="dxa"/>
          </w:tcPr>
          <w:p w14:paraId="77C7FD32" w14:textId="77777777" w:rsidR="00ED7730" w:rsidRPr="00BE0B7E" w:rsidRDefault="00ED7730" w:rsidP="00464DDA">
            <w:pPr>
              <w:rPr>
                <w:rFonts w:ascii="Georgia" w:hAnsi="Georgia"/>
              </w:rPr>
            </w:pPr>
          </w:p>
          <w:p w14:paraId="4E4951C9" w14:textId="0CA0B595" w:rsidR="00ED7730" w:rsidRDefault="00ED7730" w:rsidP="00464DDA">
            <w:pPr>
              <w:rPr>
                <w:rFonts w:ascii="Georgia" w:hAnsi="Georgia" w:cs="Arial"/>
                <w:b/>
                <w:bCs/>
              </w:rPr>
            </w:pPr>
            <w:r w:rsidRPr="00BE0B7E">
              <w:rPr>
                <w:rFonts w:ascii="Georgia" w:hAnsi="Georgia" w:cs="Arial"/>
                <w:b/>
                <w:bCs/>
              </w:rPr>
              <w:t>Case Reference</w:t>
            </w:r>
          </w:p>
          <w:p w14:paraId="6DD37823" w14:textId="77777777" w:rsidR="00ED7730" w:rsidRDefault="00ED7730" w:rsidP="00464DDA">
            <w:pPr>
              <w:rPr>
                <w:rFonts w:ascii="Georgia" w:hAnsi="Georgia" w:cs="Arial"/>
                <w:b/>
                <w:bCs/>
              </w:rPr>
            </w:pPr>
          </w:p>
          <w:p w14:paraId="0943E015" w14:textId="77777777" w:rsidR="00ED7730" w:rsidRDefault="00ED7730" w:rsidP="00464DDA">
            <w:pPr>
              <w:rPr>
                <w:rFonts w:ascii="Georgia" w:hAnsi="Georgia" w:cs="Arial"/>
                <w:b/>
                <w:bCs/>
              </w:rPr>
            </w:pPr>
            <w:r>
              <w:rPr>
                <w:rFonts w:ascii="Georgia" w:hAnsi="Georgia" w:cs="Arial"/>
                <w:b/>
                <w:bCs/>
              </w:rPr>
              <w:t>Property</w:t>
            </w:r>
          </w:p>
          <w:p w14:paraId="0BF84A1E" w14:textId="77777777" w:rsidR="00ED7730" w:rsidRDefault="00ED7730" w:rsidP="00464DDA">
            <w:pPr>
              <w:rPr>
                <w:rFonts w:ascii="Georgia" w:hAnsi="Georgia" w:cs="Arial"/>
                <w:b/>
                <w:bCs/>
              </w:rPr>
            </w:pPr>
          </w:p>
          <w:p w14:paraId="220981C2" w14:textId="77777777" w:rsidR="00513CBC" w:rsidRDefault="00513CBC" w:rsidP="00464DDA">
            <w:pPr>
              <w:rPr>
                <w:rFonts w:ascii="Georgia" w:hAnsi="Georgia" w:cs="Arial"/>
                <w:b/>
                <w:bCs/>
              </w:rPr>
            </w:pPr>
          </w:p>
          <w:p w14:paraId="68773740" w14:textId="39A24A4F" w:rsidR="00ED7730" w:rsidRDefault="00ED7730" w:rsidP="00464DDA">
            <w:pPr>
              <w:rPr>
                <w:rFonts w:ascii="Georgia" w:hAnsi="Georgia" w:cs="Arial"/>
                <w:b/>
                <w:bCs/>
              </w:rPr>
            </w:pPr>
            <w:r>
              <w:rPr>
                <w:rFonts w:ascii="Georgia" w:hAnsi="Georgia" w:cs="Arial"/>
                <w:b/>
                <w:bCs/>
              </w:rPr>
              <w:t>Applicant</w:t>
            </w:r>
          </w:p>
          <w:p w14:paraId="408F8F28" w14:textId="77777777" w:rsidR="00ED7730" w:rsidRDefault="00ED7730" w:rsidP="00464DDA">
            <w:pPr>
              <w:rPr>
                <w:rFonts w:ascii="Georgia" w:hAnsi="Georgia" w:cs="Arial"/>
                <w:b/>
                <w:bCs/>
              </w:rPr>
            </w:pPr>
          </w:p>
          <w:p w14:paraId="1F183A84" w14:textId="2172DBBC" w:rsidR="00ED7730" w:rsidRDefault="00ED7730" w:rsidP="00464DDA">
            <w:pPr>
              <w:rPr>
                <w:rFonts w:ascii="Georgia" w:hAnsi="Georgia" w:cs="Arial"/>
                <w:b/>
                <w:bCs/>
              </w:rPr>
            </w:pPr>
            <w:r>
              <w:rPr>
                <w:rFonts w:ascii="Georgia" w:hAnsi="Georgia" w:cs="Arial"/>
                <w:b/>
                <w:bCs/>
              </w:rPr>
              <w:t>Respondent</w:t>
            </w:r>
          </w:p>
          <w:p w14:paraId="7F898EC6" w14:textId="77777777" w:rsidR="00ED7730" w:rsidRDefault="00ED7730" w:rsidP="00464DDA">
            <w:pPr>
              <w:rPr>
                <w:rFonts w:ascii="Georgia" w:hAnsi="Georgia" w:cs="Arial"/>
                <w:b/>
                <w:bCs/>
              </w:rPr>
            </w:pPr>
          </w:p>
          <w:p w14:paraId="06EE7C36" w14:textId="77777777" w:rsidR="00ED7730" w:rsidRDefault="00ED7730" w:rsidP="00ED7730">
            <w:pPr>
              <w:rPr>
                <w:rFonts w:ascii="Georgia" w:hAnsi="Georgia" w:cs="Arial"/>
                <w:b/>
                <w:bCs/>
              </w:rPr>
            </w:pPr>
          </w:p>
          <w:p w14:paraId="02DB4031" w14:textId="48FC023B" w:rsidR="00ED7730" w:rsidRDefault="00ED7730" w:rsidP="00ED7730">
            <w:pPr>
              <w:rPr>
                <w:rFonts w:ascii="Georgia" w:hAnsi="Georgia" w:cs="Arial"/>
                <w:b/>
                <w:bCs/>
              </w:rPr>
            </w:pPr>
            <w:r>
              <w:rPr>
                <w:rFonts w:ascii="Georgia" w:hAnsi="Georgia" w:cs="Arial"/>
                <w:b/>
                <w:bCs/>
              </w:rPr>
              <w:t>Representative</w:t>
            </w:r>
          </w:p>
          <w:p w14:paraId="2D11118E" w14:textId="77777777" w:rsidR="00ED7730" w:rsidRDefault="00ED7730" w:rsidP="00464DDA">
            <w:pPr>
              <w:rPr>
                <w:rFonts w:ascii="Georgia" w:hAnsi="Georgia" w:cs="Arial"/>
                <w:b/>
                <w:bCs/>
              </w:rPr>
            </w:pPr>
          </w:p>
          <w:p w14:paraId="5FB255C0" w14:textId="2A04512A" w:rsidR="00ED7730" w:rsidRDefault="00ED7730" w:rsidP="00464DDA">
            <w:pPr>
              <w:rPr>
                <w:rFonts w:ascii="Georgia" w:hAnsi="Georgia" w:cs="Arial"/>
                <w:b/>
                <w:bCs/>
              </w:rPr>
            </w:pPr>
            <w:r>
              <w:rPr>
                <w:rFonts w:ascii="Georgia" w:hAnsi="Georgia" w:cs="Arial"/>
                <w:b/>
                <w:bCs/>
              </w:rPr>
              <w:t>Respondent’s Solicitor</w:t>
            </w:r>
          </w:p>
          <w:p w14:paraId="3519DAE9" w14:textId="77777777" w:rsidR="00ED7730" w:rsidRDefault="00ED7730" w:rsidP="00464DDA">
            <w:pPr>
              <w:rPr>
                <w:rFonts w:ascii="Georgia" w:hAnsi="Georgia" w:cs="Arial"/>
                <w:b/>
                <w:bCs/>
              </w:rPr>
            </w:pPr>
          </w:p>
          <w:p w14:paraId="72444045" w14:textId="77777777" w:rsidR="00ED7730" w:rsidRDefault="00ED7730" w:rsidP="00464DDA">
            <w:pPr>
              <w:rPr>
                <w:rFonts w:ascii="Georgia" w:hAnsi="Georgia" w:cs="Arial"/>
                <w:b/>
                <w:bCs/>
              </w:rPr>
            </w:pPr>
            <w:r>
              <w:rPr>
                <w:rFonts w:ascii="Georgia" w:hAnsi="Georgia" w:cs="Arial"/>
                <w:b/>
                <w:bCs/>
              </w:rPr>
              <w:t>Type of Application</w:t>
            </w:r>
          </w:p>
          <w:p w14:paraId="3F629266" w14:textId="77777777" w:rsidR="00ED7730" w:rsidRDefault="00ED7730" w:rsidP="00464DDA">
            <w:pPr>
              <w:rPr>
                <w:rFonts w:ascii="Georgia" w:hAnsi="Georgia" w:cs="Arial"/>
                <w:b/>
                <w:bCs/>
              </w:rPr>
            </w:pPr>
          </w:p>
          <w:p w14:paraId="52D77E24" w14:textId="77777777" w:rsidR="00ED7730" w:rsidRDefault="00ED7730" w:rsidP="00464DDA">
            <w:pPr>
              <w:rPr>
                <w:rFonts w:ascii="Georgia" w:hAnsi="Georgia" w:cs="Arial"/>
                <w:b/>
                <w:bCs/>
              </w:rPr>
            </w:pPr>
          </w:p>
          <w:p w14:paraId="4EC03490" w14:textId="77777777" w:rsidR="00ED7730" w:rsidRDefault="00ED7730" w:rsidP="00464DDA">
            <w:pPr>
              <w:rPr>
                <w:rFonts w:ascii="Georgia" w:hAnsi="Georgia" w:cs="Arial"/>
                <w:b/>
                <w:bCs/>
              </w:rPr>
            </w:pPr>
          </w:p>
          <w:p w14:paraId="1C4EFBA9" w14:textId="77777777" w:rsidR="00ED7730" w:rsidRDefault="00ED7730" w:rsidP="00464DDA">
            <w:pPr>
              <w:rPr>
                <w:rFonts w:ascii="Georgia" w:hAnsi="Georgia" w:cs="Arial"/>
                <w:b/>
                <w:bCs/>
              </w:rPr>
            </w:pPr>
          </w:p>
          <w:p w14:paraId="43972C4B" w14:textId="1D19320D" w:rsidR="00ED7730" w:rsidRDefault="00ED7730" w:rsidP="00464DDA">
            <w:pPr>
              <w:rPr>
                <w:rFonts w:ascii="Georgia" w:hAnsi="Georgia" w:cs="Arial"/>
                <w:b/>
                <w:bCs/>
              </w:rPr>
            </w:pPr>
            <w:r>
              <w:rPr>
                <w:rFonts w:ascii="Georgia" w:hAnsi="Georgia" w:cs="Arial"/>
                <w:b/>
                <w:bCs/>
              </w:rPr>
              <w:t>Tribunal</w:t>
            </w:r>
          </w:p>
          <w:p w14:paraId="198B1FE7" w14:textId="77777777" w:rsidR="00ED7730" w:rsidRPr="00BE0B7E" w:rsidRDefault="00ED7730" w:rsidP="00464DDA">
            <w:pPr>
              <w:rPr>
                <w:rFonts w:ascii="Georgia" w:hAnsi="Georgia" w:cs="Arial"/>
                <w:b/>
                <w:bCs/>
              </w:rPr>
            </w:pPr>
          </w:p>
          <w:p w14:paraId="09538E8E" w14:textId="77777777" w:rsidR="00ED7730" w:rsidRDefault="00ED7730" w:rsidP="00464DDA">
            <w:pPr>
              <w:rPr>
                <w:rFonts w:ascii="Georgia" w:hAnsi="Georgia"/>
              </w:rPr>
            </w:pPr>
          </w:p>
          <w:p w14:paraId="65908273" w14:textId="77777777" w:rsidR="00ED7730" w:rsidRDefault="00ED7730" w:rsidP="00464DDA">
            <w:pPr>
              <w:rPr>
                <w:rFonts w:ascii="Georgia" w:hAnsi="Georgia"/>
              </w:rPr>
            </w:pPr>
          </w:p>
          <w:p w14:paraId="73E95DB3" w14:textId="1F594B95" w:rsidR="00ED7730" w:rsidRDefault="00ED7730" w:rsidP="00464DDA">
            <w:pPr>
              <w:rPr>
                <w:rFonts w:ascii="Georgia" w:hAnsi="Georgia"/>
                <w:b/>
                <w:bCs/>
              </w:rPr>
            </w:pPr>
            <w:r w:rsidRPr="006E508E">
              <w:rPr>
                <w:rFonts w:ascii="Georgia" w:hAnsi="Georgia"/>
                <w:b/>
                <w:bCs/>
              </w:rPr>
              <w:t>Date of Hearing</w:t>
            </w:r>
          </w:p>
          <w:p w14:paraId="5ABC99C1" w14:textId="77777777" w:rsidR="00ED7730" w:rsidRDefault="00ED7730" w:rsidP="00464DDA">
            <w:pPr>
              <w:rPr>
                <w:rFonts w:ascii="Georgia" w:hAnsi="Georgia"/>
                <w:b/>
                <w:bCs/>
              </w:rPr>
            </w:pPr>
          </w:p>
          <w:p w14:paraId="10637987" w14:textId="77777777" w:rsidR="00ED7730" w:rsidRPr="006E508E" w:rsidRDefault="00ED7730" w:rsidP="00464DDA">
            <w:pPr>
              <w:rPr>
                <w:rFonts w:ascii="Georgia" w:hAnsi="Georgia"/>
                <w:b/>
                <w:bCs/>
              </w:rPr>
            </w:pPr>
            <w:r>
              <w:rPr>
                <w:rFonts w:ascii="Georgia" w:hAnsi="Georgia"/>
                <w:b/>
                <w:bCs/>
              </w:rPr>
              <w:t xml:space="preserve">Venue: </w:t>
            </w:r>
          </w:p>
        </w:tc>
        <w:tc>
          <w:tcPr>
            <w:tcW w:w="540" w:type="dxa"/>
          </w:tcPr>
          <w:p w14:paraId="5339DF8C" w14:textId="77777777" w:rsidR="00ED7730" w:rsidRDefault="00ED7730" w:rsidP="00464DDA">
            <w:pPr>
              <w:rPr>
                <w:rFonts w:ascii="Georgia" w:hAnsi="Georgia"/>
                <w:b/>
              </w:rPr>
            </w:pPr>
          </w:p>
          <w:p w14:paraId="6E41DDD7" w14:textId="77777777" w:rsidR="00ED7730" w:rsidRDefault="00ED7730" w:rsidP="00464DDA">
            <w:pPr>
              <w:rPr>
                <w:rFonts w:ascii="Georgia" w:hAnsi="Georgia"/>
                <w:b/>
              </w:rPr>
            </w:pPr>
            <w:r>
              <w:rPr>
                <w:rFonts w:ascii="Georgia" w:hAnsi="Georgia"/>
                <w:b/>
              </w:rPr>
              <w:t>:</w:t>
            </w:r>
          </w:p>
          <w:p w14:paraId="43E0FA74" w14:textId="77777777" w:rsidR="00ED7730" w:rsidRDefault="00ED7730" w:rsidP="00464DDA">
            <w:pPr>
              <w:rPr>
                <w:rFonts w:ascii="Georgia" w:hAnsi="Georgia"/>
                <w:b/>
              </w:rPr>
            </w:pPr>
          </w:p>
          <w:p w14:paraId="28F4FACD" w14:textId="77777777" w:rsidR="00ED7730" w:rsidRDefault="00ED7730" w:rsidP="00464DDA">
            <w:pPr>
              <w:rPr>
                <w:rFonts w:ascii="Georgia" w:hAnsi="Georgia"/>
                <w:b/>
              </w:rPr>
            </w:pPr>
            <w:r>
              <w:rPr>
                <w:rFonts w:ascii="Georgia" w:hAnsi="Georgia"/>
                <w:b/>
              </w:rPr>
              <w:t>:</w:t>
            </w:r>
          </w:p>
          <w:p w14:paraId="7869F1EF" w14:textId="77777777" w:rsidR="00ED7730" w:rsidRDefault="00ED7730" w:rsidP="00464DDA">
            <w:pPr>
              <w:rPr>
                <w:rFonts w:ascii="Georgia" w:hAnsi="Georgia"/>
                <w:b/>
              </w:rPr>
            </w:pPr>
          </w:p>
          <w:p w14:paraId="29E1D5B8" w14:textId="77777777" w:rsidR="00513CBC" w:rsidRDefault="00513CBC" w:rsidP="00464DDA">
            <w:pPr>
              <w:rPr>
                <w:rFonts w:ascii="Georgia" w:hAnsi="Georgia"/>
                <w:b/>
              </w:rPr>
            </w:pPr>
          </w:p>
          <w:p w14:paraId="13736599" w14:textId="61C3A6C6" w:rsidR="00ED7730" w:rsidRDefault="00ED7730" w:rsidP="00464DDA">
            <w:pPr>
              <w:rPr>
                <w:rFonts w:ascii="Georgia" w:hAnsi="Georgia"/>
                <w:b/>
              </w:rPr>
            </w:pPr>
            <w:r>
              <w:rPr>
                <w:rFonts w:ascii="Georgia" w:hAnsi="Georgia"/>
                <w:b/>
              </w:rPr>
              <w:t>:</w:t>
            </w:r>
          </w:p>
          <w:p w14:paraId="4D0D5727" w14:textId="77777777" w:rsidR="00ED7730" w:rsidRDefault="00ED7730" w:rsidP="00464DDA">
            <w:pPr>
              <w:rPr>
                <w:rFonts w:ascii="Georgia" w:hAnsi="Georgia"/>
                <w:b/>
              </w:rPr>
            </w:pPr>
          </w:p>
          <w:p w14:paraId="13D55254" w14:textId="77777777" w:rsidR="00ED7730" w:rsidRDefault="00ED7730" w:rsidP="00464DDA">
            <w:pPr>
              <w:rPr>
                <w:rFonts w:ascii="Georgia" w:hAnsi="Georgia"/>
                <w:b/>
              </w:rPr>
            </w:pPr>
            <w:r>
              <w:rPr>
                <w:rFonts w:ascii="Georgia" w:hAnsi="Georgia"/>
                <w:b/>
              </w:rPr>
              <w:t>:</w:t>
            </w:r>
          </w:p>
          <w:p w14:paraId="79C42E37" w14:textId="77777777" w:rsidR="00ED7730" w:rsidRDefault="00ED7730" w:rsidP="00464DDA">
            <w:pPr>
              <w:rPr>
                <w:rFonts w:ascii="Georgia" w:hAnsi="Georgia"/>
                <w:b/>
              </w:rPr>
            </w:pPr>
          </w:p>
          <w:p w14:paraId="5397399D" w14:textId="77777777" w:rsidR="00ED7730" w:rsidRDefault="00ED7730" w:rsidP="00464DDA">
            <w:pPr>
              <w:rPr>
                <w:rFonts w:ascii="Georgia" w:hAnsi="Georgia"/>
                <w:b/>
              </w:rPr>
            </w:pPr>
          </w:p>
          <w:p w14:paraId="762DDBAE" w14:textId="0D6AC1BD" w:rsidR="00ED7730" w:rsidRDefault="00ED7730" w:rsidP="00464DDA">
            <w:pPr>
              <w:rPr>
                <w:rFonts w:ascii="Georgia" w:hAnsi="Georgia"/>
                <w:b/>
              </w:rPr>
            </w:pPr>
            <w:r>
              <w:rPr>
                <w:rFonts w:ascii="Georgia" w:hAnsi="Georgia"/>
                <w:b/>
              </w:rPr>
              <w:t>:</w:t>
            </w:r>
          </w:p>
          <w:p w14:paraId="58518B09" w14:textId="77777777" w:rsidR="00ED7730" w:rsidRDefault="00ED7730" w:rsidP="00464DDA">
            <w:pPr>
              <w:rPr>
                <w:rFonts w:ascii="Georgia" w:hAnsi="Georgia"/>
                <w:b/>
              </w:rPr>
            </w:pPr>
          </w:p>
          <w:p w14:paraId="4B4FB69B" w14:textId="77777777" w:rsidR="00ED7730" w:rsidRDefault="00ED7730" w:rsidP="00464DDA">
            <w:pPr>
              <w:rPr>
                <w:rFonts w:ascii="Georgia" w:hAnsi="Georgia"/>
                <w:b/>
              </w:rPr>
            </w:pPr>
            <w:r>
              <w:rPr>
                <w:rFonts w:ascii="Georgia" w:hAnsi="Georgia"/>
                <w:b/>
              </w:rPr>
              <w:t>:</w:t>
            </w:r>
          </w:p>
          <w:p w14:paraId="4C1D2615" w14:textId="1509DBB8" w:rsidR="00ED7730" w:rsidRDefault="00ED7730" w:rsidP="00464DDA">
            <w:pPr>
              <w:rPr>
                <w:rFonts w:ascii="Georgia" w:hAnsi="Georgia"/>
                <w:b/>
              </w:rPr>
            </w:pPr>
          </w:p>
          <w:p w14:paraId="249E700C" w14:textId="6D3D49C2" w:rsidR="00ED7730" w:rsidRDefault="00ED7730" w:rsidP="00464DDA">
            <w:pPr>
              <w:rPr>
                <w:rFonts w:ascii="Georgia" w:hAnsi="Georgia"/>
                <w:b/>
              </w:rPr>
            </w:pPr>
            <w:r>
              <w:rPr>
                <w:rFonts w:ascii="Georgia" w:hAnsi="Georgia"/>
                <w:b/>
              </w:rPr>
              <w:t>:</w:t>
            </w:r>
          </w:p>
          <w:p w14:paraId="154AE24D" w14:textId="77777777" w:rsidR="00ED7730" w:rsidRDefault="00ED7730" w:rsidP="00464DDA">
            <w:pPr>
              <w:rPr>
                <w:rFonts w:ascii="Georgia" w:hAnsi="Georgia"/>
                <w:b/>
              </w:rPr>
            </w:pPr>
          </w:p>
          <w:p w14:paraId="74D8624F" w14:textId="77777777" w:rsidR="00ED7730" w:rsidRDefault="00ED7730" w:rsidP="00464DDA">
            <w:pPr>
              <w:rPr>
                <w:rFonts w:ascii="Georgia" w:hAnsi="Georgia"/>
                <w:b/>
              </w:rPr>
            </w:pPr>
          </w:p>
          <w:p w14:paraId="2C4075B3" w14:textId="77777777" w:rsidR="00ED7730" w:rsidRDefault="00ED7730" w:rsidP="00464DDA">
            <w:pPr>
              <w:rPr>
                <w:rFonts w:ascii="Georgia" w:hAnsi="Georgia"/>
                <w:b/>
              </w:rPr>
            </w:pPr>
          </w:p>
          <w:p w14:paraId="3FF01763" w14:textId="725323DD" w:rsidR="00ED7730" w:rsidRDefault="00ED7730" w:rsidP="00464DDA">
            <w:pPr>
              <w:rPr>
                <w:rFonts w:ascii="Georgia" w:hAnsi="Georgia"/>
                <w:b/>
              </w:rPr>
            </w:pPr>
          </w:p>
          <w:p w14:paraId="123E8782" w14:textId="5FBF638A" w:rsidR="00ED7730" w:rsidRDefault="00ED7730" w:rsidP="00464DDA">
            <w:pPr>
              <w:rPr>
                <w:rFonts w:ascii="Georgia" w:hAnsi="Georgia"/>
                <w:b/>
              </w:rPr>
            </w:pPr>
            <w:r>
              <w:rPr>
                <w:rFonts w:ascii="Georgia" w:hAnsi="Georgia"/>
                <w:b/>
              </w:rPr>
              <w:t>:</w:t>
            </w:r>
          </w:p>
          <w:p w14:paraId="78BE161D" w14:textId="77777777" w:rsidR="00ED7730" w:rsidRDefault="00ED7730" w:rsidP="00464DDA">
            <w:pPr>
              <w:rPr>
                <w:rFonts w:ascii="Georgia" w:hAnsi="Georgia"/>
                <w:b/>
              </w:rPr>
            </w:pPr>
          </w:p>
          <w:p w14:paraId="2F635EFB" w14:textId="77777777" w:rsidR="00ED7730" w:rsidRDefault="00ED7730" w:rsidP="00464DDA">
            <w:pPr>
              <w:rPr>
                <w:rFonts w:ascii="Georgia" w:hAnsi="Georgia"/>
                <w:b/>
              </w:rPr>
            </w:pPr>
          </w:p>
          <w:p w14:paraId="123F942F" w14:textId="77777777" w:rsidR="00ED7730" w:rsidRDefault="00ED7730" w:rsidP="00464DDA">
            <w:pPr>
              <w:rPr>
                <w:rFonts w:ascii="Georgia" w:hAnsi="Georgia"/>
                <w:b/>
              </w:rPr>
            </w:pPr>
          </w:p>
          <w:p w14:paraId="2C24901D" w14:textId="77777777" w:rsidR="00ED7730" w:rsidRDefault="00ED7730" w:rsidP="00464DDA">
            <w:pPr>
              <w:rPr>
                <w:rFonts w:ascii="Georgia" w:hAnsi="Georgia"/>
                <w:b/>
              </w:rPr>
            </w:pPr>
            <w:r>
              <w:rPr>
                <w:rFonts w:ascii="Georgia" w:hAnsi="Georgia"/>
                <w:b/>
              </w:rPr>
              <w:t>:</w:t>
            </w:r>
          </w:p>
          <w:p w14:paraId="11B9757D" w14:textId="77777777" w:rsidR="00ED7730" w:rsidRDefault="00ED7730" w:rsidP="00464DDA">
            <w:pPr>
              <w:rPr>
                <w:rFonts w:ascii="Georgia" w:hAnsi="Georgia"/>
                <w:b/>
              </w:rPr>
            </w:pPr>
          </w:p>
          <w:p w14:paraId="12DD04CB" w14:textId="77777777" w:rsidR="00ED7730" w:rsidRPr="00BE0B7E" w:rsidRDefault="00ED7730" w:rsidP="00464DDA">
            <w:pPr>
              <w:rPr>
                <w:rFonts w:ascii="Georgia" w:hAnsi="Georgia"/>
                <w:b/>
              </w:rPr>
            </w:pPr>
            <w:r>
              <w:rPr>
                <w:rFonts w:ascii="Georgia" w:hAnsi="Georgia"/>
                <w:b/>
              </w:rPr>
              <w:t>:</w:t>
            </w:r>
          </w:p>
        </w:tc>
        <w:tc>
          <w:tcPr>
            <w:tcW w:w="5129" w:type="dxa"/>
          </w:tcPr>
          <w:p w14:paraId="440DA50E" w14:textId="77777777" w:rsidR="00ED7730" w:rsidRPr="00BE0B7E" w:rsidRDefault="00ED7730" w:rsidP="00464DDA">
            <w:pPr>
              <w:rPr>
                <w:rFonts w:ascii="Georgia" w:hAnsi="Georgia"/>
                <w:color w:val="000000"/>
              </w:rPr>
            </w:pPr>
          </w:p>
          <w:p w14:paraId="442BAB9B" w14:textId="219592E2" w:rsidR="00ED7730" w:rsidRDefault="00ED7730" w:rsidP="00464DDA">
            <w:pPr>
              <w:rPr>
                <w:rFonts w:ascii="Georgia" w:hAnsi="Georgia"/>
                <w:color w:val="000000"/>
              </w:rPr>
            </w:pPr>
            <w:r w:rsidRPr="00BE0B7E">
              <w:rPr>
                <w:rFonts w:ascii="Georgia" w:hAnsi="Georgia"/>
                <w:color w:val="000000"/>
              </w:rPr>
              <w:t>CHI/</w:t>
            </w:r>
            <w:r>
              <w:rPr>
                <w:rFonts w:ascii="Georgia" w:hAnsi="Georgia"/>
                <w:color w:val="000000"/>
              </w:rPr>
              <w:t>00HA</w:t>
            </w:r>
            <w:r w:rsidRPr="00BE0B7E">
              <w:rPr>
                <w:rFonts w:ascii="Georgia" w:hAnsi="Georgia"/>
                <w:color w:val="000000"/>
              </w:rPr>
              <w:t>/</w:t>
            </w:r>
            <w:r>
              <w:rPr>
                <w:rFonts w:ascii="Georgia" w:hAnsi="Georgia"/>
                <w:color w:val="000000"/>
              </w:rPr>
              <w:t>LSC</w:t>
            </w:r>
            <w:r w:rsidRPr="00BE0B7E">
              <w:rPr>
                <w:rFonts w:ascii="Georgia" w:hAnsi="Georgia"/>
                <w:color w:val="000000"/>
              </w:rPr>
              <w:t>/20</w:t>
            </w:r>
            <w:r>
              <w:rPr>
                <w:rFonts w:ascii="Georgia" w:hAnsi="Georgia"/>
                <w:color w:val="000000"/>
              </w:rPr>
              <w:t>24</w:t>
            </w:r>
            <w:r w:rsidRPr="00BE0B7E">
              <w:rPr>
                <w:rFonts w:ascii="Georgia" w:hAnsi="Georgia"/>
                <w:color w:val="000000"/>
              </w:rPr>
              <w:t>/00</w:t>
            </w:r>
            <w:r>
              <w:rPr>
                <w:rFonts w:ascii="Georgia" w:hAnsi="Georgia"/>
                <w:color w:val="000000"/>
              </w:rPr>
              <w:t xml:space="preserve">27 </w:t>
            </w:r>
          </w:p>
          <w:p w14:paraId="5A6333F8" w14:textId="77777777" w:rsidR="00ED7730" w:rsidRDefault="00ED7730" w:rsidP="00464DDA">
            <w:pPr>
              <w:rPr>
                <w:rFonts w:ascii="Georgia" w:hAnsi="Georgia"/>
                <w:color w:val="000000"/>
              </w:rPr>
            </w:pPr>
          </w:p>
          <w:p w14:paraId="2ACDA90E" w14:textId="7D9E04B4" w:rsidR="00ED7730" w:rsidRDefault="00455132" w:rsidP="00464DDA">
            <w:pPr>
              <w:rPr>
                <w:rFonts w:ascii="Georgia" w:hAnsi="Georgia"/>
                <w:color w:val="000000"/>
              </w:rPr>
            </w:pPr>
            <w:r>
              <w:rPr>
                <w:rFonts w:ascii="Georgia" w:hAnsi="Georgia"/>
                <w:color w:val="000000"/>
              </w:rPr>
              <w:t xml:space="preserve">Garden </w:t>
            </w:r>
            <w:r w:rsidR="00513CBC">
              <w:rPr>
                <w:rFonts w:ascii="Georgia" w:hAnsi="Georgia"/>
                <w:color w:val="000000"/>
              </w:rPr>
              <w:t>M</w:t>
            </w:r>
            <w:r>
              <w:rPr>
                <w:rFonts w:ascii="Georgia" w:hAnsi="Georgia"/>
                <w:color w:val="000000"/>
              </w:rPr>
              <w:t xml:space="preserve">aisonette, </w:t>
            </w:r>
            <w:r w:rsidR="00ED7730">
              <w:rPr>
                <w:rFonts w:ascii="Georgia" w:hAnsi="Georgia"/>
                <w:color w:val="000000"/>
              </w:rPr>
              <w:t>13 Marlborough Buildings, Bath, BA1 2LX</w:t>
            </w:r>
          </w:p>
          <w:p w14:paraId="2EDB5082" w14:textId="77777777" w:rsidR="00ED7730" w:rsidRDefault="00ED7730" w:rsidP="00464DDA">
            <w:pPr>
              <w:rPr>
                <w:rFonts w:ascii="Georgia" w:hAnsi="Georgia"/>
                <w:color w:val="000000"/>
              </w:rPr>
            </w:pPr>
          </w:p>
          <w:p w14:paraId="2EAC5D93" w14:textId="518688FA" w:rsidR="00ED7730" w:rsidRPr="00BE0B7E" w:rsidRDefault="00ED7730" w:rsidP="00464DDA">
            <w:pPr>
              <w:rPr>
                <w:rFonts w:ascii="Georgia" w:hAnsi="Georgia"/>
                <w:color w:val="000000"/>
              </w:rPr>
            </w:pPr>
            <w:r>
              <w:rPr>
                <w:rFonts w:ascii="Georgia" w:hAnsi="Georgia"/>
                <w:color w:val="000000"/>
              </w:rPr>
              <w:t>Alison Callahan</w:t>
            </w:r>
          </w:p>
          <w:p w14:paraId="6B5BE855" w14:textId="77777777" w:rsidR="00ED7730" w:rsidRDefault="00ED7730" w:rsidP="00464DDA">
            <w:pPr>
              <w:rPr>
                <w:rFonts w:ascii="Georgia" w:hAnsi="Georgia"/>
                <w:color w:val="000000"/>
              </w:rPr>
            </w:pPr>
          </w:p>
          <w:p w14:paraId="7E846D64" w14:textId="7C02AB18" w:rsidR="00ED7730" w:rsidRDefault="00ED7730" w:rsidP="00464DDA">
            <w:pPr>
              <w:rPr>
                <w:rFonts w:ascii="Georgia" w:hAnsi="Georgia"/>
                <w:color w:val="000000"/>
              </w:rPr>
            </w:pPr>
            <w:r>
              <w:rPr>
                <w:rFonts w:ascii="Georgia" w:hAnsi="Georgia"/>
                <w:color w:val="000000"/>
              </w:rPr>
              <w:t>13 Marlborough Buildings (Bath) Management Company Ltd</w:t>
            </w:r>
          </w:p>
          <w:p w14:paraId="082F1F47" w14:textId="77777777" w:rsidR="00ED7730" w:rsidRDefault="00ED7730" w:rsidP="00464DDA">
            <w:pPr>
              <w:rPr>
                <w:rFonts w:ascii="Georgia" w:hAnsi="Georgia"/>
                <w:color w:val="000000"/>
              </w:rPr>
            </w:pPr>
          </w:p>
          <w:p w14:paraId="0D9CF021" w14:textId="70CADF5C" w:rsidR="00ED7730" w:rsidRDefault="00286A93" w:rsidP="00464DDA">
            <w:pPr>
              <w:rPr>
                <w:rFonts w:ascii="Georgia" w:hAnsi="Georgia"/>
              </w:rPr>
            </w:pPr>
            <w:r>
              <w:rPr>
                <w:rFonts w:ascii="Georgia" w:hAnsi="Georgia"/>
              </w:rPr>
              <w:t xml:space="preserve">Jack </w:t>
            </w:r>
            <w:r w:rsidR="00ED7730">
              <w:rPr>
                <w:rFonts w:ascii="Georgia" w:hAnsi="Georgia"/>
              </w:rPr>
              <w:t>Webb, of Counsel</w:t>
            </w:r>
          </w:p>
          <w:p w14:paraId="2BE12E3E" w14:textId="77777777" w:rsidR="00ED7730" w:rsidRDefault="00ED7730" w:rsidP="00464DDA">
            <w:pPr>
              <w:rPr>
                <w:rFonts w:ascii="Georgia" w:hAnsi="Georgia"/>
              </w:rPr>
            </w:pPr>
          </w:p>
          <w:p w14:paraId="3BF404FD" w14:textId="750D29CF" w:rsidR="00ED7730" w:rsidRDefault="00ED7730" w:rsidP="00464DDA">
            <w:pPr>
              <w:rPr>
                <w:rFonts w:ascii="Georgia" w:hAnsi="Georgia"/>
              </w:rPr>
            </w:pPr>
            <w:r>
              <w:rPr>
                <w:rFonts w:ascii="Georgia" w:hAnsi="Georgia"/>
              </w:rPr>
              <w:t>Stone King</w:t>
            </w:r>
          </w:p>
          <w:p w14:paraId="3BDB09A1" w14:textId="77777777" w:rsidR="00ED7730" w:rsidRDefault="00ED7730" w:rsidP="00464DDA">
            <w:pPr>
              <w:rPr>
                <w:rFonts w:ascii="Georgia" w:hAnsi="Georgia"/>
              </w:rPr>
            </w:pPr>
          </w:p>
          <w:p w14:paraId="3FECE670" w14:textId="2590A782" w:rsidR="00ED7730" w:rsidRPr="0008520D" w:rsidRDefault="00444FDB" w:rsidP="00464DDA">
            <w:pPr>
              <w:rPr>
                <w:rFonts w:ascii="Georgia" w:hAnsi="Georgia"/>
              </w:rPr>
            </w:pPr>
            <w:r w:rsidRPr="00121CD4">
              <w:rPr>
                <w:rFonts w:ascii="Georgia" w:hAnsi="Georgia"/>
              </w:rPr>
              <w:t xml:space="preserve">Determination of liability to pay and reasonableness of service charges under Section 27A of the Landlord and Tenant Act 1985 </w:t>
            </w:r>
            <w:r w:rsidR="00ED7730" w:rsidRPr="00121CD4">
              <w:rPr>
                <w:rFonts w:ascii="Georgia" w:hAnsi="Georgia"/>
              </w:rPr>
              <w:t xml:space="preserve">  </w:t>
            </w:r>
          </w:p>
          <w:p w14:paraId="7E511D57" w14:textId="77777777" w:rsidR="00ED7730" w:rsidRDefault="00ED7730" w:rsidP="00464DDA">
            <w:pPr>
              <w:rPr>
                <w:rFonts w:ascii="Georgia" w:hAnsi="Georgia"/>
                <w:color w:val="000000"/>
              </w:rPr>
            </w:pPr>
          </w:p>
          <w:p w14:paraId="08DF9DD3" w14:textId="77777777" w:rsidR="00ED7730" w:rsidRDefault="00ED7730" w:rsidP="00464DDA">
            <w:pPr>
              <w:rPr>
                <w:rFonts w:ascii="Georgia" w:hAnsi="Georgia"/>
                <w:color w:val="000000"/>
              </w:rPr>
            </w:pPr>
            <w:r>
              <w:rPr>
                <w:rFonts w:ascii="Georgia" w:hAnsi="Georgia"/>
                <w:color w:val="000000"/>
              </w:rPr>
              <w:t xml:space="preserve">Judge David Clarke </w:t>
            </w:r>
          </w:p>
          <w:p w14:paraId="05B66E04" w14:textId="24534507" w:rsidR="00ED7730" w:rsidRDefault="00ED7730" w:rsidP="00464DDA">
            <w:pPr>
              <w:rPr>
                <w:rFonts w:ascii="Georgia" w:hAnsi="Georgia"/>
                <w:color w:val="000000"/>
              </w:rPr>
            </w:pPr>
            <w:r>
              <w:rPr>
                <w:rFonts w:ascii="Georgia" w:hAnsi="Georgia"/>
                <w:color w:val="000000"/>
              </w:rPr>
              <w:t>Jo Coupe FRICS</w:t>
            </w:r>
          </w:p>
          <w:p w14:paraId="42A73212" w14:textId="77777777" w:rsidR="00ED7730" w:rsidRDefault="00ED7730" w:rsidP="00464DDA">
            <w:pPr>
              <w:rPr>
                <w:rFonts w:ascii="Georgia" w:hAnsi="Georgia"/>
                <w:color w:val="000000"/>
              </w:rPr>
            </w:pPr>
            <w:r>
              <w:rPr>
                <w:rFonts w:ascii="Georgia" w:hAnsi="Georgia"/>
                <w:color w:val="000000"/>
              </w:rPr>
              <w:t>Michael Jenkinson</w:t>
            </w:r>
          </w:p>
          <w:p w14:paraId="2338B33C" w14:textId="77777777" w:rsidR="00ED7730" w:rsidRDefault="00ED7730" w:rsidP="00464DDA">
            <w:pPr>
              <w:rPr>
                <w:rFonts w:ascii="Georgia" w:hAnsi="Georgia"/>
                <w:color w:val="000000"/>
              </w:rPr>
            </w:pPr>
          </w:p>
          <w:p w14:paraId="5140BE57" w14:textId="4EAB4666" w:rsidR="00ED7730" w:rsidRDefault="00ED7730" w:rsidP="00464DDA">
            <w:pPr>
              <w:rPr>
                <w:rFonts w:ascii="Georgia" w:hAnsi="Georgia"/>
                <w:color w:val="000000"/>
              </w:rPr>
            </w:pPr>
            <w:r>
              <w:rPr>
                <w:rFonts w:ascii="Georgia" w:hAnsi="Georgia"/>
                <w:color w:val="000000"/>
              </w:rPr>
              <w:t>2 December 2024</w:t>
            </w:r>
          </w:p>
          <w:p w14:paraId="3BD2FCA0" w14:textId="77777777" w:rsidR="00ED7730" w:rsidRDefault="00ED7730" w:rsidP="00464DDA">
            <w:pPr>
              <w:rPr>
                <w:rFonts w:ascii="Georgia" w:hAnsi="Georgia"/>
                <w:color w:val="000000"/>
              </w:rPr>
            </w:pPr>
          </w:p>
          <w:p w14:paraId="28326AFB" w14:textId="3929C50F" w:rsidR="00ED7730" w:rsidRDefault="00ED7730" w:rsidP="00464DDA">
            <w:pPr>
              <w:rPr>
                <w:rFonts w:ascii="Georgia" w:hAnsi="Georgia"/>
                <w:color w:val="000000"/>
              </w:rPr>
            </w:pPr>
            <w:r>
              <w:rPr>
                <w:rFonts w:ascii="Georgia" w:hAnsi="Georgia"/>
                <w:color w:val="000000"/>
              </w:rPr>
              <w:t>Bath County Court and Tribunal Centre</w:t>
            </w:r>
          </w:p>
          <w:p w14:paraId="5861F38E" w14:textId="757BB80D" w:rsidR="00FE191B" w:rsidRDefault="00FE191B" w:rsidP="00464DDA">
            <w:pPr>
              <w:rPr>
                <w:rFonts w:ascii="Georgia" w:hAnsi="Georgia"/>
                <w:color w:val="000000"/>
              </w:rPr>
            </w:pPr>
            <w:r>
              <w:rPr>
                <w:rFonts w:ascii="Georgia" w:hAnsi="Georgia"/>
                <w:color w:val="000000"/>
              </w:rPr>
              <w:t xml:space="preserve">2 </w:t>
            </w:r>
            <w:r w:rsidR="00976036">
              <w:rPr>
                <w:rFonts w:ascii="Georgia" w:hAnsi="Georgia"/>
                <w:color w:val="000000"/>
              </w:rPr>
              <w:t>D</w:t>
            </w:r>
            <w:r>
              <w:rPr>
                <w:rFonts w:ascii="Georgia" w:hAnsi="Georgia"/>
                <w:color w:val="000000"/>
              </w:rPr>
              <w:t>ecember 2024</w:t>
            </w:r>
          </w:p>
          <w:p w14:paraId="313EE565" w14:textId="77777777" w:rsidR="00ED7730" w:rsidRDefault="00ED7730" w:rsidP="00464DDA">
            <w:pPr>
              <w:rPr>
                <w:rFonts w:ascii="Georgia" w:hAnsi="Georgia"/>
                <w:color w:val="000000"/>
              </w:rPr>
            </w:pPr>
          </w:p>
          <w:p w14:paraId="54F30EBC" w14:textId="77777777" w:rsidR="00ED7730" w:rsidRDefault="00ED7730" w:rsidP="00464DDA">
            <w:pPr>
              <w:rPr>
                <w:rFonts w:ascii="Georgia" w:hAnsi="Georgia"/>
                <w:color w:val="000000"/>
              </w:rPr>
            </w:pPr>
          </w:p>
          <w:p w14:paraId="0B89213C" w14:textId="77777777" w:rsidR="00ED7730" w:rsidRPr="00BE0B7E" w:rsidRDefault="00ED7730" w:rsidP="00464DDA">
            <w:pPr>
              <w:rPr>
                <w:rFonts w:ascii="Georgia" w:hAnsi="Georgia"/>
                <w:color w:val="000000"/>
              </w:rPr>
            </w:pPr>
          </w:p>
        </w:tc>
      </w:tr>
    </w:tbl>
    <w:p w14:paraId="16129BEC" w14:textId="77777777" w:rsidR="00ED7730" w:rsidRDefault="00ED7730" w:rsidP="00ED7730">
      <w:pPr>
        <w:pBdr>
          <w:bottom w:val="single" w:sz="12" w:space="1" w:color="auto"/>
        </w:pBdr>
      </w:pPr>
      <w:r>
        <w:t>:</w:t>
      </w:r>
    </w:p>
    <w:p w14:paraId="62F46E12" w14:textId="77777777" w:rsidR="00ED7730" w:rsidRDefault="00ED7730" w:rsidP="00ED7730"/>
    <w:p w14:paraId="562F915D" w14:textId="53383775" w:rsidR="00ED7730" w:rsidRDefault="00ED7730" w:rsidP="00ED7730">
      <w:pPr>
        <w:jc w:val="center"/>
        <w:rPr>
          <w:rFonts w:ascii="Georgia" w:hAnsi="Georgia"/>
          <w:b/>
          <w:bCs/>
          <w:sz w:val="28"/>
          <w:szCs w:val="28"/>
        </w:rPr>
      </w:pPr>
      <w:r w:rsidRPr="006E508E">
        <w:rPr>
          <w:rFonts w:ascii="Georgia" w:hAnsi="Georgia"/>
          <w:b/>
          <w:bCs/>
          <w:sz w:val="28"/>
          <w:szCs w:val="28"/>
        </w:rPr>
        <w:t xml:space="preserve">DETERMINATION AND </w:t>
      </w:r>
      <w:r w:rsidR="00B27996" w:rsidRPr="006E508E">
        <w:rPr>
          <w:rFonts w:ascii="Georgia" w:hAnsi="Georgia"/>
          <w:b/>
          <w:bCs/>
          <w:sz w:val="28"/>
          <w:szCs w:val="28"/>
        </w:rPr>
        <w:t>STATEMENT OF REASONS</w:t>
      </w:r>
    </w:p>
    <w:p w14:paraId="79E87B0B" w14:textId="77777777" w:rsidR="00ED7730" w:rsidRDefault="00ED7730" w:rsidP="00ED7730">
      <w:pPr>
        <w:jc w:val="center"/>
        <w:rPr>
          <w:rFonts w:ascii="Georgia" w:hAnsi="Georgia"/>
          <w:b/>
          <w:bCs/>
          <w:sz w:val="28"/>
          <w:szCs w:val="28"/>
        </w:rPr>
      </w:pPr>
    </w:p>
    <w:p w14:paraId="66C5422A" w14:textId="77777777" w:rsidR="00ED7730" w:rsidRDefault="00ED7730" w:rsidP="00ED7730">
      <w:pPr>
        <w:jc w:val="center"/>
        <w:rPr>
          <w:rFonts w:ascii="Georgia" w:hAnsi="Georgia"/>
          <w:b/>
          <w:bCs/>
          <w:sz w:val="28"/>
          <w:szCs w:val="28"/>
        </w:rPr>
      </w:pPr>
      <w:r>
        <w:rPr>
          <w:rFonts w:ascii="Georgia" w:hAnsi="Georgia"/>
          <w:b/>
          <w:bCs/>
          <w:sz w:val="28"/>
          <w:szCs w:val="28"/>
        </w:rPr>
        <w:t>_____________________________________________</w:t>
      </w:r>
    </w:p>
    <w:p w14:paraId="38883820" w14:textId="77777777" w:rsidR="00ED7730" w:rsidRDefault="00ED7730" w:rsidP="00ED7730">
      <w:pPr>
        <w:jc w:val="center"/>
        <w:rPr>
          <w:rFonts w:ascii="Georgia" w:hAnsi="Georgia"/>
          <w:b/>
          <w:bCs/>
          <w:sz w:val="28"/>
          <w:szCs w:val="28"/>
        </w:rPr>
      </w:pPr>
    </w:p>
    <w:p w14:paraId="5CDDE88F" w14:textId="77777777" w:rsidR="00ED7730" w:rsidRDefault="00ED7730" w:rsidP="00ED7730">
      <w:pPr>
        <w:jc w:val="center"/>
        <w:rPr>
          <w:rFonts w:ascii="Georgia" w:hAnsi="Georgia"/>
          <w:b/>
          <w:bCs/>
          <w:sz w:val="28"/>
          <w:szCs w:val="28"/>
        </w:rPr>
      </w:pPr>
    </w:p>
    <w:p w14:paraId="482F93FC" w14:textId="77777777" w:rsidR="00ED7730" w:rsidRDefault="00ED7730" w:rsidP="00ED7730">
      <w:pPr>
        <w:jc w:val="center"/>
        <w:rPr>
          <w:rFonts w:ascii="Georgia" w:hAnsi="Georgia"/>
          <w:b/>
          <w:bCs/>
          <w:sz w:val="28"/>
          <w:szCs w:val="28"/>
        </w:rPr>
      </w:pPr>
    </w:p>
    <w:p w14:paraId="7AA70DC5" w14:textId="77777777" w:rsidR="00ED7730" w:rsidRDefault="00ED7730" w:rsidP="00A420EB">
      <w:pPr>
        <w:rPr>
          <w:rFonts w:ascii="Georgia" w:hAnsi="Georgia"/>
          <w:b/>
          <w:bCs/>
          <w:sz w:val="28"/>
          <w:szCs w:val="28"/>
        </w:rPr>
      </w:pPr>
    </w:p>
    <w:p w14:paraId="1A7CBD4C" w14:textId="77777777" w:rsidR="00FE191B" w:rsidRDefault="00FE191B" w:rsidP="00A420EB">
      <w:pPr>
        <w:rPr>
          <w:rFonts w:ascii="Georgia" w:hAnsi="Georgia"/>
          <w:b/>
          <w:bCs/>
          <w:sz w:val="28"/>
          <w:szCs w:val="28"/>
        </w:rPr>
      </w:pPr>
    </w:p>
    <w:p w14:paraId="75C83BC5" w14:textId="77777777" w:rsidR="00ED7730" w:rsidRPr="003F0B7E" w:rsidRDefault="00ED7730" w:rsidP="00ED7730">
      <w:pPr>
        <w:jc w:val="center"/>
        <w:rPr>
          <w:rFonts w:ascii="Georgia" w:hAnsi="Georg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D60">
        <w:rPr>
          <w:rFonts w:ascii="Georgia" w:hAnsi="Georgia"/>
          <w:sz w:val="28"/>
          <w:szCs w:val="28"/>
        </w:rPr>
        <w:t>© Crown Copyright 2024</w:t>
      </w:r>
    </w:p>
    <w:p w14:paraId="1DA9E27D" w14:textId="77777777" w:rsidR="00ED7730" w:rsidRPr="003F0B7E" w:rsidRDefault="00ED7730" w:rsidP="00ED7730">
      <w:pPr>
        <w:spacing w:after="160" w:line="259" w:lineRule="auto"/>
        <w:jc w:val="center"/>
        <w:rPr>
          <w:rFonts w:ascii="Georgia" w:hAnsi="Georgia"/>
          <w:b/>
          <w:bCs/>
          <w:sz w:val="28"/>
          <w:szCs w:val="28"/>
        </w:rPr>
      </w:pPr>
      <w:r>
        <w:rPr>
          <w:rFonts w:ascii="Georgia" w:hAnsi="Georgia"/>
          <w:b/>
          <w:bCs/>
          <w:sz w:val="28"/>
          <w:szCs w:val="28"/>
        </w:rPr>
        <w:br w:type="page"/>
      </w:r>
      <w:r>
        <w:rPr>
          <w:rFonts w:ascii="Georgia" w:hAnsi="Georgia"/>
          <w:b/>
          <w:bCs/>
          <w:sz w:val="28"/>
          <w:szCs w:val="28"/>
        </w:rPr>
        <w:lastRenderedPageBreak/>
        <w:t>DETERMINATION</w:t>
      </w:r>
    </w:p>
    <w:p w14:paraId="19629ADF" w14:textId="77777777" w:rsidR="00ED7730" w:rsidRDefault="00ED7730" w:rsidP="00ED7730"/>
    <w:p w14:paraId="3E62FE62" w14:textId="2EBC2663" w:rsidR="007F3E53" w:rsidRPr="00A420EB" w:rsidRDefault="00ED7730" w:rsidP="00ED7730">
      <w:pPr>
        <w:rPr>
          <w:rFonts w:ascii="Georgia" w:hAnsi="Georgia"/>
        </w:rPr>
      </w:pPr>
      <w:r w:rsidRPr="00A420EB">
        <w:rPr>
          <w:rFonts w:ascii="Georgia" w:hAnsi="Georgia"/>
          <w:b/>
          <w:bCs/>
        </w:rPr>
        <w:t>The Tribunal determines that</w:t>
      </w:r>
      <w:r w:rsidR="00CB0035">
        <w:rPr>
          <w:rFonts w:ascii="Georgia" w:hAnsi="Georgia"/>
          <w:b/>
          <w:bCs/>
        </w:rPr>
        <w:t>:</w:t>
      </w:r>
    </w:p>
    <w:p w14:paraId="6AC417BA" w14:textId="77777777" w:rsidR="00553F15" w:rsidRDefault="00553F15" w:rsidP="00ED7730">
      <w:pPr>
        <w:rPr>
          <w:rFonts w:ascii="Georgia" w:hAnsi="Georgia"/>
          <w:sz w:val="28"/>
          <w:szCs w:val="28"/>
        </w:rPr>
      </w:pPr>
    </w:p>
    <w:p w14:paraId="69FE1F93" w14:textId="3EF9035C" w:rsidR="00702D94" w:rsidRPr="00E10512" w:rsidRDefault="0033342B" w:rsidP="00702D94">
      <w:pPr>
        <w:jc w:val="both"/>
        <w:rPr>
          <w:rFonts w:ascii="Georgia" w:hAnsi="Georgia"/>
          <w:b/>
          <w:bCs/>
        </w:rPr>
      </w:pPr>
      <w:r>
        <w:rPr>
          <w:rFonts w:ascii="Georgia" w:hAnsi="Georgia"/>
          <w:b/>
          <w:bCs/>
        </w:rPr>
        <w:t xml:space="preserve">1. </w:t>
      </w:r>
      <w:r w:rsidR="00490B3D">
        <w:rPr>
          <w:rFonts w:ascii="Georgia" w:hAnsi="Georgia"/>
          <w:b/>
          <w:bCs/>
        </w:rPr>
        <w:t>U</w:t>
      </w:r>
      <w:r w:rsidR="00490B3D" w:rsidRPr="00E10512">
        <w:rPr>
          <w:rFonts w:ascii="Georgia" w:hAnsi="Georgia"/>
          <w:b/>
          <w:bCs/>
        </w:rPr>
        <w:t>nder the terms of the Lease</w:t>
      </w:r>
      <w:r w:rsidR="00490B3D">
        <w:rPr>
          <w:rFonts w:ascii="Georgia" w:hAnsi="Georgia"/>
          <w:b/>
          <w:bCs/>
        </w:rPr>
        <w:t>,</w:t>
      </w:r>
      <w:r w:rsidR="00490B3D" w:rsidRPr="00E10512">
        <w:rPr>
          <w:rFonts w:ascii="Georgia" w:hAnsi="Georgia"/>
          <w:b/>
          <w:bCs/>
        </w:rPr>
        <w:t xml:space="preserve"> </w:t>
      </w:r>
      <w:r w:rsidR="00490B3D">
        <w:rPr>
          <w:rFonts w:ascii="Georgia" w:hAnsi="Georgia"/>
          <w:b/>
          <w:bCs/>
        </w:rPr>
        <w:t>a</w:t>
      </w:r>
      <w:r w:rsidR="00702D94" w:rsidRPr="00E10512">
        <w:rPr>
          <w:rFonts w:ascii="Georgia" w:hAnsi="Georgia"/>
          <w:b/>
          <w:bCs/>
        </w:rPr>
        <w:t xml:space="preserve">ll expenses </w:t>
      </w:r>
      <w:r w:rsidR="00EC3781">
        <w:rPr>
          <w:rFonts w:ascii="Georgia" w:hAnsi="Georgia"/>
          <w:b/>
          <w:bCs/>
        </w:rPr>
        <w:t>in relation</w:t>
      </w:r>
      <w:r w:rsidR="00702D94" w:rsidRPr="00E10512">
        <w:rPr>
          <w:rFonts w:ascii="Georgia" w:hAnsi="Georgia"/>
          <w:b/>
          <w:bCs/>
        </w:rPr>
        <w:t xml:space="preserve"> to fire alarm installation, repair and maintenance, and all expenses relation to fire alarm testing and fire safety assessment</w:t>
      </w:r>
      <w:r w:rsidR="00CB0035">
        <w:rPr>
          <w:rFonts w:ascii="Georgia" w:hAnsi="Georgia"/>
          <w:b/>
          <w:bCs/>
        </w:rPr>
        <w:t xml:space="preserve"> incurred by the Respondent</w:t>
      </w:r>
      <w:r w:rsidR="00702D94" w:rsidRPr="00E10512">
        <w:rPr>
          <w:rFonts w:ascii="Georgia" w:hAnsi="Georgia"/>
          <w:b/>
          <w:bCs/>
        </w:rPr>
        <w:t xml:space="preserve">, fall within the general service charge set out in the Fifth Schedule </w:t>
      </w:r>
      <w:r w:rsidR="00344D7C">
        <w:rPr>
          <w:rFonts w:ascii="Georgia" w:hAnsi="Georgia"/>
          <w:b/>
          <w:bCs/>
        </w:rPr>
        <w:t>to the Lease</w:t>
      </w:r>
      <w:r w:rsidR="00FE0174">
        <w:rPr>
          <w:rFonts w:ascii="Georgia" w:hAnsi="Georgia"/>
          <w:b/>
          <w:bCs/>
        </w:rPr>
        <w:t>, being</w:t>
      </w:r>
      <w:r w:rsidR="00412CCC">
        <w:rPr>
          <w:rFonts w:ascii="Georgia" w:hAnsi="Georgia"/>
          <w:b/>
          <w:bCs/>
        </w:rPr>
        <w:t xml:space="preserve"> within clauses 1(ii</w:t>
      </w:r>
      <w:r w:rsidR="00344D7C">
        <w:rPr>
          <w:rFonts w:ascii="Georgia" w:hAnsi="Georgia"/>
          <w:b/>
          <w:bCs/>
        </w:rPr>
        <w:t>i</w:t>
      </w:r>
      <w:r w:rsidR="00412CCC">
        <w:rPr>
          <w:rFonts w:ascii="Georgia" w:hAnsi="Georgia"/>
          <w:b/>
          <w:bCs/>
        </w:rPr>
        <w:t>) or clause 7</w:t>
      </w:r>
      <w:r w:rsidR="00450649">
        <w:rPr>
          <w:rFonts w:ascii="Georgia" w:hAnsi="Georgia"/>
          <w:b/>
          <w:bCs/>
        </w:rPr>
        <w:t xml:space="preserve"> of th</w:t>
      </w:r>
      <w:r w:rsidR="00FE0174">
        <w:rPr>
          <w:rFonts w:ascii="Georgia" w:hAnsi="Georgia"/>
          <w:b/>
          <w:bCs/>
        </w:rPr>
        <w:t>at</w:t>
      </w:r>
      <w:r w:rsidR="00450649">
        <w:rPr>
          <w:rFonts w:ascii="Georgia" w:hAnsi="Georgia"/>
          <w:b/>
          <w:bCs/>
        </w:rPr>
        <w:t xml:space="preserve"> Schedule</w:t>
      </w:r>
      <w:r w:rsidR="00FE0174">
        <w:rPr>
          <w:rFonts w:ascii="Georgia" w:hAnsi="Georgia"/>
          <w:b/>
          <w:bCs/>
        </w:rPr>
        <w:t>,</w:t>
      </w:r>
      <w:r w:rsidR="00450649">
        <w:rPr>
          <w:rFonts w:ascii="Georgia" w:hAnsi="Georgia"/>
          <w:b/>
          <w:bCs/>
        </w:rPr>
        <w:t xml:space="preserve"> </w:t>
      </w:r>
      <w:r w:rsidR="00702D94" w:rsidRPr="00E10512">
        <w:rPr>
          <w:rFonts w:ascii="Georgia" w:hAnsi="Georgia"/>
          <w:b/>
          <w:bCs/>
        </w:rPr>
        <w:t xml:space="preserve">and to which the Applicant contributes one-third. </w:t>
      </w:r>
    </w:p>
    <w:p w14:paraId="550E2909" w14:textId="77777777" w:rsidR="00702D94" w:rsidRPr="00E10512" w:rsidRDefault="00702D94" w:rsidP="00702D94">
      <w:pPr>
        <w:jc w:val="both"/>
        <w:rPr>
          <w:rFonts w:ascii="Georgia" w:hAnsi="Georgia"/>
          <w:b/>
          <w:bCs/>
        </w:rPr>
      </w:pPr>
    </w:p>
    <w:p w14:paraId="6C6B8B21" w14:textId="53C6E98A" w:rsidR="00E10512" w:rsidRPr="00E10512" w:rsidRDefault="00FE0174" w:rsidP="00E10512">
      <w:pPr>
        <w:jc w:val="both"/>
        <w:rPr>
          <w:rFonts w:ascii="Georgia" w:hAnsi="Georgia"/>
          <w:b/>
          <w:bCs/>
        </w:rPr>
      </w:pPr>
      <w:r>
        <w:rPr>
          <w:rFonts w:ascii="Georgia" w:hAnsi="Georgia"/>
          <w:b/>
          <w:bCs/>
        </w:rPr>
        <w:t xml:space="preserve">2. </w:t>
      </w:r>
      <w:r w:rsidR="00E10512" w:rsidRPr="00E10512">
        <w:rPr>
          <w:rFonts w:ascii="Georgia" w:hAnsi="Georgia"/>
          <w:b/>
          <w:bCs/>
        </w:rPr>
        <w:t xml:space="preserve">Expenses relating to emergency lighting </w:t>
      </w:r>
      <w:r w:rsidR="00450649">
        <w:rPr>
          <w:rFonts w:ascii="Georgia" w:hAnsi="Georgia"/>
          <w:b/>
          <w:bCs/>
        </w:rPr>
        <w:t>within the communal hallway and staircase</w:t>
      </w:r>
      <w:r w:rsidR="00D164BC">
        <w:rPr>
          <w:rFonts w:ascii="Georgia" w:hAnsi="Georgia"/>
          <w:b/>
          <w:bCs/>
        </w:rPr>
        <w:t xml:space="preserve"> </w:t>
      </w:r>
      <w:r w:rsidR="00E10512" w:rsidRPr="00E10512">
        <w:rPr>
          <w:rFonts w:ascii="Georgia" w:hAnsi="Georgia"/>
          <w:b/>
          <w:bCs/>
        </w:rPr>
        <w:t xml:space="preserve">fall within </w:t>
      </w:r>
      <w:r w:rsidR="008F2AFA">
        <w:rPr>
          <w:rFonts w:ascii="Georgia" w:hAnsi="Georgia"/>
          <w:b/>
          <w:bCs/>
        </w:rPr>
        <w:t xml:space="preserve">clause 1(iv) </w:t>
      </w:r>
      <w:r w:rsidR="00E10512" w:rsidRPr="00E10512">
        <w:rPr>
          <w:rFonts w:ascii="Georgia" w:hAnsi="Georgia"/>
          <w:b/>
          <w:bCs/>
        </w:rPr>
        <w:t xml:space="preserve">of the Fifth Schedule to the </w:t>
      </w:r>
      <w:r w:rsidR="008F2AFA">
        <w:rPr>
          <w:rFonts w:ascii="Georgia" w:hAnsi="Georgia"/>
          <w:b/>
          <w:bCs/>
        </w:rPr>
        <w:t xml:space="preserve">Lease </w:t>
      </w:r>
      <w:r w:rsidR="008F2AFA" w:rsidRPr="00E10512">
        <w:rPr>
          <w:rFonts w:ascii="Georgia" w:hAnsi="Georgia"/>
          <w:b/>
          <w:bCs/>
        </w:rPr>
        <w:t xml:space="preserve">and </w:t>
      </w:r>
      <w:r w:rsidR="008F2AFA">
        <w:rPr>
          <w:rFonts w:ascii="Georgia" w:hAnsi="Georgia"/>
          <w:b/>
          <w:bCs/>
        </w:rPr>
        <w:t xml:space="preserve">therefore </w:t>
      </w:r>
      <w:r w:rsidR="008F2AFA" w:rsidRPr="00E10512">
        <w:rPr>
          <w:rFonts w:ascii="Georgia" w:hAnsi="Georgia"/>
          <w:b/>
          <w:bCs/>
        </w:rPr>
        <w:t xml:space="preserve">within the saving clause of the heading </w:t>
      </w:r>
      <w:r w:rsidR="009D333A">
        <w:rPr>
          <w:rFonts w:ascii="Georgia" w:hAnsi="Georgia"/>
          <w:b/>
          <w:bCs/>
        </w:rPr>
        <w:t>to that Schedule. They</w:t>
      </w:r>
      <w:r w:rsidR="00E10512" w:rsidRPr="00E10512">
        <w:rPr>
          <w:rFonts w:ascii="Georgia" w:hAnsi="Georgia"/>
          <w:b/>
          <w:bCs/>
        </w:rPr>
        <w:t xml:space="preserve"> are therefore expenses to which the Applicant makes no contribution. It is therefore necessary </w:t>
      </w:r>
      <w:r w:rsidR="00D164BC">
        <w:rPr>
          <w:rFonts w:ascii="Georgia" w:hAnsi="Georgia"/>
          <w:b/>
          <w:bCs/>
        </w:rPr>
        <w:t xml:space="preserve">in future for the Respondent </w:t>
      </w:r>
      <w:r w:rsidR="00E10512" w:rsidRPr="00E10512">
        <w:rPr>
          <w:rFonts w:ascii="Georgia" w:hAnsi="Georgia"/>
          <w:b/>
          <w:bCs/>
        </w:rPr>
        <w:t>to separate out expenses relating to emergency lighting and expenses relating to fire safety issues.</w:t>
      </w:r>
    </w:p>
    <w:p w14:paraId="74C55371" w14:textId="77777777" w:rsidR="00E10512" w:rsidRPr="00E10512" w:rsidRDefault="00E10512" w:rsidP="00E10512">
      <w:pPr>
        <w:jc w:val="both"/>
        <w:rPr>
          <w:rFonts w:ascii="Georgia" w:hAnsi="Georgia"/>
          <w:b/>
          <w:bCs/>
        </w:rPr>
      </w:pPr>
    </w:p>
    <w:p w14:paraId="11F2E749" w14:textId="46188E76" w:rsidR="005565C5" w:rsidRPr="00754C36" w:rsidRDefault="00C61D8F" w:rsidP="005565C5">
      <w:pPr>
        <w:jc w:val="both"/>
        <w:rPr>
          <w:rFonts w:ascii="Georgia" w:hAnsi="Georgia"/>
          <w:b/>
          <w:bCs/>
        </w:rPr>
      </w:pPr>
      <w:r>
        <w:rPr>
          <w:rFonts w:ascii="Georgia" w:hAnsi="Georgia"/>
          <w:b/>
          <w:bCs/>
        </w:rPr>
        <w:t xml:space="preserve">3. </w:t>
      </w:r>
      <w:r w:rsidR="005565C5" w:rsidRPr="00754C36">
        <w:rPr>
          <w:rFonts w:ascii="Georgia" w:hAnsi="Georgia"/>
          <w:b/>
          <w:bCs/>
        </w:rPr>
        <w:t>No estoppel of any description has been established by either party against the other</w:t>
      </w:r>
      <w:r>
        <w:rPr>
          <w:rFonts w:ascii="Georgia" w:hAnsi="Georgia"/>
          <w:b/>
          <w:bCs/>
        </w:rPr>
        <w:t>.</w:t>
      </w:r>
      <w:r w:rsidR="00E37B47" w:rsidRPr="00754C36">
        <w:rPr>
          <w:rFonts w:ascii="Georgia" w:hAnsi="Georgia"/>
          <w:b/>
          <w:bCs/>
        </w:rPr>
        <w:t xml:space="preserve"> In particular,</w:t>
      </w:r>
      <w:r w:rsidR="005565C5" w:rsidRPr="00754C36">
        <w:rPr>
          <w:rFonts w:ascii="Georgia" w:hAnsi="Georgia"/>
          <w:b/>
          <w:bCs/>
        </w:rPr>
        <w:t xml:space="preserve"> there was </w:t>
      </w:r>
      <w:r w:rsidR="00E37B47" w:rsidRPr="00754C36">
        <w:rPr>
          <w:rFonts w:ascii="Georgia" w:hAnsi="Georgia"/>
          <w:b/>
          <w:bCs/>
        </w:rPr>
        <w:t>no</w:t>
      </w:r>
      <w:r w:rsidR="005565C5" w:rsidRPr="00754C36">
        <w:rPr>
          <w:rFonts w:ascii="Georgia" w:hAnsi="Georgia"/>
          <w:b/>
          <w:bCs/>
        </w:rPr>
        <w:t xml:space="preserve"> promise or representation made by or on behalf of the Respondent, as a representation on which she could rely.  </w:t>
      </w:r>
      <w:r w:rsidR="005C3F95" w:rsidRPr="00754C36">
        <w:rPr>
          <w:rFonts w:ascii="Georgia" w:hAnsi="Georgia"/>
          <w:b/>
          <w:bCs/>
        </w:rPr>
        <w:t xml:space="preserve">The </w:t>
      </w:r>
      <w:r w:rsidR="005565C5" w:rsidRPr="00754C36">
        <w:rPr>
          <w:rFonts w:ascii="Georgia" w:hAnsi="Georgia"/>
          <w:b/>
          <w:bCs/>
        </w:rPr>
        <w:t>Tribunal is unconvinced by the Applicant’s assertion that she relied on any such promise or representation.</w:t>
      </w:r>
    </w:p>
    <w:p w14:paraId="2E9F8628" w14:textId="77777777" w:rsidR="005565C5" w:rsidRDefault="005565C5" w:rsidP="005565C5">
      <w:pPr>
        <w:jc w:val="both"/>
        <w:rPr>
          <w:rFonts w:ascii="Georgia" w:hAnsi="Georgia"/>
          <w:b/>
          <w:bCs/>
          <w:sz w:val="28"/>
          <w:szCs w:val="28"/>
        </w:rPr>
      </w:pPr>
    </w:p>
    <w:p w14:paraId="795CDB4A" w14:textId="3BD6CAEF" w:rsidR="00834F64" w:rsidRPr="00BA3C54" w:rsidRDefault="00B6214E" w:rsidP="00834F64">
      <w:pPr>
        <w:jc w:val="both"/>
        <w:rPr>
          <w:rFonts w:ascii="Georgia" w:hAnsi="Georgia"/>
          <w:b/>
          <w:bCs/>
        </w:rPr>
      </w:pPr>
      <w:r>
        <w:rPr>
          <w:rFonts w:ascii="Georgia" w:hAnsi="Georgia"/>
          <w:b/>
          <w:bCs/>
        </w:rPr>
        <w:t xml:space="preserve">4. </w:t>
      </w:r>
      <w:r w:rsidR="00834F64" w:rsidRPr="00BA3C54">
        <w:rPr>
          <w:rFonts w:ascii="Georgia" w:hAnsi="Georgia"/>
          <w:b/>
          <w:bCs/>
        </w:rPr>
        <w:t>By virtue of section 20B (1) of the 1985 Act, the Applicant is not liable to pay a share of expenses relating to fire alarm maintenance and testing where they were included, wrongly, within the internal service charge</w:t>
      </w:r>
      <w:r w:rsidR="00372FFF" w:rsidRPr="00BA3C54">
        <w:rPr>
          <w:rFonts w:ascii="Georgia" w:hAnsi="Georgia"/>
          <w:b/>
          <w:bCs/>
        </w:rPr>
        <w:t xml:space="preserve"> </w:t>
      </w:r>
      <w:r>
        <w:rPr>
          <w:rFonts w:ascii="Georgia" w:hAnsi="Georgia"/>
          <w:b/>
          <w:bCs/>
        </w:rPr>
        <w:t xml:space="preserve">for earlier accounting years </w:t>
      </w:r>
      <w:r w:rsidR="00F25315" w:rsidRPr="00BA3C54">
        <w:rPr>
          <w:rFonts w:ascii="Georgia" w:hAnsi="Georgia"/>
          <w:b/>
          <w:bCs/>
        </w:rPr>
        <w:t xml:space="preserve">and no demand for payment was </w:t>
      </w:r>
      <w:r w:rsidR="00372FFF" w:rsidRPr="00BA3C54">
        <w:rPr>
          <w:rFonts w:ascii="Georgia" w:hAnsi="Georgia"/>
          <w:b/>
          <w:bCs/>
        </w:rPr>
        <w:t xml:space="preserve">given to her within a period of </w:t>
      </w:r>
      <w:r w:rsidR="00F25315" w:rsidRPr="00BA3C54">
        <w:rPr>
          <w:rFonts w:ascii="Georgia" w:hAnsi="Georgia"/>
          <w:b/>
          <w:bCs/>
        </w:rPr>
        <w:t>eighteen</w:t>
      </w:r>
      <w:r w:rsidR="00BA3C54" w:rsidRPr="00BA3C54">
        <w:rPr>
          <w:rFonts w:ascii="Georgia" w:hAnsi="Georgia"/>
          <w:b/>
          <w:bCs/>
        </w:rPr>
        <w:t xml:space="preserve"> </w:t>
      </w:r>
      <w:r w:rsidR="00F25315" w:rsidRPr="00BA3C54">
        <w:rPr>
          <w:rFonts w:ascii="Georgia" w:hAnsi="Georgia"/>
          <w:b/>
          <w:bCs/>
        </w:rPr>
        <w:t>mo</w:t>
      </w:r>
      <w:r w:rsidR="00BA3C54" w:rsidRPr="00BA3C54">
        <w:rPr>
          <w:rFonts w:ascii="Georgia" w:hAnsi="Georgia"/>
          <w:b/>
          <w:bCs/>
        </w:rPr>
        <w:t xml:space="preserve">nths after they were incurred </w:t>
      </w:r>
      <w:r w:rsidR="005F3B2B">
        <w:rPr>
          <w:rFonts w:ascii="Georgia" w:hAnsi="Georgia"/>
          <w:b/>
          <w:bCs/>
        </w:rPr>
        <w:t>(</w:t>
      </w:r>
      <w:r w:rsidR="00BA3C54" w:rsidRPr="00BA3C54">
        <w:rPr>
          <w:rFonts w:ascii="Georgia" w:hAnsi="Georgia"/>
          <w:b/>
          <w:bCs/>
        </w:rPr>
        <w:t>unless</w:t>
      </w:r>
      <w:r w:rsidR="00834F64" w:rsidRPr="00BA3C54">
        <w:rPr>
          <w:rFonts w:ascii="Georgia" w:hAnsi="Georgia"/>
          <w:b/>
          <w:bCs/>
        </w:rPr>
        <w:t xml:space="preserve"> some written notification </w:t>
      </w:r>
      <w:r w:rsidR="00BA3C54" w:rsidRPr="00BA3C54">
        <w:rPr>
          <w:rFonts w:ascii="Georgia" w:hAnsi="Georgia"/>
          <w:b/>
          <w:bCs/>
        </w:rPr>
        <w:t xml:space="preserve">was given </w:t>
      </w:r>
      <w:r w:rsidR="00834F64" w:rsidRPr="00BA3C54">
        <w:rPr>
          <w:rFonts w:ascii="Georgia" w:hAnsi="Georgia"/>
          <w:b/>
          <w:bCs/>
        </w:rPr>
        <w:t>to her within that 18-month period that those costs had been incurred</w:t>
      </w:r>
      <w:r w:rsidR="005F3B2B">
        <w:rPr>
          <w:rFonts w:ascii="Georgia" w:hAnsi="Georgia"/>
          <w:b/>
          <w:bCs/>
        </w:rPr>
        <w:t>)</w:t>
      </w:r>
      <w:r w:rsidR="00BA3C54" w:rsidRPr="00BA3C54">
        <w:rPr>
          <w:rFonts w:ascii="Georgia" w:hAnsi="Georgia"/>
          <w:b/>
          <w:bCs/>
        </w:rPr>
        <w:t>.</w:t>
      </w:r>
    </w:p>
    <w:p w14:paraId="219F5A6D" w14:textId="77777777" w:rsidR="00834F64" w:rsidRPr="00BA3C54" w:rsidRDefault="00834F64" w:rsidP="005565C5">
      <w:pPr>
        <w:jc w:val="both"/>
        <w:rPr>
          <w:rFonts w:ascii="Georgia" w:hAnsi="Georgia"/>
          <w:b/>
          <w:bCs/>
          <w:sz w:val="28"/>
          <w:szCs w:val="28"/>
        </w:rPr>
      </w:pPr>
    </w:p>
    <w:p w14:paraId="44CC8406" w14:textId="2F598ADD" w:rsidR="00083B40" w:rsidRPr="002D49CA" w:rsidRDefault="005F3B2B" w:rsidP="00F936D3">
      <w:pPr>
        <w:jc w:val="both"/>
        <w:rPr>
          <w:rFonts w:ascii="Georgia" w:hAnsi="Georgia"/>
          <w:b/>
          <w:bCs/>
        </w:rPr>
      </w:pPr>
      <w:r>
        <w:rPr>
          <w:rFonts w:ascii="Georgia" w:hAnsi="Georgia"/>
          <w:b/>
          <w:bCs/>
        </w:rPr>
        <w:t xml:space="preserve">5. </w:t>
      </w:r>
      <w:r w:rsidR="00083B40" w:rsidRPr="002D49CA">
        <w:rPr>
          <w:rFonts w:ascii="Georgia" w:hAnsi="Georgia"/>
          <w:b/>
          <w:bCs/>
        </w:rPr>
        <w:t xml:space="preserve">The totality of </w:t>
      </w:r>
      <w:r w:rsidR="00CA7876" w:rsidRPr="002D49CA">
        <w:rPr>
          <w:rFonts w:ascii="Georgia" w:hAnsi="Georgia"/>
          <w:b/>
          <w:bCs/>
        </w:rPr>
        <w:t xml:space="preserve">the </w:t>
      </w:r>
      <w:r w:rsidR="002D49CA">
        <w:rPr>
          <w:rFonts w:ascii="Georgia" w:hAnsi="Georgia"/>
          <w:b/>
          <w:bCs/>
        </w:rPr>
        <w:t>e</w:t>
      </w:r>
      <w:r w:rsidR="00CA7876" w:rsidRPr="002D49CA">
        <w:rPr>
          <w:rFonts w:ascii="Georgia" w:hAnsi="Georgia"/>
          <w:b/>
          <w:bCs/>
        </w:rPr>
        <w:t xml:space="preserve">xpenses of managing the Building are chargeable under clause 8 of the Fifth Schedule and </w:t>
      </w:r>
      <w:r w:rsidR="002D49CA" w:rsidRPr="002D49CA">
        <w:rPr>
          <w:rFonts w:ascii="Georgia" w:hAnsi="Georgia"/>
          <w:b/>
          <w:bCs/>
        </w:rPr>
        <w:t>such</w:t>
      </w:r>
      <w:r w:rsidR="00CA7876" w:rsidRPr="002D49CA">
        <w:rPr>
          <w:rFonts w:ascii="Georgia" w:hAnsi="Georgia"/>
          <w:b/>
          <w:bCs/>
        </w:rPr>
        <w:t xml:space="preserve"> expenses therefore fall within the general service charge</w:t>
      </w:r>
      <w:r w:rsidR="008820C9" w:rsidRPr="008820C9">
        <w:rPr>
          <w:rFonts w:ascii="Georgia" w:hAnsi="Georgia"/>
          <w:b/>
          <w:bCs/>
        </w:rPr>
        <w:t xml:space="preserve"> </w:t>
      </w:r>
      <w:r w:rsidR="008820C9">
        <w:rPr>
          <w:rFonts w:ascii="Georgia" w:hAnsi="Georgia"/>
          <w:b/>
          <w:bCs/>
        </w:rPr>
        <w:t>to which the Applicant contributes one-third.</w:t>
      </w:r>
    </w:p>
    <w:p w14:paraId="7962C0AA" w14:textId="77777777" w:rsidR="00083B40" w:rsidRPr="002D49CA" w:rsidRDefault="00083B40" w:rsidP="00F936D3">
      <w:pPr>
        <w:jc w:val="both"/>
        <w:rPr>
          <w:rFonts w:ascii="Georgia" w:hAnsi="Georgia"/>
          <w:b/>
          <w:bCs/>
        </w:rPr>
      </w:pPr>
    </w:p>
    <w:p w14:paraId="474606B2" w14:textId="023D929B" w:rsidR="00553F15" w:rsidRDefault="005F3B2B" w:rsidP="00F936D3">
      <w:pPr>
        <w:jc w:val="both"/>
        <w:rPr>
          <w:rFonts w:ascii="Georgia" w:hAnsi="Georgia"/>
          <w:b/>
          <w:bCs/>
        </w:rPr>
      </w:pPr>
      <w:r>
        <w:rPr>
          <w:rFonts w:ascii="Georgia" w:hAnsi="Georgia"/>
          <w:b/>
          <w:bCs/>
        </w:rPr>
        <w:t xml:space="preserve">6. </w:t>
      </w:r>
      <w:r w:rsidR="003A3A1A" w:rsidRPr="002D49CA">
        <w:rPr>
          <w:rFonts w:ascii="Georgia" w:hAnsi="Georgia"/>
          <w:b/>
          <w:bCs/>
        </w:rPr>
        <w:t xml:space="preserve">The </w:t>
      </w:r>
      <w:r w:rsidR="008820C9">
        <w:rPr>
          <w:rFonts w:ascii="Georgia" w:hAnsi="Georgia"/>
          <w:b/>
          <w:bCs/>
        </w:rPr>
        <w:t>m</w:t>
      </w:r>
      <w:r w:rsidR="003A3A1A" w:rsidRPr="002D49CA">
        <w:rPr>
          <w:rFonts w:ascii="Georgia" w:hAnsi="Georgia"/>
          <w:b/>
          <w:bCs/>
        </w:rPr>
        <w:t>anagement fees charged</w:t>
      </w:r>
      <w:r w:rsidR="003A3A1A" w:rsidRPr="00083B40">
        <w:rPr>
          <w:rFonts w:ascii="Georgia" w:hAnsi="Georgia"/>
          <w:b/>
          <w:bCs/>
        </w:rPr>
        <w:t xml:space="preserve"> by </w:t>
      </w:r>
      <w:r w:rsidR="00083B40" w:rsidRPr="00083B40">
        <w:rPr>
          <w:rFonts w:ascii="Georgia" w:hAnsi="Georgia"/>
          <w:b/>
          <w:bCs/>
        </w:rPr>
        <w:t>the current managing agents, SPG, are not unreasonable</w:t>
      </w:r>
      <w:r w:rsidR="002D49CA">
        <w:rPr>
          <w:rFonts w:ascii="Georgia" w:hAnsi="Georgia"/>
          <w:b/>
          <w:bCs/>
        </w:rPr>
        <w:t xml:space="preserve">. There is </w:t>
      </w:r>
      <w:r w:rsidR="001D52A9">
        <w:rPr>
          <w:rFonts w:ascii="Georgia" w:hAnsi="Georgia"/>
          <w:b/>
          <w:bCs/>
        </w:rPr>
        <w:t>no</w:t>
      </w:r>
      <w:r w:rsidR="008820C9">
        <w:rPr>
          <w:rFonts w:ascii="Georgia" w:hAnsi="Georgia"/>
          <w:b/>
          <w:bCs/>
        </w:rPr>
        <w:t>,</w:t>
      </w:r>
      <w:r w:rsidR="001D52A9">
        <w:rPr>
          <w:rFonts w:ascii="Georgia" w:hAnsi="Georgia"/>
          <w:b/>
          <w:bCs/>
        </w:rPr>
        <w:t xml:space="preserve"> or at least insufficient</w:t>
      </w:r>
      <w:r w:rsidR="008820C9">
        <w:rPr>
          <w:rFonts w:ascii="Georgia" w:hAnsi="Georgia"/>
          <w:b/>
          <w:bCs/>
        </w:rPr>
        <w:t>,</w:t>
      </w:r>
      <w:r w:rsidR="001D52A9">
        <w:rPr>
          <w:rFonts w:ascii="Georgia" w:hAnsi="Georgia"/>
          <w:b/>
          <w:bCs/>
        </w:rPr>
        <w:t xml:space="preserve"> evidence that the service provided by this firm of agents </w:t>
      </w:r>
      <w:r w:rsidR="008820C9">
        <w:rPr>
          <w:rFonts w:ascii="Georgia" w:hAnsi="Georgia"/>
          <w:b/>
          <w:bCs/>
        </w:rPr>
        <w:t xml:space="preserve">is unreasonable. </w:t>
      </w:r>
    </w:p>
    <w:p w14:paraId="7BDE2225" w14:textId="77777777" w:rsidR="009944A3" w:rsidRDefault="009944A3" w:rsidP="00F936D3">
      <w:pPr>
        <w:jc w:val="both"/>
        <w:rPr>
          <w:rFonts w:ascii="Georgia" w:hAnsi="Georgia"/>
          <w:b/>
          <w:bCs/>
        </w:rPr>
      </w:pPr>
    </w:p>
    <w:p w14:paraId="4E1852EF" w14:textId="3C5B9817" w:rsidR="009944A3" w:rsidRPr="009944A3" w:rsidRDefault="00F936D3" w:rsidP="00F936D3">
      <w:pPr>
        <w:jc w:val="both"/>
        <w:rPr>
          <w:rFonts w:ascii="Georgia" w:hAnsi="Georgia"/>
          <w:b/>
          <w:bCs/>
        </w:rPr>
      </w:pPr>
      <w:r>
        <w:rPr>
          <w:rFonts w:ascii="Georgia" w:hAnsi="Georgia"/>
          <w:b/>
          <w:bCs/>
        </w:rPr>
        <w:t xml:space="preserve">7. </w:t>
      </w:r>
      <w:r w:rsidR="009944A3">
        <w:rPr>
          <w:rFonts w:ascii="Georgia" w:hAnsi="Georgia"/>
          <w:b/>
          <w:bCs/>
        </w:rPr>
        <w:t>T</w:t>
      </w:r>
      <w:r w:rsidR="009944A3" w:rsidRPr="009944A3">
        <w:rPr>
          <w:rFonts w:ascii="Georgia" w:hAnsi="Georgia"/>
          <w:b/>
          <w:bCs/>
        </w:rPr>
        <w:t>here is no provision in the Lease to permit a reserve fund</w:t>
      </w:r>
      <w:r w:rsidR="009944A3">
        <w:rPr>
          <w:rFonts w:ascii="Georgia" w:hAnsi="Georgia"/>
          <w:b/>
          <w:bCs/>
        </w:rPr>
        <w:t xml:space="preserve"> to be established for the Building</w:t>
      </w:r>
      <w:r w:rsidR="00562A6B">
        <w:rPr>
          <w:rFonts w:ascii="Georgia" w:hAnsi="Georgia"/>
          <w:b/>
          <w:bCs/>
        </w:rPr>
        <w:t>.</w:t>
      </w:r>
    </w:p>
    <w:p w14:paraId="77589B16" w14:textId="77777777" w:rsidR="00553F15" w:rsidRPr="00083B40" w:rsidRDefault="00553F15" w:rsidP="00F936D3">
      <w:pPr>
        <w:jc w:val="both"/>
        <w:rPr>
          <w:rFonts w:ascii="Georgia" w:hAnsi="Georgia"/>
          <w:b/>
          <w:bCs/>
        </w:rPr>
      </w:pPr>
    </w:p>
    <w:p w14:paraId="7BBE8BE2" w14:textId="4593D982" w:rsidR="00EB0D9A" w:rsidRDefault="00F936D3" w:rsidP="00F936D3">
      <w:pPr>
        <w:jc w:val="both"/>
        <w:rPr>
          <w:rFonts w:ascii="Georgia" w:hAnsi="Georgia"/>
          <w:b/>
          <w:bCs/>
        </w:rPr>
      </w:pPr>
      <w:r>
        <w:rPr>
          <w:rFonts w:ascii="Georgia" w:hAnsi="Georgia"/>
          <w:b/>
          <w:bCs/>
        </w:rPr>
        <w:t xml:space="preserve">8. </w:t>
      </w:r>
      <w:r w:rsidR="00BA3C54" w:rsidRPr="00BA3C54">
        <w:rPr>
          <w:rFonts w:ascii="Georgia" w:hAnsi="Georgia"/>
          <w:b/>
          <w:bCs/>
        </w:rPr>
        <w:t xml:space="preserve">The budget </w:t>
      </w:r>
      <w:r w:rsidR="00D07728">
        <w:rPr>
          <w:rFonts w:ascii="Georgia" w:hAnsi="Georgia"/>
          <w:b/>
          <w:bCs/>
        </w:rPr>
        <w:t>for</w:t>
      </w:r>
      <w:r w:rsidR="00BA3C54" w:rsidRPr="00BA3C54">
        <w:rPr>
          <w:rFonts w:ascii="Georgia" w:hAnsi="Georgia"/>
          <w:b/>
          <w:bCs/>
        </w:rPr>
        <w:t xml:space="preserve"> the year 2024-25 should be reduced by a total of £2,294 (</w:t>
      </w:r>
      <w:r w:rsidR="00BA3C54">
        <w:rPr>
          <w:rFonts w:ascii="Georgia" w:hAnsi="Georgia"/>
          <w:b/>
          <w:bCs/>
        </w:rPr>
        <w:t xml:space="preserve">namely </w:t>
      </w:r>
      <w:r w:rsidR="00BA3C54" w:rsidRPr="00BA3C54">
        <w:rPr>
          <w:rFonts w:ascii="Georgia" w:hAnsi="Georgia"/>
          <w:b/>
          <w:bCs/>
        </w:rPr>
        <w:t xml:space="preserve">by £2000 on </w:t>
      </w:r>
      <w:r w:rsidR="000B49E4">
        <w:rPr>
          <w:rFonts w:ascii="Georgia" w:hAnsi="Georgia"/>
          <w:b/>
          <w:bCs/>
        </w:rPr>
        <w:t xml:space="preserve">the </w:t>
      </w:r>
      <w:r w:rsidR="00BA3C54" w:rsidRPr="00BA3C54">
        <w:rPr>
          <w:rFonts w:ascii="Georgia" w:hAnsi="Georgia"/>
          <w:b/>
          <w:bCs/>
        </w:rPr>
        <w:t>repairs contingency and £294 in respect of fire testing) but is otherwise confirmed as reasonable.</w:t>
      </w:r>
    </w:p>
    <w:p w14:paraId="7ABB8F45" w14:textId="77777777" w:rsidR="0033342B" w:rsidRPr="0033342B" w:rsidRDefault="0033342B" w:rsidP="00F936D3">
      <w:pPr>
        <w:jc w:val="both"/>
        <w:rPr>
          <w:rFonts w:ascii="Georgia" w:hAnsi="Georgia"/>
          <w:b/>
          <w:bCs/>
        </w:rPr>
      </w:pPr>
    </w:p>
    <w:p w14:paraId="580951D7" w14:textId="79A50908" w:rsidR="00EB0D9A" w:rsidRPr="0033342B" w:rsidRDefault="00D07728" w:rsidP="00F936D3">
      <w:pPr>
        <w:jc w:val="both"/>
        <w:rPr>
          <w:rFonts w:ascii="Georgia" w:hAnsi="Georgia"/>
          <w:b/>
          <w:bCs/>
        </w:rPr>
      </w:pPr>
      <w:r>
        <w:rPr>
          <w:rFonts w:ascii="Georgia" w:hAnsi="Georgia"/>
          <w:b/>
          <w:bCs/>
        </w:rPr>
        <w:lastRenderedPageBreak/>
        <w:t xml:space="preserve">9. </w:t>
      </w:r>
      <w:r w:rsidR="004A2784" w:rsidRPr="0033342B">
        <w:rPr>
          <w:rFonts w:ascii="Georgia" w:hAnsi="Georgia"/>
          <w:b/>
          <w:bCs/>
        </w:rPr>
        <w:t xml:space="preserve">The </w:t>
      </w:r>
      <w:r w:rsidR="004A2784">
        <w:rPr>
          <w:rFonts w:ascii="Georgia" w:hAnsi="Georgia"/>
          <w:b/>
          <w:bCs/>
        </w:rPr>
        <w:t xml:space="preserve">application </w:t>
      </w:r>
      <w:r w:rsidR="004A2784" w:rsidRPr="0033342B">
        <w:rPr>
          <w:rFonts w:ascii="Georgia" w:hAnsi="Georgia"/>
          <w:b/>
          <w:bCs/>
        </w:rPr>
        <w:t>to make an order</w:t>
      </w:r>
      <w:r w:rsidR="00EB0D9A" w:rsidRPr="0033342B">
        <w:rPr>
          <w:rFonts w:ascii="Georgia" w:hAnsi="Georgia"/>
          <w:b/>
          <w:bCs/>
        </w:rPr>
        <w:t xml:space="preserve"> under section 20C of the </w:t>
      </w:r>
      <w:r w:rsidR="008B38F3">
        <w:rPr>
          <w:rFonts w:ascii="Georgia" w:hAnsi="Georgia"/>
          <w:b/>
          <w:bCs/>
        </w:rPr>
        <w:t>L</w:t>
      </w:r>
      <w:r w:rsidR="0033342B">
        <w:rPr>
          <w:rFonts w:ascii="Georgia" w:hAnsi="Georgia"/>
          <w:b/>
          <w:bCs/>
        </w:rPr>
        <w:t>andlord and Tenant</w:t>
      </w:r>
      <w:r w:rsidR="00EB0D9A" w:rsidRPr="0033342B">
        <w:rPr>
          <w:rFonts w:ascii="Georgia" w:hAnsi="Georgia"/>
          <w:b/>
          <w:bCs/>
        </w:rPr>
        <w:t xml:space="preserve"> Act</w:t>
      </w:r>
      <w:r w:rsidR="0033342B">
        <w:rPr>
          <w:rFonts w:ascii="Georgia" w:hAnsi="Georgia"/>
          <w:b/>
          <w:bCs/>
        </w:rPr>
        <w:t xml:space="preserve"> 1985</w:t>
      </w:r>
      <w:r w:rsidR="006964E9" w:rsidRPr="006964E9">
        <w:rPr>
          <w:rFonts w:ascii="Georgia" w:hAnsi="Georgia"/>
          <w:b/>
          <w:bCs/>
        </w:rPr>
        <w:t xml:space="preserve"> </w:t>
      </w:r>
      <w:r w:rsidR="006964E9">
        <w:rPr>
          <w:rFonts w:ascii="Georgia" w:hAnsi="Georgia"/>
          <w:b/>
          <w:bCs/>
        </w:rPr>
        <w:t>in the Applicants favour is refused</w:t>
      </w:r>
      <w:r w:rsidR="00EB0D9A" w:rsidRPr="0033342B">
        <w:rPr>
          <w:rFonts w:ascii="Georgia" w:hAnsi="Georgia"/>
          <w:b/>
          <w:bCs/>
        </w:rPr>
        <w:t>.</w:t>
      </w:r>
    </w:p>
    <w:p w14:paraId="78957EF1" w14:textId="77777777" w:rsidR="00EB0D9A" w:rsidRDefault="00EB0D9A" w:rsidP="00F936D3">
      <w:pPr>
        <w:jc w:val="both"/>
        <w:rPr>
          <w:rFonts w:ascii="Georgia" w:hAnsi="Georgia"/>
        </w:rPr>
      </w:pPr>
    </w:p>
    <w:p w14:paraId="527BE308" w14:textId="685F8791" w:rsidR="00EB0D9A" w:rsidRPr="0033342B" w:rsidRDefault="00D07728" w:rsidP="00F936D3">
      <w:pPr>
        <w:jc w:val="both"/>
        <w:rPr>
          <w:rFonts w:ascii="Georgia" w:hAnsi="Georgia"/>
          <w:b/>
          <w:bCs/>
        </w:rPr>
      </w:pPr>
      <w:r>
        <w:rPr>
          <w:rFonts w:ascii="Georgia" w:hAnsi="Georgia"/>
          <w:b/>
          <w:bCs/>
        </w:rPr>
        <w:t xml:space="preserve">10. </w:t>
      </w:r>
      <w:r w:rsidR="004A2784" w:rsidRPr="0033342B">
        <w:rPr>
          <w:rFonts w:ascii="Georgia" w:hAnsi="Georgia"/>
          <w:b/>
          <w:bCs/>
        </w:rPr>
        <w:t xml:space="preserve">The </w:t>
      </w:r>
      <w:r w:rsidR="004A2784">
        <w:rPr>
          <w:rFonts w:ascii="Georgia" w:hAnsi="Georgia"/>
          <w:b/>
          <w:bCs/>
        </w:rPr>
        <w:t xml:space="preserve">application </w:t>
      </w:r>
      <w:r w:rsidR="004A2784" w:rsidRPr="0033342B">
        <w:rPr>
          <w:rFonts w:ascii="Georgia" w:hAnsi="Georgia"/>
          <w:b/>
          <w:bCs/>
        </w:rPr>
        <w:t xml:space="preserve">to make an order </w:t>
      </w:r>
      <w:r w:rsidR="00EB0D9A" w:rsidRPr="0033342B">
        <w:rPr>
          <w:rFonts w:ascii="Georgia" w:hAnsi="Georgia"/>
          <w:b/>
          <w:bCs/>
        </w:rPr>
        <w:t xml:space="preserve">under paragraph 5A of Schedule 11 to the Commonhold and Leasehold Reform Act 2022 </w:t>
      </w:r>
      <w:r w:rsidR="006964E9">
        <w:rPr>
          <w:rFonts w:ascii="Georgia" w:hAnsi="Georgia"/>
          <w:b/>
          <w:bCs/>
        </w:rPr>
        <w:t>in the Applicants favour is refused</w:t>
      </w:r>
      <w:r w:rsidR="00EB0D9A" w:rsidRPr="0033342B">
        <w:rPr>
          <w:rFonts w:ascii="Georgia" w:hAnsi="Georgia"/>
          <w:b/>
          <w:bCs/>
        </w:rPr>
        <w:t>.</w:t>
      </w:r>
    </w:p>
    <w:p w14:paraId="75C18611" w14:textId="67608F1B" w:rsidR="00EB0D9A" w:rsidRPr="0033342B" w:rsidRDefault="004A2784" w:rsidP="00F936D3">
      <w:pPr>
        <w:jc w:val="both"/>
        <w:rPr>
          <w:rFonts w:ascii="Georgia" w:hAnsi="Georgia"/>
          <w:b/>
          <w:bCs/>
        </w:rPr>
      </w:pPr>
      <w:r>
        <w:rPr>
          <w:rFonts w:ascii="Georgia" w:hAnsi="Georgia"/>
          <w:b/>
          <w:bCs/>
        </w:rPr>
        <w:t xml:space="preserve"> </w:t>
      </w:r>
    </w:p>
    <w:p w14:paraId="2FA80A87" w14:textId="461A5869" w:rsidR="003A3A1A" w:rsidRDefault="003A3A1A" w:rsidP="00F936D3">
      <w:pPr>
        <w:spacing w:after="160" w:line="259" w:lineRule="auto"/>
        <w:jc w:val="both"/>
        <w:rPr>
          <w:rFonts w:ascii="Georgia" w:hAnsi="Georgia"/>
          <w:b/>
          <w:bCs/>
          <w:sz w:val="28"/>
          <w:szCs w:val="28"/>
        </w:rPr>
      </w:pPr>
      <w:r>
        <w:rPr>
          <w:rFonts w:ascii="Georgia" w:hAnsi="Georgia"/>
          <w:b/>
          <w:bCs/>
          <w:sz w:val="28"/>
          <w:szCs w:val="28"/>
        </w:rPr>
        <w:br w:type="page"/>
      </w:r>
    </w:p>
    <w:p w14:paraId="2D53F8D1" w14:textId="4E97C687" w:rsidR="00553F15" w:rsidRDefault="00B27996" w:rsidP="00B27996">
      <w:pPr>
        <w:jc w:val="center"/>
        <w:rPr>
          <w:rFonts w:ascii="Georgia" w:hAnsi="Georgia"/>
          <w:sz w:val="28"/>
          <w:szCs w:val="28"/>
        </w:rPr>
      </w:pPr>
      <w:r w:rsidRPr="006E508E">
        <w:rPr>
          <w:rFonts w:ascii="Georgia" w:hAnsi="Georgia"/>
          <w:b/>
          <w:bCs/>
          <w:sz w:val="28"/>
          <w:szCs w:val="28"/>
        </w:rPr>
        <w:lastRenderedPageBreak/>
        <w:t>STATEMENT OF REASONS</w:t>
      </w:r>
    </w:p>
    <w:p w14:paraId="5BD5F563" w14:textId="77777777" w:rsidR="00B27996" w:rsidRDefault="00B27996" w:rsidP="00ED7730">
      <w:pPr>
        <w:rPr>
          <w:rFonts w:ascii="Georgia" w:hAnsi="Georgia"/>
          <w:sz w:val="28"/>
          <w:szCs w:val="28"/>
        </w:rPr>
      </w:pPr>
    </w:p>
    <w:p w14:paraId="17DF67DE" w14:textId="45D64D98" w:rsidR="00A23500" w:rsidRPr="00392B5C" w:rsidRDefault="00A23500" w:rsidP="00ED7730">
      <w:pPr>
        <w:rPr>
          <w:rFonts w:ascii="Georgia" w:hAnsi="Georgia"/>
          <w:b/>
          <w:bCs/>
        </w:rPr>
      </w:pPr>
      <w:r w:rsidRPr="00392B5C">
        <w:rPr>
          <w:rFonts w:ascii="Georgia" w:hAnsi="Georgia"/>
          <w:b/>
          <w:bCs/>
        </w:rPr>
        <w:t>The Application</w:t>
      </w:r>
    </w:p>
    <w:p w14:paraId="6BC22420" w14:textId="1EEBAD91" w:rsidR="00B27996" w:rsidRDefault="00395FB4" w:rsidP="00B27996">
      <w:pPr>
        <w:jc w:val="both"/>
        <w:rPr>
          <w:rFonts w:ascii="Georgia" w:hAnsi="Georgia"/>
        </w:rPr>
      </w:pPr>
      <w:r>
        <w:rPr>
          <w:rFonts w:ascii="Georgia" w:hAnsi="Georgia"/>
        </w:rPr>
        <w:t xml:space="preserve">1. </w:t>
      </w:r>
      <w:r w:rsidR="006247B5" w:rsidRPr="006C1303">
        <w:rPr>
          <w:rFonts w:ascii="Georgia" w:hAnsi="Georgia"/>
        </w:rPr>
        <w:t xml:space="preserve">This </w:t>
      </w:r>
      <w:r w:rsidR="006C1303" w:rsidRPr="006C1303">
        <w:rPr>
          <w:rFonts w:ascii="Georgia" w:hAnsi="Georgia"/>
        </w:rPr>
        <w:t xml:space="preserve">application (“the Application”) </w:t>
      </w:r>
      <w:r w:rsidR="00444FDB">
        <w:rPr>
          <w:rFonts w:ascii="Georgia" w:hAnsi="Georgia"/>
        </w:rPr>
        <w:t>for a d</w:t>
      </w:r>
      <w:r w:rsidR="00444FDB" w:rsidRPr="00121CD4">
        <w:rPr>
          <w:rFonts w:ascii="Georgia" w:hAnsi="Georgia"/>
        </w:rPr>
        <w:t>etermination of liability to pay and reasonableness of service charges under Section 27A of the Landlord and Tenant Act 1985</w:t>
      </w:r>
      <w:r w:rsidR="00444FDB">
        <w:rPr>
          <w:rFonts w:ascii="Georgia" w:hAnsi="Georgia"/>
        </w:rPr>
        <w:t xml:space="preserve"> </w:t>
      </w:r>
      <w:r w:rsidR="0072186D">
        <w:rPr>
          <w:rFonts w:ascii="Georgia" w:hAnsi="Georgia"/>
        </w:rPr>
        <w:t xml:space="preserve">(“the 1985 Act”) </w:t>
      </w:r>
      <w:r w:rsidR="00444FDB">
        <w:rPr>
          <w:rFonts w:ascii="Georgia" w:hAnsi="Georgia"/>
        </w:rPr>
        <w:t>was made by</w:t>
      </w:r>
      <w:r w:rsidR="009D544E">
        <w:rPr>
          <w:rFonts w:ascii="Georgia" w:hAnsi="Georgia"/>
        </w:rPr>
        <w:t xml:space="preserve"> </w:t>
      </w:r>
      <w:r w:rsidR="00444FDB">
        <w:rPr>
          <w:rFonts w:ascii="Georgia" w:hAnsi="Georgia"/>
        </w:rPr>
        <w:t xml:space="preserve">Alison Callahan </w:t>
      </w:r>
      <w:r w:rsidR="008C34DB">
        <w:rPr>
          <w:rFonts w:ascii="Georgia" w:hAnsi="Georgia"/>
        </w:rPr>
        <w:t xml:space="preserve">(“the Applicant”) </w:t>
      </w:r>
      <w:r w:rsidR="00444FDB">
        <w:rPr>
          <w:rFonts w:ascii="Georgia" w:hAnsi="Georgia"/>
        </w:rPr>
        <w:t xml:space="preserve">on </w:t>
      </w:r>
      <w:r w:rsidR="009D544E">
        <w:rPr>
          <w:rFonts w:ascii="Georgia" w:hAnsi="Georgia"/>
        </w:rPr>
        <w:t>10 February 2024</w:t>
      </w:r>
      <w:r w:rsidR="008C34DB">
        <w:rPr>
          <w:rFonts w:ascii="Georgia" w:hAnsi="Georgia"/>
        </w:rPr>
        <w:t xml:space="preserve">. The Applicant is the long leaseholder of the garden flat or maisonette in </w:t>
      </w:r>
      <w:r w:rsidR="000B489B">
        <w:rPr>
          <w:rFonts w:ascii="Georgia" w:hAnsi="Georgia"/>
        </w:rPr>
        <w:t xml:space="preserve">a property known as 13 Marlborough Buildings. </w:t>
      </w:r>
      <w:r w:rsidR="003B0705">
        <w:rPr>
          <w:rFonts w:ascii="Georgia" w:hAnsi="Georgia"/>
        </w:rPr>
        <w:t xml:space="preserve">The Respondent to the </w:t>
      </w:r>
      <w:r w:rsidR="00937D83">
        <w:rPr>
          <w:rFonts w:ascii="Georgia" w:hAnsi="Georgia"/>
        </w:rPr>
        <w:t>Application</w:t>
      </w:r>
      <w:r w:rsidR="003B0705">
        <w:rPr>
          <w:rFonts w:ascii="Georgia" w:hAnsi="Georgia"/>
        </w:rPr>
        <w:t xml:space="preserve"> is 13 Marlborough Buildings (Bath) Management Company Ltd in who</w:t>
      </w:r>
      <w:r w:rsidR="00937D83">
        <w:rPr>
          <w:rFonts w:ascii="Georgia" w:hAnsi="Georgia"/>
        </w:rPr>
        <w:t>m</w:t>
      </w:r>
      <w:r w:rsidR="003B0705">
        <w:rPr>
          <w:rFonts w:ascii="Georgia" w:hAnsi="Georgia"/>
        </w:rPr>
        <w:t xml:space="preserve"> the freehold of the property is vested. The Respondent is a residents management company</w:t>
      </w:r>
      <w:r w:rsidR="00937D83">
        <w:rPr>
          <w:rFonts w:ascii="Georgia" w:hAnsi="Georgia"/>
        </w:rPr>
        <w:t xml:space="preserve"> with four members, namely </w:t>
      </w:r>
      <w:r w:rsidR="00F143F8">
        <w:rPr>
          <w:rFonts w:ascii="Georgia" w:hAnsi="Georgia"/>
        </w:rPr>
        <w:t xml:space="preserve">the Applicant and the three long leaseholders of the </w:t>
      </w:r>
      <w:r w:rsidR="00A13068">
        <w:rPr>
          <w:rFonts w:ascii="Georgia" w:hAnsi="Georgia"/>
        </w:rPr>
        <w:t>maisonette</w:t>
      </w:r>
      <w:r w:rsidR="00F143F8">
        <w:rPr>
          <w:rFonts w:ascii="Georgia" w:hAnsi="Georgia"/>
        </w:rPr>
        <w:t xml:space="preserve"> and </w:t>
      </w:r>
      <w:r w:rsidR="00A13068">
        <w:rPr>
          <w:rFonts w:ascii="Georgia" w:hAnsi="Georgia"/>
        </w:rPr>
        <w:t xml:space="preserve">two </w:t>
      </w:r>
      <w:r w:rsidR="00F143F8">
        <w:rPr>
          <w:rFonts w:ascii="Georgia" w:hAnsi="Georgia"/>
        </w:rPr>
        <w:t>flats</w:t>
      </w:r>
      <w:r w:rsidR="00EB0027">
        <w:rPr>
          <w:rFonts w:ascii="Georgia" w:hAnsi="Georgia"/>
        </w:rPr>
        <w:t xml:space="preserve"> above the </w:t>
      </w:r>
      <w:r w:rsidR="00A13068">
        <w:rPr>
          <w:rFonts w:ascii="Georgia" w:hAnsi="Georgia"/>
        </w:rPr>
        <w:t>A</w:t>
      </w:r>
      <w:r w:rsidR="00EB0027">
        <w:rPr>
          <w:rFonts w:ascii="Georgia" w:hAnsi="Georgia"/>
        </w:rPr>
        <w:t xml:space="preserve">pplicants property. Those members are </w:t>
      </w:r>
      <w:r w:rsidR="001673CF">
        <w:rPr>
          <w:rFonts w:ascii="Georgia" w:hAnsi="Georgia"/>
        </w:rPr>
        <w:t>Mr Marcus Arundell of the ground and first floor maisonette, M</w:t>
      </w:r>
      <w:r w:rsidR="00376208">
        <w:rPr>
          <w:rFonts w:ascii="Georgia" w:hAnsi="Georgia"/>
        </w:rPr>
        <w:t xml:space="preserve">s Jennifer </w:t>
      </w:r>
      <w:r w:rsidR="00A13068">
        <w:rPr>
          <w:rFonts w:ascii="Georgia" w:hAnsi="Georgia"/>
        </w:rPr>
        <w:t>Faulkner</w:t>
      </w:r>
      <w:r w:rsidR="00376208">
        <w:rPr>
          <w:rFonts w:ascii="Georgia" w:hAnsi="Georgia"/>
        </w:rPr>
        <w:t xml:space="preserve"> of the second floor flat and </w:t>
      </w:r>
      <w:r w:rsidR="0061466E">
        <w:rPr>
          <w:rFonts w:ascii="Georgia" w:hAnsi="Georgia"/>
        </w:rPr>
        <w:t xml:space="preserve">Mr Harvey Packham of the top floor flat. </w:t>
      </w:r>
    </w:p>
    <w:p w14:paraId="34227A52" w14:textId="77777777" w:rsidR="00CA1A06" w:rsidRDefault="00CA1A06" w:rsidP="00B27996">
      <w:pPr>
        <w:jc w:val="both"/>
        <w:rPr>
          <w:rFonts w:ascii="Georgia" w:hAnsi="Georgia"/>
        </w:rPr>
      </w:pPr>
    </w:p>
    <w:p w14:paraId="17297856" w14:textId="0FB84712" w:rsidR="00CA1A06" w:rsidRDefault="00395FB4" w:rsidP="00B27996">
      <w:pPr>
        <w:jc w:val="both"/>
        <w:rPr>
          <w:rFonts w:ascii="Georgia" w:hAnsi="Georgia"/>
        </w:rPr>
      </w:pPr>
      <w:r>
        <w:rPr>
          <w:rFonts w:ascii="Georgia" w:hAnsi="Georgia"/>
        </w:rPr>
        <w:t xml:space="preserve">2. </w:t>
      </w:r>
      <w:r w:rsidR="00BD3C1A">
        <w:rPr>
          <w:rFonts w:ascii="Georgia" w:hAnsi="Georgia"/>
        </w:rPr>
        <w:t xml:space="preserve">The service charge items </w:t>
      </w:r>
      <w:r w:rsidR="000F40B5">
        <w:rPr>
          <w:rFonts w:ascii="Georgia" w:hAnsi="Georgia"/>
        </w:rPr>
        <w:t xml:space="preserve">that the Applicant puts </w:t>
      </w:r>
      <w:r w:rsidR="00BD3C1A">
        <w:rPr>
          <w:rFonts w:ascii="Georgia" w:hAnsi="Georgia"/>
        </w:rPr>
        <w:t xml:space="preserve">in issue, for the </w:t>
      </w:r>
      <w:r w:rsidR="002622C3">
        <w:rPr>
          <w:rFonts w:ascii="Georgia" w:hAnsi="Georgia"/>
        </w:rPr>
        <w:t>accounting years 2021/22 and (primarily) 2002/23</w:t>
      </w:r>
      <w:r w:rsidR="003F3AE3">
        <w:rPr>
          <w:rFonts w:ascii="Georgia" w:hAnsi="Georgia"/>
        </w:rPr>
        <w:t>,</w:t>
      </w:r>
      <w:r w:rsidR="0027105C">
        <w:rPr>
          <w:rFonts w:ascii="Georgia" w:hAnsi="Georgia"/>
        </w:rPr>
        <w:t xml:space="preserve"> were listed as:</w:t>
      </w:r>
    </w:p>
    <w:p w14:paraId="16114C6F" w14:textId="3914A83E" w:rsidR="0027105C" w:rsidRDefault="00886751" w:rsidP="00886751">
      <w:pPr>
        <w:pStyle w:val="ListParagraph"/>
        <w:numPr>
          <w:ilvl w:val="0"/>
          <w:numId w:val="1"/>
        </w:numPr>
        <w:jc w:val="both"/>
        <w:rPr>
          <w:rFonts w:ascii="Georgia" w:hAnsi="Georgia"/>
        </w:rPr>
      </w:pPr>
      <w:r>
        <w:rPr>
          <w:rFonts w:ascii="Georgia" w:hAnsi="Georgia"/>
        </w:rPr>
        <w:t xml:space="preserve">Treatment of the </w:t>
      </w:r>
      <w:r w:rsidR="00B800DF">
        <w:rPr>
          <w:rFonts w:ascii="Georgia" w:hAnsi="Georgia"/>
        </w:rPr>
        <w:t xml:space="preserve">general (or </w:t>
      </w:r>
      <w:r>
        <w:rPr>
          <w:rFonts w:ascii="Georgia" w:hAnsi="Georgia"/>
        </w:rPr>
        <w:t>external</w:t>
      </w:r>
      <w:r w:rsidR="00B800DF">
        <w:rPr>
          <w:rFonts w:ascii="Georgia" w:hAnsi="Georgia"/>
        </w:rPr>
        <w:t>)</w:t>
      </w:r>
      <w:r>
        <w:rPr>
          <w:rFonts w:ascii="Georgia" w:hAnsi="Georgia"/>
        </w:rPr>
        <w:t xml:space="preserve"> service charge surplus</w:t>
      </w:r>
      <w:r w:rsidR="003F3AE3">
        <w:rPr>
          <w:rFonts w:ascii="Georgia" w:hAnsi="Georgia"/>
        </w:rPr>
        <w:t>.</w:t>
      </w:r>
    </w:p>
    <w:p w14:paraId="777DB974" w14:textId="604EBEE3" w:rsidR="00AC7386" w:rsidRDefault="00AC7386" w:rsidP="00886751">
      <w:pPr>
        <w:pStyle w:val="ListParagraph"/>
        <w:numPr>
          <w:ilvl w:val="0"/>
          <w:numId w:val="1"/>
        </w:numPr>
        <w:jc w:val="both"/>
        <w:rPr>
          <w:rFonts w:ascii="Georgia" w:hAnsi="Georgia"/>
        </w:rPr>
      </w:pPr>
      <w:r>
        <w:rPr>
          <w:rFonts w:ascii="Georgia" w:hAnsi="Georgia"/>
        </w:rPr>
        <w:t>The proper allocation of the costs of fire alarm servicing</w:t>
      </w:r>
      <w:r w:rsidR="003F3AE3">
        <w:rPr>
          <w:rFonts w:ascii="Georgia" w:hAnsi="Georgia"/>
        </w:rPr>
        <w:t>.</w:t>
      </w:r>
    </w:p>
    <w:p w14:paraId="6DC5C1D6" w14:textId="47FDE3EE" w:rsidR="00886751" w:rsidRDefault="00AC7386" w:rsidP="00886751">
      <w:pPr>
        <w:pStyle w:val="ListParagraph"/>
        <w:numPr>
          <w:ilvl w:val="0"/>
          <w:numId w:val="1"/>
        </w:numPr>
        <w:jc w:val="both"/>
        <w:rPr>
          <w:rFonts w:ascii="Georgia" w:hAnsi="Georgia"/>
        </w:rPr>
      </w:pPr>
      <w:r>
        <w:rPr>
          <w:rFonts w:ascii="Georgia" w:hAnsi="Georgia"/>
        </w:rPr>
        <w:t xml:space="preserve">The proper allocation of the costs of fire alarm </w:t>
      </w:r>
      <w:r w:rsidR="001D5042">
        <w:rPr>
          <w:rFonts w:ascii="Georgia" w:hAnsi="Georgia"/>
        </w:rPr>
        <w:t>maintenance</w:t>
      </w:r>
      <w:r w:rsidR="003F3AE3">
        <w:rPr>
          <w:rFonts w:ascii="Georgia" w:hAnsi="Georgia"/>
        </w:rPr>
        <w:t>.</w:t>
      </w:r>
    </w:p>
    <w:p w14:paraId="63761013" w14:textId="721DF6A7" w:rsidR="001D5042" w:rsidRDefault="001D5042" w:rsidP="00886751">
      <w:pPr>
        <w:pStyle w:val="ListParagraph"/>
        <w:numPr>
          <w:ilvl w:val="0"/>
          <w:numId w:val="1"/>
        </w:numPr>
        <w:jc w:val="both"/>
        <w:rPr>
          <w:rFonts w:ascii="Georgia" w:hAnsi="Georgia"/>
        </w:rPr>
      </w:pPr>
      <w:r>
        <w:rPr>
          <w:rFonts w:ascii="Georgia" w:hAnsi="Georgia"/>
        </w:rPr>
        <w:t>The proper allocation of the cost of weekly fire ala</w:t>
      </w:r>
      <w:r w:rsidR="002B7E59">
        <w:rPr>
          <w:rFonts w:ascii="Georgia" w:hAnsi="Georgia"/>
        </w:rPr>
        <w:t>r</w:t>
      </w:r>
      <w:r>
        <w:rPr>
          <w:rFonts w:ascii="Georgia" w:hAnsi="Georgia"/>
        </w:rPr>
        <w:t>m testing</w:t>
      </w:r>
      <w:r w:rsidR="003F3AE3">
        <w:rPr>
          <w:rFonts w:ascii="Georgia" w:hAnsi="Georgia"/>
        </w:rPr>
        <w:t>.</w:t>
      </w:r>
    </w:p>
    <w:p w14:paraId="2683EFA9" w14:textId="3DD71840" w:rsidR="002B7E59" w:rsidRDefault="002B7E59" w:rsidP="00886751">
      <w:pPr>
        <w:pStyle w:val="ListParagraph"/>
        <w:numPr>
          <w:ilvl w:val="0"/>
          <w:numId w:val="1"/>
        </w:numPr>
        <w:jc w:val="both"/>
        <w:rPr>
          <w:rFonts w:ascii="Georgia" w:hAnsi="Georgia"/>
        </w:rPr>
      </w:pPr>
      <w:r>
        <w:rPr>
          <w:rFonts w:ascii="Georgia" w:hAnsi="Georgia"/>
        </w:rPr>
        <w:t>The reasonableness of the management fees charged</w:t>
      </w:r>
      <w:r w:rsidR="00126685">
        <w:rPr>
          <w:rFonts w:ascii="Georgia" w:hAnsi="Georgia"/>
        </w:rPr>
        <w:t xml:space="preserve"> including the quality of the service provided</w:t>
      </w:r>
      <w:r w:rsidR="003F3AE3">
        <w:rPr>
          <w:rFonts w:ascii="Georgia" w:hAnsi="Georgia"/>
        </w:rPr>
        <w:t>.</w:t>
      </w:r>
    </w:p>
    <w:p w14:paraId="40E14459" w14:textId="4D7F4AB2" w:rsidR="008434B6" w:rsidRDefault="008434B6" w:rsidP="00886751">
      <w:pPr>
        <w:pStyle w:val="ListParagraph"/>
        <w:numPr>
          <w:ilvl w:val="0"/>
          <w:numId w:val="1"/>
        </w:numPr>
        <w:jc w:val="both"/>
        <w:rPr>
          <w:rFonts w:ascii="Georgia" w:hAnsi="Georgia"/>
        </w:rPr>
      </w:pPr>
      <w:r>
        <w:rPr>
          <w:rFonts w:ascii="Georgia" w:hAnsi="Georgia"/>
        </w:rPr>
        <w:t>A cost charged relating to windows and doors</w:t>
      </w:r>
      <w:r w:rsidR="003F3AE3">
        <w:rPr>
          <w:rFonts w:ascii="Georgia" w:hAnsi="Georgia"/>
        </w:rPr>
        <w:t>.</w:t>
      </w:r>
    </w:p>
    <w:p w14:paraId="0C6AA017" w14:textId="7674777F" w:rsidR="008434B6" w:rsidRDefault="00E87C84" w:rsidP="00886751">
      <w:pPr>
        <w:pStyle w:val="ListParagraph"/>
        <w:numPr>
          <w:ilvl w:val="0"/>
          <w:numId w:val="1"/>
        </w:numPr>
        <w:jc w:val="both"/>
        <w:rPr>
          <w:rFonts w:ascii="Georgia" w:hAnsi="Georgia"/>
        </w:rPr>
      </w:pPr>
      <w:r>
        <w:rPr>
          <w:rFonts w:ascii="Georgia" w:hAnsi="Georgia"/>
        </w:rPr>
        <w:t>The validity of the charge made in respect of window cleaning.</w:t>
      </w:r>
    </w:p>
    <w:p w14:paraId="67B3DF9F" w14:textId="30E40183" w:rsidR="003B45FD" w:rsidRDefault="003B45FD" w:rsidP="00E87C84">
      <w:pPr>
        <w:jc w:val="both"/>
        <w:rPr>
          <w:rFonts w:ascii="Georgia" w:hAnsi="Georgia"/>
        </w:rPr>
      </w:pPr>
      <w:r>
        <w:rPr>
          <w:rFonts w:ascii="Georgia" w:hAnsi="Georgia"/>
        </w:rPr>
        <w:t xml:space="preserve">At </w:t>
      </w:r>
      <w:r w:rsidR="00463EC0">
        <w:rPr>
          <w:rFonts w:ascii="Georgia" w:hAnsi="Georgia"/>
        </w:rPr>
        <w:t xml:space="preserve">or prior to </w:t>
      </w:r>
      <w:r>
        <w:rPr>
          <w:rFonts w:ascii="Georgia" w:hAnsi="Georgia"/>
        </w:rPr>
        <w:t xml:space="preserve">the hearing, </w:t>
      </w:r>
      <w:r w:rsidR="001856E1">
        <w:rPr>
          <w:rFonts w:ascii="Georgia" w:hAnsi="Georgia"/>
        </w:rPr>
        <w:t xml:space="preserve">the issues relating to windows, doors and window cleaning were </w:t>
      </w:r>
      <w:r w:rsidR="00304755">
        <w:rPr>
          <w:rFonts w:ascii="Georgia" w:hAnsi="Georgia"/>
        </w:rPr>
        <w:t xml:space="preserve">settled by agreement between the parties and the Tribunal does not need to address those two </w:t>
      </w:r>
      <w:r w:rsidR="003F3AE3">
        <w:rPr>
          <w:rFonts w:ascii="Georgia" w:hAnsi="Georgia"/>
        </w:rPr>
        <w:t>matter</w:t>
      </w:r>
      <w:r w:rsidR="00304755">
        <w:rPr>
          <w:rFonts w:ascii="Georgia" w:hAnsi="Georgia"/>
        </w:rPr>
        <w:t>s.</w:t>
      </w:r>
    </w:p>
    <w:p w14:paraId="1555709D" w14:textId="77777777" w:rsidR="00304755" w:rsidRDefault="00304755" w:rsidP="00E87C84">
      <w:pPr>
        <w:jc w:val="both"/>
        <w:rPr>
          <w:rFonts w:ascii="Georgia" w:hAnsi="Georgia"/>
        </w:rPr>
      </w:pPr>
    </w:p>
    <w:p w14:paraId="7A39B4CE" w14:textId="1465D316" w:rsidR="00E87C84" w:rsidRDefault="00395FB4" w:rsidP="00E87C84">
      <w:pPr>
        <w:jc w:val="both"/>
        <w:rPr>
          <w:rFonts w:ascii="Georgia" w:hAnsi="Georgia"/>
        </w:rPr>
      </w:pPr>
      <w:r>
        <w:rPr>
          <w:rFonts w:ascii="Georgia" w:hAnsi="Georgia"/>
        </w:rPr>
        <w:t xml:space="preserve">3. </w:t>
      </w:r>
      <w:r w:rsidR="00AA2602">
        <w:rPr>
          <w:rFonts w:ascii="Georgia" w:hAnsi="Georgia"/>
        </w:rPr>
        <w:t xml:space="preserve">The Application also asked the Tribunal to </w:t>
      </w:r>
      <w:r w:rsidR="008F544F">
        <w:rPr>
          <w:rFonts w:ascii="Georgia" w:hAnsi="Georgia"/>
        </w:rPr>
        <w:t>make a determination in relation to accounting years 2023/24 and 2024/25</w:t>
      </w:r>
      <w:r w:rsidR="00DC163A">
        <w:rPr>
          <w:rFonts w:ascii="Georgia" w:hAnsi="Georgia"/>
        </w:rPr>
        <w:t xml:space="preserve"> in respect of the same service charg</w:t>
      </w:r>
      <w:r w:rsidR="00866D9B">
        <w:rPr>
          <w:rFonts w:ascii="Georgia" w:hAnsi="Georgia"/>
        </w:rPr>
        <w:t>e</w:t>
      </w:r>
      <w:r w:rsidR="00DC163A">
        <w:rPr>
          <w:rFonts w:ascii="Georgia" w:hAnsi="Georgia"/>
        </w:rPr>
        <w:t xml:space="preserve"> issues relating</w:t>
      </w:r>
      <w:r w:rsidR="00866D9B">
        <w:rPr>
          <w:rFonts w:ascii="Georgia" w:hAnsi="Georgia"/>
        </w:rPr>
        <w:t xml:space="preserve"> to fire alarm matters</w:t>
      </w:r>
      <w:r w:rsidR="00F10E78">
        <w:rPr>
          <w:rFonts w:ascii="Georgia" w:hAnsi="Georgia"/>
        </w:rPr>
        <w:t xml:space="preserve"> and management fees. </w:t>
      </w:r>
      <w:r w:rsidR="00AD48C9">
        <w:rPr>
          <w:rFonts w:ascii="Georgia" w:hAnsi="Georgia"/>
        </w:rPr>
        <w:t>Subsequent</w:t>
      </w:r>
      <w:r w:rsidR="00F10E78">
        <w:rPr>
          <w:rFonts w:ascii="Georgia" w:hAnsi="Georgia"/>
        </w:rPr>
        <w:t xml:space="preserve"> to the Application</w:t>
      </w:r>
      <w:r w:rsidR="00AD48C9">
        <w:rPr>
          <w:rFonts w:ascii="Georgia" w:hAnsi="Georgia"/>
        </w:rPr>
        <w:t>, the Applicant also brought into issue</w:t>
      </w:r>
      <w:r w:rsidR="00F10E78">
        <w:rPr>
          <w:rFonts w:ascii="Georgia" w:hAnsi="Georgia"/>
        </w:rPr>
        <w:t xml:space="preserve"> the question of whether a reserve fund could be established under </w:t>
      </w:r>
      <w:r w:rsidR="006378E3">
        <w:rPr>
          <w:rFonts w:ascii="Georgia" w:hAnsi="Georgia"/>
        </w:rPr>
        <w:t xml:space="preserve">terms of her Lease as desired by the Respondent. Before the hearing, the Respondent conceded that </w:t>
      </w:r>
      <w:r w:rsidR="00A27F01">
        <w:rPr>
          <w:rFonts w:ascii="Georgia" w:hAnsi="Georgia"/>
        </w:rPr>
        <w:t>there is no right under the Applicant’s Lease to establish a reserve fund</w:t>
      </w:r>
      <w:r w:rsidR="00F60497">
        <w:rPr>
          <w:rFonts w:ascii="Georgia" w:hAnsi="Georgia"/>
        </w:rPr>
        <w:t xml:space="preserve"> and the only issue is, in the absence of a reserve fund, the extent to which the Respondent </w:t>
      </w:r>
      <w:r w:rsidR="00A23500">
        <w:rPr>
          <w:rFonts w:ascii="Georgia" w:hAnsi="Georgia"/>
        </w:rPr>
        <w:t>may</w:t>
      </w:r>
      <w:r w:rsidR="00F60497">
        <w:rPr>
          <w:rFonts w:ascii="Georgia" w:hAnsi="Georgia"/>
        </w:rPr>
        <w:t xml:space="preserve"> include in annual budgets a level of contingency.</w:t>
      </w:r>
    </w:p>
    <w:p w14:paraId="1AEA93D1" w14:textId="77777777" w:rsidR="00C102D9" w:rsidRDefault="00C102D9" w:rsidP="00E87C84">
      <w:pPr>
        <w:jc w:val="both"/>
        <w:rPr>
          <w:rFonts w:ascii="Georgia" w:hAnsi="Georgia"/>
        </w:rPr>
      </w:pPr>
    </w:p>
    <w:p w14:paraId="01480235" w14:textId="1E8DAD42" w:rsidR="00EB161D" w:rsidRPr="00456577" w:rsidRDefault="00395FB4" w:rsidP="00EB161D">
      <w:pPr>
        <w:jc w:val="both"/>
        <w:rPr>
          <w:rFonts w:ascii="Georgia" w:hAnsi="Georgia"/>
        </w:rPr>
      </w:pPr>
      <w:r>
        <w:rPr>
          <w:rFonts w:ascii="Georgia" w:hAnsi="Georgia"/>
        </w:rPr>
        <w:t xml:space="preserve">4. </w:t>
      </w:r>
      <w:r w:rsidR="00EB161D">
        <w:rPr>
          <w:rFonts w:ascii="Georgia" w:hAnsi="Georgia"/>
        </w:rPr>
        <w:t>The Application also made an ancillary application under section 20C of the 1985 Act and an ancillary application under p</w:t>
      </w:r>
      <w:r w:rsidR="00EB161D" w:rsidRPr="00456577">
        <w:rPr>
          <w:rFonts w:ascii="Georgia" w:hAnsi="Georgia"/>
        </w:rPr>
        <w:t xml:space="preserve">aragraph 5A of Schedule 11 to the </w:t>
      </w:r>
      <w:r w:rsidR="00EB161D">
        <w:rPr>
          <w:rFonts w:ascii="Georgia" w:hAnsi="Georgia"/>
        </w:rPr>
        <w:t xml:space="preserve">Commonhold and Leasehold Reform Act </w:t>
      </w:r>
      <w:r w:rsidR="00EB161D" w:rsidRPr="00456577">
        <w:rPr>
          <w:rFonts w:ascii="Georgia" w:hAnsi="Georgia"/>
        </w:rPr>
        <w:t xml:space="preserve">2022 </w:t>
      </w:r>
      <w:r w:rsidR="00EB161D">
        <w:rPr>
          <w:rFonts w:ascii="Georgia" w:hAnsi="Georgia"/>
        </w:rPr>
        <w:t xml:space="preserve">(“the 2002 </w:t>
      </w:r>
      <w:r w:rsidR="00EB161D" w:rsidRPr="00456577">
        <w:rPr>
          <w:rFonts w:ascii="Georgia" w:hAnsi="Georgia"/>
        </w:rPr>
        <w:t>Act</w:t>
      </w:r>
      <w:r w:rsidR="00EB161D">
        <w:rPr>
          <w:rFonts w:ascii="Georgia" w:hAnsi="Georgia"/>
        </w:rPr>
        <w:t>”).</w:t>
      </w:r>
    </w:p>
    <w:p w14:paraId="1853084D" w14:textId="77777777" w:rsidR="00E87C84" w:rsidRPr="00456577" w:rsidRDefault="00E87C84" w:rsidP="00E87C84">
      <w:pPr>
        <w:jc w:val="both"/>
        <w:rPr>
          <w:rFonts w:ascii="Georgia" w:hAnsi="Georgia"/>
        </w:rPr>
      </w:pPr>
    </w:p>
    <w:p w14:paraId="71A2214C" w14:textId="4C01ACA0" w:rsidR="00392B5C" w:rsidRPr="00392B5C" w:rsidRDefault="00392B5C" w:rsidP="00E87C84">
      <w:pPr>
        <w:jc w:val="both"/>
        <w:rPr>
          <w:rFonts w:ascii="Georgia" w:hAnsi="Georgia"/>
          <w:b/>
          <w:bCs/>
        </w:rPr>
      </w:pPr>
      <w:r>
        <w:rPr>
          <w:rFonts w:ascii="Georgia" w:hAnsi="Georgia"/>
          <w:b/>
          <w:bCs/>
        </w:rPr>
        <w:t>The Propert</w:t>
      </w:r>
      <w:r w:rsidR="005C09CF">
        <w:rPr>
          <w:rFonts w:ascii="Georgia" w:hAnsi="Georgia"/>
          <w:b/>
          <w:bCs/>
        </w:rPr>
        <w:t>y</w:t>
      </w:r>
    </w:p>
    <w:p w14:paraId="2DFF5395" w14:textId="63CFED5B" w:rsidR="005C09CF" w:rsidRDefault="00395FB4" w:rsidP="00E87C84">
      <w:pPr>
        <w:jc w:val="both"/>
        <w:rPr>
          <w:rFonts w:ascii="Georgia" w:hAnsi="Georgia"/>
        </w:rPr>
      </w:pPr>
      <w:r>
        <w:rPr>
          <w:rFonts w:ascii="Georgia" w:hAnsi="Georgia"/>
        </w:rPr>
        <w:t xml:space="preserve">5. </w:t>
      </w:r>
      <w:r w:rsidR="00492140">
        <w:rPr>
          <w:rFonts w:ascii="Georgia" w:hAnsi="Georgia"/>
        </w:rPr>
        <w:t>The</w:t>
      </w:r>
      <w:r w:rsidR="0053381B">
        <w:rPr>
          <w:rFonts w:ascii="Georgia" w:hAnsi="Georgia"/>
        </w:rPr>
        <w:t xml:space="preserve"> </w:t>
      </w:r>
      <w:r w:rsidR="00EC3675">
        <w:rPr>
          <w:rFonts w:ascii="Georgia" w:hAnsi="Georgia"/>
        </w:rPr>
        <w:t xml:space="preserve">Property, known as the </w:t>
      </w:r>
      <w:r w:rsidR="0053381B">
        <w:rPr>
          <w:rFonts w:ascii="Georgia" w:hAnsi="Georgia"/>
        </w:rPr>
        <w:t>g</w:t>
      </w:r>
      <w:r w:rsidR="00EC3675">
        <w:rPr>
          <w:rFonts w:ascii="Georgia" w:hAnsi="Georgia"/>
        </w:rPr>
        <w:t xml:space="preserve">arden </w:t>
      </w:r>
      <w:r w:rsidR="0053381B">
        <w:rPr>
          <w:rFonts w:ascii="Georgia" w:hAnsi="Georgia"/>
        </w:rPr>
        <w:t>maisonette</w:t>
      </w:r>
      <w:r w:rsidR="00EC3675">
        <w:rPr>
          <w:rFonts w:ascii="Georgia" w:hAnsi="Georgia"/>
        </w:rPr>
        <w:t xml:space="preserve">, is contained within an historic </w:t>
      </w:r>
      <w:r w:rsidR="008A741C">
        <w:rPr>
          <w:rFonts w:ascii="Georgia" w:hAnsi="Georgia"/>
        </w:rPr>
        <w:t xml:space="preserve">Grade 2 listed terraced house </w:t>
      </w:r>
      <w:r w:rsidR="00037D7E">
        <w:rPr>
          <w:rFonts w:ascii="Georgia" w:hAnsi="Georgia"/>
        </w:rPr>
        <w:t>known as 13 Marlborough Buildings, Bath (“the Building”)</w:t>
      </w:r>
      <w:r w:rsidR="0053381B">
        <w:rPr>
          <w:rFonts w:ascii="Georgia" w:hAnsi="Georgia"/>
        </w:rPr>
        <w:t xml:space="preserve">. The </w:t>
      </w:r>
      <w:r w:rsidR="00492140">
        <w:rPr>
          <w:rFonts w:ascii="Georgia" w:hAnsi="Georgia"/>
        </w:rPr>
        <w:t xml:space="preserve">Tribunal was not asked to inspect </w:t>
      </w:r>
      <w:r w:rsidR="0053381B">
        <w:rPr>
          <w:rFonts w:ascii="Georgia" w:hAnsi="Georgia"/>
        </w:rPr>
        <w:t xml:space="preserve">either the </w:t>
      </w:r>
      <w:r w:rsidR="00573466">
        <w:rPr>
          <w:rFonts w:ascii="Georgia" w:hAnsi="Georgia"/>
        </w:rPr>
        <w:t>P</w:t>
      </w:r>
      <w:r w:rsidR="0053381B">
        <w:rPr>
          <w:rFonts w:ascii="Georgia" w:hAnsi="Georgia"/>
        </w:rPr>
        <w:t xml:space="preserve">roperty or the Building as a whole but </w:t>
      </w:r>
      <w:r w:rsidR="004832D9">
        <w:rPr>
          <w:rFonts w:ascii="Georgia" w:hAnsi="Georgia"/>
        </w:rPr>
        <w:t>was able to obtain a good understanding from photographs</w:t>
      </w:r>
      <w:r w:rsidR="00A43676">
        <w:rPr>
          <w:rFonts w:ascii="Georgia" w:hAnsi="Georgia"/>
        </w:rPr>
        <w:t xml:space="preserve">, plans </w:t>
      </w:r>
      <w:r w:rsidR="00E138B3">
        <w:rPr>
          <w:rFonts w:ascii="Georgia" w:hAnsi="Georgia"/>
        </w:rPr>
        <w:t>attached to the Lease of the Property,</w:t>
      </w:r>
      <w:r w:rsidR="004832D9">
        <w:rPr>
          <w:rFonts w:ascii="Georgia" w:hAnsi="Georgia"/>
        </w:rPr>
        <w:t xml:space="preserve"> and a description. </w:t>
      </w:r>
      <w:r w:rsidR="00573466">
        <w:rPr>
          <w:rFonts w:ascii="Georgia" w:hAnsi="Georgia"/>
        </w:rPr>
        <w:t>T</w:t>
      </w:r>
      <w:r w:rsidR="00492140">
        <w:rPr>
          <w:rFonts w:ascii="Georgia" w:hAnsi="Georgia"/>
        </w:rPr>
        <w:t xml:space="preserve">he </w:t>
      </w:r>
      <w:r w:rsidR="008A741C">
        <w:rPr>
          <w:rFonts w:ascii="Georgia" w:hAnsi="Georgia"/>
        </w:rPr>
        <w:t>P</w:t>
      </w:r>
      <w:r w:rsidR="00987B19">
        <w:rPr>
          <w:rFonts w:ascii="Georgia" w:hAnsi="Georgia"/>
        </w:rPr>
        <w:t>roperty</w:t>
      </w:r>
      <w:r w:rsidR="00036B9C">
        <w:rPr>
          <w:rFonts w:ascii="Georgia" w:hAnsi="Georgia"/>
        </w:rPr>
        <w:t xml:space="preserve"> is situate</w:t>
      </w:r>
      <w:r w:rsidR="00502337">
        <w:rPr>
          <w:rFonts w:ascii="Georgia" w:hAnsi="Georgia"/>
        </w:rPr>
        <w:t>d</w:t>
      </w:r>
      <w:r w:rsidR="00036B9C">
        <w:rPr>
          <w:rFonts w:ascii="Georgia" w:hAnsi="Georgia"/>
        </w:rPr>
        <w:t xml:space="preserve"> on a small part of </w:t>
      </w:r>
      <w:r w:rsidR="00502337">
        <w:rPr>
          <w:rFonts w:ascii="Georgia" w:hAnsi="Georgia"/>
        </w:rPr>
        <w:t>the</w:t>
      </w:r>
      <w:r w:rsidR="00036B9C">
        <w:rPr>
          <w:rFonts w:ascii="Georgia" w:hAnsi="Georgia"/>
        </w:rPr>
        <w:t xml:space="preserve"> ground floor, </w:t>
      </w:r>
      <w:r w:rsidR="00C6093E">
        <w:rPr>
          <w:rFonts w:ascii="Georgia" w:hAnsi="Georgia"/>
        </w:rPr>
        <w:t>and on the lower ground, basement and sub</w:t>
      </w:r>
      <w:r w:rsidR="00502337">
        <w:rPr>
          <w:rFonts w:ascii="Georgia" w:hAnsi="Georgia"/>
        </w:rPr>
        <w:t>-</w:t>
      </w:r>
      <w:r w:rsidR="00C6093E">
        <w:rPr>
          <w:rFonts w:ascii="Georgia" w:hAnsi="Georgia"/>
        </w:rPr>
        <w:t xml:space="preserve">basement floors of the Building. </w:t>
      </w:r>
      <w:r w:rsidR="00502337">
        <w:rPr>
          <w:rFonts w:ascii="Georgia" w:hAnsi="Georgia"/>
        </w:rPr>
        <w:t>It includes the garden at the rear of the Building.</w:t>
      </w:r>
      <w:r w:rsidR="008A741C">
        <w:rPr>
          <w:rFonts w:ascii="Georgia" w:hAnsi="Georgia"/>
        </w:rPr>
        <w:t xml:space="preserve"> The onl</w:t>
      </w:r>
      <w:r w:rsidR="00D714BA">
        <w:rPr>
          <w:rFonts w:ascii="Georgia" w:hAnsi="Georgia"/>
        </w:rPr>
        <w:t xml:space="preserve">y part </w:t>
      </w:r>
      <w:r w:rsidR="00D714BA">
        <w:rPr>
          <w:rFonts w:ascii="Georgia" w:hAnsi="Georgia"/>
        </w:rPr>
        <w:lastRenderedPageBreak/>
        <w:t xml:space="preserve">of the ground floor included in the property is a door and </w:t>
      </w:r>
      <w:r w:rsidR="00B20E1F">
        <w:rPr>
          <w:rFonts w:ascii="Georgia" w:hAnsi="Georgia"/>
        </w:rPr>
        <w:t>utility</w:t>
      </w:r>
      <w:r w:rsidR="00945C3F">
        <w:rPr>
          <w:rFonts w:ascii="Georgia" w:hAnsi="Georgia"/>
        </w:rPr>
        <w:t xml:space="preserve"> room or </w:t>
      </w:r>
      <w:r w:rsidR="00B20E1F">
        <w:rPr>
          <w:rFonts w:ascii="Georgia" w:hAnsi="Georgia"/>
        </w:rPr>
        <w:t>lobby</w:t>
      </w:r>
      <w:r w:rsidR="00945C3F">
        <w:rPr>
          <w:rFonts w:ascii="Georgia" w:hAnsi="Georgia"/>
        </w:rPr>
        <w:t xml:space="preserve"> giving access to the </w:t>
      </w:r>
      <w:r w:rsidR="00B20E1F">
        <w:rPr>
          <w:rFonts w:ascii="Georgia" w:hAnsi="Georgia"/>
        </w:rPr>
        <w:t>s</w:t>
      </w:r>
      <w:r w:rsidR="00945C3F">
        <w:rPr>
          <w:rFonts w:ascii="Georgia" w:hAnsi="Georgia"/>
        </w:rPr>
        <w:t xml:space="preserve">tairs down to the </w:t>
      </w:r>
      <w:r w:rsidR="001C2284">
        <w:rPr>
          <w:rFonts w:ascii="Georgia" w:hAnsi="Georgia"/>
        </w:rPr>
        <w:t xml:space="preserve">lower floors. However, the property also enjoys </w:t>
      </w:r>
      <w:r w:rsidR="00736F2C">
        <w:rPr>
          <w:rFonts w:ascii="Georgia" w:hAnsi="Georgia"/>
        </w:rPr>
        <w:t xml:space="preserve">an external staircase to an entrance door on the </w:t>
      </w:r>
      <w:r w:rsidR="00B20E1F">
        <w:rPr>
          <w:rFonts w:ascii="Georgia" w:hAnsi="Georgia"/>
        </w:rPr>
        <w:t xml:space="preserve">lower ground floor. </w:t>
      </w:r>
      <w:r w:rsidR="008F26BF">
        <w:rPr>
          <w:rFonts w:ascii="Georgia" w:hAnsi="Georgia"/>
        </w:rPr>
        <w:t xml:space="preserve">The ground floor door and staircase </w:t>
      </w:r>
      <w:r w:rsidR="002B5B8A">
        <w:rPr>
          <w:rFonts w:ascii="Georgia" w:hAnsi="Georgia"/>
        </w:rPr>
        <w:t xml:space="preserve">of the Property </w:t>
      </w:r>
      <w:r w:rsidR="008F26BF">
        <w:rPr>
          <w:rFonts w:ascii="Georgia" w:hAnsi="Georgia"/>
        </w:rPr>
        <w:t xml:space="preserve">open into </w:t>
      </w:r>
      <w:r w:rsidR="00714B2F">
        <w:rPr>
          <w:rFonts w:ascii="Georgia" w:hAnsi="Georgia"/>
        </w:rPr>
        <w:t>the main access hall and sta</w:t>
      </w:r>
      <w:r w:rsidR="002B5B8A">
        <w:rPr>
          <w:rFonts w:ascii="Georgia" w:hAnsi="Georgia"/>
        </w:rPr>
        <w:t>i</w:t>
      </w:r>
      <w:r w:rsidR="00714B2F">
        <w:rPr>
          <w:rFonts w:ascii="Georgia" w:hAnsi="Georgia"/>
        </w:rPr>
        <w:t>rcases to the other three properties in the Building</w:t>
      </w:r>
      <w:r w:rsidR="002B5B8A">
        <w:rPr>
          <w:rFonts w:ascii="Georgia" w:hAnsi="Georgia"/>
        </w:rPr>
        <w:t xml:space="preserve">. </w:t>
      </w:r>
    </w:p>
    <w:p w14:paraId="191D2E5A" w14:textId="77777777" w:rsidR="009B7D15" w:rsidRDefault="009B7D15" w:rsidP="00E87C84">
      <w:pPr>
        <w:jc w:val="both"/>
        <w:rPr>
          <w:rFonts w:ascii="Georgia" w:hAnsi="Georgia"/>
        </w:rPr>
      </w:pPr>
    </w:p>
    <w:p w14:paraId="6B7C18D1" w14:textId="43E6EC2B" w:rsidR="009B7D15" w:rsidRDefault="00395FB4" w:rsidP="00E87C84">
      <w:pPr>
        <w:jc w:val="both"/>
        <w:rPr>
          <w:rFonts w:ascii="Georgia" w:hAnsi="Georgia"/>
        </w:rPr>
      </w:pPr>
      <w:r>
        <w:rPr>
          <w:rFonts w:ascii="Georgia" w:hAnsi="Georgia"/>
        </w:rPr>
        <w:t xml:space="preserve">6. </w:t>
      </w:r>
      <w:r w:rsidR="009B7D15">
        <w:rPr>
          <w:rFonts w:ascii="Georgia" w:hAnsi="Georgia"/>
        </w:rPr>
        <w:t xml:space="preserve">The Applicant made it clear that she only uses the </w:t>
      </w:r>
      <w:r w:rsidR="00B634F1">
        <w:rPr>
          <w:rFonts w:ascii="Georgia" w:hAnsi="Georgia"/>
        </w:rPr>
        <w:t xml:space="preserve">internal ground floor door to visit the main hallway to collect her post. Otherwise, she uses the </w:t>
      </w:r>
      <w:r w:rsidR="00516902">
        <w:rPr>
          <w:rFonts w:ascii="Georgia" w:hAnsi="Georgia"/>
        </w:rPr>
        <w:t>lower ground floor entranc</w:t>
      </w:r>
      <w:r>
        <w:rPr>
          <w:rFonts w:ascii="Georgia" w:hAnsi="Georgia"/>
        </w:rPr>
        <w:t>e</w:t>
      </w:r>
      <w:r w:rsidR="00516902">
        <w:rPr>
          <w:rFonts w:ascii="Georgia" w:hAnsi="Georgia"/>
        </w:rPr>
        <w:t xml:space="preserve"> to her home. The ground floor main doorway is used by the other three leaseholders in the Building.</w:t>
      </w:r>
    </w:p>
    <w:p w14:paraId="58ECCAE4" w14:textId="77777777" w:rsidR="008A741C" w:rsidRDefault="008A741C" w:rsidP="00E87C84">
      <w:pPr>
        <w:jc w:val="both"/>
        <w:rPr>
          <w:rFonts w:ascii="Georgia" w:hAnsi="Georgia"/>
        </w:rPr>
      </w:pPr>
    </w:p>
    <w:p w14:paraId="195785BA" w14:textId="07CE8E0C" w:rsidR="005C09CF" w:rsidRPr="005C09CF" w:rsidRDefault="005C09CF" w:rsidP="00E87C84">
      <w:pPr>
        <w:jc w:val="both"/>
        <w:rPr>
          <w:rFonts w:ascii="Georgia" w:hAnsi="Georgia"/>
          <w:b/>
          <w:bCs/>
        </w:rPr>
      </w:pPr>
      <w:r>
        <w:rPr>
          <w:rFonts w:ascii="Georgia" w:hAnsi="Georgia"/>
          <w:b/>
          <w:bCs/>
        </w:rPr>
        <w:t>The Lease</w:t>
      </w:r>
    </w:p>
    <w:p w14:paraId="263C2238" w14:textId="41AE72C8" w:rsidR="00C62E58" w:rsidRDefault="00395FB4" w:rsidP="00E87C84">
      <w:pPr>
        <w:jc w:val="both"/>
        <w:rPr>
          <w:rFonts w:ascii="Georgia" w:hAnsi="Georgia"/>
        </w:rPr>
      </w:pPr>
      <w:r>
        <w:rPr>
          <w:rFonts w:ascii="Georgia" w:hAnsi="Georgia"/>
        </w:rPr>
        <w:t xml:space="preserve">7. </w:t>
      </w:r>
      <w:r w:rsidR="00625B45">
        <w:rPr>
          <w:rFonts w:ascii="Georgia" w:hAnsi="Georgia"/>
        </w:rPr>
        <w:t xml:space="preserve">By virtue of a lease (“the Lease”) dated </w:t>
      </w:r>
      <w:r w:rsidR="00FD1A0F">
        <w:rPr>
          <w:rFonts w:ascii="Georgia" w:hAnsi="Georgia"/>
        </w:rPr>
        <w:t xml:space="preserve">1 December 2000 the Property was demised for a term of </w:t>
      </w:r>
      <w:r w:rsidR="00E53C34">
        <w:rPr>
          <w:rFonts w:ascii="Georgia" w:hAnsi="Georgia"/>
        </w:rPr>
        <w:t>999 years from 29 September 1998 at an annual rent of £50</w:t>
      </w:r>
      <w:r w:rsidR="005F3FB1">
        <w:rPr>
          <w:rFonts w:ascii="Georgia" w:hAnsi="Georgia"/>
        </w:rPr>
        <w:t xml:space="preserve"> with an additional insurance rent</w:t>
      </w:r>
      <w:r w:rsidR="00F22025">
        <w:rPr>
          <w:rFonts w:ascii="Georgia" w:hAnsi="Georgia"/>
        </w:rPr>
        <w:t xml:space="preserve"> equal to one third of the cost of insuring the Building. </w:t>
      </w:r>
      <w:r w:rsidR="00C62E58">
        <w:rPr>
          <w:rFonts w:ascii="Georgia" w:hAnsi="Georgia"/>
        </w:rPr>
        <w:t xml:space="preserve">The terms of the lease </w:t>
      </w:r>
      <w:r w:rsidR="00B02E66">
        <w:rPr>
          <w:rFonts w:ascii="Georgia" w:hAnsi="Georgia"/>
        </w:rPr>
        <w:t>relevant</w:t>
      </w:r>
      <w:r w:rsidR="00C62E58">
        <w:rPr>
          <w:rFonts w:ascii="Georgia" w:hAnsi="Georgia"/>
        </w:rPr>
        <w:t xml:space="preserve"> to this Application are as follows.</w:t>
      </w:r>
    </w:p>
    <w:p w14:paraId="1A01BA42" w14:textId="3C1408A6" w:rsidR="000639A5" w:rsidRDefault="00625B45" w:rsidP="00B02E66">
      <w:pPr>
        <w:pStyle w:val="ListParagraph"/>
        <w:numPr>
          <w:ilvl w:val="0"/>
          <w:numId w:val="2"/>
        </w:numPr>
        <w:jc w:val="both"/>
        <w:rPr>
          <w:rFonts w:ascii="Georgia" w:hAnsi="Georgia"/>
        </w:rPr>
      </w:pPr>
      <w:r w:rsidRPr="00B02E66">
        <w:rPr>
          <w:rFonts w:ascii="Georgia" w:hAnsi="Georgia"/>
        </w:rPr>
        <w:t xml:space="preserve"> </w:t>
      </w:r>
      <w:r w:rsidR="00A2018C">
        <w:rPr>
          <w:rFonts w:ascii="Georgia" w:hAnsi="Georgia"/>
        </w:rPr>
        <w:t xml:space="preserve">The Applicant as Lessee under the Lease covenants to pay the </w:t>
      </w:r>
      <w:r w:rsidR="00AE2E43">
        <w:rPr>
          <w:rFonts w:ascii="Georgia" w:hAnsi="Georgia"/>
        </w:rPr>
        <w:t>S</w:t>
      </w:r>
      <w:r w:rsidR="00A2018C">
        <w:rPr>
          <w:rFonts w:ascii="Georgia" w:hAnsi="Georgia"/>
        </w:rPr>
        <w:t xml:space="preserve">ervice </w:t>
      </w:r>
      <w:r w:rsidR="00AE2E43">
        <w:rPr>
          <w:rFonts w:ascii="Georgia" w:hAnsi="Georgia"/>
        </w:rPr>
        <w:t>C</w:t>
      </w:r>
      <w:r w:rsidR="00A2018C">
        <w:rPr>
          <w:rFonts w:ascii="Georgia" w:hAnsi="Georgia"/>
        </w:rPr>
        <w:t xml:space="preserve">harge and the </w:t>
      </w:r>
      <w:r w:rsidR="00AE2E43">
        <w:rPr>
          <w:rFonts w:ascii="Georgia" w:hAnsi="Georgia"/>
        </w:rPr>
        <w:t>I</w:t>
      </w:r>
      <w:r w:rsidR="00A2018C">
        <w:rPr>
          <w:rFonts w:ascii="Georgia" w:hAnsi="Georgia"/>
        </w:rPr>
        <w:t xml:space="preserve">nterim </w:t>
      </w:r>
      <w:r w:rsidR="00AE2E43">
        <w:rPr>
          <w:rFonts w:ascii="Georgia" w:hAnsi="Georgia"/>
        </w:rPr>
        <w:t>S</w:t>
      </w:r>
      <w:r w:rsidR="00A2018C">
        <w:rPr>
          <w:rFonts w:ascii="Georgia" w:hAnsi="Georgia"/>
        </w:rPr>
        <w:t xml:space="preserve">ervice </w:t>
      </w:r>
      <w:r w:rsidR="00AE2E43">
        <w:rPr>
          <w:rFonts w:ascii="Georgia" w:hAnsi="Georgia"/>
        </w:rPr>
        <w:t>C</w:t>
      </w:r>
      <w:r w:rsidR="00A2018C">
        <w:rPr>
          <w:rFonts w:ascii="Georgia" w:hAnsi="Georgia"/>
        </w:rPr>
        <w:t>harge</w:t>
      </w:r>
      <w:r w:rsidR="00C7725F">
        <w:rPr>
          <w:rFonts w:ascii="Georgia" w:hAnsi="Georgia"/>
        </w:rPr>
        <w:t xml:space="preserve"> in accordance with the service charge provisions set out in the Sixth Schedule to the Lease (clause </w:t>
      </w:r>
      <w:r w:rsidR="00B37158">
        <w:rPr>
          <w:rFonts w:ascii="Georgia" w:hAnsi="Georgia"/>
        </w:rPr>
        <w:t>4(ii)</w:t>
      </w:r>
      <w:r w:rsidR="00B76D0C">
        <w:rPr>
          <w:rFonts w:ascii="Georgia" w:hAnsi="Georgia"/>
        </w:rPr>
        <w:t>)</w:t>
      </w:r>
      <w:r w:rsidR="00B37158">
        <w:rPr>
          <w:rFonts w:ascii="Georgia" w:hAnsi="Georgia"/>
        </w:rPr>
        <w:t>.</w:t>
      </w:r>
    </w:p>
    <w:p w14:paraId="40B3C1EC" w14:textId="7F3C4C3E" w:rsidR="005C09CF" w:rsidRDefault="00254D47" w:rsidP="00B02E66">
      <w:pPr>
        <w:pStyle w:val="ListParagraph"/>
        <w:numPr>
          <w:ilvl w:val="0"/>
          <w:numId w:val="2"/>
        </w:numPr>
        <w:jc w:val="both"/>
        <w:rPr>
          <w:rFonts w:ascii="Georgia" w:hAnsi="Georgia"/>
        </w:rPr>
      </w:pPr>
      <w:r>
        <w:rPr>
          <w:rFonts w:ascii="Georgia" w:hAnsi="Georgia"/>
        </w:rPr>
        <w:t xml:space="preserve">Among the Lessors covenants </w:t>
      </w:r>
      <w:r w:rsidR="005E492A">
        <w:rPr>
          <w:rFonts w:ascii="Georgia" w:hAnsi="Georgia"/>
        </w:rPr>
        <w:t>is one to maintain repair decorate</w:t>
      </w:r>
      <w:r w:rsidR="00024FAF">
        <w:rPr>
          <w:rFonts w:ascii="Georgia" w:hAnsi="Georgia"/>
        </w:rPr>
        <w:t xml:space="preserve"> and renew the main entrances passages landings and staircases of the building</w:t>
      </w:r>
      <w:r w:rsidR="002319A3">
        <w:rPr>
          <w:rFonts w:ascii="Georgia" w:hAnsi="Georgia"/>
        </w:rPr>
        <w:t xml:space="preserve"> so enjoyed or used by the lessee in common (clause 5(d)(</w:t>
      </w:r>
      <w:r w:rsidR="00BD4724">
        <w:rPr>
          <w:rFonts w:ascii="Georgia" w:hAnsi="Georgia"/>
        </w:rPr>
        <w:t>iv); and one to keep clean and reasonably lighted the passages</w:t>
      </w:r>
      <w:r w:rsidR="0095676A">
        <w:rPr>
          <w:rFonts w:ascii="Georgia" w:hAnsi="Georgia"/>
        </w:rPr>
        <w:t xml:space="preserve"> landings and staircases and other parts of the building enjoyed or used in common</w:t>
      </w:r>
      <w:r w:rsidR="000E02AE">
        <w:rPr>
          <w:rFonts w:ascii="Georgia" w:hAnsi="Georgia"/>
        </w:rPr>
        <w:t xml:space="preserve"> (clause 5(e).</w:t>
      </w:r>
    </w:p>
    <w:p w14:paraId="1087029F" w14:textId="4F9DD5BD" w:rsidR="000E02AE" w:rsidRDefault="007415A4" w:rsidP="00B02E66">
      <w:pPr>
        <w:pStyle w:val="ListParagraph"/>
        <w:numPr>
          <w:ilvl w:val="0"/>
          <w:numId w:val="2"/>
        </w:numPr>
        <w:jc w:val="both"/>
        <w:rPr>
          <w:rFonts w:ascii="Georgia" w:hAnsi="Georgia"/>
        </w:rPr>
      </w:pPr>
      <w:r>
        <w:rPr>
          <w:rFonts w:ascii="Georgia" w:hAnsi="Georgia"/>
        </w:rPr>
        <w:t>The Fifth Schedule to the lease sets out the costs and expenses</w:t>
      </w:r>
      <w:r w:rsidR="003F15EB">
        <w:rPr>
          <w:rFonts w:ascii="Georgia" w:hAnsi="Georgia"/>
        </w:rPr>
        <w:t xml:space="preserve"> and matters in respect of which the Lessee is to contribute a one third part. </w:t>
      </w:r>
      <w:r w:rsidR="00B03B42">
        <w:rPr>
          <w:rFonts w:ascii="Georgia" w:hAnsi="Georgia"/>
        </w:rPr>
        <w:t>There are 11 such clauses</w:t>
      </w:r>
      <w:r w:rsidR="00C1586F">
        <w:rPr>
          <w:rFonts w:ascii="Georgia" w:hAnsi="Georgia"/>
        </w:rPr>
        <w:t xml:space="preserve"> and include matters such as repair, decorating the exterior of the Building, </w:t>
      </w:r>
      <w:r w:rsidR="00DA609B">
        <w:rPr>
          <w:rFonts w:ascii="Georgia" w:hAnsi="Georgia"/>
        </w:rPr>
        <w:t xml:space="preserve">and other matters that do not impact this determination. </w:t>
      </w:r>
      <w:r w:rsidR="003868E9">
        <w:rPr>
          <w:rFonts w:ascii="Georgia" w:hAnsi="Georgia"/>
        </w:rPr>
        <w:t xml:space="preserve">Those that do so are set out in </w:t>
      </w:r>
      <w:r w:rsidR="00395FB4">
        <w:rPr>
          <w:rFonts w:ascii="Georgia" w:hAnsi="Georgia"/>
        </w:rPr>
        <w:t>paragraph</w:t>
      </w:r>
      <w:r w:rsidR="00424FCB">
        <w:rPr>
          <w:rFonts w:ascii="Georgia" w:hAnsi="Georgia"/>
        </w:rPr>
        <w:t>s</w:t>
      </w:r>
      <w:r w:rsidR="00395FB4">
        <w:rPr>
          <w:rFonts w:ascii="Georgia" w:hAnsi="Georgia"/>
        </w:rPr>
        <w:t xml:space="preserve"> 8 </w:t>
      </w:r>
      <w:r w:rsidR="00424FCB">
        <w:rPr>
          <w:rFonts w:ascii="Georgia" w:hAnsi="Georgia"/>
        </w:rPr>
        <w:t xml:space="preserve">and 9 </w:t>
      </w:r>
      <w:r w:rsidR="00395FB4">
        <w:rPr>
          <w:rFonts w:ascii="Georgia" w:hAnsi="Georgia"/>
        </w:rPr>
        <w:t>below</w:t>
      </w:r>
      <w:r w:rsidR="003868E9">
        <w:rPr>
          <w:rFonts w:ascii="Georgia" w:hAnsi="Georgia"/>
        </w:rPr>
        <w:t>.</w:t>
      </w:r>
    </w:p>
    <w:p w14:paraId="300ED5F0" w14:textId="289D377D" w:rsidR="00293796" w:rsidRDefault="002F4D76" w:rsidP="00B02E66">
      <w:pPr>
        <w:pStyle w:val="ListParagraph"/>
        <w:numPr>
          <w:ilvl w:val="0"/>
          <w:numId w:val="2"/>
        </w:numPr>
        <w:jc w:val="both"/>
        <w:rPr>
          <w:rFonts w:ascii="Georgia" w:hAnsi="Georgia"/>
        </w:rPr>
      </w:pPr>
      <w:r>
        <w:rPr>
          <w:rFonts w:ascii="Georgia" w:hAnsi="Georgia"/>
        </w:rPr>
        <w:t xml:space="preserve">The Sixth Schedule </w:t>
      </w:r>
      <w:r w:rsidR="00241EF1">
        <w:rPr>
          <w:rFonts w:ascii="Georgia" w:hAnsi="Georgia"/>
        </w:rPr>
        <w:t xml:space="preserve">sets out the service charge provisions. </w:t>
      </w:r>
      <w:r w:rsidR="00293796">
        <w:rPr>
          <w:rFonts w:ascii="Georgia" w:hAnsi="Georgia"/>
        </w:rPr>
        <w:t>The details ar</w:t>
      </w:r>
      <w:r w:rsidR="00256799">
        <w:rPr>
          <w:rFonts w:ascii="Georgia" w:hAnsi="Georgia"/>
        </w:rPr>
        <w:t>e</w:t>
      </w:r>
      <w:r w:rsidR="00293796">
        <w:rPr>
          <w:rFonts w:ascii="Georgia" w:hAnsi="Georgia"/>
        </w:rPr>
        <w:t xml:space="preserve"> in </w:t>
      </w:r>
      <w:r w:rsidR="00395FB4">
        <w:rPr>
          <w:rFonts w:ascii="Georgia" w:hAnsi="Georgia"/>
        </w:rPr>
        <w:t>paragraph</w:t>
      </w:r>
      <w:r w:rsidR="00C22B43">
        <w:rPr>
          <w:rFonts w:ascii="Georgia" w:hAnsi="Georgia"/>
        </w:rPr>
        <w:t>s</w:t>
      </w:r>
      <w:r w:rsidR="00293796">
        <w:rPr>
          <w:rFonts w:ascii="Georgia" w:hAnsi="Georgia"/>
        </w:rPr>
        <w:t xml:space="preserve"> </w:t>
      </w:r>
      <w:r w:rsidR="00424FCB">
        <w:rPr>
          <w:rFonts w:ascii="Georgia" w:hAnsi="Georgia"/>
        </w:rPr>
        <w:t>10</w:t>
      </w:r>
      <w:r w:rsidR="00395FB4">
        <w:rPr>
          <w:rFonts w:ascii="Georgia" w:hAnsi="Georgia"/>
        </w:rPr>
        <w:t xml:space="preserve"> </w:t>
      </w:r>
      <w:r w:rsidR="00C22B43">
        <w:rPr>
          <w:rFonts w:ascii="Georgia" w:hAnsi="Georgia"/>
        </w:rPr>
        <w:t>and 1</w:t>
      </w:r>
      <w:r w:rsidR="00424FCB">
        <w:rPr>
          <w:rFonts w:ascii="Georgia" w:hAnsi="Georgia"/>
        </w:rPr>
        <w:t>1</w:t>
      </w:r>
      <w:r w:rsidR="00C22B43">
        <w:rPr>
          <w:rFonts w:ascii="Georgia" w:hAnsi="Georgia"/>
        </w:rPr>
        <w:t xml:space="preserve"> </w:t>
      </w:r>
      <w:r w:rsidR="00293796">
        <w:rPr>
          <w:rFonts w:ascii="Georgia" w:hAnsi="Georgia"/>
        </w:rPr>
        <w:t>below.</w:t>
      </w:r>
    </w:p>
    <w:p w14:paraId="51A26BA6" w14:textId="77777777" w:rsidR="00293796" w:rsidRPr="00293796" w:rsidRDefault="00293796" w:rsidP="00293796">
      <w:pPr>
        <w:jc w:val="both"/>
        <w:rPr>
          <w:rFonts w:ascii="Georgia" w:hAnsi="Georgia"/>
        </w:rPr>
      </w:pPr>
    </w:p>
    <w:p w14:paraId="017B88C8" w14:textId="1D091B0D" w:rsidR="00293796" w:rsidRDefault="002520B7" w:rsidP="00293796">
      <w:pPr>
        <w:jc w:val="both"/>
        <w:rPr>
          <w:rFonts w:ascii="Georgia" w:hAnsi="Georgia"/>
        </w:rPr>
      </w:pPr>
      <w:r>
        <w:rPr>
          <w:rFonts w:ascii="Georgia" w:hAnsi="Georgia"/>
        </w:rPr>
        <w:t xml:space="preserve">8. </w:t>
      </w:r>
      <w:r w:rsidR="00611F68">
        <w:rPr>
          <w:rFonts w:ascii="Georgia" w:hAnsi="Georgia"/>
        </w:rPr>
        <w:t xml:space="preserve">The </w:t>
      </w:r>
      <w:r w:rsidR="000937B5">
        <w:rPr>
          <w:rFonts w:ascii="Georgia" w:hAnsi="Georgia"/>
        </w:rPr>
        <w:t>cost</w:t>
      </w:r>
      <w:r w:rsidR="00EB3FF4">
        <w:rPr>
          <w:rFonts w:ascii="Georgia" w:hAnsi="Georgia"/>
        </w:rPr>
        <w:t>s</w:t>
      </w:r>
      <w:r w:rsidR="000937B5">
        <w:rPr>
          <w:rFonts w:ascii="Georgia" w:hAnsi="Georgia"/>
        </w:rPr>
        <w:t xml:space="preserve"> and expenses </w:t>
      </w:r>
      <w:r w:rsidR="003B6123">
        <w:rPr>
          <w:rFonts w:ascii="Georgia" w:hAnsi="Georgia"/>
        </w:rPr>
        <w:t xml:space="preserve">are </w:t>
      </w:r>
      <w:r w:rsidR="00440EBB">
        <w:rPr>
          <w:rFonts w:ascii="Georgia" w:hAnsi="Georgia"/>
        </w:rPr>
        <w:t>set out under the Fifth Schedule in respect of</w:t>
      </w:r>
      <w:r w:rsidR="000937B5">
        <w:rPr>
          <w:rFonts w:ascii="Georgia" w:hAnsi="Georgia"/>
        </w:rPr>
        <w:t xml:space="preserve"> which the Applicant as Lessee of the Property is to contribute</w:t>
      </w:r>
      <w:r w:rsidR="00EB3FF4">
        <w:rPr>
          <w:rFonts w:ascii="Georgia" w:hAnsi="Georgia"/>
        </w:rPr>
        <w:t xml:space="preserve"> a one third part</w:t>
      </w:r>
      <w:r w:rsidR="00EC11C9">
        <w:rPr>
          <w:rFonts w:ascii="Georgia" w:hAnsi="Georgia"/>
        </w:rPr>
        <w:t xml:space="preserve"> </w:t>
      </w:r>
      <w:r w:rsidR="003B6123">
        <w:rPr>
          <w:rFonts w:ascii="Georgia" w:hAnsi="Georgia"/>
        </w:rPr>
        <w:t>– but there is an express saving:</w:t>
      </w:r>
    </w:p>
    <w:p w14:paraId="6EEBF8A1" w14:textId="77777777" w:rsidR="00CE2C11" w:rsidRPr="00CE2C11" w:rsidRDefault="003B6123" w:rsidP="00293796">
      <w:pPr>
        <w:jc w:val="both"/>
        <w:rPr>
          <w:rFonts w:ascii="Georgia" w:hAnsi="Georgia"/>
          <w:sz w:val="22"/>
          <w:szCs w:val="22"/>
        </w:rPr>
      </w:pPr>
      <w:r>
        <w:rPr>
          <w:rFonts w:ascii="Georgia" w:hAnsi="Georgia"/>
        </w:rPr>
        <w:tab/>
      </w:r>
      <w:r w:rsidR="00DA6483">
        <w:rPr>
          <w:rFonts w:ascii="Georgia" w:hAnsi="Georgia"/>
        </w:rPr>
        <w:t>‘</w:t>
      </w:r>
      <w:r w:rsidR="00DA6483" w:rsidRPr="00CE2C11">
        <w:rPr>
          <w:rFonts w:ascii="Georgia" w:hAnsi="Georgia"/>
          <w:sz w:val="22"/>
          <w:szCs w:val="22"/>
        </w:rPr>
        <w:t xml:space="preserve">save that no contribution shall be paid in respect of the expenses referred to in </w:t>
      </w:r>
    </w:p>
    <w:p w14:paraId="47CF23CD" w14:textId="2B942F6B" w:rsidR="003B6123" w:rsidRDefault="00DA6483" w:rsidP="00CE2C11">
      <w:pPr>
        <w:ind w:firstLine="720"/>
        <w:jc w:val="both"/>
        <w:rPr>
          <w:rFonts w:ascii="Georgia" w:hAnsi="Georgia"/>
        </w:rPr>
      </w:pPr>
      <w:r w:rsidRPr="00CE2C11">
        <w:rPr>
          <w:rFonts w:ascii="Georgia" w:hAnsi="Georgia"/>
          <w:sz w:val="22"/>
          <w:szCs w:val="22"/>
        </w:rPr>
        <w:t>clause 1(iv) and clause 2</w:t>
      </w:r>
      <w:r w:rsidR="00CE2C11">
        <w:rPr>
          <w:rFonts w:ascii="Georgia" w:hAnsi="Georgia"/>
        </w:rPr>
        <w:t xml:space="preserve">. </w:t>
      </w:r>
    </w:p>
    <w:p w14:paraId="713B74B6" w14:textId="77777777" w:rsidR="0088737B" w:rsidRDefault="0088737B" w:rsidP="0088737B">
      <w:pPr>
        <w:jc w:val="both"/>
        <w:rPr>
          <w:rFonts w:ascii="Georgia" w:hAnsi="Georgia"/>
        </w:rPr>
      </w:pPr>
      <w:r>
        <w:rPr>
          <w:rFonts w:ascii="Georgia" w:hAnsi="Georgia"/>
        </w:rPr>
        <w:t xml:space="preserve">Clause 1 (iv) reads: </w:t>
      </w:r>
    </w:p>
    <w:p w14:paraId="10F95DA9" w14:textId="4805FBBA" w:rsidR="0088737B" w:rsidRPr="00424FCB" w:rsidRDefault="0088737B" w:rsidP="0088737B">
      <w:pPr>
        <w:ind w:firstLine="720"/>
        <w:jc w:val="both"/>
        <w:rPr>
          <w:rFonts w:ascii="Georgia" w:hAnsi="Georgia"/>
          <w:sz w:val="22"/>
          <w:szCs w:val="22"/>
        </w:rPr>
      </w:pPr>
      <w:r w:rsidRPr="00424FCB">
        <w:rPr>
          <w:rFonts w:ascii="Georgia" w:hAnsi="Georgia"/>
          <w:sz w:val="22"/>
          <w:szCs w:val="22"/>
        </w:rPr>
        <w:t>The expense o</w:t>
      </w:r>
      <w:r w:rsidR="004A2912">
        <w:rPr>
          <w:rFonts w:ascii="Georgia" w:hAnsi="Georgia"/>
          <w:sz w:val="22"/>
          <w:szCs w:val="22"/>
        </w:rPr>
        <w:t>f</w:t>
      </w:r>
      <w:r w:rsidRPr="00424FCB">
        <w:rPr>
          <w:rFonts w:ascii="Georgia" w:hAnsi="Georgia"/>
          <w:sz w:val="22"/>
          <w:szCs w:val="22"/>
        </w:rPr>
        <w:t xml:space="preserve"> maintaining repairing redecorating and renewing:</w:t>
      </w:r>
    </w:p>
    <w:p w14:paraId="498AD377" w14:textId="77777777" w:rsidR="0088737B" w:rsidRDefault="0088737B" w:rsidP="0088737B">
      <w:pPr>
        <w:ind w:left="1440"/>
        <w:jc w:val="both"/>
        <w:rPr>
          <w:rFonts w:ascii="Georgia" w:hAnsi="Georgia"/>
        </w:rPr>
      </w:pPr>
      <w:r w:rsidRPr="00C1208E">
        <w:rPr>
          <w:rFonts w:ascii="Georgia" w:hAnsi="Georgia"/>
          <w:sz w:val="22"/>
          <w:szCs w:val="22"/>
        </w:rPr>
        <w:t>(iv) the main entrances passages landings an</w:t>
      </w:r>
      <w:r>
        <w:rPr>
          <w:rFonts w:ascii="Georgia" w:hAnsi="Georgia"/>
          <w:sz w:val="22"/>
          <w:szCs w:val="22"/>
        </w:rPr>
        <w:t>d</w:t>
      </w:r>
      <w:r w:rsidRPr="00C1208E">
        <w:rPr>
          <w:rFonts w:ascii="Georgia" w:hAnsi="Georgia"/>
          <w:sz w:val="22"/>
          <w:szCs w:val="22"/>
        </w:rPr>
        <w:t xml:space="preserve"> staircases of the property so enjoyed and used by the less</w:t>
      </w:r>
      <w:r>
        <w:rPr>
          <w:rFonts w:ascii="Georgia" w:hAnsi="Georgia"/>
          <w:sz w:val="22"/>
          <w:szCs w:val="22"/>
        </w:rPr>
        <w:t>ee</w:t>
      </w:r>
      <w:r w:rsidRPr="00C1208E">
        <w:rPr>
          <w:rFonts w:ascii="Georgia" w:hAnsi="Georgia"/>
          <w:sz w:val="22"/>
          <w:szCs w:val="22"/>
        </w:rPr>
        <w:t xml:space="preserve"> in common</w:t>
      </w:r>
      <w:r>
        <w:rPr>
          <w:rFonts w:ascii="Georgia" w:hAnsi="Georgia"/>
        </w:rPr>
        <w:t xml:space="preserve"> </w:t>
      </w:r>
    </w:p>
    <w:p w14:paraId="6DDF6979" w14:textId="77777777" w:rsidR="0088737B" w:rsidRDefault="0088737B" w:rsidP="0088737B">
      <w:pPr>
        <w:jc w:val="both"/>
        <w:rPr>
          <w:rFonts w:ascii="Georgia" w:hAnsi="Georgia"/>
        </w:rPr>
      </w:pPr>
      <w:r>
        <w:rPr>
          <w:rFonts w:ascii="Georgia" w:hAnsi="Georgia"/>
        </w:rPr>
        <w:t>Clause 2 provides:</w:t>
      </w:r>
    </w:p>
    <w:p w14:paraId="2EDE40B8" w14:textId="77777777" w:rsidR="0088737B" w:rsidRDefault="0088737B" w:rsidP="0088737B">
      <w:pPr>
        <w:ind w:left="720"/>
        <w:jc w:val="both"/>
        <w:rPr>
          <w:rFonts w:ascii="Georgia" w:hAnsi="Georgia"/>
        </w:rPr>
      </w:pPr>
      <w:r w:rsidRPr="00424FCB">
        <w:rPr>
          <w:rFonts w:ascii="Georgia" w:hAnsi="Georgia"/>
          <w:sz w:val="22"/>
          <w:szCs w:val="22"/>
        </w:rPr>
        <w:t>The cost of cleaning and lighting the passages landing staircases and other parts of the Building so enjoyed or used by the lessee in common</w:t>
      </w:r>
      <w:r>
        <w:rPr>
          <w:rFonts w:ascii="Georgia" w:hAnsi="Georgia"/>
        </w:rPr>
        <w:t>.</w:t>
      </w:r>
    </w:p>
    <w:p w14:paraId="1F658CC4" w14:textId="77777777" w:rsidR="0088737B" w:rsidRDefault="0088737B" w:rsidP="0088737B">
      <w:pPr>
        <w:jc w:val="both"/>
        <w:rPr>
          <w:rFonts w:ascii="Georgia" w:hAnsi="Georgia"/>
        </w:rPr>
      </w:pPr>
    </w:p>
    <w:p w14:paraId="2359DD31" w14:textId="72A0B5BD" w:rsidR="00424FCB" w:rsidRDefault="00600844" w:rsidP="00293796">
      <w:pPr>
        <w:jc w:val="both"/>
        <w:rPr>
          <w:rFonts w:ascii="Georgia" w:hAnsi="Georgia"/>
        </w:rPr>
      </w:pPr>
      <w:r>
        <w:rPr>
          <w:rFonts w:ascii="Georgia" w:hAnsi="Georgia"/>
        </w:rPr>
        <w:t xml:space="preserve">9. </w:t>
      </w:r>
      <w:r w:rsidR="003F0FBD">
        <w:rPr>
          <w:rFonts w:ascii="Georgia" w:hAnsi="Georgia"/>
        </w:rPr>
        <w:t>The remainer of the items</w:t>
      </w:r>
      <w:r w:rsidR="001A75A9">
        <w:rPr>
          <w:rFonts w:ascii="Georgia" w:hAnsi="Georgia"/>
        </w:rPr>
        <w:t xml:space="preserve"> listed in the Fifth Schedule are matters to which the Applicant must pay one third of the total cost. Of </w:t>
      </w:r>
      <w:r w:rsidR="006475BE">
        <w:rPr>
          <w:rFonts w:ascii="Georgia" w:hAnsi="Georgia"/>
        </w:rPr>
        <w:t>those listed, the following are relevant to this determination:</w:t>
      </w:r>
    </w:p>
    <w:p w14:paraId="6FC3CFF0" w14:textId="722CB17E" w:rsidR="00921C41" w:rsidRPr="0069415F" w:rsidRDefault="0010647C" w:rsidP="0069415F">
      <w:pPr>
        <w:pStyle w:val="ListParagraph"/>
        <w:jc w:val="both"/>
        <w:rPr>
          <w:rFonts w:ascii="Georgia" w:hAnsi="Georgia"/>
        </w:rPr>
      </w:pPr>
      <w:r>
        <w:rPr>
          <w:rFonts w:ascii="Georgia" w:hAnsi="Georgia"/>
          <w:sz w:val="22"/>
          <w:szCs w:val="22"/>
        </w:rPr>
        <w:t xml:space="preserve">1. </w:t>
      </w:r>
      <w:r w:rsidRPr="00BE6646">
        <w:rPr>
          <w:rFonts w:ascii="Georgia" w:hAnsi="Georgia"/>
          <w:sz w:val="22"/>
          <w:szCs w:val="22"/>
        </w:rPr>
        <w:t>The expenses of maintaining and repairing redecorating and renewing: . . .</w:t>
      </w:r>
      <w:r>
        <w:rPr>
          <w:rFonts w:ascii="Georgia" w:hAnsi="Georgia"/>
          <w:sz w:val="22"/>
          <w:szCs w:val="22"/>
        </w:rPr>
        <w:t xml:space="preserve"> .</w:t>
      </w:r>
      <w:r w:rsidR="0069415F">
        <w:rPr>
          <w:rFonts w:ascii="Georgia" w:hAnsi="Georgia"/>
          <w:sz w:val="22"/>
          <w:szCs w:val="22"/>
        </w:rPr>
        <w:t xml:space="preserve"> . .</w:t>
      </w:r>
      <w:r w:rsidRPr="00BE6646">
        <w:rPr>
          <w:rFonts w:ascii="Georgia" w:hAnsi="Georgia"/>
          <w:sz w:val="22"/>
          <w:szCs w:val="22"/>
        </w:rPr>
        <w:t xml:space="preserve"> . . </w:t>
      </w:r>
      <w:r w:rsidR="0069415F">
        <w:rPr>
          <w:rFonts w:ascii="Georgia" w:hAnsi="Georgia"/>
          <w:sz w:val="22"/>
          <w:szCs w:val="22"/>
        </w:rPr>
        <w:t xml:space="preserve">. </w:t>
      </w:r>
      <w:r w:rsidRPr="00BE6646">
        <w:rPr>
          <w:rFonts w:ascii="Georgia" w:hAnsi="Georgia"/>
          <w:sz w:val="22"/>
          <w:szCs w:val="22"/>
        </w:rPr>
        <w:t>(iii) the gas water pipes drains electric cables and wires used in common by any two or more flats in the property</w:t>
      </w:r>
      <w:r>
        <w:rPr>
          <w:rFonts w:ascii="Georgia" w:hAnsi="Georgia"/>
        </w:rPr>
        <w:t>.</w:t>
      </w:r>
    </w:p>
    <w:p w14:paraId="4B7F5ECB" w14:textId="123754FB" w:rsidR="006475BE" w:rsidRDefault="00CE2DA4" w:rsidP="00CE2DA4">
      <w:pPr>
        <w:ind w:left="720"/>
        <w:jc w:val="both"/>
        <w:rPr>
          <w:rFonts w:ascii="Georgia" w:hAnsi="Georgia"/>
          <w:sz w:val="22"/>
          <w:szCs w:val="22"/>
        </w:rPr>
      </w:pPr>
      <w:r>
        <w:rPr>
          <w:rFonts w:ascii="Georgia" w:hAnsi="Georgia"/>
          <w:sz w:val="22"/>
          <w:szCs w:val="22"/>
        </w:rPr>
        <w:lastRenderedPageBreak/>
        <w:t>7. All other expenses (if any) incurred by the Lessor in and about the maintenance and proper running of the Building</w:t>
      </w:r>
      <w:r w:rsidR="00016BDB">
        <w:rPr>
          <w:rFonts w:ascii="Georgia" w:hAnsi="Georgia"/>
          <w:sz w:val="22"/>
          <w:szCs w:val="22"/>
        </w:rPr>
        <w:t>.</w:t>
      </w:r>
    </w:p>
    <w:p w14:paraId="54EAA50D" w14:textId="044A70BC" w:rsidR="00016BDB" w:rsidRDefault="00016BDB" w:rsidP="00CE2DA4">
      <w:pPr>
        <w:ind w:left="720"/>
        <w:jc w:val="both"/>
        <w:rPr>
          <w:rFonts w:ascii="Georgia" w:hAnsi="Georgia"/>
          <w:sz w:val="22"/>
          <w:szCs w:val="22"/>
        </w:rPr>
      </w:pPr>
      <w:r>
        <w:rPr>
          <w:rFonts w:ascii="Georgia" w:hAnsi="Georgia"/>
          <w:sz w:val="22"/>
          <w:szCs w:val="22"/>
        </w:rPr>
        <w:t>8. The reasonable fees and disbursements properly charged by</w:t>
      </w:r>
      <w:r w:rsidR="000942C5">
        <w:rPr>
          <w:rFonts w:ascii="Georgia" w:hAnsi="Georgia"/>
          <w:sz w:val="22"/>
          <w:szCs w:val="22"/>
        </w:rPr>
        <w:t xml:space="preserve"> any managing agents employed by the Lessor in respect of the Building</w:t>
      </w:r>
      <w:r w:rsidR="00A3510A">
        <w:rPr>
          <w:rFonts w:ascii="Georgia" w:hAnsi="Georgia"/>
          <w:sz w:val="22"/>
          <w:szCs w:val="22"/>
        </w:rPr>
        <w:t>. . .</w:t>
      </w:r>
    </w:p>
    <w:p w14:paraId="6FFCD10B" w14:textId="3BD9896B" w:rsidR="00A3510A" w:rsidRPr="006475BE" w:rsidRDefault="00A3510A" w:rsidP="00CE2DA4">
      <w:pPr>
        <w:ind w:left="720"/>
        <w:jc w:val="both"/>
        <w:rPr>
          <w:rFonts w:ascii="Georgia" w:hAnsi="Georgia"/>
          <w:sz w:val="22"/>
          <w:szCs w:val="22"/>
        </w:rPr>
      </w:pPr>
      <w:r>
        <w:rPr>
          <w:rFonts w:ascii="Georgia" w:hAnsi="Georgia"/>
          <w:sz w:val="22"/>
          <w:szCs w:val="22"/>
        </w:rPr>
        <w:t>11. Any other expenses which the Lessor may reasonably incur in respect of the management of the Building</w:t>
      </w:r>
      <w:r w:rsidR="001D145C">
        <w:rPr>
          <w:rFonts w:ascii="Georgia" w:hAnsi="Georgia"/>
          <w:sz w:val="22"/>
          <w:szCs w:val="22"/>
        </w:rPr>
        <w:t>.</w:t>
      </w:r>
    </w:p>
    <w:p w14:paraId="4E8FE07E" w14:textId="77777777" w:rsidR="00424FCB" w:rsidRDefault="00424FCB" w:rsidP="00293796">
      <w:pPr>
        <w:jc w:val="both"/>
        <w:rPr>
          <w:rFonts w:ascii="Georgia" w:hAnsi="Georgia"/>
        </w:rPr>
      </w:pPr>
    </w:p>
    <w:p w14:paraId="5FF682F5" w14:textId="375BF82C" w:rsidR="008C523D" w:rsidRDefault="00424FCB" w:rsidP="00293796">
      <w:pPr>
        <w:jc w:val="both"/>
        <w:rPr>
          <w:rFonts w:ascii="Georgia" w:hAnsi="Georgia"/>
        </w:rPr>
      </w:pPr>
      <w:r>
        <w:rPr>
          <w:rFonts w:ascii="Georgia" w:hAnsi="Georgia"/>
        </w:rPr>
        <w:t>10</w:t>
      </w:r>
      <w:r w:rsidR="006B6499">
        <w:rPr>
          <w:rFonts w:ascii="Georgia" w:hAnsi="Georgia"/>
        </w:rPr>
        <w:t xml:space="preserve">. </w:t>
      </w:r>
      <w:r w:rsidR="00600844">
        <w:rPr>
          <w:rFonts w:ascii="Georgia" w:hAnsi="Georgia"/>
        </w:rPr>
        <w:t xml:space="preserve">The Sixth Schedule to the Lease, </w:t>
      </w:r>
      <w:r w:rsidR="00C75374">
        <w:rPr>
          <w:rFonts w:ascii="Georgia" w:hAnsi="Georgia"/>
        </w:rPr>
        <w:t>clause</w:t>
      </w:r>
      <w:r w:rsidR="00600844">
        <w:rPr>
          <w:rFonts w:ascii="Georgia" w:hAnsi="Georgia"/>
        </w:rPr>
        <w:t xml:space="preserve"> 1, </w:t>
      </w:r>
      <w:r w:rsidR="00241EF1">
        <w:rPr>
          <w:rFonts w:ascii="Georgia" w:hAnsi="Georgia"/>
        </w:rPr>
        <w:t xml:space="preserve">provides for an accounting year ending on the 31 March in each year. </w:t>
      </w:r>
      <w:r w:rsidR="00600844">
        <w:rPr>
          <w:rFonts w:ascii="Georgia" w:hAnsi="Georgia"/>
        </w:rPr>
        <w:t xml:space="preserve">By virtue of </w:t>
      </w:r>
      <w:r w:rsidR="00C75374">
        <w:rPr>
          <w:rFonts w:ascii="Georgia" w:hAnsi="Georgia"/>
        </w:rPr>
        <w:t>clause</w:t>
      </w:r>
      <w:r w:rsidR="00600844" w:rsidRPr="00293796">
        <w:rPr>
          <w:rFonts w:ascii="Georgia" w:hAnsi="Georgia"/>
        </w:rPr>
        <w:t xml:space="preserve"> 2</w:t>
      </w:r>
      <w:r w:rsidR="00600844">
        <w:rPr>
          <w:rFonts w:ascii="Georgia" w:hAnsi="Georgia"/>
        </w:rPr>
        <w:t>, E</w:t>
      </w:r>
      <w:r w:rsidR="00007547" w:rsidRPr="00293796">
        <w:rPr>
          <w:rFonts w:ascii="Georgia" w:hAnsi="Georgia"/>
        </w:rPr>
        <w:t xml:space="preserve">xpenses are defined as the cost to the Lessor </w:t>
      </w:r>
      <w:r w:rsidR="002D72C6" w:rsidRPr="00293796">
        <w:rPr>
          <w:rFonts w:ascii="Georgia" w:hAnsi="Georgia"/>
        </w:rPr>
        <w:t xml:space="preserve">of the items set out in the Fifth Schedule. </w:t>
      </w:r>
      <w:r w:rsidR="003368BA" w:rsidRPr="00293796">
        <w:rPr>
          <w:rFonts w:ascii="Georgia" w:hAnsi="Georgia"/>
        </w:rPr>
        <w:t xml:space="preserve"> </w:t>
      </w:r>
      <w:r w:rsidR="002D72C6" w:rsidRPr="00293796">
        <w:rPr>
          <w:rFonts w:ascii="Georgia" w:hAnsi="Georgia"/>
        </w:rPr>
        <w:t>The</w:t>
      </w:r>
      <w:r w:rsidR="00735ED3" w:rsidRPr="00293796">
        <w:rPr>
          <w:rFonts w:ascii="Georgia" w:hAnsi="Georgia"/>
        </w:rPr>
        <w:t xml:space="preserve"> </w:t>
      </w:r>
      <w:r w:rsidR="00105DA3">
        <w:rPr>
          <w:rFonts w:ascii="Georgia" w:hAnsi="Georgia"/>
        </w:rPr>
        <w:t>S</w:t>
      </w:r>
      <w:r w:rsidR="003368BA" w:rsidRPr="00293796">
        <w:rPr>
          <w:rFonts w:ascii="Georgia" w:hAnsi="Georgia"/>
        </w:rPr>
        <w:t xml:space="preserve">ervice </w:t>
      </w:r>
      <w:r w:rsidR="00105DA3">
        <w:rPr>
          <w:rFonts w:ascii="Georgia" w:hAnsi="Georgia"/>
        </w:rPr>
        <w:t>C</w:t>
      </w:r>
      <w:r w:rsidR="003368BA" w:rsidRPr="00293796">
        <w:rPr>
          <w:rFonts w:ascii="Georgia" w:hAnsi="Georgia"/>
        </w:rPr>
        <w:t xml:space="preserve">harge percentage </w:t>
      </w:r>
      <w:r w:rsidR="000E6429">
        <w:rPr>
          <w:rFonts w:ascii="Georgia" w:hAnsi="Georgia"/>
        </w:rPr>
        <w:t xml:space="preserve">under </w:t>
      </w:r>
      <w:r w:rsidR="000E6429" w:rsidRPr="00293796">
        <w:rPr>
          <w:rFonts w:ascii="Georgia" w:hAnsi="Georgia"/>
        </w:rPr>
        <w:t>paragraph 3</w:t>
      </w:r>
      <w:r w:rsidR="000E6429">
        <w:rPr>
          <w:rFonts w:ascii="Georgia" w:hAnsi="Georgia"/>
        </w:rPr>
        <w:t xml:space="preserve"> </w:t>
      </w:r>
      <w:r w:rsidR="003368BA" w:rsidRPr="00293796">
        <w:rPr>
          <w:rFonts w:ascii="Georgia" w:hAnsi="Georgia"/>
        </w:rPr>
        <w:t>in respect of the Property</w:t>
      </w:r>
      <w:r w:rsidR="002E722F" w:rsidRPr="00293796">
        <w:rPr>
          <w:rFonts w:ascii="Georgia" w:hAnsi="Georgia"/>
        </w:rPr>
        <w:t xml:space="preserve"> </w:t>
      </w:r>
      <w:r w:rsidR="002D72C6" w:rsidRPr="00293796">
        <w:rPr>
          <w:rFonts w:ascii="Georgia" w:hAnsi="Georgia"/>
        </w:rPr>
        <w:t>is</w:t>
      </w:r>
      <w:r w:rsidR="002E722F" w:rsidRPr="00293796">
        <w:rPr>
          <w:rFonts w:ascii="Georgia" w:hAnsi="Georgia"/>
        </w:rPr>
        <w:t xml:space="preserve"> one third of the Expenses. </w:t>
      </w:r>
      <w:r w:rsidR="008C523D">
        <w:rPr>
          <w:rFonts w:ascii="Georgia" w:hAnsi="Georgia"/>
        </w:rPr>
        <w:t xml:space="preserve">Interim </w:t>
      </w:r>
      <w:r w:rsidR="00105DA3">
        <w:rPr>
          <w:rFonts w:ascii="Georgia" w:hAnsi="Georgia"/>
        </w:rPr>
        <w:t>P</w:t>
      </w:r>
      <w:r w:rsidR="008C523D">
        <w:rPr>
          <w:rFonts w:ascii="Georgia" w:hAnsi="Georgia"/>
        </w:rPr>
        <w:t xml:space="preserve">ayment is defined </w:t>
      </w:r>
      <w:r w:rsidR="00977D27">
        <w:rPr>
          <w:rFonts w:ascii="Georgia" w:hAnsi="Georgia"/>
        </w:rPr>
        <w:t xml:space="preserve">by </w:t>
      </w:r>
      <w:r w:rsidR="00DD48EF">
        <w:rPr>
          <w:rFonts w:ascii="Georgia" w:hAnsi="Georgia"/>
        </w:rPr>
        <w:t>clause</w:t>
      </w:r>
      <w:r w:rsidR="00C22B43">
        <w:rPr>
          <w:rFonts w:ascii="Georgia" w:hAnsi="Georgia"/>
        </w:rPr>
        <w:t xml:space="preserve"> 4 </w:t>
      </w:r>
      <w:r w:rsidR="00DB57A0">
        <w:rPr>
          <w:rFonts w:ascii="Georgia" w:hAnsi="Georgia"/>
        </w:rPr>
        <w:t xml:space="preserve">of the Sixth </w:t>
      </w:r>
      <w:r w:rsidR="005E7288">
        <w:rPr>
          <w:rFonts w:ascii="Georgia" w:hAnsi="Georgia"/>
        </w:rPr>
        <w:t xml:space="preserve">Schedule </w:t>
      </w:r>
      <w:r w:rsidR="008C523D">
        <w:rPr>
          <w:rFonts w:ascii="Georgia" w:hAnsi="Georgia"/>
        </w:rPr>
        <w:t>as such amount as in the opinion of the Lessor’s surveyor</w:t>
      </w:r>
      <w:r w:rsidR="00C73A04">
        <w:rPr>
          <w:rFonts w:ascii="Georgia" w:hAnsi="Georgia"/>
        </w:rPr>
        <w:t xml:space="preserve"> fairly represents one-fifth of the estimated Expenses for the current </w:t>
      </w:r>
      <w:r w:rsidR="00105DA3">
        <w:rPr>
          <w:rFonts w:ascii="Georgia" w:hAnsi="Georgia"/>
        </w:rPr>
        <w:t>accounting</w:t>
      </w:r>
      <w:r w:rsidR="00C73A04">
        <w:rPr>
          <w:rFonts w:ascii="Georgia" w:hAnsi="Georgia"/>
        </w:rPr>
        <w:t xml:space="preserve"> year.</w:t>
      </w:r>
      <w:r w:rsidR="00AE73EB">
        <w:rPr>
          <w:rFonts w:ascii="Georgia" w:hAnsi="Georgia"/>
        </w:rPr>
        <w:t xml:space="preserve"> </w:t>
      </w:r>
    </w:p>
    <w:p w14:paraId="2C0ED267" w14:textId="77777777" w:rsidR="008C523D" w:rsidRDefault="008C523D" w:rsidP="00293796">
      <w:pPr>
        <w:jc w:val="both"/>
        <w:rPr>
          <w:rFonts w:ascii="Georgia" w:hAnsi="Georgia"/>
        </w:rPr>
      </w:pPr>
    </w:p>
    <w:p w14:paraId="38BD28F2" w14:textId="33A766B7" w:rsidR="003868E9" w:rsidRDefault="00F220E7" w:rsidP="00293796">
      <w:pPr>
        <w:jc w:val="both"/>
        <w:rPr>
          <w:rFonts w:ascii="Georgia" w:hAnsi="Georgia"/>
        </w:rPr>
      </w:pPr>
      <w:r>
        <w:rPr>
          <w:rFonts w:ascii="Georgia" w:hAnsi="Georgia"/>
        </w:rPr>
        <w:t>1</w:t>
      </w:r>
      <w:r w:rsidR="006B6499">
        <w:rPr>
          <w:rFonts w:ascii="Georgia" w:hAnsi="Georgia"/>
        </w:rPr>
        <w:t>1</w:t>
      </w:r>
      <w:r>
        <w:rPr>
          <w:rFonts w:ascii="Georgia" w:hAnsi="Georgia"/>
        </w:rPr>
        <w:t xml:space="preserve">. </w:t>
      </w:r>
      <w:r w:rsidR="002D56F9">
        <w:rPr>
          <w:rFonts w:ascii="Georgia" w:hAnsi="Georgia"/>
        </w:rPr>
        <w:t>The Sixth Schedule then sets out</w:t>
      </w:r>
      <w:r w:rsidR="002F370E">
        <w:rPr>
          <w:rFonts w:ascii="Georgia" w:hAnsi="Georgia"/>
        </w:rPr>
        <w:t>, in paragraph (1)</w:t>
      </w:r>
      <w:r w:rsidR="00695355">
        <w:rPr>
          <w:rFonts w:ascii="Georgia" w:hAnsi="Georgia"/>
        </w:rPr>
        <w:t xml:space="preserve"> </w:t>
      </w:r>
      <w:r w:rsidR="005E7288">
        <w:rPr>
          <w:rFonts w:ascii="Georgia" w:hAnsi="Georgia"/>
        </w:rPr>
        <w:t>(the bracketed paragraphs follow the clause numbered 1-4)</w:t>
      </w:r>
      <w:r w:rsidR="00391259">
        <w:rPr>
          <w:rFonts w:ascii="Georgia" w:hAnsi="Georgia"/>
        </w:rPr>
        <w:t xml:space="preserve"> </w:t>
      </w:r>
      <w:r w:rsidR="00695355">
        <w:rPr>
          <w:rFonts w:ascii="Georgia" w:hAnsi="Georgia"/>
        </w:rPr>
        <w:t>that the amount of the Expenses are to be determined by reference to the accounting year</w:t>
      </w:r>
      <w:r w:rsidR="002F370E">
        <w:rPr>
          <w:rFonts w:ascii="Georgia" w:hAnsi="Georgia"/>
        </w:rPr>
        <w:t>. There is to be notification</w:t>
      </w:r>
      <w:r w:rsidR="00F63D10">
        <w:rPr>
          <w:rFonts w:ascii="Georgia" w:hAnsi="Georgia"/>
        </w:rPr>
        <w:t xml:space="preserve"> in advance of</w:t>
      </w:r>
      <w:r w:rsidR="00391259">
        <w:rPr>
          <w:rFonts w:ascii="Georgia" w:hAnsi="Georgia"/>
        </w:rPr>
        <w:t>,</w:t>
      </w:r>
      <w:r w:rsidR="00F63D10">
        <w:rPr>
          <w:rFonts w:ascii="Georgia" w:hAnsi="Georgia"/>
        </w:rPr>
        <w:t xml:space="preserve"> or early in</w:t>
      </w:r>
      <w:r w:rsidR="00391259">
        <w:rPr>
          <w:rFonts w:ascii="Georgia" w:hAnsi="Georgia"/>
        </w:rPr>
        <w:t>,</w:t>
      </w:r>
      <w:r w:rsidR="00F63D10">
        <w:rPr>
          <w:rFonts w:ascii="Georgia" w:hAnsi="Georgia"/>
        </w:rPr>
        <w:t xml:space="preserve"> each accounting year of the Interim Service C</w:t>
      </w:r>
      <w:r>
        <w:rPr>
          <w:rFonts w:ascii="Georgia" w:hAnsi="Georgia"/>
        </w:rPr>
        <w:t xml:space="preserve">harge </w:t>
      </w:r>
      <w:r w:rsidR="00AB68C8">
        <w:rPr>
          <w:rFonts w:ascii="Georgia" w:hAnsi="Georgia"/>
        </w:rPr>
        <w:t xml:space="preserve">and the Applicant as Lessee is then to pay that </w:t>
      </w:r>
      <w:r>
        <w:rPr>
          <w:rFonts w:ascii="Georgia" w:hAnsi="Georgia"/>
        </w:rPr>
        <w:t>I</w:t>
      </w:r>
      <w:r w:rsidR="00AB68C8">
        <w:rPr>
          <w:rFonts w:ascii="Georgia" w:hAnsi="Georgia"/>
        </w:rPr>
        <w:t xml:space="preserve">nterim </w:t>
      </w:r>
      <w:r>
        <w:rPr>
          <w:rFonts w:ascii="Georgia" w:hAnsi="Georgia"/>
        </w:rPr>
        <w:t>S</w:t>
      </w:r>
      <w:r w:rsidR="00AB68C8">
        <w:rPr>
          <w:rFonts w:ascii="Georgia" w:hAnsi="Georgia"/>
        </w:rPr>
        <w:t xml:space="preserve">ervice </w:t>
      </w:r>
      <w:r>
        <w:rPr>
          <w:rFonts w:ascii="Georgia" w:hAnsi="Georgia"/>
        </w:rPr>
        <w:t>C</w:t>
      </w:r>
      <w:r w:rsidR="00AB68C8">
        <w:rPr>
          <w:rFonts w:ascii="Georgia" w:hAnsi="Georgia"/>
        </w:rPr>
        <w:t xml:space="preserve">harge by </w:t>
      </w:r>
      <w:r>
        <w:rPr>
          <w:rFonts w:ascii="Georgia" w:hAnsi="Georgia"/>
        </w:rPr>
        <w:t xml:space="preserve">quarterly payments (paragraphs (2) and (4). </w:t>
      </w:r>
      <w:r w:rsidR="00693D07" w:rsidRPr="00293796">
        <w:rPr>
          <w:rFonts w:ascii="Georgia" w:hAnsi="Georgia"/>
        </w:rPr>
        <w:t xml:space="preserve">Finally, it is provided </w:t>
      </w:r>
      <w:r>
        <w:rPr>
          <w:rFonts w:ascii="Georgia" w:hAnsi="Georgia"/>
        </w:rPr>
        <w:t>in paragraph</w:t>
      </w:r>
      <w:r w:rsidR="008D0A6C">
        <w:rPr>
          <w:rFonts w:ascii="Georgia" w:hAnsi="Georgia"/>
        </w:rPr>
        <w:t xml:space="preserve"> 5 </w:t>
      </w:r>
      <w:r w:rsidR="00693D07" w:rsidRPr="00293796">
        <w:rPr>
          <w:rFonts w:ascii="Georgia" w:hAnsi="Georgia"/>
        </w:rPr>
        <w:t xml:space="preserve">that there should be </w:t>
      </w:r>
      <w:r w:rsidR="00D079F9" w:rsidRPr="00293796">
        <w:rPr>
          <w:rFonts w:ascii="Georgia" w:hAnsi="Georgia"/>
        </w:rPr>
        <w:t xml:space="preserve">a service charge account </w:t>
      </w:r>
      <w:r w:rsidR="006A10AE" w:rsidRPr="00293796">
        <w:rPr>
          <w:rFonts w:ascii="Georgia" w:hAnsi="Georgia"/>
        </w:rPr>
        <w:t xml:space="preserve">furnished showing the </w:t>
      </w:r>
      <w:r w:rsidR="008D0A6C">
        <w:rPr>
          <w:rFonts w:ascii="Georgia" w:hAnsi="Georgia"/>
        </w:rPr>
        <w:t>S</w:t>
      </w:r>
      <w:r w:rsidR="006A10AE" w:rsidRPr="00293796">
        <w:rPr>
          <w:rFonts w:ascii="Georgia" w:hAnsi="Georgia"/>
        </w:rPr>
        <w:t xml:space="preserve">ervice </w:t>
      </w:r>
      <w:r w:rsidR="008D0A6C">
        <w:rPr>
          <w:rFonts w:ascii="Georgia" w:hAnsi="Georgia"/>
        </w:rPr>
        <w:t>C</w:t>
      </w:r>
      <w:r w:rsidR="006A10AE" w:rsidRPr="00293796">
        <w:rPr>
          <w:rFonts w:ascii="Georgia" w:hAnsi="Georgia"/>
        </w:rPr>
        <w:t>harge payable in any accounting year</w:t>
      </w:r>
      <w:r w:rsidR="008328DC">
        <w:rPr>
          <w:rFonts w:ascii="Georgia" w:hAnsi="Georgia"/>
        </w:rPr>
        <w:t xml:space="preserve"> and</w:t>
      </w:r>
      <w:r w:rsidR="00A232EF">
        <w:rPr>
          <w:rFonts w:ascii="Georgia" w:hAnsi="Georgia"/>
        </w:rPr>
        <w:t>:</w:t>
      </w:r>
    </w:p>
    <w:p w14:paraId="671C5A89" w14:textId="3F6C269F" w:rsidR="00A232EF" w:rsidRPr="002D6DEC" w:rsidRDefault="00A232EF" w:rsidP="002D6DEC">
      <w:pPr>
        <w:ind w:left="720"/>
        <w:jc w:val="both"/>
        <w:rPr>
          <w:rFonts w:ascii="Georgia" w:hAnsi="Georgia"/>
          <w:sz w:val="22"/>
          <w:szCs w:val="22"/>
        </w:rPr>
      </w:pPr>
      <w:r w:rsidRPr="002D6DEC">
        <w:rPr>
          <w:rFonts w:ascii="Georgia" w:hAnsi="Georgia"/>
          <w:sz w:val="22"/>
          <w:szCs w:val="22"/>
        </w:rPr>
        <w:t xml:space="preserve">“if in any </w:t>
      </w:r>
      <w:r w:rsidR="009F0C05" w:rsidRPr="002D6DEC">
        <w:rPr>
          <w:rFonts w:ascii="Georgia" w:hAnsi="Georgia"/>
          <w:sz w:val="22"/>
          <w:szCs w:val="22"/>
        </w:rPr>
        <w:t>A</w:t>
      </w:r>
      <w:r w:rsidRPr="002D6DEC">
        <w:rPr>
          <w:rFonts w:ascii="Georgia" w:hAnsi="Georgia"/>
          <w:sz w:val="22"/>
          <w:szCs w:val="22"/>
        </w:rPr>
        <w:t xml:space="preserve">ccounting </w:t>
      </w:r>
      <w:r w:rsidR="009F0C05" w:rsidRPr="002D6DEC">
        <w:rPr>
          <w:rFonts w:ascii="Georgia" w:hAnsi="Georgia"/>
          <w:sz w:val="22"/>
          <w:szCs w:val="22"/>
        </w:rPr>
        <w:t>Y</w:t>
      </w:r>
      <w:r w:rsidRPr="002D6DEC">
        <w:rPr>
          <w:rFonts w:ascii="Georgia" w:hAnsi="Georgia"/>
          <w:sz w:val="22"/>
          <w:szCs w:val="22"/>
        </w:rPr>
        <w:t xml:space="preserve">ear the amount of the Service Charge is found to be less than the Interim Service Charge paid by the Lessee </w:t>
      </w:r>
      <w:r w:rsidR="00D73901" w:rsidRPr="002D6DEC">
        <w:rPr>
          <w:rFonts w:ascii="Georgia" w:hAnsi="Georgia"/>
          <w:sz w:val="22"/>
          <w:szCs w:val="22"/>
        </w:rPr>
        <w:t xml:space="preserve">in respect of that Accounting Year </w:t>
      </w:r>
      <w:r w:rsidR="009F0C05" w:rsidRPr="002D6DEC">
        <w:rPr>
          <w:rFonts w:ascii="Georgia" w:hAnsi="Georgia"/>
          <w:sz w:val="22"/>
          <w:szCs w:val="22"/>
        </w:rPr>
        <w:t>the excess shall be refunded by the Lessor to the Lessee or (at the option of the Lessor)</w:t>
      </w:r>
      <w:r w:rsidR="00FD565D" w:rsidRPr="002D6DEC">
        <w:rPr>
          <w:rFonts w:ascii="Georgia" w:hAnsi="Georgia"/>
          <w:sz w:val="22"/>
          <w:szCs w:val="22"/>
        </w:rPr>
        <w:t xml:space="preserve"> credited against the Interim Service Charge for the following Accounting Year</w:t>
      </w:r>
      <w:r w:rsidR="00CA3AEA" w:rsidRPr="002D6DEC">
        <w:rPr>
          <w:rFonts w:ascii="Georgia" w:hAnsi="Georgia"/>
          <w:sz w:val="22"/>
          <w:szCs w:val="22"/>
        </w:rPr>
        <w:t xml:space="preserve"> </w:t>
      </w:r>
      <w:r w:rsidR="0096280E" w:rsidRPr="002D6DEC">
        <w:rPr>
          <w:rFonts w:ascii="Georgia" w:hAnsi="Georgia"/>
          <w:sz w:val="22"/>
          <w:szCs w:val="22"/>
        </w:rPr>
        <w:t xml:space="preserve">and if the amount of the </w:t>
      </w:r>
      <w:r w:rsidR="003D3AEA" w:rsidRPr="002D6DEC">
        <w:rPr>
          <w:rFonts w:ascii="Georgia" w:hAnsi="Georgia"/>
          <w:sz w:val="22"/>
          <w:szCs w:val="22"/>
        </w:rPr>
        <w:t>Service Charge is found to be greater tha</w:t>
      </w:r>
      <w:r w:rsidR="00D73901" w:rsidRPr="002D6DEC">
        <w:rPr>
          <w:rFonts w:ascii="Georgia" w:hAnsi="Georgia"/>
          <w:sz w:val="22"/>
          <w:szCs w:val="22"/>
        </w:rPr>
        <w:t>n</w:t>
      </w:r>
      <w:r w:rsidR="003D3AEA" w:rsidRPr="002D6DEC">
        <w:rPr>
          <w:rFonts w:ascii="Georgia" w:hAnsi="Georgia"/>
          <w:sz w:val="22"/>
          <w:szCs w:val="22"/>
        </w:rPr>
        <w:t xml:space="preserve"> the sum of the </w:t>
      </w:r>
      <w:r w:rsidR="00CA3AEA" w:rsidRPr="002D6DEC">
        <w:rPr>
          <w:rFonts w:ascii="Georgia" w:hAnsi="Georgia"/>
          <w:sz w:val="22"/>
          <w:szCs w:val="22"/>
        </w:rPr>
        <w:t>I</w:t>
      </w:r>
      <w:r w:rsidR="003D3AEA" w:rsidRPr="002D6DEC">
        <w:rPr>
          <w:rFonts w:ascii="Georgia" w:hAnsi="Georgia"/>
          <w:sz w:val="22"/>
          <w:szCs w:val="22"/>
        </w:rPr>
        <w:t xml:space="preserve">nterim </w:t>
      </w:r>
      <w:r w:rsidR="00CA3AEA" w:rsidRPr="002D6DEC">
        <w:rPr>
          <w:rFonts w:ascii="Georgia" w:hAnsi="Georgia"/>
          <w:sz w:val="22"/>
          <w:szCs w:val="22"/>
        </w:rPr>
        <w:t>S</w:t>
      </w:r>
      <w:r w:rsidR="003D3AEA" w:rsidRPr="002D6DEC">
        <w:rPr>
          <w:rFonts w:ascii="Georgia" w:hAnsi="Georgia"/>
          <w:sz w:val="22"/>
          <w:szCs w:val="22"/>
        </w:rPr>
        <w:t xml:space="preserve">ervice </w:t>
      </w:r>
      <w:r w:rsidR="00CA3AEA" w:rsidRPr="002D6DEC">
        <w:rPr>
          <w:rFonts w:ascii="Georgia" w:hAnsi="Georgia"/>
          <w:sz w:val="22"/>
          <w:szCs w:val="22"/>
        </w:rPr>
        <w:t>C</w:t>
      </w:r>
      <w:r w:rsidR="003D3AEA" w:rsidRPr="002D6DEC">
        <w:rPr>
          <w:rFonts w:ascii="Georgia" w:hAnsi="Georgia"/>
          <w:sz w:val="22"/>
          <w:szCs w:val="22"/>
        </w:rPr>
        <w:t>harge</w:t>
      </w:r>
      <w:r w:rsidR="00CA3AEA" w:rsidRPr="002D6DEC">
        <w:rPr>
          <w:rFonts w:ascii="Georgia" w:hAnsi="Georgia"/>
          <w:sz w:val="22"/>
          <w:szCs w:val="22"/>
        </w:rPr>
        <w:t xml:space="preserve"> paid by the Lessee </w:t>
      </w:r>
      <w:r w:rsidR="00D73901" w:rsidRPr="002D6DEC">
        <w:rPr>
          <w:rFonts w:ascii="Georgia" w:hAnsi="Georgia"/>
          <w:sz w:val="22"/>
          <w:szCs w:val="22"/>
        </w:rPr>
        <w:t>in respect of that Accounting Year</w:t>
      </w:r>
      <w:r w:rsidR="0085715A" w:rsidRPr="002D6DEC">
        <w:rPr>
          <w:rFonts w:ascii="Georgia" w:hAnsi="Georgia"/>
          <w:sz w:val="22"/>
          <w:szCs w:val="22"/>
        </w:rPr>
        <w:t xml:space="preserve"> the Lessee shall pay </w:t>
      </w:r>
      <w:r w:rsidR="002520B7" w:rsidRPr="002D6DEC">
        <w:rPr>
          <w:rFonts w:ascii="Georgia" w:hAnsi="Georgia"/>
          <w:sz w:val="22"/>
          <w:szCs w:val="22"/>
        </w:rPr>
        <w:t>the</w:t>
      </w:r>
      <w:r w:rsidR="0085715A" w:rsidRPr="002D6DEC">
        <w:rPr>
          <w:rFonts w:ascii="Georgia" w:hAnsi="Georgia"/>
          <w:sz w:val="22"/>
          <w:szCs w:val="22"/>
        </w:rPr>
        <w:t xml:space="preserve"> balance due in respect of that Accounting Year</w:t>
      </w:r>
      <w:r w:rsidR="000B6E65" w:rsidRPr="002D6DEC">
        <w:rPr>
          <w:rFonts w:ascii="Georgia" w:hAnsi="Georgia"/>
          <w:sz w:val="22"/>
          <w:szCs w:val="22"/>
        </w:rPr>
        <w:t xml:space="preserve"> on the next quarter day following notification of the account</w:t>
      </w:r>
      <w:r w:rsidR="002D6DEC" w:rsidRPr="002D6DEC">
        <w:rPr>
          <w:rFonts w:ascii="Georgia" w:hAnsi="Georgia"/>
          <w:sz w:val="22"/>
          <w:szCs w:val="22"/>
        </w:rPr>
        <w:t xml:space="preserve"> of the Expenses and Service Charge’</w:t>
      </w:r>
    </w:p>
    <w:p w14:paraId="45C44F8D" w14:textId="77777777" w:rsidR="002D6DEC" w:rsidRDefault="002D6DEC" w:rsidP="00293796">
      <w:pPr>
        <w:jc w:val="both"/>
        <w:rPr>
          <w:rFonts w:ascii="Georgia" w:hAnsi="Georgia"/>
        </w:rPr>
      </w:pPr>
    </w:p>
    <w:p w14:paraId="0AE9A371" w14:textId="56BB5959" w:rsidR="00FF727C" w:rsidRDefault="00E90E6E" w:rsidP="00293796">
      <w:pPr>
        <w:jc w:val="both"/>
        <w:rPr>
          <w:rFonts w:ascii="Georgia" w:hAnsi="Georgia"/>
        </w:rPr>
      </w:pPr>
      <w:r>
        <w:rPr>
          <w:rFonts w:ascii="Georgia" w:hAnsi="Georgia"/>
        </w:rPr>
        <w:t xml:space="preserve">12. </w:t>
      </w:r>
      <w:r w:rsidR="006D5FA6">
        <w:rPr>
          <w:rFonts w:ascii="Georgia" w:hAnsi="Georgia"/>
        </w:rPr>
        <w:t>Looking at the</w:t>
      </w:r>
      <w:r w:rsidR="00A36102">
        <w:rPr>
          <w:rFonts w:ascii="Georgia" w:hAnsi="Georgia"/>
        </w:rPr>
        <w:t xml:space="preserve">se provisions of the Lease as a whole, it appears that </w:t>
      </w:r>
      <w:r w:rsidR="0028316F">
        <w:rPr>
          <w:rFonts w:ascii="Georgia" w:hAnsi="Georgia"/>
        </w:rPr>
        <w:t xml:space="preserve">the </w:t>
      </w:r>
      <w:r w:rsidR="00A6100F">
        <w:rPr>
          <w:rFonts w:ascii="Georgia" w:hAnsi="Georgia"/>
        </w:rPr>
        <w:t>service</w:t>
      </w:r>
      <w:r w:rsidR="0028316F">
        <w:rPr>
          <w:rFonts w:ascii="Georgia" w:hAnsi="Georgia"/>
        </w:rPr>
        <w:t xml:space="preserve"> charge is divided into two components, even though the Lease does not specifically so provide for any named division. </w:t>
      </w:r>
      <w:r w:rsidR="003A1843">
        <w:rPr>
          <w:rFonts w:ascii="Georgia" w:hAnsi="Georgia"/>
        </w:rPr>
        <w:t>The parties have termed the two separate elements as the ‘external charge</w:t>
      </w:r>
      <w:r w:rsidR="0063431C">
        <w:rPr>
          <w:rFonts w:ascii="Georgia" w:hAnsi="Georgia"/>
        </w:rPr>
        <w:t>’</w:t>
      </w:r>
      <w:r w:rsidR="003A1843">
        <w:rPr>
          <w:rFonts w:ascii="Georgia" w:hAnsi="Georgia"/>
        </w:rPr>
        <w:t xml:space="preserve">, for all </w:t>
      </w:r>
      <w:r w:rsidR="00F44F17">
        <w:rPr>
          <w:rFonts w:ascii="Georgia" w:hAnsi="Georgia"/>
        </w:rPr>
        <w:t xml:space="preserve">matters except those included in </w:t>
      </w:r>
      <w:r w:rsidR="0063431C">
        <w:rPr>
          <w:rFonts w:ascii="Georgia" w:hAnsi="Georgia"/>
        </w:rPr>
        <w:t xml:space="preserve">clauses 1(iv) and 2 </w:t>
      </w:r>
      <w:r w:rsidR="00F44F17">
        <w:rPr>
          <w:rFonts w:ascii="Georgia" w:hAnsi="Georgia"/>
        </w:rPr>
        <w:t xml:space="preserve">of the Fifth Schedule; and </w:t>
      </w:r>
      <w:r w:rsidR="0063431C">
        <w:rPr>
          <w:rFonts w:ascii="Georgia" w:hAnsi="Georgia"/>
        </w:rPr>
        <w:t>the ‘internal charge’ which covers expenses falling within clauses 1(iv) and 2</w:t>
      </w:r>
      <w:r w:rsidR="00E74358">
        <w:rPr>
          <w:rFonts w:ascii="Georgia" w:hAnsi="Georgia"/>
        </w:rPr>
        <w:t xml:space="preserve">. </w:t>
      </w:r>
      <w:r w:rsidR="00195880">
        <w:rPr>
          <w:rFonts w:ascii="Georgia" w:hAnsi="Georgia"/>
        </w:rPr>
        <w:t xml:space="preserve">The Tribunal prefers to refer </w:t>
      </w:r>
      <w:r w:rsidR="00532E28">
        <w:rPr>
          <w:rFonts w:ascii="Georgia" w:hAnsi="Georgia"/>
        </w:rPr>
        <w:t>hereafter</w:t>
      </w:r>
      <w:r w:rsidR="00E520DC">
        <w:rPr>
          <w:rFonts w:ascii="Georgia" w:hAnsi="Georgia"/>
        </w:rPr>
        <w:t xml:space="preserve"> </w:t>
      </w:r>
      <w:r w:rsidR="00195880">
        <w:rPr>
          <w:rFonts w:ascii="Georgia" w:hAnsi="Georgia"/>
        </w:rPr>
        <w:t>to them as the ‘general service charge</w:t>
      </w:r>
      <w:r w:rsidR="00A6100F">
        <w:rPr>
          <w:rFonts w:ascii="Georgia" w:hAnsi="Georgia"/>
        </w:rPr>
        <w:t>’</w:t>
      </w:r>
      <w:r w:rsidR="00FD234E">
        <w:rPr>
          <w:rFonts w:ascii="Georgia" w:hAnsi="Georgia"/>
        </w:rPr>
        <w:t xml:space="preserve"> and </w:t>
      </w:r>
      <w:r w:rsidR="00A6100F">
        <w:rPr>
          <w:rFonts w:ascii="Georgia" w:hAnsi="Georgia"/>
        </w:rPr>
        <w:t>‘</w:t>
      </w:r>
      <w:r w:rsidR="00FD234E">
        <w:rPr>
          <w:rFonts w:ascii="Georgia" w:hAnsi="Georgia"/>
        </w:rPr>
        <w:t>internal service charge</w:t>
      </w:r>
      <w:r w:rsidR="00A6100F">
        <w:rPr>
          <w:rFonts w:ascii="Georgia" w:hAnsi="Georgia"/>
        </w:rPr>
        <w:t>’</w:t>
      </w:r>
      <w:r w:rsidR="00FD234E">
        <w:rPr>
          <w:rFonts w:ascii="Georgia" w:hAnsi="Georgia"/>
        </w:rPr>
        <w:t xml:space="preserve">, since items other than those external to the building may be included in the general </w:t>
      </w:r>
      <w:r w:rsidR="00A6100F">
        <w:rPr>
          <w:rFonts w:ascii="Georgia" w:hAnsi="Georgia"/>
        </w:rPr>
        <w:t xml:space="preserve">service </w:t>
      </w:r>
      <w:r w:rsidR="00FD234E">
        <w:rPr>
          <w:rFonts w:ascii="Georgia" w:hAnsi="Georgia"/>
        </w:rPr>
        <w:t>charge</w:t>
      </w:r>
      <w:r w:rsidR="009621B7">
        <w:rPr>
          <w:rFonts w:ascii="Georgia" w:hAnsi="Georgia"/>
        </w:rPr>
        <w:t xml:space="preserve"> (such as repair to pipes drains cables and wires used in common by two or more flats in the </w:t>
      </w:r>
      <w:r w:rsidR="00A6100F">
        <w:rPr>
          <w:rFonts w:ascii="Georgia" w:hAnsi="Georgia"/>
        </w:rPr>
        <w:t>Building</w:t>
      </w:r>
      <w:r w:rsidR="00FF727C">
        <w:rPr>
          <w:rFonts w:ascii="Georgia" w:hAnsi="Georgia"/>
        </w:rPr>
        <w:t>)</w:t>
      </w:r>
      <w:r w:rsidR="00A6100F">
        <w:rPr>
          <w:rFonts w:ascii="Georgia" w:hAnsi="Georgia"/>
        </w:rPr>
        <w:t>.</w:t>
      </w:r>
    </w:p>
    <w:p w14:paraId="063A6769" w14:textId="77777777" w:rsidR="00FF727C" w:rsidRDefault="00FF727C" w:rsidP="00293796">
      <w:pPr>
        <w:jc w:val="both"/>
        <w:rPr>
          <w:rFonts w:ascii="Georgia" w:hAnsi="Georgia"/>
        </w:rPr>
      </w:pPr>
    </w:p>
    <w:p w14:paraId="2857EAE6" w14:textId="14DAD390" w:rsidR="002D6DEC" w:rsidRDefault="00CF364F" w:rsidP="00293796">
      <w:pPr>
        <w:jc w:val="both"/>
        <w:rPr>
          <w:rFonts w:ascii="Georgia" w:hAnsi="Georgia"/>
        </w:rPr>
      </w:pPr>
      <w:r>
        <w:rPr>
          <w:rFonts w:ascii="Georgia" w:hAnsi="Georgia"/>
        </w:rPr>
        <w:t xml:space="preserve">13. </w:t>
      </w:r>
      <w:r w:rsidR="00021499">
        <w:rPr>
          <w:rFonts w:ascii="Georgia" w:hAnsi="Georgia"/>
        </w:rPr>
        <w:t xml:space="preserve">The two maisonettes in the Building have leases where they contribute one third of the general service charge and the two flats contribute one sixth each. </w:t>
      </w:r>
      <w:r w:rsidR="00FF727C">
        <w:rPr>
          <w:rFonts w:ascii="Georgia" w:hAnsi="Georgia"/>
        </w:rPr>
        <w:t xml:space="preserve">Under the terms of her Lease, the Applicant contributes </w:t>
      </w:r>
      <w:r w:rsidR="006B5DC1">
        <w:rPr>
          <w:rFonts w:ascii="Georgia" w:hAnsi="Georgia"/>
        </w:rPr>
        <w:t xml:space="preserve">one third of the costs incurred but nothing towards </w:t>
      </w:r>
      <w:r w:rsidR="00B418F5">
        <w:rPr>
          <w:rFonts w:ascii="Georgia" w:hAnsi="Georgia"/>
        </w:rPr>
        <w:t>internal service charge. The internal charge is then payable by the other three leaseholders within the Building. The Tribunal was told that the ground and first floor maisonette contributes 50% and the second and top floor flats contribute 25% each</w:t>
      </w:r>
      <w:r w:rsidR="00E520DC">
        <w:rPr>
          <w:rFonts w:ascii="Georgia" w:hAnsi="Georgia"/>
        </w:rPr>
        <w:t xml:space="preserve"> to matters included within the internal service charge</w:t>
      </w:r>
      <w:r w:rsidR="00B34106">
        <w:rPr>
          <w:rFonts w:ascii="Georgia" w:hAnsi="Georgia"/>
        </w:rPr>
        <w:t xml:space="preserve"> to which the Applicant does not contribute</w:t>
      </w:r>
      <w:r w:rsidR="00B418F5">
        <w:rPr>
          <w:rFonts w:ascii="Georgia" w:hAnsi="Georgia"/>
        </w:rPr>
        <w:t>.</w:t>
      </w:r>
    </w:p>
    <w:p w14:paraId="4475CE42" w14:textId="77777777" w:rsidR="00B34106" w:rsidRDefault="00B34106" w:rsidP="00293796">
      <w:pPr>
        <w:jc w:val="both"/>
        <w:rPr>
          <w:rFonts w:ascii="Georgia" w:hAnsi="Georgia"/>
        </w:rPr>
      </w:pPr>
    </w:p>
    <w:p w14:paraId="6704EAE9" w14:textId="77777777" w:rsidR="001A0F8D" w:rsidRDefault="001A0F8D" w:rsidP="00293796">
      <w:pPr>
        <w:jc w:val="both"/>
        <w:rPr>
          <w:rFonts w:ascii="Georgia" w:hAnsi="Georgia"/>
        </w:rPr>
      </w:pPr>
    </w:p>
    <w:p w14:paraId="2D09CAE4" w14:textId="77777777" w:rsidR="001A0F8D" w:rsidRDefault="001A0F8D" w:rsidP="00293796">
      <w:pPr>
        <w:jc w:val="both"/>
        <w:rPr>
          <w:rFonts w:ascii="Georgia" w:hAnsi="Georgia"/>
        </w:rPr>
      </w:pPr>
    </w:p>
    <w:p w14:paraId="0F6292B9" w14:textId="00160A8A" w:rsidR="00B418F5" w:rsidRPr="00E73188" w:rsidRDefault="00E73188" w:rsidP="00293796">
      <w:pPr>
        <w:jc w:val="both"/>
        <w:rPr>
          <w:rFonts w:ascii="Georgia" w:hAnsi="Georgia"/>
          <w:b/>
          <w:bCs/>
        </w:rPr>
      </w:pPr>
      <w:r w:rsidRPr="00E73188">
        <w:rPr>
          <w:rFonts w:ascii="Georgia" w:hAnsi="Georgia"/>
          <w:b/>
          <w:bCs/>
        </w:rPr>
        <w:lastRenderedPageBreak/>
        <w:t>Relevant history and background</w:t>
      </w:r>
    </w:p>
    <w:p w14:paraId="36E74E85" w14:textId="345B76BF" w:rsidR="00E73188" w:rsidRDefault="000B6707" w:rsidP="00293796">
      <w:pPr>
        <w:jc w:val="both"/>
        <w:rPr>
          <w:rFonts w:ascii="Georgia" w:hAnsi="Georgia"/>
        </w:rPr>
      </w:pPr>
      <w:r>
        <w:rPr>
          <w:rFonts w:ascii="Georgia" w:hAnsi="Georgia"/>
        </w:rPr>
        <w:t xml:space="preserve">14. </w:t>
      </w:r>
      <w:r w:rsidR="009D3F43">
        <w:rPr>
          <w:rFonts w:ascii="Georgia" w:hAnsi="Georgia"/>
        </w:rPr>
        <w:t xml:space="preserve">The witness statement of </w:t>
      </w:r>
      <w:r w:rsidR="005B670D">
        <w:rPr>
          <w:rFonts w:ascii="Georgia" w:hAnsi="Georgia"/>
        </w:rPr>
        <w:t xml:space="preserve">Jennifer Faulkner provided the Tribunal with some historical background. When </w:t>
      </w:r>
      <w:r w:rsidR="000C53D0">
        <w:rPr>
          <w:rFonts w:ascii="Georgia" w:hAnsi="Georgia"/>
        </w:rPr>
        <w:t>M</w:t>
      </w:r>
      <w:r w:rsidR="005B670D">
        <w:rPr>
          <w:rFonts w:ascii="Georgia" w:hAnsi="Georgia"/>
        </w:rPr>
        <w:t>s Faul</w:t>
      </w:r>
      <w:r w:rsidR="001A0F8D">
        <w:rPr>
          <w:rFonts w:ascii="Georgia" w:hAnsi="Georgia"/>
        </w:rPr>
        <w:t>k</w:t>
      </w:r>
      <w:r w:rsidR="005B670D">
        <w:rPr>
          <w:rFonts w:ascii="Georgia" w:hAnsi="Georgia"/>
        </w:rPr>
        <w:t xml:space="preserve">ner </w:t>
      </w:r>
      <w:r w:rsidR="000C53D0">
        <w:rPr>
          <w:rFonts w:ascii="Georgia" w:hAnsi="Georgia"/>
        </w:rPr>
        <w:t xml:space="preserve">purchased her </w:t>
      </w:r>
      <w:r w:rsidR="00BB2748">
        <w:rPr>
          <w:rFonts w:ascii="Georgia" w:hAnsi="Georgia"/>
        </w:rPr>
        <w:t>flat</w:t>
      </w:r>
      <w:r w:rsidR="000C53D0">
        <w:rPr>
          <w:rFonts w:ascii="Georgia" w:hAnsi="Georgia"/>
        </w:rPr>
        <w:t xml:space="preserve"> in </w:t>
      </w:r>
      <w:r w:rsidR="002B059F">
        <w:rPr>
          <w:rFonts w:ascii="Georgia" w:hAnsi="Georgia"/>
        </w:rPr>
        <w:t xml:space="preserve">August 2013, the Respondent company </w:t>
      </w:r>
      <w:r w:rsidR="00DC71BB">
        <w:rPr>
          <w:rFonts w:ascii="Georgia" w:hAnsi="Georgia"/>
        </w:rPr>
        <w:t xml:space="preserve">was managed ‘in house’ by the </w:t>
      </w:r>
      <w:r w:rsidR="00CE01C7">
        <w:rPr>
          <w:rFonts w:ascii="Georgia" w:hAnsi="Georgia"/>
        </w:rPr>
        <w:t xml:space="preserve">leaseholders with a previous owner of the </w:t>
      </w:r>
      <w:r w:rsidR="00A82921">
        <w:rPr>
          <w:rFonts w:ascii="Georgia" w:hAnsi="Georgia"/>
        </w:rPr>
        <w:t>top floor flat, referred to a</w:t>
      </w:r>
      <w:r w:rsidR="002A100C">
        <w:rPr>
          <w:rFonts w:ascii="Georgia" w:hAnsi="Georgia"/>
        </w:rPr>
        <w:t>s</w:t>
      </w:r>
      <w:r w:rsidR="00A82921">
        <w:rPr>
          <w:rFonts w:ascii="Georgia" w:hAnsi="Georgia"/>
        </w:rPr>
        <w:t xml:space="preserve"> Paul, </w:t>
      </w:r>
      <w:r w:rsidR="00BB2748">
        <w:rPr>
          <w:rFonts w:ascii="Georgia" w:hAnsi="Georgia"/>
        </w:rPr>
        <w:t xml:space="preserve">who had a business background, attending to the necessary paperwork. </w:t>
      </w:r>
      <w:r w:rsidR="00151B43">
        <w:rPr>
          <w:rFonts w:ascii="Georgia" w:hAnsi="Georgia"/>
        </w:rPr>
        <w:t xml:space="preserve">When Paul sold </w:t>
      </w:r>
      <w:r w:rsidR="002503A8">
        <w:rPr>
          <w:rFonts w:ascii="Georgia" w:hAnsi="Georgia"/>
        </w:rPr>
        <w:t xml:space="preserve">the top floor flat to Harvey Packham, it was decided to engage </w:t>
      </w:r>
      <w:r w:rsidR="006B786F">
        <w:rPr>
          <w:rFonts w:ascii="Georgia" w:hAnsi="Georgia"/>
        </w:rPr>
        <w:t xml:space="preserve">a firm called Andrews </w:t>
      </w:r>
      <w:r w:rsidR="0056682A">
        <w:rPr>
          <w:rFonts w:ascii="Georgia" w:hAnsi="Georgia"/>
        </w:rPr>
        <w:t xml:space="preserve">Leasehold Management (“Andrews”) </w:t>
      </w:r>
      <w:r w:rsidR="006B786F">
        <w:rPr>
          <w:rFonts w:ascii="Georgia" w:hAnsi="Georgia"/>
        </w:rPr>
        <w:t>to manage the Building</w:t>
      </w:r>
      <w:r w:rsidR="002A100C">
        <w:rPr>
          <w:rFonts w:ascii="Georgia" w:hAnsi="Georgia"/>
        </w:rPr>
        <w:t>, and they commenced duties</w:t>
      </w:r>
      <w:r w:rsidR="00526119">
        <w:rPr>
          <w:rFonts w:ascii="Georgia" w:hAnsi="Georgia"/>
        </w:rPr>
        <w:t xml:space="preserve"> in January 2016</w:t>
      </w:r>
      <w:r w:rsidR="006B786F">
        <w:rPr>
          <w:rFonts w:ascii="Georgia" w:hAnsi="Georgia"/>
        </w:rPr>
        <w:t xml:space="preserve">. </w:t>
      </w:r>
      <w:r w:rsidR="008F5F6C">
        <w:rPr>
          <w:rFonts w:ascii="Georgia" w:hAnsi="Georgia"/>
        </w:rPr>
        <w:t>They did so, apparently very competently for a period</w:t>
      </w:r>
      <w:r w:rsidR="00834817">
        <w:rPr>
          <w:rFonts w:ascii="Georgia" w:hAnsi="Georgia"/>
        </w:rPr>
        <w:t>.</w:t>
      </w:r>
      <w:r w:rsidR="008F5F6C">
        <w:rPr>
          <w:rFonts w:ascii="Georgia" w:hAnsi="Georgia"/>
        </w:rPr>
        <w:t xml:space="preserve"> </w:t>
      </w:r>
      <w:r w:rsidR="00834817">
        <w:rPr>
          <w:rFonts w:ascii="Georgia" w:hAnsi="Georgia"/>
        </w:rPr>
        <w:t>However,</w:t>
      </w:r>
      <w:r w:rsidR="00106DF1">
        <w:rPr>
          <w:rFonts w:ascii="Georgia" w:hAnsi="Georgia"/>
        </w:rPr>
        <w:t xml:space="preserve"> the individual attending to the work of managing the Building left Andrews in </w:t>
      </w:r>
      <w:r w:rsidR="00044032">
        <w:rPr>
          <w:rFonts w:ascii="Georgia" w:hAnsi="Georgia"/>
        </w:rPr>
        <w:t>June 2017 and there was general dissatisfaction</w:t>
      </w:r>
      <w:r w:rsidR="00420C9D">
        <w:rPr>
          <w:rFonts w:ascii="Georgia" w:hAnsi="Georgia"/>
        </w:rPr>
        <w:t xml:space="preserve"> with the replacement agent who seemed very inexperienced. There were </w:t>
      </w:r>
      <w:r w:rsidR="00A12903">
        <w:rPr>
          <w:rFonts w:ascii="Georgia" w:hAnsi="Georgia"/>
        </w:rPr>
        <w:t xml:space="preserve">also </w:t>
      </w:r>
      <w:r w:rsidR="001B6C01">
        <w:rPr>
          <w:rFonts w:ascii="Georgia" w:hAnsi="Georgia"/>
        </w:rPr>
        <w:t xml:space="preserve">problems with the accounts. </w:t>
      </w:r>
      <w:r w:rsidR="003D607A">
        <w:rPr>
          <w:rFonts w:ascii="Georgia" w:hAnsi="Georgia"/>
        </w:rPr>
        <w:t xml:space="preserve">The leaseholders </w:t>
      </w:r>
      <w:r w:rsidR="00B7357F">
        <w:rPr>
          <w:rFonts w:ascii="Georgia" w:hAnsi="Georgia"/>
        </w:rPr>
        <w:t xml:space="preserve">eventually </w:t>
      </w:r>
      <w:r w:rsidR="003D607A">
        <w:rPr>
          <w:rFonts w:ascii="Georgia" w:hAnsi="Georgia"/>
        </w:rPr>
        <w:t>sought a replacement agent and after looking at several companies</w:t>
      </w:r>
      <w:r w:rsidR="00872FCA">
        <w:rPr>
          <w:rFonts w:ascii="Georgia" w:hAnsi="Georgia"/>
        </w:rPr>
        <w:t xml:space="preserve"> and asking for recommendations chose a firm called B</w:t>
      </w:r>
      <w:r w:rsidR="00CF052A">
        <w:rPr>
          <w:rFonts w:ascii="Georgia" w:hAnsi="Georgia"/>
        </w:rPr>
        <w:t xml:space="preserve">ath </w:t>
      </w:r>
      <w:r w:rsidR="00872FCA">
        <w:rPr>
          <w:rFonts w:ascii="Georgia" w:hAnsi="Georgia"/>
        </w:rPr>
        <w:t>L</w:t>
      </w:r>
      <w:r w:rsidR="006208E6">
        <w:rPr>
          <w:rFonts w:ascii="Georgia" w:hAnsi="Georgia"/>
        </w:rPr>
        <w:t xml:space="preserve">easehold </w:t>
      </w:r>
      <w:r w:rsidR="00872FCA">
        <w:rPr>
          <w:rFonts w:ascii="Georgia" w:hAnsi="Georgia"/>
        </w:rPr>
        <w:t>M</w:t>
      </w:r>
      <w:r w:rsidR="006208E6">
        <w:rPr>
          <w:rFonts w:ascii="Georgia" w:hAnsi="Georgia"/>
        </w:rPr>
        <w:t>anagement Ltd (“BLM”)</w:t>
      </w:r>
      <w:r w:rsidR="00872FCA">
        <w:rPr>
          <w:rFonts w:ascii="Georgia" w:hAnsi="Georgia"/>
        </w:rPr>
        <w:t xml:space="preserve">, recently established by a person who seemed very experienced. </w:t>
      </w:r>
      <w:r w:rsidR="003C6908">
        <w:rPr>
          <w:rFonts w:ascii="Georgia" w:hAnsi="Georgia"/>
        </w:rPr>
        <w:t xml:space="preserve">BLM took over on </w:t>
      </w:r>
      <w:r w:rsidR="002A583D">
        <w:rPr>
          <w:rFonts w:ascii="Georgia" w:hAnsi="Georgia"/>
        </w:rPr>
        <w:t>1</w:t>
      </w:r>
      <w:r w:rsidR="003C6908">
        <w:rPr>
          <w:rFonts w:ascii="Georgia" w:hAnsi="Georgia"/>
        </w:rPr>
        <w:t xml:space="preserve"> April 2021, just after the Applicant purchased her Property</w:t>
      </w:r>
      <w:r w:rsidR="002A100C">
        <w:rPr>
          <w:rFonts w:ascii="Georgia" w:hAnsi="Georgia"/>
        </w:rPr>
        <w:t>.</w:t>
      </w:r>
      <w:r w:rsidR="00041302">
        <w:rPr>
          <w:rFonts w:ascii="Georgia" w:hAnsi="Georgia"/>
        </w:rPr>
        <w:t xml:space="preserve"> </w:t>
      </w:r>
    </w:p>
    <w:p w14:paraId="006A4794" w14:textId="77777777" w:rsidR="0051117A" w:rsidRDefault="0051117A" w:rsidP="00293796">
      <w:pPr>
        <w:jc w:val="both"/>
        <w:rPr>
          <w:rFonts w:ascii="Georgia" w:hAnsi="Georgia"/>
        </w:rPr>
      </w:pPr>
    </w:p>
    <w:p w14:paraId="66526036" w14:textId="6DB2E6E6" w:rsidR="0051117A" w:rsidRDefault="000B6707" w:rsidP="00293796">
      <w:pPr>
        <w:jc w:val="both"/>
        <w:rPr>
          <w:rFonts w:ascii="Georgia" w:hAnsi="Georgia"/>
        </w:rPr>
      </w:pPr>
      <w:r>
        <w:rPr>
          <w:rFonts w:ascii="Georgia" w:hAnsi="Georgia"/>
        </w:rPr>
        <w:t xml:space="preserve">15. </w:t>
      </w:r>
      <w:r w:rsidR="002945EA">
        <w:rPr>
          <w:rFonts w:ascii="Georgia" w:hAnsi="Georgia"/>
        </w:rPr>
        <w:t>The</w:t>
      </w:r>
      <w:r w:rsidR="004D610B">
        <w:rPr>
          <w:rFonts w:ascii="Georgia" w:hAnsi="Georgia"/>
        </w:rPr>
        <w:t xml:space="preserve"> completion of the Applicant’s purchase was in May 2021. Though this was after Andrews ceased to be the managing agent, </w:t>
      </w:r>
      <w:r w:rsidR="00DB2253">
        <w:rPr>
          <w:rFonts w:ascii="Georgia" w:hAnsi="Georgia"/>
        </w:rPr>
        <w:t xml:space="preserve">the Leasehold </w:t>
      </w:r>
      <w:r w:rsidR="009C6E5A">
        <w:rPr>
          <w:rFonts w:ascii="Georgia" w:hAnsi="Georgia"/>
        </w:rPr>
        <w:t>P</w:t>
      </w:r>
      <w:r w:rsidR="00DB2253">
        <w:rPr>
          <w:rFonts w:ascii="Georgia" w:hAnsi="Georgia"/>
        </w:rPr>
        <w:t xml:space="preserve">roperty Enquiries form </w:t>
      </w:r>
      <w:r w:rsidR="00A12903">
        <w:rPr>
          <w:rFonts w:ascii="Georgia" w:hAnsi="Georgia"/>
        </w:rPr>
        <w:t xml:space="preserve">that was </w:t>
      </w:r>
      <w:r w:rsidR="00DB2253">
        <w:rPr>
          <w:rFonts w:ascii="Georgia" w:hAnsi="Georgia"/>
        </w:rPr>
        <w:t xml:space="preserve">issued to the Applicant in respect of her purchase </w:t>
      </w:r>
      <w:r w:rsidR="005430CF">
        <w:rPr>
          <w:rFonts w:ascii="Georgia" w:hAnsi="Georgia"/>
        </w:rPr>
        <w:t>was completed by three members of Andrews staff between late November and early December 2020.</w:t>
      </w:r>
      <w:r w:rsidR="00AF2BD1">
        <w:rPr>
          <w:rFonts w:ascii="Georgia" w:hAnsi="Georgia"/>
        </w:rPr>
        <w:t xml:space="preserve"> It was therefore the budget for </w:t>
      </w:r>
      <w:r w:rsidR="007674D0">
        <w:rPr>
          <w:rFonts w:ascii="Georgia" w:hAnsi="Georgia"/>
        </w:rPr>
        <w:t>1 April 2020 to 31 Ma</w:t>
      </w:r>
      <w:r w:rsidR="005464AA">
        <w:rPr>
          <w:rFonts w:ascii="Georgia" w:hAnsi="Georgia"/>
        </w:rPr>
        <w:t>r</w:t>
      </w:r>
      <w:r w:rsidR="007674D0">
        <w:rPr>
          <w:rFonts w:ascii="Georgia" w:hAnsi="Georgia"/>
        </w:rPr>
        <w:t>ch 2021</w:t>
      </w:r>
      <w:r w:rsidR="001E103E">
        <w:rPr>
          <w:rFonts w:ascii="Georgia" w:hAnsi="Georgia"/>
        </w:rPr>
        <w:t xml:space="preserve"> </w:t>
      </w:r>
      <w:r w:rsidR="007674D0">
        <w:rPr>
          <w:rFonts w:ascii="Georgia" w:hAnsi="Georgia"/>
        </w:rPr>
        <w:t xml:space="preserve">that was seen by the Applicant. </w:t>
      </w:r>
      <w:r w:rsidR="000D730C">
        <w:rPr>
          <w:rFonts w:ascii="Georgia" w:hAnsi="Georgia"/>
        </w:rPr>
        <w:t xml:space="preserve">The internal service charge budget </w:t>
      </w:r>
      <w:r w:rsidR="00FF287D">
        <w:rPr>
          <w:rFonts w:ascii="Georgia" w:hAnsi="Georgia"/>
        </w:rPr>
        <w:t xml:space="preserve">for that year </w:t>
      </w:r>
      <w:r w:rsidR="000D730C">
        <w:rPr>
          <w:rFonts w:ascii="Georgia" w:hAnsi="Georgia"/>
        </w:rPr>
        <w:t xml:space="preserve">included a sum of £161 for </w:t>
      </w:r>
      <w:r w:rsidR="00E12E12">
        <w:rPr>
          <w:rFonts w:ascii="Georgia" w:hAnsi="Georgia"/>
        </w:rPr>
        <w:t>emergency lighting maintenance and a further £161 for fire alarm maintenance.</w:t>
      </w:r>
      <w:r w:rsidR="005430CF">
        <w:rPr>
          <w:rFonts w:ascii="Georgia" w:hAnsi="Georgia"/>
        </w:rPr>
        <w:t xml:space="preserve"> </w:t>
      </w:r>
      <w:r w:rsidR="003A1247">
        <w:rPr>
          <w:rFonts w:ascii="Georgia" w:hAnsi="Georgia"/>
        </w:rPr>
        <w:t>Jennifer Faulker in her witness statement</w:t>
      </w:r>
      <w:r w:rsidR="00FB33D3">
        <w:rPr>
          <w:rFonts w:ascii="Georgia" w:hAnsi="Georgia"/>
        </w:rPr>
        <w:t xml:space="preserve"> says that fire alarm maintenance had been in the general service charge </w:t>
      </w:r>
      <w:r w:rsidR="006745A2">
        <w:rPr>
          <w:rFonts w:ascii="Georgia" w:hAnsi="Georgia"/>
        </w:rPr>
        <w:t xml:space="preserve">until 2019 and that </w:t>
      </w:r>
      <w:r w:rsidR="008D0DEF">
        <w:rPr>
          <w:rFonts w:ascii="Georgia" w:hAnsi="Georgia"/>
        </w:rPr>
        <w:t xml:space="preserve">the move to the internal </w:t>
      </w:r>
      <w:r w:rsidR="00770BB9">
        <w:rPr>
          <w:rFonts w:ascii="Georgia" w:hAnsi="Georgia"/>
        </w:rPr>
        <w:t>service</w:t>
      </w:r>
      <w:r w:rsidR="008D0DEF">
        <w:rPr>
          <w:rFonts w:ascii="Georgia" w:hAnsi="Georgia"/>
        </w:rPr>
        <w:t xml:space="preserve"> charge </w:t>
      </w:r>
      <w:r w:rsidR="00770BB9">
        <w:rPr>
          <w:rFonts w:ascii="Georgia" w:hAnsi="Georgia"/>
        </w:rPr>
        <w:t xml:space="preserve">two costs of £161 was not noticed until </w:t>
      </w:r>
      <w:r w:rsidR="007C7B29">
        <w:rPr>
          <w:rFonts w:ascii="Georgia" w:hAnsi="Georgia"/>
        </w:rPr>
        <w:t>the dispute came to a hea</w:t>
      </w:r>
      <w:r w:rsidR="006430FB">
        <w:rPr>
          <w:rFonts w:ascii="Georgia" w:hAnsi="Georgia"/>
        </w:rPr>
        <w:t>d</w:t>
      </w:r>
      <w:r w:rsidR="007C7B29">
        <w:rPr>
          <w:rFonts w:ascii="Georgia" w:hAnsi="Georgia"/>
        </w:rPr>
        <w:t xml:space="preserve"> in 2023.</w:t>
      </w:r>
    </w:p>
    <w:p w14:paraId="3C6E35FB" w14:textId="77777777" w:rsidR="00213A5E" w:rsidRDefault="00213A5E" w:rsidP="00293796">
      <w:pPr>
        <w:jc w:val="both"/>
        <w:rPr>
          <w:rFonts w:ascii="Georgia" w:hAnsi="Georgia"/>
        </w:rPr>
      </w:pPr>
    </w:p>
    <w:p w14:paraId="56817B29" w14:textId="79DA11C2" w:rsidR="00213A5E" w:rsidRDefault="005464AA" w:rsidP="00293796">
      <w:pPr>
        <w:jc w:val="both"/>
        <w:rPr>
          <w:rFonts w:ascii="Georgia" w:hAnsi="Georgia"/>
        </w:rPr>
      </w:pPr>
      <w:r>
        <w:rPr>
          <w:rFonts w:ascii="Georgia" w:hAnsi="Georgia"/>
        </w:rPr>
        <w:t xml:space="preserve">16. </w:t>
      </w:r>
      <w:r w:rsidR="00213A5E">
        <w:rPr>
          <w:rFonts w:ascii="Georgia" w:hAnsi="Georgia"/>
        </w:rPr>
        <w:t xml:space="preserve">For a summary of the relevant background after the </w:t>
      </w:r>
      <w:r w:rsidR="00CC1EE1">
        <w:rPr>
          <w:rFonts w:ascii="Georgia" w:hAnsi="Georgia"/>
        </w:rPr>
        <w:t>date of the Applicant’s purchase, the Tribunal draws on the Applicant’s witness statement</w:t>
      </w:r>
      <w:r w:rsidR="001E407D">
        <w:rPr>
          <w:rFonts w:ascii="Georgia" w:hAnsi="Georgia"/>
        </w:rPr>
        <w:t xml:space="preserve"> as well as that of Jennifer Faulkner. </w:t>
      </w:r>
      <w:r w:rsidR="00FB43CA">
        <w:rPr>
          <w:rFonts w:ascii="Georgia" w:hAnsi="Georgia"/>
        </w:rPr>
        <w:t>The Applicant</w:t>
      </w:r>
      <w:r w:rsidR="00645651">
        <w:rPr>
          <w:rFonts w:ascii="Georgia" w:hAnsi="Georgia"/>
        </w:rPr>
        <w:t xml:space="preserve"> comments that the firm</w:t>
      </w:r>
      <w:r w:rsidR="009D4E19">
        <w:rPr>
          <w:rFonts w:ascii="Georgia" w:hAnsi="Georgia"/>
        </w:rPr>
        <w:t xml:space="preserve"> BLM</w:t>
      </w:r>
      <w:r w:rsidR="00645651">
        <w:rPr>
          <w:rFonts w:ascii="Georgia" w:hAnsi="Georgia"/>
        </w:rPr>
        <w:t xml:space="preserve"> </w:t>
      </w:r>
      <w:r w:rsidR="005D4A76">
        <w:rPr>
          <w:rFonts w:ascii="Georgia" w:hAnsi="Georgia"/>
        </w:rPr>
        <w:t>rapidly</w:t>
      </w:r>
      <w:r w:rsidR="00645651">
        <w:rPr>
          <w:rFonts w:ascii="Georgia" w:hAnsi="Georgia"/>
        </w:rPr>
        <w:t xml:space="preserve"> expanded </w:t>
      </w:r>
      <w:r w:rsidR="00AB5FA9">
        <w:rPr>
          <w:rFonts w:ascii="Georgia" w:hAnsi="Georgia"/>
        </w:rPr>
        <w:t xml:space="preserve">and the accounts became a muddle. In particular, there were clear errors in </w:t>
      </w:r>
      <w:r w:rsidR="002A5BF3">
        <w:rPr>
          <w:rFonts w:ascii="Georgia" w:hAnsi="Georgia"/>
        </w:rPr>
        <w:t xml:space="preserve">the costs allocated to the internal service charge </w:t>
      </w:r>
      <w:r w:rsidR="006C7B2D">
        <w:rPr>
          <w:rFonts w:ascii="Georgia" w:hAnsi="Georgia"/>
        </w:rPr>
        <w:t xml:space="preserve">when they should have been allocated to the general service charge. Jennifer </w:t>
      </w:r>
      <w:r w:rsidR="000173F7">
        <w:rPr>
          <w:rFonts w:ascii="Georgia" w:hAnsi="Georgia"/>
        </w:rPr>
        <w:t>Faulkner</w:t>
      </w:r>
      <w:r w:rsidR="006C7B2D">
        <w:rPr>
          <w:rFonts w:ascii="Georgia" w:hAnsi="Georgia"/>
        </w:rPr>
        <w:t xml:space="preserve"> </w:t>
      </w:r>
      <w:r w:rsidR="006A2A1F">
        <w:rPr>
          <w:rFonts w:ascii="Georgia" w:hAnsi="Georgia"/>
        </w:rPr>
        <w:t xml:space="preserve">says that </w:t>
      </w:r>
      <w:r w:rsidR="00FF0EC3">
        <w:rPr>
          <w:rFonts w:ascii="Georgia" w:hAnsi="Georgia"/>
        </w:rPr>
        <w:t xml:space="preserve">these incorrectly allocated costs included </w:t>
      </w:r>
      <w:r w:rsidR="006A2A1F">
        <w:rPr>
          <w:rFonts w:ascii="Georgia" w:hAnsi="Georgia"/>
        </w:rPr>
        <w:t xml:space="preserve">the </w:t>
      </w:r>
      <w:r w:rsidR="00FF0EC3">
        <w:rPr>
          <w:rFonts w:ascii="Georgia" w:hAnsi="Georgia"/>
        </w:rPr>
        <w:t xml:space="preserve">management company </w:t>
      </w:r>
      <w:r w:rsidR="000173F7">
        <w:rPr>
          <w:rFonts w:ascii="Georgia" w:hAnsi="Georgia"/>
        </w:rPr>
        <w:t>charges</w:t>
      </w:r>
      <w:r w:rsidR="006A2A1F">
        <w:rPr>
          <w:rFonts w:ascii="Georgia" w:hAnsi="Georgia"/>
        </w:rPr>
        <w:t xml:space="preserve"> and</w:t>
      </w:r>
      <w:r w:rsidR="00FF0EC3">
        <w:rPr>
          <w:rFonts w:ascii="Georgia" w:hAnsi="Georgia"/>
        </w:rPr>
        <w:t xml:space="preserve"> the house insurance</w:t>
      </w:r>
      <w:r w:rsidR="000173F7">
        <w:rPr>
          <w:rFonts w:ascii="Georgia" w:hAnsi="Georgia"/>
        </w:rPr>
        <w:t xml:space="preserve"> premium</w:t>
      </w:r>
      <w:r w:rsidR="006A2A1F">
        <w:rPr>
          <w:rFonts w:ascii="Georgia" w:hAnsi="Georgia"/>
        </w:rPr>
        <w:t xml:space="preserve"> as well as </w:t>
      </w:r>
      <w:r w:rsidR="00AB3C53">
        <w:rPr>
          <w:rFonts w:ascii="Georgia" w:hAnsi="Georgia"/>
        </w:rPr>
        <w:t xml:space="preserve">(in her view) </w:t>
      </w:r>
      <w:r w:rsidR="00A92E2B">
        <w:rPr>
          <w:rFonts w:ascii="Georgia" w:hAnsi="Georgia"/>
        </w:rPr>
        <w:t>costs relating to fire alarm maintenance and fire alarm testing.</w:t>
      </w:r>
      <w:r w:rsidR="00937745">
        <w:rPr>
          <w:rFonts w:ascii="Georgia" w:hAnsi="Georgia"/>
        </w:rPr>
        <w:t xml:space="preserve"> It was during </w:t>
      </w:r>
      <w:r w:rsidR="00DF0659">
        <w:rPr>
          <w:rFonts w:ascii="Georgia" w:hAnsi="Georgia"/>
        </w:rPr>
        <w:t xml:space="preserve">2021 and 2022 that the difference of approach to the costs relating to </w:t>
      </w:r>
      <w:r w:rsidR="004035C4">
        <w:rPr>
          <w:rFonts w:ascii="Georgia" w:hAnsi="Georgia"/>
        </w:rPr>
        <w:t>firm alarm maintenance and testing</w:t>
      </w:r>
      <w:r w:rsidR="009807F6">
        <w:rPr>
          <w:rFonts w:ascii="Georgia" w:hAnsi="Georgia"/>
        </w:rPr>
        <w:t xml:space="preserve"> </w:t>
      </w:r>
      <w:r w:rsidR="004035C4">
        <w:rPr>
          <w:rFonts w:ascii="Georgia" w:hAnsi="Georgia"/>
        </w:rPr>
        <w:t xml:space="preserve">came into prominence with the Applicant contending firmly that </w:t>
      </w:r>
      <w:r w:rsidR="00D255F2">
        <w:rPr>
          <w:rFonts w:ascii="Georgia" w:hAnsi="Georgia"/>
        </w:rPr>
        <w:t>all such costs fe</w:t>
      </w:r>
      <w:r w:rsidR="00DD11DC">
        <w:rPr>
          <w:rFonts w:ascii="Georgia" w:hAnsi="Georgia"/>
        </w:rPr>
        <w:t>l</w:t>
      </w:r>
      <w:r w:rsidR="00D255F2">
        <w:rPr>
          <w:rFonts w:ascii="Georgia" w:hAnsi="Georgia"/>
        </w:rPr>
        <w:t xml:space="preserve">l to be included in the internal </w:t>
      </w:r>
      <w:r w:rsidR="00912BA2">
        <w:rPr>
          <w:rFonts w:ascii="Georgia" w:hAnsi="Georgia"/>
        </w:rPr>
        <w:t xml:space="preserve">service </w:t>
      </w:r>
      <w:r w:rsidR="00D255F2">
        <w:rPr>
          <w:rFonts w:ascii="Georgia" w:hAnsi="Georgia"/>
        </w:rPr>
        <w:t xml:space="preserve">charge while </w:t>
      </w:r>
      <w:r w:rsidR="00B8348F">
        <w:rPr>
          <w:rFonts w:ascii="Georgia" w:hAnsi="Georgia"/>
        </w:rPr>
        <w:t xml:space="preserve">the other three directors </w:t>
      </w:r>
      <w:r w:rsidR="004865D7">
        <w:rPr>
          <w:rFonts w:ascii="Georgia" w:hAnsi="Georgia"/>
        </w:rPr>
        <w:t xml:space="preserve">contending clearly by </w:t>
      </w:r>
      <w:r w:rsidR="00B5001B">
        <w:rPr>
          <w:rFonts w:ascii="Georgia" w:hAnsi="Georgia"/>
        </w:rPr>
        <w:t>M</w:t>
      </w:r>
      <w:r w:rsidR="004865D7">
        <w:rPr>
          <w:rFonts w:ascii="Georgia" w:hAnsi="Georgia"/>
        </w:rPr>
        <w:t xml:space="preserve">arch 2023 </w:t>
      </w:r>
      <w:r w:rsidR="00B5001B">
        <w:rPr>
          <w:rFonts w:ascii="Georgia" w:hAnsi="Georgia"/>
        </w:rPr>
        <w:t xml:space="preserve">that fire alarm testing and </w:t>
      </w:r>
      <w:r w:rsidR="004725B4">
        <w:rPr>
          <w:rFonts w:ascii="Georgia" w:hAnsi="Georgia"/>
        </w:rPr>
        <w:t>maintenance</w:t>
      </w:r>
      <w:r w:rsidR="00B5001B">
        <w:rPr>
          <w:rFonts w:ascii="Georgia" w:hAnsi="Georgia"/>
        </w:rPr>
        <w:t xml:space="preserve"> should be part of the </w:t>
      </w:r>
      <w:r w:rsidR="00126DD6">
        <w:rPr>
          <w:rFonts w:ascii="Georgia" w:hAnsi="Georgia"/>
        </w:rPr>
        <w:t>general service</w:t>
      </w:r>
      <w:r w:rsidR="00B5001B">
        <w:rPr>
          <w:rFonts w:ascii="Georgia" w:hAnsi="Georgia"/>
        </w:rPr>
        <w:t xml:space="preserve"> charge payable by all. </w:t>
      </w:r>
      <w:r w:rsidR="004725B4">
        <w:rPr>
          <w:rFonts w:ascii="Georgia" w:hAnsi="Georgia"/>
        </w:rPr>
        <w:t xml:space="preserve">It is fair to record that in the period prior to </w:t>
      </w:r>
      <w:r w:rsidR="006430FB">
        <w:rPr>
          <w:rFonts w:ascii="Georgia" w:hAnsi="Georgia"/>
        </w:rPr>
        <w:t>March</w:t>
      </w:r>
      <w:r w:rsidR="004725B4">
        <w:rPr>
          <w:rFonts w:ascii="Georgia" w:hAnsi="Georgia"/>
        </w:rPr>
        <w:t xml:space="preserve"> 2023 </w:t>
      </w:r>
      <w:r w:rsidR="00C1580E">
        <w:rPr>
          <w:rFonts w:ascii="Georgia" w:hAnsi="Georgia"/>
        </w:rPr>
        <w:t>there is so</w:t>
      </w:r>
      <w:r w:rsidR="00DD11DC">
        <w:rPr>
          <w:rFonts w:ascii="Georgia" w:hAnsi="Georgia"/>
        </w:rPr>
        <w:t>me</w:t>
      </w:r>
      <w:r w:rsidR="00C1580E">
        <w:rPr>
          <w:rFonts w:ascii="Georgia" w:hAnsi="Georgia"/>
        </w:rPr>
        <w:t xml:space="preserve"> evidence that one or more of the other directors </w:t>
      </w:r>
      <w:r w:rsidR="007864CC">
        <w:rPr>
          <w:rFonts w:ascii="Georgia" w:hAnsi="Georgia"/>
        </w:rPr>
        <w:t>accept</w:t>
      </w:r>
      <w:r w:rsidR="0085151B">
        <w:rPr>
          <w:rFonts w:ascii="Georgia" w:hAnsi="Georgia"/>
        </w:rPr>
        <w:t>ed</w:t>
      </w:r>
      <w:r w:rsidR="007864CC">
        <w:rPr>
          <w:rFonts w:ascii="Georgia" w:hAnsi="Georgia"/>
        </w:rPr>
        <w:t xml:space="preserve"> that some aspects of fire safety costs </w:t>
      </w:r>
      <w:r w:rsidR="0085151B">
        <w:rPr>
          <w:rFonts w:ascii="Georgia" w:hAnsi="Georgia"/>
        </w:rPr>
        <w:t>might be</w:t>
      </w:r>
      <w:r w:rsidR="007864CC">
        <w:rPr>
          <w:rFonts w:ascii="Georgia" w:hAnsi="Georgia"/>
        </w:rPr>
        <w:t xml:space="preserve"> appropriate for the </w:t>
      </w:r>
      <w:r w:rsidR="00824B1F">
        <w:rPr>
          <w:rFonts w:ascii="Georgia" w:hAnsi="Georgia"/>
        </w:rPr>
        <w:t>internal</w:t>
      </w:r>
      <w:r w:rsidR="007864CC">
        <w:rPr>
          <w:rFonts w:ascii="Georgia" w:hAnsi="Georgia"/>
        </w:rPr>
        <w:t xml:space="preserve"> charge.</w:t>
      </w:r>
    </w:p>
    <w:p w14:paraId="60950FE3" w14:textId="77777777" w:rsidR="00BA78AD" w:rsidRDefault="00BA78AD" w:rsidP="00293796">
      <w:pPr>
        <w:jc w:val="both"/>
        <w:rPr>
          <w:rFonts w:ascii="Georgia" w:hAnsi="Georgia"/>
        </w:rPr>
      </w:pPr>
    </w:p>
    <w:p w14:paraId="04E96F96" w14:textId="6C7F9990" w:rsidR="00BA78AD" w:rsidRDefault="005464AA" w:rsidP="00293796">
      <w:pPr>
        <w:jc w:val="both"/>
        <w:rPr>
          <w:rFonts w:ascii="Georgia" w:hAnsi="Georgia"/>
        </w:rPr>
      </w:pPr>
      <w:r>
        <w:rPr>
          <w:rFonts w:ascii="Georgia" w:hAnsi="Georgia"/>
        </w:rPr>
        <w:t xml:space="preserve">17. </w:t>
      </w:r>
      <w:r w:rsidR="00B47B70">
        <w:rPr>
          <w:rFonts w:ascii="Georgia" w:hAnsi="Georgia"/>
        </w:rPr>
        <w:t xml:space="preserve">It was when the costs relating to fire safety </w:t>
      </w:r>
      <w:r w:rsidR="007407D1">
        <w:rPr>
          <w:rFonts w:ascii="Georgia" w:hAnsi="Georgia"/>
        </w:rPr>
        <w:t xml:space="preserve">increased significantly that the </w:t>
      </w:r>
      <w:r w:rsidR="00C33E8F">
        <w:rPr>
          <w:rFonts w:ascii="Georgia" w:hAnsi="Georgia"/>
        </w:rPr>
        <w:t>contrary views</w:t>
      </w:r>
      <w:r w:rsidR="007407D1">
        <w:rPr>
          <w:rFonts w:ascii="Georgia" w:hAnsi="Georgia"/>
        </w:rPr>
        <w:t xml:space="preserve"> about allocation between the tw</w:t>
      </w:r>
      <w:r w:rsidR="00CB5ED5">
        <w:rPr>
          <w:rFonts w:ascii="Georgia" w:hAnsi="Georgia"/>
        </w:rPr>
        <w:t>o</w:t>
      </w:r>
      <w:r w:rsidR="007407D1">
        <w:rPr>
          <w:rFonts w:ascii="Georgia" w:hAnsi="Georgia"/>
        </w:rPr>
        <w:t xml:space="preserve"> service charges headings </w:t>
      </w:r>
      <w:r w:rsidR="00082FB6">
        <w:rPr>
          <w:rFonts w:ascii="Georgia" w:hAnsi="Georgia"/>
        </w:rPr>
        <w:t xml:space="preserve">became a major disagreement between the directors. </w:t>
      </w:r>
      <w:r w:rsidR="002F5728">
        <w:rPr>
          <w:rFonts w:ascii="Georgia" w:hAnsi="Georgia"/>
        </w:rPr>
        <w:t>The increase was primarily the result of t</w:t>
      </w:r>
      <w:r w:rsidR="007E22B2">
        <w:rPr>
          <w:rFonts w:ascii="Georgia" w:hAnsi="Georgia"/>
        </w:rPr>
        <w:t>h</w:t>
      </w:r>
      <w:r w:rsidR="002F5728">
        <w:rPr>
          <w:rFonts w:ascii="Georgia" w:hAnsi="Georgia"/>
        </w:rPr>
        <w:t xml:space="preserve">e Fire </w:t>
      </w:r>
      <w:r w:rsidR="007E22B2">
        <w:rPr>
          <w:rFonts w:ascii="Georgia" w:hAnsi="Georgia"/>
        </w:rPr>
        <w:t>S</w:t>
      </w:r>
      <w:r w:rsidR="002F5728">
        <w:rPr>
          <w:rFonts w:ascii="Georgia" w:hAnsi="Georgia"/>
        </w:rPr>
        <w:t>afety Act 2021</w:t>
      </w:r>
      <w:r w:rsidR="007E22B2">
        <w:rPr>
          <w:rFonts w:ascii="Georgia" w:hAnsi="Georgia"/>
        </w:rPr>
        <w:t xml:space="preserve"> which, amongst other matters</w:t>
      </w:r>
      <w:r w:rsidR="008500E3">
        <w:rPr>
          <w:rFonts w:ascii="Georgia" w:hAnsi="Georgia"/>
        </w:rPr>
        <w:t xml:space="preserve"> strengthening fire safety in </w:t>
      </w:r>
      <w:r w:rsidR="00824624">
        <w:rPr>
          <w:rFonts w:ascii="Georgia" w:hAnsi="Georgia"/>
        </w:rPr>
        <w:t>multi occupancy buildings</w:t>
      </w:r>
      <w:r w:rsidR="007E22B2">
        <w:rPr>
          <w:rFonts w:ascii="Georgia" w:hAnsi="Georgia"/>
        </w:rPr>
        <w:t xml:space="preserve">, introduces </w:t>
      </w:r>
      <w:r w:rsidR="00C1120E">
        <w:rPr>
          <w:rFonts w:ascii="Georgia" w:hAnsi="Georgia"/>
        </w:rPr>
        <w:t>some man</w:t>
      </w:r>
      <w:r w:rsidR="008B5196">
        <w:rPr>
          <w:rFonts w:ascii="Georgia" w:hAnsi="Georgia"/>
        </w:rPr>
        <w:t>d</w:t>
      </w:r>
      <w:r w:rsidR="00C1120E">
        <w:rPr>
          <w:rFonts w:ascii="Georgia" w:hAnsi="Georgia"/>
        </w:rPr>
        <w:t xml:space="preserve">atory testing of fire alarms in communal hallways. </w:t>
      </w:r>
      <w:r w:rsidR="00AF409D">
        <w:rPr>
          <w:rFonts w:ascii="Georgia" w:hAnsi="Georgia"/>
        </w:rPr>
        <w:t xml:space="preserve">BLM </w:t>
      </w:r>
      <w:r w:rsidR="00CD3671">
        <w:rPr>
          <w:rFonts w:ascii="Georgia" w:hAnsi="Georgia"/>
        </w:rPr>
        <w:t xml:space="preserve">advised that the Building was one that required mandatory weekly fire </w:t>
      </w:r>
      <w:r w:rsidR="00CD3671">
        <w:rPr>
          <w:rFonts w:ascii="Georgia" w:hAnsi="Georgia"/>
        </w:rPr>
        <w:lastRenderedPageBreak/>
        <w:t xml:space="preserve">alarm testing and such tests </w:t>
      </w:r>
      <w:r w:rsidR="00EA3939">
        <w:rPr>
          <w:rFonts w:ascii="Georgia" w:hAnsi="Georgia"/>
        </w:rPr>
        <w:t xml:space="preserve">started in September 2023. </w:t>
      </w:r>
      <w:r w:rsidR="00570182">
        <w:rPr>
          <w:rFonts w:ascii="Georgia" w:hAnsi="Georgia"/>
        </w:rPr>
        <w:t xml:space="preserve">Jennifer </w:t>
      </w:r>
      <w:r w:rsidR="00183434">
        <w:rPr>
          <w:rFonts w:ascii="Georgia" w:hAnsi="Georgia"/>
        </w:rPr>
        <w:t>Faulkner says that the local fire officer indicated that testing was required</w:t>
      </w:r>
      <w:r w:rsidR="00610143">
        <w:rPr>
          <w:rFonts w:ascii="Georgia" w:hAnsi="Georgia"/>
        </w:rPr>
        <w:t>.</w:t>
      </w:r>
      <w:r w:rsidR="00D3081E">
        <w:rPr>
          <w:rFonts w:ascii="Georgia" w:hAnsi="Georgia"/>
        </w:rPr>
        <w:t xml:space="preserve"> </w:t>
      </w:r>
      <w:r w:rsidR="00EA3939">
        <w:rPr>
          <w:rFonts w:ascii="Georgia" w:hAnsi="Georgia"/>
        </w:rPr>
        <w:t xml:space="preserve">The Applicant strongly </w:t>
      </w:r>
      <w:r w:rsidR="00D3081E">
        <w:rPr>
          <w:rFonts w:ascii="Georgia" w:hAnsi="Georgia"/>
        </w:rPr>
        <w:t xml:space="preserve">however </w:t>
      </w:r>
      <w:r w:rsidR="00EA3939">
        <w:rPr>
          <w:rFonts w:ascii="Georgia" w:hAnsi="Georgia"/>
        </w:rPr>
        <w:t>contended</w:t>
      </w:r>
      <w:r w:rsidR="007858F4">
        <w:rPr>
          <w:rFonts w:ascii="Georgia" w:hAnsi="Georgia"/>
        </w:rPr>
        <w:t>,</w:t>
      </w:r>
      <w:r w:rsidR="00FD59A6">
        <w:rPr>
          <w:rFonts w:ascii="Georgia" w:hAnsi="Georgia"/>
        </w:rPr>
        <w:t xml:space="preserve"> from April 2023</w:t>
      </w:r>
      <w:r w:rsidR="007858F4">
        <w:rPr>
          <w:rFonts w:ascii="Georgia" w:hAnsi="Georgia"/>
        </w:rPr>
        <w:t xml:space="preserve">, </w:t>
      </w:r>
      <w:r w:rsidR="00EA3939">
        <w:rPr>
          <w:rFonts w:ascii="Georgia" w:hAnsi="Georgia"/>
        </w:rPr>
        <w:t xml:space="preserve">that she was not </w:t>
      </w:r>
      <w:r w:rsidR="00F30589">
        <w:rPr>
          <w:rFonts w:ascii="Georgia" w:hAnsi="Georgia"/>
        </w:rPr>
        <w:t xml:space="preserve">obliged to contribute to those testing costs and in any event </w:t>
      </w:r>
      <w:r w:rsidR="003F5E33">
        <w:rPr>
          <w:rFonts w:ascii="Georgia" w:hAnsi="Georgia"/>
        </w:rPr>
        <w:t xml:space="preserve">the testing </w:t>
      </w:r>
      <w:r w:rsidR="00F30589">
        <w:rPr>
          <w:rFonts w:ascii="Georgia" w:hAnsi="Georgia"/>
        </w:rPr>
        <w:t>was a cost</w:t>
      </w:r>
      <w:r w:rsidR="003F5E33">
        <w:rPr>
          <w:rFonts w:ascii="Georgia" w:hAnsi="Georgia"/>
        </w:rPr>
        <w:t xml:space="preserve"> that was</w:t>
      </w:r>
      <w:r w:rsidR="00F30589">
        <w:rPr>
          <w:rFonts w:ascii="Georgia" w:hAnsi="Georgia"/>
        </w:rPr>
        <w:t xml:space="preserve"> unreasonably incurred since </w:t>
      </w:r>
      <w:r w:rsidR="003E251B">
        <w:rPr>
          <w:rFonts w:ascii="Georgia" w:hAnsi="Georgia"/>
        </w:rPr>
        <w:t xml:space="preserve">there was no urgent requirement for such testing for the Building. </w:t>
      </w:r>
    </w:p>
    <w:p w14:paraId="6D2D391F" w14:textId="77777777" w:rsidR="003A0C97" w:rsidRDefault="003A0C97" w:rsidP="00293796">
      <w:pPr>
        <w:jc w:val="both"/>
        <w:rPr>
          <w:rFonts w:ascii="Georgia" w:hAnsi="Georgia"/>
        </w:rPr>
      </w:pPr>
    </w:p>
    <w:p w14:paraId="3049283D" w14:textId="5233FC38" w:rsidR="003A0C97" w:rsidRDefault="00182D10" w:rsidP="00293796">
      <w:pPr>
        <w:jc w:val="both"/>
        <w:rPr>
          <w:rFonts w:ascii="Georgia" w:hAnsi="Georgia"/>
        </w:rPr>
      </w:pPr>
      <w:r>
        <w:rPr>
          <w:rFonts w:ascii="Georgia" w:hAnsi="Georgia"/>
        </w:rPr>
        <w:t xml:space="preserve">18. </w:t>
      </w:r>
      <w:r w:rsidR="003A0C97">
        <w:rPr>
          <w:rFonts w:ascii="Georgia" w:hAnsi="Georgia"/>
        </w:rPr>
        <w:t>There were a considerable number of emails in this period from the Applicant</w:t>
      </w:r>
      <w:r w:rsidR="006B5703">
        <w:rPr>
          <w:rFonts w:ascii="Georgia" w:hAnsi="Georgia"/>
        </w:rPr>
        <w:t>,</w:t>
      </w:r>
      <w:r w:rsidR="003A0C97">
        <w:rPr>
          <w:rFonts w:ascii="Georgia" w:hAnsi="Georgia"/>
        </w:rPr>
        <w:t xml:space="preserve"> and </w:t>
      </w:r>
      <w:r w:rsidR="00794623">
        <w:rPr>
          <w:rFonts w:ascii="Georgia" w:hAnsi="Georgia"/>
        </w:rPr>
        <w:t xml:space="preserve">Jennifer Faulkner says that these included complaints </w:t>
      </w:r>
      <w:r w:rsidR="007E537A">
        <w:rPr>
          <w:rFonts w:ascii="Georgia" w:hAnsi="Georgia"/>
        </w:rPr>
        <w:t xml:space="preserve">from the Applicant </w:t>
      </w:r>
      <w:r w:rsidR="00794623">
        <w:rPr>
          <w:rFonts w:ascii="Georgia" w:hAnsi="Georgia"/>
        </w:rPr>
        <w:t xml:space="preserve">about </w:t>
      </w:r>
      <w:r w:rsidR="006236E1">
        <w:rPr>
          <w:rFonts w:ascii="Georgia" w:hAnsi="Georgia"/>
        </w:rPr>
        <w:t>BLM</w:t>
      </w:r>
      <w:r w:rsidR="0009025B">
        <w:rPr>
          <w:rFonts w:ascii="Georgia" w:hAnsi="Georgia"/>
        </w:rPr>
        <w:t xml:space="preserve">. </w:t>
      </w:r>
      <w:r w:rsidR="00031E3C">
        <w:rPr>
          <w:rFonts w:ascii="Georgia" w:hAnsi="Georgia"/>
        </w:rPr>
        <w:t>It was shortly thereafter that BLM</w:t>
      </w:r>
      <w:r w:rsidR="007E537A">
        <w:rPr>
          <w:rFonts w:ascii="Georgia" w:hAnsi="Georgia"/>
        </w:rPr>
        <w:t xml:space="preserve"> resigned as agents</w:t>
      </w:r>
      <w:r w:rsidR="00685301">
        <w:rPr>
          <w:rFonts w:ascii="Georgia" w:hAnsi="Georgia"/>
        </w:rPr>
        <w:t xml:space="preserve"> though there is no clear evidence </w:t>
      </w:r>
      <w:r w:rsidR="00EF4623">
        <w:rPr>
          <w:rFonts w:ascii="Georgia" w:hAnsi="Georgia"/>
        </w:rPr>
        <w:t>of connection between these two events.</w:t>
      </w:r>
      <w:r w:rsidR="00DA2E8C">
        <w:rPr>
          <w:rFonts w:ascii="Georgia" w:hAnsi="Georgia"/>
        </w:rPr>
        <w:t xml:space="preserve"> On</w:t>
      </w:r>
      <w:r w:rsidR="0012659C">
        <w:rPr>
          <w:rFonts w:ascii="Georgia" w:hAnsi="Georgia"/>
        </w:rPr>
        <w:t xml:space="preserve"> </w:t>
      </w:r>
      <w:r w:rsidR="00DA2E8C">
        <w:rPr>
          <w:rFonts w:ascii="Georgia" w:hAnsi="Georgia"/>
        </w:rPr>
        <w:t xml:space="preserve">27 </w:t>
      </w:r>
      <w:r w:rsidR="0012659C">
        <w:rPr>
          <w:rFonts w:ascii="Georgia" w:hAnsi="Georgia"/>
        </w:rPr>
        <w:t xml:space="preserve">September 2023, </w:t>
      </w:r>
      <w:r w:rsidR="00D079A8">
        <w:rPr>
          <w:rFonts w:ascii="Georgia" w:hAnsi="Georgia"/>
        </w:rPr>
        <w:t xml:space="preserve">a meeting of the </w:t>
      </w:r>
      <w:r w:rsidR="00DA2E8C">
        <w:rPr>
          <w:rFonts w:ascii="Georgia" w:hAnsi="Georgia"/>
        </w:rPr>
        <w:t>d</w:t>
      </w:r>
      <w:r w:rsidR="00D079A8">
        <w:rPr>
          <w:rFonts w:ascii="Georgia" w:hAnsi="Georgia"/>
        </w:rPr>
        <w:t xml:space="preserve">irectors to </w:t>
      </w:r>
      <w:r w:rsidR="008D0C40">
        <w:rPr>
          <w:rFonts w:ascii="Georgia" w:hAnsi="Georgia"/>
        </w:rPr>
        <w:t xml:space="preserve">discuss issues ended in acrimony. </w:t>
      </w:r>
      <w:r w:rsidR="004D68D9">
        <w:rPr>
          <w:rFonts w:ascii="Georgia" w:hAnsi="Georgia"/>
        </w:rPr>
        <w:t>In th</w:t>
      </w:r>
      <w:r w:rsidR="00B30D71">
        <w:rPr>
          <w:rFonts w:ascii="Georgia" w:hAnsi="Georgia"/>
        </w:rPr>
        <w:t>e</w:t>
      </w:r>
      <w:r w:rsidR="004D68D9">
        <w:rPr>
          <w:rFonts w:ascii="Georgia" w:hAnsi="Georgia"/>
        </w:rPr>
        <w:t xml:space="preserve"> end, BLM </w:t>
      </w:r>
      <w:r w:rsidR="00B30D71">
        <w:rPr>
          <w:rFonts w:ascii="Georgia" w:hAnsi="Georgia"/>
        </w:rPr>
        <w:t xml:space="preserve">agreed to continue as agents </w:t>
      </w:r>
      <w:r w:rsidR="0030089B">
        <w:rPr>
          <w:rFonts w:ascii="Georgia" w:hAnsi="Georgia"/>
        </w:rPr>
        <w:t xml:space="preserve">until a replacement was in post </w:t>
      </w:r>
      <w:r w:rsidR="00B30D71">
        <w:rPr>
          <w:rFonts w:ascii="Georgia" w:hAnsi="Georgia"/>
        </w:rPr>
        <w:t>but did resign finally in January 2004</w:t>
      </w:r>
      <w:r w:rsidR="00814510">
        <w:rPr>
          <w:rFonts w:ascii="Georgia" w:hAnsi="Georgia"/>
        </w:rPr>
        <w:t xml:space="preserve"> with </w:t>
      </w:r>
      <w:r w:rsidR="00F00AF4">
        <w:rPr>
          <w:rFonts w:ascii="Georgia" w:hAnsi="Georgia"/>
        </w:rPr>
        <w:t xml:space="preserve">only </w:t>
      </w:r>
      <w:r w:rsidR="00814510">
        <w:rPr>
          <w:rFonts w:ascii="Georgia" w:hAnsi="Georgia"/>
        </w:rPr>
        <w:t>one month’s notice</w:t>
      </w:r>
      <w:r w:rsidR="00B30D71">
        <w:rPr>
          <w:rFonts w:ascii="Georgia" w:hAnsi="Georgia"/>
        </w:rPr>
        <w:t>.</w:t>
      </w:r>
    </w:p>
    <w:p w14:paraId="72CE2C80" w14:textId="77777777" w:rsidR="00782337" w:rsidRDefault="00782337" w:rsidP="00293796">
      <w:pPr>
        <w:jc w:val="both"/>
        <w:rPr>
          <w:rFonts w:ascii="Georgia" w:hAnsi="Georgia"/>
        </w:rPr>
      </w:pPr>
    </w:p>
    <w:p w14:paraId="6A96124F" w14:textId="7B029F37" w:rsidR="00782337" w:rsidRDefault="00182D10" w:rsidP="00293796">
      <w:pPr>
        <w:jc w:val="both"/>
        <w:rPr>
          <w:rFonts w:ascii="Georgia" w:hAnsi="Georgia"/>
        </w:rPr>
      </w:pPr>
      <w:r>
        <w:rPr>
          <w:rFonts w:ascii="Georgia" w:hAnsi="Georgia"/>
        </w:rPr>
        <w:t xml:space="preserve">19. </w:t>
      </w:r>
      <w:r w:rsidR="00782337">
        <w:rPr>
          <w:rFonts w:ascii="Georgia" w:hAnsi="Georgia"/>
        </w:rPr>
        <w:t xml:space="preserve">The Respondent looked at a number of possible companies to act as managing agents </w:t>
      </w:r>
      <w:r w:rsidR="0043057E">
        <w:rPr>
          <w:rFonts w:ascii="Georgia" w:hAnsi="Georgia"/>
        </w:rPr>
        <w:t xml:space="preserve">and on 4 </w:t>
      </w:r>
      <w:r w:rsidR="009D6737">
        <w:rPr>
          <w:rFonts w:ascii="Georgia" w:hAnsi="Georgia"/>
        </w:rPr>
        <w:t>February</w:t>
      </w:r>
      <w:r w:rsidR="0043057E">
        <w:rPr>
          <w:rFonts w:ascii="Georgia" w:hAnsi="Georgia"/>
        </w:rPr>
        <w:t xml:space="preserve"> 2024 agreed to appoint a firm called </w:t>
      </w:r>
      <w:r w:rsidR="009D6737">
        <w:rPr>
          <w:rFonts w:ascii="Georgia" w:hAnsi="Georgia"/>
        </w:rPr>
        <w:t>SPG Property Ltd (SPG)</w:t>
      </w:r>
      <w:r w:rsidR="00345796">
        <w:rPr>
          <w:rFonts w:ascii="Georgia" w:hAnsi="Georgia"/>
        </w:rPr>
        <w:t xml:space="preserve">, a firm with a chartered surveyor, Spencer Gower, as its principal. The Applicant protested at this appointment </w:t>
      </w:r>
      <w:r w:rsidR="00422EA9">
        <w:rPr>
          <w:rFonts w:ascii="Georgia" w:hAnsi="Georgia"/>
        </w:rPr>
        <w:t xml:space="preserve">contending that the fees for management were excessive </w:t>
      </w:r>
      <w:r w:rsidR="00380862">
        <w:rPr>
          <w:rFonts w:ascii="Georgia" w:hAnsi="Georgia"/>
        </w:rPr>
        <w:t xml:space="preserve">and provided </w:t>
      </w:r>
      <w:r w:rsidR="00D27128">
        <w:rPr>
          <w:rFonts w:ascii="Georgia" w:hAnsi="Georgia"/>
        </w:rPr>
        <w:t xml:space="preserve">a tender from an alternative firm, Fraser Allen. </w:t>
      </w:r>
      <w:r w:rsidR="00F57358">
        <w:rPr>
          <w:rFonts w:ascii="Georgia" w:hAnsi="Georgia"/>
        </w:rPr>
        <w:t xml:space="preserve">The </w:t>
      </w:r>
      <w:r w:rsidR="00BC1104">
        <w:rPr>
          <w:rFonts w:ascii="Georgia" w:hAnsi="Georgia"/>
        </w:rPr>
        <w:t xml:space="preserve">reasonableness of the </w:t>
      </w:r>
      <w:r w:rsidR="00F57358">
        <w:rPr>
          <w:rFonts w:ascii="Georgia" w:hAnsi="Georgia"/>
        </w:rPr>
        <w:t xml:space="preserve">management fees charged by </w:t>
      </w:r>
      <w:r w:rsidR="00BC1104">
        <w:rPr>
          <w:rFonts w:ascii="Georgia" w:hAnsi="Georgia"/>
        </w:rPr>
        <w:t>S</w:t>
      </w:r>
      <w:r w:rsidR="008550D3">
        <w:rPr>
          <w:rFonts w:ascii="Georgia" w:hAnsi="Georgia"/>
        </w:rPr>
        <w:t>P</w:t>
      </w:r>
      <w:r w:rsidR="00BC1104">
        <w:rPr>
          <w:rFonts w:ascii="Georgia" w:hAnsi="Georgia"/>
        </w:rPr>
        <w:t>G are in dispute in this case.</w:t>
      </w:r>
      <w:r w:rsidR="00F72519">
        <w:rPr>
          <w:rFonts w:ascii="Georgia" w:hAnsi="Georgia"/>
        </w:rPr>
        <w:t xml:space="preserve"> The Respondent asked the Applicant not to </w:t>
      </w:r>
      <w:r w:rsidR="006B1669">
        <w:rPr>
          <w:rFonts w:ascii="Georgia" w:hAnsi="Georgia"/>
        </w:rPr>
        <w:t xml:space="preserve">send communications directly to SPG to allow a single channel of communication </w:t>
      </w:r>
      <w:r w:rsidR="00124E9C">
        <w:rPr>
          <w:rFonts w:ascii="Georgia" w:hAnsi="Georgia"/>
        </w:rPr>
        <w:t xml:space="preserve">to SPG from the Respondent. However, it </w:t>
      </w:r>
      <w:r w:rsidR="009345F6">
        <w:rPr>
          <w:rFonts w:ascii="Georgia" w:hAnsi="Georgia"/>
        </w:rPr>
        <w:t>was</w:t>
      </w:r>
      <w:r w:rsidR="00124E9C">
        <w:rPr>
          <w:rFonts w:ascii="Georgia" w:hAnsi="Georgia"/>
        </w:rPr>
        <w:t xml:space="preserve"> said by Jennifer Faulkner </w:t>
      </w:r>
      <w:r w:rsidR="009345F6">
        <w:rPr>
          <w:rFonts w:ascii="Georgia" w:hAnsi="Georgia"/>
        </w:rPr>
        <w:t xml:space="preserve">that </w:t>
      </w:r>
      <w:r w:rsidR="00325B8B">
        <w:rPr>
          <w:rFonts w:ascii="Georgia" w:hAnsi="Georgia"/>
        </w:rPr>
        <w:t xml:space="preserve">the Applicant did continue to </w:t>
      </w:r>
      <w:r w:rsidR="00861709">
        <w:rPr>
          <w:rFonts w:ascii="Georgia" w:hAnsi="Georgia"/>
        </w:rPr>
        <w:t>communicate with SPG</w:t>
      </w:r>
      <w:r w:rsidR="00974DB8">
        <w:rPr>
          <w:rFonts w:ascii="Georgia" w:hAnsi="Georgia"/>
        </w:rPr>
        <w:t xml:space="preserve">. An on-line AGM in June 2024 </w:t>
      </w:r>
      <w:r w:rsidR="00FA08C1">
        <w:rPr>
          <w:rFonts w:ascii="Georgia" w:hAnsi="Georgia"/>
        </w:rPr>
        <w:t xml:space="preserve">was not </w:t>
      </w:r>
      <w:r w:rsidR="00813B31">
        <w:rPr>
          <w:rFonts w:ascii="Georgia" w:hAnsi="Georgia"/>
        </w:rPr>
        <w:t xml:space="preserve">successful and the SPG representatives </w:t>
      </w:r>
      <w:r w:rsidR="00095F49">
        <w:rPr>
          <w:rFonts w:ascii="Georgia" w:hAnsi="Georgia"/>
        </w:rPr>
        <w:t>left the meeting abruptly</w:t>
      </w:r>
      <w:r w:rsidR="00BE5362">
        <w:rPr>
          <w:rFonts w:ascii="Georgia" w:hAnsi="Georgia"/>
        </w:rPr>
        <w:t>.</w:t>
      </w:r>
      <w:r w:rsidR="00095F49">
        <w:rPr>
          <w:rFonts w:ascii="Georgia" w:hAnsi="Georgia"/>
        </w:rPr>
        <w:t xml:space="preserve"> S</w:t>
      </w:r>
      <w:r w:rsidR="001E1343">
        <w:rPr>
          <w:rFonts w:ascii="Georgia" w:hAnsi="Georgia"/>
        </w:rPr>
        <w:t>PG</w:t>
      </w:r>
      <w:r w:rsidR="00095F49">
        <w:rPr>
          <w:rFonts w:ascii="Georgia" w:hAnsi="Georgia"/>
        </w:rPr>
        <w:t xml:space="preserve"> later terminated their contract </w:t>
      </w:r>
      <w:r w:rsidR="001E1343">
        <w:rPr>
          <w:rFonts w:ascii="Georgia" w:hAnsi="Georgia"/>
        </w:rPr>
        <w:t xml:space="preserve">with the Respondent </w:t>
      </w:r>
      <w:r w:rsidR="00095F49">
        <w:rPr>
          <w:rFonts w:ascii="Georgia" w:hAnsi="Georgia"/>
        </w:rPr>
        <w:t xml:space="preserve">but </w:t>
      </w:r>
      <w:r w:rsidR="001E1343">
        <w:rPr>
          <w:rFonts w:ascii="Georgia" w:hAnsi="Georgia"/>
        </w:rPr>
        <w:t>remain in pos</w:t>
      </w:r>
      <w:r w:rsidR="001B609A">
        <w:rPr>
          <w:rFonts w:ascii="Georgia" w:hAnsi="Georgia"/>
        </w:rPr>
        <w:t>t for the time being.</w:t>
      </w:r>
      <w:r w:rsidR="001E1343">
        <w:rPr>
          <w:rFonts w:ascii="Georgia" w:hAnsi="Georgia"/>
        </w:rPr>
        <w:t xml:space="preserve"> </w:t>
      </w:r>
      <w:r w:rsidR="00BC1104">
        <w:rPr>
          <w:rFonts w:ascii="Georgia" w:hAnsi="Georgia"/>
        </w:rPr>
        <w:t xml:space="preserve"> </w:t>
      </w:r>
    </w:p>
    <w:p w14:paraId="5464B86A" w14:textId="77777777" w:rsidR="004C50AD" w:rsidRDefault="004C50AD" w:rsidP="00293796">
      <w:pPr>
        <w:jc w:val="both"/>
        <w:rPr>
          <w:rFonts w:ascii="Georgia" w:hAnsi="Georgia"/>
        </w:rPr>
      </w:pPr>
    </w:p>
    <w:p w14:paraId="21AF115D" w14:textId="151E221C" w:rsidR="004C50AD" w:rsidRPr="0045744C" w:rsidRDefault="0045744C" w:rsidP="00293796">
      <w:pPr>
        <w:jc w:val="both"/>
        <w:rPr>
          <w:rFonts w:ascii="Georgia" w:hAnsi="Georgia"/>
          <w:b/>
          <w:bCs/>
        </w:rPr>
      </w:pPr>
      <w:r>
        <w:rPr>
          <w:rFonts w:ascii="Georgia" w:hAnsi="Georgia"/>
          <w:b/>
          <w:bCs/>
        </w:rPr>
        <w:t>Summary of the Applicant’s case</w:t>
      </w:r>
    </w:p>
    <w:p w14:paraId="2578BAFD" w14:textId="698D86B8" w:rsidR="0088737B" w:rsidRPr="00A86C0A" w:rsidRDefault="00182D10" w:rsidP="00A86C0A">
      <w:pPr>
        <w:jc w:val="both"/>
        <w:rPr>
          <w:rFonts w:ascii="Georgia" w:hAnsi="Georgia"/>
        </w:rPr>
      </w:pPr>
      <w:r>
        <w:rPr>
          <w:rFonts w:ascii="Georgia" w:hAnsi="Georgia"/>
        </w:rPr>
        <w:t xml:space="preserve">20. </w:t>
      </w:r>
      <w:r w:rsidR="006202EE">
        <w:rPr>
          <w:rFonts w:ascii="Georgia" w:hAnsi="Georgia"/>
        </w:rPr>
        <w:t xml:space="preserve">In respect of the fire alarm and related safety issues, the Applicant centred her case on the terms of the Lease that specifically </w:t>
      </w:r>
      <w:r w:rsidR="0088737B">
        <w:rPr>
          <w:rFonts w:ascii="Georgia" w:hAnsi="Georgia"/>
        </w:rPr>
        <w:t>exclude the</w:t>
      </w:r>
      <w:r w:rsidR="00144F27">
        <w:rPr>
          <w:rFonts w:ascii="Georgia" w:hAnsi="Georgia"/>
        </w:rPr>
        <w:t xml:space="preserve"> expenses </w:t>
      </w:r>
      <w:r w:rsidR="00144F27" w:rsidRPr="00A86C0A">
        <w:rPr>
          <w:rFonts w:ascii="Georgia" w:hAnsi="Georgia"/>
        </w:rPr>
        <w:t>of maintaining repairing redecorating and renewing the main entrances passages landings and staircases of the property so enjoyed and used by the lessee in common and the cost of cleaning and lighting the passages landing staircases and other parts of the Building so enjoyed or used by the lessee in common</w:t>
      </w:r>
      <w:r w:rsidR="0088737B" w:rsidRPr="00A86C0A">
        <w:rPr>
          <w:rFonts w:ascii="Georgia" w:hAnsi="Georgia"/>
        </w:rPr>
        <w:t>.</w:t>
      </w:r>
      <w:r w:rsidR="005030D6">
        <w:rPr>
          <w:rFonts w:ascii="Georgia" w:hAnsi="Georgia"/>
        </w:rPr>
        <w:t xml:space="preserve"> She submitted that this exclusion </w:t>
      </w:r>
      <w:r w:rsidR="00766F9D">
        <w:rPr>
          <w:rFonts w:ascii="Georgia" w:hAnsi="Georgia"/>
        </w:rPr>
        <w:t>extended to any fixtures and fittings included in the common hallway and</w:t>
      </w:r>
      <w:r w:rsidR="009A6586">
        <w:rPr>
          <w:rFonts w:ascii="Georgia" w:hAnsi="Georgia"/>
        </w:rPr>
        <w:t xml:space="preserve"> also extend</w:t>
      </w:r>
      <w:r w:rsidR="00766F9D">
        <w:rPr>
          <w:rFonts w:ascii="Georgia" w:hAnsi="Georgia"/>
        </w:rPr>
        <w:t xml:space="preserve">ed </w:t>
      </w:r>
      <w:r w:rsidR="009A6586">
        <w:rPr>
          <w:rFonts w:ascii="Georgia" w:hAnsi="Georgia"/>
        </w:rPr>
        <w:t xml:space="preserve">to </w:t>
      </w:r>
      <w:r w:rsidR="00766F9D">
        <w:rPr>
          <w:rFonts w:ascii="Georgia" w:hAnsi="Georgia"/>
        </w:rPr>
        <w:t>routine safety activities</w:t>
      </w:r>
      <w:r w:rsidR="00913C64">
        <w:rPr>
          <w:rFonts w:ascii="Georgia" w:hAnsi="Georgia"/>
        </w:rPr>
        <w:t xml:space="preserve">. She claimed that there was no language elsewhere is the Lease that imposed on her any obligation to contribute to the costs of the fire alarm </w:t>
      </w:r>
      <w:r w:rsidR="006E6B3E">
        <w:rPr>
          <w:rFonts w:ascii="Georgia" w:hAnsi="Georgia"/>
        </w:rPr>
        <w:t xml:space="preserve">or fire safety matters. </w:t>
      </w:r>
    </w:p>
    <w:p w14:paraId="23AA4BCA" w14:textId="77777777" w:rsidR="0088737B" w:rsidRDefault="0088737B" w:rsidP="0088737B">
      <w:pPr>
        <w:jc w:val="both"/>
        <w:rPr>
          <w:rFonts w:ascii="Georgia" w:hAnsi="Georgia"/>
        </w:rPr>
      </w:pPr>
    </w:p>
    <w:p w14:paraId="3DC8415E" w14:textId="191D28FA" w:rsidR="00EF4623" w:rsidRDefault="00182D10" w:rsidP="00293796">
      <w:pPr>
        <w:jc w:val="both"/>
        <w:rPr>
          <w:rFonts w:ascii="Georgia" w:hAnsi="Georgia"/>
          <w:iCs/>
        </w:rPr>
      </w:pPr>
      <w:r>
        <w:rPr>
          <w:rFonts w:ascii="Georgia" w:hAnsi="Georgia"/>
        </w:rPr>
        <w:t xml:space="preserve">21. </w:t>
      </w:r>
      <w:r w:rsidR="006E6B3E">
        <w:rPr>
          <w:rFonts w:ascii="Georgia" w:hAnsi="Georgia"/>
        </w:rPr>
        <w:t>In support of that basic submission, she referred to the leading case of</w:t>
      </w:r>
      <w:r w:rsidR="00174382">
        <w:rPr>
          <w:rFonts w:ascii="Georgia" w:hAnsi="Georgia"/>
        </w:rPr>
        <w:t xml:space="preserve"> </w:t>
      </w:r>
      <w:r w:rsidR="0021535A">
        <w:rPr>
          <w:rFonts w:ascii="Georgia" w:hAnsi="Georgia"/>
          <w:i/>
        </w:rPr>
        <w:t xml:space="preserve">Arnold v Britten </w:t>
      </w:r>
      <w:r w:rsidR="0021535A">
        <w:rPr>
          <w:rFonts w:ascii="Georgia" w:hAnsi="Georgia"/>
          <w:iCs/>
        </w:rPr>
        <w:t xml:space="preserve">[2015] UKSC 36 </w:t>
      </w:r>
      <w:r w:rsidR="00CB21FC">
        <w:rPr>
          <w:rFonts w:ascii="Georgia" w:hAnsi="Georgia"/>
          <w:iCs/>
        </w:rPr>
        <w:t xml:space="preserve">and </w:t>
      </w:r>
      <w:r w:rsidR="00C1549D">
        <w:rPr>
          <w:rFonts w:ascii="Georgia" w:hAnsi="Georgia"/>
          <w:iCs/>
        </w:rPr>
        <w:t>claimed that including</w:t>
      </w:r>
      <w:r w:rsidR="004D4FFF" w:rsidRPr="004D4FFF">
        <w:rPr>
          <w:rFonts w:ascii="Georgia" w:hAnsi="Georgia"/>
          <w:iCs/>
        </w:rPr>
        <w:t xml:space="preserve"> </w:t>
      </w:r>
      <w:r w:rsidR="004D4FFF">
        <w:rPr>
          <w:rFonts w:ascii="Georgia" w:hAnsi="Georgia"/>
          <w:iCs/>
        </w:rPr>
        <w:t xml:space="preserve">the fire alarm costs in the internal service charge would fit within </w:t>
      </w:r>
      <w:r w:rsidR="00144F27">
        <w:rPr>
          <w:rFonts w:ascii="Georgia" w:hAnsi="Georgia"/>
          <w:iCs/>
        </w:rPr>
        <w:t xml:space="preserve">the natural and ordinary meaning of the words </w:t>
      </w:r>
      <w:r w:rsidR="004D4FFF">
        <w:rPr>
          <w:rFonts w:ascii="Georgia" w:hAnsi="Georgia"/>
          <w:iCs/>
        </w:rPr>
        <w:t>in the Lease</w:t>
      </w:r>
      <w:r w:rsidR="00DE064E">
        <w:rPr>
          <w:rFonts w:ascii="Georgia" w:hAnsi="Georgia"/>
          <w:iCs/>
        </w:rPr>
        <w:t>. She also cited</w:t>
      </w:r>
      <w:r w:rsidR="00BA0443">
        <w:rPr>
          <w:rFonts w:ascii="Georgia" w:hAnsi="Georgia"/>
          <w:iCs/>
        </w:rPr>
        <w:t xml:space="preserve"> four decisions of the First-tier Tribunal </w:t>
      </w:r>
      <w:r w:rsidR="00AC421F">
        <w:rPr>
          <w:rFonts w:ascii="Georgia" w:hAnsi="Georgia"/>
          <w:iCs/>
        </w:rPr>
        <w:t>(detailed and discussed in paragraph</w:t>
      </w:r>
      <w:r w:rsidR="007B22B1">
        <w:rPr>
          <w:rFonts w:ascii="Georgia" w:hAnsi="Georgia"/>
          <w:iCs/>
        </w:rPr>
        <w:t>s</w:t>
      </w:r>
      <w:r w:rsidR="00306DB1">
        <w:rPr>
          <w:rFonts w:ascii="Georgia" w:hAnsi="Georgia"/>
          <w:iCs/>
        </w:rPr>
        <w:t xml:space="preserve"> 33-36 </w:t>
      </w:r>
      <w:r w:rsidR="00AC421F">
        <w:rPr>
          <w:rFonts w:ascii="Georgia" w:hAnsi="Georgia"/>
          <w:iCs/>
        </w:rPr>
        <w:t xml:space="preserve">below) </w:t>
      </w:r>
      <w:r w:rsidR="00BA0443">
        <w:rPr>
          <w:rFonts w:ascii="Georgia" w:hAnsi="Georgia"/>
          <w:iCs/>
        </w:rPr>
        <w:t xml:space="preserve">which </w:t>
      </w:r>
      <w:r w:rsidR="00AC421F">
        <w:rPr>
          <w:rFonts w:ascii="Georgia" w:hAnsi="Georgia"/>
          <w:iCs/>
        </w:rPr>
        <w:t xml:space="preserve">she submitted supported her submission. </w:t>
      </w:r>
    </w:p>
    <w:p w14:paraId="1876A3D7" w14:textId="77777777" w:rsidR="00447EC3" w:rsidRDefault="00447EC3" w:rsidP="00293796">
      <w:pPr>
        <w:jc w:val="both"/>
        <w:rPr>
          <w:rFonts w:ascii="Georgia" w:hAnsi="Georgia"/>
          <w:iCs/>
        </w:rPr>
      </w:pPr>
    </w:p>
    <w:p w14:paraId="0DC52073" w14:textId="43820BCF" w:rsidR="00447EC3" w:rsidRDefault="00301D08" w:rsidP="00293796">
      <w:pPr>
        <w:jc w:val="both"/>
        <w:rPr>
          <w:rFonts w:ascii="Georgia" w:hAnsi="Georgia"/>
          <w:iCs/>
        </w:rPr>
      </w:pPr>
      <w:r>
        <w:rPr>
          <w:rFonts w:ascii="Georgia" w:hAnsi="Georgia"/>
          <w:iCs/>
        </w:rPr>
        <w:t xml:space="preserve">22. </w:t>
      </w:r>
      <w:r w:rsidR="00447EC3">
        <w:rPr>
          <w:rFonts w:ascii="Georgia" w:hAnsi="Georgia"/>
          <w:iCs/>
        </w:rPr>
        <w:t>In the event that her submissions on the proper interpretation of the Lease did not succeed, the Applicant further argued that a promiss</w:t>
      </w:r>
      <w:r w:rsidR="004B54B7">
        <w:rPr>
          <w:rFonts w:ascii="Georgia" w:hAnsi="Georgia"/>
          <w:iCs/>
        </w:rPr>
        <w:t xml:space="preserve">ory estoppel applied. She submitted that a figure in the budget supplied to her at </w:t>
      </w:r>
      <w:r w:rsidR="00C96B62">
        <w:rPr>
          <w:rFonts w:ascii="Georgia" w:hAnsi="Georgia"/>
          <w:iCs/>
        </w:rPr>
        <w:t>the time of her purchase, including fire alarm costs in the internal schedule, was a representation on which she had relied to her detriment</w:t>
      </w:r>
      <w:r w:rsidR="00672AF1">
        <w:rPr>
          <w:rFonts w:ascii="Georgia" w:hAnsi="Georgia"/>
          <w:iCs/>
        </w:rPr>
        <w:t xml:space="preserve"> and the estoppel thereby applied to exc</w:t>
      </w:r>
      <w:r w:rsidR="00F13817">
        <w:rPr>
          <w:rFonts w:ascii="Georgia" w:hAnsi="Georgia"/>
          <w:iCs/>
        </w:rPr>
        <w:t>l</w:t>
      </w:r>
      <w:r w:rsidR="00672AF1">
        <w:rPr>
          <w:rFonts w:ascii="Georgia" w:hAnsi="Georgia"/>
          <w:iCs/>
        </w:rPr>
        <w:t xml:space="preserve">ude her from any </w:t>
      </w:r>
      <w:r w:rsidR="00F13817">
        <w:rPr>
          <w:rFonts w:ascii="Georgia" w:hAnsi="Georgia"/>
          <w:iCs/>
        </w:rPr>
        <w:lastRenderedPageBreak/>
        <w:t xml:space="preserve">future fire alarm costs if they properly fall within the general service charge. </w:t>
      </w:r>
      <w:r w:rsidR="001F30A1">
        <w:rPr>
          <w:rFonts w:ascii="Georgia" w:hAnsi="Georgia"/>
          <w:iCs/>
        </w:rPr>
        <w:t>While the amount might</w:t>
      </w:r>
      <w:r w:rsidR="004B4F43">
        <w:rPr>
          <w:rFonts w:ascii="Georgia" w:hAnsi="Georgia"/>
          <w:iCs/>
        </w:rPr>
        <w:t xml:space="preserve"> </w:t>
      </w:r>
      <w:r w:rsidR="001F30A1">
        <w:rPr>
          <w:rFonts w:ascii="Georgia" w:hAnsi="Georgia"/>
          <w:iCs/>
        </w:rPr>
        <w:t xml:space="preserve">have been </w:t>
      </w:r>
      <w:r w:rsidR="004B4F43">
        <w:rPr>
          <w:rFonts w:ascii="Georgia" w:hAnsi="Georgia"/>
          <w:iCs/>
        </w:rPr>
        <w:t>small</w:t>
      </w:r>
      <w:r w:rsidR="00D05A7C">
        <w:rPr>
          <w:rFonts w:ascii="Georgia" w:hAnsi="Georgia"/>
          <w:iCs/>
        </w:rPr>
        <w:t>,</w:t>
      </w:r>
      <w:r w:rsidR="004B4F43">
        <w:rPr>
          <w:rFonts w:ascii="Georgia" w:hAnsi="Georgia"/>
          <w:iCs/>
        </w:rPr>
        <w:t xml:space="preserve"> she </w:t>
      </w:r>
      <w:r w:rsidR="00401294">
        <w:rPr>
          <w:rFonts w:ascii="Georgia" w:hAnsi="Georgia"/>
          <w:iCs/>
        </w:rPr>
        <w:t xml:space="preserve">said that she </w:t>
      </w:r>
      <w:r w:rsidR="004B4F43">
        <w:rPr>
          <w:rFonts w:ascii="Georgia" w:hAnsi="Georgia"/>
          <w:iCs/>
        </w:rPr>
        <w:t xml:space="preserve">did rely upon it. </w:t>
      </w:r>
    </w:p>
    <w:p w14:paraId="5DFBE433" w14:textId="77777777" w:rsidR="00870705" w:rsidRDefault="00870705" w:rsidP="00293796">
      <w:pPr>
        <w:jc w:val="both"/>
        <w:rPr>
          <w:rFonts w:ascii="Georgia" w:hAnsi="Georgia"/>
          <w:iCs/>
        </w:rPr>
      </w:pPr>
    </w:p>
    <w:p w14:paraId="5EFAFC89" w14:textId="1E4577EB" w:rsidR="00870705" w:rsidRDefault="00301D08" w:rsidP="00293796">
      <w:pPr>
        <w:jc w:val="both"/>
        <w:rPr>
          <w:rFonts w:ascii="Georgia" w:hAnsi="Georgia"/>
          <w:iCs/>
        </w:rPr>
      </w:pPr>
      <w:r>
        <w:rPr>
          <w:rFonts w:ascii="Georgia" w:hAnsi="Georgia"/>
          <w:iCs/>
        </w:rPr>
        <w:t xml:space="preserve">23. </w:t>
      </w:r>
      <w:r w:rsidR="00870705">
        <w:rPr>
          <w:rFonts w:ascii="Georgia" w:hAnsi="Georgia"/>
          <w:iCs/>
        </w:rPr>
        <w:t>With</w:t>
      </w:r>
      <w:r w:rsidR="008550D3">
        <w:rPr>
          <w:rFonts w:ascii="Georgia" w:hAnsi="Georgia"/>
          <w:iCs/>
        </w:rPr>
        <w:t xml:space="preserve"> regard to the management fees now payable to SPG, the Applicant submits that </w:t>
      </w:r>
      <w:r w:rsidR="00E31DE0">
        <w:rPr>
          <w:rFonts w:ascii="Georgia" w:hAnsi="Georgia"/>
          <w:iCs/>
        </w:rPr>
        <w:t xml:space="preserve">no reasonable landlord would have agreed the fee chargeable, citing </w:t>
      </w:r>
      <w:r w:rsidR="00E31DE0">
        <w:rPr>
          <w:rFonts w:ascii="Georgia" w:hAnsi="Georgia"/>
          <w:i/>
        </w:rPr>
        <w:t>Waverly</w:t>
      </w:r>
      <w:r w:rsidR="009A124E">
        <w:rPr>
          <w:rFonts w:ascii="Georgia" w:hAnsi="Georgia"/>
          <w:i/>
        </w:rPr>
        <w:t xml:space="preserve"> Borough Council v O’Leary </w:t>
      </w:r>
      <w:r w:rsidR="009A124E">
        <w:rPr>
          <w:rFonts w:ascii="Georgia" w:hAnsi="Georgia"/>
          <w:iCs/>
        </w:rPr>
        <w:t>(1990)</w:t>
      </w:r>
      <w:r w:rsidR="00867C53">
        <w:rPr>
          <w:rFonts w:ascii="Georgia" w:hAnsi="Georgia"/>
          <w:iCs/>
        </w:rPr>
        <w:t xml:space="preserve"> without at least due diligence</w:t>
      </w:r>
      <w:r w:rsidR="001E2E26">
        <w:rPr>
          <w:rFonts w:ascii="Georgia" w:hAnsi="Georgia"/>
          <w:iCs/>
        </w:rPr>
        <w:t xml:space="preserve"> on the agent being appointed. </w:t>
      </w:r>
      <w:r w:rsidR="00FD1776">
        <w:rPr>
          <w:rFonts w:ascii="Georgia" w:hAnsi="Georgia"/>
          <w:iCs/>
        </w:rPr>
        <w:t>She claimed that if due diligence had occurred, the firm would not have been appointed since the</w:t>
      </w:r>
      <w:r w:rsidR="006A0543">
        <w:rPr>
          <w:rFonts w:ascii="Georgia" w:hAnsi="Georgia"/>
          <w:iCs/>
        </w:rPr>
        <w:t xml:space="preserve"> RICS principal was a </w:t>
      </w:r>
      <w:r w:rsidR="00E0031A">
        <w:rPr>
          <w:rFonts w:ascii="Georgia" w:hAnsi="Georgia"/>
          <w:iCs/>
        </w:rPr>
        <w:t>self-employed</w:t>
      </w:r>
      <w:r w:rsidR="006A0543">
        <w:rPr>
          <w:rFonts w:ascii="Georgia" w:hAnsi="Georgia"/>
          <w:iCs/>
        </w:rPr>
        <w:t xml:space="preserve"> commercial property surveyor</w:t>
      </w:r>
      <w:r w:rsidR="00E0031A">
        <w:rPr>
          <w:rFonts w:ascii="Georgia" w:hAnsi="Georgia"/>
          <w:iCs/>
        </w:rPr>
        <w:t xml:space="preserve"> whose experience did not extend to residential property matters. </w:t>
      </w:r>
      <w:r w:rsidR="005E3DCF">
        <w:rPr>
          <w:rFonts w:ascii="Georgia" w:hAnsi="Georgia"/>
          <w:iCs/>
        </w:rPr>
        <w:t xml:space="preserve">It was also noted that paragraph 8 of the </w:t>
      </w:r>
      <w:r w:rsidR="005F50A1">
        <w:rPr>
          <w:rFonts w:ascii="Georgia" w:hAnsi="Georgia"/>
          <w:iCs/>
        </w:rPr>
        <w:t>Fifth</w:t>
      </w:r>
      <w:r w:rsidR="005E3DCF">
        <w:rPr>
          <w:rFonts w:ascii="Georgia" w:hAnsi="Georgia"/>
          <w:iCs/>
        </w:rPr>
        <w:t xml:space="preserve"> Schedule to the </w:t>
      </w:r>
      <w:r w:rsidR="00FD6821">
        <w:rPr>
          <w:rFonts w:ascii="Georgia" w:hAnsi="Georgia"/>
          <w:iCs/>
        </w:rPr>
        <w:t xml:space="preserve">Lease </w:t>
      </w:r>
      <w:r w:rsidR="00E95D34">
        <w:rPr>
          <w:rFonts w:ascii="Georgia" w:hAnsi="Georgia"/>
          <w:iCs/>
        </w:rPr>
        <w:t xml:space="preserve">reinforces the principle that </w:t>
      </w:r>
      <w:r w:rsidR="00633A7B">
        <w:rPr>
          <w:rFonts w:ascii="Georgia" w:hAnsi="Georgia"/>
          <w:iCs/>
        </w:rPr>
        <w:t>managing agent’s costs must be reasonable.</w:t>
      </w:r>
      <w:r w:rsidR="00F365D1">
        <w:rPr>
          <w:rFonts w:ascii="Georgia" w:hAnsi="Georgia"/>
          <w:iCs/>
        </w:rPr>
        <w:t xml:space="preserve"> The Applicant further claimed that the services of SPG had not been of a reasonable standard</w:t>
      </w:r>
      <w:r w:rsidR="00003F47">
        <w:rPr>
          <w:rFonts w:ascii="Georgia" w:hAnsi="Georgia"/>
          <w:iCs/>
        </w:rPr>
        <w:t xml:space="preserve"> but without supporting evidence</w:t>
      </w:r>
      <w:r w:rsidR="00F365D1">
        <w:rPr>
          <w:rFonts w:ascii="Georgia" w:hAnsi="Georgia"/>
          <w:iCs/>
        </w:rPr>
        <w:t>.</w:t>
      </w:r>
    </w:p>
    <w:p w14:paraId="6D265688" w14:textId="77777777" w:rsidR="006E1AD6" w:rsidRDefault="006E1AD6" w:rsidP="00293796">
      <w:pPr>
        <w:jc w:val="both"/>
        <w:rPr>
          <w:rFonts w:ascii="Georgia" w:hAnsi="Georgia"/>
          <w:iCs/>
        </w:rPr>
      </w:pPr>
    </w:p>
    <w:p w14:paraId="7EA48813" w14:textId="50A69461" w:rsidR="00F365D1" w:rsidRPr="009A124E" w:rsidRDefault="00301D08" w:rsidP="00293796">
      <w:pPr>
        <w:jc w:val="both"/>
        <w:rPr>
          <w:rFonts w:ascii="Georgia" w:hAnsi="Georgia"/>
          <w:iCs/>
        </w:rPr>
      </w:pPr>
      <w:r>
        <w:rPr>
          <w:rFonts w:ascii="Georgia" w:hAnsi="Georgia"/>
          <w:iCs/>
        </w:rPr>
        <w:t xml:space="preserve">24. </w:t>
      </w:r>
      <w:r w:rsidR="00F365D1">
        <w:rPr>
          <w:rFonts w:ascii="Georgia" w:hAnsi="Georgia"/>
          <w:iCs/>
        </w:rPr>
        <w:t>Finally, in respect of the 2024/25 budget</w:t>
      </w:r>
      <w:r w:rsidR="00783051">
        <w:rPr>
          <w:rFonts w:ascii="Georgia" w:hAnsi="Georgia"/>
          <w:iCs/>
        </w:rPr>
        <w:t>, she claimed that the amounts were knowingly overstated i</w:t>
      </w:r>
      <w:r w:rsidR="003B4725">
        <w:rPr>
          <w:rFonts w:ascii="Georgia" w:hAnsi="Georgia"/>
          <w:iCs/>
        </w:rPr>
        <w:t>n contravention of section 19(2) of the 1985 Act.</w:t>
      </w:r>
    </w:p>
    <w:p w14:paraId="5EA0E62F" w14:textId="77777777" w:rsidR="0045744C" w:rsidRDefault="0045744C" w:rsidP="00293796">
      <w:pPr>
        <w:jc w:val="both"/>
        <w:rPr>
          <w:rFonts w:ascii="Georgia" w:hAnsi="Georgia"/>
        </w:rPr>
      </w:pPr>
    </w:p>
    <w:p w14:paraId="15810B64" w14:textId="33EE424D" w:rsidR="0045744C" w:rsidRPr="0045744C" w:rsidRDefault="0045744C" w:rsidP="00293796">
      <w:pPr>
        <w:jc w:val="both"/>
        <w:rPr>
          <w:rFonts w:ascii="Georgia" w:hAnsi="Georgia"/>
          <w:b/>
          <w:bCs/>
        </w:rPr>
      </w:pPr>
      <w:r w:rsidRPr="0045744C">
        <w:rPr>
          <w:rFonts w:ascii="Georgia" w:hAnsi="Georgia"/>
          <w:b/>
          <w:bCs/>
        </w:rPr>
        <w:t>Summary of the Respondent’s case</w:t>
      </w:r>
    </w:p>
    <w:p w14:paraId="79BA066F" w14:textId="3D70EF32" w:rsidR="0045744C" w:rsidRDefault="00301D08" w:rsidP="00293796">
      <w:pPr>
        <w:jc w:val="both"/>
        <w:rPr>
          <w:rFonts w:ascii="Georgia" w:hAnsi="Georgia"/>
        </w:rPr>
      </w:pPr>
      <w:r>
        <w:rPr>
          <w:rFonts w:ascii="Georgia" w:hAnsi="Georgia"/>
        </w:rPr>
        <w:t xml:space="preserve">25. </w:t>
      </w:r>
      <w:r w:rsidR="00EE3553">
        <w:rPr>
          <w:rFonts w:ascii="Georgia" w:hAnsi="Georgia"/>
        </w:rPr>
        <w:t>In</w:t>
      </w:r>
      <w:r w:rsidR="000D48D7">
        <w:rPr>
          <w:rFonts w:ascii="Georgia" w:hAnsi="Georgia"/>
        </w:rPr>
        <w:t>i</w:t>
      </w:r>
      <w:r w:rsidR="00EE3553">
        <w:rPr>
          <w:rFonts w:ascii="Georgia" w:hAnsi="Georgia"/>
        </w:rPr>
        <w:t>tially, the Respondent’s position statement</w:t>
      </w:r>
      <w:r w:rsidR="00B263FE">
        <w:rPr>
          <w:rFonts w:ascii="Georgia" w:hAnsi="Georgia"/>
        </w:rPr>
        <w:t xml:space="preserve"> sought to establish that the Applicant as owner of the garden maisonette was </w:t>
      </w:r>
      <w:r w:rsidR="00727CD3">
        <w:rPr>
          <w:rFonts w:ascii="Georgia" w:hAnsi="Georgia"/>
        </w:rPr>
        <w:t>obliged to pay towards all costs incurred by the Respondent</w:t>
      </w:r>
      <w:r w:rsidR="000D48D7">
        <w:rPr>
          <w:rFonts w:ascii="Georgia" w:hAnsi="Georgia"/>
        </w:rPr>
        <w:t xml:space="preserve">. This ignored the </w:t>
      </w:r>
      <w:r w:rsidR="00FD6821">
        <w:rPr>
          <w:rFonts w:ascii="Georgia" w:hAnsi="Georgia"/>
        </w:rPr>
        <w:t>clear wor</w:t>
      </w:r>
      <w:r w:rsidR="00D03BC8">
        <w:rPr>
          <w:rFonts w:ascii="Georgia" w:hAnsi="Georgia"/>
        </w:rPr>
        <w:t>d</w:t>
      </w:r>
      <w:r w:rsidR="00FD6821">
        <w:rPr>
          <w:rFonts w:ascii="Georgia" w:hAnsi="Georgia"/>
        </w:rPr>
        <w:t>s set out in the saving clause at the commencement of the Fifth Schedule</w:t>
      </w:r>
      <w:r w:rsidR="00D03BC8">
        <w:rPr>
          <w:rFonts w:ascii="Georgia" w:hAnsi="Georgia"/>
        </w:rPr>
        <w:t xml:space="preserve"> to the Lease</w:t>
      </w:r>
      <w:r w:rsidR="000D48D7">
        <w:rPr>
          <w:rFonts w:ascii="Georgia" w:hAnsi="Georgia"/>
        </w:rPr>
        <w:t xml:space="preserve"> </w:t>
      </w:r>
      <w:r w:rsidR="00D03BC8">
        <w:rPr>
          <w:rFonts w:ascii="Georgia" w:hAnsi="Georgia"/>
        </w:rPr>
        <w:t>stating that the Applicant was not obliged to pay for cost items under clause 1(iv) and 2 of that Schedule</w:t>
      </w:r>
      <w:r w:rsidR="008F00B5">
        <w:rPr>
          <w:rFonts w:ascii="Georgia" w:hAnsi="Georgia"/>
        </w:rPr>
        <w:t xml:space="preserve"> – see paragraph </w:t>
      </w:r>
      <w:r w:rsidR="00B87E06">
        <w:rPr>
          <w:rFonts w:ascii="Georgia" w:hAnsi="Georgia"/>
        </w:rPr>
        <w:t>8 above</w:t>
      </w:r>
      <w:r w:rsidR="00D03BC8">
        <w:rPr>
          <w:rFonts w:ascii="Georgia" w:hAnsi="Georgia"/>
        </w:rPr>
        <w:t>. Wisely, this position was abandoned by Coun</w:t>
      </w:r>
      <w:r w:rsidR="005A001A">
        <w:rPr>
          <w:rFonts w:ascii="Georgia" w:hAnsi="Georgia"/>
        </w:rPr>
        <w:t>sel for the Respondent at the hearing. However, the position statement does make reference to</w:t>
      </w:r>
      <w:r w:rsidR="008C64B1" w:rsidRPr="008C64B1">
        <w:rPr>
          <w:rFonts w:ascii="Georgia" w:hAnsi="Georgia"/>
        </w:rPr>
        <w:t xml:space="preserve"> </w:t>
      </w:r>
      <w:r w:rsidR="008C64B1">
        <w:rPr>
          <w:rFonts w:ascii="Georgia" w:hAnsi="Georgia"/>
        </w:rPr>
        <w:t>paragraph 1(iii) of the Fifth Schedule requiring the Applicant to pay towards maintenance and repair of shared cabling, wires and other connections used by two or more flats in the Building</w:t>
      </w:r>
      <w:r w:rsidR="00C55031">
        <w:rPr>
          <w:rFonts w:ascii="Georgia" w:hAnsi="Georgia"/>
        </w:rPr>
        <w:t>.</w:t>
      </w:r>
    </w:p>
    <w:p w14:paraId="7DEDCC6C" w14:textId="77777777" w:rsidR="00FC37CC" w:rsidRDefault="00FC37CC" w:rsidP="00293796">
      <w:pPr>
        <w:jc w:val="both"/>
        <w:rPr>
          <w:rFonts w:ascii="Georgia" w:hAnsi="Georgia"/>
        </w:rPr>
      </w:pPr>
    </w:p>
    <w:p w14:paraId="2888AB30" w14:textId="7F28C9EB" w:rsidR="002965DE" w:rsidRDefault="000F7890" w:rsidP="00293796">
      <w:pPr>
        <w:jc w:val="both"/>
        <w:rPr>
          <w:rFonts w:ascii="Georgia" w:hAnsi="Georgia"/>
          <w:iCs/>
        </w:rPr>
      </w:pPr>
      <w:r>
        <w:rPr>
          <w:rFonts w:ascii="Georgia" w:hAnsi="Georgia"/>
        </w:rPr>
        <w:t xml:space="preserve">26. </w:t>
      </w:r>
      <w:r w:rsidR="00A1450D">
        <w:rPr>
          <w:rFonts w:ascii="Georgia" w:hAnsi="Georgia"/>
        </w:rPr>
        <w:t xml:space="preserve">The Respondent’s </w:t>
      </w:r>
      <w:r w:rsidR="00937DE3">
        <w:rPr>
          <w:rFonts w:ascii="Georgia" w:hAnsi="Georgia"/>
        </w:rPr>
        <w:t>writte</w:t>
      </w:r>
      <w:r w:rsidR="00374796">
        <w:rPr>
          <w:rFonts w:ascii="Georgia" w:hAnsi="Georgia"/>
        </w:rPr>
        <w:t xml:space="preserve">n </w:t>
      </w:r>
      <w:r w:rsidR="00A1450D">
        <w:rPr>
          <w:rFonts w:ascii="Georgia" w:hAnsi="Georgia"/>
        </w:rPr>
        <w:t xml:space="preserve">statement of case was poorly </w:t>
      </w:r>
      <w:r w:rsidR="00C858D6">
        <w:rPr>
          <w:rFonts w:ascii="Georgia" w:hAnsi="Georgia"/>
        </w:rPr>
        <w:t>presented. The ‘</w:t>
      </w:r>
      <w:r w:rsidR="008A2B3A">
        <w:rPr>
          <w:rFonts w:ascii="Georgia" w:hAnsi="Georgia"/>
        </w:rPr>
        <w:t>primary</w:t>
      </w:r>
      <w:r w:rsidR="00C858D6">
        <w:rPr>
          <w:rFonts w:ascii="Georgia" w:hAnsi="Georgia"/>
        </w:rPr>
        <w:t>’ contention – that the Applicant was barred by an estoppel by convention</w:t>
      </w:r>
      <w:r w:rsidR="008A2B3A">
        <w:rPr>
          <w:rFonts w:ascii="Georgia" w:hAnsi="Georgia"/>
        </w:rPr>
        <w:t xml:space="preserve"> -</w:t>
      </w:r>
      <w:r w:rsidR="00C858D6">
        <w:rPr>
          <w:rFonts w:ascii="Georgia" w:hAnsi="Georgia"/>
        </w:rPr>
        <w:t xml:space="preserve"> was abandoned </w:t>
      </w:r>
      <w:r w:rsidR="008A2B3A">
        <w:rPr>
          <w:rFonts w:ascii="Georgia" w:hAnsi="Georgia"/>
        </w:rPr>
        <w:t xml:space="preserve">halfway through the hearing and various not very appropriate issues about evidence, largely inapplicable to tribunal proceedings, were not followed up at the hearing. </w:t>
      </w:r>
      <w:r w:rsidR="005F6EAF">
        <w:rPr>
          <w:rFonts w:ascii="Georgia" w:hAnsi="Georgia"/>
        </w:rPr>
        <w:t xml:space="preserve">More pertinently, </w:t>
      </w:r>
      <w:r w:rsidR="00174382">
        <w:rPr>
          <w:rFonts w:ascii="Georgia" w:hAnsi="Georgia"/>
        </w:rPr>
        <w:t xml:space="preserve">the Respondent considered that the </w:t>
      </w:r>
      <w:r w:rsidR="00616D74">
        <w:rPr>
          <w:rFonts w:ascii="Georgia" w:hAnsi="Georgia"/>
        </w:rPr>
        <w:t xml:space="preserve">principles established in </w:t>
      </w:r>
      <w:r w:rsidR="00616D74">
        <w:rPr>
          <w:rFonts w:ascii="Georgia" w:hAnsi="Georgia"/>
          <w:i/>
        </w:rPr>
        <w:t>Arnold v Britten</w:t>
      </w:r>
      <w:r w:rsidR="00616D74">
        <w:rPr>
          <w:rFonts w:ascii="Georgia" w:hAnsi="Georgia"/>
          <w:iCs/>
        </w:rPr>
        <w:t xml:space="preserve"> </w:t>
      </w:r>
      <w:r w:rsidR="004D4FFF">
        <w:rPr>
          <w:rFonts w:ascii="Georgia" w:hAnsi="Georgia"/>
          <w:iCs/>
        </w:rPr>
        <w:t>resulted in the fire alarm costs in the internal service charge not fitting within the natural and ordinary meaning of the words in the Lease</w:t>
      </w:r>
      <w:r w:rsidR="00AE5C8A">
        <w:rPr>
          <w:rFonts w:ascii="Georgia" w:hAnsi="Georgia"/>
          <w:iCs/>
        </w:rPr>
        <w:t xml:space="preserve">. Moreover, it was submitted that the </w:t>
      </w:r>
      <w:r w:rsidR="00F301A1">
        <w:rPr>
          <w:rFonts w:ascii="Georgia" w:hAnsi="Georgia"/>
          <w:iCs/>
        </w:rPr>
        <w:t xml:space="preserve">draftsperson of the exclusion would have had in mind a specific set of matters to be excluded so that other incurred costs should be included within the general service charge. </w:t>
      </w:r>
      <w:r w:rsidR="00331F8F">
        <w:rPr>
          <w:rFonts w:ascii="Georgia" w:hAnsi="Georgia"/>
          <w:iCs/>
        </w:rPr>
        <w:t xml:space="preserve">The cases </w:t>
      </w:r>
      <w:r w:rsidR="00205400">
        <w:rPr>
          <w:rFonts w:ascii="Georgia" w:hAnsi="Georgia"/>
          <w:iCs/>
        </w:rPr>
        <w:t xml:space="preserve">on which the Applicant relies </w:t>
      </w:r>
      <w:r w:rsidR="0052172C">
        <w:rPr>
          <w:rFonts w:ascii="Georgia" w:hAnsi="Georgia"/>
          <w:iCs/>
        </w:rPr>
        <w:t xml:space="preserve">were said to be distinguishable. </w:t>
      </w:r>
    </w:p>
    <w:p w14:paraId="2D188198" w14:textId="61A02397" w:rsidR="003E6075" w:rsidRDefault="003E6075" w:rsidP="00293796">
      <w:pPr>
        <w:jc w:val="both"/>
        <w:rPr>
          <w:rFonts w:ascii="Georgia" w:hAnsi="Georgia"/>
          <w:iCs/>
        </w:rPr>
      </w:pPr>
    </w:p>
    <w:p w14:paraId="7E97A02C" w14:textId="38328122" w:rsidR="003E6075" w:rsidRDefault="00C06678" w:rsidP="00293796">
      <w:pPr>
        <w:jc w:val="both"/>
        <w:rPr>
          <w:rFonts w:ascii="Georgia" w:hAnsi="Georgia"/>
          <w:iCs/>
        </w:rPr>
      </w:pPr>
      <w:r>
        <w:rPr>
          <w:rFonts w:ascii="Georgia" w:hAnsi="Georgia"/>
          <w:iCs/>
        </w:rPr>
        <w:t xml:space="preserve">27. </w:t>
      </w:r>
      <w:r w:rsidR="003E6075">
        <w:rPr>
          <w:rFonts w:ascii="Georgia" w:hAnsi="Georgia"/>
          <w:iCs/>
        </w:rPr>
        <w:t xml:space="preserve">At the hearing Counsel </w:t>
      </w:r>
      <w:r w:rsidR="001F0085">
        <w:rPr>
          <w:rFonts w:ascii="Georgia" w:hAnsi="Georgia"/>
          <w:iCs/>
        </w:rPr>
        <w:t>referred to clauses 7 and 11 of the Fifth Schedule to the Lease</w:t>
      </w:r>
      <w:r w:rsidR="00D437FA">
        <w:rPr>
          <w:rFonts w:ascii="Georgia" w:hAnsi="Georgia"/>
          <w:iCs/>
        </w:rPr>
        <w:t xml:space="preserve"> as the proper clauses for allocation of costs of fire alarms and fire safety issues</w:t>
      </w:r>
      <w:r w:rsidR="0023371A">
        <w:rPr>
          <w:rFonts w:ascii="Georgia" w:hAnsi="Georgia"/>
          <w:iCs/>
        </w:rPr>
        <w:t xml:space="preserve"> and argued that the Applicants position on promissory estoppel were wrong in law </w:t>
      </w:r>
      <w:r w:rsidR="0086127E">
        <w:rPr>
          <w:rFonts w:ascii="Georgia" w:hAnsi="Georgia"/>
          <w:iCs/>
        </w:rPr>
        <w:t xml:space="preserve">and that the representation, such as it was, was so minor that it could not </w:t>
      </w:r>
      <w:r w:rsidR="00A315D7">
        <w:rPr>
          <w:rFonts w:ascii="Georgia" w:hAnsi="Georgia"/>
          <w:iCs/>
        </w:rPr>
        <w:t xml:space="preserve">found, or </w:t>
      </w:r>
      <w:r w:rsidR="00481EC0">
        <w:rPr>
          <w:rFonts w:ascii="Georgia" w:hAnsi="Georgia"/>
          <w:iCs/>
        </w:rPr>
        <w:t>provide the basis</w:t>
      </w:r>
      <w:r w:rsidR="00A315D7">
        <w:rPr>
          <w:rFonts w:ascii="Georgia" w:hAnsi="Georgia"/>
          <w:iCs/>
        </w:rPr>
        <w:t xml:space="preserve"> for,</w:t>
      </w:r>
      <w:r w:rsidR="00BC7C03">
        <w:rPr>
          <w:rFonts w:ascii="Georgia" w:hAnsi="Georgia"/>
          <w:iCs/>
        </w:rPr>
        <w:t xml:space="preserve"> an estoppel and could not have influenced a decision to purchase. </w:t>
      </w:r>
    </w:p>
    <w:p w14:paraId="35EE413D" w14:textId="77777777" w:rsidR="002965DE" w:rsidRDefault="002965DE" w:rsidP="00293796">
      <w:pPr>
        <w:jc w:val="both"/>
        <w:rPr>
          <w:rFonts w:ascii="Georgia" w:hAnsi="Georgia"/>
          <w:iCs/>
        </w:rPr>
      </w:pPr>
    </w:p>
    <w:p w14:paraId="6DC9306F" w14:textId="3F1B4D0E" w:rsidR="00FC37CC" w:rsidRPr="00616D74" w:rsidRDefault="00481EC0" w:rsidP="00293796">
      <w:pPr>
        <w:jc w:val="both"/>
        <w:rPr>
          <w:rFonts w:ascii="Georgia" w:hAnsi="Georgia"/>
          <w:iCs/>
        </w:rPr>
      </w:pPr>
      <w:r>
        <w:rPr>
          <w:rFonts w:ascii="Georgia" w:hAnsi="Georgia"/>
          <w:iCs/>
        </w:rPr>
        <w:t xml:space="preserve">28. </w:t>
      </w:r>
      <w:r w:rsidR="00DB49A9">
        <w:rPr>
          <w:rFonts w:ascii="Georgia" w:hAnsi="Georgia"/>
          <w:iCs/>
        </w:rPr>
        <w:t xml:space="preserve">The Respondent argued that the fees charged by SPG were reasonable </w:t>
      </w:r>
      <w:r w:rsidR="00617F7F">
        <w:rPr>
          <w:rFonts w:ascii="Georgia" w:hAnsi="Georgia"/>
          <w:iCs/>
        </w:rPr>
        <w:t xml:space="preserve">and the amount </w:t>
      </w:r>
      <w:r w:rsidR="00F86933">
        <w:rPr>
          <w:rFonts w:ascii="Georgia" w:hAnsi="Georgia"/>
          <w:iCs/>
        </w:rPr>
        <w:t>that the total exceeded that previously charged by BLM</w:t>
      </w:r>
      <w:r w:rsidR="00E73D71">
        <w:rPr>
          <w:rFonts w:ascii="Georgia" w:hAnsi="Georgia"/>
          <w:iCs/>
        </w:rPr>
        <w:t xml:space="preserve"> was not excessive and that the Leasehold Advisory Service had indicated </w:t>
      </w:r>
      <w:r w:rsidR="006035D9">
        <w:rPr>
          <w:rFonts w:ascii="Georgia" w:hAnsi="Georgia"/>
          <w:iCs/>
        </w:rPr>
        <w:t>that the amount of the difference did not make was what being charged unreasonable.</w:t>
      </w:r>
      <w:r w:rsidR="009C4F7E">
        <w:rPr>
          <w:rFonts w:ascii="Georgia" w:hAnsi="Georgia"/>
          <w:iCs/>
        </w:rPr>
        <w:t xml:space="preserve"> </w:t>
      </w:r>
      <w:r w:rsidR="002462F5">
        <w:rPr>
          <w:rFonts w:ascii="Georgia" w:hAnsi="Georgia"/>
          <w:iCs/>
        </w:rPr>
        <w:t xml:space="preserve">Counsel further pointed out that </w:t>
      </w:r>
      <w:r w:rsidR="002462F5">
        <w:rPr>
          <w:rFonts w:ascii="Georgia" w:hAnsi="Georgia"/>
          <w:iCs/>
        </w:rPr>
        <w:lastRenderedPageBreak/>
        <w:t xml:space="preserve">the other three directors had provided good reason </w:t>
      </w:r>
      <w:r w:rsidR="008927BE">
        <w:rPr>
          <w:rFonts w:ascii="Georgia" w:hAnsi="Georgia"/>
          <w:iCs/>
        </w:rPr>
        <w:t xml:space="preserve">for engaging SPG on the terms that had been agreed. </w:t>
      </w:r>
    </w:p>
    <w:p w14:paraId="2660AB91" w14:textId="77777777" w:rsidR="001A0F8D" w:rsidRDefault="001A0F8D" w:rsidP="00293796">
      <w:pPr>
        <w:jc w:val="both"/>
        <w:rPr>
          <w:rFonts w:ascii="Georgia" w:hAnsi="Georgia"/>
        </w:rPr>
      </w:pPr>
    </w:p>
    <w:p w14:paraId="5073FE25" w14:textId="77777777" w:rsidR="001A0F8D" w:rsidRDefault="00160007" w:rsidP="00293796">
      <w:pPr>
        <w:jc w:val="both"/>
        <w:rPr>
          <w:rFonts w:ascii="Georgia" w:hAnsi="Georgia"/>
          <w:b/>
          <w:bCs/>
        </w:rPr>
      </w:pPr>
      <w:r w:rsidRPr="00160007">
        <w:rPr>
          <w:rFonts w:ascii="Georgia" w:hAnsi="Georgia"/>
          <w:b/>
          <w:bCs/>
        </w:rPr>
        <w:t xml:space="preserve">Fire Alarm and </w:t>
      </w:r>
      <w:r w:rsidR="003A614F">
        <w:rPr>
          <w:rFonts w:ascii="Georgia" w:hAnsi="Georgia"/>
          <w:b/>
          <w:bCs/>
        </w:rPr>
        <w:t>F</w:t>
      </w:r>
      <w:r w:rsidRPr="00160007">
        <w:rPr>
          <w:rFonts w:ascii="Georgia" w:hAnsi="Georgia"/>
          <w:b/>
          <w:bCs/>
        </w:rPr>
        <w:t xml:space="preserve">ire </w:t>
      </w:r>
      <w:r w:rsidR="003A614F">
        <w:rPr>
          <w:rFonts w:ascii="Georgia" w:hAnsi="Georgia"/>
          <w:b/>
          <w:bCs/>
        </w:rPr>
        <w:t>S</w:t>
      </w:r>
      <w:r w:rsidRPr="00160007">
        <w:rPr>
          <w:rFonts w:ascii="Georgia" w:hAnsi="Georgia"/>
          <w:b/>
          <w:bCs/>
        </w:rPr>
        <w:t>afety issues</w:t>
      </w:r>
    </w:p>
    <w:p w14:paraId="3CE98E2D" w14:textId="3D600DE1" w:rsidR="0045744C" w:rsidRPr="001A0F8D" w:rsidRDefault="00A315D7" w:rsidP="00293796">
      <w:pPr>
        <w:jc w:val="both"/>
        <w:rPr>
          <w:rFonts w:ascii="Georgia" w:hAnsi="Georgia"/>
          <w:b/>
          <w:bCs/>
        </w:rPr>
      </w:pPr>
      <w:r>
        <w:rPr>
          <w:rFonts w:ascii="Georgia" w:hAnsi="Georgia"/>
        </w:rPr>
        <w:t xml:space="preserve">29. </w:t>
      </w:r>
      <w:r w:rsidR="00AB5D5B">
        <w:rPr>
          <w:rFonts w:ascii="Georgia" w:hAnsi="Georgia"/>
        </w:rPr>
        <w:t xml:space="preserve">The Tribunal records the concession by the Respondent that all costs relating to emergency lighting are covered by, and fall within, clause 2 of the Fifth Schedule to the Lease and so fall to be charged to the internal service charge to which the Applicant does not contribute. </w:t>
      </w:r>
      <w:r w:rsidR="004873FF">
        <w:rPr>
          <w:rFonts w:ascii="Georgia" w:hAnsi="Georgia"/>
        </w:rPr>
        <w:t xml:space="preserve">This concession was correctly made. The issue for the Tribunal is therefore to determine whether costs relating to </w:t>
      </w:r>
      <w:r w:rsidR="00F96D56">
        <w:rPr>
          <w:rFonts w:ascii="Georgia" w:hAnsi="Georgia"/>
        </w:rPr>
        <w:t>installation of fire alarms, and maintenance and periodic testing of such alarms fall to be charged within the general service charge or the internal charge.</w:t>
      </w:r>
    </w:p>
    <w:p w14:paraId="6302269E" w14:textId="77777777" w:rsidR="001A1DD5" w:rsidRDefault="001A1DD5" w:rsidP="00293796">
      <w:pPr>
        <w:jc w:val="both"/>
        <w:rPr>
          <w:rFonts w:ascii="Georgia" w:hAnsi="Georgia"/>
        </w:rPr>
      </w:pPr>
    </w:p>
    <w:p w14:paraId="7863E357" w14:textId="042E97CB" w:rsidR="00F96D56" w:rsidRDefault="00A315D7" w:rsidP="00293796">
      <w:pPr>
        <w:jc w:val="both"/>
        <w:rPr>
          <w:rFonts w:ascii="Georgia" w:hAnsi="Georgia"/>
        </w:rPr>
      </w:pPr>
      <w:r>
        <w:rPr>
          <w:rFonts w:ascii="Georgia" w:hAnsi="Georgia"/>
        </w:rPr>
        <w:t xml:space="preserve">30. </w:t>
      </w:r>
      <w:r w:rsidR="003A614F">
        <w:rPr>
          <w:rFonts w:ascii="Georgia" w:hAnsi="Georgia"/>
        </w:rPr>
        <w:t>The starting point for the Tribunal’s d</w:t>
      </w:r>
      <w:r w:rsidR="00231168">
        <w:rPr>
          <w:rFonts w:ascii="Georgia" w:hAnsi="Georgia"/>
        </w:rPr>
        <w:t>e</w:t>
      </w:r>
      <w:r w:rsidR="003A614F">
        <w:rPr>
          <w:rFonts w:ascii="Georgia" w:hAnsi="Georgia"/>
        </w:rPr>
        <w:t xml:space="preserve">termination has to be an examination of the meaning of the relevant terms of the Lease. </w:t>
      </w:r>
      <w:r w:rsidR="00231168">
        <w:rPr>
          <w:rFonts w:ascii="Georgia" w:hAnsi="Georgia"/>
        </w:rPr>
        <w:t xml:space="preserve">In that regard, the Tribunal, as both parties submitted </w:t>
      </w:r>
      <w:r w:rsidR="00144F27">
        <w:rPr>
          <w:rFonts w:ascii="Georgia" w:hAnsi="Georgia"/>
        </w:rPr>
        <w:t xml:space="preserve">that </w:t>
      </w:r>
      <w:r w:rsidR="00231168">
        <w:rPr>
          <w:rFonts w:ascii="Georgia" w:hAnsi="Georgia"/>
        </w:rPr>
        <w:t xml:space="preserve">we should do, </w:t>
      </w:r>
      <w:r w:rsidR="0021535A">
        <w:rPr>
          <w:rFonts w:ascii="Georgia" w:hAnsi="Georgia"/>
        </w:rPr>
        <w:t xml:space="preserve">must take full account of the guidance contained in the leading case of </w:t>
      </w:r>
      <w:r w:rsidR="007F3FAA">
        <w:rPr>
          <w:rFonts w:ascii="Georgia" w:hAnsi="Georgia"/>
          <w:i/>
        </w:rPr>
        <w:t>Arnold v Britten</w:t>
      </w:r>
      <w:r w:rsidR="007F3FAA">
        <w:rPr>
          <w:rFonts w:ascii="Georgia" w:hAnsi="Georgia"/>
          <w:iCs/>
        </w:rPr>
        <w:t xml:space="preserve"> </w:t>
      </w:r>
      <w:r w:rsidR="0021535A">
        <w:rPr>
          <w:rFonts w:ascii="Georgia" w:hAnsi="Georgia"/>
          <w:iCs/>
        </w:rPr>
        <w:t xml:space="preserve">[2015] UKSC 36. </w:t>
      </w:r>
      <w:r w:rsidR="00485C3D">
        <w:rPr>
          <w:rFonts w:ascii="Georgia" w:hAnsi="Georgia"/>
          <w:iCs/>
        </w:rPr>
        <w:t xml:space="preserve">It is the unanimous view of the Tribunal that </w:t>
      </w:r>
      <w:r w:rsidR="00144F27">
        <w:rPr>
          <w:rFonts w:ascii="Georgia" w:hAnsi="Georgia"/>
          <w:iCs/>
        </w:rPr>
        <w:t>the natural and  ordinary meaning of the words ‘</w:t>
      </w:r>
      <w:r w:rsidR="00144F27">
        <w:rPr>
          <w:rFonts w:ascii="Georgia" w:hAnsi="Georgia"/>
        </w:rPr>
        <w:t xml:space="preserve">expenses </w:t>
      </w:r>
      <w:r w:rsidR="00144F27" w:rsidRPr="00A86C0A">
        <w:rPr>
          <w:rFonts w:ascii="Georgia" w:hAnsi="Georgia"/>
        </w:rPr>
        <w:t>of maintaining repairing redecorating and renewing the main entrances passages landings and staircases of the property so enjoyed and used by the lessee in common</w:t>
      </w:r>
      <w:r w:rsidR="00144F27">
        <w:rPr>
          <w:rFonts w:ascii="Georgia" w:hAnsi="Georgia"/>
        </w:rPr>
        <w:t>’</w:t>
      </w:r>
      <w:r w:rsidR="00A078AC">
        <w:rPr>
          <w:rFonts w:ascii="Georgia" w:hAnsi="Georgia"/>
        </w:rPr>
        <w:t xml:space="preserve"> (clause 1(iv)))</w:t>
      </w:r>
      <w:r w:rsidR="00144F27" w:rsidRPr="00A86C0A">
        <w:rPr>
          <w:rFonts w:ascii="Georgia" w:hAnsi="Georgia"/>
        </w:rPr>
        <w:t xml:space="preserve"> and </w:t>
      </w:r>
      <w:r w:rsidR="00144F27">
        <w:rPr>
          <w:rFonts w:ascii="Georgia" w:hAnsi="Georgia"/>
        </w:rPr>
        <w:t>‘</w:t>
      </w:r>
      <w:r w:rsidR="00144F27" w:rsidRPr="00A86C0A">
        <w:rPr>
          <w:rFonts w:ascii="Georgia" w:hAnsi="Georgia"/>
        </w:rPr>
        <w:t>the cost of cleaning and lighting the passages landing staircases and other parts of the Building so enjoyed or used by the lessee in common</w:t>
      </w:r>
      <w:r w:rsidR="00144F27">
        <w:rPr>
          <w:rFonts w:ascii="Georgia" w:hAnsi="Georgia"/>
        </w:rPr>
        <w:t xml:space="preserve">’ </w:t>
      </w:r>
      <w:r w:rsidR="00F24649">
        <w:rPr>
          <w:rFonts w:ascii="Georgia" w:hAnsi="Georgia"/>
        </w:rPr>
        <w:t xml:space="preserve">(clause 2) </w:t>
      </w:r>
      <w:r w:rsidR="008613BF">
        <w:rPr>
          <w:rFonts w:ascii="Georgia" w:hAnsi="Georgia"/>
        </w:rPr>
        <w:t xml:space="preserve">are limited </w:t>
      </w:r>
      <w:r w:rsidR="009D0668">
        <w:rPr>
          <w:rFonts w:ascii="Georgia" w:hAnsi="Georgia"/>
        </w:rPr>
        <w:t>to what is actually described in those words. They do not extend to fire alarms and maintenance</w:t>
      </w:r>
      <w:r w:rsidR="00303D59">
        <w:rPr>
          <w:rFonts w:ascii="Georgia" w:hAnsi="Georgia"/>
        </w:rPr>
        <w:t xml:space="preserve"> or other fire safety issues such as periodic testing. </w:t>
      </w:r>
      <w:r w:rsidR="00A078AC">
        <w:rPr>
          <w:rFonts w:ascii="Georgia" w:hAnsi="Georgia"/>
        </w:rPr>
        <w:t>Clause 2 is clearly limited to cleaning</w:t>
      </w:r>
      <w:r w:rsidR="00D07D53">
        <w:rPr>
          <w:rFonts w:ascii="Georgia" w:hAnsi="Georgia"/>
        </w:rPr>
        <w:t xml:space="preserve"> and lighting</w:t>
      </w:r>
      <w:r w:rsidR="00A078AC">
        <w:rPr>
          <w:rFonts w:ascii="Georgia" w:hAnsi="Georgia"/>
        </w:rPr>
        <w:t xml:space="preserve">. </w:t>
      </w:r>
      <w:r w:rsidR="008A2391">
        <w:rPr>
          <w:rFonts w:ascii="Georgia" w:hAnsi="Georgia"/>
        </w:rPr>
        <w:t xml:space="preserve">In clause 1(iv), what is to be maintained repaired and renewed are the </w:t>
      </w:r>
      <w:r w:rsidR="008E0C59">
        <w:rPr>
          <w:rFonts w:ascii="Georgia" w:hAnsi="Georgia"/>
        </w:rPr>
        <w:t>passages, landing and staircases</w:t>
      </w:r>
      <w:r w:rsidR="00E6326B">
        <w:rPr>
          <w:rFonts w:ascii="Georgia" w:hAnsi="Georgia"/>
        </w:rPr>
        <w:t xml:space="preserve">. </w:t>
      </w:r>
      <w:r w:rsidR="00B31E53">
        <w:rPr>
          <w:rFonts w:ascii="Georgia" w:hAnsi="Georgia"/>
        </w:rPr>
        <w:t xml:space="preserve">The Applicant does not benefit from the passages, landings and </w:t>
      </w:r>
      <w:r w:rsidR="00B31E53" w:rsidRPr="00BE6646">
        <w:rPr>
          <w:rFonts w:ascii="Georgia" w:hAnsi="Georgia"/>
        </w:rPr>
        <w:t>staircases</w:t>
      </w:r>
      <w:r w:rsidR="00316757" w:rsidRPr="00BE6646">
        <w:rPr>
          <w:rFonts w:ascii="Georgia" w:hAnsi="Georgia"/>
        </w:rPr>
        <w:t xml:space="preserve"> to the three other flats</w:t>
      </w:r>
      <w:r w:rsidR="00B31E53" w:rsidRPr="00BE6646">
        <w:rPr>
          <w:rFonts w:ascii="Georgia" w:hAnsi="Georgia"/>
        </w:rPr>
        <w:t>. She does benefit f</w:t>
      </w:r>
      <w:r w:rsidR="00316757" w:rsidRPr="00BE6646">
        <w:rPr>
          <w:rFonts w:ascii="Georgia" w:hAnsi="Georgia"/>
        </w:rPr>
        <w:t>rom</w:t>
      </w:r>
      <w:r w:rsidR="00B31E53" w:rsidRPr="00BE6646">
        <w:rPr>
          <w:rFonts w:ascii="Georgia" w:hAnsi="Georgia"/>
        </w:rPr>
        <w:t xml:space="preserve"> the Building hav</w:t>
      </w:r>
      <w:r w:rsidR="00316757" w:rsidRPr="00BE6646">
        <w:rPr>
          <w:rFonts w:ascii="Georgia" w:hAnsi="Georgia"/>
        </w:rPr>
        <w:t>ing</w:t>
      </w:r>
      <w:r w:rsidR="00B31E53" w:rsidRPr="00BE6646">
        <w:rPr>
          <w:rFonts w:ascii="Georgia" w:hAnsi="Georgia"/>
        </w:rPr>
        <w:t xml:space="preserve"> fire</w:t>
      </w:r>
      <w:r w:rsidR="00B31E53">
        <w:rPr>
          <w:rFonts w:ascii="Georgia" w:hAnsi="Georgia"/>
        </w:rPr>
        <w:t xml:space="preserve"> alarms.</w:t>
      </w:r>
    </w:p>
    <w:p w14:paraId="277BE5BB" w14:textId="77777777" w:rsidR="007F3FAA" w:rsidRDefault="007F3FAA" w:rsidP="00293796">
      <w:pPr>
        <w:jc w:val="both"/>
        <w:rPr>
          <w:rFonts w:ascii="Georgia" w:hAnsi="Georgia"/>
        </w:rPr>
      </w:pPr>
    </w:p>
    <w:p w14:paraId="3B9836AB" w14:textId="0932077C" w:rsidR="00802185" w:rsidRDefault="00094EDB" w:rsidP="00293796">
      <w:pPr>
        <w:jc w:val="both"/>
        <w:rPr>
          <w:rFonts w:ascii="Georgia" w:hAnsi="Georgia"/>
        </w:rPr>
      </w:pPr>
      <w:r>
        <w:rPr>
          <w:rFonts w:ascii="Georgia" w:hAnsi="Georgia"/>
        </w:rPr>
        <w:t xml:space="preserve">31. </w:t>
      </w:r>
      <w:r w:rsidR="00802185">
        <w:rPr>
          <w:rFonts w:ascii="Georgia" w:hAnsi="Georgia"/>
        </w:rPr>
        <w:t xml:space="preserve">This conclusion </w:t>
      </w:r>
      <w:r w:rsidR="00C97480">
        <w:rPr>
          <w:rFonts w:ascii="Georgia" w:hAnsi="Georgia"/>
        </w:rPr>
        <w:t xml:space="preserve">based on the natural meaning of the words used </w:t>
      </w:r>
      <w:r w:rsidR="00802185">
        <w:rPr>
          <w:rFonts w:ascii="Georgia" w:hAnsi="Georgia"/>
        </w:rPr>
        <w:t>is reinforced by a number of other factors</w:t>
      </w:r>
      <w:r w:rsidR="002522AD">
        <w:rPr>
          <w:rFonts w:ascii="Georgia" w:hAnsi="Georgia"/>
        </w:rPr>
        <w:t>.</w:t>
      </w:r>
    </w:p>
    <w:p w14:paraId="267BB2F8" w14:textId="05BF0F1D" w:rsidR="00C64551" w:rsidRPr="00C64551" w:rsidRDefault="00D5094A" w:rsidP="00C64551">
      <w:pPr>
        <w:pStyle w:val="ListParagraph"/>
        <w:numPr>
          <w:ilvl w:val="0"/>
          <w:numId w:val="4"/>
        </w:numPr>
        <w:jc w:val="both"/>
        <w:rPr>
          <w:rFonts w:ascii="Georgia" w:hAnsi="Georgia"/>
        </w:rPr>
      </w:pPr>
      <w:r>
        <w:rPr>
          <w:rFonts w:ascii="Georgia" w:hAnsi="Georgia"/>
        </w:rPr>
        <w:t xml:space="preserve">Unlike </w:t>
      </w:r>
      <w:r w:rsidR="00906CFC">
        <w:rPr>
          <w:rFonts w:ascii="Georgia" w:hAnsi="Georgia"/>
        </w:rPr>
        <w:t xml:space="preserve">in </w:t>
      </w:r>
      <w:r>
        <w:rPr>
          <w:rFonts w:ascii="Georgia" w:hAnsi="Georgia"/>
        </w:rPr>
        <w:t xml:space="preserve">other cases that the Applicant referred to the Tribunal, </w:t>
      </w:r>
      <w:r w:rsidR="002F3016">
        <w:rPr>
          <w:rFonts w:ascii="Georgia" w:hAnsi="Georgia"/>
        </w:rPr>
        <w:t xml:space="preserve">the Lease specifically provides (in clause 7 of the Fifth Schedule) for </w:t>
      </w:r>
      <w:r w:rsidR="00CE7E05">
        <w:rPr>
          <w:rFonts w:ascii="Georgia" w:hAnsi="Georgia"/>
        </w:rPr>
        <w:t xml:space="preserve">‘all other expenses if any in and about the maintenance and proper </w:t>
      </w:r>
      <w:r w:rsidR="00D80086">
        <w:rPr>
          <w:rFonts w:ascii="Georgia" w:hAnsi="Georgia"/>
        </w:rPr>
        <w:t xml:space="preserve">and convenient management and running of the Building’. </w:t>
      </w:r>
      <w:r w:rsidR="001C5458">
        <w:rPr>
          <w:rFonts w:ascii="Georgia" w:hAnsi="Georgia"/>
        </w:rPr>
        <w:t xml:space="preserve">Costs relating to fire alarms and safety </w:t>
      </w:r>
      <w:r w:rsidR="00D86F8A">
        <w:rPr>
          <w:rFonts w:ascii="Georgia" w:hAnsi="Georgia"/>
        </w:rPr>
        <w:t xml:space="preserve">can </w:t>
      </w:r>
      <w:r w:rsidR="001C5458">
        <w:rPr>
          <w:rFonts w:ascii="Georgia" w:hAnsi="Georgia"/>
        </w:rPr>
        <w:t xml:space="preserve">sit </w:t>
      </w:r>
      <w:r w:rsidR="001C5458" w:rsidRPr="009725BE">
        <w:rPr>
          <w:rFonts w:ascii="Georgia" w:hAnsi="Georgia"/>
          <w:iCs/>
        </w:rPr>
        <w:t>naturally</w:t>
      </w:r>
      <w:r w:rsidR="001C5458">
        <w:rPr>
          <w:rFonts w:ascii="Georgia" w:hAnsi="Georgia"/>
        </w:rPr>
        <w:t xml:space="preserve"> within this provision. The Applicant </w:t>
      </w:r>
      <w:r w:rsidR="00A04BB5">
        <w:rPr>
          <w:rFonts w:ascii="Georgia" w:hAnsi="Georgia"/>
        </w:rPr>
        <w:t xml:space="preserve">in her Reply to the Respondent’s case argued that clause 7 is a ‘sweeper clause’ </w:t>
      </w:r>
      <w:r w:rsidR="002A6B31">
        <w:rPr>
          <w:rFonts w:ascii="Georgia" w:hAnsi="Georgia"/>
        </w:rPr>
        <w:t>because of the inclusion of the words</w:t>
      </w:r>
      <w:r w:rsidR="00B2094A">
        <w:rPr>
          <w:rFonts w:ascii="Georgia" w:hAnsi="Georgia"/>
        </w:rPr>
        <w:t xml:space="preserve"> ‘if </w:t>
      </w:r>
      <w:r w:rsidR="002A6B31">
        <w:rPr>
          <w:rFonts w:ascii="Georgia" w:hAnsi="Georgia"/>
        </w:rPr>
        <w:t>any</w:t>
      </w:r>
      <w:r w:rsidR="00B2094A">
        <w:rPr>
          <w:rFonts w:ascii="Georgia" w:hAnsi="Georgia"/>
        </w:rPr>
        <w:t>’</w:t>
      </w:r>
      <w:r w:rsidR="002A6B31">
        <w:rPr>
          <w:rFonts w:ascii="Georgia" w:hAnsi="Georgia"/>
        </w:rPr>
        <w:t xml:space="preserve"> and </w:t>
      </w:r>
      <w:r w:rsidR="00BF60BA">
        <w:rPr>
          <w:rFonts w:ascii="Georgia" w:hAnsi="Georgia"/>
        </w:rPr>
        <w:t>considered that the case of</w:t>
      </w:r>
      <w:r w:rsidR="007F3FAA" w:rsidRPr="007F3FAA">
        <w:rPr>
          <w:rFonts w:ascii="Georgia" w:hAnsi="Georgia"/>
          <w:i/>
        </w:rPr>
        <w:t xml:space="preserve"> </w:t>
      </w:r>
      <w:r w:rsidR="007F3FAA">
        <w:rPr>
          <w:rFonts w:ascii="Georgia" w:hAnsi="Georgia"/>
          <w:i/>
        </w:rPr>
        <w:t>Arnold v Britten</w:t>
      </w:r>
      <w:r w:rsidR="004207E8">
        <w:rPr>
          <w:rFonts w:ascii="Georgia" w:hAnsi="Georgia"/>
          <w:iCs/>
        </w:rPr>
        <w:t xml:space="preserve">, at paragraph 15 </w:t>
      </w:r>
      <w:r w:rsidR="00BF60BA">
        <w:rPr>
          <w:rFonts w:ascii="Georgia" w:hAnsi="Georgia"/>
          <w:iCs/>
        </w:rPr>
        <w:t xml:space="preserve">of Lord Neuberger’s </w:t>
      </w:r>
      <w:r w:rsidR="00B2094A">
        <w:rPr>
          <w:rFonts w:ascii="Georgia" w:hAnsi="Georgia"/>
          <w:iCs/>
        </w:rPr>
        <w:t>judgement</w:t>
      </w:r>
      <w:r w:rsidR="00E556D1">
        <w:rPr>
          <w:rFonts w:ascii="Georgia" w:hAnsi="Georgia"/>
          <w:iCs/>
        </w:rPr>
        <w:t xml:space="preserve"> means that all expected expenses would </w:t>
      </w:r>
      <w:r w:rsidR="00A606BF">
        <w:rPr>
          <w:rFonts w:ascii="Georgia" w:hAnsi="Georgia"/>
          <w:iCs/>
        </w:rPr>
        <w:t>be captured under the preceding clauses 1-6. However, clause 7 is not a sweeper clause</w:t>
      </w:r>
      <w:r w:rsidR="008D54F8">
        <w:rPr>
          <w:rFonts w:ascii="Georgia" w:hAnsi="Georgia"/>
          <w:iCs/>
        </w:rPr>
        <w:t xml:space="preserve">. </w:t>
      </w:r>
      <w:r w:rsidR="002E741D">
        <w:rPr>
          <w:rFonts w:ascii="Georgia" w:hAnsi="Georgia"/>
          <w:iCs/>
        </w:rPr>
        <w:t>There are further</w:t>
      </w:r>
      <w:r w:rsidR="002C4AA8">
        <w:rPr>
          <w:rFonts w:ascii="Georgia" w:hAnsi="Georgia"/>
          <w:iCs/>
        </w:rPr>
        <w:t xml:space="preserve"> </w:t>
      </w:r>
      <w:r w:rsidR="002E741D">
        <w:rPr>
          <w:rFonts w:ascii="Georgia" w:hAnsi="Georgia"/>
          <w:iCs/>
        </w:rPr>
        <w:t xml:space="preserve">clauses </w:t>
      </w:r>
      <w:r w:rsidR="002C4AA8">
        <w:rPr>
          <w:rFonts w:ascii="Georgia" w:hAnsi="Georgia"/>
          <w:iCs/>
        </w:rPr>
        <w:t>relating to management fees</w:t>
      </w:r>
      <w:r w:rsidR="004E3800">
        <w:rPr>
          <w:rFonts w:ascii="Georgia" w:hAnsi="Georgia"/>
          <w:iCs/>
        </w:rPr>
        <w:t xml:space="preserve"> (clause 8)</w:t>
      </w:r>
      <w:r w:rsidR="002C4AA8">
        <w:rPr>
          <w:rFonts w:ascii="Georgia" w:hAnsi="Georgia"/>
          <w:iCs/>
        </w:rPr>
        <w:t>, reasonable costs to be added when repairs are undertaken</w:t>
      </w:r>
      <w:r w:rsidR="004E3800">
        <w:rPr>
          <w:rFonts w:ascii="Georgia" w:hAnsi="Georgia"/>
          <w:iCs/>
        </w:rPr>
        <w:t xml:space="preserve"> (clause 9) and relating to tax (clause 10). The sweeper clause is clause 11</w:t>
      </w:r>
      <w:r w:rsidR="00135EE7">
        <w:rPr>
          <w:rFonts w:ascii="Georgia" w:hAnsi="Georgia"/>
          <w:iCs/>
        </w:rPr>
        <w:t xml:space="preserve"> covering </w:t>
      </w:r>
      <w:r w:rsidR="0028106F">
        <w:rPr>
          <w:rFonts w:ascii="Georgia" w:hAnsi="Georgia"/>
          <w:iCs/>
        </w:rPr>
        <w:t>‘</w:t>
      </w:r>
      <w:r w:rsidR="00135EE7">
        <w:rPr>
          <w:rFonts w:ascii="Georgia" w:hAnsi="Georgia"/>
          <w:iCs/>
        </w:rPr>
        <w:t>any other expenses that the Lessor may incur in respect of management of the Building</w:t>
      </w:r>
      <w:r w:rsidR="0028106F">
        <w:rPr>
          <w:rFonts w:ascii="Georgia" w:hAnsi="Georgia"/>
          <w:iCs/>
        </w:rPr>
        <w:t>’</w:t>
      </w:r>
      <w:r w:rsidR="00135EE7">
        <w:rPr>
          <w:rFonts w:ascii="Georgia" w:hAnsi="Georgia"/>
          <w:iCs/>
        </w:rPr>
        <w:t>.</w:t>
      </w:r>
    </w:p>
    <w:p w14:paraId="792E1601" w14:textId="266903C9" w:rsidR="00C64551" w:rsidRPr="00AB06F7" w:rsidRDefault="008C64B1" w:rsidP="00AB06F7">
      <w:pPr>
        <w:pStyle w:val="ListParagraph"/>
        <w:numPr>
          <w:ilvl w:val="0"/>
          <w:numId w:val="4"/>
        </w:numPr>
        <w:jc w:val="both"/>
        <w:rPr>
          <w:rFonts w:ascii="Georgia" w:hAnsi="Georgia"/>
        </w:rPr>
      </w:pPr>
      <w:r w:rsidRPr="0010647C">
        <w:rPr>
          <w:rFonts w:ascii="Georgia" w:hAnsi="Georgia"/>
        </w:rPr>
        <w:t xml:space="preserve">It is unfortunate that </w:t>
      </w:r>
      <w:r w:rsidR="00162E46" w:rsidRPr="0010647C">
        <w:rPr>
          <w:rFonts w:ascii="Georgia" w:hAnsi="Georgia"/>
        </w:rPr>
        <w:t xml:space="preserve">no reference was made at the hearing to clause </w:t>
      </w:r>
      <w:r w:rsidR="006B402E" w:rsidRPr="0010647C">
        <w:rPr>
          <w:rFonts w:ascii="Georgia" w:hAnsi="Georgia"/>
        </w:rPr>
        <w:t xml:space="preserve">1(iii) of the Fifth Schedule which </w:t>
      </w:r>
      <w:r w:rsidR="0088504F" w:rsidRPr="0010647C">
        <w:rPr>
          <w:rFonts w:ascii="Georgia" w:hAnsi="Georgia"/>
        </w:rPr>
        <w:t>re</w:t>
      </w:r>
      <w:r w:rsidR="0088504F">
        <w:rPr>
          <w:rFonts w:ascii="Georgia" w:hAnsi="Georgia"/>
        </w:rPr>
        <w:t>fers to t</w:t>
      </w:r>
      <w:r w:rsidR="0010647C" w:rsidRPr="008B21E3">
        <w:rPr>
          <w:rFonts w:ascii="Georgia" w:hAnsi="Georgia"/>
        </w:rPr>
        <w:t>he expenses of maintaining and repairing redecorating and renewing</w:t>
      </w:r>
      <w:r w:rsidR="00AB06F7">
        <w:rPr>
          <w:rFonts w:ascii="Georgia" w:hAnsi="Georgia"/>
        </w:rPr>
        <w:t xml:space="preserve"> </w:t>
      </w:r>
      <w:r w:rsidR="0010647C" w:rsidRPr="008B21E3">
        <w:rPr>
          <w:rFonts w:ascii="Georgia" w:hAnsi="Georgia"/>
        </w:rPr>
        <w:t>the gas water pipes drains electric cables and wires used in common by any two or more flats in the property.</w:t>
      </w:r>
      <w:r w:rsidR="00AB06F7">
        <w:rPr>
          <w:rFonts w:ascii="Georgia" w:hAnsi="Georgia"/>
        </w:rPr>
        <w:t xml:space="preserve"> </w:t>
      </w:r>
      <w:r w:rsidR="00BE6646" w:rsidRPr="00AB06F7">
        <w:rPr>
          <w:rFonts w:ascii="Georgia" w:hAnsi="Georgia"/>
        </w:rPr>
        <w:t>E</w:t>
      </w:r>
      <w:r w:rsidR="00C64551" w:rsidRPr="00AB06F7">
        <w:rPr>
          <w:rFonts w:ascii="Georgia" w:hAnsi="Georgia"/>
        </w:rPr>
        <w:t xml:space="preserve">xpenses under this clause are to be included in the general service charge for which the Applicant contributes </w:t>
      </w:r>
      <w:r w:rsidR="00410E3F" w:rsidRPr="00AB06F7">
        <w:rPr>
          <w:rFonts w:ascii="Georgia" w:hAnsi="Georgia"/>
        </w:rPr>
        <w:t>a one-third part</w:t>
      </w:r>
      <w:r w:rsidR="00C64551" w:rsidRPr="00AB06F7">
        <w:rPr>
          <w:rFonts w:ascii="Georgia" w:hAnsi="Georgia"/>
        </w:rPr>
        <w:t xml:space="preserve"> - even if the costs are to benefit </w:t>
      </w:r>
      <w:r w:rsidR="00FB1660">
        <w:rPr>
          <w:rFonts w:ascii="Georgia" w:hAnsi="Georgia"/>
        </w:rPr>
        <w:t xml:space="preserve">only </w:t>
      </w:r>
      <w:r w:rsidR="00C64551" w:rsidRPr="00AB06F7">
        <w:rPr>
          <w:rFonts w:ascii="Georgia" w:hAnsi="Georgia"/>
        </w:rPr>
        <w:t xml:space="preserve">two (or indeed three) other flats. Though neither party argued the point, the clause </w:t>
      </w:r>
      <w:r w:rsidR="00F31A49">
        <w:rPr>
          <w:rFonts w:ascii="Georgia" w:hAnsi="Georgia"/>
        </w:rPr>
        <w:t>is</w:t>
      </w:r>
      <w:r w:rsidR="00C64551" w:rsidRPr="00AB06F7">
        <w:rPr>
          <w:rFonts w:ascii="Georgia" w:hAnsi="Georgia"/>
        </w:rPr>
        <w:t xml:space="preserve"> clearly within the terms of the Lease that the Tribunal is required to interpret </w:t>
      </w:r>
      <w:r w:rsidR="008447F5" w:rsidRPr="00AB06F7">
        <w:rPr>
          <w:rFonts w:ascii="Georgia" w:hAnsi="Georgia"/>
        </w:rPr>
        <w:t xml:space="preserve">so as </w:t>
      </w:r>
      <w:r w:rsidR="00C64551" w:rsidRPr="00AB06F7">
        <w:rPr>
          <w:rFonts w:ascii="Georgia" w:hAnsi="Georgia"/>
        </w:rPr>
        <w:t xml:space="preserve">to </w:t>
      </w:r>
      <w:r w:rsidR="00C64551" w:rsidRPr="00AB06F7">
        <w:rPr>
          <w:rFonts w:ascii="Georgia" w:hAnsi="Georgia"/>
        </w:rPr>
        <w:lastRenderedPageBreak/>
        <w:t xml:space="preserve">identify the intention of the original parties to the Lease - </w:t>
      </w:r>
      <w:r w:rsidR="00C64551" w:rsidRPr="00AB06F7">
        <w:rPr>
          <w:rFonts w:ascii="Georgia" w:hAnsi="Georgia"/>
          <w:i/>
        </w:rPr>
        <w:t>Arnold v Britten</w:t>
      </w:r>
      <w:r w:rsidR="00C64551" w:rsidRPr="00AB06F7">
        <w:rPr>
          <w:rFonts w:ascii="Georgia" w:hAnsi="Georgia"/>
          <w:iCs/>
        </w:rPr>
        <w:t>, at paragraph 15</w:t>
      </w:r>
      <w:r w:rsidR="00C64551" w:rsidRPr="00AB06F7">
        <w:rPr>
          <w:rFonts w:ascii="Georgia" w:hAnsi="Georgia"/>
        </w:rPr>
        <w:t>. The Tribunal concludes that the installation of fire alarms would require some electric wires or cabling and such a cost, if not covered by clause 7, does</w:t>
      </w:r>
      <w:r w:rsidR="004F6008">
        <w:rPr>
          <w:rFonts w:ascii="Georgia" w:hAnsi="Georgia"/>
        </w:rPr>
        <w:t xml:space="preserve"> also</w:t>
      </w:r>
      <w:r w:rsidR="00C64551" w:rsidRPr="00AB06F7">
        <w:rPr>
          <w:rFonts w:ascii="Georgia" w:hAnsi="Georgia"/>
        </w:rPr>
        <w:t xml:space="preserve"> fit into clause 1(iii).</w:t>
      </w:r>
      <w:r w:rsidR="004F6008">
        <w:rPr>
          <w:rFonts w:ascii="Georgia" w:hAnsi="Georgia"/>
        </w:rPr>
        <w:t xml:space="preserve"> There are therefore</w:t>
      </w:r>
      <w:r w:rsidR="005A567F">
        <w:rPr>
          <w:rFonts w:ascii="Georgia" w:hAnsi="Georgia"/>
        </w:rPr>
        <w:t xml:space="preserve"> two </w:t>
      </w:r>
      <w:r w:rsidR="00FB5DE1">
        <w:rPr>
          <w:rFonts w:ascii="Georgia" w:hAnsi="Georgia"/>
        </w:rPr>
        <w:t>clauses</w:t>
      </w:r>
      <w:r w:rsidR="005A567F">
        <w:rPr>
          <w:rFonts w:ascii="Georgia" w:hAnsi="Georgia"/>
        </w:rPr>
        <w:t xml:space="preserve"> which can cover </w:t>
      </w:r>
      <w:r w:rsidR="00F301A1">
        <w:rPr>
          <w:rFonts w:ascii="Georgia" w:hAnsi="Georgia"/>
        </w:rPr>
        <w:t xml:space="preserve">the </w:t>
      </w:r>
      <w:r w:rsidR="005A567F">
        <w:rPr>
          <w:rFonts w:ascii="Georgia" w:hAnsi="Georgia"/>
        </w:rPr>
        <w:t xml:space="preserve">fire alarm costs </w:t>
      </w:r>
      <w:r w:rsidR="00FB5DE1">
        <w:rPr>
          <w:rFonts w:ascii="Georgia" w:hAnsi="Georgia"/>
        </w:rPr>
        <w:t>which</w:t>
      </w:r>
      <w:r w:rsidR="005A567F">
        <w:rPr>
          <w:rFonts w:ascii="Georgia" w:hAnsi="Georgia"/>
        </w:rPr>
        <w:t xml:space="preserve"> do not naturally fit into clause 1(iv). </w:t>
      </w:r>
    </w:p>
    <w:p w14:paraId="5C09387C" w14:textId="4ABFD7DA" w:rsidR="00C64551" w:rsidRDefault="00943DB1" w:rsidP="00C64551">
      <w:pPr>
        <w:pStyle w:val="ListParagraph"/>
        <w:numPr>
          <w:ilvl w:val="0"/>
          <w:numId w:val="4"/>
        </w:numPr>
        <w:jc w:val="both"/>
        <w:rPr>
          <w:rFonts w:ascii="Georgia" w:hAnsi="Georgia"/>
        </w:rPr>
      </w:pPr>
      <w:r>
        <w:rPr>
          <w:rFonts w:ascii="Georgia" w:hAnsi="Georgia"/>
        </w:rPr>
        <w:t xml:space="preserve">The Lease does not specifically set up two separate service charge Schedules. Instead, </w:t>
      </w:r>
      <w:r w:rsidR="00410E3F">
        <w:rPr>
          <w:rFonts w:ascii="Georgia" w:hAnsi="Georgia"/>
        </w:rPr>
        <w:t xml:space="preserve">the Applicant is to contribute </w:t>
      </w:r>
      <w:r w:rsidR="0025370E">
        <w:rPr>
          <w:rFonts w:ascii="Georgia" w:hAnsi="Georgia"/>
        </w:rPr>
        <w:t xml:space="preserve">a one third part ‘save that no contribution shall be paid in respect of the expenses referred to </w:t>
      </w:r>
      <w:r w:rsidR="00996507">
        <w:rPr>
          <w:rFonts w:ascii="Georgia" w:hAnsi="Georgia"/>
        </w:rPr>
        <w:t>in clause 1(iv) and clause 2’.</w:t>
      </w:r>
      <w:r w:rsidR="00DD25B6">
        <w:rPr>
          <w:rFonts w:ascii="Georgia" w:hAnsi="Georgia"/>
        </w:rPr>
        <w:t xml:space="preserve">  </w:t>
      </w:r>
      <w:r w:rsidR="00996507">
        <w:rPr>
          <w:rFonts w:ascii="Georgia" w:hAnsi="Georgia"/>
        </w:rPr>
        <w:t>The Tribunal’s view is that</w:t>
      </w:r>
      <w:r w:rsidR="00AA0C45">
        <w:rPr>
          <w:rFonts w:ascii="Georgia" w:hAnsi="Georgia"/>
        </w:rPr>
        <w:t xml:space="preserve"> this a saving </w:t>
      </w:r>
      <w:r w:rsidR="005A1FE4">
        <w:rPr>
          <w:rFonts w:ascii="Georgia" w:hAnsi="Georgia"/>
        </w:rPr>
        <w:t xml:space="preserve">clause </w:t>
      </w:r>
      <w:r w:rsidR="00AA0C45">
        <w:rPr>
          <w:rFonts w:ascii="Georgia" w:hAnsi="Georgia"/>
        </w:rPr>
        <w:t xml:space="preserve">which throws these specific costs onto other leaseholders in the </w:t>
      </w:r>
      <w:r w:rsidR="00DD25B6">
        <w:rPr>
          <w:rFonts w:ascii="Georgia" w:hAnsi="Georgia"/>
        </w:rPr>
        <w:t>B</w:t>
      </w:r>
      <w:r w:rsidR="00AA0C45">
        <w:rPr>
          <w:rFonts w:ascii="Georgia" w:hAnsi="Georgia"/>
        </w:rPr>
        <w:t>uilding</w:t>
      </w:r>
      <w:r w:rsidR="005A1FE4">
        <w:rPr>
          <w:rFonts w:ascii="Georgia" w:hAnsi="Georgia"/>
        </w:rPr>
        <w:t>.</w:t>
      </w:r>
      <w:r w:rsidR="00AA0C45">
        <w:rPr>
          <w:rFonts w:ascii="Georgia" w:hAnsi="Georgia"/>
        </w:rPr>
        <w:t xml:space="preserve"> </w:t>
      </w:r>
      <w:r w:rsidR="005A1FE4">
        <w:rPr>
          <w:rFonts w:ascii="Georgia" w:hAnsi="Georgia"/>
        </w:rPr>
        <w:t xml:space="preserve">It </w:t>
      </w:r>
      <w:r w:rsidR="00AA0C45">
        <w:rPr>
          <w:rFonts w:ascii="Georgia" w:hAnsi="Georgia"/>
        </w:rPr>
        <w:t>should therefore</w:t>
      </w:r>
      <w:r w:rsidR="006803F5">
        <w:rPr>
          <w:rFonts w:ascii="Georgia" w:hAnsi="Georgia"/>
        </w:rPr>
        <w:t xml:space="preserve"> be construed against the Applicant if there is any ambiguity. But the Tribunal </w:t>
      </w:r>
      <w:r w:rsidR="00522A0F">
        <w:rPr>
          <w:rFonts w:ascii="Georgia" w:hAnsi="Georgia"/>
        </w:rPr>
        <w:t>considers that it need not rely on that approach – it considers that the meaning of clause 1(i</w:t>
      </w:r>
      <w:r w:rsidR="00DD25B6">
        <w:rPr>
          <w:rFonts w:ascii="Georgia" w:hAnsi="Georgia"/>
        </w:rPr>
        <w:t>v)</w:t>
      </w:r>
      <w:r w:rsidR="00522A0F">
        <w:rPr>
          <w:rFonts w:ascii="Georgia" w:hAnsi="Georgia"/>
        </w:rPr>
        <w:t xml:space="preserve"> is clear</w:t>
      </w:r>
      <w:r w:rsidR="00CE45D5">
        <w:rPr>
          <w:rFonts w:ascii="Georgia" w:hAnsi="Georgia"/>
        </w:rPr>
        <w:t xml:space="preserve"> and there is no ambiguity</w:t>
      </w:r>
      <w:r w:rsidR="00DD25B6">
        <w:rPr>
          <w:rFonts w:ascii="Georgia" w:hAnsi="Georgia"/>
        </w:rPr>
        <w:t>.</w:t>
      </w:r>
      <w:r w:rsidR="00F301A1">
        <w:rPr>
          <w:rFonts w:ascii="Georgia" w:hAnsi="Georgia"/>
        </w:rPr>
        <w:t xml:space="preserve"> The Tribunal also accepts the Respondent’s submission through Mr Webb that </w:t>
      </w:r>
      <w:r w:rsidR="0082058B">
        <w:rPr>
          <w:rFonts w:ascii="Georgia" w:hAnsi="Georgia"/>
        </w:rPr>
        <w:t xml:space="preserve">the </w:t>
      </w:r>
      <w:r w:rsidR="00F301A1">
        <w:rPr>
          <w:rFonts w:ascii="Georgia" w:hAnsi="Georgia"/>
          <w:iCs/>
        </w:rPr>
        <w:t>draftsperson of the exclusion would have had in mind a specific set of matters to be excluded so that other incurred costs should be included within the general service charge.</w:t>
      </w:r>
    </w:p>
    <w:p w14:paraId="523EF247" w14:textId="07F333A4" w:rsidR="00DD25B6" w:rsidRDefault="00F301A1" w:rsidP="00DD25B6">
      <w:pPr>
        <w:jc w:val="both"/>
        <w:rPr>
          <w:rFonts w:ascii="Georgia" w:hAnsi="Georgia"/>
        </w:rPr>
      </w:pPr>
      <w:r>
        <w:rPr>
          <w:rFonts w:ascii="Georgia" w:hAnsi="Georgia"/>
        </w:rPr>
        <w:t xml:space="preserve"> </w:t>
      </w:r>
    </w:p>
    <w:p w14:paraId="2D9315CD" w14:textId="5D228800" w:rsidR="00922BAD" w:rsidRPr="00922BAD" w:rsidRDefault="00B1065D" w:rsidP="00922BAD">
      <w:pPr>
        <w:spacing w:after="160" w:line="259" w:lineRule="auto"/>
        <w:jc w:val="both"/>
        <w:rPr>
          <w:rFonts w:ascii="Georgia" w:hAnsi="Georgia"/>
        </w:rPr>
      </w:pPr>
      <w:r>
        <w:rPr>
          <w:rFonts w:ascii="Georgia" w:hAnsi="Georgia"/>
        </w:rPr>
        <w:t xml:space="preserve">32. </w:t>
      </w:r>
      <w:r w:rsidR="0035727D">
        <w:rPr>
          <w:rFonts w:ascii="Georgia" w:hAnsi="Georgia"/>
        </w:rPr>
        <w:t xml:space="preserve">The Applicant referred the Tribunal to four decisions of the First Tier Tribunal which she submitted </w:t>
      </w:r>
      <w:r w:rsidR="00443831">
        <w:rPr>
          <w:rFonts w:ascii="Georgia" w:hAnsi="Georgia"/>
        </w:rPr>
        <w:t>were decisions</w:t>
      </w:r>
      <w:r w:rsidR="0044112C">
        <w:rPr>
          <w:rFonts w:ascii="Georgia" w:hAnsi="Georgia"/>
        </w:rPr>
        <w:t xml:space="preserve"> that fire alarm expenses</w:t>
      </w:r>
      <w:r w:rsidR="001814BC">
        <w:rPr>
          <w:rFonts w:ascii="Georgia" w:hAnsi="Georgia"/>
        </w:rPr>
        <w:t xml:space="preserve"> had been payable </w:t>
      </w:r>
      <w:r w:rsidR="002614A5">
        <w:rPr>
          <w:rFonts w:ascii="Georgia" w:hAnsi="Georgia"/>
        </w:rPr>
        <w:t>only by leaseholders who used the communal entrances and staircases</w:t>
      </w:r>
      <w:r w:rsidR="00697DC3">
        <w:rPr>
          <w:rFonts w:ascii="Georgia" w:hAnsi="Georgia"/>
        </w:rPr>
        <w:t xml:space="preserve"> and </w:t>
      </w:r>
      <w:r w:rsidR="00E23CB4">
        <w:rPr>
          <w:rFonts w:ascii="Georgia" w:hAnsi="Georgia"/>
        </w:rPr>
        <w:t xml:space="preserve">were </w:t>
      </w:r>
      <w:r w:rsidR="00D37D4A">
        <w:rPr>
          <w:rFonts w:ascii="Georgia" w:hAnsi="Georgia"/>
        </w:rPr>
        <w:t xml:space="preserve">therefore </w:t>
      </w:r>
      <w:r w:rsidR="00E23CB4">
        <w:rPr>
          <w:rFonts w:ascii="Georgia" w:hAnsi="Georgia"/>
        </w:rPr>
        <w:t>authorit</w:t>
      </w:r>
      <w:r w:rsidR="00D37D4A">
        <w:rPr>
          <w:rFonts w:ascii="Georgia" w:hAnsi="Georgia"/>
        </w:rPr>
        <w:t>ies</w:t>
      </w:r>
      <w:r w:rsidR="00E23CB4">
        <w:rPr>
          <w:rFonts w:ascii="Georgia" w:hAnsi="Georgia"/>
        </w:rPr>
        <w:t xml:space="preserve"> that </w:t>
      </w:r>
      <w:r w:rsidR="00697DC3">
        <w:rPr>
          <w:rFonts w:ascii="Georgia" w:hAnsi="Georgia"/>
        </w:rPr>
        <w:t>s</w:t>
      </w:r>
      <w:r w:rsidR="00E23CB4">
        <w:rPr>
          <w:rFonts w:ascii="Georgia" w:hAnsi="Georgia"/>
        </w:rPr>
        <w:t>uch charges</w:t>
      </w:r>
      <w:r w:rsidR="00697DC3">
        <w:rPr>
          <w:rFonts w:ascii="Georgia" w:hAnsi="Georgia"/>
        </w:rPr>
        <w:t xml:space="preserve"> </w:t>
      </w:r>
      <w:r w:rsidR="0044112C">
        <w:rPr>
          <w:rFonts w:ascii="Georgia" w:hAnsi="Georgia"/>
        </w:rPr>
        <w:t xml:space="preserve">should be included within clause 1(iv). </w:t>
      </w:r>
      <w:r w:rsidR="00822E69">
        <w:rPr>
          <w:rFonts w:ascii="Georgia" w:hAnsi="Georgia"/>
        </w:rPr>
        <w:t>While the Tribunal is not bound by previous decisions of it</w:t>
      </w:r>
      <w:r w:rsidR="00D92A8A">
        <w:rPr>
          <w:rFonts w:ascii="Georgia" w:hAnsi="Georgia"/>
        </w:rPr>
        <w:t xml:space="preserve">s own, this Tribunal naturally treats such determinations with considerable respect. But </w:t>
      </w:r>
      <w:r w:rsidR="00922BAD">
        <w:rPr>
          <w:rFonts w:ascii="Georgia" w:hAnsi="Georgia"/>
        </w:rPr>
        <w:t xml:space="preserve">each case very much depends on the </w:t>
      </w:r>
      <w:r w:rsidR="00A43BFC">
        <w:rPr>
          <w:rFonts w:ascii="Georgia" w:hAnsi="Georgia"/>
        </w:rPr>
        <w:t xml:space="preserve">exact </w:t>
      </w:r>
      <w:r w:rsidR="00922BAD">
        <w:rPr>
          <w:rFonts w:ascii="Georgia" w:hAnsi="Georgia"/>
        </w:rPr>
        <w:t>terms of the lease in question and the context of the decision. After careful reading of the cases cited by the Applicant, the Tribunal</w:t>
      </w:r>
      <w:r w:rsidR="00E60BF4">
        <w:rPr>
          <w:rFonts w:ascii="Georgia" w:hAnsi="Georgia"/>
        </w:rPr>
        <w:t xml:space="preserve"> </w:t>
      </w:r>
      <w:r w:rsidR="00922BAD" w:rsidRPr="00922BAD">
        <w:rPr>
          <w:rFonts w:ascii="Georgia" w:hAnsi="Georgia"/>
        </w:rPr>
        <w:t>consider</w:t>
      </w:r>
      <w:r w:rsidR="00E60BF4">
        <w:rPr>
          <w:rFonts w:ascii="Georgia" w:hAnsi="Georgia"/>
        </w:rPr>
        <w:t>s</w:t>
      </w:r>
      <w:r w:rsidR="00922BAD" w:rsidRPr="00922BAD">
        <w:rPr>
          <w:rFonts w:ascii="Georgia" w:hAnsi="Georgia"/>
        </w:rPr>
        <w:t xml:space="preserve"> that each </w:t>
      </w:r>
      <w:r w:rsidR="00E60BF4">
        <w:rPr>
          <w:rFonts w:ascii="Georgia" w:hAnsi="Georgia"/>
        </w:rPr>
        <w:t xml:space="preserve">of those four </w:t>
      </w:r>
      <w:r w:rsidR="00922BAD" w:rsidRPr="00922BAD">
        <w:rPr>
          <w:rFonts w:ascii="Georgia" w:hAnsi="Georgia"/>
        </w:rPr>
        <w:t>case</w:t>
      </w:r>
      <w:r w:rsidR="00E60BF4">
        <w:rPr>
          <w:rFonts w:ascii="Georgia" w:hAnsi="Georgia"/>
        </w:rPr>
        <w:t>s</w:t>
      </w:r>
      <w:r w:rsidR="00922BAD" w:rsidRPr="00922BAD">
        <w:rPr>
          <w:rFonts w:ascii="Georgia" w:hAnsi="Georgia"/>
        </w:rPr>
        <w:t xml:space="preserve"> </w:t>
      </w:r>
      <w:r w:rsidR="00E60BF4">
        <w:rPr>
          <w:rFonts w:ascii="Georgia" w:hAnsi="Georgia"/>
        </w:rPr>
        <w:t>are</w:t>
      </w:r>
      <w:r w:rsidR="00922BAD" w:rsidRPr="00922BAD">
        <w:rPr>
          <w:rFonts w:ascii="Georgia" w:hAnsi="Georgia"/>
        </w:rPr>
        <w:t xml:space="preserve"> </w:t>
      </w:r>
      <w:r w:rsidR="005177FC">
        <w:rPr>
          <w:rFonts w:ascii="Georgia" w:hAnsi="Georgia"/>
        </w:rPr>
        <w:t xml:space="preserve">clearly </w:t>
      </w:r>
      <w:r w:rsidR="00922BAD" w:rsidRPr="00922BAD">
        <w:rPr>
          <w:rFonts w:ascii="Georgia" w:hAnsi="Georgia"/>
        </w:rPr>
        <w:t xml:space="preserve">distinguishable on </w:t>
      </w:r>
      <w:r w:rsidR="00E65848">
        <w:rPr>
          <w:rFonts w:ascii="Georgia" w:hAnsi="Georgia"/>
        </w:rPr>
        <w:t>their</w:t>
      </w:r>
      <w:r w:rsidR="00922BAD" w:rsidRPr="00922BAD">
        <w:rPr>
          <w:rFonts w:ascii="Georgia" w:hAnsi="Georgia"/>
        </w:rPr>
        <w:t xml:space="preserve"> facts and in particular that the terms of the relevant leases </w:t>
      </w:r>
      <w:r w:rsidR="005177FC">
        <w:rPr>
          <w:rFonts w:ascii="Georgia" w:hAnsi="Georgia"/>
        </w:rPr>
        <w:t xml:space="preserve">in those cases </w:t>
      </w:r>
      <w:r w:rsidR="00922BAD" w:rsidRPr="00922BAD">
        <w:rPr>
          <w:rFonts w:ascii="Georgia" w:hAnsi="Georgia"/>
        </w:rPr>
        <w:t>are quite different</w:t>
      </w:r>
      <w:r w:rsidR="00E60BF4">
        <w:rPr>
          <w:rFonts w:ascii="Georgia" w:hAnsi="Georgia"/>
        </w:rPr>
        <w:t xml:space="preserve"> to </w:t>
      </w:r>
      <w:r w:rsidR="00922BAD" w:rsidRPr="00922BAD">
        <w:rPr>
          <w:rFonts w:ascii="Georgia" w:hAnsi="Georgia"/>
        </w:rPr>
        <w:t>the terms of the Lease that the Applicant holds.</w:t>
      </w:r>
    </w:p>
    <w:p w14:paraId="5F6287C7" w14:textId="340EFF54" w:rsidR="00822E69" w:rsidRPr="00762E31" w:rsidRDefault="00B1065D" w:rsidP="00822E69">
      <w:pPr>
        <w:jc w:val="both"/>
        <w:rPr>
          <w:rFonts w:ascii="Georgia" w:hAnsi="Georgia"/>
        </w:rPr>
      </w:pPr>
      <w:r>
        <w:rPr>
          <w:rFonts w:ascii="Georgia" w:hAnsi="Georgia"/>
        </w:rPr>
        <w:t xml:space="preserve">33. </w:t>
      </w:r>
      <w:r w:rsidR="00B95E1F">
        <w:rPr>
          <w:rFonts w:ascii="Georgia" w:hAnsi="Georgia"/>
        </w:rPr>
        <w:t xml:space="preserve">The decision in </w:t>
      </w:r>
      <w:r w:rsidR="00822E69" w:rsidRPr="0002167D">
        <w:rPr>
          <w:rFonts w:ascii="Georgia" w:hAnsi="Georgia"/>
          <w:i/>
          <w:iCs/>
        </w:rPr>
        <w:t xml:space="preserve">231 Sussex Gardens Right to </w:t>
      </w:r>
      <w:r w:rsidR="00822E69">
        <w:rPr>
          <w:rFonts w:ascii="Georgia" w:hAnsi="Georgia"/>
          <w:i/>
          <w:iCs/>
        </w:rPr>
        <w:t>M</w:t>
      </w:r>
      <w:r w:rsidR="00822E69" w:rsidRPr="0002167D">
        <w:rPr>
          <w:rFonts w:ascii="Georgia" w:hAnsi="Georgia"/>
          <w:i/>
          <w:iCs/>
        </w:rPr>
        <w:t xml:space="preserve">anage Ltd v </w:t>
      </w:r>
      <w:r w:rsidR="00C860A6" w:rsidRPr="0002167D">
        <w:rPr>
          <w:rFonts w:ascii="Georgia" w:hAnsi="Georgia"/>
          <w:i/>
          <w:iCs/>
        </w:rPr>
        <w:t>Sinclair</w:t>
      </w:r>
      <w:r w:rsidR="00C860A6">
        <w:rPr>
          <w:rFonts w:ascii="Georgia" w:hAnsi="Georgia"/>
        </w:rPr>
        <w:t xml:space="preserve"> </w:t>
      </w:r>
      <w:r w:rsidR="00633865">
        <w:rPr>
          <w:rFonts w:ascii="Georgia" w:hAnsi="Georgia"/>
        </w:rPr>
        <w:t>(2022)</w:t>
      </w:r>
      <w:r w:rsidR="00822E69">
        <w:rPr>
          <w:rFonts w:ascii="Georgia" w:hAnsi="Georgia"/>
          <w:i/>
          <w:iCs/>
        </w:rPr>
        <w:t xml:space="preserve"> </w:t>
      </w:r>
      <w:r w:rsidR="00D67209">
        <w:rPr>
          <w:rFonts w:ascii="Georgia" w:hAnsi="Georgia"/>
        </w:rPr>
        <w:t>was the case on which the Applicant particularly relied.</w:t>
      </w:r>
      <w:r w:rsidR="0078406D">
        <w:rPr>
          <w:rFonts w:ascii="Georgia" w:hAnsi="Georgia"/>
        </w:rPr>
        <w:t xml:space="preserve"> </w:t>
      </w:r>
      <w:r w:rsidR="00822E69">
        <w:rPr>
          <w:rFonts w:ascii="Georgia" w:hAnsi="Georgia"/>
        </w:rPr>
        <w:t xml:space="preserve">It was held that a leaseholder, with a flat that had no access to internal common parts and whose Lease did not require service charge contributions to four of the five service charge schedules but only </w:t>
      </w:r>
      <w:r w:rsidR="0078406D">
        <w:rPr>
          <w:rFonts w:ascii="Georgia" w:hAnsi="Georgia"/>
        </w:rPr>
        <w:t xml:space="preserve">for </w:t>
      </w:r>
      <w:r w:rsidR="00822E69">
        <w:rPr>
          <w:rFonts w:ascii="Georgia" w:hAnsi="Georgia"/>
        </w:rPr>
        <w:t xml:space="preserve">the regular charges, was not liable to contribute to fire alarms and smoke detectors that had been installed </w:t>
      </w:r>
      <w:r w:rsidR="00822E69" w:rsidRPr="0078406D">
        <w:rPr>
          <w:rFonts w:ascii="Georgia" w:hAnsi="Georgia"/>
        </w:rPr>
        <w:t xml:space="preserve">into </w:t>
      </w:r>
      <w:r w:rsidR="00B432F0">
        <w:rPr>
          <w:rFonts w:ascii="Georgia" w:hAnsi="Georgia"/>
        </w:rPr>
        <w:t xml:space="preserve">the </w:t>
      </w:r>
      <w:r w:rsidR="00822E69" w:rsidRPr="0078406D">
        <w:rPr>
          <w:rFonts w:ascii="Georgia" w:hAnsi="Georgia"/>
        </w:rPr>
        <w:t>flats</w:t>
      </w:r>
      <w:r w:rsidR="0078406D">
        <w:rPr>
          <w:rFonts w:ascii="Georgia" w:hAnsi="Georgia"/>
        </w:rPr>
        <w:t xml:space="preserve"> </w:t>
      </w:r>
      <w:r w:rsidR="00822E69">
        <w:rPr>
          <w:rFonts w:ascii="Georgia" w:hAnsi="Georgia"/>
        </w:rPr>
        <w:t xml:space="preserve">that </w:t>
      </w:r>
      <w:r w:rsidR="008C5782">
        <w:rPr>
          <w:rFonts w:ascii="Georgia" w:hAnsi="Georgia"/>
        </w:rPr>
        <w:t xml:space="preserve">did have </w:t>
      </w:r>
      <w:r w:rsidR="00822E69">
        <w:rPr>
          <w:rFonts w:ascii="Georgia" w:hAnsi="Georgia"/>
        </w:rPr>
        <w:t>access to the internal common parts</w:t>
      </w:r>
      <w:r w:rsidR="0078406D">
        <w:rPr>
          <w:rFonts w:ascii="Georgia" w:hAnsi="Georgia"/>
        </w:rPr>
        <w:t xml:space="preserve">. </w:t>
      </w:r>
      <w:r w:rsidR="00EE5C97">
        <w:rPr>
          <w:rFonts w:ascii="Georgia" w:hAnsi="Georgia"/>
        </w:rPr>
        <w:t xml:space="preserve">Unfortunately, the exact </w:t>
      </w:r>
      <w:r w:rsidR="00067D12">
        <w:rPr>
          <w:rFonts w:ascii="Georgia" w:hAnsi="Georgia"/>
        </w:rPr>
        <w:t xml:space="preserve">relevant </w:t>
      </w:r>
      <w:r w:rsidR="00EE5C97">
        <w:rPr>
          <w:rFonts w:ascii="Georgia" w:hAnsi="Georgia"/>
        </w:rPr>
        <w:t>wording of the subject lease in question is not set out in the</w:t>
      </w:r>
      <w:r w:rsidR="00144E4F">
        <w:rPr>
          <w:rFonts w:ascii="Georgia" w:hAnsi="Georgia"/>
        </w:rPr>
        <w:t xml:space="preserve"> determination. But it is clear that </w:t>
      </w:r>
      <w:r w:rsidR="00A37160">
        <w:rPr>
          <w:rFonts w:ascii="Georgia" w:hAnsi="Georgia"/>
        </w:rPr>
        <w:t xml:space="preserve">the subject lease </w:t>
      </w:r>
      <w:r w:rsidR="00461A56">
        <w:rPr>
          <w:rFonts w:ascii="Georgia" w:hAnsi="Georgia"/>
        </w:rPr>
        <w:t xml:space="preserve">in the case </w:t>
      </w:r>
      <w:r w:rsidR="00A37160">
        <w:rPr>
          <w:rFonts w:ascii="Georgia" w:hAnsi="Georgia"/>
        </w:rPr>
        <w:t>had different wording to that</w:t>
      </w:r>
      <w:r w:rsidR="00976243">
        <w:rPr>
          <w:rFonts w:ascii="Georgia" w:hAnsi="Georgia"/>
        </w:rPr>
        <w:t xml:space="preserve"> of</w:t>
      </w:r>
      <w:r w:rsidR="002221AA">
        <w:rPr>
          <w:rFonts w:ascii="Georgia" w:hAnsi="Georgia"/>
        </w:rPr>
        <w:t xml:space="preserve"> the</w:t>
      </w:r>
      <w:r w:rsidR="00976243">
        <w:rPr>
          <w:rFonts w:ascii="Georgia" w:hAnsi="Georgia"/>
        </w:rPr>
        <w:t xml:space="preserve"> </w:t>
      </w:r>
      <w:r w:rsidR="001F622F">
        <w:rPr>
          <w:rFonts w:ascii="Georgia" w:hAnsi="Georgia"/>
        </w:rPr>
        <w:t>other flats and that</w:t>
      </w:r>
      <w:r w:rsidR="00734A79">
        <w:rPr>
          <w:rFonts w:ascii="Georgia" w:hAnsi="Georgia"/>
        </w:rPr>
        <w:t xml:space="preserve"> </w:t>
      </w:r>
      <w:r w:rsidR="00165E23">
        <w:rPr>
          <w:rFonts w:ascii="Georgia" w:hAnsi="Georgia"/>
        </w:rPr>
        <w:t>various</w:t>
      </w:r>
      <w:r w:rsidR="00734A79">
        <w:rPr>
          <w:rFonts w:ascii="Georgia" w:hAnsi="Georgia"/>
        </w:rPr>
        <w:t xml:space="preserve"> obligations</w:t>
      </w:r>
      <w:r w:rsidR="001D4016">
        <w:rPr>
          <w:rFonts w:ascii="Georgia" w:hAnsi="Georgia"/>
        </w:rPr>
        <w:t xml:space="preserve"> to contribute to the expenses of the internal common parts</w:t>
      </w:r>
      <w:r w:rsidR="001F622F">
        <w:rPr>
          <w:rFonts w:ascii="Georgia" w:hAnsi="Georgia"/>
        </w:rPr>
        <w:t xml:space="preserve"> </w:t>
      </w:r>
      <w:r w:rsidR="00980403">
        <w:rPr>
          <w:rFonts w:ascii="Georgia" w:hAnsi="Georgia"/>
        </w:rPr>
        <w:t xml:space="preserve">was missing. </w:t>
      </w:r>
      <w:r w:rsidR="00F47470">
        <w:rPr>
          <w:rFonts w:ascii="Georgia" w:hAnsi="Georgia"/>
        </w:rPr>
        <w:t>It was not a case where there was other relevant clauses</w:t>
      </w:r>
      <w:r w:rsidR="000652F8">
        <w:rPr>
          <w:rFonts w:ascii="Georgia" w:hAnsi="Georgia"/>
        </w:rPr>
        <w:t xml:space="preserve"> such as clause 1(iii) and 7</w:t>
      </w:r>
      <w:r w:rsidR="00BE7F5B">
        <w:rPr>
          <w:rFonts w:ascii="Georgia" w:hAnsi="Georgia"/>
        </w:rPr>
        <w:t xml:space="preserve"> as in the Lease</w:t>
      </w:r>
      <w:r w:rsidR="00C1229A">
        <w:rPr>
          <w:rFonts w:ascii="Georgia" w:hAnsi="Georgia"/>
        </w:rPr>
        <w:t xml:space="preserve"> and there were separate schedules not just a saving clause. </w:t>
      </w:r>
      <w:r w:rsidR="00822E69">
        <w:rPr>
          <w:rFonts w:ascii="Georgia" w:hAnsi="Georgia"/>
        </w:rPr>
        <w:t xml:space="preserve">Therefore, the facts </w:t>
      </w:r>
      <w:r w:rsidR="009F1937">
        <w:rPr>
          <w:rFonts w:ascii="Georgia" w:hAnsi="Georgia"/>
        </w:rPr>
        <w:t xml:space="preserve">and terms of the relevant leases </w:t>
      </w:r>
      <w:r w:rsidR="00822E69">
        <w:rPr>
          <w:rFonts w:ascii="Georgia" w:hAnsi="Georgia"/>
        </w:rPr>
        <w:t xml:space="preserve">are distinctively </w:t>
      </w:r>
      <w:r w:rsidR="00391E41">
        <w:rPr>
          <w:rFonts w:ascii="Georgia" w:hAnsi="Georgia"/>
        </w:rPr>
        <w:t xml:space="preserve">different </w:t>
      </w:r>
      <w:r w:rsidR="00C860A6">
        <w:rPr>
          <w:rFonts w:ascii="Georgia" w:hAnsi="Georgia"/>
        </w:rPr>
        <w:t xml:space="preserve">and the </w:t>
      </w:r>
      <w:r w:rsidR="00C860A6" w:rsidRPr="0002167D">
        <w:rPr>
          <w:rFonts w:ascii="Georgia" w:hAnsi="Georgia"/>
          <w:i/>
          <w:iCs/>
        </w:rPr>
        <w:t>Sinclair</w:t>
      </w:r>
      <w:r w:rsidR="00762E31">
        <w:rPr>
          <w:rFonts w:ascii="Georgia" w:hAnsi="Georgia"/>
        </w:rPr>
        <w:t xml:space="preserve"> case does not assist in the ascertainment of the meaning of the service charge provisions for this Bu</w:t>
      </w:r>
      <w:r w:rsidR="00067D12">
        <w:rPr>
          <w:rFonts w:ascii="Georgia" w:hAnsi="Georgia"/>
        </w:rPr>
        <w:t>i</w:t>
      </w:r>
      <w:r w:rsidR="00762E31">
        <w:rPr>
          <w:rFonts w:ascii="Georgia" w:hAnsi="Georgia"/>
        </w:rPr>
        <w:t xml:space="preserve">lding.  </w:t>
      </w:r>
    </w:p>
    <w:p w14:paraId="61FFC9F0" w14:textId="5B6629B7" w:rsidR="00822E69" w:rsidRDefault="00822E69" w:rsidP="00822E69">
      <w:pPr>
        <w:jc w:val="both"/>
        <w:rPr>
          <w:rFonts w:ascii="Georgia" w:hAnsi="Georgia"/>
        </w:rPr>
      </w:pPr>
    </w:p>
    <w:p w14:paraId="225DEE3B" w14:textId="7C84AE3F" w:rsidR="00AF6041" w:rsidRDefault="00306DB1" w:rsidP="00822E69">
      <w:pPr>
        <w:jc w:val="both"/>
        <w:rPr>
          <w:rFonts w:ascii="Georgia" w:hAnsi="Georgia"/>
        </w:rPr>
      </w:pPr>
      <w:r>
        <w:rPr>
          <w:rFonts w:ascii="Georgia" w:hAnsi="Georgia"/>
        </w:rPr>
        <w:t xml:space="preserve">34. </w:t>
      </w:r>
      <w:r w:rsidR="00822E69">
        <w:rPr>
          <w:rFonts w:ascii="Georgia" w:hAnsi="Georgia"/>
        </w:rPr>
        <w:t>Th</w:t>
      </w:r>
      <w:r>
        <w:rPr>
          <w:rFonts w:ascii="Georgia" w:hAnsi="Georgia"/>
        </w:rPr>
        <w:t>e</w:t>
      </w:r>
      <w:r w:rsidR="00822E69">
        <w:rPr>
          <w:rFonts w:ascii="Georgia" w:hAnsi="Georgia"/>
        </w:rPr>
        <w:t xml:space="preserve"> case </w:t>
      </w:r>
      <w:r w:rsidR="00877971">
        <w:rPr>
          <w:rFonts w:ascii="Georgia" w:hAnsi="Georgia"/>
        </w:rPr>
        <w:t xml:space="preserve">of </w:t>
      </w:r>
      <w:r w:rsidR="00C33FB0">
        <w:rPr>
          <w:rFonts w:ascii="Georgia" w:hAnsi="Georgia"/>
          <w:i/>
          <w:iCs/>
        </w:rPr>
        <w:t xml:space="preserve">Thomas and Watkins v Geneva Investments </w:t>
      </w:r>
      <w:r w:rsidR="00877971">
        <w:rPr>
          <w:rFonts w:ascii="Georgia" w:hAnsi="Georgia"/>
        </w:rPr>
        <w:t xml:space="preserve">(2022) </w:t>
      </w:r>
      <w:r w:rsidR="00822E69">
        <w:rPr>
          <w:rFonts w:ascii="Georgia" w:hAnsi="Georgia"/>
        </w:rPr>
        <w:t>is relatively briefly reported especially in relation to the exact terms of the Lease in that case</w:t>
      </w:r>
      <w:r w:rsidR="00BF069E">
        <w:rPr>
          <w:rFonts w:ascii="Georgia" w:hAnsi="Georgia"/>
        </w:rPr>
        <w:t>.</w:t>
      </w:r>
      <w:r w:rsidR="00822E69">
        <w:rPr>
          <w:rFonts w:ascii="Georgia" w:hAnsi="Georgia"/>
        </w:rPr>
        <w:t xml:space="preserve"> </w:t>
      </w:r>
      <w:r w:rsidR="00BF069E">
        <w:rPr>
          <w:rFonts w:ascii="Georgia" w:hAnsi="Georgia"/>
        </w:rPr>
        <w:t>A</w:t>
      </w:r>
      <w:r w:rsidR="00822E69">
        <w:rPr>
          <w:rFonts w:ascii="Georgia" w:hAnsi="Georgia"/>
        </w:rPr>
        <w:t xml:space="preserve">pparently the ‘terms of the lease are narrowly drawn in relation to what is recoverable’ and </w:t>
      </w:r>
      <w:r w:rsidR="004A5723">
        <w:rPr>
          <w:rFonts w:ascii="Georgia" w:hAnsi="Georgia"/>
        </w:rPr>
        <w:t xml:space="preserve">the service charge </w:t>
      </w:r>
      <w:r w:rsidR="00822E69">
        <w:rPr>
          <w:rFonts w:ascii="Georgia" w:hAnsi="Georgia"/>
        </w:rPr>
        <w:t xml:space="preserve">was seemingly limited to structural parts of the building, conduits used in common and boundary walls. </w:t>
      </w:r>
      <w:r w:rsidR="008F7E8F">
        <w:rPr>
          <w:rFonts w:ascii="Georgia" w:hAnsi="Georgia"/>
        </w:rPr>
        <w:t>T</w:t>
      </w:r>
      <w:r w:rsidR="00822E69">
        <w:rPr>
          <w:rFonts w:ascii="Georgia" w:hAnsi="Georgia"/>
        </w:rPr>
        <w:t xml:space="preserve">here was no clause into which fire protection and alarm maintenance could be fitted. </w:t>
      </w:r>
      <w:r w:rsidR="008F7E8F">
        <w:rPr>
          <w:rFonts w:ascii="Georgia" w:hAnsi="Georgia"/>
        </w:rPr>
        <w:t>As discussed in paragraph</w:t>
      </w:r>
      <w:r w:rsidR="00815186">
        <w:rPr>
          <w:rFonts w:ascii="Georgia" w:hAnsi="Georgia"/>
        </w:rPr>
        <w:t xml:space="preserve"> 31 </w:t>
      </w:r>
      <w:r w:rsidR="008F7E8F">
        <w:rPr>
          <w:rFonts w:ascii="Georgia" w:hAnsi="Georgia"/>
        </w:rPr>
        <w:t>above</w:t>
      </w:r>
      <w:r w:rsidR="001A3D44">
        <w:rPr>
          <w:rFonts w:ascii="Georgia" w:hAnsi="Georgia"/>
        </w:rPr>
        <w:t>,</w:t>
      </w:r>
      <w:r w:rsidR="008F7E8F">
        <w:rPr>
          <w:rFonts w:ascii="Georgia" w:hAnsi="Georgia"/>
        </w:rPr>
        <w:t xml:space="preserve"> </w:t>
      </w:r>
      <w:r w:rsidR="00822E69">
        <w:rPr>
          <w:rFonts w:ascii="Georgia" w:hAnsi="Georgia"/>
        </w:rPr>
        <w:t xml:space="preserve">there are </w:t>
      </w:r>
      <w:r w:rsidR="001A3D44">
        <w:rPr>
          <w:rFonts w:ascii="Georgia" w:hAnsi="Georgia"/>
        </w:rPr>
        <w:t xml:space="preserve">in </w:t>
      </w:r>
      <w:r w:rsidR="001A3D44">
        <w:rPr>
          <w:rFonts w:ascii="Georgia" w:hAnsi="Georgia"/>
        </w:rPr>
        <w:lastRenderedPageBreak/>
        <w:t xml:space="preserve">our case </w:t>
      </w:r>
      <w:r w:rsidR="00822E69">
        <w:rPr>
          <w:rFonts w:ascii="Georgia" w:hAnsi="Georgia"/>
        </w:rPr>
        <w:t>other possible clauses in the service charge schedule</w:t>
      </w:r>
      <w:r w:rsidR="001A3D44">
        <w:rPr>
          <w:rFonts w:ascii="Georgia" w:hAnsi="Georgia"/>
        </w:rPr>
        <w:t xml:space="preserve"> that do include</w:t>
      </w:r>
      <w:r w:rsidR="00F2721A">
        <w:rPr>
          <w:rFonts w:ascii="Georgia" w:hAnsi="Georgia"/>
        </w:rPr>
        <w:t xml:space="preserve"> fire alarm and fire safety issues</w:t>
      </w:r>
      <w:r w:rsidR="00E82D04">
        <w:rPr>
          <w:rFonts w:ascii="Georgia" w:hAnsi="Georgia"/>
        </w:rPr>
        <w:t>.</w:t>
      </w:r>
    </w:p>
    <w:p w14:paraId="2CF2F233" w14:textId="732D82EB" w:rsidR="00822E69" w:rsidRPr="0002167D" w:rsidRDefault="00822E69" w:rsidP="00822E69">
      <w:pPr>
        <w:jc w:val="both"/>
        <w:rPr>
          <w:rFonts w:ascii="Georgia" w:hAnsi="Georgia"/>
        </w:rPr>
      </w:pPr>
      <w:r>
        <w:rPr>
          <w:rFonts w:ascii="Georgia" w:hAnsi="Georgia"/>
        </w:rPr>
        <w:t>.</w:t>
      </w:r>
    </w:p>
    <w:p w14:paraId="32264A43" w14:textId="2A1ECB66" w:rsidR="00822E69" w:rsidRDefault="00306DB1" w:rsidP="00822E69">
      <w:pPr>
        <w:jc w:val="both"/>
        <w:rPr>
          <w:rFonts w:ascii="Georgia" w:hAnsi="Georgia"/>
        </w:rPr>
      </w:pPr>
      <w:r>
        <w:rPr>
          <w:rFonts w:ascii="Georgia" w:hAnsi="Georgia"/>
        </w:rPr>
        <w:t xml:space="preserve">35. </w:t>
      </w:r>
      <w:r w:rsidR="00822E69">
        <w:rPr>
          <w:rFonts w:ascii="Georgia" w:hAnsi="Georgia"/>
          <w:i/>
          <w:iCs/>
        </w:rPr>
        <w:t>Paddock v Sutcliffe House (London Road, Bath) Management Company</w:t>
      </w:r>
      <w:r w:rsidR="00822E69" w:rsidRPr="00AF6041">
        <w:rPr>
          <w:rFonts w:ascii="Georgia" w:hAnsi="Georgia"/>
        </w:rPr>
        <w:t xml:space="preserve"> </w:t>
      </w:r>
      <w:r w:rsidR="00AF6041">
        <w:rPr>
          <w:rFonts w:ascii="Georgia" w:hAnsi="Georgia"/>
        </w:rPr>
        <w:t>(</w:t>
      </w:r>
      <w:r w:rsidR="00822E69" w:rsidRPr="00AF6041">
        <w:rPr>
          <w:rFonts w:ascii="Georgia" w:hAnsi="Georgia"/>
        </w:rPr>
        <w:t>2023</w:t>
      </w:r>
      <w:r w:rsidR="00AF6041">
        <w:rPr>
          <w:rFonts w:ascii="Georgia" w:hAnsi="Georgia"/>
        </w:rPr>
        <w:t xml:space="preserve">) was a decision </w:t>
      </w:r>
      <w:r w:rsidR="00FA4C01">
        <w:rPr>
          <w:rFonts w:ascii="Georgia" w:hAnsi="Georgia"/>
        </w:rPr>
        <w:t xml:space="preserve">made by a panel that included </w:t>
      </w:r>
      <w:r w:rsidR="00AF6041">
        <w:rPr>
          <w:rFonts w:ascii="Georgia" w:hAnsi="Georgia"/>
        </w:rPr>
        <w:t>two members of this Tribunal</w:t>
      </w:r>
      <w:r w:rsidR="00FA4C01">
        <w:rPr>
          <w:rFonts w:ascii="Georgia" w:hAnsi="Georgia"/>
        </w:rPr>
        <w:t>.</w:t>
      </w:r>
      <w:r w:rsidR="00D14C5F">
        <w:rPr>
          <w:rFonts w:ascii="Georgia" w:hAnsi="Georgia"/>
        </w:rPr>
        <w:t xml:space="preserve"> It was </w:t>
      </w:r>
      <w:r w:rsidR="00822E69">
        <w:rPr>
          <w:rFonts w:ascii="Georgia" w:hAnsi="Georgia"/>
        </w:rPr>
        <w:t xml:space="preserve">determined that </w:t>
      </w:r>
      <w:r w:rsidR="005A7C12">
        <w:rPr>
          <w:rFonts w:ascii="Georgia" w:hAnsi="Georgia"/>
        </w:rPr>
        <w:t xml:space="preserve">the </w:t>
      </w:r>
      <w:r w:rsidR="00D14C5F">
        <w:rPr>
          <w:rFonts w:ascii="Georgia" w:hAnsi="Georgia"/>
        </w:rPr>
        <w:t>a</w:t>
      </w:r>
      <w:r w:rsidR="00822E69" w:rsidRPr="0028699B">
        <w:rPr>
          <w:rFonts w:ascii="Georgia" w:hAnsi="Georgia"/>
        </w:rPr>
        <w:t xml:space="preserve">pplicant </w:t>
      </w:r>
      <w:r w:rsidR="00D14C5F">
        <w:rPr>
          <w:rFonts w:ascii="Georgia" w:hAnsi="Georgia"/>
        </w:rPr>
        <w:t xml:space="preserve">in that case </w:t>
      </w:r>
      <w:r w:rsidR="00822E69">
        <w:rPr>
          <w:rFonts w:ascii="Georgia" w:hAnsi="Georgia"/>
        </w:rPr>
        <w:t>wa</w:t>
      </w:r>
      <w:r w:rsidR="00822E69" w:rsidRPr="0028699B">
        <w:rPr>
          <w:rFonts w:ascii="Georgia" w:hAnsi="Georgia"/>
        </w:rPr>
        <w:t xml:space="preserve">s not obliged to make any contribution at all to any major works </w:t>
      </w:r>
      <w:r w:rsidR="00822E69">
        <w:rPr>
          <w:rFonts w:ascii="Georgia" w:hAnsi="Georgia"/>
        </w:rPr>
        <w:t xml:space="preserve">(which included some fireproofing works) </w:t>
      </w:r>
      <w:r w:rsidR="00822E69" w:rsidRPr="0028699B">
        <w:rPr>
          <w:rFonts w:ascii="Georgia" w:hAnsi="Georgia"/>
        </w:rPr>
        <w:t>to the interior entrances, passages, landings and staircases in Sutcliffe House</w:t>
      </w:r>
      <w:r w:rsidR="00822E69" w:rsidRPr="00F36771">
        <w:rPr>
          <w:rFonts w:ascii="Georgia" w:hAnsi="Georgia"/>
        </w:rPr>
        <w:t xml:space="preserve"> </w:t>
      </w:r>
      <w:r w:rsidR="00822E69" w:rsidRPr="0028699B">
        <w:rPr>
          <w:rFonts w:ascii="Georgia" w:hAnsi="Georgia"/>
        </w:rPr>
        <w:t>because he only ha</w:t>
      </w:r>
      <w:r w:rsidR="00822E69">
        <w:rPr>
          <w:rFonts w:ascii="Georgia" w:hAnsi="Georgia"/>
        </w:rPr>
        <w:t>d</w:t>
      </w:r>
      <w:r w:rsidR="00822E69" w:rsidRPr="0028699B">
        <w:rPr>
          <w:rFonts w:ascii="Georgia" w:hAnsi="Georgia"/>
        </w:rPr>
        <w:t xml:space="preserve"> to do so if </w:t>
      </w:r>
      <w:r w:rsidR="00822E69">
        <w:rPr>
          <w:rFonts w:ascii="Georgia" w:hAnsi="Georgia"/>
        </w:rPr>
        <w:t>where</w:t>
      </w:r>
      <w:r w:rsidR="00822E69" w:rsidRPr="0028699B">
        <w:rPr>
          <w:rFonts w:ascii="Georgia" w:hAnsi="Georgia"/>
        </w:rPr>
        <w:t xml:space="preserve"> </w:t>
      </w:r>
      <w:r w:rsidR="00822E69">
        <w:rPr>
          <w:rFonts w:ascii="Georgia" w:hAnsi="Georgia"/>
        </w:rPr>
        <w:t>they were</w:t>
      </w:r>
      <w:r w:rsidR="00822E69" w:rsidRPr="0028699B">
        <w:rPr>
          <w:rFonts w:ascii="Georgia" w:hAnsi="Georgia"/>
        </w:rPr>
        <w:t xml:space="preserve"> so</w:t>
      </w:r>
      <w:r w:rsidR="00822E69" w:rsidRPr="0028699B">
        <w:rPr>
          <w:rFonts w:ascii="Georgia" w:hAnsi="Georgia"/>
          <w:i/>
          <w:iCs/>
        </w:rPr>
        <w:t xml:space="preserve"> </w:t>
      </w:r>
      <w:r w:rsidR="00822E69" w:rsidRPr="0028699B">
        <w:rPr>
          <w:rFonts w:ascii="Georgia" w:hAnsi="Georgia"/>
        </w:rPr>
        <w:t>enjoyed or used by the lessees in common</w:t>
      </w:r>
      <w:r w:rsidR="00822E69">
        <w:rPr>
          <w:rFonts w:ascii="Georgia" w:hAnsi="Georgia"/>
        </w:rPr>
        <w:t xml:space="preserve">. </w:t>
      </w:r>
      <w:r w:rsidR="00D14C5F">
        <w:rPr>
          <w:rFonts w:ascii="Georgia" w:hAnsi="Georgia"/>
        </w:rPr>
        <w:t xml:space="preserve">It therefore looks at first glance to have similarities </w:t>
      </w:r>
      <w:r w:rsidR="000947A8">
        <w:rPr>
          <w:rFonts w:ascii="Georgia" w:hAnsi="Georgia"/>
        </w:rPr>
        <w:t>with the issues in this case. But Mr Pad</w:t>
      </w:r>
      <w:r w:rsidR="0071713C">
        <w:rPr>
          <w:rFonts w:ascii="Georgia" w:hAnsi="Georgia"/>
        </w:rPr>
        <w:t>d</w:t>
      </w:r>
      <w:r w:rsidR="000947A8">
        <w:rPr>
          <w:rFonts w:ascii="Georgia" w:hAnsi="Georgia"/>
        </w:rPr>
        <w:t>ock</w:t>
      </w:r>
      <w:r w:rsidR="0071713C">
        <w:rPr>
          <w:rFonts w:ascii="Georgia" w:hAnsi="Georgia"/>
        </w:rPr>
        <w:t xml:space="preserve"> </w:t>
      </w:r>
      <w:r w:rsidR="00822E69">
        <w:rPr>
          <w:rFonts w:ascii="Georgia" w:hAnsi="Georgia"/>
        </w:rPr>
        <w:t>had no legal right to enter an</w:t>
      </w:r>
      <w:r w:rsidR="000E70AC">
        <w:rPr>
          <w:rFonts w:ascii="Georgia" w:hAnsi="Georgia"/>
        </w:rPr>
        <w:t>y of the</w:t>
      </w:r>
      <w:r w:rsidR="00822E69">
        <w:rPr>
          <w:rFonts w:ascii="Georgia" w:hAnsi="Georgia"/>
        </w:rPr>
        <w:t xml:space="preserve"> internal passages or stairs and indeed physically he could not do so as he had no key. Moreover, </w:t>
      </w:r>
      <w:r w:rsidR="0071713C">
        <w:rPr>
          <w:rFonts w:ascii="Georgia" w:hAnsi="Georgia"/>
        </w:rPr>
        <w:t xml:space="preserve">it </w:t>
      </w:r>
      <w:r w:rsidR="00822E69">
        <w:rPr>
          <w:rFonts w:ascii="Georgia" w:hAnsi="Georgia"/>
        </w:rPr>
        <w:t>was a very unusual lease requiring the service charge to be a ‘fair proportion’</w:t>
      </w:r>
      <w:r w:rsidR="0071713C">
        <w:rPr>
          <w:rFonts w:ascii="Georgia" w:hAnsi="Georgia"/>
        </w:rPr>
        <w:t xml:space="preserve"> rather, as in this case, specified proportions</w:t>
      </w:r>
      <w:r w:rsidR="00822E69">
        <w:rPr>
          <w:rFonts w:ascii="Georgia" w:hAnsi="Georgia"/>
        </w:rPr>
        <w:t xml:space="preserve">. It was also a case where the subject property was a house attached (only one adjoining wall) to the side of another house attached </w:t>
      </w:r>
      <w:r w:rsidR="00E8439F">
        <w:rPr>
          <w:rFonts w:ascii="Georgia" w:hAnsi="Georgia"/>
        </w:rPr>
        <w:t xml:space="preserve">by one wall </w:t>
      </w:r>
      <w:r w:rsidR="00822E69">
        <w:rPr>
          <w:rFonts w:ascii="Georgia" w:hAnsi="Georgia"/>
        </w:rPr>
        <w:t xml:space="preserve">to the main building that had been converted into flats so fire alarms </w:t>
      </w:r>
      <w:r w:rsidR="00BB6B18">
        <w:rPr>
          <w:rFonts w:ascii="Georgia" w:hAnsi="Georgia"/>
        </w:rPr>
        <w:t xml:space="preserve">in the main building </w:t>
      </w:r>
      <w:r w:rsidR="00822E69">
        <w:rPr>
          <w:rFonts w:ascii="Georgia" w:hAnsi="Georgia"/>
        </w:rPr>
        <w:t>would inevitabl</w:t>
      </w:r>
      <w:r w:rsidR="00941AF5">
        <w:rPr>
          <w:rFonts w:ascii="Georgia" w:hAnsi="Georgia"/>
        </w:rPr>
        <w:t>y</w:t>
      </w:r>
      <w:r w:rsidR="00822E69">
        <w:rPr>
          <w:rFonts w:ascii="Georgia" w:hAnsi="Georgia"/>
        </w:rPr>
        <w:t xml:space="preserve"> be separate</w:t>
      </w:r>
      <w:r w:rsidR="00BB6B18">
        <w:rPr>
          <w:rFonts w:ascii="Georgia" w:hAnsi="Georgia"/>
        </w:rPr>
        <w:t xml:space="preserve"> from Mr Paddock’s house</w:t>
      </w:r>
      <w:r w:rsidR="00822E69">
        <w:rPr>
          <w:rFonts w:ascii="Georgia" w:hAnsi="Georgia"/>
        </w:rPr>
        <w:t xml:space="preserve">. </w:t>
      </w:r>
      <w:r w:rsidR="00397EC1">
        <w:rPr>
          <w:rFonts w:ascii="Georgia" w:hAnsi="Georgia"/>
        </w:rPr>
        <w:t>The decision is therefore clearly distinguishable.</w:t>
      </w:r>
    </w:p>
    <w:p w14:paraId="59C20721" w14:textId="77777777" w:rsidR="00397EC1" w:rsidRDefault="00397EC1" w:rsidP="00822E69">
      <w:pPr>
        <w:jc w:val="both"/>
        <w:rPr>
          <w:rFonts w:ascii="Georgia" w:hAnsi="Georgia"/>
          <w:i/>
          <w:iCs/>
        </w:rPr>
      </w:pPr>
    </w:p>
    <w:p w14:paraId="2F510E07" w14:textId="068E9C5A" w:rsidR="00822E69" w:rsidRDefault="00306DB1" w:rsidP="00822E69">
      <w:pPr>
        <w:jc w:val="both"/>
        <w:rPr>
          <w:rFonts w:ascii="Georgia" w:hAnsi="Georgia"/>
        </w:rPr>
      </w:pPr>
      <w:r>
        <w:rPr>
          <w:rFonts w:ascii="Georgia" w:hAnsi="Georgia"/>
        </w:rPr>
        <w:t xml:space="preserve">36. </w:t>
      </w:r>
      <w:r w:rsidR="00822E69">
        <w:rPr>
          <w:rFonts w:ascii="Georgia" w:hAnsi="Georgia"/>
        </w:rPr>
        <w:t xml:space="preserve">The Applicant cites </w:t>
      </w:r>
      <w:r w:rsidR="00397EC1" w:rsidRPr="00BC5F4D">
        <w:rPr>
          <w:rFonts w:ascii="Georgia" w:hAnsi="Georgia"/>
          <w:i/>
          <w:iCs/>
        </w:rPr>
        <w:t xml:space="preserve">Arnott v Waterglen Ltd </w:t>
      </w:r>
      <w:r w:rsidR="00397EC1">
        <w:rPr>
          <w:rFonts w:ascii="Georgia" w:hAnsi="Georgia"/>
        </w:rPr>
        <w:t xml:space="preserve">(2021) </w:t>
      </w:r>
      <w:r w:rsidR="00822E69">
        <w:rPr>
          <w:rFonts w:ascii="Georgia" w:hAnsi="Georgia"/>
        </w:rPr>
        <w:t xml:space="preserve">as authority for the fact that heat sensors located inside flats by doors opening into the common hallway </w:t>
      </w:r>
      <w:r w:rsidR="001A18F3">
        <w:rPr>
          <w:rFonts w:ascii="Georgia" w:hAnsi="Georgia"/>
        </w:rPr>
        <w:t xml:space="preserve">were held to be </w:t>
      </w:r>
      <w:r w:rsidR="00822E69">
        <w:rPr>
          <w:rFonts w:ascii="Georgia" w:hAnsi="Georgia"/>
        </w:rPr>
        <w:t xml:space="preserve"> part of the communal fire alarm and charges shared accordingly. What the case decides, where all leases paid the same service charge and there was no clause exempting anyone from internal access charges, was that fire </w:t>
      </w:r>
      <w:r w:rsidR="003E2EB9">
        <w:rPr>
          <w:rFonts w:ascii="Georgia" w:hAnsi="Georgia"/>
        </w:rPr>
        <w:t xml:space="preserve">safety </w:t>
      </w:r>
      <w:r w:rsidR="00822E69">
        <w:rPr>
          <w:rFonts w:ascii="Georgia" w:hAnsi="Georgia"/>
        </w:rPr>
        <w:t>works required by the Fire Service that involved hybrid works in both communal areas and in the flats w</w:t>
      </w:r>
      <w:r w:rsidR="00D6641E">
        <w:rPr>
          <w:rFonts w:ascii="Georgia" w:hAnsi="Georgia"/>
        </w:rPr>
        <w:t>ere</w:t>
      </w:r>
      <w:r w:rsidR="00822E69">
        <w:rPr>
          <w:rFonts w:ascii="Georgia" w:hAnsi="Georgia"/>
        </w:rPr>
        <w:t xml:space="preserve"> payable under the service charge as necessary for the proper safety of the building. Mr Arnott ha</w:t>
      </w:r>
      <w:r w:rsidR="00941AF5">
        <w:rPr>
          <w:rFonts w:ascii="Georgia" w:hAnsi="Georgia"/>
        </w:rPr>
        <w:t>d</w:t>
      </w:r>
      <w:r w:rsidR="00822E69">
        <w:rPr>
          <w:rFonts w:ascii="Georgia" w:hAnsi="Georgia"/>
        </w:rPr>
        <w:t xml:space="preserve"> refused, as he was entitled to, </w:t>
      </w:r>
      <w:r w:rsidR="003E2EB9">
        <w:rPr>
          <w:rFonts w:ascii="Georgia" w:hAnsi="Georgia"/>
        </w:rPr>
        <w:t xml:space="preserve">to give </w:t>
      </w:r>
      <w:r w:rsidR="00822E69">
        <w:rPr>
          <w:rFonts w:ascii="Georgia" w:hAnsi="Georgia"/>
        </w:rPr>
        <w:t xml:space="preserve">access to his flat so no work was done for him but he was required to pay his share of the overall work including work in other flats. </w:t>
      </w:r>
      <w:r w:rsidR="00B135CA">
        <w:rPr>
          <w:rFonts w:ascii="Georgia" w:hAnsi="Georgia"/>
        </w:rPr>
        <w:t xml:space="preserve">The </w:t>
      </w:r>
      <w:r w:rsidR="00822E69">
        <w:rPr>
          <w:rFonts w:ascii="Georgia" w:hAnsi="Georgia"/>
        </w:rPr>
        <w:t>Applicant i</w:t>
      </w:r>
      <w:r w:rsidR="00B135CA">
        <w:rPr>
          <w:rFonts w:ascii="Georgia" w:hAnsi="Georgia"/>
        </w:rPr>
        <w:t>n this case</w:t>
      </w:r>
      <w:r w:rsidR="00822E69">
        <w:rPr>
          <w:rFonts w:ascii="Georgia" w:hAnsi="Georgia"/>
        </w:rPr>
        <w:t xml:space="preserve"> </w:t>
      </w:r>
      <w:r w:rsidR="00B135CA">
        <w:rPr>
          <w:rFonts w:ascii="Georgia" w:hAnsi="Georgia"/>
        </w:rPr>
        <w:t xml:space="preserve">points out </w:t>
      </w:r>
      <w:r w:rsidR="00822E69">
        <w:rPr>
          <w:rFonts w:ascii="Georgia" w:hAnsi="Georgia"/>
        </w:rPr>
        <w:t xml:space="preserve">that the decision in </w:t>
      </w:r>
      <w:r w:rsidR="00822E69" w:rsidRPr="003836CF">
        <w:rPr>
          <w:rFonts w:ascii="Georgia" w:hAnsi="Georgia"/>
          <w:i/>
          <w:iCs/>
        </w:rPr>
        <w:t xml:space="preserve">Arnott </w:t>
      </w:r>
      <w:r w:rsidR="00822E69">
        <w:rPr>
          <w:rFonts w:ascii="Georgia" w:hAnsi="Georgia"/>
        </w:rPr>
        <w:t>was not influenced by involvement of shared wires.</w:t>
      </w:r>
      <w:r w:rsidR="003836CF">
        <w:rPr>
          <w:rFonts w:ascii="Georgia" w:hAnsi="Georgia"/>
        </w:rPr>
        <w:t xml:space="preserve"> But it is of no </w:t>
      </w:r>
      <w:r w:rsidR="009F4CB6">
        <w:rPr>
          <w:rFonts w:ascii="Georgia" w:hAnsi="Georgia"/>
        </w:rPr>
        <w:t xml:space="preserve">assistance </w:t>
      </w:r>
      <w:r w:rsidR="00457DD9">
        <w:rPr>
          <w:rFonts w:ascii="Georgia" w:hAnsi="Georgia"/>
        </w:rPr>
        <w:t>in determining the proper interpretation of the provisions of the Lease.</w:t>
      </w:r>
    </w:p>
    <w:p w14:paraId="6AB1C783" w14:textId="77777777" w:rsidR="003836CF" w:rsidRDefault="003836CF" w:rsidP="00822E69">
      <w:pPr>
        <w:jc w:val="both"/>
        <w:rPr>
          <w:rFonts w:ascii="Georgia" w:hAnsi="Georgia"/>
        </w:rPr>
      </w:pPr>
    </w:p>
    <w:p w14:paraId="30BF3F41" w14:textId="02DA8A7B" w:rsidR="00822E69" w:rsidRPr="00AF75B9" w:rsidRDefault="00815186" w:rsidP="00822E69">
      <w:pPr>
        <w:jc w:val="both"/>
        <w:rPr>
          <w:rFonts w:ascii="Georgia" w:hAnsi="Georgia"/>
        </w:rPr>
      </w:pPr>
      <w:r>
        <w:rPr>
          <w:rFonts w:ascii="Georgia" w:hAnsi="Georgia"/>
        </w:rPr>
        <w:t xml:space="preserve">37. </w:t>
      </w:r>
      <w:r w:rsidR="00822E69">
        <w:rPr>
          <w:rFonts w:ascii="Georgia" w:hAnsi="Georgia"/>
        </w:rPr>
        <w:t xml:space="preserve">In </w:t>
      </w:r>
      <w:r w:rsidR="003836CF">
        <w:rPr>
          <w:rFonts w:ascii="Georgia" w:hAnsi="Georgia"/>
        </w:rPr>
        <w:t>the</w:t>
      </w:r>
      <w:r w:rsidR="00822E69">
        <w:rPr>
          <w:rFonts w:ascii="Georgia" w:hAnsi="Georgia"/>
        </w:rPr>
        <w:t xml:space="preserve"> judgement</w:t>
      </w:r>
      <w:r w:rsidR="003836CF">
        <w:rPr>
          <w:rFonts w:ascii="Georgia" w:hAnsi="Georgia"/>
        </w:rPr>
        <w:t xml:space="preserve"> of the Tribunal</w:t>
      </w:r>
      <w:r w:rsidR="00822E69">
        <w:rPr>
          <w:rFonts w:ascii="Georgia" w:hAnsi="Georgia"/>
        </w:rPr>
        <w:t xml:space="preserve">, none of these cases </w:t>
      </w:r>
      <w:r w:rsidR="00673224">
        <w:rPr>
          <w:rFonts w:ascii="Georgia" w:hAnsi="Georgia"/>
        </w:rPr>
        <w:t>provid</w:t>
      </w:r>
      <w:r w:rsidR="00457DD9">
        <w:rPr>
          <w:rFonts w:ascii="Georgia" w:hAnsi="Georgia"/>
        </w:rPr>
        <w:t>es</w:t>
      </w:r>
      <w:r w:rsidR="00673224">
        <w:rPr>
          <w:rFonts w:ascii="Georgia" w:hAnsi="Georgia"/>
        </w:rPr>
        <w:t xml:space="preserve"> support </w:t>
      </w:r>
      <w:r w:rsidR="008B0B7D">
        <w:rPr>
          <w:rFonts w:ascii="Georgia" w:hAnsi="Georgia"/>
        </w:rPr>
        <w:t xml:space="preserve">in favour of </w:t>
      </w:r>
      <w:r w:rsidR="00822E69">
        <w:rPr>
          <w:rFonts w:ascii="Georgia" w:hAnsi="Georgia"/>
        </w:rPr>
        <w:t>the Applicant on the fire alarm issue</w:t>
      </w:r>
      <w:r w:rsidR="00F81DCA">
        <w:rPr>
          <w:rFonts w:ascii="Georgia" w:hAnsi="Georgia"/>
        </w:rPr>
        <w:t xml:space="preserve"> when considered in the light of the</w:t>
      </w:r>
      <w:r w:rsidR="00D4502E">
        <w:rPr>
          <w:rFonts w:ascii="Georgia" w:hAnsi="Georgia"/>
        </w:rPr>
        <w:t xml:space="preserve"> </w:t>
      </w:r>
      <w:r w:rsidR="00F81DCA">
        <w:rPr>
          <w:rFonts w:ascii="Georgia" w:hAnsi="Georgia"/>
        </w:rPr>
        <w:t>terms of the Lease in this case</w:t>
      </w:r>
      <w:r w:rsidR="00822E69">
        <w:rPr>
          <w:rFonts w:ascii="Georgia" w:hAnsi="Georgia"/>
        </w:rPr>
        <w:t xml:space="preserve">. Thus, </w:t>
      </w:r>
      <w:r w:rsidR="008B0B7D">
        <w:rPr>
          <w:rFonts w:ascii="Georgia" w:hAnsi="Georgia"/>
        </w:rPr>
        <w:t xml:space="preserve">the Tribunal does not consider that its </w:t>
      </w:r>
      <w:r w:rsidR="0067326D">
        <w:rPr>
          <w:rFonts w:ascii="Georgia" w:hAnsi="Georgia"/>
        </w:rPr>
        <w:t xml:space="preserve">view set out above </w:t>
      </w:r>
      <w:r w:rsidR="00F73C96">
        <w:rPr>
          <w:rFonts w:ascii="Georgia" w:hAnsi="Georgia"/>
        </w:rPr>
        <w:t>in paragraph</w:t>
      </w:r>
      <w:r>
        <w:rPr>
          <w:rFonts w:ascii="Georgia" w:hAnsi="Georgia"/>
        </w:rPr>
        <w:t>s</w:t>
      </w:r>
      <w:r w:rsidR="00306DB1">
        <w:rPr>
          <w:rFonts w:ascii="Georgia" w:hAnsi="Georgia"/>
        </w:rPr>
        <w:t xml:space="preserve"> 3</w:t>
      </w:r>
      <w:r>
        <w:rPr>
          <w:rFonts w:ascii="Georgia" w:hAnsi="Georgia"/>
        </w:rPr>
        <w:t xml:space="preserve">0-32 </w:t>
      </w:r>
      <w:r w:rsidR="0067326D">
        <w:rPr>
          <w:rFonts w:ascii="Georgia" w:hAnsi="Georgia"/>
        </w:rPr>
        <w:t xml:space="preserve">on the proper interpretation of the Lease </w:t>
      </w:r>
      <w:r w:rsidR="00822E69">
        <w:rPr>
          <w:rFonts w:ascii="Georgia" w:hAnsi="Georgia"/>
        </w:rPr>
        <w:t xml:space="preserve">on </w:t>
      </w:r>
      <w:r w:rsidR="00130E8E">
        <w:rPr>
          <w:rFonts w:ascii="Georgia" w:hAnsi="Georgia"/>
        </w:rPr>
        <w:t>the way</w:t>
      </w:r>
      <w:r w:rsidR="00822E69">
        <w:rPr>
          <w:rFonts w:ascii="Georgia" w:hAnsi="Georgia"/>
        </w:rPr>
        <w:t xml:space="preserve"> fire alarm issues</w:t>
      </w:r>
      <w:r w:rsidR="00130E8E">
        <w:rPr>
          <w:rFonts w:ascii="Georgia" w:hAnsi="Georgia"/>
        </w:rPr>
        <w:t xml:space="preserve"> should be dealt with within the service charge</w:t>
      </w:r>
      <w:r w:rsidR="00565918">
        <w:rPr>
          <w:rFonts w:ascii="Georgia" w:hAnsi="Georgia"/>
        </w:rPr>
        <w:t xml:space="preserve"> need be adjusted in any way in the light of</w:t>
      </w:r>
      <w:r w:rsidR="00822E69">
        <w:rPr>
          <w:rFonts w:ascii="Georgia" w:hAnsi="Georgia"/>
        </w:rPr>
        <w:t xml:space="preserve"> the previous decisions cited.</w:t>
      </w:r>
    </w:p>
    <w:p w14:paraId="5A827F5A" w14:textId="21C0E4B3" w:rsidR="00BE6646" w:rsidRPr="00BE6646" w:rsidRDefault="00BE6646" w:rsidP="00822E69">
      <w:pPr>
        <w:jc w:val="both"/>
        <w:rPr>
          <w:rFonts w:ascii="Georgia" w:hAnsi="Georgia"/>
        </w:rPr>
      </w:pPr>
    </w:p>
    <w:p w14:paraId="025CED1D" w14:textId="07B0CCA5" w:rsidR="002E55C2" w:rsidRDefault="00815186" w:rsidP="00A045A6">
      <w:pPr>
        <w:jc w:val="both"/>
        <w:rPr>
          <w:rFonts w:ascii="Georgia" w:hAnsi="Georgia"/>
        </w:rPr>
      </w:pPr>
      <w:r>
        <w:rPr>
          <w:rFonts w:ascii="Georgia" w:hAnsi="Georgia"/>
        </w:rPr>
        <w:t xml:space="preserve">38. </w:t>
      </w:r>
      <w:r w:rsidR="0030316B">
        <w:rPr>
          <w:rFonts w:ascii="Georgia" w:hAnsi="Georgia"/>
        </w:rPr>
        <w:t xml:space="preserve">The </w:t>
      </w:r>
      <w:r w:rsidR="00083C4D">
        <w:rPr>
          <w:rFonts w:ascii="Georgia" w:hAnsi="Georgia"/>
        </w:rPr>
        <w:t>Applicant</w:t>
      </w:r>
      <w:r w:rsidR="00FB184F">
        <w:rPr>
          <w:rFonts w:ascii="Georgia" w:hAnsi="Georgia"/>
        </w:rPr>
        <w:t xml:space="preserve"> b</w:t>
      </w:r>
      <w:r w:rsidR="00083C4D">
        <w:rPr>
          <w:rFonts w:ascii="Georgia" w:hAnsi="Georgia"/>
        </w:rPr>
        <w:t>o</w:t>
      </w:r>
      <w:r w:rsidR="00FB184F">
        <w:rPr>
          <w:rFonts w:ascii="Georgia" w:hAnsi="Georgia"/>
        </w:rPr>
        <w:t xml:space="preserve">th in her </w:t>
      </w:r>
      <w:r w:rsidR="00083C4D">
        <w:rPr>
          <w:rFonts w:ascii="Georgia" w:hAnsi="Georgia"/>
        </w:rPr>
        <w:t>witness statement</w:t>
      </w:r>
      <w:r w:rsidR="00FB184F">
        <w:rPr>
          <w:rFonts w:ascii="Georgia" w:hAnsi="Georgia"/>
        </w:rPr>
        <w:t xml:space="preserve"> and orally at the hearing pointed out that the significant increase in fire safety costs incurred by the Respondent relate to fire alarm testing</w:t>
      </w:r>
      <w:r w:rsidR="00AC27F5">
        <w:rPr>
          <w:rFonts w:ascii="Georgia" w:hAnsi="Georgia"/>
        </w:rPr>
        <w:t>. This has been done weekly as advised to the Respondent. The Applicant suggests</w:t>
      </w:r>
      <w:r w:rsidR="00D9660E">
        <w:rPr>
          <w:rFonts w:ascii="Georgia" w:hAnsi="Georgia"/>
        </w:rPr>
        <w:t>, quoting two unnamed fire service technical officers,</w:t>
      </w:r>
      <w:r w:rsidR="00AC27F5">
        <w:rPr>
          <w:rFonts w:ascii="Georgia" w:hAnsi="Georgia"/>
        </w:rPr>
        <w:t xml:space="preserve"> that weekly testing is not required for thi</w:t>
      </w:r>
      <w:r w:rsidR="00672567">
        <w:rPr>
          <w:rFonts w:ascii="Georgia" w:hAnsi="Georgia"/>
        </w:rPr>
        <w:t>s</w:t>
      </w:r>
      <w:r w:rsidR="00AC27F5">
        <w:rPr>
          <w:rFonts w:ascii="Georgia" w:hAnsi="Georgia"/>
        </w:rPr>
        <w:t xml:space="preserve"> Building</w:t>
      </w:r>
      <w:r w:rsidR="007C558E">
        <w:rPr>
          <w:rFonts w:ascii="Georgia" w:hAnsi="Georgia"/>
        </w:rPr>
        <w:t xml:space="preserve"> (paragraph 4 of her witness statement) </w:t>
      </w:r>
      <w:r w:rsidR="00E460A2">
        <w:rPr>
          <w:rFonts w:ascii="Georgia" w:hAnsi="Georgia"/>
        </w:rPr>
        <w:t xml:space="preserve">whereas Jennifer Faulkner in her witness statement </w:t>
      </w:r>
      <w:r w:rsidR="000D1745">
        <w:rPr>
          <w:rFonts w:ascii="Georgia" w:hAnsi="Georgia"/>
        </w:rPr>
        <w:t>(at paragraph</w:t>
      </w:r>
      <w:r w:rsidR="004A6849">
        <w:rPr>
          <w:rFonts w:ascii="Georgia" w:hAnsi="Georgia"/>
        </w:rPr>
        <w:t xml:space="preserve"> 48</w:t>
      </w:r>
      <w:r w:rsidR="000D1745">
        <w:rPr>
          <w:rFonts w:ascii="Georgia" w:hAnsi="Georgia"/>
        </w:rPr>
        <w:t xml:space="preserve">) </w:t>
      </w:r>
      <w:r w:rsidR="00E460A2">
        <w:rPr>
          <w:rFonts w:ascii="Georgia" w:hAnsi="Georgia"/>
        </w:rPr>
        <w:t xml:space="preserve">says that </w:t>
      </w:r>
      <w:r w:rsidR="003E4265">
        <w:rPr>
          <w:rFonts w:ascii="Georgia" w:hAnsi="Georgia"/>
        </w:rPr>
        <w:t xml:space="preserve">Ian Strand from Avon Fire Service </w:t>
      </w:r>
      <w:r w:rsidR="00083C4D">
        <w:rPr>
          <w:rFonts w:ascii="Georgia" w:hAnsi="Georgia"/>
        </w:rPr>
        <w:t>confirmed by an email that the fire alarms did need to be tested weekly</w:t>
      </w:r>
      <w:r w:rsidR="00D9660E">
        <w:rPr>
          <w:rFonts w:ascii="Georgia" w:hAnsi="Georgia"/>
        </w:rPr>
        <w:t xml:space="preserve"> in the Building. Without direct evidence, the Tribunal is not able to decide if weekly testing is required</w:t>
      </w:r>
      <w:r w:rsidR="0056362C">
        <w:rPr>
          <w:rFonts w:ascii="Georgia" w:hAnsi="Georgia"/>
        </w:rPr>
        <w:t xml:space="preserve"> and is unable to determine whether weekly tes</w:t>
      </w:r>
      <w:r w:rsidR="006B50F9">
        <w:rPr>
          <w:rFonts w:ascii="Georgia" w:hAnsi="Georgia"/>
        </w:rPr>
        <w:t>t</w:t>
      </w:r>
      <w:r w:rsidR="0056362C">
        <w:rPr>
          <w:rFonts w:ascii="Georgia" w:hAnsi="Georgia"/>
        </w:rPr>
        <w:t>ing is required for the Building. The Tribunal</w:t>
      </w:r>
      <w:r w:rsidR="00164AA5">
        <w:rPr>
          <w:rFonts w:ascii="Georgia" w:hAnsi="Georgia"/>
        </w:rPr>
        <w:t xml:space="preserve"> </w:t>
      </w:r>
      <w:r w:rsidR="006B50F9">
        <w:rPr>
          <w:rFonts w:ascii="Georgia" w:hAnsi="Georgia"/>
        </w:rPr>
        <w:t>therefore</w:t>
      </w:r>
      <w:r w:rsidR="00164AA5">
        <w:rPr>
          <w:rFonts w:ascii="Georgia" w:hAnsi="Georgia"/>
        </w:rPr>
        <w:t xml:space="preserve"> suggest</w:t>
      </w:r>
      <w:r w:rsidR="001F71B4">
        <w:rPr>
          <w:rFonts w:ascii="Georgia" w:hAnsi="Georgia"/>
        </w:rPr>
        <w:t>s</w:t>
      </w:r>
      <w:r w:rsidR="00164AA5">
        <w:rPr>
          <w:rFonts w:ascii="Georgia" w:hAnsi="Georgia"/>
        </w:rPr>
        <w:t xml:space="preserve"> that the Respondent obtains a definitive ruling and perhaps considers whether the residents</w:t>
      </w:r>
      <w:r w:rsidR="001F71B4">
        <w:rPr>
          <w:rFonts w:ascii="Georgia" w:hAnsi="Georgia"/>
        </w:rPr>
        <w:t xml:space="preserve"> can do the test themselves or test at (say) monthly intervals. But it is clear to the Tribunal that </w:t>
      </w:r>
      <w:r w:rsidR="002E55C2">
        <w:rPr>
          <w:rFonts w:ascii="Georgia" w:hAnsi="Georgia"/>
        </w:rPr>
        <w:t>fire alarm testing expenses fall within the general service charge.</w:t>
      </w:r>
    </w:p>
    <w:p w14:paraId="3F88A630" w14:textId="77777777" w:rsidR="002E55C2" w:rsidRDefault="002E55C2" w:rsidP="00A045A6">
      <w:pPr>
        <w:jc w:val="both"/>
        <w:rPr>
          <w:rFonts w:ascii="Georgia" w:hAnsi="Georgia"/>
        </w:rPr>
      </w:pPr>
    </w:p>
    <w:p w14:paraId="5B5C9901" w14:textId="702AC5C2" w:rsidR="00BE6646" w:rsidRDefault="00EC5990" w:rsidP="00A045A6">
      <w:pPr>
        <w:jc w:val="both"/>
        <w:rPr>
          <w:rFonts w:ascii="Georgia" w:hAnsi="Georgia"/>
        </w:rPr>
      </w:pPr>
      <w:r>
        <w:rPr>
          <w:rFonts w:ascii="Georgia" w:hAnsi="Georgia"/>
        </w:rPr>
        <w:t xml:space="preserve">39. </w:t>
      </w:r>
      <w:r w:rsidR="004A6849">
        <w:rPr>
          <w:rFonts w:ascii="Georgia" w:hAnsi="Georgia"/>
        </w:rPr>
        <w:t>It is also worth pointing out that the Fire Safety Act 2021 and the regulations made thereunder are directed</w:t>
      </w:r>
      <w:r w:rsidR="00DA4B20">
        <w:rPr>
          <w:rFonts w:ascii="Georgia" w:hAnsi="Georgia"/>
        </w:rPr>
        <w:t>, as the Applicant pointed out,</w:t>
      </w:r>
      <w:r w:rsidR="003943E5">
        <w:rPr>
          <w:rFonts w:ascii="Georgia" w:hAnsi="Georgia"/>
        </w:rPr>
        <w:t xml:space="preserve"> </w:t>
      </w:r>
      <w:r w:rsidR="004A6849">
        <w:rPr>
          <w:rFonts w:ascii="Georgia" w:hAnsi="Georgia"/>
        </w:rPr>
        <w:t>to protect properties that share a communal entrance</w:t>
      </w:r>
      <w:r w:rsidR="000672E0">
        <w:rPr>
          <w:rFonts w:ascii="Georgia" w:hAnsi="Georgia"/>
        </w:rPr>
        <w:t>.</w:t>
      </w:r>
      <w:r w:rsidR="004A6849">
        <w:rPr>
          <w:rFonts w:ascii="Georgia" w:hAnsi="Georgia"/>
        </w:rPr>
        <w:t xml:space="preserve"> </w:t>
      </w:r>
      <w:r w:rsidR="000672E0">
        <w:rPr>
          <w:rFonts w:ascii="Georgia" w:hAnsi="Georgia"/>
        </w:rPr>
        <w:t>I</w:t>
      </w:r>
      <w:r w:rsidR="004A6849">
        <w:rPr>
          <w:rFonts w:ascii="Georgia" w:hAnsi="Georgia"/>
        </w:rPr>
        <w:t xml:space="preserve">n this </w:t>
      </w:r>
      <w:r w:rsidR="000672E0">
        <w:rPr>
          <w:rFonts w:ascii="Georgia" w:hAnsi="Georgia"/>
        </w:rPr>
        <w:t>building,</w:t>
      </w:r>
      <w:r w:rsidR="004A6849">
        <w:rPr>
          <w:rFonts w:ascii="Georgia" w:hAnsi="Georgia"/>
        </w:rPr>
        <w:t xml:space="preserve"> the Applicant does have a doorway into the communal hallway</w:t>
      </w:r>
      <w:r w:rsidR="00C049DD">
        <w:rPr>
          <w:rFonts w:ascii="Georgia" w:hAnsi="Georgia"/>
        </w:rPr>
        <w:t xml:space="preserve"> which might be the be</w:t>
      </w:r>
      <w:r w:rsidR="00754C59">
        <w:rPr>
          <w:rFonts w:ascii="Georgia" w:hAnsi="Georgia"/>
        </w:rPr>
        <w:t>tter</w:t>
      </w:r>
      <w:r w:rsidR="00C049DD">
        <w:rPr>
          <w:rFonts w:ascii="Georgia" w:hAnsi="Georgia"/>
        </w:rPr>
        <w:t xml:space="preserve"> exit in case of a fire</w:t>
      </w:r>
      <w:r w:rsidR="003943E5">
        <w:rPr>
          <w:rFonts w:ascii="Georgia" w:hAnsi="Georgia"/>
        </w:rPr>
        <w:t>. In any event she does have access to the communal hallway</w:t>
      </w:r>
      <w:r w:rsidR="00F67E7D">
        <w:rPr>
          <w:rFonts w:ascii="Georgia" w:hAnsi="Georgia"/>
        </w:rPr>
        <w:t xml:space="preserve"> and therefore </w:t>
      </w:r>
      <w:r w:rsidR="00754C59">
        <w:rPr>
          <w:rFonts w:ascii="Georgia" w:hAnsi="Georgia"/>
        </w:rPr>
        <w:t xml:space="preserve">her maisonette falls </w:t>
      </w:r>
      <w:r w:rsidR="00EE67B7">
        <w:rPr>
          <w:rFonts w:ascii="Georgia" w:hAnsi="Georgia"/>
        </w:rPr>
        <w:t xml:space="preserve">(notwithstanding the terms of her Lease) </w:t>
      </w:r>
      <w:r w:rsidR="00754C59">
        <w:rPr>
          <w:rFonts w:ascii="Georgia" w:hAnsi="Georgia"/>
        </w:rPr>
        <w:t>within the sort of property that the new regulations were designed to cover.</w:t>
      </w:r>
    </w:p>
    <w:p w14:paraId="2CCDC6CF" w14:textId="77777777" w:rsidR="00177C89" w:rsidRDefault="00177C89" w:rsidP="00A045A6">
      <w:pPr>
        <w:jc w:val="both"/>
        <w:rPr>
          <w:rFonts w:ascii="Georgia" w:hAnsi="Georgia"/>
        </w:rPr>
      </w:pPr>
    </w:p>
    <w:p w14:paraId="4C75913B" w14:textId="3FAC37BE" w:rsidR="00177C89" w:rsidRDefault="00EC5990" w:rsidP="00A045A6">
      <w:pPr>
        <w:jc w:val="both"/>
        <w:rPr>
          <w:rFonts w:ascii="Georgia" w:hAnsi="Georgia"/>
        </w:rPr>
      </w:pPr>
      <w:r>
        <w:rPr>
          <w:rFonts w:ascii="Georgia" w:hAnsi="Georgia"/>
        </w:rPr>
        <w:t xml:space="preserve">40. </w:t>
      </w:r>
      <w:r w:rsidR="00177C89">
        <w:rPr>
          <w:rFonts w:ascii="Georgia" w:hAnsi="Georgia"/>
        </w:rPr>
        <w:t xml:space="preserve">The final argument raised by </w:t>
      </w:r>
      <w:r>
        <w:rPr>
          <w:rFonts w:ascii="Georgia" w:hAnsi="Georgia"/>
        </w:rPr>
        <w:t>t</w:t>
      </w:r>
      <w:r w:rsidR="00177C89">
        <w:rPr>
          <w:rFonts w:ascii="Georgia" w:hAnsi="Georgia"/>
        </w:rPr>
        <w:t xml:space="preserve">he Applicant in support of her interpretation of the terms of the Lease was to refer the Tribunal to </w:t>
      </w:r>
      <w:r w:rsidR="006309BE">
        <w:rPr>
          <w:rFonts w:ascii="Georgia" w:hAnsi="Georgia"/>
        </w:rPr>
        <w:t xml:space="preserve">the </w:t>
      </w:r>
      <w:r w:rsidR="00EF1602">
        <w:rPr>
          <w:rFonts w:ascii="Georgia" w:hAnsi="Georgia"/>
        </w:rPr>
        <w:t xml:space="preserve">Lessor’s covenants in Clause </w:t>
      </w:r>
      <w:r w:rsidR="00042CE8">
        <w:rPr>
          <w:rFonts w:ascii="Georgia" w:hAnsi="Georgia"/>
        </w:rPr>
        <w:t>5 of the Lease. She pointed out that the terminology of clause 5(d)</w:t>
      </w:r>
      <w:r w:rsidR="009E1F51">
        <w:rPr>
          <w:rFonts w:ascii="Georgia" w:hAnsi="Georgia"/>
        </w:rPr>
        <w:t xml:space="preserve">(iv) and clause 5(e) were identical to the </w:t>
      </w:r>
      <w:r w:rsidR="00F37752">
        <w:rPr>
          <w:rFonts w:ascii="Georgia" w:hAnsi="Georgia"/>
        </w:rPr>
        <w:t>clauses 1(iv) and 2 in the Fifth Schedule. She maintained that this meant that expenses rela</w:t>
      </w:r>
      <w:r w:rsidR="00DB0828">
        <w:rPr>
          <w:rFonts w:ascii="Georgia" w:hAnsi="Georgia"/>
        </w:rPr>
        <w:t>t</w:t>
      </w:r>
      <w:r w:rsidR="00F37752">
        <w:rPr>
          <w:rFonts w:ascii="Georgia" w:hAnsi="Georgia"/>
        </w:rPr>
        <w:t xml:space="preserve">ing to fire issues </w:t>
      </w:r>
      <w:r w:rsidR="00F7693D">
        <w:rPr>
          <w:rFonts w:ascii="Georgia" w:hAnsi="Georgia"/>
        </w:rPr>
        <w:t>should be included with</w:t>
      </w:r>
      <w:r w:rsidR="00354305">
        <w:rPr>
          <w:rFonts w:ascii="Georgia" w:hAnsi="Georgia"/>
        </w:rPr>
        <w:t>in</w:t>
      </w:r>
      <w:r w:rsidR="00F7693D">
        <w:rPr>
          <w:rFonts w:ascii="Georgia" w:hAnsi="Georgia"/>
        </w:rPr>
        <w:t xml:space="preserve"> clause 1(iv) of the Fifth Schedule since there was no </w:t>
      </w:r>
      <w:r w:rsidR="00604332">
        <w:rPr>
          <w:rFonts w:ascii="Georgia" w:hAnsi="Georgia"/>
        </w:rPr>
        <w:t>Lessor’s</w:t>
      </w:r>
      <w:r w:rsidR="003459A0">
        <w:rPr>
          <w:rFonts w:ascii="Georgia" w:hAnsi="Georgia"/>
        </w:rPr>
        <w:t xml:space="preserve"> </w:t>
      </w:r>
      <w:r w:rsidR="00F7693D">
        <w:rPr>
          <w:rFonts w:ascii="Georgia" w:hAnsi="Georgia"/>
        </w:rPr>
        <w:t xml:space="preserve">covenant into which fire issues could be fitted. </w:t>
      </w:r>
      <w:r w:rsidR="00DB0828">
        <w:rPr>
          <w:rFonts w:ascii="Georgia" w:hAnsi="Georgia"/>
        </w:rPr>
        <w:t xml:space="preserve">This argument fails on the simple ground that the purpose of covenants </w:t>
      </w:r>
      <w:r w:rsidR="003459A0">
        <w:rPr>
          <w:rFonts w:ascii="Georgia" w:hAnsi="Georgia"/>
        </w:rPr>
        <w:t xml:space="preserve">by lessors </w:t>
      </w:r>
      <w:r w:rsidR="00DB0828">
        <w:rPr>
          <w:rFonts w:ascii="Georgia" w:hAnsi="Georgia"/>
        </w:rPr>
        <w:t>on the one hand and</w:t>
      </w:r>
      <w:r w:rsidR="00F63108">
        <w:rPr>
          <w:rFonts w:ascii="Georgia" w:hAnsi="Georgia"/>
        </w:rPr>
        <w:t xml:space="preserve"> matters to be included in a service charge schedule </w:t>
      </w:r>
      <w:r w:rsidR="003459A0">
        <w:rPr>
          <w:rFonts w:ascii="Georgia" w:hAnsi="Georgia"/>
        </w:rPr>
        <w:t xml:space="preserve">on the other </w:t>
      </w:r>
      <w:r w:rsidR="00F63108">
        <w:rPr>
          <w:rFonts w:ascii="Georgia" w:hAnsi="Georgia"/>
        </w:rPr>
        <w:t xml:space="preserve">are quite different. </w:t>
      </w:r>
      <w:r w:rsidR="00DD0117">
        <w:rPr>
          <w:rFonts w:ascii="Georgia" w:hAnsi="Georgia"/>
        </w:rPr>
        <w:t>N</w:t>
      </w:r>
      <w:r w:rsidR="0029658F">
        <w:rPr>
          <w:rFonts w:ascii="Georgia" w:hAnsi="Georgia"/>
        </w:rPr>
        <w:t xml:space="preserve">ot every aspect of good block management </w:t>
      </w:r>
      <w:r w:rsidR="00CA4B94">
        <w:rPr>
          <w:rFonts w:ascii="Georgia" w:hAnsi="Georgia"/>
        </w:rPr>
        <w:t>is able to</w:t>
      </w:r>
      <w:r w:rsidR="0029658F">
        <w:rPr>
          <w:rFonts w:ascii="Georgia" w:hAnsi="Georgia"/>
        </w:rPr>
        <w:t xml:space="preserve"> be the subject of a lessor’s covenant</w:t>
      </w:r>
      <w:r w:rsidR="00DD0117">
        <w:rPr>
          <w:rFonts w:ascii="Georgia" w:hAnsi="Georgia"/>
        </w:rPr>
        <w:t xml:space="preserve"> and not every usual </w:t>
      </w:r>
      <w:r w:rsidR="00990150">
        <w:rPr>
          <w:rFonts w:ascii="Georgia" w:hAnsi="Georgia"/>
        </w:rPr>
        <w:t>covenant by a lessor is appropriate to be included within a service charge schedule</w:t>
      </w:r>
      <w:r w:rsidR="0029658F">
        <w:rPr>
          <w:rFonts w:ascii="Georgia" w:hAnsi="Georgia"/>
        </w:rPr>
        <w:t xml:space="preserve">. </w:t>
      </w:r>
      <w:r w:rsidR="00B62FEF">
        <w:rPr>
          <w:rFonts w:ascii="Georgia" w:hAnsi="Georgia"/>
        </w:rPr>
        <w:t xml:space="preserve">But in any event, the </w:t>
      </w:r>
      <w:r w:rsidR="009E421B">
        <w:rPr>
          <w:rFonts w:ascii="Georgia" w:hAnsi="Georgia"/>
        </w:rPr>
        <w:t>L</w:t>
      </w:r>
      <w:r w:rsidR="002E6D26">
        <w:rPr>
          <w:rFonts w:ascii="Georgia" w:hAnsi="Georgia"/>
        </w:rPr>
        <w:t xml:space="preserve">essor </w:t>
      </w:r>
      <w:r w:rsidR="00E469BD">
        <w:rPr>
          <w:rFonts w:ascii="Georgia" w:hAnsi="Georgia"/>
        </w:rPr>
        <w:t xml:space="preserve">in this case </w:t>
      </w:r>
      <w:r w:rsidR="00B62FEF">
        <w:rPr>
          <w:rFonts w:ascii="Georgia" w:hAnsi="Georgia"/>
        </w:rPr>
        <w:t>does covenant to maintain electric wires and cables used in common in the exact same wording as clause 1(iii) of the Fifth Schedule.</w:t>
      </w:r>
    </w:p>
    <w:p w14:paraId="7574048B" w14:textId="77777777" w:rsidR="00EE67B7" w:rsidRDefault="00EE67B7" w:rsidP="00A045A6">
      <w:pPr>
        <w:jc w:val="both"/>
        <w:rPr>
          <w:rFonts w:ascii="Georgia" w:hAnsi="Georgia"/>
        </w:rPr>
      </w:pPr>
    </w:p>
    <w:p w14:paraId="540C4E32" w14:textId="50584EEA" w:rsidR="00EE67B7" w:rsidRPr="008C7816" w:rsidRDefault="008C7816" w:rsidP="00A045A6">
      <w:pPr>
        <w:jc w:val="both"/>
        <w:rPr>
          <w:rFonts w:ascii="Georgia" w:hAnsi="Georgia"/>
          <w:b/>
          <w:bCs/>
        </w:rPr>
      </w:pPr>
      <w:r>
        <w:rPr>
          <w:rFonts w:ascii="Georgia" w:hAnsi="Georgia"/>
          <w:b/>
          <w:bCs/>
        </w:rPr>
        <w:t>Estoppel</w:t>
      </w:r>
    </w:p>
    <w:p w14:paraId="7C001A30" w14:textId="770D88A8" w:rsidR="00E73188" w:rsidRDefault="00D50F5A" w:rsidP="00293796">
      <w:pPr>
        <w:jc w:val="both"/>
        <w:rPr>
          <w:rFonts w:ascii="Georgia" w:hAnsi="Georgia"/>
        </w:rPr>
      </w:pPr>
      <w:r>
        <w:rPr>
          <w:rFonts w:ascii="Georgia" w:hAnsi="Georgia"/>
        </w:rPr>
        <w:t xml:space="preserve">41. </w:t>
      </w:r>
      <w:r w:rsidR="00D45FF0">
        <w:rPr>
          <w:rFonts w:ascii="Georgia" w:hAnsi="Georgia"/>
        </w:rPr>
        <w:t xml:space="preserve">Both parties, in their </w:t>
      </w:r>
      <w:r w:rsidR="00C92B24">
        <w:rPr>
          <w:rFonts w:ascii="Georgia" w:hAnsi="Georgia"/>
        </w:rPr>
        <w:t xml:space="preserve">Statements of </w:t>
      </w:r>
      <w:r w:rsidR="000A4C9C">
        <w:rPr>
          <w:rFonts w:ascii="Georgia" w:hAnsi="Georgia"/>
        </w:rPr>
        <w:t>C</w:t>
      </w:r>
      <w:r w:rsidR="00C92B24">
        <w:rPr>
          <w:rFonts w:ascii="Georgia" w:hAnsi="Georgia"/>
        </w:rPr>
        <w:t xml:space="preserve">ase, sought to rely on an estoppel by convention. The Applicant contended that at the time of her </w:t>
      </w:r>
      <w:r w:rsidR="000A4C9C">
        <w:rPr>
          <w:rFonts w:ascii="Georgia" w:hAnsi="Georgia"/>
        </w:rPr>
        <w:t xml:space="preserve">purchase there was a common understanding that all fire alarm expenses </w:t>
      </w:r>
      <w:r w:rsidR="002E7E00">
        <w:rPr>
          <w:rFonts w:ascii="Georgia" w:hAnsi="Georgia"/>
        </w:rPr>
        <w:t xml:space="preserve">should fall within the internal service charge. </w:t>
      </w:r>
      <w:r w:rsidR="00061793">
        <w:rPr>
          <w:rFonts w:ascii="Georgia" w:hAnsi="Georgia"/>
        </w:rPr>
        <w:t>The Respondent</w:t>
      </w:r>
      <w:r w:rsidR="00827D5D">
        <w:rPr>
          <w:rFonts w:ascii="Georgia" w:hAnsi="Georgia"/>
        </w:rPr>
        <w:t xml:space="preserve"> contended that that by the Applicant making payments in 2023/24 of the charges in</w:t>
      </w:r>
      <w:r w:rsidR="0071681E">
        <w:rPr>
          <w:rFonts w:ascii="Georgia" w:hAnsi="Georgia"/>
        </w:rPr>
        <w:t xml:space="preserve"> relation</w:t>
      </w:r>
      <w:r w:rsidR="00827D5D">
        <w:rPr>
          <w:rFonts w:ascii="Georgia" w:hAnsi="Georgia"/>
        </w:rPr>
        <w:t xml:space="preserve"> to fire alarms that she now disputes, an estoppel by convention </w:t>
      </w:r>
      <w:r w:rsidR="0019048B">
        <w:rPr>
          <w:rFonts w:ascii="Georgia" w:hAnsi="Georgia"/>
        </w:rPr>
        <w:t xml:space="preserve">arose against her. At the hearing, both parties strongly challenged the </w:t>
      </w:r>
      <w:r w:rsidR="00B92E4D">
        <w:rPr>
          <w:rFonts w:ascii="Georgia" w:hAnsi="Georgia"/>
        </w:rPr>
        <w:t xml:space="preserve">reasoning of the </w:t>
      </w:r>
      <w:r w:rsidR="0019048B">
        <w:rPr>
          <w:rFonts w:ascii="Georgia" w:hAnsi="Georgia"/>
        </w:rPr>
        <w:t xml:space="preserve">other </w:t>
      </w:r>
      <w:r w:rsidR="004E1D9B">
        <w:rPr>
          <w:rFonts w:ascii="Georgia" w:hAnsi="Georgia"/>
        </w:rPr>
        <w:t xml:space="preserve">and eventually both parties agreed to withdraw their respective claims that an estoppel by convention arose. This was sensible. </w:t>
      </w:r>
      <w:r w:rsidR="00181B2B">
        <w:rPr>
          <w:rFonts w:ascii="Georgia" w:hAnsi="Georgia"/>
        </w:rPr>
        <w:t>Neither case as presented</w:t>
      </w:r>
      <w:r w:rsidR="00FF1A88">
        <w:rPr>
          <w:rFonts w:ascii="Georgia" w:hAnsi="Georgia"/>
        </w:rPr>
        <w:t xml:space="preserve"> looked</w:t>
      </w:r>
      <w:r w:rsidR="00181B2B">
        <w:rPr>
          <w:rFonts w:ascii="Georgia" w:hAnsi="Georgia"/>
        </w:rPr>
        <w:t xml:space="preserve"> su</w:t>
      </w:r>
      <w:r w:rsidR="00FF1A88">
        <w:rPr>
          <w:rFonts w:ascii="Georgia" w:hAnsi="Georgia"/>
        </w:rPr>
        <w:t>s</w:t>
      </w:r>
      <w:r w:rsidR="00181B2B">
        <w:rPr>
          <w:rFonts w:ascii="Georgia" w:hAnsi="Georgia"/>
        </w:rPr>
        <w:t>tainable</w:t>
      </w:r>
      <w:r w:rsidR="00FF1A88">
        <w:rPr>
          <w:rFonts w:ascii="Georgia" w:hAnsi="Georgia"/>
        </w:rPr>
        <w:t xml:space="preserve">. </w:t>
      </w:r>
      <w:r w:rsidR="004E1D9B">
        <w:rPr>
          <w:rFonts w:ascii="Georgia" w:hAnsi="Georgia"/>
        </w:rPr>
        <w:t xml:space="preserve">The Applicant </w:t>
      </w:r>
      <w:r w:rsidR="00E07EE4">
        <w:rPr>
          <w:rFonts w:ascii="Georgia" w:hAnsi="Georgia"/>
        </w:rPr>
        <w:t xml:space="preserve">could not really claim such an estoppel when the </w:t>
      </w:r>
      <w:r w:rsidR="00EF10FC">
        <w:rPr>
          <w:rFonts w:ascii="Georgia" w:hAnsi="Georgia"/>
        </w:rPr>
        <w:t>entries into the 2020-21 budget were made by the then agent in error</w:t>
      </w:r>
      <w:r w:rsidR="00C71031">
        <w:rPr>
          <w:rFonts w:ascii="Georgia" w:hAnsi="Georgia"/>
        </w:rPr>
        <w:t xml:space="preserve"> and similarly the Respondent could not establish an </w:t>
      </w:r>
      <w:r w:rsidR="00A06714">
        <w:rPr>
          <w:rFonts w:ascii="Georgia" w:hAnsi="Georgia"/>
        </w:rPr>
        <w:t>e</w:t>
      </w:r>
      <w:r w:rsidR="00C71031">
        <w:rPr>
          <w:rFonts w:ascii="Georgia" w:hAnsi="Georgia"/>
        </w:rPr>
        <w:t xml:space="preserve">stoppel </w:t>
      </w:r>
      <w:r w:rsidR="00A06714">
        <w:rPr>
          <w:rFonts w:ascii="Georgia" w:hAnsi="Georgia"/>
        </w:rPr>
        <w:t xml:space="preserve">in circumstances </w:t>
      </w:r>
      <w:r w:rsidR="00B92E4D">
        <w:rPr>
          <w:rFonts w:ascii="Georgia" w:hAnsi="Georgia"/>
        </w:rPr>
        <w:t>where</w:t>
      </w:r>
      <w:r w:rsidR="00A06714">
        <w:rPr>
          <w:rFonts w:ascii="Georgia" w:hAnsi="Georgia"/>
        </w:rPr>
        <w:t xml:space="preserve"> the Applicant was clearly disputing charges so could not have </w:t>
      </w:r>
      <w:r w:rsidR="0071681E">
        <w:rPr>
          <w:rFonts w:ascii="Georgia" w:hAnsi="Georgia"/>
        </w:rPr>
        <w:t>acted on an assumed state of facts or law.</w:t>
      </w:r>
    </w:p>
    <w:p w14:paraId="424C9AC1" w14:textId="77777777" w:rsidR="00C216AA" w:rsidRDefault="00C216AA" w:rsidP="00293796">
      <w:pPr>
        <w:jc w:val="both"/>
        <w:rPr>
          <w:rFonts w:ascii="Georgia" w:hAnsi="Georgia"/>
        </w:rPr>
      </w:pPr>
    </w:p>
    <w:p w14:paraId="2CA13244" w14:textId="293C46E4" w:rsidR="00C216AA" w:rsidRDefault="009078CE" w:rsidP="00293796">
      <w:pPr>
        <w:jc w:val="both"/>
        <w:rPr>
          <w:rFonts w:ascii="Georgia" w:hAnsi="Georgia"/>
        </w:rPr>
      </w:pPr>
      <w:r>
        <w:rPr>
          <w:rFonts w:ascii="Georgia" w:hAnsi="Georgia"/>
        </w:rPr>
        <w:t xml:space="preserve">42. </w:t>
      </w:r>
      <w:r w:rsidR="00C216AA">
        <w:rPr>
          <w:rFonts w:ascii="Georgia" w:hAnsi="Georgia"/>
        </w:rPr>
        <w:t xml:space="preserve">However, the Tribunal does have to determine whether the Applicants submission </w:t>
      </w:r>
      <w:r w:rsidR="00B15B25">
        <w:rPr>
          <w:rFonts w:ascii="Georgia" w:hAnsi="Georgia"/>
        </w:rPr>
        <w:t xml:space="preserve">that a promissory estoppel arises in her favour so as to give her </w:t>
      </w:r>
      <w:r w:rsidR="00F6272A">
        <w:rPr>
          <w:rFonts w:ascii="Georgia" w:hAnsi="Georgia"/>
        </w:rPr>
        <w:t>immunity</w:t>
      </w:r>
      <w:r w:rsidR="00B15B25">
        <w:rPr>
          <w:rFonts w:ascii="Georgia" w:hAnsi="Georgia"/>
        </w:rPr>
        <w:t xml:space="preserve"> f</w:t>
      </w:r>
      <w:r w:rsidR="00F6272A">
        <w:rPr>
          <w:rFonts w:ascii="Georgia" w:hAnsi="Georgia"/>
        </w:rPr>
        <w:t>rom</w:t>
      </w:r>
      <w:r w:rsidR="00B15B25">
        <w:rPr>
          <w:rFonts w:ascii="Georgia" w:hAnsi="Georgia"/>
        </w:rPr>
        <w:t xml:space="preserve"> all present and future charges relating to fire alarms and fire safety</w:t>
      </w:r>
      <w:r w:rsidR="00F6272A">
        <w:rPr>
          <w:rFonts w:ascii="Georgia" w:hAnsi="Georgia"/>
        </w:rPr>
        <w:t xml:space="preserve">. </w:t>
      </w:r>
      <w:r w:rsidR="008C3508">
        <w:rPr>
          <w:rFonts w:ascii="Georgia" w:hAnsi="Georgia"/>
        </w:rPr>
        <w:t xml:space="preserve">She bases her case on the </w:t>
      </w:r>
      <w:r w:rsidR="00C43C29">
        <w:rPr>
          <w:rFonts w:ascii="Georgia" w:hAnsi="Georgia"/>
        </w:rPr>
        <w:t xml:space="preserve">service charge budget from 1 April 2020 t0 31 March 2021 </w:t>
      </w:r>
      <w:r w:rsidR="00FF3695">
        <w:rPr>
          <w:rFonts w:ascii="Georgia" w:hAnsi="Georgia"/>
        </w:rPr>
        <w:t>which</w:t>
      </w:r>
      <w:r w:rsidR="00C43C29">
        <w:rPr>
          <w:rFonts w:ascii="Georgia" w:hAnsi="Georgia"/>
        </w:rPr>
        <w:t xml:space="preserve"> was supplied to her</w:t>
      </w:r>
      <w:r w:rsidR="00327F14">
        <w:rPr>
          <w:rFonts w:ascii="Georgia" w:hAnsi="Georgia"/>
        </w:rPr>
        <w:t xml:space="preserve"> </w:t>
      </w:r>
      <w:r w:rsidR="00EB3664">
        <w:rPr>
          <w:rFonts w:ascii="Georgia" w:hAnsi="Georgia"/>
        </w:rPr>
        <w:t>as an appendix to the L</w:t>
      </w:r>
      <w:r w:rsidR="00327F14">
        <w:rPr>
          <w:rFonts w:ascii="Georgia" w:hAnsi="Georgia"/>
        </w:rPr>
        <w:t>PE1 (Leasehold Property Enquires form)</w:t>
      </w:r>
      <w:r w:rsidR="00FF3695">
        <w:rPr>
          <w:rFonts w:ascii="Georgia" w:hAnsi="Georgia"/>
        </w:rPr>
        <w:t xml:space="preserve"> as part of the conveyancing process when she purchased</w:t>
      </w:r>
      <w:r w:rsidR="00BC7828">
        <w:rPr>
          <w:rFonts w:ascii="Georgia" w:hAnsi="Georgia"/>
        </w:rPr>
        <w:t>. The form was</w:t>
      </w:r>
      <w:r w:rsidR="00C43C29">
        <w:rPr>
          <w:rFonts w:ascii="Georgia" w:hAnsi="Georgia"/>
        </w:rPr>
        <w:t xml:space="preserve"> presumably </w:t>
      </w:r>
      <w:r w:rsidR="00C3585A">
        <w:rPr>
          <w:rFonts w:ascii="Georgia" w:hAnsi="Georgia"/>
        </w:rPr>
        <w:t>supplied</w:t>
      </w:r>
      <w:r w:rsidR="00567743">
        <w:rPr>
          <w:rFonts w:ascii="Georgia" w:hAnsi="Georgia"/>
        </w:rPr>
        <w:t xml:space="preserve"> to her representative </w:t>
      </w:r>
      <w:r w:rsidR="00C43C29">
        <w:rPr>
          <w:rFonts w:ascii="Georgia" w:hAnsi="Georgia"/>
        </w:rPr>
        <w:t xml:space="preserve">by the solicitors </w:t>
      </w:r>
      <w:r w:rsidR="00567743">
        <w:rPr>
          <w:rFonts w:ascii="Georgia" w:hAnsi="Georgia"/>
        </w:rPr>
        <w:t xml:space="preserve">or conveyancers </w:t>
      </w:r>
      <w:r w:rsidR="00C43C29">
        <w:rPr>
          <w:rFonts w:ascii="Georgia" w:hAnsi="Georgia"/>
        </w:rPr>
        <w:t xml:space="preserve">for the vendor of </w:t>
      </w:r>
      <w:r w:rsidR="00FF3695">
        <w:rPr>
          <w:rFonts w:ascii="Georgia" w:hAnsi="Georgia"/>
        </w:rPr>
        <w:t>the maisonette</w:t>
      </w:r>
      <w:r w:rsidR="007F5E46">
        <w:rPr>
          <w:rFonts w:ascii="Georgia" w:hAnsi="Georgia"/>
        </w:rPr>
        <w:t xml:space="preserve"> who would probably have obtained </w:t>
      </w:r>
      <w:r w:rsidR="00950CD7">
        <w:rPr>
          <w:rFonts w:ascii="Georgia" w:hAnsi="Georgia"/>
        </w:rPr>
        <w:t xml:space="preserve">it </w:t>
      </w:r>
      <w:r w:rsidR="007F5E46">
        <w:rPr>
          <w:rFonts w:ascii="Georgia" w:hAnsi="Georgia"/>
        </w:rPr>
        <w:t>direct from Andrews as the then agents</w:t>
      </w:r>
      <w:r w:rsidR="00327F14">
        <w:rPr>
          <w:rFonts w:ascii="Georgia" w:hAnsi="Georgia"/>
        </w:rPr>
        <w:t xml:space="preserve">. </w:t>
      </w:r>
      <w:r w:rsidR="00DD16B6">
        <w:rPr>
          <w:rFonts w:ascii="Georgia" w:hAnsi="Georgia"/>
        </w:rPr>
        <w:t>This budget indicated that an annu</w:t>
      </w:r>
      <w:r w:rsidR="00C323D9">
        <w:rPr>
          <w:rFonts w:ascii="Georgia" w:hAnsi="Georgia"/>
        </w:rPr>
        <w:t>a</w:t>
      </w:r>
      <w:r w:rsidR="00DD16B6">
        <w:rPr>
          <w:rFonts w:ascii="Georgia" w:hAnsi="Georgia"/>
        </w:rPr>
        <w:t>l cost of £161</w:t>
      </w:r>
      <w:r w:rsidR="00C323D9">
        <w:rPr>
          <w:rFonts w:ascii="Georgia" w:hAnsi="Georgia"/>
        </w:rPr>
        <w:t xml:space="preserve"> in relation to fire alarm maintenance</w:t>
      </w:r>
      <w:r w:rsidR="00FF3695">
        <w:rPr>
          <w:rFonts w:ascii="Georgia" w:hAnsi="Georgia"/>
        </w:rPr>
        <w:t xml:space="preserve"> </w:t>
      </w:r>
      <w:r w:rsidR="00C323D9">
        <w:rPr>
          <w:rFonts w:ascii="Georgia" w:hAnsi="Georgia"/>
        </w:rPr>
        <w:t xml:space="preserve">was included in the internal service charge. </w:t>
      </w:r>
      <w:r w:rsidR="00A92326">
        <w:rPr>
          <w:rFonts w:ascii="Georgia" w:hAnsi="Georgia"/>
        </w:rPr>
        <w:t>The Applicant</w:t>
      </w:r>
      <w:r w:rsidR="00C323D9">
        <w:rPr>
          <w:rFonts w:ascii="Georgia" w:hAnsi="Georgia"/>
        </w:rPr>
        <w:t xml:space="preserve"> claims that this was</w:t>
      </w:r>
      <w:r w:rsidR="00E53202">
        <w:rPr>
          <w:rFonts w:ascii="Georgia" w:hAnsi="Georgia"/>
        </w:rPr>
        <w:t xml:space="preserve"> a promise </w:t>
      </w:r>
      <w:r w:rsidR="00A92326">
        <w:rPr>
          <w:rFonts w:ascii="Georgia" w:hAnsi="Georgia"/>
        </w:rPr>
        <w:t xml:space="preserve">or representation </w:t>
      </w:r>
      <w:r w:rsidR="00E53202">
        <w:rPr>
          <w:rFonts w:ascii="Georgia" w:hAnsi="Georgia"/>
        </w:rPr>
        <w:t xml:space="preserve">on which she relied to her detriment and so </w:t>
      </w:r>
      <w:r w:rsidR="0013645F">
        <w:rPr>
          <w:rFonts w:ascii="Georgia" w:hAnsi="Georgia"/>
        </w:rPr>
        <w:t xml:space="preserve">she </w:t>
      </w:r>
      <w:r w:rsidR="00E53202">
        <w:rPr>
          <w:rFonts w:ascii="Georgia" w:hAnsi="Georgia"/>
        </w:rPr>
        <w:t>can be exempted f</w:t>
      </w:r>
      <w:r w:rsidR="0013645F">
        <w:rPr>
          <w:rFonts w:ascii="Georgia" w:hAnsi="Georgia"/>
        </w:rPr>
        <w:t>ro</w:t>
      </w:r>
      <w:r w:rsidR="00E53202">
        <w:rPr>
          <w:rFonts w:ascii="Georgia" w:hAnsi="Georgia"/>
        </w:rPr>
        <w:t xml:space="preserve">m all </w:t>
      </w:r>
      <w:r w:rsidR="0013645F">
        <w:rPr>
          <w:rFonts w:ascii="Georgia" w:hAnsi="Georgia"/>
        </w:rPr>
        <w:t xml:space="preserve">future </w:t>
      </w:r>
      <w:r w:rsidR="00E53202">
        <w:rPr>
          <w:rFonts w:ascii="Georgia" w:hAnsi="Georgia"/>
        </w:rPr>
        <w:t>fire alarm charges (which this Tribunal hold</w:t>
      </w:r>
      <w:r w:rsidR="0013645F">
        <w:rPr>
          <w:rFonts w:ascii="Georgia" w:hAnsi="Georgia"/>
        </w:rPr>
        <w:t>s</w:t>
      </w:r>
      <w:r w:rsidR="00E53202">
        <w:rPr>
          <w:rFonts w:ascii="Georgia" w:hAnsi="Georgia"/>
        </w:rPr>
        <w:t xml:space="preserve"> are properly due</w:t>
      </w:r>
      <w:r w:rsidR="00A92326">
        <w:rPr>
          <w:rFonts w:ascii="Georgia" w:hAnsi="Georgia"/>
        </w:rPr>
        <w:t xml:space="preserve"> from her at one-third of the total</w:t>
      </w:r>
      <w:r w:rsidR="00E53202">
        <w:rPr>
          <w:rFonts w:ascii="Georgia" w:hAnsi="Georgia"/>
        </w:rPr>
        <w:t>)</w:t>
      </w:r>
      <w:r w:rsidR="0013645F">
        <w:rPr>
          <w:rFonts w:ascii="Georgia" w:hAnsi="Georgia"/>
        </w:rPr>
        <w:t>.</w:t>
      </w:r>
    </w:p>
    <w:p w14:paraId="2B8D853D" w14:textId="77777777" w:rsidR="0013645F" w:rsidRDefault="0013645F" w:rsidP="00293796">
      <w:pPr>
        <w:jc w:val="both"/>
        <w:rPr>
          <w:rFonts w:ascii="Georgia" w:hAnsi="Georgia"/>
        </w:rPr>
      </w:pPr>
    </w:p>
    <w:p w14:paraId="1BAB2017" w14:textId="3AD05AA8" w:rsidR="0013645F" w:rsidRDefault="009078CE" w:rsidP="00293796">
      <w:pPr>
        <w:jc w:val="both"/>
        <w:rPr>
          <w:rFonts w:ascii="Georgia" w:hAnsi="Georgia"/>
        </w:rPr>
      </w:pPr>
      <w:r>
        <w:rPr>
          <w:rFonts w:ascii="Georgia" w:hAnsi="Georgia"/>
        </w:rPr>
        <w:t xml:space="preserve">43. </w:t>
      </w:r>
      <w:r w:rsidR="00D32873">
        <w:rPr>
          <w:rFonts w:ascii="Georgia" w:hAnsi="Georgia"/>
        </w:rPr>
        <w:t xml:space="preserve">The Tribunal determines that no such estoppel has arisen for </w:t>
      </w:r>
      <w:r w:rsidR="004E182A">
        <w:rPr>
          <w:rFonts w:ascii="Georgia" w:hAnsi="Georgia"/>
        </w:rPr>
        <w:t>a number of reasons:</w:t>
      </w:r>
    </w:p>
    <w:p w14:paraId="628DD503" w14:textId="68F0D96D" w:rsidR="004E182A" w:rsidRDefault="004E182A" w:rsidP="004E182A">
      <w:pPr>
        <w:pStyle w:val="ListParagraph"/>
        <w:numPr>
          <w:ilvl w:val="0"/>
          <w:numId w:val="7"/>
        </w:numPr>
        <w:jc w:val="both"/>
        <w:rPr>
          <w:rFonts w:ascii="Georgia" w:hAnsi="Georgia"/>
        </w:rPr>
      </w:pPr>
      <w:r>
        <w:rPr>
          <w:rFonts w:ascii="Georgia" w:hAnsi="Georgia"/>
        </w:rPr>
        <w:t>A statement in a budget prepared by a man</w:t>
      </w:r>
      <w:r w:rsidR="0000395A">
        <w:rPr>
          <w:rFonts w:ascii="Georgia" w:hAnsi="Georgia"/>
        </w:rPr>
        <w:t>a</w:t>
      </w:r>
      <w:r>
        <w:rPr>
          <w:rFonts w:ascii="Georgia" w:hAnsi="Georgia"/>
        </w:rPr>
        <w:t xml:space="preserve">ging agent, </w:t>
      </w:r>
      <w:r w:rsidR="003D1470">
        <w:rPr>
          <w:rFonts w:ascii="Georgia" w:hAnsi="Georgia"/>
        </w:rPr>
        <w:t xml:space="preserve">probably </w:t>
      </w:r>
      <w:r>
        <w:rPr>
          <w:rFonts w:ascii="Georgia" w:hAnsi="Georgia"/>
        </w:rPr>
        <w:t>supplied by a vendor’s solicitor</w:t>
      </w:r>
      <w:r w:rsidR="00897510">
        <w:rPr>
          <w:rFonts w:ascii="Georgia" w:hAnsi="Georgia"/>
        </w:rPr>
        <w:t xml:space="preserve">, cannot amount to a promise </w:t>
      </w:r>
      <w:r w:rsidR="003D1470">
        <w:rPr>
          <w:rFonts w:ascii="Georgia" w:hAnsi="Georgia"/>
        </w:rPr>
        <w:t xml:space="preserve">or representation </w:t>
      </w:r>
      <w:r w:rsidR="00897510">
        <w:rPr>
          <w:rFonts w:ascii="Georgia" w:hAnsi="Georgia"/>
        </w:rPr>
        <w:t>by or on behalf of the Respondent.</w:t>
      </w:r>
    </w:p>
    <w:p w14:paraId="6E7B46FD" w14:textId="473A5FAE" w:rsidR="00897510" w:rsidRDefault="00897510" w:rsidP="004E182A">
      <w:pPr>
        <w:pStyle w:val="ListParagraph"/>
        <w:numPr>
          <w:ilvl w:val="0"/>
          <w:numId w:val="7"/>
        </w:numPr>
        <w:jc w:val="both"/>
        <w:rPr>
          <w:rFonts w:ascii="Georgia" w:hAnsi="Georgia"/>
        </w:rPr>
      </w:pPr>
      <w:r>
        <w:rPr>
          <w:rFonts w:ascii="Georgia" w:hAnsi="Georgia"/>
        </w:rPr>
        <w:t xml:space="preserve">The Applicant </w:t>
      </w:r>
      <w:r w:rsidR="00A83FF6">
        <w:rPr>
          <w:rFonts w:ascii="Georgia" w:hAnsi="Georgia"/>
        </w:rPr>
        <w:t xml:space="preserve">stated that she relied on the figures in the budget and that she would not have purchased if they had not been there. </w:t>
      </w:r>
      <w:r w:rsidR="00F522C6">
        <w:rPr>
          <w:rFonts w:ascii="Georgia" w:hAnsi="Georgia"/>
        </w:rPr>
        <w:t>The Tribunal does not accept that there was such reliance. The Tribunal does accept that it was important for her th</w:t>
      </w:r>
      <w:r w:rsidR="00F3574A">
        <w:rPr>
          <w:rFonts w:ascii="Georgia" w:hAnsi="Georgia"/>
        </w:rPr>
        <w:t>at</w:t>
      </w:r>
      <w:r w:rsidR="00F522C6">
        <w:rPr>
          <w:rFonts w:ascii="Georgia" w:hAnsi="Georgia"/>
        </w:rPr>
        <w:t xml:space="preserve"> there was an internal service charge and that she was </w:t>
      </w:r>
      <w:r w:rsidR="00822B74">
        <w:rPr>
          <w:rFonts w:ascii="Georgia" w:hAnsi="Georgia"/>
        </w:rPr>
        <w:t>exempt</w:t>
      </w:r>
      <w:r w:rsidR="00F522C6">
        <w:rPr>
          <w:rFonts w:ascii="Georgia" w:hAnsi="Georgia"/>
        </w:rPr>
        <w:t xml:space="preserve"> from cleaning lighting and repairing the </w:t>
      </w:r>
      <w:r w:rsidR="00035CB4">
        <w:rPr>
          <w:rFonts w:ascii="Georgia" w:hAnsi="Georgia"/>
        </w:rPr>
        <w:t xml:space="preserve">hallways and </w:t>
      </w:r>
      <w:r w:rsidR="00822B74">
        <w:rPr>
          <w:rFonts w:ascii="Georgia" w:hAnsi="Georgia"/>
        </w:rPr>
        <w:t>staircases</w:t>
      </w:r>
      <w:r w:rsidR="00035CB4">
        <w:rPr>
          <w:rFonts w:ascii="Georgia" w:hAnsi="Georgia"/>
        </w:rPr>
        <w:t>. She could ascertain from the terms of the Lease that that w</w:t>
      </w:r>
      <w:r w:rsidR="00822B74">
        <w:rPr>
          <w:rFonts w:ascii="Georgia" w:hAnsi="Georgia"/>
        </w:rPr>
        <w:t>a</w:t>
      </w:r>
      <w:r w:rsidR="00035CB4">
        <w:rPr>
          <w:rFonts w:ascii="Georgia" w:hAnsi="Georgia"/>
        </w:rPr>
        <w:t xml:space="preserve">s the position. However, </w:t>
      </w:r>
      <w:r w:rsidR="00900F84">
        <w:rPr>
          <w:rFonts w:ascii="Georgia" w:hAnsi="Georgia"/>
        </w:rPr>
        <w:t>she could also see from the Lease that there were matters in all the cl</w:t>
      </w:r>
      <w:r w:rsidR="00822B74">
        <w:rPr>
          <w:rFonts w:ascii="Georgia" w:hAnsi="Georgia"/>
        </w:rPr>
        <w:t>a</w:t>
      </w:r>
      <w:r w:rsidR="00900F84">
        <w:rPr>
          <w:rFonts w:ascii="Georgia" w:hAnsi="Georgia"/>
        </w:rPr>
        <w:t xml:space="preserve">uses except 1(iv) and 2 </w:t>
      </w:r>
      <w:r w:rsidR="00822B74">
        <w:rPr>
          <w:rFonts w:ascii="Georgia" w:hAnsi="Georgia"/>
        </w:rPr>
        <w:t>of the Fifth Schedule that</w:t>
      </w:r>
      <w:r w:rsidR="00AD354D">
        <w:rPr>
          <w:rFonts w:ascii="Georgia" w:hAnsi="Georgia"/>
        </w:rPr>
        <w:t xml:space="preserve"> were expenses to which she had to contribute – which included clauses 1(ii</w:t>
      </w:r>
      <w:r w:rsidR="00255181">
        <w:rPr>
          <w:rFonts w:ascii="Georgia" w:hAnsi="Georgia"/>
        </w:rPr>
        <w:t>i</w:t>
      </w:r>
      <w:r w:rsidR="00AD354D">
        <w:rPr>
          <w:rFonts w:ascii="Georgia" w:hAnsi="Georgia"/>
        </w:rPr>
        <w:t xml:space="preserve">), 7 and 11. She would also see that fire alarm and fire safety issues were not specifically mentioned in the Fifth </w:t>
      </w:r>
      <w:r w:rsidR="00D134FD">
        <w:rPr>
          <w:rFonts w:ascii="Georgia" w:hAnsi="Georgia"/>
        </w:rPr>
        <w:t>Schedule</w:t>
      </w:r>
      <w:r w:rsidR="000B7D81">
        <w:rPr>
          <w:rFonts w:ascii="Georgia" w:hAnsi="Georgia"/>
        </w:rPr>
        <w:t>.</w:t>
      </w:r>
      <w:r w:rsidR="00AD354D">
        <w:rPr>
          <w:rFonts w:ascii="Georgia" w:hAnsi="Georgia"/>
        </w:rPr>
        <w:t xml:space="preserve"> In th</w:t>
      </w:r>
      <w:r w:rsidR="00D134FD">
        <w:rPr>
          <w:rFonts w:ascii="Georgia" w:hAnsi="Georgia"/>
        </w:rPr>
        <w:t>e</w:t>
      </w:r>
      <w:r w:rsidR="00AD354D">
        <w:rPr>
          <w:rFonts w:ascii="Georgia" w:hAnsi="Georgia"/>
        </w:rPr>
        <w:t xml:space="preserve">se circumstances, if the Applicant really did </w:t>
      </w:r>
      <w:r w:rsidR="00B67115">
        <w:rPr>
          <w:rFonts w:ascii="Georgia" w:hAnsi="Georgia"/>
        </w:rPr>
        <w:t xml:space="preserve">feel fire alarm issues were </w:t>
      </w:r>
      <w:r w:rsidR="00D134FD">
        <w:rPr>
          <w:rFonts w:ascii="Georgia" w:hAnsi="Georgia"/>
        </w:rPr>
        <w:t xml:space="preserve">absolutely </w:t>
      </w:r>
      <w:r w:rsidR="00B67115">
        <w:rPr>
          <w:rFonts w:ascii="Georgia" w:hAnsi="Georgia"/>
        </w:rPr>
        <w:t>critical to her purchase</w:t>
      </w:r>
      <w:r w:rsidR="000709DF">
        <w:rPr>
          <w:rFonts w:ascii="Georgia" w:hAnsi="Georgia"/>
        </w:rPr>
        <w:t>,</w:t>
      </w:r>
      <w:r w:rsidR="00B67115">
        <w:rPr>
          <w:rFonts w:ascii="Georgia" w:hAnsi="Georgia"/>
        </w:rPr>
        <w:t xml:space="preserve"> then she would have sought </w:t>
      </w:r>
      <w:r w:rsidR="00D134FD">
        <w:rPr>
          <w:rFonts w:ascii="Georgia" w:hAnsi="Georgia"/>
        </w:rPr>
        <w:t xml:space="preserve">a firm assurance to that effect from the Respondent. Without such evidence, there is insufficient evidence of </w:t>
      </w:r>
      <w:r w:rsidR="00854E09">
        <w:rPr>
          <w:rFonts w:ascii="Georgia" w:hAnsi="Georgia"/>
        </w:rPr>
        <w:t>reliance</w:t>
      </w:r>
      <w:r w:rsidR="00D134FD">
        <w:rPr>
          <w:rFonts w:ascii="Georgia" w:hAnsi="Georgia"/>
        </w:rPr>
        <w:t>.</w:t>
      </w:r>
      <w:r w:rsidR="004C5846">
        <w:rPr>
          <w:rFonts w:ascii="Georgia" w:hAnsi="Georgia"/>
        </w:rPr>
        <w:t xml:space="preserve"> The Tribunal also notes that although she stated that </w:t>
      </w:r>
      <w:r w:rsidR="005D7863">
        <w:rPr>
          <w:rFonts w:ascii="Georgia" w:hAnsi="Georgia"/>
        </w:rPr>
        <w:t xml:space="preserve">she relied </w:t>
      </w:r>
      <w:r w:rsidR="005D180E">
        <w:rPr>
          <w:rFonts w:ascii="Georgia" w:hAnsi="Georgia"/>
        </w:rPr>
        <w:t xml:space="preserve">in a similar </w:t>
      </w:r>
      <w:r w:rsidR="004E2806">
        <w:rPr>
          <w:rFonts w:ascii="Georgia" w:hAnsi="Georgia"/>
        </w:rPr>
        <w:t>fashion</w:t>
      </w:r>
      <w:r w:rsidR="005D180E">
        <w:rPr>
          <w:rFonts w:ascii="Georgia" w:hAnsi="Georgia"/>
        </w:rPr>
        <w:t xml:space="preserve"> </w:t>
      </w:r>
      <w:r w:rsidR="004E2806">
        <w:rPr>
          <w:rFonts w:ascii="Georgia" w:hAnsi="Georgia"/>
        </w:rPr>
        <w:t>when purchasing</w:t>
      </w:r>
      <w:r w:rsidR="005D180E">
        <w:rPr>
          <w:rFonts w:ascii="Georgia" w:hAnsi="Georgia"/>
        </w:rPr>
        <w:t xml:space="preserve"> other properties, no evidence was forthcoming</w:t>
      </w:r>
      <w:r w:rsidR="004E2806">
        <w:rPr>
          <w:rFonts w:ascii="Georgia" w:hAnsi="Georgia"/>
        </w:rPr>
        <w:t xml:space="preserve"> to provide details.</w:t>
      </w:r>
    </w:p>
    <w:p w14:paraId="7F1AB7A5" w14:textId="50C480CF" w:rsidR="00854E09" w:rsidRDefault="00854E09" w:rsidP="004E182A">
      <w:pPr>
        <w:pStyle w:val="ListParagraph"/>
        <w:numPr>
          <w:ilvl w:val="0"/>
          <w:numId w:val="7"/>
        </w:numPr>
        <w:jc w:val="both"/>
        <w:rPr>
          <w:rFonts w:ascii="Georgia" w:hAnsi="Georgia"/>
        </w:rPr>
      </w:pPr>
      <w:r>
        <w:rPr>
          <w:rFonts w:ascii="Georgia" w:hAnsi="Georgia"/>
        </w:rPr>
        <w:t xml:space="preserve">The Applicant does not claim that there is a proprietary estoppel </w:t>
      </w:r>
      <w:r w:rsidR="000605E8">
        <w:rPr>
          <w:rFonts w:ascii="Georgia" w:hAnsi="Georgia"/>
        </w:rPr>
        <w:t>(</w:t>
      </w:r>
      <w:r>
        <w:rPr>
          <w:rFonts w:ascii="Georgia" w:hAnsi="Georgia"/>
        </w:rPr>
        <w:t xml:space="preserve">which </w:t>
      </w:r>
      <w:r w:rsidR="00E9574A">
        <w:rPr>
          <w:rFonts w:ascii="Georgia" w:hAnsi="Georgia"/>
        </w:rPr>
        <w:t>might mean that there did not need to be a promise</w:t>
      </w:r>
      <w:r w:rsidR="000709DF">
        <w:rPr>
          <w:rFonts w:ascii="Georgia" w:hAnsi="Georgia"/>
        </w:rPr>
        <w:t xml:space="preserve"> or representation</w:t>
      </w:r>
      <w:r w:rsidR="000605E8">
        <w:rPr>
          <w:rFonts w:ascii="Georgia" w:hAnsi="Georgia"/>
        </w:rPr>
        <w:t>)</w:t>
      </w:r>
      <w:r w:rsidR="00E9574A">
        <w:rPr>
          <w:rFonts w:ascii="Georgia" w:hAnsi="Georgia"/>
        </w:rPr>
        <w:t xml:space="preserve">. But </w:t>
      </w:r>
      <w:r w:rsidR="008A649F">
        <w:rPr>
          <w:rFonts w:ascii="Georgia" w:hAnsi="Georgia"/>
        </w:rPr>
        <w:t xml:space="preserve">in any event </w:t>
      </w:r>
      <w:r w:rsidR="00623F64">
        <w:rPr>
          <w:rFonts w:ascii="Georgia" w:hAnsi="Georgia"/>
        </w:rPr>
        <w:t>i</w:t>
      </w:r>
      <w:r w:rsidR="00E9574A">
        <w:rPr>
          <w:rFonts w:ascii="Georgia" w:hAnsi="Georgia"/>
        </w:rPr>
        <w:t xml:space="preserve">n the context of a purchase of a property </w:t>
      </w:r>
      <w:r w:rsidR="008A649F">
        <w:rPr>
          <w:rFonts w:ascii="Georgia" w:hAnsi="Georgia"/>
        </w:rPr>
        <w:t xml:space="preserve">of significant </w:t>
      </w:r>
      <w:r w:rsidR="00CB7767">
        <w:rPr>
          <w:rFonts w:ascii="Georgia" w:hAnsi="Georgia"/>
        </w:rPr>
        <w:t xml:space="preserve">capital </w:t>
      </w:r>
      <w:r w:rsidR="008A649F">
        <w:rPr>
          <w:rFonts w:ascii="Georgia" w:hAnsi="Georgia"/>
        </w:rPr>
        <w:t>value</w:t>
      </w:r>
      <w:r w:rsidR="00623F64">
        <w:rPr>
          <w:rFonts w:ascii="Georgia" w:hAnsi="Georgia"/>
        </w:rPr>
        <w:t xml:space="preserve">, </w:t>
      </w:r>
      <w:r w:rsidR="00545B01">
        <w:rPr>
          <w:rFonts w:ascii="Georgia" w:hAnsi="Georgia"/>
        </w:rPr>
        <w:t xml:space="preserve">where </w:t>
      </w:r>
      <w:r w:rsidR="00623F64">
        <w:rPr>
          <w:rFonts w:ascii="Georgia" w:hAnsi="Georgia"/>
        </w:rPr>
        <w:t xml:space="preserve">the amount </w:t>
      </w:r>
      <w:r w:rsidR="001D6C54">
        <w:rPr>
          <w:rFonts w:ascii="Georgia" w:hAnsi="Georgia"/>
        </w:rPr>
        <w:t>is</w:t>
      </w:r>
      <w:r w:rsidR="00623F64">
        <w:rPr>
          <w:rFonts w:ascii="Georgia" w:hAnsi="Georgia"/>
        </w:rPr>
        <w:t xml:space="preserve"> £161 </w:t>
      </w:r>
      <w:r w:rsidR="001D6C54">
        <w:rPr>
          <w:rFonts w:ascii="Georgia" w:hAnsi="Georgia"/>
        </w:rPr>
        <w:t>and</w:t>
      </w:r>
      <w:r w:rsidR="00623F64">
        <w:rPr>
          <w:rFonts w:ascii="Georgia" w:hAnsi="Georgia"/>
        </w:rPr>
        <w:t xml:space="preserve"> the </w:t>
      </w:r>
      <w:r w:rsidR="009C5BA5">
        <w:rPr>
          <w:rFonts w:ascii="Georgia" w:hAnsi="Georgia"/>
        </w:rPr>
        <w:t>Applicant’s</w:t>
      </w:r>
      <w:r w:rsidR="00623F64">
        <w:rPr>
          <w:rFonts w:ascii="Georgia" w:hAnsi="Georgia"/>
        </w:rPr>
        <w:t xml:space="preserve"> one third liability </w:t>
      </w:r>
      <w:r w:rsidR="009C5BA5">
        <w:rPr>
          <w:rFonts w:ascii="Georgia" w:hAnsi="Georgia"/>
        </w:rPr>
        <w:t>would be</w:t>
      </w:r>
      <w:r w:rsidR="00623F64">
        <w:rPr>
          <w:rFonts w:ascii="Georgia" w:hAnsi="Georgia"/>
        </w:rPr>
        <w:t xml:space="preserve"> </w:t>
      </w:r>
      <w:r w:rsidR="009C5BA5">
        <w:rPr>
          <w:rFonts w:ascii="Georgia" w:hAnsi="Georgia"/>
        </w:rPr>
        <w:t>£53.66</w:t>
      </w:r>
      <w:r w:rsidR="00545B01">
        <w:rPr>
          <w:rFonts w:ascii="Georgia" w:hAnsi="Georgia"/>
        </w:rPr>
        <w:t>,</w:t>
      </w:r>
      <w:r w:rsidR="00351696">
        <w:rPr>
          <w:rFonts w:ascii="Georgia" w:hAnsi="Georgia"/>
        </w:rPr>
        <w:t xml:space="preserve"> it is hard to accept, even if there was some sort of promise and clearer evidence of reliance</w:t>
      </w:r>
      <w:r w:rsidR="0048417C">
        <w:rPr>
          <w:rFonts w:ascii="Georgia" w:hAnsi="Georgia"/>
        </w:rPr>
        <w:t>,</w:t>
      </w:r>
      <w:r w:rsidR="00351696">
        <w:rPr>
          <w:rFonts w:ascii="Georgia" w:hAnsi="Georgia"/>
        </w:rPr>
        <w:t xml:space="preserve"> that an estoppel </w:t>
      </w:r>
      <w:r w:rsidR="001D6C54">
        <w:rPr>
          <w:rFonts w:ascii="Georgia" w:hAnsi="Georgia"/>
        </w:rPr>
        <w:t xml:space="preserve">that applies for all future accounting years </w:t>
      </w:r>
      <w:r w:rsidR="00C04E98">
        <w:rPr>
          <w:rFonts w:ascii="Georgia" w:hAnsi="Georgia"/>
        </w:rPr>
        <w:t>could be said to arise.</w:t>
      </w:r>
    </w:p>
    <w:p w14:paraId="0BC63008" w14:textId="77777777" w:rsidR="00A4373E" w:rsidRDefault="00A4373E" w:rsidP="00A4373E">
      <w:pPr>
        <w:jc w:val="both"/>
        <w:rPr>
          <w:rFonts w:ascii="Georgia" w:hAnsi="Georgia"/>
        </w:rPr>
      </w:pPr>
    </w:p>
    <w:p w14:paraId="45939F8D" w14:textId="5C1ABA05" w:rsidR="005565C5" w:rsidRPr="00A4373E" w:rsidRDefault="009078CE" w:rsidP="005565C5">
      <w:pPr>
        <w:jc w:val="both"/>
        <w:rPr>
          <w:rFonts w:ascii="Georgia" w:hAnsi="Georgia"/>
        </w:rPr>
      </w:pPr>
      <w:r>
        <w:rPr>
          <w:rFonts w:ascii="Georgia" w:hAnsi="Georgia"/>
        </w:rPr>
        <w:t xml:space="preserve">44. </w:t>
      </w:r>
      <w:r w:rsidR="005565C5">
        <w:rPr>
          <w:rFonts w:ascii="Georgia" w:hAnsi="Georgia"/>
        </w:rPr>
        <w:t xml:space="preserve">The Tribunal concludes on the estoppel claim that it does not consider that there was any promise or representation made by or on behalf of the Respondent, or that the Applicant treated it as a representation on which she could rely.  The Tribunal is unconvinced by the Applicant’s assertion that she relied on any such promise or representation. No estoppel of any description has been established. </w:t>
      </w:r>
    </w:p>
    <w:p w14:paraId="4B5CBC1D" w14:textId="77777777" w:rsidR="005565C5" w:rsidRDefault="005565C5" w:rsidP="005565C5">
      <w:pPr>
        <w:jc w:val="both"/>
        <w:rPr>
          <w:rFonts w:ascii="Georgia" w:hAnsi="Georgia"/>
        </w:rPr>
      </w:pPr>
    </w:p>
    <w:p w14:paraId="53B1ECC7" w14:textId="499AAA6C" w:rsidR="0048417C" w:rsidRPr="007E02DA" w:rsidRDefault="007E02DA" w:rsidP="0048417C">
      <w:pPr>
        <w:jc w:val="both"/>
        <w:rPr>
          <w:rFonts w:ascii="Georgia" w:hAnsi="Georgia"/>
          <w:b/>
          <w:bCs/>
        </w:rPr>
      </w:pPr>
      <w:r>
        <w:rPr>
          <w:rFonts w:ascii="Georgia" w:hAnsi="Georgia"/>
          <w:b/>
          <w:bCs/>
        </w:rPr>
        <w:t>Determination on fire issues and s</w:t>
      </w:r>
      <w:r w:rsidRPr="007E02DA">
        <w:rPr>
          <w:rFonts w:ascii="Georgia" w:hAnsi="Georgia"/>
          <w:b/>
          <w:bCs/>
        </w:rPr>
        <w:t>ection 20B of the 1985 Act</w:t>
      </w:r>
    </w:p>
    <w:p w14:paraId="1FB288F4" w14:textId="0B5C7B28" w:rsidR="00702D94" w:rsidRDefault="009078CE" w:rsidP="00702D94">
      <w:pPr>
        <w:jc w:val="both"/>
        <w:rPr>
          <w:rFonts w:ascii="Georgia" w:hAnsi="Georgia"/>
        </w:rPr>
      </w:pPr>
      <w:r>
        <w:rPr>
          <w:rFonts w:ascii="Georgia" w:hAnsi="Georgia"/>
        </w:rPr>
        <w:t xml:space="preserve">45. </w:t>
      </w:r>
      <w:r w:rsidR="00702D94">
        <w:rPr>
          <w:rFonts w:ascii="Georgia" w:hAnsi="Georgia"/>
        </w:rPr>
        <w:t xml:space="preserve">The Tribunal therefore determines that all expenses relating to fire alarm installation, repair and maintenance, and all expenses relation to fire alarm testing and fire safety assessment, fall under the terms of the Lease within the general service charge set out in the Fifth Schedule and to which the Applicant contributes one-third. </w:t>
      </w:r>
    </w:p>
    <w:p w14:paraId="1F3CC106" w14:textId="77777777" w:rsidR="00702D94" w:rsidRDefault="00702D94" w:rsidP="00702D94">
      <w:pPr>
        <w:jc w:val="both"/>
        <w:rPr>
          <w:rFonts w:ascii="Georgia" w:hAnsi="Georgia"/>
        </w:rPr>
      </w:pPr>
    </w:p>
    <w:p w14:paraId="3DD570B3" w14:textId="43CF2A30" w:rsidR="00E10512" w:rsidRDefault="009078CE" w:rsidP="00E10512">
      <w:pPr>
        <w:jc w:val="both"/>
        <w:rPr>
          <w:rFonts w:ascii="Georgia" w:hAnsi="Georgia"/>
        </w:rPr>
      </w:pPr>
      <w:r>
        <w:rPr>
          <w:rFonts w:ascii="Georgia" w:hAnsi="Georgia"/>
        </w:rPr>
        <w:t xml:space="preserve">46. </w:t>
      </w:r>
      <w:r w:rsidR="00E10512">
        <w:rPr>
          <w:rFonts w:ascii="Georgia" w:hAnsi="Georgia"/>
        </w:rPr>
        <w:t>Expenses relating to emergency lighting fall within the internal service charge and within the saving clause of the heading of the Fifth Schedule to the Lease and are therefore expenses to which the Applicant makes no contribution. It is therefore necessary to separate out expenses relating to emergency lighting and expenses relating to fire safety issues.</w:t>
      </w:r>
    </w:p>
    <w:p w14:paraId="4051506E" w14:textId="77777777" w:rsidR="00E10512" w:rsidRDefault="00E10512" w:rsidP="00E10512">
      <w:pPr>
        <w:jc w:val="both"/>
        <w:rPr>
          <w:rFonts w:ascii="Georgia" w:hAnsi="Georgia"/>
        </w:rPr>
      </w:pPr>
    </w:p>
    <w:p w14:paraId="75DD55FF" w14:textId="0C0FDCF6" w:rsidR="00834F64" w:rsidRDefault="009078CE" w:rsidP="00834F64">
      <w:pPr>
        <w:jc w:val="both"/>
        <w:rPr>
          <w:rFonts w:ascii="Georgia" w:hAnsi="Georgia"/>
        </w:rPr>
      </w:pPr>
      <w:r>
        <w:rPr>
          <w:rFonts w:ascii="Georgia" w:hAnsi="Georgia"/>
        </w:rPr>
        <w:t xml:space="preserve">47. </w:t>
      </w:r>
      <w:r w:rsidR="00834F64">
        <w:rPr>
          <w:rFonts w:ascii="Georgia" w:hAnsi="Georgia"/>
        </w:rPr>
        <w:t xml:space="preserve">By virtue of section 20B (1) of the 1985 Act, where relevant costs are incurred more than 18 months before a demand for payment of the service charge is served then a tenant or leaseholder is not liable to pay so much of the service charge that reflects the costs so incurred. That means that notwithstanding this determination, the Applicant </w:t>
      </w:r>
      <w:r w:rsidR="00834F64">
        <w:rPr>
          <w:rFonts w:ascii="Georgia" w:hAnsi="Georgia"/>
        </w:rPr>
        <w:lastRenderedPageBreak/>
        <w:t xml:space="preserve">is not liable to pay a share of expenses relating to fire alarm maintenance and testing where they were included, wrongly, within the internal service charge. Only if there was some written notification to her within that 18-month period, that those costs had been incurred and that she would be required under the terms of her lease to contribute to them would she be liable to pay (section 20b(2). There does not appear to be any such notification but it would be open to the Respondent to claim the costs from the Applicant if it can clearly show that such a written notification exists. </w:t>
      </w:r>
    </w:p>
    <w:p w14:paraId="46D2009F" w14:textId="77777777" w:rsidR="007E373E" w:rsidRDefault="007E373E" w:rsidP="0048417C">
      <w:pPr>
        <w:jc w:val="both"/>
        <w:rPr>
          <w:rFonts w:ascii="Georgia" w:hAnsi="Georgia"/>
        </w:rPr>
      </w:pPr>
    </w:p>
    <w:p w14:paraId="0BB0D985" w14:textId="24C899D6" w:rsidR="007E373E" w:rsidRPr="007E373E" w:rsidRDefault="007E373E" w:rsidP="0048417C">
      <w:pPr>
        <w:jc w:val="both"/>
        <w:rPr>
          <w:rFonts w:ascii="Georgia" w:hAnsi="Georgia"/>
          <w:b/>
          <w:bCs/>
        </w:rPr>
      </w:pPr>
      <w:r>
        <w:rPr>
          <w:rFonts w:ascii="Georgia" w:hAnsi="Georgia"/>
          <w:b/>
          <w:bCs/>
        </w:rPr>
        <w:t>Management fees</w:t>
      </w:r>
    </w:p>
    <w:p w14:paraId="74E3D0EE" w14:textId="4DFF3BFC" w:rsidR="007E373E" w:rsidRDefault="009078CE" w:rsidP="0048417C">
      <w:pPr>
        <w:jc w:val="both"/>
        <w:rPr>
          <w:rFonts w:ascii="Georgia" w:hAnsi="Georgia"/>
        </w:rPr>
      </w:pPr>
      <w:r>
        <w:rPr>
          <w:rFonts w:ascii="Georgia" w:hAnsi="Georgia"/>
        </w:rPr>
        <w:t xml:space="preserve">48. </w:t>
      </w:r>
      <w:r w:rsidR="00CB50CC">
        <w:rPr>
          <w:rFonts w:ascii="Georgia" w:hAnsi="Georgia"/>
        </w:rPr>
        <w:t xml:space="preserve">The Respondents have had three managing agents over the past four years. </w:t>
      </w:r>
      <w:r w:rsidR="00082A54">
        <w:rPr>
          <w:rFonts w:ascii="Georgia" w:hAnsi="Georgia"/>
        </w:rPr>
        <w:t xml:space="preserve">In Jennifer Faulkner’s witness statement, there are occasions when she is complimentary of the service received. </w:t>
      </w:r>
      <w:r w:rsidR="00234634">
        <w:rPr>
          <w:rFonts w:ascii="Georgia" w:hAnsi="Georgia"/>
        </w:rPr>
        <w:t xml:space="preserve">But there have been errors, most significantly when Andrews allocated fire alarm expenses in the budget to the internal charge </w:t>
      </w:r>
      <w:r w:rsidR="003C7C58">
        <w:rPr>
          <w:rFonts w:ascii="Georgia" w:hAnsi="Georgia"/>
        </w:rPr>
        <w:t xml:space="preserve">when previously they had been in the </w:t>
      </w:r>
      <w:r w:rsidR="00F15057">
        <w:rPr>
          <w:rFonts w:ascii="Georgia" w:hAnsi="Georgia"/>
        </w:rPr>
        <w:t xml:space="preserve">general service charge </w:t>
      </w:r>
      <w:r w:rsidR="003C7C58">
        <w:rPr>
          <w:rFonts w:ascii="Georgia" w:hAnsi="Georgia"/>
        </w:rPr>
        <w:t>and the the</w:t>
      </w:r>
      <w:r w:rsidR="00F15057">
        <w:rPr>
          <w:rFonts w:ascii="Georgia" w:hAnsi="Georgia"/>
        </w:rPr>
        <w:t>n</w:t>
      </w:r>
      <w:r w:rsidR="003C7C58">
        <w:rPr>
          <w:rFonts w:ascii="Georgia" w:hAnsi="Georgia"/>
        </w:rPr>
        <w:t xml:space="preserve"> leaseholders did not notice</w:t>
      </w:r>
      <w:r w:rsidR="00F15057">
        <w:rPr>
          <w:rFonts w:ascii="Georgia" w:hAnsi="Georgia"/>
        </w:rPr>
        <w:t xml:space="preserve"> the change. One could argue that that error has been </w:t>
      </w:r>
      <w:r w:rsidR="001B3115">
        <w:rPr>
          <w:rFonts w:ascii="Georgia" w:hAnsi="Georgia"/>
        </w:rPr>
        <w:t>a</w:t>
      </w:r>
      <w:r w:rsidR="00F15057">
        <w:rPr>
          <w:rFonts w:ascii="Georgia" w:hAnsi="Georgia"/>
        </w:rPr>
        <w:t xml:space="preserve"> reason for much of the dispute between the parties.</w:t>
      </w:r>
      <w:r w:rsidR="0094006C">
        <w:rPr>
          <w:rFonts w:ascii="Georgia" w:hAnsi="Georgia"/>
        </w:rPr>
        <w:t xml:space="preserve"> But the only issue before the Tribunal for decision </w:t>
      </w:r>
      <w:r w:rsidR="001A0E70">
        <w:rPr>
          <w:rFonts w:ascii="Georgia" w:hAnsi="Georgia"/>
        </w:rPr>
        <w:t>relates to the management fees agreed by the Respondent to engage the firm SPG</w:t>
      </w:r>
      <w:r w:rsidR="00A2118E">
        <w:rPr>
          <w:rFonts w:ascii="Georgia" w:hAnsi="Georgia"/>
        </w:rPr>
        <w:t xml:space="preserve"> and their performance as agents. The Tribunal needs to decide if t</w:t>
      </w:r>
      <w:r w:rsidR="0002696A">
        <w:rPr>
          <w:rFonts w:ascii="Georgia" w:hAnsi="Georgia"/>
        </w:rPr>
        <w:t>h</w:t>
      </w:r>
      <w:r w:rsidR="00A2118E">
        <w:rPr>
          <w:rFonts w:ascii="Georgia" w:hAnsi="Georgia"/>
        </w:rPr>
        <w:t xml:space="preserve">e level of fees are reasonable and whether the </w:t>
      </w:r>
      <w:r w:rsidR="008B76B7">
        <w:rPr>
          <w:rFonts w:ascii="Georgia" w:hAnsi="Georgia"/>
        </w:rPr>
        <w:t>performance of the agents falls below the standard expected so that the fee is unreasonable.</w:t>
      </w:r>
    </w:p>
    <w:p w14:paraId="1B98A4BB" w14:textId="77777777" w:rsidR="0002696A" w:rsidRDefault="0002696A" w:rsidP="0048417C">
      <w:pPr>
        <w:jc w:val="both"/>
        <w:rPr>
          <w:rFonts w:ascii="Georgia" w:hAnsi="Georgia"/>
        </w:rPr>
      </w:pPr>
    </w:p>
    <w:p w14:paraId="4101D080" w14:textId="4FB00632" w:rsidR="0002696A" w:rsidRDefault="009078CE" w:rsidP="0048417C">
      <w:pPr>
        <w:jc w:val="both"/>
        <w:rPr>
          <w:rFonts w:ascii="Georgia" w:hAnsi="Georgia"/>
        </w:rPr>
      </w:pPr>
      <w:r>
        <w:rPr>
          <w:rFonts w:ascii="Georgia" w:hAnsi="Georgia"/>
        </w:rPr>
        <w:t xml:space="preserve">49. </w:t>
      </w:r>
      <w:r w:rsidR="00210666">
        <w:rPr>
          <w:rFonts w:ascii="Georgia" w:hAnsi="Georgia"/>
        </w:rPr>
        <w:t>In her position statement, the Applicant argued that</w:t>
      </w:r>
      <w:r w:rsidR="00143EBE">
        <w:rPr>
          <w:rFonts w:ascii="Georgia" w:hAnsi="Georgia"/>
        </w:rPr>
        <w:t>, since she is exempted f</w:t>
      </w:r>
      <w:r w:rsidR="006F52DC">
        <w:rPr>
          <w:rFonts w:ascii="Georgia" w:hAnsi="Georgia"/>
        </w:rPr>
        <w:t>ro</w:t>
      </w:r>
      <w:r w:rsidR="00143EBE">
        <w:rPr>
          <w:rFonts w:ascii="Georgia" w:hAnsi="Georgia"/>
        </w:rPr>
        <w:t xml:space="preserve">m the cost of the communal hallway, then </w:t>
      </w:r>
      <w:r w:rsidR="0099680B">
        <w:rPr>
          <w:rFonts w:ascii="Georgia" w:hAnsi="Georgia"/>
        </w:rPr>
        <w:t xml:space="preserve">the management fees should be divided </w:t>
      </w:r>
      <w:r w:rsidR="006F52DC">
        <w:rPr>
          <w:rFonts w:ascii="Georgia" w:hAnsi="Georgia"/>
        </w:rPr>
        <w:t xml:space="preserve">proportionally between the </w:t>
      </w:r>
      <w:r w:rsidR="0099680B">
        <w:rPr>
          <w:rFonts w:ascii="Georgia" w:hAnsi="Georgia"/>
        </w:rPr>
        <w:t>general and internal charges</w:t>
      </w:r>
      <w:r w:rsidR="007E0BF5">
        <w:rPr>
          <w:rFonts w:ascii="Georgia" w:hAnsi="Georgia"/>
        </w:rPr>
        <w:t xml:space="preserve">. </w:t>
      </w:r>
      <w:r w:rsidR="004D4E67">
        <w:rPr>
          <w:rFonts w:ascii="Georgia" w:hAnsi="Georgia"/>
        </w:rPr>
        <w:t>This claim does not appear in her Sta</w:t>
      </w:r>
      <w:r w:rsidR="001F3070">
        <w:rPr>
          <w:rFonts w:ascii="Georgia" w:hAnsi="Georgia"/>
        </w:rPr>
        <w:t>t</w:t>
      </w:r>
      <w:r w:rsidR="004D4E67">
        <w:rPr>
          <w:rFonts w:ascii="Georgia" w:hAnsi="Georgia"/>
        </w:rPr>
        <w:t>ement of Case and by th</w:t>
      </w:r>
      <w:r w:rsidR="001F3070">
        <w:rPr>
          <w:rFonts w:ascii="Georgia" w:hAnsi="Georgia"/>
        </w:rPr>
        <w:t>e</w:t>
      </w:r>
      <w:r w:rsidR="004D4E67">
        <w:rPr>
          <w:rFonts w:ascii="Georgia" w:hAnsi="Georgia"/>
        </w:rPr>
        <w:t xml:space="preserve"> hearing the Applicant conceded that under the term of the Lease the totality of management fees were to be charged in full to the general service charge</w:t>
      </w:r>
      <w:r w:rsidR="007D4527">
        <w:rPr>
          <w:rFonts w:ascii="Georgia" w:hAnsi="Georgia"/>
        </w:rPr>
        <w:t xml:space="preserve">. This concession was sensibly made as it is clear that management fees fall to be charged under clause </w:t>
      </w:r>
      <w:r w:rsidR="00777200">
        <w:rPr>
          <w:rFonts w:ascii="Georgia" w:hAnsi="Georgia"/>
        </w:rPr>
        <w:t>8 of the Fifth Schedule and therefore come within the general service charge.</w:t>
      </w:r>
    </w:p>
    <w:p w14:paraId="7E6D8668" w14:textId="77777777" w:rsidR="00777200" w:rsidRDefault="00777200" w:rsidP="0048417C">
      <w:pPr>
        <w:jc w:val="both"/>
        <w:rPr>
          <w:rFonts w:ascii="Georgia" w:hAnsi="Georgia"/>
        </w:rPr>
      </w:pPr>
    </w:p>
    <w:p w14:paraId="19298E21" w14:textId="71654B91" w:rsidR="007C26FD" w:rsidRDefault="009078CE" w:rsidP="0048417C">
      <w:pPr>
        <w:jc w:val="both"/>
        <w:rPr>
          <w:rFonts w:ascii="Georgia" w:hAnsi="Georgia"/>
        </w:rPr>
      </w:pPr>
      <w:r>
        <w:rPr>
          <w:rFonts w:ascii="Georgia" w:hAnsi="Georgia"/>
        </w:rPr>
        <w:t xml:space="preserve">50. </w:t>
      </w:r>
      <w:r w:rsidR="009F01CD">
        <w:rPr>
          <w:rFonts w:ascii="Georgia" w:hAnsi="Georgia"/>
        </w:rPr>
        <w:t xml:space="preserve">The primary claim of the Applicant is that </w:t>
      </w:r>
      <w:r w:rsidR="001B1853">
        <w:rPr>
          <w:rFonts w:ascii="Georgia" w:hAnsi="Georgia"/>
        </w:rPr>
        <w:t xml:space="preserve">SPG should not have been appointed if due diligence had been undertaken before appointment. </w:t>
      </w:r>
      <w:r w:rsidR="00F32C47">
        <w:rPr>
          <w:rFonts w:ascii="Georgia" w:hAnsi="Georgia"/>
        </w:rPr>
        <w:t xml:space="preserve">She claims the amount of the fee is unreasonably high, that </w:t>
      </w:r>
      <w:r w:rsidR="00374A16">
        <w:rPr>
          <w:rFonts w:ascii="Georgia" w:hAnsi="Georgia"/>
        </w:rPr>
        <w:t>she provided the Respondent with quote</w:t>
      </w:r>
      <w:r w:rsidR="00282725">
        <w:rPr>
          <w:rFonts w:ascii="Georgia" w:hAnsi="Georgia"/>
        </w:rPr>
        <w:t>s</w:t>
      </w:r>
      <w:r w:rsidR="00374A16">
        <w:rPr>
          <w:rFonts w:ascii="Georgia" w:hAnsi="Georgia"/>
        </w:rPr>
        <w:t xml:space="preserve"> from </w:t>
      </w:r>
      <w:r w:rsidR="00282725">
        <w:rPr>
          <w:rFonts w:ascii="Georgia" w:hAnsi="Georgia"/>
        </w:rPr>
        <w:t>two alternative potential man</w:t>
      </w:r>
      <w:r w:rsidR="00E44324">
        <w:rPr>
          <w:rFonts w:ascii="Georgia" w:hAnsi="Georgia"/>
        </w:rPr>
        <w:t>aging agents, namely Fra</w:t>
      </w:r>
      <w:r w:rsidR="00035449">
        <w:rPr>
          <w:rFonts w:ascii="Georgia" w:hAnsi="Georgia"/>
        </w:rPr>
        <w:t>s</w:t>
      </w:r>
      <w:r w:rsidR="00E44324">
        <w:rPr>
          <w:rFonts w:ascii="Georgia" w:hAnsi="Georgia"/>
        </w:rPr>
        <w:t>er Allen and HML</w:t>
      </w:r>
      <w:r w:rsidR="000E43AC">
        <w:rPr>
          <w:rFonts w:ascii="Georgia" w:hAnsi="Georgia"/>
        </w:rPr>
        <w:t xml:space="preserve">. She included these tenders in full in the bundle of documents. </w:t>
      </w:r>
      <w:r w:rsidR="003E119B">
        <w:rPr>
          <w:rFonts w:ascii="Georgia" w:hAnsi="Georgia"/>
        </w:rPr>
        <w:t>One of these, from HML</w:t>
      </w:r>
      <w:r w:rsidR="00F839DD">
        <w:rPr>
          <w:rFonts w:ascii="Georgia" w:hAnsi="Georgia"/>
        </w:rPr>
        <w:t xml:space="preserve"> was for an annual fee of £2,500 plus VAT and the other from Fraser Allen at a fee of </w:t>
      </w:r>
      <w:r w:rsidR="00655B3A">
        <w:rPr>
          <w:rFonts w:ascii="Georgia" w:hAnsi="Georgia"/>
        </w:rPr>
        <w:t>£2,250</w:t>
      </w:r>
      <w:r w:rsidR="00F839DD">
        <w:rPr>
          <w:rFonts w:ascii="Georgia" w:hAnsi="Georgia"/>
        </w:rPr>
        <w:t xml:space="preserve"> plus VAT</w:t>
      </w:r>
      <w:r w:rsidR="00EF10FD">
        <w:rPr>
          <w:rFonts w:ascii="Georgia" w:hAnsi="Georgia"/>
        </w:rPr>
        <w:t>, r</w:t>
      </w:r>
      <w:r w:rsidR="00655B3A">
        <w:rPr>
          <w:rFonts w:ascii="Georgia" w:hAnsi="Georgia"/>
        </w:rPr>
        <w:t xml:space="preserve">educed from an original tender at £2,500. </w:t>
      </w:r>
      <w:r w:rsidR="00482676">
        <w:rPr>
          <w:rFonts w:ascii="Georgia" w:hAnsi="Georgia"/>
        </w:rPr>
        <w:t>The Applic</w:t>
      </w:r>
      <w:r w:rsidR="008D723C">
        <w:rPr>
          <w:rFonts w:ascii="Georgia" w:hAnsi="Georgia"/>
        </w:rPr>
        <w:t>a</w:t>
      </w:r>
      <w:r w:rsidR="00482676">
        <w:rPr>
          <w:rFonts w:ascii="Georgia" w:hAnsi="Georgia"/>
        </w:rPr>
        <w:t xml:space="preserve">nt’s </w:t>
      </w:r>
      <w:r w:rsidR="008D723C">
        <w:rPr>
          <w:rFonts w:ascii="Georgia" w:hAnsi="Georgia"/>
        </w:rPr>
        <w:t xml:space="preserve">witness statement </w:t>
      </w:r>
      <w:r w:rsidR="002148CC">
        <w:rPr>
          <w:rFonts w:ascii="Georgia" w:hAnsi="Georgia"/>
        </w:rPr>
        <w:t xml:space="preserve">also </w:t>
      </w:r>
      <w:r w:rsidR="008D723C">
        <w:rPr>
          <w:rFonts w:ascii="Georgia" w:hAnsi="Georgia"/>
        </w:rPr>
        <w:t>refers to a ‘lower quote of £1</w:t>
      </w:r>
      <w:r w:rsidR="00D02B14">
        <w:rPr>
          <w:rFonts w:ascii="Georgia" w:hAnsi="Georgia"/>
        </w:rPr>
        <w:t>,</w:t>
      </w:r>
      <w:r w:rsidR="008D723C">
        <w:rPr>
          <w:rFonts w:ascii="Georgia" w:hAnsi="Georgia"/>
        </w:rPr>
        <w:t>517 plus VAT</w:t>
      </w:r>
      <w:r w:rsidR="00705148">
        <w:rPr>
          <w:rFonts w:ascii="Georgia" w:hAnsi="Georgia"/>
        </w:rPr>
        <w:t>’</w:t>
      </w:r>
      <w:r w:rsidR="008D723C">
        <w:rPr>
          <w:rFonts w:ascii="Georgia" w:hAnsi="Georgia"/>
        </w:rPr>
        <w:t xml:space="preserve"> </w:t>
      </w:r>
      <w:r w:rsidR="002148CC">
        <w:rPr>
          <w:rFonts w:ascii="Georgia" w:hAnsi="Georgia"/>
        </w:rPr>
        <w:t xml:space="preserve">but it is unclear </w:t>
      </w:r>
      <w:r w:rsidR="001A7199">
        <w:rPr>
          <w:rFonts w:ascii="Georgia" w:hAnsi="Georgia"/>
        </w:rPr>
        <w:t xml:space="preserve">what is the name and details of the firm which gave this tender or </w:t>
      </w:r>
      <w:r w:rsidR="002148CC">
        <w:rPr>
          <w:rFonts w:ascii="Georgia" w:hAnsi="Georgia"/>
        </w:rPr>
        <w:t xml:space="preserve">whether this was pursued. </w:t>
      </w:r>
      <w:r w:rsidR="00D04D8E">
        <w:rPr>
          <w:rFonts w:ascii="Georgia" w:hAnsi="Georgia"/>
        </w:rPr>
        <w:t>The only reference at the hearing was to the Fra</w:t>
      </w:r>
      <w:r w:rsidR="00035449">
        <w:rPr>
          <w:rFonts w:ascii="Georgia" w:hAnsi="Georgia"/>
        </w:rPr>
        <w:t>s</w:t>
      </w:r>
      <w:r w:rsidR="00D04D8E">
        <w:rPr>
          <w:rFonts w:ascii="Georgia" w:hAnsi="Georgia"/>
        </w:rPr>
        <w:t>er Allen tender</w:t>
      </w:r>
      <w:r w:rsidR="00F839DD">
        <w:rPr>
          <w:rFonts w:ascii="Georgia" w:hAnsi="Georgia"/>
        </w:rPr>
        <w:t xml:space="preserve">. </w:t>
      </w:r>
      <w:r w:rsidR="00D02B14">
        <w:rPr>
          <w:rFonts w:ascii="Georgia" w:hAnsi="Georgia"/>
        </w:rPr>
        <w:t>T</w:t>
      </w:r>
      <w:r w:rsidR="00E5636A">
        <w:rPr>
          <w:rFonts w:ascii="Georgia" w:hAnsi="Georgia"/>
        </w:rPr>
        <w:t>he Applicant</w:t>
      </w:r>
      <w:r w:rsidR="000A5B06">
        <w:rPr>
          <w:rFonts w:ascii="Georgia" w:hAnsi="Georgia"/>
        </w:rPr>
        <w:t xml:space="preserve"> requested that </w:t>
      </w:r>
      <w:r w:rsidR="005F7A00">
        <w:rPr>
          <w:rFonts w:ascii="Georgia" w:hAnsi="Georgia"/>
        </w:rPr>
        <w:t>she be permitted to raise some queries with SPG before appointment</w:t>
      </w:r>
      <w:r w:rsidR="004B1EAA">
        <w:rPr>
          <w:rFonts w:ascii="Georgia" w:hAnsi="Georgia"/>
        </w:rPr>
        <w:t>. She was not permitted to do so. Later, she ascertained that the Chartered Surve</w:t>
      </w:r>
      <w:r w:rsidR="00AD65C1">
        <w:rPr>
          <w:rFonts w:ascii="Georgia" w:hAnsi="Georgia"/>
        </w:rPr>
        <w:t>yor</w:t>
      </w:r>
      <w:r w:rsidR="00493DC9">
        <w:rPr>
          <w:rFonts w:ascii="Georgia" w:hAnsi="Georgia"/>
        </w:rPr>
        <w:t>,</w:t>
      </w:r>
      <w:r w:rsidR="00AD65C1">
        <w:rPr>
          <w:rFonts w:ascii="Georgia" w:hAnsi="Georgia"/>
        </w:rPr>
        <w:t xml:space="preserve"> and firm principal</w:t>
      </w:r>
      <w:r w:rsidR="00493DC9">
        <w:rPr>
          <w:rFonts w:ascii="Georgia" w:hAnsi="Georgia"/>
        </w:rPr>
        <w:t>,</w:t>
      </w:r>
      <w:r w:rsidR="00AD65C1">
        <w:rPr>
          <w:rFonts w:ascii="Georgia" w:hAnsi="Georgia"/>
        </w:rPr>
        <w:t xml:space="preserve"> was, in her words, </w:t>
      </w:r>
      <w:r w:rsidR="00842E6E">
        <w:rPr>
          <w:rFonts w:ascii="Georgia" w:hAnsi="Georgia"/>
        </w:rPr>
        <w:t xml:space="preserve">‘narrowly focused as a specialist commercial property valuer’. </w:t>
      </w:r>
      <w:r w:rsidR="0025465F">
        <w:rPr>
          <w:rFonts w:ascii="Georgia" w:hAnsi="Georgia"/>
        </w:rPr>
        <w:t>On that basis she contend</w:t>
      </w:r>
      <w:r w:rsidR="001E5F7A">
        <w:rPr>
          <w:rFonts w:ascii="Georgia" w:hAnsi="Georgia"/>
        </w:rPr>
        <w:t>ed</w:t>
      </w:r>
      <w:r w:rsidR="0025465F">
        <w:rPr>
          <w:rFonts w:ascii="Georgia" w:hAnsi="Georgia"/>
        </w:rPr>
        <w:t xml:space="preserve"> that </w:t>
      </w:r>
      <w:r w:rsidR="00B264E2">
        <w:rPr>
          <w:rFonts w:ascii="Georgia" w:hAnsi="Georgia"/>
        </w:rPr>
        <w:t>there is no value in having as managing agent a firm with an RICS qualified surveyor</w:t>
      </w:r>
      <w:r w:rsidR="00F6074A">
        <w:rPr>
          <w:rFonts w:ascii="Georgia" w:hAnsi="Georgia"/>
        </w:rPr>
        <w:t xml:space="preserve"> if the person concerned w</w:t>
      </w:r>
      <w:r w:rsidR="00A554A9">
        <w:rPr>
          <w:rFonts w:ascii="Georgia" w:hAnsi="Georgia"/>
        </w:rPr>
        <w:t>a</w:t>
      </w:r>
      <w:r w:rsidR="00F6074A">
        <w:rPr>
          <w:rFonts w:ascii="Georgia" w:hAnsi="Georgia"/>
        </w:rPr>
        <w:t xml:space="preserve">s not </w:t>
      </w:r>
      <w:r w:rsidR="00A554A9">
        <w:rPr>
          <w:rFonts w:ascii="Georgia" w:hAnsi="Georgia"/>
        </w:rPr>
        <w:t>an expert on residential property</w:t>
      </w:r>
      <w:r w:rsidR="001E374A">
        <w:rPr>
          <w:rFonts w:ascii="Georgia" w:hAnsi="Georgia"/>
        </w:rPr>
        <w:t>.</w:t>
      </w:r>
      <w:r w:rsidR="00A554A9">
        <w:rPr>
          <w:rFonts w:ascii="Georgia" w:hAnsi="Georgia"/>
        </w:rPr>
        <w:t xml:space="preserve"> </w:t>
      </w:r>
      <w:r w:rsidR="00A4740D">
        <w:rPr>
          <w:rFonts w:ascii="Georgia" w:hAnsi="Georgia"/>
        </w:rPr>
        <w:t>S</w:t>
      </w:r>
      <w:r w:rsidR="00A554A9">
        <w:rPr>
          <w:rFonts w:ascii="Georgia" w:hAnsi="Georgia"/>
        </w:rPr>
        <w:t>he put forward instead a firm (Fra</w:t>
      </w:r>
      <w:r w:rsidR="00035449">
        <w:rPr>
          <w:rFonts w:ascii="Georgia" w:hAnsi="Georgia"/>
        </w:rPr>
        <w:t>s</w:t>
      </w:r>
      <w:r w:rsidR="00A554A9">
        <w:rPr>
          <w:rFonts w:ascii="Georgia" w:hAnsi="Georgia"/>
        </w:rPr>
        <w:t>er Allen) t</w:t>
      </w:r>
      <w:r w:rsidR="001E6660">
        <w:rPr>
          <w:rFonts w:ascii="Georgia" w:hAnsi="Georgia"/>
        </w:rPr>
        <w:t>h</w:t>
      </w:r>
      <w:r w:rsidR="00A554A9">
        <w:rPr>
          <w:rFonts w:ascii="Georgia" w:hAnsi="Georgia"/>
        </w:rPr>
        <w:t>at had no RICS</w:t>
      </w:r>
      <w:r w:rsidR="00533DB0">
        <w:rPr>
          <w:rFonts w:ascii="Georgia" w:hAnsi="Georgia"/>
        </w:rPr>
        <w:t xml:space="preserve"> </w:t>
      </w:r>
      <w:r w:rsidR="008C7282">
        <w:rPr>
          <w:rFonts w:ascii="Georgia" w:hAnsi="Georgia"/>
        </w:rPr>
        <w:t>chartered surveyor</w:t>
      </w:r>
      <w:r w:rsidR="00533DB0">
        <w:rPr>
          <w:rFonts w:ascii="Georgia" w:hAnsi="Georgia"/>
        </w:rPr>
        <w:t xml:space="preserve"> among its team.</w:t>
      </w:r>
    </w:p>
    <w:p w14:paraId="333B8272" w14:textId="77777777" w:rsidR="001E374A" w:rsidRDefault="001E374A" w:rsidP="0048417C">
      <w:pPr>
        <w:jc w:val="both"/>
        <w:rPr>
          <w:rFonts w:ascii="Georgia" w:hAnsi="Georgia"/>
        </w:rPr>
      </w:pPr>
    </w:p>
    <w:p w14:paraId="5D8D3299" w14:textId="6ED68F12" w:rsidR="00C13C09" w:rsidRDefault="009078CE" w:rsidP="0048417C">
      <w:pPr>
        <w:jc w:val="both"/>
        <w:rPr>
          <w:rFonts w:ascii="Georgia" w:hAnsi="Georgia"/>
        </w:rPr>
      </w:pPr>
      <w:r>
        <w:rPr>
          <w:rFonts w:ascii="Georgia" w:hAnsi="Georgia"/>
        </w:rPr>
        <w:t xml:space="preserve">51. </w:t>
      </w:r>
      <w:r w:rsidR="00D535A2">
        <w:rPr>
          <w:rFonts w:ascii="Georgia" w:hAnsi="Georgia"/>
        </w:rPr>
        <w:t xml:space="preserve">The Tribunal needs to </w:t>
      </w:r>
      <w:r w:rsidR="00E62672">
        <w:rPr>
          <w:rFonts w:ascii="Georgia" w:hAnsi="Georgia"/>
        </w:rPr>
        <w:t>r</w:t>
      </w:r>
      <w:r w:rsidR="00D535A2">
        <w:rPr>
          <w:rFonts w:ascii="Georgia" w:hAnsi="Georgia"/>
        </w:rPr>
        <w:t xml:space="preserve">ecord that the Applicant makes a series of </w:t>
      </w:r>
      <w:r w:rsidR="00420B84">
        <w:rPr>
          <w:rFonts w:ascii="Georgia" w:hAnsi="Georgia"/>
        </w:rPr>
        <w:t xml:space="preserve">serious </w:t>
      </w:r>
      <w:r w:rsidR="00E62672">
        <w:rPr>
          <w:rFonts w:ascii="Georgia" w:hAnsi="Georgia"/>
        </w:rPr>
        <w:t>allegations</w:t>
      </w:r>
      <w:r w:rsidR="00420B84">
        <w:rPr>
          <w:rFonts w:ascii="Georgia" w:hAnsi="Georgia"/>
        </w:rPr>
        <w:t xml:space="preserve"> against Spencer Gower</w:t>
      </w:r>
      <w:r w:rsidR="00E62672">
        <w:rPr>
          <w:rFonts w:ascii="Georgia" w:hAnsi="Georgia"/>
        </w:rPr>
        <w:t xml:space="preserve">, the principal of SPG, </w:t>
      </w:r>
      <w:r w:rsidR="00F12509">
        <w:rPr>
          <w:rFonts w:ascii="Georgia" w:hAnsi="Georgia"/>
        </w:rPr>
        <w:t xml:space="preserve">in language that </w:t>
      </w:r>
      <w:r w:rsidR="007D5D7C">
        <w:rPr>
          <w:rFonts w:ascii="Georgia" w:hAnsi="Georgia"/>
        </w:rPr>
        <w:t xml:space="preserve">was </w:t>
      </w:r>
      <w:r w:rsidR="0010031B">
        <w:rPr>
          <w:rFonts w:ascii="Georgia" w:hAnsi="Georgia"/>
        </w:rPr>
        <w:t xml:space="preserve">sometimes </w:t>
      </w:r>
      <w:r w:rsidR="007D5D7C">
        <w:rPr>
          <w:rFonts w:ascii="Georgia" w:hAnsi="Georgia"/>
        </w:rPr>
        <w:t xml:space="preserve">inappropriate and </w:t>
      </w:r>
      <w:r w:rsidR="005438D7">
        <w:rPr>
          <w:rFonts w:ascii="Georgia" w:hAnsi="Georgia"/>
        </w:rPr>
        <w:t xml:space="preserve">which </w:t>
      </w:r>
      <w:r w:rsidR="00F12509">
        <w:rPr>
          <w:rFonts w:ascii="Georgia" w:hAnsi="Georgia"/>
        </w:rPr>
        <w:t>should not have been made</w:t>
      </w:r>
      <w:r w:rsidR="0010031B">
        <w:rPr>
          <w:rFonts w:ascii="Georgia" w:hAnsi="Georgia"/>
        </w:rPr>
        <w:t>,</w:t>
      </w:r>
      <w:r w:rsidR="005438D7">
        <w:rPr>
          <w:rFonts w:ascii="Georgia" w:hAnsi="Georgia"/>
        </w:rPr>
        <w:t xml:space="preserve"> as much of what was </w:t>
      </w:r>
      <w:r w:rsidR="005438D7">
        <w:rPr>
          <w:rFonts w:ascii="Georgia" w:hAnsi="Georgia"/>
        </w:rPr>
        <w:lastRenderedPageBreak/>
        <w:t>stated was not relevant to the issues before the Tribunal</w:t>
      </w:r>
      <w:r w:rsidR="006B4BB4">
        <w:rPr>
          <w:rFonts w:ascii="Georgia" w:hAnsi="Georgia"/>
        </w:rPr>
        <w:t xml:space="preserve">. </w:t>
      </w:r>
      <w:r w:rsidR="001230A2">
        <w:rPr>
          <w:rFonts w:ascii="Georgia" w:hAnsi="Georgia"/>
        </w:rPr>
        <w:t>It</w:t>
      </w:r>
      <w:r w:rsidR="00F12509">
        <w:rPr>
          <w:rFonts w:ascii="Georgia" w:hAnsi="Georgia"/>
        </w:rPr>
        <w:t xml:space="preserve"> is at odds</w:t>
      </w:r>
      <w:r w:rsidR="00C13C09">
        <w:rPr>
          <w:rFonts w:ascii="Georgia" w:hAnsi="Georgia"/>
        </w:rPr>
        <w:t xml:space="preserve"> with her measured approach in the rest of the paperwork and at the hearing.</w:t>
      </w:r>
      <w:r w:rsidR="001E6660">
        <w:rPr>
          <w:rFonts w:ascii="Georgia" w:hAnsi="Georgia"/>
        </w:rPr>
        <w:t xml:space="preserve"> </w:t>
      </w:r>
    </w:p>
    <w:p w14:paraId="3031AD6F" w14:textId="77777777" w:rsidR="001230A2" w:rsidRDefault="001230A2" w:rsidP="0048417C">
      <w:pPr>
        <w:jc w:val="both"/>
        <w:rPr>
          <w:rFonts w:ascii="Georgia" w:hAnsi="Georgia"/>
        </w:rPr>
      </w:pPr>
    </w:p>
    <w:p w14:paraId="6C219B78" w14:textId="54051DBC" w:rsidR="001230A2" w:rsidRDefault="00E81D70" w:rsidP="0048417C">
      <w:pPr>
        <w:jc w:val="both"/>
        <w:rPr>
          <w:rFonts w:ascii="Georgia" w:hAnsi="Georgia"/>
        </w:rPr>
      </w:pPr>
      <w:r>
        <w:rPr>
          <w:rFonts w:ascii="Georgia" w:hAnsi="Georgia"/>
        </w:rPr>
        <w:t xml:space="preserve">52. </w:t>
      </w:r>
      <w:r w:rsidR="000E18DF">
        <w:rPr>
          <w:rFonts w:ascii="Georgia" w:hAnsi="Georgia"/>
        </w:rPr>
        <w:t xml:space="preserve">The </w:t>
      </w:r>
      <w:r w:rsidR="004D5FFF">
        <w:rPr>
          <w:rFonts w:ascii="Georgia" w:hAnsi="Georgia"/>
        </w:rPr>
        <w:t>Respondent’s</w:t>
      </w:r>
      <w:r w:rsidR="000E18DF">
        <w:rPr>
          <w:rFonts w:ascii="Georgia" w:hAnsi="Georgia"/>
        </w:rPr>
        <w:t xml:space="preserve"> position is that</w:t>
      </w:r>
      <w:r w:rsidR="004D5FFF">
        <w:rPr>
          <w:rFonts w:ascii="Georgia" w:hAnsi="Georgia"/>
        </w:rPr>
        <w:t xml:space="preserve">, as Jennifer Faulkner records, they needed to find a new agent </w:t>
      </w:r>
      <w:r w:rsidR="006566DB">
        <w:rPr>
          <w:rFonts w:ascii="Georgia" w:hAnsi="Georgia"/>
        </w:rPr>
        <w:t xml:space="preserve">quite quickly in February 2024 </w:t>
      </w:r>
      <w:r w:rsidR="00143731">
        <w:rPr>
          <w:rFonts w:ascii="Georgia" w:hAnsi="Georgia"/>
        </w:rPr>
        <w:t xml:space="preserve">as BLM had terminated their contract with only one month’s notice. </w:t>
      </w:r>
      <w:r w:rsidR="00B9176C">
        <w:rPr>
          <w:rFonts w:ascii="Georgia" w:hAnsi="Georgia"/>
        </w:rPr>
        <w:t>SPG came with recommendations from the Respondent’s accountant</w:t>
      </w:r>
      <w:r w:rsidR="00924D00">
        <w:rPr>
          <w:rFonts w:ascii="Georgia" w:hAnsi="Georgia"/>
        </w:rPr>
        <w:t xml:space="preserve"> and from a property nearby that was managed by them. The Respondent did look at several other companies</w:t>
      </w:r>
      <w:r w:rsidR="00A16595">
        <w:rPr>
          <w:rFonts w:ascii="Georgia" w:hAnsi="Georgia"/>
        </w:rPr>
        <w:t xml:space="preserve"> but it was noted at the hearing that it is not easy to find good agents for </w:t>
      </w:r>
      <w:r w:rsidR="003C71BA">
        <w:rPr>
          <w:rFonts w:ascii="Georgia" w:hAnsi="Georgia"/>
        </w:rPr>
        <w:t xml:space="preserve">buildings with only four properties. The other directors did </w:t>
      </w:r>
      <w:r w:rsidR="008B3AC0">
        <w:rPr>
          <w:rFonts w:ascii="Georgia" w:hAnsi="Georgia"/>
        </w:rPr>
        <w:t xml:space="preserve">‘check out’ the firm of Fraser Allen after their tender was supplied by the Applicant but ‘they were not keen’. </w:t>
      </w:r>
    </w:p>
    <w:p w14:paraId="49A690EF" w14:textId="77777777" w:rsidR="00CF78BF" w:rsidRDefault="00CF78BF" w:rsidP="0048417C">
      <w:pPr>
        <w:jc w:val="both"/>
        <w:rPr>
          <w:rFonts w:ascii="Georgia" w:hAnsi="Georgia"/>
        </w:rPr>
      </w:pPr>
    </w:p>
    <w:p w14:paraId="741B1B6A" w14:textId="7BEBF1FA" w:rsidR="00CF78BF" w:rsidRDefault="00431785" w:rsidP="0048417C">
      <w:pPr>
        <w:jc w:val="both"/>
        <w:rPr>
          <w:rFonts w:ascii="Georgia" w:hAnsi="Georgia"/>
        </w:rPr>
      </w:pPr>
      <w:r>
        <w:rPr>
          <w:rFonts w:ascii="Georgia" w:hAnsi="Georgia"/>
        </w:rPr>
        <w:t xml:space="preserve">53. </w:t>
      </w:r>
      <w:r w:rsidR="00E03AE2">
        <w:rPr>
          <w:rFonts w:ascii="Georgia" w:hAnsi="Georgia"/>
        </w:rPr>
        <w:t xml:space="preserve">The Respondent is satisfied with SPG as agents. Harvey Packham </w:t>
      </w:r>
      <w:r w:rsidR="009E68C1">
        <w:rPr>
          <w:rFonts w:ascii="Georgia" w:hAnsi="Georgia"/>
        </w:rPr>
        <w:t xml:space="preserve">says </w:t>
      </w:r>
      <w:r w:rsidR="00E03AE2">
        <w:rPr>
          <w:rFonts w:ascii="Georgia" w:hAnsi="Georgia"/>
        </w:rPr>
        <w:t xml:space="preserve">in his witness statement says that </w:t>
      </w:r>
      <w:r w:rsidR="009E68C1">
        <w:rPr>
          <w:rFonts w:ascii="Georgia" w:hAnsi="Georgia"/>
        </w:rPr>
        <w:t>‘they were doing a great jo</w:t>
      </w:r>
      <w:r w:rsidR="00E2699D">
        <w:rPr>
          <w:rFonts w:ascii="Georgia" w:hAnsi="Georgia"/>
        </w:rPr>
        <w:t>b</w:t>
      </w:r>
      <w:r w:rsidR="009E68C1">
        <w:rPr>
          <w:rFonts w:ascii="Georgia" w:hAnsi="Georgia"/>
        </w:rPr>
        <w:t xml:space="preserve"> in difficult circumstances’</w:t>
      </w:r>
      <w:r w:rsidR="00DF4454">
        <w:rPr>
          <w:rFonts w:ascii="Georgia" w:hAnsi="Georgia"/>
        </w:rPr>
        <w:t xml:space="preserve">. </w:t>
      </w:r>
      <w:r w:rsidR="002D1D5E">
        <w:rPr>
          <w:rFonts w:ascii="Georgia" w:hAnsi="Georgia"/>
        </w:rPr>
        <w:t>In her witness statement, Jennifer Faulkner notes that a</w:t>
      </w:r>
      <w:r w:rsidR="0049765E">
        <w:rPr>
          <w:rFonts w:ascii="Georgia" w:hAnsi="Georgia"/>
        </w:rPr>
        <w:t>lth</w:t>
      </w:r>
      <w:r w:rsidR="002D1D5E">
        <w:rPr>
          <w:rFonts w:ascii="Georgia" w:hAnsi="Georgia"/>
        </w:rPr>
        <w:t>ough the Applicant considered</w:t>
      </w:r>
      <w:r w:rsidR="004C4505">
        <w:rPr>
          <w:rFonts w:ascii="Georgia" w:hAnsi="Georgia"/>
        </w:rPr>
        <w:t xml:space="preserve"> BLM to have been better, ‘the other owners are pleased with SPG</w:t>
      </w:r>
      <w:r w:rsidR="0049765E">
        <w:rPr>
          <w:rFonts w:ascii="Georgia" w:hAnsi="Georgia"/>
        </w:rPr>
        <w:t>’</w:t>
      </w:r>
      <w:r w:rsidR="004C4505">
        <w:rPr>
          <w:rFonts w:ascii="Georgia" w:hAnsi="Georgia"/>
        </w:rPr>
        <w:t>.</w:t>
      </w:r>
      <w:r w:rsidR="009E68C1">
        <w:rPr>
          <w:rFonts w:ascii="Georgia" w:hAnsi="Georgia"/>
        </w:rPr>
        <w:t xml:space="preserve"> </w:t>
      </w:r>
      <w:r w:rsidR="0088790E">
        <w:rPr>
          <w:rFonts w:ascii="Georgia" w:hAnsi="Georgia"/>
        </w:rPr>
        <w:t xml:space="preserve">The Respondent notes that the charge for </w:t>
      </w:r>
      <w:r w:rsidR="003E3458">
        <w:rPr>
          <w:rFonts w:ascii="Georgia" w:hAnsi="Georgia"/>
        </w:rPr>
        <w:t xml:space="preserve">the current accounting year is £3,000 plus VAT but the figure includes </w:t>
      </w:r>
      <w:r w:rsidR="0002602A">
        <w:rPr>
          <w:rFonts w:ascii="Georgia" w:hAnsi="Georgia"/>
        </w:rPr>
        <w:t xml:space="preserve">the weekly fire alarm testing which is </w:t>
      </w:r>
      <w:r w:rsidR="00130A00">
        <w:rPr>
          <w:rFonts w:ascii="Georgia" w:hAnsi="Georgia"/>
        </w:rPr>
        <w:t>costed</w:t>
      </w:r>
      <w:r w:rsidR="0002602A">
        <w:rPr>
          <w:rFonts w:ascii="Georgia" w:hAnsi="Georgia"/>
        </w:rPr>
        <w:t xml:space="preserve"> at £600 plus VAT. This </w:t>
      </w:r>
      <w:r w:rsidR="00130A00">
        <w:rPr>
          <w:rFonts w:ascii="Georgia" w:hAnsi="Georgia"/>
        </w:rPr>
        <w:t xml:space="preserve">means a comparative charge of £2,400 plus VAT </w:t>
      </w:r>
      <w:r w:rsidR="0002602A">
        <w:rPr>
          <w:rFonts w:ascii="Georgia" w:hAnsi="Georgia"/>
        </w:rPr>
        <w:t xml:space="preserve">sits comfortably </w:t>
      </w:r>
      <w:r w:rsidR="00937D77">
        <w:rPr>
          <w:rFonts w:ascii="Georgia" w:hAnsi="Georgia"/>
        </w:rPr>
        <w:t>alongside the</w:t>
      </w:r>
      <w:r w:rsidR="0002602A">
        <w:rPr>
          <w:rFonts w:ascii="Georgia" w:hAnsi="Georgia"/>
        </w:rPr>
        <w:t xml:space="preserve"> H</w:t>
      </w:r>
      <w:r w:rsidR="00130A00">
        <w:rPr>
          <w:rFonts w:ascii="Georgia" w:hAnsi="Georgia"/>
        </w:rPr>
        <w:t>ML tender of £2,500 plus VAT</w:t>
      </w:r>
      <w:r w:rsidR="00937D77">
        <w:rPr>
          <w:rFonts w:ascii="Georgia" w:hAnsi="Georgia"/>
        </w:rPr>
        <w:t xml:space="preserve">. </w:t>
      </w:r>
    </w:p>
    <w:p w14:paraId="66FFB5E6" w14:textId="77777777" w:rsidR="000419A8" w:rsidRDefault="000419A8" w:rsidP="0048417C">
      <w:pPr>
        <w:jc w:val="both"/>
        <w:rPr>
          <w:rFonts w:ascii="Georgia" w:hAnsi="Georgia"/>
        </w:rPr>
      </w:pPr>
    </w:p>
    <w:p w14:paraId="3561EB39" w14:textId="2B97381A" w:rsidR="000419A8" w:rsidRDefault="00ED0774" w:rsidP="0048417C">
      <w:pPr>
        <w:jc w:val="both"/>
        <w:rPr>
          <w:rFonts w:ascii="Georgia" w:hAnsi="Georgia"/>
        </w:rPr>
      </w:pPr>
      <w:r>
        <w:rPr>
          <w:rFonts w:ascii="Georgia" w:hAnsi="Georgia"/>
        </w:rPr>
        <w:t xml:space="preserve">54. </w:t>
      </w:r>
      <w:r w:rsidR="00CF5E72">
        <w:rPr>
          <w:rFonts w:ascii="Georgia" w:hAnsi="Georgia"/>
        </w:rPr>
        <w:t xml:space="preserve">The </w:t>
      </w:r>
      <w:r w:rsidR="001D5012">
        <w:rPr>
          <w:rFonts w:ascii="Georgia" w:hAnsi="Georgia"/>
        </w:rPr>
        <w:t xml:space="preserve">Tribunal determines that the fee of SPG agreed to by the Respondent is a reasonable fee. </w:t>
      </w:r>
      <w:r w:rsidR="003C1369">
        <w:rPr>
          <w:rFonts w:ascii="Georgia" w:hAnsi="Georgia"/>
        </w:rPr>
        <w:t xml:space="preserve">The tender from HML indicates that </w:t>
      </w:r>
      <w:r w:rsidR="00DD6BCF">
        <w:rPr>
          <w:rFonts w:ascii="Georgia" w:hAnsi="Georgia"/>
        </w:rPr>
        <w:t xml:space="preserve">that it reflects a market rate. </w:t>
      </w:r>
      <w:r w:rsidR="00E5636A">
        <w:rPr>
          <w:rFonts w:ascii="Georgia" w:hAnsi="Georgia"/>
        </w:rPr>
        <w:t>The tender for Fra</w:t>
      </w:r>
      <w:r w:rsidR="00DD5183">
        <w:rPr>
          <w:rFonts w:ascii="Georgia" w:hAnsi="Georgia"/>
        </w:rPr>
        <w:t>s</w:t>
      </w:r>
      <w:r w:rsidR="00E5636A">
        <w:rPr>
          <w:rFonts w:ascii="Georgia" w:hAnsi="Georgia"/>
        </w:rPr>
        <w:t>er Allen is only £</w:t>
      </w:r>
      <w:r w:rsidR="00D30D70">
        <w:rPr>
          <w:rFonts w:ascii="Georgia" w:hAnsi="Georgia"/>
        </w:rPr>
        <w:t>1</w:t>
      </w:r>
      <w:r w:rsidR="00E5636A">
        <w:rPr>
          <w:rFonts w:ascii="Georgia" w:hAnsi="Georgia"/>
        </w:rPr>
        <w:t xml:space="preserve">50 less than the </w:t>
      </w:r>
      <w:r w:rsidR="00370A2D">
        <w:rPr>
          <w:rFonts w:ascii="Georgia" w:hAnsi="Georgia"/>
        </w:rPr>
        <w:t>comparative</w:t>
      </w:r>
      <w:r w:rsidR="00E5636A">
        <w:rPr>
          <w:rFonts w:ascii="Georgia" w:hAnsi="Georgia"/>
        </w:rPr>
        <w:t xml:space="preserve"> fee of SPG once </w:t>
      </w:r>
      <w:r w:rsidR="00897763">
        <w:rPr>
          <w:rFonts w:ascii="Georgia" w:hAnsi="Georgia"/>
        </w:rPr>
        <w:t>th</w:t>
      </w:r>
      <w:r w:rsidR="00370A2D">
        <w:rPr>
          <w:rFonts w:ascii="Georgia" w:hAnsi="Georgia"/>
        </w:rPr>
        <w:t>e</w:t>
      </w:r>
      <w:r w:rsidR="00897763">
        <w:rPr>
          <w:rFonts w:ascii="Georgia" w:hAnsi="Georgia"/>
        </w:rPr>
        <w:t xml:space="preserve"> weekly testing charge is taken into account. Even if the comparative figure is £3,00</w:t>
      </w:r>
      <w:r w:rsidR="00370A2D">
        <w:rPr>
          <w:rFonts w:ascii="Georgia" w:hAnsi="Georgia"/>
        </w:rPr>
        <w:t>0</w:t>
      </w:r>
      <w:r w:rsidR="00897763">
        <w:rPr>
          <w:rFonts w:ascii="Georgia" w:hAnsi="Georgia"/>
        </w:rPr>
        <w:t xml:space="preserve"> plus VAT as against £2</w:t>
      </w:r>
      <w:r w:rsidR="00596DA0">
        <w:rPr>
          <w:rFonts w:ascii="Georgia" w:hAnsi="Georgia"/>
        </w:rPr>
        <w:t>,250 plus VAT the Tribunal, applying its knowledge</w:t>
      </w:r>
      <w:r w:rsidR="00DD5183">
        <w:rPr>
          <w:rFonts w:ascii="Georgia" w:hAnsi="Georgia"/>
        </w:rPr>
        <w:t xml:space="preserve"> and expertise</w:t>
      </w:r>
      <w:r w:rsidR="00596DA0">
        <w:rPr>
          <w:rFonts w:ascii="Georgia" w:hAnsi="Georgia"/>
        </w:rPr>
        <w:t>, conclud</w:t>
      </w:r>
      <w:r w:rsidR="00370A2D">
        <w:rPr>
          <w:rFonts w:ascii="Georgia" w:hAnsi="Georgia"/>
        </w:rPr>
        <w:t>e</w:t>
      </w:r>
      <w:r w:rsidR="00596DA0">
        <w:rPr>
          <w:rFonts w:ascii="Georgia" w:hAnsi="Georgia"/>
        </w:rPr>
        <w:t xml:space="preserve">s that </w:t>
      </w:r>
      <w:r w:rsidR="00370A2D">
        <w:rPr>
          <w:rFonts w:ascii="Georgia" w:hAnsi="Georgia"/>
        </w:rPr>
        <w:t xml:space="preserve">the decision </w:t>
      </w:r>
      <w:r w:rsidR="00392342">
        <w:rPr>
          <w:rFonts w:ascii="Georgia" w:hAnsi="Georgia"/>
        </w:rPr>
        <w:t xml:space="preserve">of the </w:t>
      </w:r>
      <w:r w:rsidR="00D30D70">
        <w:rPr>
          <w:rFonts w:ascii="Georgia" w:hAnsi="Georgia"/>
        </w:rPr>
        <w:t>Respondent to</w:t>
      </w:r>
      <w:r w:rsidR="00370A2D">
        <w:rPr>
          <w:rFonts w:ascii="Georgia" w:hAnsi="Georgia"/>
        </w:rPr>
        <w:t xml:space="preserve"> accept SPG </w:t>
      </w:r>
      <w:r w:rsidR="00392342">
        <w:rPr>
          <w:rFonts w:ascii="Georgia" w:hAnsi="Georgia"/>
        </w:rPr>
        <w:t>in preference to Fra</w:t>
      </w:r>
      <w:r w:rsidR="00A832B4">
        <w:rPr>
          <w:rFonts w:ascii="Georgia" w:hAnsi="Georgia"/>
        </w:rPr>
        <w:t>s</w:t>
      </w:r>
      <w:r w:rsidR="00392342">
        <w:rPr>
          <w:rFonts w:ascii="Georgia" w:hAnsi="Georgia"/>
        </w:rPr>
        <w:t>er Allen is not unreasonable</w:t>
      </w:r>
      <w:r>
        <w:rPr>
          <w:rFonts w:ascii="Georgia" w:hAnsi="Georgia"/>
        </w:rPr>
        <w:t>.</w:t>
      </w:r>
    </w:p>
    <w:p w14:paraId="7DD966F9" w14:textId="77777777" w:rsidR="00D30D70" w:rsidRDefault="00D30D70" w:rsidP="0048417C">
      <w:pPr>
        <w:jc w:val="both"/>
        <w:rPr>
          <w:rFonts w:ascii="Georgia" w:hAnsi="Georgia"/>
        </w:rPr>
      </w:pPr>
    </w:p>
    <w:p w14:paraId="6062F316" w14:textId="2AAC5203" w:rsidR="00D30D70" w:rsidRDefault="00ED0774" w:rsidP="0048417C">
      <w:pPr>
        <w:jc w:val="both"/>
        <w:rPr>
          <w:rFonts w:ascii="Georgia" w:hAnsi="Georgia"/>
        </w:rPr>
      </w:pPr>
      <w:r>
        <w:rPr>
          <w:rFonts w:ascii="Georgia" w:hAnsi="Georgia"/>
        </w:rPr>
        <w:t xml:space="preserve">55. </w:t>
      </w:r>
      <w:r w:rsidR="003B6C66">
        <w:rPr>
          <w:rFonts w:ascii="Georgia" w:hAnsi="Georgia"/>
        </w:rPr>
        <w:t xml:space="preserve">In her written </w:t>
      </w:r>
      <w:r w:rsidR="00523A99">
        <w:rPr>
          <w:rFonts w:ascii="Georgia" w:hAnsi="Georgia"/>
        </w:rPr>
        <w:t>documentation</w:t>
      </w:r>
      <w:r w:rsidR="003B6C66">
        <w:rPr>
          <w:rFonts w:ascii="Georgia" w:hAnsi="Georgia"/>
        </w:rPr>
        <w:t xml:space="preserve">, the Applicant also </w:t>
      </w:r>
      <w:r w:rsidR="00523A99">
        <w:rPr>
          <w:rFonts w:ascii="Georgia" w:hAnsi="Georgia"/>
        </w:rPr>
        <w:t xml:space="preserve">submitted that </w:t>
      </w:r>
      <w:r w:rsidR="00BC5B95">
        <w:rPr>
          <w:rFonts w:ascii="Georgia" w:hAnsi="Georgia"/>
        </w:rPr>
        <w:t>SPG had f</w:t>
      </w:r>
      <w:r w:rsidR="00A832B4">
        <w:rPr>
          <w:rFonts w:ascii="Georgia" w:hAnsi="Georgia"/>
        </w:rPr>
        <w:t>a</w:t>
      </w:r>
      <w:r w:rsidR="00BC5B95">
        <w:rPr>
          <w:rFonts w:ascii="Georgia" w:hAnsi="Georgia"/>
        </w:rPr>
        <w:t>iled to provide a service of a reasonable standard</w:t>
      </w:r>
      <w:r w:rsidR="00FB3162">
        <w:rPr>
          <w:rFonts w:ascii="Georgia" w:hAnsi="Georgia"/>
        </w:rPr>
        <w:t xml:space="preserve"> citing four</w:t>
      </w:r>
      <w:r w:rsidR="00D23514">
        <w:rPr>
          <w:rFonts w:ascii="Georgia" w:hAnsi="Georgia"/>
        </w:rPr>
        <w:t xml:space="preserve"> reasons for this conclusion in paragraph 25 of her </w:t>
      </w:r>
      <w:r w:rsidR="00C01BB8">
        <w:rPr>
          <w:rFonts w:ascii="Georgia" w:hAnsi="Georgia"/>
        </w:rPr>
        <w:t>S</w:t>
      </w:r>
      <w:r w:rsidR="00D23514">
        <w:rPr>
          <w:rFonts w:ascii="Georgia" w:hAnsi="Georgia"/>
        </w:rPr>
        <w:t xml:space="preserve">tatement of </w:t>
      </w:r>
      <w:r w:rsidR="00C01BB8">
        <w:rPr>
          <w:rFonts w:ascii="Georgia" w:hAnsi="Georgia"/>
        </w:rPr>
        <w:t>C</w:t>
      </w:r>
      <w:r w:rsidR="00D23514">
        <w:rPr>
          <w:rFonts w:ascii="Georgia" w:hAnsi="Georgia"/>
        </w:rPr>
        <w:t>ase</w:t>
      </w:r>
      <w:r w:rsidR="003A18FF">
        <w:rPr>
          <w:rFonts w:ascii="Georgia" w:hAnsi="Georgia"/>
        </w:rPr>
        <w:t xml:space="preserve">. </w:t>
      </w:r>
      <w:r w:rsidR="007E1A57">
        <w:rPr>
          <w:rFonts w:ascii="Georgia" w:hAnsi="Georgia"/>
        </w:rPr>
        <w:t xml:space="preserve">None of these four issues, which </w:t>
      </w:r>
      <w:r w:rsidR="00A832B4">
        <w:rPr>
          <w:rFonts w:ascii="Georgia" w:hAnsi="Georgia"/>
        </w:rPr>
        <w:t>in the event</w:t>
      </w:r>
      <w:r w:rsidR="00C133E7">
        <w:rPr>
          <w:rFonts w:ascii="Georgia" w:hAnsi="Georgia"/>
        </w:rPr>
        <w:t xml:space="preserve"> </w:t>
      </w:r>
      <w:r w:rsidR="007E1A57">
        <w:rPr>
          <w:rFonts w:ascii="Georgia" w:hAnsi="Georgia"/>
        </w:rPr>
        <w:t xml:space="preserve">need not be </w:t>
      </w:r>
      <w:r w:rsidR="000D20B7">
        <w:rPr>
          <w:rFonts w:ascii="Georgia" w:hAnsi="Georgia"/>
        </w:rPr>
        <w:t>d</w:t>
      </w:r>
      <w:r w:rsidR="007E1A57">
        <w:rPr>
          <w:rFonts w:ascii="Georgia" w:hAnsi="Georgia"/>
        </w:rPr>
        <w:t xml:space="preserve">etailed, were followed up by any written or oral evidence. In the bundle of </w:t>
      </w:r>
      <w:r w:rsidR="003027D4">
        <w:rPr>
          <w:rFonts w:ascii="Georgia" w:hAnsi="Georgia"/>
        </w:rPr>
        <w:t>papers</w:t>
      </w:r>
      <w:r w:rsidR="007E1A57">
        <w:rPr>
          <w:rFonts w:ascii="Georgia" w:hAnsi="Georgia"/>
        </w:rPr>
        <w:t xml:space="preserve">, there is </w:t>
      </w:r>
      <w:r w:rsidR="000941CE">
        <w:rPr>
          <w:rFonts w:ascii="Georgia" w:hAnsi="Georgia"/>
        </w:rPr>
        <w:t>a paper f</w:t>
      </w:r>
      <w:r w:rsidR="000D20B7">
        <w:rPr>
          <w:rFonts w:ascii="Georgia" w:hAnsi="Georgia"/>
        </w:rPr>
        <w:t>ro</w:t>
      </w:r>
      <w:r w:rsidR="000941CE">
        <w:rPr>
          <w:rFonts w:ascii="Georgia" w:hAnsi="Georgia"/>
        </w:rPr>
        <w:t xml:space="preserve">m the Applicant </w:t>
      </w:r>
      <w:r w:rsidR="003027D4">
        <w:rPr>
          <w:rFonts w:ascii="Georgia" w:hAnsi="Georgia"/>
        </w:rPr>
        <w:t>head</w:t>
      </w:r>
      <w:r w:rsidR="000D20B7">
        <w:rPr>
          <w:rFonts w:ascii="Georgia" w:hAnsi="Georgia"/>
        </w:rPr>
        <w:t>ed</w:t>
      </w:r>
      <w:r w:rsidR="000941CE">
        <w:rPr>
          <w:rFonts w:ascii="Georgia" w:hAnsi="Georgia"/>
        </w:rPr>
        <w:t xml:space="preserve"> ‘</w:t>
      </w:r>
      <w:r w:rsidR="000D20B7">
        <w:rPr>
          <w:rFonts w:ascii="Georgia" w:hAnsi="Georgia"/>
        </w:rPr>
        <w:t>C</w:t>
      </w:r>
      <w:r w:rsidR="000941CE">
        <w:rPr>
          <w:rFonts w:ascii="Georgia" w:hAnsi="Georgia"/>
        </w:rPr>
        <w:t xml:space="preserve">omplaints against SPG </w:t>
      </w:r>
      <w:r w:rsidR="00CC5279">
        <w:rPr>
          <w:rFonts w:ascii="Georgia" w:hAnsi="Georgia"/>
        </w:rPr>
        <w:t>P</w:t>
      </w:r>
      <w:r w:rsidR="000941CE">
        <w:rPr>
          <w:rFonts w:ascii="Georgia" w:hAnsi="Georgia"/>
        </w:rPr>
        <w:t>roperty Ltd</w:t>
      </w:r>
      <w:r w:rsidR="000D20B7">
        <w:rPr>
          <w:rFonts w:ascii="Georgia" w:hAnsi="Georgia"/>
        </w:rPr>
        <w:t xml:space="preserve">’ </w:t>
      </w:r>
      <w:r w:rsidR="000941CE">
        <w:rPr>
          <w:rFonts w:ascii="Georgia" w:hAnsi="Georgia"/>
        </w:rPr>
        <w:t xml:space="preserve">which relate </w:t>
      </w:r>
      <w:r w:rsidR="003027D4">
        <w:rPr>
          <w:rFonts w:ascii="Georgia" w:hAnsi="Georgia"/>
        </w:rPr>
        <w:t>solely</w:t>
      </w:r>
      <w:r w:rsidR="000941CE">
        <w:rPr>
          <w:rFonts w:ascii="Georgia" w:hAnsi="Georgia"/>
        </w:rPr>
        <w:t xml:space="preserve"> </w:t>
      </w:r>
      <w:r w:rsidR="00F85126">
        <w:rPr>
          <w:rFonts w:ascii="Georgia" w:hAnsi="Georgia"/>
        </w:rPr>
        <w:t xml:space="preserve">to the Applicant’s interaction with SPG when there was water </w:t>
      </w:r>
      <w:r w:rsidR="00AE00BF">
        <w:rPr>
          <w:rFonts w:ascii="Georgia" w:hAnsi="Georgia"/>
        </w:rPr>
        <w:t xml:space="preserve">ingress into her basement and to </w:t>
      </w:r>
      <w:r w:rsidR="00210507">
        <w:rPr>
          <w:rFonts w:ascii="Georgia" w:hAnsi="Georgia"/>
        </w:rPr>
        <w:t>an</w:t>
      </w:r>
      <w:r w:rsidR="001C3FF2">
        <w:rPr>
          <w:rFonts w:ascii="Georgia" w:hAnsi="Georgia"/>
        </w:rPr>
        <w:t xml:space="preserve"> alleged </w:t>
      </w:r>
      <w:r w:rsidR="00D83BF1">
        <w:rPr>
          <w:rFonts w:ascii="Georgia" w:hAnsi="Georgia"/>
        </w:rPr>
        <w:t>failure</w:t>
      </w:r>
      <w:r w:rsidR="001C3FF2">
        <w:rPr>
          <w:rFonts w:ascii="Georgia" w:hAnsi="Georgia"/>
        </w:rPr>
        <w:t xml:space="preserve"> of SPG to observe </w:t>
      </w:r>
      <w:r w:rsidR="00D83BF1">
        <w:rPr>
          <w:rFonts w:ascii="Georgia" w:hAnsi="Georgia"/>
        </w:rPr>
        <w:t>the RICS code.</w:t>
      </w:r>
      <w:r w:rsidR="000941CE">
        <w:rPr>
          <w:rFonts w:ascii="Georgia" w:hAnsi="Georgia"/>
        </w:rPr>
        <w:t xml:space="preserve"> </w:t>
      </w:r>
      <w:r w:rsidR="004748CE">
        <w:rPr>
          <w:rFonts w:ascii="Georgia" w:hAnsi="Georgia"/>
        </w:rPr>
        <w:t>The paper said that ‘contractual failures</w:t>
      </w:r>
      <w:r w:rsidR="00D1649C">
        <w:rPr>
          <w:rFonts w:ascii="Georgia" w:hAnsi="Georgia"/>
        </w:rPr>
        <w:t>’</w:t>
      </w:r>
      <w:r w:rsidR="004748CE">
        <w:rPr>
          <w:rFonts w:ascii="Georgia" w:hAnsi="Georgia"/>
        </w:rPr>
        <w:t xml:space="preserve"> will be explained at the hearing</w:t>
      </w:r>
      <w:r w:rsidR="00A925B2">
        <w:rPr>
          <w:rFonts w:ascii="Georgia" w:hAnsi="Georgia"/>
        </w:rPr>
        <w:t>’</w:t>
      </w:r>
      <w:r w:rsidR="004748CE">
        <w:rPr>
          <w:rFonts w:ascii="Georgia" w:hAnsi="Georgia"/>
        </w:rPr>
        <w:t>.</w:t>
      </w:r>
      <w:r w:rsidR="00A925B2">
        <w:rPr>
          <w:rFonts w:ascii="Georgia" w:hAnsi="Georgia"/>
        </w:rPr>
        <w:t xml:space="preserve"> No such explanation was forthco</w:t>
      </w:r>
      <w:r w:rsidR="00D17E67">
        <w:rPr>
          <w:rFonts w:ascii="Georgia" w:hAnsi="Georgia"/>
        </w:rPr>
        <w:t>ming.</w:t>
      </w:r>
    </w:p>
    <w:p w14:paraId="18E6E67C" w14:textId="77777777" w:rsidR="004748CE" w:rsidRDefault="004748CE" w:rsidP="0048417C">
      <w:pPr>
        <w:jc w:val="both"/>
        <w:rPr>
          <w:rFonts w:ascii="Georgia" w:hAnsi="Georgia"/>
        </w:rPr>
      </w:pPr>
    </w:p>
    <w:p w14:paraId="3A1E3AA7" w14:textId="1CE2D7DA" w:rsidR="004748CE" w:rsidRDefault="00ED0774" w:rsidP="0048417C">
      <w:pPr>
        <w:jc w:val="both"/>
        <w:rPr>
          <w:rFonts w:ascii="Georgia" w:hAnsi="Georgia"/>
        </w:rPr>
      </w:pPr>
      <w:r>
        <w:rPr>
          <w:rFonts w:ascii="Georgia" w:hAnsi="Georgia"/>
        </w:rPr>
        <w:t xml:space="preserve">56. </w:t>
      </w:r>
      <w:r w:rsidR="00527758">
        <w:rPr>
          <w:rFonts w:ascii="Georgia" w:hAnsi="Georgia"/>
        </w:rPr>
        <w:t>Since the</w:t>
      </w:r>
      <w:r w:rsidR="004748CE">
        <w:rPr>
          <w:rFonts w:ascii="Georgia" w:hAnsi="Georgia"/>
        </w:rPr>
        <w:t xml:space="preserve"> Applicant did not raise any issues</w:t>
      </w:r>
      <w:r w:rsidR="00CD661B">
        <w:rPr>
          <w:rFonts w:ascii="Georgia" w:hAnsi="Georgia"/>
        </w:rPr>
        <w:t xml:space="preserve"> about contractual failure at the hearing</w:t>
      </w:r>
      <w:r w:rsidR="00527758">
        <w:rPr>
          <w:rFonts w:ascii="Georgia" w:hAnsi="Georgia"/>
        </w:rPr>
        <w:t>,</w:t>
      </w:r>
      <w:r w:rsidR="00CD661B">
        <w:rPr>
          <w:rFonts w:ascii="Georgia" w:hAnsi="Georgia"/>
        </w:rPr>
        <w:t xml:space="preserve"> </w:t>
      </w:r>
      <w:r w:rsidR="00CC5279">
        <w:rPr>
          <w:rFonts w:ascii="Georgia" w:hAnsi="Georgia"/>
        </w:rPr>
        <w:t>n</w:t>
      </w:r>
      <w:r w:rsidR="00CD661B">
        <w:rPr>
          <w:rFonts w:ascii="Georgia" w:hAnsi="Georgia"/>
        </w:rPr>
        <w:t>or</w:t>
      </w:r>
      <w:r w:rsidR="00CC5279">
        <w:rPr>
          <w:rFonts w:ascii="Georgia" w:hAnsi="Georgia"/>
        </w:rPr>
        <w:t xml:space="preserve"> did she</w:t>
      </w:r>
      <w:r w:rsidR="00CD661B">
        <w:rPr>
          <w:rFonts w:ascii="Georgia" w:hAnsi="Georgia"/>
        </w:rPr>
        <w:t xml:space="preserve"> set out</w:t>
      </w:r>
      <w:r w:rsidR="00CC5279">
        <w:rPr>
          <w:rFonts w:ascii="Georgia" w:hAnsi="Georgia"/>
        </w:rPr>
        <w:t xml:space="preserve"> elucidate </w:t>
      </w:r>
      <w:r w:rsidR="00C01BB8">
        <w:rPr>
          <w:rFonts w:ascii="Georgia" w:hAnsi="Georgia"/>
        </w:rPr>
        <w:t>the four issues claimed in paragraph 25 of her Statement of Case</w:t>
      </w:r>
      <w:r w:rsidR="00527758">
        <w:rPr>
          <w:rFonts w:ascii="Georgia" w:hAnsi="Georgia"/>
        </w:rPr>
        <w:t>,</w:t>
      </w:r>
      <w:r w:rsidR="00C01BB8">
        <w:rPr>
          <w:rFonts w:ascii="Georgia" w:hAnsi="Georgia"/>
        </w:rPr>
        <w:t xml:space="preserve"> </w:t>
      </w:r>
      <w:r w:rsidR="00527758">
        <w:rPr>
          <w:rFonts w:ascii="Georgia" w:hAnsi="Georgia"/>
        </w:rPr>
        <w:t>and i</w:t>
      </w:r>
      <w:r w:rsidR="00B57D32">
        <w:rPr>
          <w:rFonts w:ascii="Georgia" w:hAnsi="Georgia"/>
        </w:rPr>
        <w:t xml:space="preserve">n the absence of specific evidence corroborating </w:t>
      </w:r>
      <w:r w:rsidR="00AB3841">
        <w:rPr>
          <w:rFonts w:ascii="Georgia" w:hAnsi="Georgia"/>
        </w:rPr>
        <w:t xml:space="preserve">her claims, the Tribunal determines that </w:t>
      </w:r>
      <w:r w:rsidR="00B16FC4">
        <w:rPr>
          <w:rFonts w:ascii="Georgia" w:hAnsi="Georgia"/>
        </w:rPr>
        <w:t>the claim that SPG have not provided a reasona</w:t>
      </w:r>
      <w:r w:rsidR="00586A2A">
        <w:rPr>
          <w:rFonts w:ascii="Georgia" w:hAnsi="Georgia"/>
        </w:rPr>
        <w:t>b</w:t>
      </w:r>
      <w:r w:rsidR="00B16FC4">
        <w:rPr>
          <w:rFonts w:ascii="Georgia" w:hAnsi="Georgia"/>
        </w:rPr>
        <w:t>le service to justify their fee is not made out.</w:t>
      </w:r>
    </w:p>
    <w:p w14:paraId="495A71DA" w14:textId="77777777" w:rsidR="00777200" w:rsidRDefault="00777200" w:rsidP="0048417C">
      <w:pPr>
        <w:jc w:val="both"/>
        <w:rPr>
          <w:rFonts w:ascii="Georgia" w:hAnsi="Georgia"/>
        </w:rPr>
      </w:pPr>
    </w:p>
    <w:p w14:paraId="4FC8ABFF" w14:textId="7ABFB16E" w:rsidR="00DA06B8" w:rsidRPr="000A0595" w:rsidRDefault="00586A2A" w:rsidP="0048417C">
      <w:pPr>
        <w:jc w:val="both"/>
        <w:rPr>
          <w:rFonts w:ascii="Georgia" w:hAnsi="Georgia"/>
          <w:b/>
          <w:bCs/>
        </w:rPr>
      </w:pPr>
      <w:r w:rsidRPr="000A0595">
        <w:rPr>
          <w:rFonts w:ascii="Georgia" w:hAnsi="Georgia"/>
          <w:b/>
          <w:bCs/>
        </w:rPr>
        <w:t>Budget 2024-2025</w:t>
      </w:r>
    </w:p>
    <w:p w14:paraId="1961ABF8" w14:textId="589EF00D" w:rsidR="000A0595" w:rsidRDefault="00D52D7B" w:rsidP="0048417C">
      <w:pPr>
        <w:jc w:val="both"/>
        <w:rPr>
          <w:rFonts w:ascii="Georgia" w:hAnsi="Georgia"/>
        </w:rPr>
      </w:pPr>
      <w:r>
        <w:rPr>
          <w:rFonts w:ascii="Georgia" w:hAnsi="Georgia"/>
        </w:rPr>
        <w:t xml:space="preserve">57. </w:t>
      </w:r>
      <w:r w:rsidR="006F4D42">
        <w:rPr>
          <w:rFonts w:ascii="Georgia" w:hAnsi="Georgia"/>
        </w:rPr>
        <w:t>I</w:t>
      </w:r>
      <w:r w:rsidR="00CE0324">
        <w:rPr>
          <w:rFonts w:ascii="Georgia" w:hAnsi="Georgia"/>
        </w:rPr>
        <w:t>n</w:t>
      </w:r>
      <w:r w:rsidR="006F4D42">
        <w:rPr>
          <w:rFonts w:ascii="Georgia" w:hAnsi="Georgia"/>
        </w:rPr>
        <w:t xml:space="preserve"> her position statement, </w:t>
      </w:r>
      <w:r w:rsidR="00CF69A0">
        <w:rPr>
          <w:rFonts w:ascii="Georgia" w:hAnsi="Georgia"/>
        </w:rPr>
        <w:t>the</w:t>
      </w:r>
      <w:r w:rsidR="006F4D42">
        <w:rPr>
          <w:rFonts w:ascii="Georgia" w:hAnsi="Georgia"/>
        </w:rPr>
        <w:t xml:space="preserve"> Applicant </w:t>
      </w:r>
      <w:r w:rsidR="00490479">
        <w:rPr>
          <w:rFonts w:ascii="Georgia" w:hAnsi="Georgia"/>
        </w:rPr>
        <w:t>contended that the service charge demand for 2024-25</w:t>
      </w:r>
      <w:r w:rsidR="00C63963">
        <w:rPr>
          <w:rFonts w:ascii="Georgia" w:hAnsi="Georgia"/>
        </w:rPr>
        <w:t xml:space="preserve"> was knowingly overstated with a view </w:t>
      </w:r>
      <w:r w:rsidR="00CE0324">
        <w:rPr>
          <w:rFonts w:ascii="Georgia" w:hAnsi="Georgia"/>
        </w:rPr>
        <w:t>t</w:t>
      </w:r>
      <w:r w:rsidR="00C63963">
        <w:rPr>
          <w:rFonts w:ascii="Georgia" w:hAnsi="Georgia"/>
        </w:rPr>
        <w:t xml:space="preserve">o increasing the surplus. </w:t>
      </w:r>
      <w:r w:rsidR="00C91A81">
        <w:rPr>
          <w:rFonts w:ascii="Georgia" w:hAnsi="Georgia"/>
        </w:rPr>
        <w:t xml:space="preserve">In her Statement of Case, this was repeated, with reference to s 19(2) </w:t>
      </w:r>
      <w:r w:rsidR="007F6FA7">
        <w:rPr>
          <w:rFonts w:ascii="Georgia" w:hAnsi="Georgia"/>
        </w:rPr>
        <w:t xml:space="preserve">of the 1985 Act and a mention that the Lease </w:t>
      </w:r>
      <w:r w:rsidR="008823D4">
        <w:rPr>
          <w:rFonts w:ascii="Georgia" w:hAnsi="Georgia"/>
        </w:rPr>
        <w:t xml:space="preserve">in Schedule 6, clause 4, </w:t>
      </w:r>
      <w:r w:rsidR="007F6FA7">
        <w:rPr>
          <w:rFonts w:ascii="Georgia" w:hAnsi="Georgia"/>
        </w:rPr>
        <w:t xml:space="preserve">requires </w:t>
      </w:r>
      <w:r w:rsidR="00D36E61">
        <w:rPr>
          <w:rFonts w:ascii="Georgia" w:hAnsi="Georgia"/>
        </w:rPr>
        <w:t xml:space="preserve">the </w:t>
      </w:r>
      <w:r w:rsidR="0035167E">
        <w:rPr>
          <w:rFonts w:ascii="Georgia" w:hAnsi="Georgia"/>
        </w:rPr>
        <w:t xml:space="preserve">‘Interim Payment’ of the </w:t>
      </w:r>
      <w:r w:rsidR="00D36E61">
        <w:rPr>
          <w:rFonts w:ascii="Georgia" w:hAnsi="Georgia"/>
        </w:rPr>
        <w:t>service charge to be one fifth of the estimated expenses</w:t>
      </w:r>
      <w:r w:rsidR="008823D4">
        <w:rPr>
          <w:rFonts w:ascii="Georgia" w:hAnsi="Georgia"/>
        </w:rPr>
        <w:t>.</w:t>
      </w:r>
      <w:r w:rsidR="006528DC">
        <w:rPr>
          <w:rFonts w:ascii="Georgia" w:hAnsi="Georgia"/>
        </w:rPr>
        <w:t xml:space="preserve"> While there was little detail in </w:t>
      </w:r>
      <w:r w:rsidR="003A1874">
        <w:rPr>
          <w:rFonts w:ascii="Georgia" w:hAnsi="Georgia"/>
        </w:rPr>
        <w:lastRenderedPageBreak/>
        <w:t>the</w:t>
      </w:r>
      <w:r w:rsidR="006528DC">
        <w:rPr>
          <w:rFonts w:ascii="Georgia" w:hAnsi="Georgia"/>
        </w:rPr>
        <w:t xml:space="preserve"> paperwork about what</w:t>
      </w:r>
      <w:r w:rsidR="00BA3BA6">
        <w:rPr>
          <w:rFonts w:ascii="Georgia" w:hAnsi="Georgia"/>
        </w:rPr>
        <w:t xml:space="preserve"> aspects of the budget were challenged, this was debated at the hearing.</w:t>
      </w:r>
    </w:p>
    <w:p w14:paraId="68D37664" w14:textId="77777777" w:rsidR="00BA3BA6" w:rsidRDefault="00BA3BA6" w:rsidP="0048417C">
      <w:pPr>
        <w:jc w:val="both"/>
        <w:rPr>
          <w:rFonts w:ascii="Georgia" w:hAnsi="Georgia"/>
        </w:rPr>
      </w:pPr>
    </w:p>
    <w:p w14:paraId="103897D5" w14:textId="669246D1" w:rsidR="00BA3BA6" w:rsidRDefault="00D52D7B" w:rsidP="0048417C">
      <w:pPr>
        <w:jc w:val="both"/>
        <w:rPr>
          <w:rFonts w:ascii="Georgia" w:hAnsi="Georgia"/>
        </w:rPr>
      </w:pPr>
      <w:r>
        <w:rPr>
          <w:rFonts w:ascii="Georgia" w:hAnsi="Georgia"/>
        </w:rPr>
        <w:t xml:space="preserve">58. </w:t>
      </w:r>
      <w:r w:rsidR="00BA3BA6">
        <w:rPr>
          <w:rFonts w:ascii="Georgia" w:hAnsi="Georgia"/>
        </w:rPr>
        <w:t xml:space="preserve">Before </w:t>
      </w:r>
      <w:r w:rsidR="006D7A27">
        <w:rPr>
          <w:rFonts w:ascii="Georgia" w:hAnsi="Georgia"/>
        </w:rPr>
        <w:t>noting the submissions on the figures within the budget, the Tribunal notes some of the background to financial issues.</w:t>
      </w:r>
      <w:r w:rsidR="00025BB3">
        <w:rPr>
          <w:rFonts w:ascii="Georgia" w:hAnsi="Georgia"/>
        </w:rPr>
        <w:t xml:space="preserve"> Firstly, it is clear that the three property owners other that the Applicant would like a reserve fund to be establishe</w:t>
      </w:r>
      <w:r w:rsidR="009D1EEE">
        <w:rPr>
          <w:rFonts w:ascii="Georgia" w:hAnsi="Georgia"/>
        </w:rPr>
        <w:t>d</w:t>
      </w:r>
      <w:r w:rsidR="005933AB">
        <w:rPr>
          <w:rFonts w:ascii="Georgia" w:hAnsi="Georgia"/>
        </w:rPr>
        <w:t xml:space="preserve"> but they have conceded that this cannot be done</w:t>
      </w:r>
      <w:r w:rsidR="00750419">
        <w:rPr>
          <w:rFonts w:ascii="Georgia" w:hAnsi="Georgia"/>
        </w:rPr>
        <w:t xml:space="preserve"> under the terms of their leases</w:t>
      </w:r>
      <w:r w:rsidR="009D1EEE">
        <w:rPr>
          <w:rFonts w:ascii="Georgia" w:hAnsi="Georgia"/>
        </w:rPr>
        <w:t xml:space="preserve">. </w:t>
      </w:r>
      <w:r w:rsidR="00D73CA6">
        <w:rPr>
          <w:rFonts w:ascii="Georgia" w:hAnsi="Georgia"/>
        </w:rPr>
        <w:t>Th</w:t>
      </w:r>
      <w:r w:rsidR="005933AB">
        <w:rPr>
          <w:rFonts w:ascii="Georgia" w:hAnsi="Georgia"/>
        </w:rPr>
        <w:t>ough a reserve fund</w:t>
      </w:r>
      <w:r w:rsidR="009D1EEE">
        <w:rPr>
          <w:rFonts w:ascii="Georgia" w:hAnsi="Georgia"/>
        </w:rPr>
        <w:t xml:space="preserve"> would be very sensible in a Building that is of some age and listed as a heritage  property</w:t>
      </w:r>
      <w:r w:rsidR="00422F0E">
        <w:rPr>
          <w:rFonts w:ascii="Georgia" w:hAnsi="Georgia"/>
        </w:rPr>
        <w:t xml:space="preserve">, </w:t>
      </w:r>
      <w:r w:rsidR="0030016F">
        <w:rPr>
          <w:rFonts w:ascii="Georgia" w:hAnsi="Georgia"/>
        </w:rPr>
        <w:t xml:space="preserve">there is no provision in the Lease to permit a reserve fund </w:t>
      </w:r>
      <w:r w:rsidR="005A6AF2">
        <w:rPr>
          <w:rFonts w:ascii="Georgia" w:hAnsi="Georgia"/>
        </w:rPr>
        <w:t xml:space="preserve">so </w:t>
      </w:r>
      <w:r w:rsidR="00D73CA6">
        <w:rPr>
          <w:rFonts w:ascii="Georgia" w:hAnsi="Georgia"/>
        </w:rPr>
        <w:t>the Applicant</w:t>
      </w:r>
      <w:r w:rsidR="005A6AF2">
        <w:rPr>
          <w:rFonts w:ascii="Georgia" w:hAnsi="Georgia"/>
        </w:rPr>
        <w:t xml:space="preserve"> is entitled to refuse. </w:t>
      </w:r>
      <w:r w:rsidR="005C50F0">
        <w:rPr>
          <w:rFonts w:ascii="Georgia" w:hAnsi="Georgia"/>
        </w:rPr>
        <w:t xml:space="preserve">The Applicant rightly objected to any sort of reserve being created within the general service charge. </w:t>
      </w:r>
      <w:r w:rsidR="00D73CA6">
        <w:rPr>
          <w:rFonts w:ascii="Georgia" w:hAnsi="Georgia"/>
        </w:rPr>
        <w:t xml:space="preserve">A reserve fund for the general service charge can only be established by agreement </w:t>
      </w:r>
      <w:r w:rsidR="007875E9">
        <w:rPr>
          <w:rFonts w:ascii="Georgia" w:hAnsi="Georgia"/>
        </w:rPr>
        <w:t xml:space="preserve">of all four leaseholders (which </w:t>
      </w:r>
      <w:r w:rsidR="00750419">
        <w:rPr>
          <w:rFonts w:ascii="Georgia" w:hAnsi="Georgia"/>
        </w:rPr>
        <w:t xml:space="preserve">may </w:t>
      </w:r>
      <w:r w:rsidR="007875E9">
        <w:rPr>
          <w:rFonts w:ascii="Georgia" w:hAnsi="Georgia"/>
        </w:rPr>
        <w:t xml:space="preserve">not bind successors in title) </w:t>
      </w:r>
      <w:r w:rsidR="006C085A">
        <w:rPr>
          <w:rFonts w:ascii="Georgia" w:hAnsi="Georgia"/>
        </w:rPr>
        <w:t xml:space="preserve">or (possibly) by an order of a Tribunal on application to </w:t>
      </w:r>
      <w:r w:rsidR="00E760DD">
        <w:rPr>
          <w:rFonts w:ascii="Georgia" w:hAnsi="Georgia"/>
        </w:rPr>
        <w:t>change the terms of all leases within the Building</w:t>
      </w:r>
      <w:r w:rsidR="006820C2">
        <w:rPr>
          <w:rFonts w:ascii="Georgia" w:hAnsi="Georgia"/>
        </w:rPr>
        <w:t>.</w:t>
      </w:r>
    </w:p>
    <w:p w14:paraId="54C6078C" w14:textId="77777777" w:rsidR="006820C2" w:rsidRDefault="006820C2" w:rsidP="0048417C">
      <w:pPr>
        <w:jc w:val="both"/>
        <w:rPr>
          <w:rFonts w:ascii="Georgia" w:hAnsi="Georgia"/>
        </w:rPr>
      </w:pPr>
    </w:p>
    <w:p w14:paraId="76203840" w14:textId="7B719394" w:rsidR="006820C2" w:rsidRDefault="00D52D7B" w:rsidP="0048417C">
      <w:pPr>
        <w:jc w:val="both"/>
        <w:rPr>
          <w:rFonts w:ascii="Georgia" w:hAnsi="Georgia"/>
        </w:rPr>
      </w:pPr>
      <w:r>
        <w:rPr>
          <w:rFonts w:ascii="Georgia" w:hAnsi="Georgia"/>
        </w:rPr>
        <w:t xml:space="preserve">59. </w:t>
      </w:r>
      <w:r w:rsidR="006820C2">
        <w:rPr>
          <w:rFonts w:ascii="Georgia" w:hAnsi="Georgia"/>
        </w:rPr>
        <w:t xml:space="preserve">The Lease also provides </w:t>
      </w:r>
      <w:r w:rsidR="00CE0331">
        <w:rPr>
          <w:rFonts w:ascii="Georgia" w:hAnsi="Georgia"/>
        </w:rPr>
        <w:t xml:space="preserve">that </w:t>
      </w:r>
      <w:r w:rsidR="005043A0">
        <w:rPr>
          <w:rFonts w:ascii="Georgia" w:hAnsi="Georgia"/>
        </w:rPr>
        <w:t xml:space="preserve">there should be an account of expenses prepared at the end of each accounting year </w:t>
      </w:r>
      <w:r w:rsidR="003A1874">
        <w:rPr>
          <w:rFonts w:ascii="Georgia" w:hAnsi="Georgia"/>
        </w:rPr>
        <w:t xml:space="preserve">(Schedule 6, clause </w:t>
      </w:r>
      <w:r w:rsidR="00CC15D1">
        <w:rPr>
          <w:rFonts w:ascii="Georgia" w:hAnsi="Georgia"/>
        </w:rPr>
        <w:t xml:space="preserve">(5)). </w:t>
      </w:r>
      <w:r w:rsidR="00507D3F">
        <w:rPr>
          <w:rFonts w:ascii="Georgia" w:hAnsi="Georgia"/>
        </w:rPr>
        <w:t xml:space="preserve">If the total amount of the interim charge is found to be less that the Interim </w:t>
      </w:r>
      <w:r w:rsidR="005F1A2C">
        <w:rPr>
          <w:rFonts w:ascii="Georgia" w:hAnsi="Georgia"/>
        </w:rPr>
        <w:t>Payment</w:t>
      </w:r>
      <w:r w:rsidR="00507D3F">
        <w:rPr>
          <w:rFonts w:ascii="Georgia" w:hAnsi="Georgia"/>
        </w:rPr>
        <w:t xml:space="preserve">, then, at the option of the Lessor, the </w:t>
      </w:r>
      <w:r w:rsidR="006C6CFF">
        <w:rPr>
          <w:rFonts w:ascii="Georgia" w:hAnsi="Georgia"/>
        </w:rPr>
        <w:t xml:space="preserve">excess can either be refunded to the Lessee or credited against </w:t>
      </w:r>
      <w:r w:rsidR="00CF69A0">
        <w:rPr>
          <w:rFonts w:ascii="Georgia" w:hAnsi="Georgia"/>
        </w:rPr>
        <w:t>the Interim service charge for the following year.</w:t>
      </w:r>
      <w:r w:rsidR="003049F8">
        <w:rPr>
          <w:rFonts w:ascii="Georgia" w:hAnsi="Georgia"/>
        </w:rPr>
        <w:t xml:space="preserve"> Initially, the Applicant was seeking </w:t>
      </w:r>
      <w:r w:rsidR="000131A0">
        <w:rPr>
          <w:rFonts w:ascii="Georgia" w:hAnsi="Georgia"/>
        </w:rPr>
        <w:t xml:space="preserve">some refund of surplus but this claim was dropped prior to the hearing. </w:t>
      </w:r>
      <w:r w:rsidR="0090423C">
        <w:rPr>
          <w:rFonts w:ascii="Georgia" w:hAnsi="Georgia"/>
        </w:rPr>
        <w:t>It is clearly the choice of the respondent to decide</w:t>
      </w:r>
      <w:r w:rsidR="00272AC8">
        <w:rPr>
          <w:rFonts w:ascii="Georgia" w:hAnsi="Georgia"/>
        </w:rPr>
        <w:t xml:space="preserve"> whether to refund or credit. </w:t>
      </w:r>
    </w:p>
    <w:p w14:paraId="0CCBD634" w14:textId="77777777" w:rsidR="007D4667" w:rsidRDefault="007D4667" w:rsidP="0048417C">
      <w:pPr>
        <w:jc w:val="both"/>
        <w:rPr>
          <w:rFonts w:ascii="Georgia" w:hAnsi="Georgia"/>
        </w:rPr>
      </w:pPr>
    </w:p>
    <w:p w14:paraId="2F103668" w14:textId="6E7B23A9" w:rsidR="007D4667" w:rsidRDefault="00D52D7B" w:rsidP="0048417C">
      <w:pPr>
        <w:jc w:val="both"/>
        <w:rPr>
          <w:rFonts w:ascii="Georgia" w:hAnsi="Georgia"/>
        </w:rPr>
      </w:pPr>
      <w:r>
        <w:rPr>
          <w:rFonts w:ascii="Georgia" w:hAnsi="Georgia"/>
        </w:rPr>
        <w:t xml:space="preserve">60. </w:t>
      </w:r>
      <w:r w:rsidR="007D4667">
        <w:rPr>
          <w:rFonts w:ascii="Georgia" w:hAnsi="Georgia"/>
        </w:rPr>
        <w:t>The Tribunal did not have any submissions from either party on the impact of the Interim Service charge being, in the Applicant’s case, one fifth</w:t>
      </w:r>
      <w:r w:rsidR="00103258">
        <w:rPr>
          <w:rFonts w:ascii="Georgia" w:hAnsi="Georgia"/>
        </w:rPr>
        <w:t xml:space="preserve"> </w:t>
      </w:r>
      <w:r w:rsidR="004A3A62">
        <w:rPr>
          <w:rFonts w:ascii="Georgia" w:hAnsi="Georgia"/>
        </w:rPr>
        <w:t xml:space="preserve">of the estimated expenses rather than one third. If the same percentage reduction is found in the other leases in the Building this would mean that </w:t>
      </w:r>
      <w:r w:rsidR="00A307C1">
        <w:rPr>
          <w:rFonts w:ascii="Georgia" w:hAnsi="Georgia"/>
        </w:rPr>
        <w:t xml:space="preserve">only three-fifths of what is needed for the year is payable – a potentially disastrous position for a </w:t>
      </w:r>
      <w:r w:rsidR="00272AC8">
        <w:rPr>
          <w:rFonts w:ascii="Georgia" w:hAnsi="Georgia"/>
        </w:rPr>
        <w:t xml:space="preserve">resident’s </w:t>
      </w:r>
      <w:r w:rsidR="00A307C1">
        <w:rPr>
          <w:rFonts w:ascii="Georgia" w:hAnsi="Georgia"/>
        </w:rPr>
        <w:t xml:space="preserve">management company that has no other resources. </w:t>
      </w:r>
    </w:p>
    <w:p w14:paraId="496CAA4E" w14:textId="77777777" w:rsidR="00103258" w:rsidRDefault="00103258" w:rsidP="0048417C">
      <w:pPr>
        <w:jc w:val="both"/>
        <w:rPr>
          <w:rFonts w:ascii="Georgia" w:hAnsi="Georgia"/>
        </w:rPr>
      </w:pPr>
    </w:p>
    <w:p w14:paraId="4BD1BD17" w14:textId="2D5E4A43" w:rsidR="00103258" w:rsidRDefault="00D52D7B" w:rsidP="0048417C">
      <w:pPr>
        <w:jc w:val="both"/>
        <w:rPr>
          <w:rFonts w:ascii="Georgia" w:hAnsi="Georgia"/>
        </w:rPr>
      </w:pPr>
      <w:r>
        <w:rPr>
          <w:rFonts w:ascii="Georgia" w:hAnsi="Georgia"/>
        </w:rPr>
        <w:t xml:space="preserve">61. </w:t>
      </w:r>
      <w:r w:rsidR="00103258">
        <w:rPr>
          <w:rFonts w:ascii="Georgia" w:hAnsi="Georgia"/>
        </w:rPr>
        <w:t>The last preli</w:t>
      </w:r>
      <w:r w:rsidR="006E132E">
        <w:rPr>
          <w:rFonts w:ascii="Georgia" w:hAnsi="Georgia"/>
        </w:rPr>
        <w:t>min</w:t>
      </w:r>
      <w:r w:rsidR="00103258">
        <w:rPr>
          <w:rFonts w:ascii="Georgia" w:hAnsi="Georgia"/>
        </w:rPr>
        <w:t xml:space="preserve">ary point relates to </w:t>
      </w:r>
      <w:r w:rsidR="006E132E">
        <w:rPr>
          <w:rFonts w:ascii="Georgia" w:hAnsi="Georgia"/>
        </w:rPr>
        <w:t>provision within a budget of a reasonable contingency</w:t>
      </w:r>
      <w:r w:rsidR="005F0EA2">
        <w:rPr>
          <w:rFonts w:ascii="Georgia" w:hAnsi="Georgia"/>
        </w:rPr>
        <w:t>. A budget can proper</w:t>
      </w:r>
      <w:r>
        <w:rPr>
          <w:rFonts w:ascii="Georgia" w:hAnsi="Georgia"/>
        </w:rPr>
        <w:t>l</w:t>
      </w:r>
      <w:r w:rsidR="005F0EA2">
        <w:rPr>
          <w:rFonts w:ascii="Georgia" w:hAnsi="Georgia"/>
        </w:rPr>
        <w:t xml:space="preserve">y plan for expected work during the year whenever it is clear such work needs to be done. </w:t>
      </w:r>
      <w:r w:rsidR="00A138C4">
        <w:rPr>
          <w:rFonts w:ascii="Georgia" w:hAnsi="Georgia"/>
        </w:rPr>
        <w:t xml:space="preserve">But a prudent lessor can </w:t>
      </w:r>
      <w:r>
        <w:rPr>
          <w:rFonts w:ascii="Georgia" w:hAnsi="Georgia"/>
        </w:rPr>
        <w:t xml:space="preserve">also </w:t>
      </w:r>
      <w:r w:rsidR="00A138C4">
        <w:rPr>
          <w:rFonts w:ascii="Georgia" w:hAnsi="Georgia"/>
        </w:rPr>
        <w:t xml:space="preserve">reasonably </w:t>
      </w:r>
      <w:r w:rsidR="00C66B7E">
        <w:rPr>
          <w:rFonts w:ascii="Georgia" w:hAnsi="Georgia"/>
        </w:rPr>
        <w:t xml:space="preserve">provide for a contingency to cover unexpected </w:t>
      </w:r>
      <w:r w:rsidR="00201B19">
        <w:rPr>
          <w:rFonts w:ascii="Georgia" w:hAnsi="Georgia"/>
        </w:rPr>
        <w:t>expenses such as floods, water penetration</w:t>
      </w:r>
      <w:r w:rsidR="00A4230C">
        <w:rPr>
          <w:rFonts w:ascii="Georgia" w:hAnsi="Georgia"/>
        </w:rPr>
        <w:t xml:space="preserve">, </w:t>
      </w:r>
      <w:r w:rsidR="00201B19">
        <w:rPr>
          <w:rFonts w:ascii="Georgia" w:hAnsi="Georgia"/>
        </w:rPr>
        <w:t>roof leaks</w:t>
      </w:r>
      <w:r w:rsidR="00A4230C">
        <w:rPr>
          <w:rFonts w:ascii="Georgia" w:hAnsi="Georgia"/>
        </w:rPr>
        <w:t xml:space="preserve"> or any other matter which, if it occurs, will require immediate expenditure. </w:t>
      </w:r>
      <w:r w:rsidR="00DE66C2">
        <w:rPr>
          <w:rFonts w:ascii="Georgia" w:hAnsi="Georgia"/>
        </w:rPr>
        <w:t>Moreover, i</w:t>
      </w:r>
      <w:r w:rsidR="004F6DBB">
        <w:rPr>
          <w:rFonts w:ascii="Georgia" w:hAnsi="Georgia"/>
        </w:rPr>
        <w:t xml:space="preserve">f at any point, any leaseholder insists that the interim payment should only be one-fifth, or one-tenth, </w:t>
      </w:r>
      <w:r w:rsidR="006608A9">
        <w:rPr>
          <w:rFonts w:ascii="Georgia" w:hAnsi="Georgia"/>
        </w:rPr>
        <w:t>as the Lease</w:t>
      </w:r>
      <w:r w:rsidR="00C527FF">
        <w:rPr>
          <w:rFonts w:ascii="Georgia" w:hAnsi="Georgia"/>
        </w:rPr>
        <w:t>,</w:t>
      </w:r>
      <w:r w:rsidR="006608A9">
        <w:rPr>
          <w:rFonts w:ascii="Georgia" w:hAnsi="Georgia"/>
        </w:rPr>
        <w:t xml:space="preserve"> rather unusually and unhelpfully requires, than it would seem to the Tribunal that a contingency provision could be increased to permit payments that will need to be made before </w:t>
      </w:r>
      <w:r w:rsidR="00402516">
        <w:rPr>
          <w:rFonts w:ascii="Georgia" w:hAnsi="Georgia"/>
        </w:rPr>
        <w:t>the end of year account can be prepared.</w:t>
      </w:r>
      <w:r w:rsidR="00470953">
        <w:rPr>
          <w:rFonts w:ascii="Georgia" w:hAnsi="Georgia"/>
        </w:rPr>
        <w:t xml:space="preserve"> For a property such as the Building, a contingency of around £4,000 might be a suitable sum. If unused, </w:t>
      </w:r>
      <w:r w:rsidR="000D6761">
        <w:rPr>
          <w:rFonts w:ascii="Georgia" w:hAnsi="Georgia"/>
        </w:rPr>
        <w:t>it can be rolled forward for the following years contingency without further contribution being needed.</w:t>
      </w:r>
    </w:p>
    <w:p w14:paraId="44298B25" w14:textId="77777777" w:rsidR="00402516" w:rsidRDefault="00402516" w:rsidP="0048417C">
      <w:pPr>
        <w:jc w:val="both"/>
        <w:rPr>
          <w:rFonts w:ascii="Georgia" w:hAnsi="Georgia"/>
        </w:rPr>
      </w:pPr>
    </w:p>
    <w:p w14:paraId="137133C4" w14:textId="4B6231D8" w:rsidR="00402516" w:rsidRDefault="00227BDB" w:rsidP="0048417C">
      <w:pPr>
        <w:jc w:val="both"/>
        <w:rPr>
          <w:rFonts w:ascii="Georgia" w:hAnsi="Georgia"/>
        </w:rPr>
      </w:pPr>
      <w:r>
        <w:rPr>
          <w:rFonts w:ascii="Georgia" w:hAnsi="Georgia"/>
        </w:rPr>
        <w:t xml:space="preserve">62. </w:t>
      </w:r>
      <w:r w:rsidR="00FE0019">
        <w:rPr>
          <w:rFonts w:ascii="Georgia" w:hAnsi="Georgia"/>
        </w:rPr>
        <w:t xml:space="preserve">On the detail of the 2024-25 budget, the parties did agree sensibly that the </w:t>
      </w:r>
      <w:r w:rsidR="00FD01EE">
        <w:rPr>
          <w:rFonts w:ascii="Georgia" w:hAnsi="Georgia"/>
        </w:rPr>
        <w:t>contributions to insur</w:t>
      </w:r>
      <w:r w:rsidR="00342BF5">
        <w:rPr>
          <w:rFonts w:ascii="Georgia" w:hAnsi="Georgia"/>
        </w:rPr>
        <w:t>ance of</w:t>
      </w:r>
      <w:r w:rsidR="00FD01EE">
        <w:rPr>
          <w:rFonts w:ascii="Georgia" w:hAnsi="Georgia"/>
        </w:rPr>
        <w:t xml:space="preserve"> th</w:t>
      </w:r>
      <w:r w:rsidR="00342BF5">
        <w:rPr>
          <w:rFonts w:ascii="Georgia" w:hAnsi="Georgia"/>
        </w:rPr>
        <w:t>e</w:t>
      </w:r>
      <w:r w:rsidR="00FD01EE">
        <w:rPr>
          <w:rFonts w:ascii="Georgia" w:hAnsi="Georgia"/>
        </w:rPr>
        <w:t xml:space="preserve"> Building should </w:t>
      </w:r>
      <w:r w:rsidR="004A16C3">
        <w:rPr>
          <w:rFonts w:ascii="Georgia" w:hAnsi="Georgia"/>
        </w:rPr>
        <w:t xml:space="preserve">in future </w:t>
      </w:r>
      <w:r w:rsidR="00FD01EE">
        <w:rPr>
          <w:rFonts w:ascii="Georgia" w:hAnsi="Georgia"/>
        </w:rPr>
        <w:t xml:space="preserve">be collected </w:t>
      </w:r>
      <w:r w:rsidR="004A16C3">
        <w:rPr>
          <w:rFonts w:ascii="Georgia" w:hAnsi="Georgia"/>
        </w:rPr>
        <w:t xml:space="preserve">separately </w:t>
      </w:r>
      <w:r w:rsidR="00FD01EE">
        <w:rPr>
          <w:rFonts w:ascii="Georgia" w:hAnsi="Georgia"/>
        </w:rPr>
        <w:t xml:space="preserve">as rent, as the Lease requires. </w:t>
      </w:r>
    </w:p>
    <w:p w14:paraId="1AA06F0F" w14:textId="77777777" w:rsidR="00342BF5" w:rsidRDefault="00342BF5" w:rsidP="0048417C">
      <w:pPr>
        <w:jc w:val="both"/>
        <w:rPr>
          <w:rFonts w:ascii="Georgia" w:hAnsi="Georgia"/>
        </w:rPr>
      </w:pPr>
    </w:p>
    <w:p w14:paraId="51D64DE2" w14:textId="11E0CFE6" w:rsidR="00342BF5" w:rsidRDefault="00227BDB" w:rsidP="0048417C">
      <w:pPr>
        <w:jc w:val="both"/>
        <w:rPr>
          <w:rFonts w:ascii="Georgia" w:hAnsi="Georgia"/>
        </w:rPr>
      </w:pPr>
      <w:r>
        <w:rPr>
          <w:rFonts w:ascii="Georgia" w:hAnsi="Georgia"/>
        </w:rPr>
        <w:t xml:space="preserve">63. </w:t>
      </w:r>
      <w:r w:rsidR="003F07CE">
        <w:rPr>
          <w:rFonts w:ascii="Georgia" w:hAnsi="Georgia"/>
        </w:rPr>
        <w:t xml:space="preserve">The Applicant challenged the budget amount of £3,300 </w:t>
      </w:r>
      <w:r w:rsidR="00D318E5">
        <w:rPr>
          <w:rFonts w:ascii="Georgia" w:hAnsi="Georgia"/>
        </w:rPr>
        <w:t xml:space="preserve">for </w:t>
      </w:r>
      <w:r w:rsidR="00124196">
        <w:rPr>
          <w:rFonts w:ascii="Georgia" w:hAnsi="Georgia"/>
        </w:rPr>
        <w:t xml:space="preserve">the </w:t>
      </w:r>
      <w:r w:rsidR="00D318E5">
        <w:rPr>
          <w:rFonts w:ascii="Georgia" w:hAnsi="Georgia"/>
        </w:rPr>
        <w:t>management</w:t>
      </w:r>
      <w:r w:rsidR="00A07B33">
        <w:rPr>
          <w:rFonts w:ascii="Georgia" w:hAnsi="Georgia"/>
        </w:rPr>
        <w:t xml:space="preserve"> </w:t>
      </w:r>
      <w:r w:rsidR="00124196">
        <w:rPr>
          <w:rFonts w:ascii="Georgia" w:hAnsi="Georgia"/>
        </w:rPr>
        <w:t xml:space="preserve">fee </w:t>
      </w:r>
      <w:r w:rsidR="00A07B33">
        <w:rPr>
          <w:rFonts w:ascii="Georgia" w:hAnsi="Georgia"/>
        </w:rPr>
        <w:t xml:space="preserve">but did not pursue her claim in the paperwork that it should be nothing (on the basis of unreasonableness) but </w:t>
      </w:r>
      <w:r w:rsidR="00562A6B">
        <w:rPr>
          <w:rFonts w:ascii="Georgia" w:hAnsi="Georgia"/>
        </w:rPr>
        <w:t>at the hearing submitted that</w:t>
      </w:r>
      <w:r w:rsidR="003F07CE">
        <w:rPr>
          <w:rFonts w:ascii="Georgia" w:hAnsi="Georgia"/>
        </w:rPr>
        <w:t xml:space="preserve"> it should be half th</w:t>
      </w:r>
      <w:r w:rsidR="007839BC">
        <w:rPr>
          <w:rFonts w:ascii="Georgia" w:hAnsi="Georgia"/>
        </w:rPr>
        <w:t>e</w:t>
      </w:r>
      <w:r w:rsidR="003F07CE">
        <w:rPr>
          <w:rFonts w:ascii="Georgia" w:hAnsi="Georgia"/>
        </w:rPr>
        <w:t xml:space="preserve"> figure</w:t>
      </w:r>
      <w:r w:rsidR="00612938">
        <w:rPr>
          <w:rFonts w:ascii="Georgia" w:hAnsi="Georgia"/>
        </w:rPr>
        <w:t xml:space="preserve"> in the budget at £1,500</w:t>
      </w:r>
      <w:r w:rsidR="003F07CE">
        <w:rPr>
          <w:rFonts w:ascii="Georgia" w:hAnsi="Georgia"/>
        </w:rPr>
        <w:t xml:space="preserve">. </w:t>
      </w:r>
      <w:r w:rsidR="00612938">
        <w:rPr>
          <w:rFonts w:ascii="Georgia" w:hAnsi="Georgia"/>
        </w:rPr>
        <w:t>She</w:t>
      </w:r>
      <w:r w:rsidR="00F92C00">
        <w:rPr>
          <w:rFonts w:ascii="Georgia" w:hAnsi="Georgia"/>
        </w:rPr>
        <w:t xml:space="preserve"> suggested that the contingency for repairs should be reduced </w:t>
      </w:r>
      <w:r w:rsidR="00532970">
        <w:rPr>
          <w:rFonts w:ascii="Georgia" w:hAnsi="Georgia"/>
        </w:rPr>
        <w:lastRenderedPageBreak/>
        <w:t xml:space="preserve">from £3,000 </w:t>
      </w:r>
      <w:r w:rsidR="00F92C00">
        <w:rPr>
          <w:rFonts w:ascii="Georgia" w:hAnsi="Georgia"/>
        </w:rPr>
        <w:t>to £700</w:t>
      </w:r>
      <w:r w:rsidR="00532970">
        <w:rPr>
          <w:rFonts w:ascii="Georgia" w:hAnsi="Georgia"/>
        </w:rPr>
        <w:t xml:space="preserve">. </w:t>
      </w:r>
      <w:r w:rsidR="006053D5">
        <w:rPr>
          <w:rFonts w:ascii="Georgia" w:hAnsi="Georgia"/>
        </w:rPr>
        <w:t>She also disputed that any fire</w:t>
      </w:r>
      <w:r w:rsidR="00CA1873">
        <w:rPr>
          <w:rFonts w:ascii="Georgia" w:hAnsi="Georgia"/>
        </w:rPr>
        <w:t xml:space="preserve"> alarm maintenance or testing, or fire risk assessment should be included</w:t>
      </w:r>
      <w:r w:rsidR="00254566">
        <w:rPr>
          <w:rFonts w:ascii="Georgia" w:hAnsi="Georgia"/>
        </w:rPr>
        <w:t xml:space="preserve"> in the general service charge and should be reduced in any event.</w:t>
      </w:r>
    </w:p>
    <w:p w14:paraId="0B968895" w14:textId="77777777" w:rsidR="00613F8F" w:rsidRDefault="00613F8F" w:rsidP="0048417C">
      <w:pPr>
        <w:jc w:val="both"/>
        <w:rPr>
          <w:rFonts w:ascii="Georgia" w:hAnsi="Georgia"/>
        </w:rPr>
      </w:pPr>
    </w:p>
    <w:p w14:paraId="5C698B86" w14:textId="32E24AD2" w:rsidR="00613F8F" w:rsidRDefault="00227BDB" w:rsidP="0048417C">
      <w:pPr>
        <w:jc w:val="both"/>
        <w:rPr>
          <w:rFonts w:ascii="Georgia" w:hAnsi="Georgia"/>
        </w:rPr>
      </w:pPr>
      <w:r>
        <w:rPr>
          <w:rFonts w:ascii="Georgia" w:hAnsi="Georgia"/>
        </w:rPr>
        <w:t xml:space="preserve">64. </w:t>
      </w:r>
      <w:r w:rsidR="00613F8F">
        <w:rPr>
          <w:rFonts w:ascii="Georgia" w:hAnsi="Georgia"/>
        </w:rPr>
        <w:t xml:space="preserve">The </w:t>
      </w:r>
      <w:r w:rsidR="004A5662">
        <w:rPr>
          <w:rFonts w:ascii="Georgia" w:hAnsi="Georgia"/>
        </w:rPr>
        <w:t>Respondent</w:t>
      </w:r>
      <w:r w:rsidR="00613F8F">
        <w:rPr>
          <w:rFonts w:ascii="Georgia" w:hAnsi="Georgia"/>
        </w:rPr>
        <w:t xml:space="preserve"> </w:t>
      </w:r>
      <w:r w:rsidR="004D2C5B">
        <w:rPr>
          <w:rFonts w:ascii="Georgia" w:hAnsi="Georgia"/>
        </w:rPr>
        <w:t>did not accept an</w:t>
      </w:r>
      <w:r w:rsidR="007839BC">
        <w:rPr>
          <w:rFonts w:ascii="Georgia" w:hAnsi="Georgia"/>
        </w:rPr>
        <w:t>y</w:t>
      </w:r>
      <w:r w:rsidR="004D2C5B">
        <w:rPr>
          <w:rFonts w:ascii="Georgia" w:hAnsi="Georgia"/>
        </w:rPr>
        <w:t xml:space="preserve"> reduction in management fees and </w:t>
      </w:r>
      <w:r w:rsidR="00124196">
        <w:rPr>
          <w:rFonts w:ascii="Georgia" w:hAnsi="Georgia"/>
        </w:rPr>
        <w:t>the Tribunal has already determined that the fee agreed with SPG is reasonable</w:t>
      </w:r>
      <w:r>
        <w:rPr>
          <w:rFonts w:ascii="Georgia" w:hAnsi="Georgia"/>
        </w:rPr>
        <w:t xml:space="preserve"> – see paragraph 54 above</w:t>
      </w:r>
      <w:r w:rsidR="00124196">
        <w:rPr>
          <w:rFonts w:ascii="Georgia" w:hAnsi="Georgia"/>
        </w:rPr>
        <w:t xml:space="preserve">. The Respondent </w:t>
      </w:r>
      <w:r w:rsidR="004D2C5B">
        <w:rPr>
          <w:rFonts w:ascii="Georgia" w:hAnsi="Georgia"/>
        </w:rPr>
        <w:t xml:space="preserve">explained that </w:t>
      </w:r>
      <w:r w:rsidR="00243476">
        <w:rPr>
          <w:rFonts w:ascii="Georgia" w:hAnsi="Georgia"/>
        </w:rPr>
        <w:t xml:space="preserve">a major aspect of the contingency for repairs related to the expectation that work </w:t>
      </w:r>
      <w:r w:rsidR="004A5662">
        <w:rPr>
          <w:rFonts w:ascii="Georgia" w:hAnsi="Georgia"/>
        </w:rPr>
        <w:t>would</w:t>
      </w:r>
      <w:r w:rsidR="00243476">
        <w:rPr>
          <w:rFonts w:ascii="Georgia" w:hAnsi="Georgia"/>
        </w:rPr>
        <w:t xml:space="preserve"> be needed to the Applicant’s </w:t>
      </w:r>
      <w:r w:rsidR="004A5662">
        <w:rPr>
          <w:rFonts w:ascii="Georgia" w:hAnsi="Georgia"/>
        </w:rPr>
        <w:t>maisonette</w:t>
      </w:r>
      <w:r w:rsidR="00CA2728">
        <w:rPr>
          <w:rFonts w:ascii="Georgia" w:hAnsi="Georgia"/>
        </w:rPr>
        <w:t xml:space="preserve"> after the flood. But the Applicant said </w:t>
      </w:r>
      <w:r w:rsidR="00255319">
        <w:rPr>
          <w:rFonts w:ascii="Georgia" w:hAnsi="Georgia"/>
        </w:rPr>
        <w:t xml:space="preserve">at the hearing </w:t>
      </w:r>
      <w:r w:rsidR="00CA2728">
        <w:rPr>
          <w:rFonts w:ascii="Georgia" w:hAnsi="Georgia"/>
        </w:rPr>
        <w:t>that it was now clear</w:t>
      </w:r>
      <w:r w:rsidR="004A715A">
        <w:rPr>
          <w:rFonts w:ascii="Georgia" w:hAnsi="Georgia"/>
        </w:rPr>
        <w:t xml:space="preserve"> that no repair work was need</w:t>
      </w:r>
      <w:r w:rsidR="006C6252">
        <w:rPr>
          <w:rFonts w:ascii="Georgia" w:hAnsi="Georgia"/>
        </w:rPr>
        <w:t>ed</w:t>
      </w:r>
      <w:r w:rsidR="004A715A">
        <w:rPr>
          <w:rFonts w:ascii="Georgia" w:hAnsi="Georgia"/>
        </w:rPr>
        <w:t xml:space="preserve"> so the parties agreed to reduce the repair contingency to £1</w:t>
      </w:r>
      <w:r w:rsidR="003E03B3">
        <w:rPr>
          <w:rFonts w:ascii="Georgia" w:hAnsi="Georgia"/>
        </w:rPr>
        <w:t>,000</w:t>
      </w:r>
      <w:r w:rsidR="004A5662">
        <w:rPr>
          <w:rFonts w:ascii="Georgia" w:hAnsi="Georgia"/>
        </w:rPr>
        <w:t xml:space="preserve">. </w:t>
      </w:r>
      <w:r w:rsidR="003E03B3">
        <w:rPr>
          <w:rFonts w:ascii="Georgia" w:hAnsi="Georgia"/>
        </w:rPr>
        <w:t>After discussion of the budget figure of £954</w:t>
      </w:r>
      <w:r w:rsidR="00E231CC">
        <w:rPr>
          <w:rFonts w:ascii="Georgia" w:hAnsi="Georgia"/>
        </w:rPr>
        <w:t xml:space="preserve"> for weekly fire alarm testing, it was agreed to reduce this to £660</w:t>
      </w:r>
      <w:r w:rsidR="00F13490">
        <w:rPr>
          <w:rFonts w:ascii="Georgia" w:hAnsi="Georgia"/>
        </w:rPr>
        <w:t xml:space="preserve"> as the monthly charge was now £55. </w:t>
      </w:r>
    </w:p>
    <w:p w14:paraId="4FC67126" w14:textId="77777777" w:rsidR="006D7A27" w:rsidRDefault="006D7A27" w:rsidP="0048417C">
      <w:pPr>
        <w:jc w:val="both"/>
        <w:rPr>
          <w:rFonts w:ascii="Georgia" w:hAnsi="Georgia"/>
        </w:rPr>
      </w:pPr>
    </w:p>
    <w:p w14:paraId="25B70121" w14:textId="4C093C14" w:rsidR="00BA3C54" w:rsidRDefault="00255319" w:rsidP="00BA3C54">
      <w:pPr>
        <w:jc w:val="both"/>
        <w:rPr>
          <w:rFonts w:ascii="Georgia" w:hAnsi="Georgia"/>
        </w:rPr>
      </w:pPr>
      <w:r>
        <w:rPr>
          <w:rFonts w:ascii="Georgia" w:hAnsi="Georgia"/>
        </w:rPr>
        <w:t xml:space="preserve">65. </w:t>
      </w:r>
      <w:r w:rsidR="00BA3C54">
        <w:rPr>
          <w:rFonts w:ascii="Georgia" w:hAnsi="Georgia"/>
        </w:rPr>
        <w:t>The Tribunal determines that the budget of the year 2024-25 should be reduced by a total of £2,294 (by £2000 on repairs contingency and £294 in respect of fire testing) but is otherwise confirmed as reasonable.</w:t>
      </w:r>
    </w:p>
    <w:p w14:paraId="72145EF1" w14:textId="77777777" w:rsidR="0069177B" w:rsidRDefault="0069177B" w:rsidP="00BA3C54">
      <w:pPr>
        <w:jc w:val="both"/>
        <w:rPr>
          <w:rFonts w:ascii="Georgia" w:hAnsi="Georgia"/>
        </w:rPr>
      </w:pPr>
    </w:p>
    <w:p w14:paraId="04260FB1" w14:textId="2C7F1BBA" w:rsidR="0069177B" w:rsidRDefault="00255319" w:rsidP="00BA3C54">
      <w:pPr>
        <w:jc w:val="both"/>
        <w:rPr>
          <w:rFonts w:ascii="Georgia" w:hAnsi="Georgia"/>
        </w:rPr>
      </w:pPr>
      <w:r>
        <w:rPr>
          <w:rFonts w:ascii="Georgia" w:hAnsi="Georgia"/>
        </w:rPr>
        <w:t xml:space="preserve">66. </w:t>
      </w:r>
      <w:r w:rsidR="00EE6672">
        <w:rPr>
          <w:rFonts w:ascii="Georgia" w:hAnsi="Georgia"/>
        </w:rPr>
        <w:t xml:space="preserve">The parties did not seek at the hearing for the Tribunal to </w:t>
      </w:r>
      <w:r w:rsidR="0074161C">
        <w:rPr>
          <w:rFonts w:ascii="Georgia" w:hAnsi="Georgia"/>
        </w:rPr>
        <w:t>provide definitive figures for the level of service charges that are now payable in the light</w:t>
      </w:r>
      <w:r w:rsidR="00D15518">
        <w:rPr>
          <w:rFonts w:ascii="Georgia" w:hAnsi="Georgia"/>
        </w:rPr>
        <w:t xml:space="preserve"> this determination. The Tribunal hopes that the parties, or the Respondent’s accountant, will be able to reach an agreed conclusion in the light of the established principles. </w:t>
      </w:r>
    </w:p>
    <w:p w14:paraId="36623D28" w14:textId="77777777" w:rsidR="002E6D26" w:rsidRDefault="002E6D26" w:rsidP="00BA3C54">
      <w:pPr>
        <w:jc w:val="both"/>
        <w:rPr>
          <w:rFonts w:ascii="Georgia" w:hAnsi="Georgia"/>
        </w:rPr>
      </w:pPr>
    </w:p>
    <w:p w14:paraId="79065880" w14:textId="192AA82F" w:rsidR="002E6D26" w:rsidRPr="009D2007" w:rsidRDefault="002E6D26" w:rsidP="00BA3C54">
      <w:pPr>
        <w:jc w:val="both"/>
        <w:rPr>
          <w:rFonts w:ascii="Georgia" w:hAnsi="Georgia"/>
          <w:b/>
          <w:bCs/>
        </w:rPr>
      </w:pPr>
      <w:r w:rsidRPr="009D2007">
        <w:rPr>
          <w:rFonts w:ascii="Georgia" w:hAnsi="Georgia"/>
          <w:b/>
          <w:bCs/>
        </w:rPr>
        <w:t>The section 2</w:t>
      </w:r>
      <w:r w:rsidR="009D2007" w:rsidRPr="009D2007">
        <w:rPr>
          <w:rFonts w:ascii="Georgia" w:hAnsi="Georgia"/>
          <w:b/>
          <w:bCs/>
        </w:rPr>
        <w:t>0C Application</w:t>
      </w:r>
    </w:p>
    <w:p w14:paraId="7C23F18F" w14:textId="6B93B028" w:rsidR="009D2007" w:rsidRDefault="00255319" w:rsidP="00BA3C54">
      <w:pPr>
        <w:jc w:val="both"/>
        <w:rPr>
          <w:rFonts w:ascii="Georgia" w:hAnsi="Georgia"/>
        </w:rPr>
      </w:pPr>
      <w:r>
        <w:rPr>
          <w:rFonts w:ascii="Georgia" w:hAnsi="Georgia"/>
        </w:rPr>
        <w:t xml:space="preserve">67. </w:t>
      </w:r>
      <w:r w:rsidR="00132359">
        <w:rPr>
          <w:rFonts w:ascii="Georgia" w:hAnsi="Georgia"/>
        </w:rPr>
        <w:t xml:space="preserve">The Applicant made a subsidiary application under section 20C of the 1985 Act </w:t>
      </w:r>
      <w:r w:rsidR="00754530">
        <w:rPr>
          <w:rFonts w:ascii="Georgia" w:hAnsi="Georgia"/>
        </w:rPr>
        <w:t xml:space="preserve"> </w:t>
      </w:r>
      <w:r w:rsidR="00F36585">
        <w:rPr>
          <w:rFonts w:ascii="Georgia" w:hAnsi="Georgia"/>
        </w:rPr>
        <w:t xml:space="preserve">for an order that any costs incurred by the Respondent </w:t>
      </w:r>
      <w:r w:rsidR="00A423F4">
        <w:rPr>
          <w:rFonts w:ascii="Georgia" w:hAnsi="Georgia"/>
        </w:rPr>
        <w:t xml:space="preserve">in the proceedings before this Tribunal are not to be included in </w:t>
      </w:r>
      <w:r w:rsidR="009F0B4C">
        <w:rPr>
          <w:rFonts w:ascii="Georgia" w:hAnsi="Georgia"/>
        </w:rPr>
        <w:t>the amount of any service charge payable by her.</w:t>
      </w:r>
    </w:p>
    <w:p w14:paraId="7CB723A2" w14:textId="77777777" w:rsidR="004C1C71" w:rsidRDefault="004C1C71" w:rsidP="00BA3C54">
      <w:pPr>
        <w:jc w:val="both"/>
        <w:rPr>
          <w:rFonts w:ascii="Georgia" w:hAnsi="Georgia"/>
        </w:rPr>
      </w:pPr>
    </w:p>
    <w:p w14:paraId="3031243C" w14:textId="1E7F9DCF" w:rsidR="009F0B4C" w:rsidRDefault="00255319" w:rsidP="00BA3C54">
      <w:pPr>
        <w:jc w:val="both"/>
        <w:rPr>
          <w:rFonts w:ascii="Georgia" w:hAnsi="Georgia"/>
        </w:rPr>
      </w:pPr>
      <w:r>
        <w:rPr>
          <w:rFonts w:ascii="Georgia" w:hAnsi="Georgia"/>
        </w:rPr>
        <w:t xml:space="preserve">68. </w:t>
      </w:r>
      <w:r w:rsidR="009F0B4C">
        <w:rPr>
          <w:rFonts w:ascii="Georgia" w:hAnsi="Georgia"/>
        </w:rPr>
        <w:t xml:space="preserve">The </w:t>
      </w:r>
      <w:r w:rsidR="00911340">
        <w:rPr>
          <w:rFonts w:ascii="Georgia" w:hAnsi="Georgia"/>
        </w:rPr>
        <w:t>Applicant</w:t>
      </w:r>
      <w:r w:rsidR="009F0B4C">
        <w:rPr>
          <w:rFonts w:ascii="Georgia" w:hAnsi="Georgia"/>
        </w:rPr>
        <w:t xml:space="preserve"> has not succeeded in her case on the main p</w:t>
      </w:r>
      <w:r>
        <w:rPr>
          <w:rFonts w:ascii="Georgia" w:hAnsi="Georgia"/>
        </w:rPr>
        <w:t>o</w:t>
      </w:r>
      <w:r w:rsidR="009F0B4C">
        <w:rPr>
          <w:rFonts w:ascii="Georgia" w:hAnsi="Georgia"/>
        </w:rPr>
        <w:t xml:space="preserve">ints that were </w:t>
      </w:r>
      <w:r w:rsidR="00911340">
        <w:rPr>
          <w:rFonts w:ascii="Georgia" w:hAnsi="Georgia"/>
        </w:rPr>
        <w:t>finally</w:t>
      </w:r>
      <w:r w:rsidR="009F0B4C">
        <w:rPr>
          <w:rFonts w:ascii="Georgia" w:hAnsi="Georgia"/>
        </w:rPr>
        <w:t xml:space="preserve"> at iss</w:t>
      </w:r>
      <w:r w:rsidR="00911340">
        <w:rPr>
          <w:rFonts w:ascii="Georgia" w:hAnsi="Georgia"/>
        </w:rPr>
        <w:t>u</w:t>
      </w:r>
      <w:r w:rsidR="009F0B4C">
        <w:rPr>
          <w:rFonts w:ascii="Georgia" w:hAnsi="Georgia"/>
        </w:rPr>
        <w:t xml:space="preserve">e, namely the </w:t>
      </w:r>
      <w:r w:rsidR="009A3F59">
        <w:rPr>
          <w:rFonts w:ascii="Georgia" w:hAnsi="Georgia"/>
        </w:rPr>
        <w:t xml:space="preserve">correct basis of charge for the </w:t>
      </w:r>
      <w:r w:rsidR="00911340">
        <w:rPr>
          <w:rFonts w:ascii="Georgia" w:hAnsi="Georgia"/>
        </w:rPr>
        <w:t>totality of the fire alarm issues</w:t>
      </w:r>
      <w:r w:rsidR="009A3F59">
        <w:rPr>
          <w:rFonts w:ascii="Georgia" w:hAnsi="Georgia"/>
        </w:rPr>
        <w:t>, her claim that an estoppel applied</w:t>
      </w:r>
      <w:r w:rsidR="00911340">
        <w:rPr>
          <w:rFonts w:ascii="Georgia" w:hAnsi="Georgia"/>
        </w:rPr>
        <w:t xml:space="preserve"> and the reasonableness of the management fees</w:t>
      </w:r>
      <w:r w:rsidR="009A3F59">
        <w:rPr>
          <w:rFonts w:ascii="Georgia" w:hAnsi="Georgia"/>
        </w:rPr>
        <w:t>.</w:t>
      </w:r>
      <w:r w:rsidR="00911340">
        <w:rPr>
          <w:rFonts w:ascii="Georgia" w:hAnsi="Georgia"/>
        </w:rPr>
        <w:t xml:space="preserve"> </w:t>
      </w:r>
      <w:r w:rsidR="00957737">
        <w:rPr>
          <w:rFonts w:ascii="Georgia" w:hAnsi="Georgia"/>
        </w:rPr>
        <w:t>She also di</w:t>
      </w:r>
      <w:r w:rsidR="00AB1A59">
        <w:rPr>
          <w:rFonts w:ascii="Georgia" w:hAnsi="Georgia"/>
        </w:rPr>
        <w:t>d</w:t>
      </w:r>
      <w:r w:rsidR="00957737">
        <w:rPr>
          <w:rFonts w:ascii="Georgia" w:hAnsi="Georgia"/>
        </w:rPr>
        <w:t xml:space="preserve"> not </w:t>
      </w:r>
      <w:r w:rsidR="00CC2372">
        <w:rPr>
          <w:rFonts w:ascii="Georgia" w:hAnsi="Georgia"/>
        </w:rPr>
        <w:t>succeed in her claim that management fees should be apportioned, conceding that issue before the hearing. On the other hand, she was right that the Lease does not provide for a reserve fund and that emergency lighting was to be included in the internal service cha</w:t>
      </w:r>
      <w:r w:rsidR="00BA02F8">
        <w:rPr>
          <w:rFonts w:ascii="Georgia" w:hAnsi="Georgia"/>
        </w:rPr>
        <w:t>rge, both issues conceded by the Respondent.</w:t>
      </w:r>
    </w:p>
    <w:p w14:paraId="7679C274" w14:textId="77777777" w:rsidR="00BA02F8" w:rsidRDefault="00BA02F8" w:rsidP="00BA3C54">
      <w:pPr>
        <w:jc w:val="both"/>
        <w:rPr>
          <w:rFonts w:ascii="Georgia" w:hAnsi="Georgia"/>
        </w:rPr>
      </w:pPr>
    </w:p>
    <w:p w14:paraId="392290CA" w14:textId="41251C96" w:rsidR="00EB0D9A" w:rsidRDefault="00255319" w:rsidP="00EB0D9A">
      <w:pPr>
        <w:jc w:val="both"/>
        <w:rPr>
          <w:rFonts w:ascii="Georgia" w:hAnsi="Georgia"/>
        </w:rPr>
      </w:pPr>
      <w:r>
        <w:rPr>
          <w:rFonts w:ascii="Georgia" w:hAnsi="Georgia"/>
        </w:rPr>
        <w:t xml:space="preserve">69. </w:t>
      </w:r>
      <w:r w:rsidR="00BA02F8">
        <w:rPr>
          <w:rFonts w:ascii="Georgia" w:hAnsi="Georgia"/>
        </w:rPr>
        <w:t xml:space="preserve">The </w:t>
      </w:r>
      <w:r w:rsidR="00126CB8">
        <w:rPr>
          <w:rFonts w:ascii="Georgia" w:hAnsi="Georgia"/>
        </w:rPr>
        <w:t>Tribunal</w:t>
      </w:r>
      <w:r w:rsidR="00BA02F8">
        <w:rPr>
          <w:rFonts w:ascii="Georgia" w:hAnsi="Georgia"/>
        </w:rPr>
        <w:t xml:space="preserve"> therefore considered whether the Applicant should have the benefit of a section 20C order that </w:t>
      </w:r>
      <w:r w:rsidR="009C3F2C">
        <w:rPr>
          <w:rFonts w:ascii="Georgia" w:hAnsi="Georgia"/>
        </w:rPr>
        <w:t xml:space="preserve">gave her some </w:t>
      </w:r>
      <w:r w:rsidR="00126CB8">
        <w:rPr>
          <w:rFonts w:ascii="Georgia" w:hAnsi="Georgia"/>
        </w:rPr>
        <w:t>proportionate</w:t>
      </w:r>
      <w:r w:rsidR="009C3F2C">
        <w:rPr>
          <w:rFonts w:ascii="Georgia" w:hAnsi="Georgia"/>
        </w:rPr>
        <w:t xml:space="preserve"> relief. Ho</w:t>
      </w:r>
      <w:r w:rsidR="00126CB8">
        <w:rPr>
          <w:rFonts w:ascii="Georgia" w:hAnsi="Georgia"/>
        </w:rPr>
        <w:t>w</w:t>
      </w:r>
      <w:r w:rsidR="009C3F2C">
        <w:rPr>
          <w:rFonts w:ascii="Georgia" w:hAnsi="Georgia"/>
        </w:rPr>
        <w:t>e</w:t>
      </w:r>
      <w:r w:rsidR="00126CB8">
        <w:rPr>
          <w:rFonts w:ascii="Georgia" w:hAnsi="Georgia"/>
        </w:rPr>
        <w:t>v</w:t>
      </w:r>
      <w:r w:rsidR="009C3F2C">
        <w:rPr>
          <w:rFonts w:ascii="Georgia" w:hAnsi="Georgia"/>
        </w:rPr>
        <w:t>er, the Tribunal notes that she declined mediation on the grounds</w:t>
      </w:r>
      <w:r w:rsidR="00B234FD">
        <w:rPr>
          <w:rFonts w:ascii="Georgia" w:hAnsi="Georgia"/>
        </w:rPr>
        <w:t>, she said,</w:t>
      </w:r>
      <w:r w:rsidR="009C3F2C">
        <w:rPr>
          <w:rFonts w:ascii="Georgia" w:hAnsi="Georgia"/>
        </w:rPr>
        <w:t xml:space="preserve"> that the mediator was not a lawyer. The Tribunal con</w:t>
      </w:r>
      <w:r w:rsidR="00592F40">
        <w:rPr>
          <w:rFonts w:ascii="Georgia" w:hAnsi="Georgia"/>
        </w:rPr>
        <w:t xml:space="preserve">siders that </w:t>
      </w:r>
      <w:r w:rsidR="00126CB8">
        <w:rPr>
          <w:rFonts w:ascii="Georgia" w:hAnsi="Georgia"/>
        </w:rPr>
        <w:t>many</w:t>
      </w:r>
      <w:r w:rsidR="00592F40">
        <w:rPr>
          <w:rFonts w:ascii="Georgia" w:hAnsi="Georgia"/>
        </w:rPr>
        <w:t xml:space="preserve"> of the issues, including </w:t>
      </w:r>
      <w:r w:rsidR="00126CB8">
        <w:rPr>
          <w:rFonts w:ascii="Georgia" w:hAnsi="Georgia"/>
        </w:rPr>
        <w:t xml:space="preserve">all </w:t>
      </w:r>
      <w:r w:rsidR="00592F40">
        <w:rPr>
          <w:rFonts w:ascii="Georgia" w:hAnsi="Georgia"/>
        </w:rPr>
        <w:t>those eventually conceded by one party of the other, could have been agreed at mediation</w:t>
      </w:r>
      <w:r w:rsidR="00126CB8">
        <w:rPr>
          <w:rFonts w:ascii="Georgia" w:hAnsi="Georgia"/>
        </w:rPr>
        <w:t xml:space="preserve"> perhaps leaving</w:t>
      </w:r>
      <w:r w:rsidR="00614761">
        <w:rPr>
          <w:rFonts w:ascii="Georgia" w:hAnsi="Georgia"/>
        </w:rPr>
        <w:t xml:space="preserve"> only the proper interpretation of the Lease to be resolved by a Tribunal. For that reason, the Tribunal </w:t>
      </w:r>
      <w:r w:rsidR="004D1D67">
        <w:rPr>
          <w:rFonts w:ascii="Georgia" w:hAnsi="Georgia"/>
        </w:rPr>
        <w:t xml:space="preserve">considers that even a proportionate order under section 20C </w:t>
      </w:r>
      <w:r w:rsidR="009B00EC">
        <w:rPr>
          <w:rFonts w:ascii="Georgia" w:hAnsi="Georgia"/>
        </w:rPr>
        <w:t xml:space="preserve">should not be granted. </w:t>
      </w:r>
      <w:r w:rsidR="00EB0D9A">
        <w:rPr>
          <w:rFonts w:ascii="Georgia" w:hAnsi="Georgia"/>
        </w:rPr>
        <w:t>The Tribunal determines that an order under section 20C of the 1985 Act should not be made.</w:t>
      </w:r>
    </w:p>
    <w:p w14:paraId="7E196BC6" w14:textId="77777777" w:rsidR="00EB0D9A" w:rsidRDefault="00EB0D9A" w:rsidP="00EB0D9A">
      <w:pPr>
        <w:jc w:val="both"/>
        <w:rPr>
          <w:rFonts w:ascii="Georgia" w:hAnsi="Georgia"/>
        </w:rPr>
      </w:pPr>
    </w:p>
    <w:p w14:paraId="30487554" w14:textId="77777777" w:rsidR="00EB0D9A" w:rsidRPr="00EB161D" w:rsidRDefault="00EB0D9A" w:rsidP="00EB0D9A">
      <w:pPr>
        <w:jc w:val="both"/>
        <w:rPr>
          <w:rFonts w:ascii="Georgia" w:hAnsi="Georgia"/>
          <w:b/>
          <w:bCs/>
        </w:rPr>
      </w:pPr>
      <w:r>
        <w:rPr>
          <w:rFonts w:ascii="Georgia" w:hAnsi="Georgia"/>
          <w:b/>
          <w:bCs/>
        </w:rPr>
        <w:t xml:space="preserve">The </w:t>
      </w:r>
      <w:r w:rsidRPr="00EB161D">
        <w:rPr>
          <w:rFonts w:ascii="Georgia" w:hAnsi="Georgia"/>
          <w:b/>
          <w:bCs/>
        </w:rPr>
        <w:t>paragraph 5A of Schedule 11</w:t>
      </w:r>
      <w:r>
        <w:rPr>
          <w:rFonts w:ascii="Georgia" w:hAnsi="Georgia"/>
          <w:b/>
          <w:bCs/>
        </w:rPr>
        <w:t xml:space="preserve"> of the 2002 Act Application</w:t>
      </w:r>
    </w:p>
    <w:p w14:paraId="749F3C4D" w14:textId="060C8FD5" w:rsidR="00E62D2D" w:rsidRPr="00EC4C89" w:rsidRDefault="00255319" w:rsidP="00EC4C89">
      <w:pPr>
        <w:jc w:val="both"/>
        <w:rPr>
          <w:rFonts w:ascii="Georgia" w:hAnsi="Georgia"/>
        </w:rPr>
      </w:pPr>
      <w:r>
        <w:rPr>
          <w:rFonts w:ascii="Georgia" w:hAnsi="Georgia"/>
        </w:rPr>
        <w:t xml:space="preserve">70. </w:t>
      </w:r>
      <w:r w:rsidR="00EB0D9A">
        <w:rPr>
          <w:rFonts w:ascii="Georgia" w:hAnsi="Georgia"/>
        </w:rPr>
        <w:t>The Application also made an ancillary application under p</w:t>
      </w:r>
      <w:r w:rsidR="00EB0D9A" w:rsidRPr="00456577">
        <w:rPr>
          <w:rFonts w:ascii="Georgia" w:hAnsi="Georgia"/>
        </w:rPr>
        <w:t xml:space="preserve">aragraph 5A of Schedule 11 </w:t>
      </w:r>
      <w:r w:rsidR="003A491D">
        <w:rPr>
          <w:rFonts w:ascii="Georgia" w:hAnsi="Georgia"/>
        </w:rPr>
        <w:t xml:space="preserve">of </w:t>
      </w:r>
      <w:r w:rsidR="00EB0D9A">
        <w:rPr>
          <w:rFonts w:ascii="Georgia" w:hAnsi="Georgia"/>
        </w:rPr>
        <w:t xml:space="preserve">the 2002 </w:t>
      </w:r>
      <w:r w:rsidR="00EB0D9A" w:rsidRPr="00456577">
        <w:rPr>
          <w:rFonts w:ascii="Georgia" w:hAnsi="Georgia"/>
        </w:rPr>
        <w:t>Act</w:t>
      </w:r>
      <w:r w:rsidR="00EB0D9A">
        <w:rPr>
          <w:rFonts w:ascii="Georgia" w:hAnsi="Georgia"/>
        </w:rPr>
        <w:t>.</w:t>
      </w:r>
      <w:r w:rsidR="00EC4C89">
        <w:rPr>
          <w:rFonts w:ascii="Georgia" w:hAnsi="Georgia"/>
        </w:rPr>
        <w:t xml:space="preserve"> </w:t>
      </w:r>
      <w:r w:rsidR="00EB0D9A">
        <w:rPr>
          <w:rFonts w:ascii="Georgia" w:hAnsi="Georgia"/>
        </w:rPr>
        <w:t xml:space="preserve">For the same reasons as are set out for refusing an application under section 20C of the 1985 Act, </w:t>
      </w:r>
      <w:r w:rsidR="001D4179">
        <w:rPr>
          <w:rFonts w:ascii="Georgia" w:hAnsi="Georgia"/>
        </w:rPr>
        <w:t>t</w:t>
      </w:r>
      <w:r w:rsidR="00EB0D9A">
        <w:rPr>
          <w:rFonts w:ascii="Georgia" w:hAnsi="Georgia"/>
        </w:rPr>
        <w:t>he Tribunal declines to make an order under the 2002 Act.</w:t>
      </w:r>
      <w:r w:rsidR="00E62D2D">
        <w:rPr>
          <w:rFonts w:ascii="Georgia" w:hAnsi="Georgia"/>
          <w:b/>
          <w:bCs/>
          <w:sz w:val="28"/>
          <w:szCs w:val="28"/>
        </w:rPr>
        <w:br w:type="page"/>
      </w:r>
    </w:p>
    <w:p w14:paraId="7E94CED0" w14:textId="48801480" w:rsidR="00B13B66" w:rsidRPr="00474B68" w:rsidRDefault="00B13B66" w:rsidP="00B13B66">
      <w:pPr>
        <w:jc w:val="center"/>
        <w:rPr>
          <w:rFonts w:ascii="Georgia" w:hAnsi="Georgia"/>
          <w:sz w:val="28"/>
          <w:szCs w:val="28"/>
        </w:rPr>
      </w:pPr>
      <w:r w:rsidRPr="00474B68">
        <w:rPr>
          <w:rFonts w:ascii="Georgia" w:hAnsi="Georgia"/>
          <w:b/>
          <w:bCs/>
          <w:sz w:val="28"/>
          <w:szCs w:val="28"/>
        </w:rPr>
        <w:lastRenderedPageBreak/>
        <w:t>Right of Appeal</w:t>
      </w:r>
    </w:p>
    <w:p w14:paraId="2DCEF40E" w14:textId="77777777" w:rsidR="00B13B66" w:rsidRPr="00A829E7" w:rsidRDefault="00B13B66" w:rsidP="00B13B66">
      <w:pPr>
        <w:jc w:val="both"/>
        <w:rPr>
          <w:rFonts w:ascii="Georgia" w:hAnsi="Georgia"/>
          <w:i/>
          <w:iCs/>
        </w:rPr>
      </w:pPr>
    </w:p>
    <w:p w14:paraId="7775858A" w14:textId="477F8B84" w:rsidR="00B13B66" w:rsidRPr="00DD646E" w:rsidRDefault="00CC702A" w:rsidP="00B13B66">
      <w:pPr>
        <w:jc w:val="both"/>
        <w:rPr>
          <w:rFonts w:ascii="Georgia" w:hAnsi="Georgia" w:cs="Arial"/>
          <w:color w:val="222222"/>
          <w:shd w:val="clear" w:color="auto" w:fill="FFFFFF"/>
        </w:rPr>
      </w:pPr>
      <w:r>
        <w:rPr>
          <w:rFonts w:ascii="Georgia" w:hAnsi="Georgia" w:cs="Arial"/>
          <w:color w:val="222222"/>
          <w:shd w:val="clear" w:color="auto" w:fill="FFFFFF"/>
        </w:rPr>
        <w:t xml:space="preserve">71. </w:t>
      </w:r>
      <w:r w:rsidR="00B13B66" w:rsidRPr="00DD646E">
        <w:rPr>
          <w:rFonts w:ascii="Georgia" w:hAnsi="Georgia" w:cs="Arial"/>
          <w:color w:val="222222"/>
          <w:shd w:val="clear" w:color="auto" w:fill="FFFFFF"/>
        </w:rPr>
        <w:t>A person wishing to appeal this decision to the Upper Tribunal (Lands Chamber) must seek permission to do so by making written application to the First-tier Tribunal at the Regional office which has been dealing with the case (</w:t>
      </w:r>
      <w:hyperlink r:id="rId8" w:history="1">
        <w:r w:rsidR="00B13B66" w:rsidRPr="00DD646E">
          <w:rPr>
            <w:rStyle w:val="Hyperlink"/>
            <w:rFonts w:ascii="Georgia" w:hAnsi="Georgia" w:cs="Arial"/>
            <w:shd w:val="clear" w:color="auto" w:fill="FFFFFF"/>
          </w:rPr>
          <w:t>RPSouthern@justice.gov.uk</w:t>
        </w:r>
      </w:hyperlink>
      <w:r w:rsidR="00B13B66" w:rsidRPr="00DD646E">
        <w:rPr>
          <w:rFonts w:ascii="Georgia" w:hAnsi="Georgia" w:cs="Arial"/>
          <w:color w:val="222222"/>
          <w:shd w:val="clear" w:color="auto" w:fill="FFFFFF"/>
        </w:rPr>
        <w:t xml:space="preserve"> ). The application must arrive at the Tribunal within 28 days after the Tribunal sends to the person making the application written reasons for the decision. </w:t>
      </w:r>
    </w:p>
    <w:p w14:paraId="7290F1C5" w14:textId="77777777" w:rsidR="00B13B66" w:rsidRPr="00DD646E" w:rsidRDefault="00B13B66" w:rsidP="00B13B66">
      <w:pPr>
        <w:rPr>
          <w:rFonts w:ascii="Georgia" w:hAnsi="Georgia" w:cs="Arial"/>
          <w:color w:val="222222"/>
          <w:shd w:val="clear" w:color="auto" w:fill="FFFFFF"/>
        </w:rPr>
      </w:pPr>
    </w:p>
    <w:p w14:paraId="3D980F79" w14:textId="38D78DBD" w:rsidR="00B13B66" w:rsidRPr="00DD646E" w:rsidRDefault="00CC702A" w:rsidP="00B13B66">
      <w:pPr>
        <w:jc w:val="both"/>
        <w:rPr>
          <w:rFonts w:ascii="Georgia" w:hAnsi="Georgia" w:cs="Arial"/>
          <w:color w:val="222222"/>
          <w:shd w:val="clear" w:color="auto" w:fill="FFFFFF"/>
        </w:rPr>
      </w:pPr>
      <w:r>
        <w:rPr>
          <w:rFonts w:ascii="Georgia" w:hAnsi="Georgia" w:cs="Arial"/>
          <w:color w:val="222222"/>
          <w:shd w:val="clear" w:color="auto" w:fill="FFFFFF"/>
        </w:rPr>
        <w:t xml:space="preserve">72. </w:t>
      </w:r>
      <w:r w:rsidR="00B13B66" w:rsidRPr="00DD646E">
        <w:rPr>
          <w:rFonts w:ascii="Georgia" w:hAnsi="Georgia" w:cs="Arial"/>
          <w:color w:val="222222"/>
          <w:shd w:val="clear" w:color="auto" w:fill="FFFFFF"/>
        </w:rPr>
        <w:t>If the person wishing to appeal does not comply with the 28-day time limit, the person shall include with the application for permission to appeal a request for an extension of time and the reason for not complying with the 28-day time limit; the Tribunal will then decide whether to extend time or not to allow the application for permission to appeal to proceed.</w:t>
      </w:r>
    </w:p>
    <w:p w14:paraId="0D966702" w14:textId="1256B8BA" w:rsidR="00B13B66" w:rsidRPr="00DD646E" w:rsidRDefault="00B13B66" w:rsidP="00B13B66">
      <w:pPr>
        <w:jc w:val="both"/>
        <w:rPr>
          <w:rFonts w:ascii="Georgia" w:hAnsi="Georgia" w:cs="Arial"/>
          <w:color w:val="222222"/>
          <w:shd w:val="clear" w:color="auto" w:fill="FFFFFF"/>
        </w:rPr>
      </w:pPr>
      <w:r w:rsidRPr="00DD646E">
        <w:rPr>
          <w:rFonts w:ascii="Georgia" w:hAnsi="Georgia" w:cs="Arial"/>
          <w:color w:val="222222"/>
        </w:rPr>
        <w:br/>
      </w:r>
      <w:r w:rsidR="00CC702A">
        <w:rPr>
          <w:rFonts w:ascii="Georgia" w:hAnsi="Georgia" w:cs="Arial"/>
          <w:color w:val="222222"/>
          <w:shd w:val="clear" w:color="auto" w:fill="FFFFFF"/>
        </w:rPr>
        <w:t xml:space="preserve">73. </w:t>
      </w:r>
      <w:r w:rsidRPr="00DD646E">
        <w:rPr>
          <w:rFonts w:ascii="Georgia" w:hAnsi="Georgia" w:cs="Arial"/>
          <w:color w:val="222222"/>
          <w:shd w:val="clear" w:color="auto" w:fill="FFFFFF"/>
        </w:rPr>
        <w:t xml:space="preserve">The application for permission to appeal must identify the decision of the Tribunal to which it relates, state the grounds of appeal, and state the result that the party who is making the application for permission to appeal is seeking. </w:t>
      </w:r>
    </w:p>
    <w:p w14:paraId="5DFA673B" w14:textId="77777777" w:rsidR="00B13B66" w:rsidRPr="00DD646E" w:rsidRDefault="00B13B66" w:rsidP="00B13B66">
      <w:pPr>
        <w:jc w:val="both"/>
        <w:rPr>
          <w:rFonts w:ascii="Georgia" w:hAnsi="Georgia"/>
        </w:rPr>
      </w:pPr>
    </w:p>
    <w:p w14:paraId="6A57226A" w14:textId="1F8F1F09" w:rsidR="00B13B66" w:rsidRPr="00B82219" w:rsidRDefault="00715898" w:rsidP="00B13B66">
      <w:pPr>
        <w:jc w:val="both"/>
        <w:rPr>
          <w:rFonts w:ascii="Georgia" w:hAnsi="Georgia"/>
        </w:rPr>
      </w:pPr>
      <w:r>
        <w:rPr>
          <w:rFonts w:ascii="Georgia" w:hAnsi="Georgia"/>
        </w:rPr>
        <w:t xml:space="preserve">20 </w:t>
      </w:r>
      <w:r w:rsidR="00B13B66">
        <w:rPr>
          <w:rFonts w:ascii="Georgia" w:hAnsi="Georgia"/>
        </w:rPr>
        <w:t xml:space="preserve">December </w:t>
      </w:r>
      <w:r w:rsidR="00B13B66" w:rsidRPr="00DD646E">
        <w:rPr>
          <w:rFonts w:ascii="Georgia" w:hAnsi="Georgia"/>
        </w:rPr>
        <w:t>202</w:t>
      </w:r>
      <w:r w:rsidR="00B13B66">
        <w:rPr>
          <w:rFonts w:ascii="Georgia" w:hAnsi="Georgia"/>
        </w:rPr>
        <w:t>4</w:t>
      </w:r>
    </w:p>
    <w:p w14:paraId="2BD03080" w14:textId="77777777" w:rsidR="00B13B66" w:rsidRPr="008F095E" w:rsidRDefault="00B13B66" w:rsidP="00B13B66">
      <w:pPr>
        <w:spacing w:after="160" w:line="259" w:lineRule="auto"/>
        <w:jc w:val="both"/>
        <w:rPr>
          <w:rFonts w:ascii="Georgia" w:hAnsi="Georgia"/>
        </w:rPr>
      </w:pPr>
    </w:p>
    <w:p w14:paraId="07721165" w14:textId="77777777" w:rsidR="009B00EC" w:rsidRDefault="009B00EC" w:rsidP="00BA3C54">
      <w:pPr>
        <w:jc w:val="both"/>
        <w:rPr>
          <w:rFonts w:ascii="Georgia" w:hAnsi="Georgia"/>
        </w:rPr>
      </w:pPr>
    </w:p>
    <w:sectPr w:rsidR="009B00E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7FDD" w14:textId="77777777" w:rsidR="0004333D" w:rsidRDefault="0004333D" w:rsidP="00030DBB">
      <w:r>
        <w:separator/>
      </w:r>
    </w:p>
  </w:endnote>
  <w:endnote w:type="continuationSeparator" w:id="0">
    <w:p w14:paraId="39415C9C" w14:textId="77777777" w:rsidR="0004333D" w:rsidRDefault="0004333D" w:rsidP="0003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725820"/>
      <w:docPartObj>
        <w:docPartGallery w:val="Page Numbers (Bottom of Page)"/>
        <w:docPartUnique/>
      </w:docPartObj>
    </w:sdtPr>
    <w:sdtEndPr>
      <w:rPr>
        <w:noProof/>
      </w:rPr>
    </w:sdtEndPr>
    <w:sdtContent>
      <w:p w14:paraId="7361BF7F" w14:textId="41F43F7B" w:rsidR="00030DBB" w:rsidRDefault="00030D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C0337C" w14:textId="77777777" w:rsidR="00030DBB" w:rsidRDefault="00030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417" w14:textId="77777777" w:rsidR="0004333D" w:rsidRDefault="0004333D" w:rsidP="00030DBB">
      <w:r>
        <w:separator/>
      </w:r>
    </w:p>
  </w:footnote>
  <w:footnote w:type="continuationSeparator" w:id="0">
    <w:p w14:paraId="6D66A36B" w14:textId="77777777" w:rsidR="0004333D" w:rsidRDefault="0004333D" w:rsidP="00030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1F10"/>
    <w:multiLevelType w:val="hybridMultilevel"/>
    <w:tmpl w:val="1D883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A71AE"/>
    <w:multiLevelType w:val="hybridMultilevel"/>
    <w:tmpl w:val="36C8F936"/>
    <w:lvl w:ilvl="0" w:tplc="6194C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87A28EC"/>
    <w:multiLevelType w:val="hybridMultilevel"/>
    <w:tmpl w:val="371EDA56"/>
    <w:lvl w:ilvl="0" w:tplc="02885B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101EDF"/>
    <w:multiLevelType w:val="hybridMultilevel"/>
    <w:tmpl w:val="0BAAC0E8"/>
    <w:lvl w:ilvl="0" w:tplc="9E603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947806"/>
    <w:multiLevelType w:val="hybridMultilevel"/>
    <w:tmpl w:val="0D560516"/>
    <w:lvl w:ilvl="0" w:tplc="1268A4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EC7D28"/>
    <w:multiLevelType w:val="hybridMultilevel"/>
    <w:tmpl w:val="19C05E12"/>
    <w:lvl w:ilvl="0" w:tplc="33CC89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E3623C5"/>
    <w:multiLevelType w:val="hybridMultilevel"/>
    <w:tmpl w:val="435A29AC"/>
    <w:lvl w:ilvl="0" w:tplc="D864EB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1055192">
    <w:abstractNumId w:val="3"/>
  </w:num>
  <w:num w:numId="2" w16cid:durableId="223950753">
    <w:abstractNumId w:val="6"/>
  </w:num>
  <w:num w:numId="3" w16cid:durableId="1795757077">
    <w:abstractNumId w:val="1"/>
  </w:num>
  <w:num w:numId="4" w16cid:durableId="1159031741">
    <w:abstractNumId w:val="4"/>
  </w:num>
  <w:num w:numId="5" w16cid:durableId="1291861393">
    <w:abstractNumId w:val="5"/>
  </w:num>
  <w:num w:numId="6" w16cid:durableId="884096010">
    <w:abstractNumId w:val="0"/>
  </w:num>
  <w:num w:numId="7" w16cid:durableId="686516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30"/>
    <w:rsid w:val="0000395A"/>
    <w:rsid w:val="00003F47"/>
    <w:rsid w:val="00007547"/>
    <w:rsid w:val="000131A0"/>
    <w:rsid w:val="00015194"/>
    <w:rsid w:val="00016BDB"/>
    <w:rsid w:val="000173F7"/>
    <w:rsid w:val="000208D5"/>
    <w:rsid w:val="00021499"/>
    <w:rsid w:val="00024FAF"/>
    <w:rsid w:val="00025BB3"/>
    <w:rsid w:val="0002602A"/>
    <w:rsid w:val="0002696A"/>
    <w:rsid w:val="00030DBB"/>
    <w:rsid w:val="00031E3C"/>
    <w:rsid w:val="00035449"/>
    <w:rsid w:val="00035CB4"/>
    <w:rsid w:val="00036B9C"/>
    <w:rsid w:val="00037D7E"/>
    <w:rsid w:val="00041302"/>
    <w:rsid w:val="000419A8"/>
    <w:rsid w:val="00042CE8"/>
    <w:rsid w:val="0004333D"/>
    <w:rsid w:val="00044032"/>
    <w:rsid w:val="00044714"/>
    <w:rsid w:val="000477DF"/>
    <w:rsid w:val="00057B30"/>
    <w:rsid w:val="000605E8"/>
    <w:rsid w:val="00061793"/>
    <w:rsid w:val="000639A5"/>
    <w:rsid w:val="000652F8"/>
    <w:rsid w:val="000672E0"/>
    <w:rsid w:val="00067D12"/>
    <w:rsid w:val="000709DF"/>
    <w:rsid w:val="0007403A"/>
    <w:rsid w:val="00082A54"/>
    <w:rsid w:val="00082FB6"/>
    <w:rsid w:val="00083865"/>
    <w:rsid w:val="00083B40"/>
    <w:rsid w:val="00083C4D"/>
    <w:rsid w:val="0009025B"/>
    <w:rsid w:val="000937B5"/>
    <w:rsid w:val="000941CE"/>
    <w:rsid w:val="000942C5"/>
    <w:rsid w:val="000947A8"/>
    <w:rsid w:val="00094EDB"/>
    <w:rsid w:val="00095F49"/>
    <w:rsid w:val="00096824"/>
    <w:rsid w:val="000A0595"/>
    <w:rsid w:val="000A333B"/>
    <w:rsid w:val="000A4C9C"/>
    <w:rsid w:val="000A5B06"/>
    <w:rsid w:val="000B489B"/>
    <w:rsid w:val="000B497D"/>
    <w:rsid w:val="000B49E4"/>
    <w:rsid w:val="000B6707"/>
    <w:rsid w:val="000B6E65"/>
    <w:rsid w:val="000B7D81"/>
    <w:rsid w:val="000C53D0"/>
    <w:rsid w:val="000D1745"/>
    <w:rsid w:val="000D20B7"/>
    <w:rsid w:val="000D3DA3"/>
    <w:rsid w:val="000D48D7"/>
    <w:rsid w:val="000D4FC2"/>
    <w:rsid w:val="000D6761"/>
    <w:rsid w:val="000D730C"/>
    <w:rsid w:val="000E02AE"/>
    <w:rsid w:val="000E18DF"/>
    <w:rsid w:val="000E43AC"/>
    <w:rsid w:val="000E6429"/>
    <w:rsid w:val="000E70AC"/>
    <w:rsid w:val="000F40B5"/>
    <w:rsid w:val="000F7890"/>
    <w:rsid w:val="0010031B"/>
    <w:rsid w:val="001012D1"/>
    <w:rsid w:val="00103258"/>
    <w:rsid w:val="00105DA3"/>
    <w:rsid w:val="0010647C"/>
    <w:rsid w:val="00106DF1"/>
    <w:rsid w:val="001230A2"/>
    <w:rsid w:val="00124196"/>
    <w:rsid w:val="00124E9C"/>
    <w:rsid w:val="0012659C"/>
    <w:rsid w:val="00126685"/>
    <w:rsid w:val="00126CB8"/>
    <w:rsid w:val="00126DD6"/>
    <w:rsid w:val="001300C4"/>
    <w:rsid w:val="00130A00"/>
    <w:rsid w:val="00130E8E"/>
    <w:rsid w:val="001313E7"/>
    <w:rsid w:val="00132359"/>
    <w:rsid w:val="00135EE7"/>
    <w:rsid w:val="0013645F"/>
    <w:rsid w:val="00143731"/>
    <w:rsid w:val="00143EBE"/>
    <w:rsid w:val="00144E4F"/>
    <w:rsid w:val="00144F27"/>
    <w:rsid w:val="00151B43"/>
    <w:rsid w:val="00160007"/>
    <w:rsid w:val="00162E46"/>
    <w:rsid w:val="00164AA5"/>
    <w:rsid w:val="00165E23"/>
    <w:rsid w:val="001673CF"/>
    <w:rsid w:val="00174382"/>
    <w:rsid w:val="00177C89"/>
    <w:rsid w:val="00177E0C"/>
    <w:rsid w:val="001814BC"/>
    <w:rsid w:val="00181B2B"/>
    <w:rsid w:val="00182D10"/>
    <w:rsid w:val="00183434"/>
    <w:rsid w:val="001856E1"/>
    <w:rsid w:val="0019048B"/>
    <w:rsid w:val="00192F22"/>
    <w:rsid w:val="00195880"/>
    <w:rsid w:val="001A0E70"/>
    <w:rsid w:val="001A0F8D"/>
    <w:rsid w:val="001A18F3"/>
    <w:rsid w:val="001A1DD5"/>
    <w:rsid w:val="001A3D44"/>
    <w:rsid w:val="001A7199"/>
    <w:rsid w:val="001A75A9"/>
    <w:rsid w:val="001B1853"/>
    <w:rsid w:val="001B3115"/>
    <w:rsid w:val="001B609A"/>
    <w:rsid w:val="001B6C01"/>
    <w:rsid w:val="001B7E87"/>
    <w:rsid w:val="001C2284"/>
    <w:rsid w:val="001C3FF2"/>
    <w:rsid w:val="001C5458"/>
    <w:rsid w:val="001D145C"/>
    <w:rsid w:val="001D4016"/>
    <w:rsid w:val="001D4179"/>
    <w:rsid w:val="001D5012"/>
    <w:rsid w:val="001D5042"/>
    <w:rsid w:val="001D52A9"/>
    <w:rsid w:val="001D6C54"/>
    <w:rsid w:val="001E103E"/>
    <w:rsid w:val="001E1343"/>
    <w:rsid w:val="001E2E26"/>
    <w:rsid w:val="001E374A"/>
    <w:rsid w:val="001E407D"/>
    <w:rsid w:val="001E5F7A"/>
    <w:rsid w:val="001E6660"/>
    <w:rsid w:val="001F0085"/>
    <w:rsid w:val="001F3070"/>
    <w:rsid w:val="001F30A1"/>
    <w:rsid w:val="001F622F"/>
    <w:rsid w:val="001F71B4"/>
    <w:rsid w:val="00201252"/>
    <w:rsid w:val="00201B19"/>
    <w:rsid w:val="0020513F"/>
    <w:rsid w:val="00205400"/>
    <w:rsid w:val="00205C64"/>
    <w:rsid w:val="00210507"/>
    <w:rsid w:val="00210666"/>
    <w:rsid w:val="00213A5E"/>
    <w:rsid w:val="002148CC"/>
    <w:rsid w:val="0021535A"/>
    <w:rsid w:val="002221AA"/>
    <w:rsid w:val="00227BDB"/>
    <w:rsid w:val="00231168"/>
    <w:rsid w:val="002319A3"/>
    <w:rsid w:val="0023371A"/>
    <w:rsid w:val="00234634"/>
    <w:rsid w:val="00241EF1"/>
    <w:rsid w:val="00243476"/>
    <w:rsid w:val="002462F5"/>
    <w:rsid w:val="002503A8"/>
    <w:rsid w:val="002520B7"/>
    <w:rsid w:val="002522AD"/>
    <w:rsid w:val="0025370E"/>
    <w:rsid w:val="00254566"/>
    <w:rsid w:val="0025465F"/>
    <w:rsid w:val="00254D47"/>
    <w:rsid w:val="00255181"/>
    <w:rsid w:val="00255319"/>
    <w:rsid w:val="00256799"/>
    <w:rsid w:val="00257AD6"/>
    <w:rsid w:val="002614A5"/>
    <w:rsid w:val="002622C3"/>
    <w:rsid w:val="0027105C"/>
    <w:rsid w:val="00271A39"/>
    <w:rsid w:val="00272AC8"/>
    <w:rsid w:val="00281049"/>
    <w:rsid w:val="0028106F"/>
    <w:rsid w:val="00282725"/>
    <w:rsid w:val="0028316F"/>
    <w:rsid w:val="00283DBB"/>
    <w:rsid w:val="00286A93"/>
    <w:rsid w:val="00293796"/>
    <w:rsid w:val="002945EA"/>
    <w:rsid w:val="0029658F"/>
    <w:rsid w:val="002965DE"/>
    <w:rsid w:val="002A100C"/>
    <w:rsid w:val="002A583D"/>
    <w:rsid w:val="002A5BF3"/>
    <w:rsid w:val="002A6B31"/>
    <w:rsid w:val="002B059F"/>
    <w:rsid w:val="002B5B8A"/>
    <w:rsid w:val="002B7E59"/>
    <w:rsid w:val="002C4AA8"/>
    <w:rsid w:val="002D1D5E"/>
    <w:rsid w:val="002D49CA"/>
    <w:rsid w:val="002D56F9"/>
    <w:rsid w:val="002D6DEC"/>
    <w:rsid w:val="002D72C6"/>
    <w:rsid w:val="002E55C2"/>
    <w:rsid w:val="002E6D26"/>
    <w:rsid w:val="002E722F"/>
    <w:rsid w:val="002E741D"/>
    <w:rsid w:val="002E7E00"/>
    <w:rsid w:val="002F3016"/>
    <w:rsid w:val="002F370E"/>
    <w:rsid w:val="002F4D76"/>
    <w:rsid w:val="002F5728"/>
    <w:rsid w:val="0030016F"/>
    <w:rsid w:val="0030089B"/>
    <w:rsid w:val="00301D08"/>
    <w:rsid w:val="003027D4"/>
    <w:rsid w:val="0030316B"/>
    <w:rsid w:val="00303D59"/>
    <w:rsid w:val="00304755"/>
    <w:rsid w:val="003049F8"/>
    <w:rsid w:val="00306DB1"/>
    <w:rsid w:val="00314CD4"/>
    <w:rsid w:val="00316757"/>
    <w:rsid w:val="00325B8B"/>
    <w:rsid w:val="00327F14"/>
    <w:rsid w:val="00331F8F"/>
    <w:rsid w:val="0033342B"/>
    <w:rsid w:val="00333A02"/>
    <w:rsid w:val="003368BA"/>
    <w:rsid w:val="003407D0"/>
    <w:rsid w:val="00342BF5"/>
    <w:rsid w:val="00344D7C"/>
    <w:rsid w:val="00344E63"/>
    <w:rsid w:val="00345796"/>
    <w:rsid w:val="003459A0"/>
    <w:rsid w:val="0035167E"/>
    <w:rsid w:val="00351696"/>
    <w:rsid w:val="00354305"/>
    <w:rsid w:val="0035727D"/>
    <w:rsid w:val="0036414F"/>
    <w:rsid w:val="0036716A"/>
    <w:rsid w:val="00370A2D"/>
    <w:rsid w:val="00372FFF"/>
    <w:rsid w:val="00374796"/>
    <w:rsid w:val="00374A16"/>
    <w:rsid w:val="00376208"/>
    <w:rsid w:val="00380862"/>
    <w:rsid w:val="0038324C"/>
    <w:rsid w:val="003836CF"/>
    <w:rsid w:val="0038665C"/>
    <w:rsid w:val="003868E9"/>
    <w:rsid w:val="00391259"/>
    <w:rsid w:val="00391E41"/>
    <w:rsid w:val="00392342"/>
    <w:rsid w:val="00392B5C"/>
    <w:rsid w:val="003943E5"/>
    <w:rsid w:val="00395FB4"/>
    <w:rsid w:val="00397EC1"/>
    <w:rsid w:val="003A0C97"/>
    <w:rsid w:val="003A1247"/>
    <w:rsid w:val="003A1843"/>
    <w:rsid w:val="003A1874"/>
    <w:rsid w:val="003A18FF"/>
    <w:rsid w:val="003A3A1A"/>
    <w:rsid w:val="003A491D"/>
    <w:rsid w:val="003A614F"/>
    <w:rsid w:val="003B0705"/>
    <w:rsid w:val="003B45FD"/>
    <w:rsid w:val="003B4725"/>
    <w:rsid w:val="003B6123"/>
    <w:rsid w:val="003B6C66"/>
    <w:rsid w:val="003C1369"/>
    <w:rsid w:val="003C6908"/>
    <w:rsid w:val="003C71BA"/>
    <w:rsid w:val="003C7C58"/>
    <w:rsid w:val="003D1470"/>
    <w:rsid w:val="003D3AEA"/>
    <w:rsid w:val="003D607A"/>
    <w:rsid w:val="003E03B3"/>
    <w:rsid w:val="003E119B"/>
    <w:rsid w:val="003E251B"/>
    <w:rsid w:val="003E26E3"/>
    <w:rsid w:val="003E2EB9"/>
    <w:rsid w:val="003E3458"/>
    <w:rsid w:val="003E4265"/>
    <w:rsid w:val="003E6075"/>
    <w:rsid w:val="003F07CE"/>
    <w:rsid w:val="003F0FBD"/>
    <w:rsid w:val="003F15EB"/>
    <w:rsid w:val="003F3AE3"/>
    <w:rsid w:val="003F5E33"/>
    <w:rsid w:val="00401294"/>
    <w:rsid w:val="00402516"/>
    <w:rsid w:val="004035C4"/>
    <w:rsid w:val="004040DF"/>
    <w:rsid w:val="00410E3F"/>
    <w:rsid w:val="00412CCC"/>
    <w:rsid w:val="004207E8"/>
    <w:rsid w:val="00420B84"/>
    <w:rsid w:val="00420C9D"/>
    <w:rsid w:val="00422EA9"/>
    <w:rsid w:val="00422F0E"/>
    <w:rsid w:val="00424FCB"/>
    <w:rsid w:val="00427BFD"/>
    <w:rsid w:val="0043057E"/>
    <w:rsid w:val="00430F0A"/>
    <w:rsid w:val="00431785"/>
    <w:rsid w:val="004335C0"/>
    <w:rsid w:val="00440EBB"/>
    <w:rsid w:val="0044112C"/>
    <w:rsid w:val="00443831"/>
    <w:rsid w:val="00444FDB"/>
    <w:rsid w:val="00447EC3"/>
    <w:rsid w:val="00450649"/>
    <w:rsid w:val="00455132"/>
    <w:rsid w:val="00456577"/>
    <w:rsid w:val="0045744C"/>
    <w:rsid w:val="00457DD9"/>
    <w:rsid w:val="00461A56"/>
    <w:rsid w:val="00463EC0"/>
    <w:rsid w:val="00470953"/>
    <w:rsid w:val="004725B4"/>
    <w:rsid w:val="004748CE"/>
    <w:rsid w:val="00481EC0"/>
    <w:rsid w:val="00482676"/>
    <w:rsid w:val="004832D9"/>
    <w:rsid w:val="0048417C"/>
    <w:rsid w:val="004857BF"/>
    <w:rsid w:val="00485C3D"/>
    <w:rsid w:val="004865D7"/>
    <w:rsid w:val="004873FF"/>
    <w:rsid w:val="00490479"/>
    <w:rsid w:val="00490B3D"/>
    <w:rsid w:val="00492140"/>
    <w:rsid w:val="00493DC9"/>
    <w:rsid w:val="0049765E"/>
    <w:rsid w:val="004A16C3"/>
    <w:rsid w:val="004A2784"/>
    <w:rsid w:val="004A2912"/>
    <w:rsid w:val="004A3A62"/>
    <w:rsid w:val="004A5662"/>
    <w:rsid w:val="004A5723"/>
    <w:rsid w:val="004A6849"/>
    <w:rsid w:val="004A715A"/>
    <w:rsid w:val="004B1EAA"/>
    <w:rsid w:val="004B4F43"/>
    <w:rsid w:val="004B54B7"/>
    <w:rsid w:val="004C1C71"/>
    <w:rsid w:val="004C4505"/>
    <w:rsid w:val="004C50AD"/>
    <w:rsid w:val="004C5846"/>
    <w:rsid w:val="004D1D67"/>
    <w:rsid w:val="004D2C5B"/>
    <w:rsid w:val="004D4E67"/>
    <w:rsid w:val="004D4FFF"/>
    <w:rsid w:val="004D5FFF"/>
    <w:rsid w:val="004D610B"/>
    <w:rsid w:val="004D68D9"/>
    <w:rsid w:val="004D7C2C"/>
    <w:rsid w:val="004E182A"/>
    <w:rsid w:val="004E1D9B"/>
    <w:rsid w:val="004E2806"/>
    <w:rsid w:val="004E3800"/>
    <w:rsid w:val="004F1FCA"/>
    <w:rsid w:val="004F3600"/>
    <w:rsid w:val="004F5743"/>
    <w:rsid w:val="004F6008"/>
    <w:rsid w:val="004F6DBB"/>
    <w:rsid w:val="00502337"/>
    <w:rsid w:val="005030D6"/>
    <w:rsid w:val="005043A0"/>
    <w:rsid w:val="00507D3F"/>
    <w:rsid w:val="0051117A"/>
    <w:rsid w:val="0051389A"/>
    <w:rsid w:val="00513CBC"/>
    <w:rsid w:val="00516902"/>
    <w:rsid w:val="005177FC"/>
    <w:rsid w:val="0052172C"/>
    <w:rsid w:val="00522A0F"/>
    <w:rsid w:val="00523A99"/>
    <w:rsid w:val="00526119"/>
    <w:rsid w:val="00527758"/>
    <w:rsid w:val="00532970"/>
    <w:rsid w:val="00532E28"/>
    <w:rsid w:val="0053381B"/>
    <w:rsid w:val="00533DB0"/>
    <w:rsid w:val="005430CF"/>
    <w:rsid w:val="005438D7"/>
    <w:rsid w:val="00545B01"/>
    <w:rsid w:val="005464AA"/>
    <w:rsid w:val="00553F15"/>
    <w:rsid w:val="005565C5"/>
    <w:rsid w:val="00562A6B"/>
    <w:rsid w:val="0056362C"/>
    <w:rsid w:val="00565918"/>
    <w:rsid w:val="0056682A"/>
    <w:rsid w:val="00567743"/>
    <w:rsid w:val="00570182"/>
    <w:rsid w:val="00573466"/>
    <w:rsid w:val="0058074F"/>
    <w:rsid w:val="00584D89"/>
    <w:rsid w:val="00586A2A"/>
    <w:rsid w:val="00592F40"/>
    <w:rsid w:val="005933AB"/>
    <w:rsid w:val="00596DA0"/>
    <w:rsid w:val="005A001A"/>
    <w:rsid w:val="005A0E83"/>
    <w:rsid w:val="005A1FE4"/>
    <w:rsid w:val="005A567F"/>
    <w:rsid w:val="005A6AF2"/>
    <w:rsid w:val="005A7C12"/>
    <w:rsid w:val="005B670D"/>
    <w:rsid w:val="005B6E80"/>
    <w:rsid w:val="005C09CF"/>
    <w:rsid w:val="005C3F95"/>
    <w:rsid w:val="005C50F0"/>
    <w:rsid w:val="005C65FC"/>
    <w:rsid w:val="005D180E"/>
    <w:rsid w:val="005D4A76"/>
    <w:rsid w:val="005D7863"/>
    <w:rsid w:val="005E3DCF"/>
    <w:rsid w:val="005E492A"/>
    <w:rsid w:val="005E7288"/>
    <w:rsid w:val="005F0EA2"/>
    <w:rsid w:val="005F1A2C"/>
    <w:rsid w:val="005F3B2B"/>
    <w:rsid w:val="005F3FB1"/>
    <w:rsid w:val="005F50A1"/>
    <w:rsid w:val="005F6EAF"/>
    <w:rsid w:val="005F7A00"/>
    <w:rsid w:val="00600844"/>
    <w:rsid w:val="006035D9"/>
    <w:rsid w:val="00604332"/>
    <w:rsid w:val="006053D5"/>
    <w:rsid w:val="00610143"/>
    <w:rsid w:val="00611F68"/>
    <w:rsid w:val="00612938"/>
    <w:rsid w:val="00613F8F"/>
    <w:rsid w:val="0061466E"/>
    <w:rsid w:val="00614761"/>
    <w:rsid w:val="00616D74"/>
    <w:rsid w:val="00617F7F"/>
    <w:rsid w:val="006202EE"/>
    <w:rsid w:val="006208E6"/>
    <w:rsid w:val="006236E1"/>
    <w:rsid w:val="00623F64"/>
    <w:rsid w:val="006247B5"/>
    <w:rsid w:val="00625B45"/>
    <w:rsid w:val="006309BE"/>
    <w:rsid w:val="00633865"/>
    <w:rsid w:val="00633A7B"/>
    <w:rsid w:val="0063431C"/>
    <w:rsid w:val="006378E3"/>
    <w:rsid w:val="00641A0F"/>
    <w:rsid w:val="006430FB"/>
    <w:rsid w:val="00645651"/>
    <w:rsid w:val="006475BE"/>
    <w:rsid w:val="006528DC"/>
    <w:rsid w:val="00655B3A"/>
    <w:rsid w:val="006566DB"/>
    <w:rsid w:val="006608A9"/>
    <w:rsid w:val="00663B6F"/>
    <w:rsid w:val="00672567"/>
    <w:rsid w:val="00672AF1"/>
    <w:rsid w:val="00673224"/>
    <w:rsid w:val="0067326D"/>
    <w:rsid w:val="006745A2"/>
    <w:rsid w:val="006803F5"/>
    <w:rsid w:val="006820C2"/>
    <w:rsid w:val="00685301"/>
    <w:rsid w:val="0069177B"/>
    <w:rsid w:val="00693D07"/>
    <w:rsid w:val="0069415F"/>
    <w:rsid w:val="00695355"/>
    <w:rsid w:val="006964E9"/>
    <w:rsid w:val="00697DC3"/>
    <w:rsid w:val="006A0543"/>
    <w:rsid w:val="006A10AE"/>
    <w:rsid w:val="006A2A1F"/>
    <w:rsid w:val="006B1669"/>
    <w:rsid w:val="006B2F8E"/>
    <w:rsid w:val="006B4005"/>
    <w:rsid w:val="006B402E"/>
    <w:rsid w:val="006B4BB4"/>
    <w:rsid w:val="006B50F9"/>
    <w:rsid w:val="006B5703"/>
    <w:rsid w:val="006B5DC1"/>
    <w:rsid w:val="006B6499"/>
    <w:rsid w:val="006B786F"/>
    <w:rsid w:val="006C085A"/>
    <w:rsid w:val="006C1303"/>
    <w:rsid w:val="006C6252"/>
    <w:rsid w:val="006C6CFF"/>
    <w:rsid w:val="006C7B2D"/>
    <w:rsid w:val="006D4DEA"/>
    <w:rsid w:val="006D5FA6"/>
    <w:rsid w:val="006D7A27"/>
    <w:rsid w:val="006D7B6D"/>
    <w:rsid w:val="006E132E"/>
    <w:rsid w:val="006E1AD6"/>
    <w:rsid w:val="006E6B3E"/>
    <w:rsid w:val="006F3F74"/>
    <w:rsid w:val="006F4D42"/>
    <w:rsid w:val="006F52DC"/>
    <w:rsid w:val="00701D31"/>
    <w:rsid w:val="00702D94"/>
    <w:rsid w:val="00705148"/>
    <w:rsid w:val="00714B2F"/>
    <w:rsid w:val="00715898"/>
    <w:rsid w:val="0071681E"/>
    <w:rsid w:val="0071713C"/>
    <w:rsid w:val="0072186D"/>
    <w:rsid w:val="00727CD3"/>
    <w:rsid w:val="00734A79"/>
    <w:rsid w:val="00735ED3"/>
    <w:rsid w:val="00736F2C"/>
    <w:rsid w:val="007407D1"/>
    <w:rsid w:val="007415A4"/>
    <w:rsid w:val="0074161C"/>
    <w:rsid w:val="00750419"/>
    <w:rsid w:val="00751A1E"/>
    <w:rsid w:val="007526C8"/>
    <w:rsid w:val="00754530"/>
    <w:rsid w:val="00754C36"/>
    <w:rsid w:val="00754C59"/>
    <w:rsid w:val="00754DF2"/>
    <w:rsid w:val="00762E31"/>
    <w:rsid w:val="00766F9D"/>
    <w:rsid w:val="007674D0"/>
    <w:rsid w:val="00767AE1"/>
    <w:rsid w:val="00770BB9"/>
    <w:rsid w:val="00777200"/>
    <w:rsid w:val="00782337"/>
    <w:rsid w:val="00783051"/>
    <w:rsid w:val="007839BC"/>
    <w:rsid w:val="0078406D"/>
    <w:rsid w:val="007858F4"/>
    <w:rsid w:val="007864CC"/>
    <w:rsid w:val="007875E9"/>
    <w:rsid w:val="00794623"/>
    <w:rsid w:val="007A15BA"/>
    <w:rsid w:val="007B22B1"/>
    <w:rsid w:val="007B5311"/>
    <w:rsid w:val="007C26FD"/>
    <w:rsid w:val="007C558E"/>
    <w:rsid w:val="007C7B29"/>
    <w:rsid w:val="007D4527"/>
    <w:rsid w:val="007D4667"/>
    <w:rsid w:val="007D5D7C"/>
    <w:rsid w:val="007D6A43"/>
    <w:rsid w:val="007E02DA"/>
    <w:rsid w:val="007E0BF5"/>
    <w:rsid w:val="007E1A57"/>
    <w:rsid w:val="007E22B2"/>
    <w:rsid w:val="007E3686"/>
    <w:rsid w:val="007E373E"/>
    <w:rsid w:val="007E537A"/>
    <w:rsid w:val="007F3E53"/>
    <w:rsid w:val="007F3FAA"/>
    <w:rsid w:val="007F5E46"/>
    <w:rsid w:val="007F6FA7"/>
    <w:rsid w:val="00802185"/>
    <w:rsid w:val="00805CE9"/>
    <w:rsid w:val="00813B31"/>
    <w:rsid w:val="00814510"/>
    <w:rsid w:val="008149BD"/>
    <w:rsid w:val="00815186"/>
    <w:rsid w:val="0082058B"/>
    <w:rsid w:val="00822B74"/>
    <w:rsid w:val="00822E69"/>
    <w:rsid w:val="00824624"/>
    <w:rsid w:val="0082490E"/>
    <w:rsid w:val="00824B1F"/>
    <w:rsid w:val="00827D5D"/>
    <w:rsid w:val="008328DC"/>
    <w:rsid w:val="00834817"/>
    <w:rsid w:val="00834F64"/>
    <w:rsid w:val="00842E6E"/>
    <w:rsid w:val="008434B6"/>
    <w:rsid w:val="008447F5"/>
    <w:rsid w:val="00845A8D"/>
    <w:rsid w:val="008500E3"/>
    <w:rsid w:val="0085151B"/>
    <w:rsid w:val="00854E09"/>
    <w:rsid w:val="008550D3"/>
    <w:rsid w:val="0085715A"/>
    <w:rsid w:val="0086127E"/>
    <w:rsid w:val="0086136D"/>
    <w:rsid w:val="008613BF"/>
    <w:rsid w:val="00861709"/>
    <w:rsid w:val="00866D9B"/>
    <w:rsid w:val="00867C53"/>
    <w:rsid w:val="00870705"/>
    <w:rsid w:val="00872FCA"/>
    <w:rsid w:val="00877971"/>
    <w:rsid w:val="008820C9"/>
    <w:rsid w:val="008823D4"/>
    <w:rsid w:val="00884002"/>
    <w:rsid w:val="0088504F"/>
    <w:rsid w:val="00886751"/>
    <w:rsid w:val="0088737B"/>
    <w:rsid w:val="0088790E"/>
    <w:rsid w:val="008927BE"/>
    <w:rsid w:val="00897510"/>
    <w:rsid w:val="00897763"/>
    <w:rsid w:val="008A2391"/>
    <w:rsid w:val="008A2B3A"/>
    <w:rsid w:val="008A649F"/>
    <w:rsid w:val="008A741C"/>
    <w:rsid w:val="008B0B7D"/>
    <w:rsid w:val="008B21E3"/>
    <w:rsid w:val="008B38F3"/>
    <w:rsid w:val="008B3AC0"/>
    <w:rsid w:val="008B5196"/>
    <w:rsid w:val="008B76B7"/>
    <w:rsid w:val="008C34DB"/>
    <w:rsid w:val="008C3508"/>
    <w:rsid w:val="008C523D"/>
    <w:rsid w:val="008C5782"/>
    <w:rsid w:val="008C64B1"/>
    <w:rsid w:val="008C7282"/>
    <w:rsid w:val="008C7816"/>
    <w:rsid w:val="008D0A6C"/>
    <w:rsid w:val="008D0C40"/>
    <w:rsid w:val="008D0DEF"/>
    <w:rsid w:val="008D29FA"/>
    <w:rsid w:val="008D54F8"/>
    <w:rsid w:val="008D723C"/>
    <w:rsid w:val="008E0C59"/>
    <w:rsid w:val="008E6534"/>
    <w:rsid w:val="008F00B5"/>
    <w:rsid w:val="008F26BF"/>
    <w:rsid w:val="008F2AFA"/>
    <w:rsid w:val="008F544F"/>
    <w:rsid w:val="008F5F6C"/>
    <w:rsid w:val="008F7E8F"/>
    <w:rsid w:val="00900F84"/>
    <w:rsid w:val="0090423C"/>
    <w:rsid w:val="00906CFC"/>
    <w:rsid w:val="009078CE"/>
    <w:rsid w:val="00911340"/>
    <w:rsid w:val="00912BA2"/>
    <w:rsid w:val="00913C64"/>
    <w:rsid w:val="00920D53"/>
    <w:rsid w:val="00921C41"/>
    <w:rsid w:val="00922BAD"/>
    <w:rsid w:val="00924D00"/>
    <w:rsid w:val="009345F6"/>
    <w:rsid w:val="00937745"/>
    <w:rsid w:val="00937D77"/>
    <w:rsid w:val="00937D83"/>
    <w:rsid w:val="00937DE3"/>
    <w:rsid w:val="0094006C"/>
    <w:rsid w:val="00941AF5"/>
    <w:rsid w:val="00943DB1"/>
    <w:rsid w:val="00945C3F"/>
    <w:rsid w:val="00950CD7"/>
    <w:rsid w:val="0095676A"/>
    <w:rsid w:val="00957737"/>
    <w:rsid w:val="009621B7"/>
    <w:rsid w:val="0096280E"/>
    <w:rsid w:val="00963DFF"/>
    <w:rsid w:val="0097029F"/>
    <w:rsid w:val="009725BE"/>
    <w:rsid w:val="00974DB8"/>
    <w:rsid w:val="00976036"/>
    <w:rsid w:val="00976243"/>
    <w:rsid w:val="00977D27"/>
    <w:rsid w:val="00980403"/>
    <w:rsid w:val="009807F6"/>
    <w:rsid w:val="00987B19"/>
    <w:rsid w:val="00990150"/>
    <w:rsid w:val="009944A3"/>
    <w:rsid w:val="00996507"/>
    <w:rsid w:val="0099680B"/>
    <w:rsid w:val="009A124E"/>
    <w:rsid w:val="009A3F59"/>
    <w:rsid w:val="009A6586"/>
    <w:rsid w:val="009A68BC"/>
    <w:rsid w:val="009B00EC"/>
    <w:rsid w:val="009B7D15"/>
    <w:rsid w:val="009C005B"/>
    <w:rsid w:val="009C3F2C"/>
    <w:rsid w:val="009C4E72"/>
    <w:rsid w:val="009C4F7E"/>
    <w:rsid w:val="009C5BA5"/>
    <w:rsid w:val="009C6E5A"/>
    <w:rsid w:val="009D0668"/>
    <w:rsid w:val="009D1EEE"/>
    <w:rsid w:val="009D2007"/>
    <w:rsid w:val="009D333A"/>
    <w:rsid w:val="009D3F43"/>
    <w:rsid w:val="009D4E19"/>
    <w:rsid w:val="009D544E"/>
    <w:rsid w:val="009D6032"/>
    <w:rsid w:val="009D6737"/>
    <w:rsid w:val="009E1F51"/>
    <w:rsid w:val="009E421B"/>
    <w:rsid w:val="009E68C1"/>
    <w:rsid w:val="009F01CD"/>
    <w:rsid w:val="009F0B4C"/>
    <w:rsid w:val="009F0C05"/>
    <w:rsid w:val="009F1937"/>
    <w:rsid w:val="009F3521"/>
    <w:rsid w:val="009F4CB6"/>
    <w:rsid w:val="00A045A6"/>
    <w:rsid w:val="00A04BB5"/>
    <w:rsid w:val="00A06714"/>
    <w:rsid w:val="00A078AC"/>
    <w:rsid w:val="00A07B33"/>
    <w:rsid w:val="00A11A76"/>
    <w:rsid w:val="00A12903"/>
    <w:rsid w:val="00A13068"/>
    <w:rsid w:val="00A138C4"/>
    <w:rsid w:val="00A1450D"/>
    <w:rsid w:val="00A16595"/>
    <w:rsid w:val="00A17AFC"/>
    <w:rsid w:val="00A2018C"/>
    <w:rsid w:val="00A2118E"/>
    <w:rsid w:val="00A232EF"/>
    <w:rsid w:val="00A23500"/>
    <w:rsid w:val="00A27F01"/>
    <w:rsid w:val="00A307C1"/>
    <w:rsid w:val="00A315D7"/>
    <w:rsid w:val="00A3510A"/>
    <w:rsid w:val="00A36102"/>
    <w:rsid w:val="00A37160"/>
    <w:rsid w:val="00A420EB"/>
    <w:rsid w:val="00A4230C"/>
    <w:rsid w:val="00A423F4"/>
    <w:rsid w:val="00A43676"/>
    <w:rsid w:val="00A4373E"/>
    <w:rsid w:val="00A43BFC"/>
    <w:rsid w:val="00A44252"/>
    <w:rsid w:val="00A4740D"/>
    <w:rsid w:val="00A554A9"/>
    <w:rsid w:val="00A578CC"/>
    <w:rsid w:val="00A606BF"/>
    <w:rsid w:val="00A6100F"/>
    <w:rsid w:val="00A73A5A"/>
    <w:rsid w:val="00A82921"/>
    <w:rsid w:val="00A832B4"/>
    <w:rsid w:val="00A83FF6"/>
    <w:rsid w:val="00A86C0A"/>
    <w:rsid w:val="00A92326"/>
    <w:rsid w:val="00A925B2"/>
    <w:rsid w:val="00A92E2B"/>
    <w:rsid w:val="00AA0C45"/>
    <w:rsid w:val="00AA2602"/>
    <w:rsid w:val="00AB06F7"/>
    <w:rsid w:val="00AB1A59"/>
    <w:rsid w:val="00AB3841"/>
    <w:rsid w:val="00AB3C53"/>
    <w:rsid w:val="00AB5D5B"/>
    <w:rsid w:val="00AB5FA9"/>
    <w:rsid w:val="00AB68C8"/>
    <w:rsid w:val="00AC27F5"/>
    <w:rsid w:val="00AC421F"/>
    <w:rsid w:val="00AC7386"/>
    <w:rsid w:val="00AD354D"/>
    <w:rsid w:val="00AD48C9"/>
    <w:rsid w:val="00AD65C1"/>
    <w:rsid w:val="00AE00BF"/>
    <w:rsid w:val="00AE2E43"/>
    <w:rsid w:val="00AE5C8A"/>
    <w:rsid w:val="00AE73EB"/>
    <w:rsid w:val="00AF2BD1"/>
    <w:rsid w:val="00AF409D"/>
    <w:rsid w:val="00AF6041"/>
    <w:rsid w:val="00B02E66"/>
    <w:rsid w:val="00B03B42"/>
    <w:rsid w:val="00B04469"/>
    <w:rsid w:val="00B1065D"/>
    <w:rsid w:val="00B135CA"/>
    <w:rsid w:val="00B13B66"/>
    <w:rsid w:val="00B15B25"/>
    <w:rsid w:val="00B16FC4"/>
    <w:rsid w:val="00B2094A"/>
    <w:rsid w:val="00B20E1F"/>
    <w:rsid w:val="00B234FD"/>
    <w:rsid w:val="00B263FE"/>
    <w:rsid w:val="00B264E2"/>
    <w:rsid w:val="00B27996"/>
    <w:rsid w:val="00B30D71"/>
    <w:rsid w:val="00B31E53"/>
    <w:rsid w:val="00B34106"/>
    <w:rsid w:val="00B37158"/>
    <w:rsid w:val="00B418F5"/>
    <w:rsid w:val="00B432F0"/>
    <w:rsid w:val="00B47B70"/>
    <w:rsid w:val="00B5001B"/>
    <w:rsid w:val="00B56912"/>
    <w:rsid w:val="00B57684"/>
    <w:rsid w:val="00B57D32"/>
    <w:rsid w:val="00B61B16"/>
    <w:rsid w:val="00B6214E"/>
    <w:rsid w:val="00B62FEF"/>
    <w:rsid w:val="00B634F1"/>
    <w:rsid w:val="00B67115"/>
    <w:rsid w:val="00B71B86"/>
    <w:rsid w:val="00B7357F"/>
    <w:rsid w:val="00B75B54"/>
    <w:rsid w:val="00B76D0C"/>
    <w:rsid w:val="00B800DF"/>
    <w:rsid w:val="00B8348F"/>
    <w:rsid w:val="00B87E06"/>
    <w:rsid w:val="00B9176C"/>
    <w:rsid w:val="00B92E4D"/>
    <w:rsid w:val="00B95E1F"/>
    <w:rsid w:val="00B9793C"/>
    <w:rsid w:val="00BA02F8"/>
    <w:rsid w:val="00BA0443"/>
    <w:rsid w:val="00BA3BA6"/>
    <w:rsid w:val="00BA3C54"/>
    <w:rsid w:val="00BA78AD"/>
    <w:rsid w:val="00BB2748"/>
    <w:rsid w:val="00BB6B18"/>
    <w:rsid w:val="00BC1104"/>
    <w:rsid w:val="00BC5B95"/>
    <w:rsid w:val="00BC7828"/>
    <w:rsid w:val="00BC7C03"/>
    <w:rsid w:val="00BD3C1A"/>
    <w:rsid w:val="00BD4724"/>
    <w:rsid w:val="00BE5362"/>
    <w:rsid w:val="00BE6646"/>
    <w:rsid w:val="00BE7F5B"/>
    <w:rsid w:val="00BF069E"/>
    <w:rsid w:val="00BF60BA"/>
    <w:rsid w:val="00C01BB8"/>
    <w:rsid w:val="00C049DD"/>
    <w:rsid w:val="00C04E98"/>
    <w:rsid w:val="00C05864"/>
    <w:rsid w:val="00C06678"/>
    <w:rsid w:val="00C102D9"/>
    <w:rsid w:val="00C10C56"/>
    <w:rsid w:val="00C1120E"/>
    <w:rsid w:val="00C1208E"/>
    <w:rsid w:val="00C1229A"/>
    <w:rsid w:val="00C133E7"/>
    <w:rsid w:val="00C13C09"/>
    <w:rsid w:val="00C1549D"/>
    <w:rsid w:val="00C1580E"/>
    <w:rsid w:val="00C1586F"/>
    <w:rsid w:val="00C216AA"/>
    <w:rsid w:val="00C22B43"/>
    <w:rsid w:val="00C323D9"/>
    <w:rsid w:val="00C33E8F"/>
    <w:rsid w:val="00C33FB0"/>
    <w:rsid w:val="00C3585A"/>
    <w:rsid w:val="00C43C29"/>
    <w:rsid w:val="00C43FF7"/>
    <w:rsid w:val="00C527FF"/>
    <w:rsid w:val="00C54620"/>
    <w:rsid w:val="00C55031"/>
    <w:rsid w:val="00C55878"/>
    <w:rsid w:val="00C6093E"/>
    <w:rsid w:val="00C61D8F"/>
    <w:rsid w:val="00C62E58"/>
    <w:rsid w:val="00C63963"/>
    <w:rsid w:val="00C64551"/>
    <w:rsid w:val="00C66B7E"/>
    <w:rsid w:val="00C70F59"/>
    <w:rsid w:val="00C71031"/>
    <w:rsid w:val="00C73A04"/>
    <w:rsid w:val="00C75374"/>
    <w:rsid w:val="00C7725F"/>
    <w:rsid w:val="00C858D6"/>
    <w:rsid w:val="00C860A6"/>
    <w:rsid w:val="00C91A81"/>
    <w:rsid w:val="00C92B24"/>
    <w:rsid w:val="00C96B62"/>
    <w:rsid w:val="00C97480"/>
    <w:rsid w:val="00CA1873"/>
    <w:rsid w:val="00CA1A06"/>
    <w:rsid w:val="00CA2728"/>
    <w:rsid w:val="00CA3AEA"/>
    <w:rsid w:val="00CA4B94"/>
    <w:rsid w:val="00CA7876"/>
    <w:rsid w:val="00CB0035"/>
    <w:rsid w:val="00CB21FC"/>
    <w:rsid w:val="00CB4A0A"/>
    <w:rsid w:val="00CB50CC"/>
    <w:rsid w:val="00CB5ED5"/>
    <w:rsid w:val="00CB7767"/>
    <w:rsid w:val="00CC15D1"/>
    <w:rsid w:val="00CC1EE1"/>
    <w:rsid w:val="00CC2372"/>
    <w:rsid w:val="00CC5279"/>
    <w:rsid w:val="00CC702A"/>
    <w:rsid w:val="00CD3671"/>
    <w:rsid w:val="00CD661B"/>
    <w:rsid w:val="00CE01C7"/>
    <w:rsid w:val="00CE0324"/>
    <w:rsid w:val="00CE0331"/>
    <w:rsid w:val="00CE2C11"/>
    <w:rsid w:val="00CE2DA4"/>
    <w:rsid w:val="00CE45D5"/>
    <w:rsid w:val="00CE7E05"/>
    <w:rsid w:val="00CF052A"/>
    <w:rsid w:val="00CF364F"/>
    <w:rsid w:val="00CF5E72"/>
    <w:rsid w:val="00CF69A0"/>
    <w:rsid w:val="00CF78BF"/>
    <w:rsid w:val="00D008FB"/>
    <w:rsid w:val="00D02B14"/>
    <w:rsid w:val="00D03BC8"/>
    <w:rsid w:val="00D04D8E"/>
    <w:rsid w:val="00D05A7C"/>
    <w:rsid w:val="00D07728"/>
    <w:rsid w:val="00D079A8"/>
    <w:rsid w:val="00D079F9"/>
    <w:rsid w:val="00D07D53"/>
    <w:rsid w:val="00D134FD"/>
    <w:rsid w:val="00D14C5F"/>
    <w:rsid w:val="00D15518"/>
    <w:rsid w:val="00D1649C"/>
    <w:rsid w:val="00D164BC"/>
    <w:rsid w:val="00D17E67"/>
    <w:rsid w:val="00D23514"/>
    <w:rsid w:val="00D255F2"/>
    <w:rsid w:val="00D27128"/>
    <w:rsid w:val="00D3081E"/>
    <w:rsid w:val="00D30D70"/>
    <w:rsid w:val="00D318E5"/>
    <w:rsid w:val="00D32873"/>
    <w:rsid w:val="00D36E61"/>
    <w:rsid w:val="00D37D4A"/>
    <w:rsid w:val="00D437FA"/>
    <w:rsid w:val="00D4502E"/>
    <w:rsid w:val="00D45FF0"/>
    <w:rsid w:val="00D5094A"/>
    <w:rsid w:val="00D50F5A"/>
    <w:rsid w:val="00D52D7B"/>
    <w:rsid w:val="00D535A2"/>
    <w:rsid w:val="00D6641E"/>
    <w:rsid w:val="00D67209"/>
    <w:rsid w:val="00D714BA"/>
    <w:rsid w:val="00D73901"/>
    <w:rsid w:val="00D73CA6"/>
    <w:rsid w:val="00D80086"/>
    <w:rsid w:val="00D83BF1"/>
    <w:rsid w:val="00D84123"/>
    <w:rsid w:val="00D8531A"/>
    <w:rsid w:val="00D86F8A"/>
    <w:rsid w:val="00D92A8A"/>
    <w:rsid w:val="00D9630F"/>
    <w:rsid w:val="00D9660E"/>
    <w:rsid w:val="00DA06B8"/>
    <w:rsid w:val="00DA2E8C"/>
    <w:rsid w:val="00DA4B20"/>
    <w:rsid w:val="00DA609B"/>
    <w:rsid w:val="00DA6483"/>
    <w:rsid w:val="00DB0828"/>
    <w:rsid w:val="00DB2253"/>
    <w:rsid w:val="00DB49A9"/>
    <w:rsid w:val="00DB57A0"/>
    <w:rsid w:val="00DC163A"/>
    <w:rsid w:val="00DC71BB"/>
    <w:rsid w:val="00DD0117"/>
    <w:rsid w:val="00DD11DC"/>
    <w:rsid w:val="00DD16B6"/>
    <w:rsid w:val="00DD25B6"/>
    <w:rsid w:val="00DD48EF"/>
    <w:rsid w:val="00DD5183"/>
    <w:rsid w:val="00DD6BCF"/>
    <w:rsid w:val="00DE064E"/>
    <w:rsid w:val="00DE21C4"/>
    <w:rsid w:val="00DE66C2"/>
    <w:rsid w:val="00DF0659"/>
    <w:rsid w:val="00DF4454"/>
    <w:rsid w:val="00E0031A"/>
    <w:rsid w:val="00E03AE2"/>
    <w:rsid w:val="00E07EE4"/>
    <w:rsid w:val="00E10512"/>
    <w:rsid w:val="00E12E12"/>
    <w:rsid w:val="00E138B3"/>
    <w:rsid w:val="00E16F71"/>
    <w:rsid w:val="00E1702D"/>
    <w:rsid w:val="00E231CC"/>
    <w:rsid w:val="00E23CB4"/>
    <w:rsid w:val="00E2699D"/>
    <w:rsid w:val="00E31DE0"/>
    <w:rsid w:val="00E37B47"/>
    <w:rsid w:val="00E44324"/>
    <w:rsid w:val="00E460A2"/>
    <w:rsid w:val="00E469BD"/>
    <w:rsid w:val="00E520DC"/>
    <w:rsid w:val="00E53202"/>
    <w:rsid w:val="00E53C34"/>
    <w:rsid w:val="00E54809"/>
    <w:rsid w:val="00E556D1"/>
    <w:rsid w:val="00E5636A"/>
    <w:rsid w:val="00E60BF4"/>
    <w:rsid w:val="00E62672"/>
    <w:rsid w:val="00E62D2D"/>
    <w:rsid w:val="00E6326B"/>
    <w:rsid w:val="00E65848"/>
    <w:rsid w:val="00E676E8"/>
    <w:rsid w:val="00E67981"/>
    <w:rsid w:val="00E716B9"/>
    <w:rsid w:val="00E73188"/>
    <w:rsid w:val="00E73D71"/>
    <w:rsid w:val="00E74358"/>
    <w:rsid w:val="00E760DD"/>
    <w:rsid w:val="00E81D70"/>
    <w:rsid w:val="00E82D04"/>
    <w:rsid w:val="00E8439F"/>
    <w:rsid w:val="00E87720"/>
    <w:rsid w:val="00E87C84"/>
    <w:rsid w:val="00E90E6E"/>
    <w:rsid w:val="00E91CC9"/>
    <w:rsid w:val="00E9574A"/>
    <w:rsid w:val="00E95D34"/>
    <w:rsid w:val="00EA13D9"/>
    <w:rsid w:val="00EA3939"/>
    <w:rsid w:val="00EA3C50"/>
    <w:rsid w:val="00EB0027"/>
    <w:rsid w:val="00EB0D9A"/>
    <w:rsid w:val="00EB161D"/>
    <w:rsid w:val="00EB3095"/>
    <w:rsid w:val="00EB3664"/>
    <w:rsid w:val="00EB3FF4"/>
    <w:rsid w:val="00EC11C9"/>
    <w:rsid w:val="00EC3675"/>
    <w:rsid w:val="00EC3781"/>
    <w:rsid w:val="00EC4BB1"/>
    <w:rsid w:val="00EC4C89"/>
    <w:rsid w:val="00EC5990"/>
    <w:rsid w:val="00ED0774"/>
    <w:rsid w:val="00ED7730"/>
    <w:rsid w:val="00EE3553"/>
    <w:rsid w:val="00EE5C97"/>
    <w:rsid w:val="00EE6672"/>
    <w:rsid w:val="00EE67B7"/>
    <w:rsid w:val="00EF10FC"/>
    <w:rsid w:val="00EF10FD"/>
    <w:rsid w:val="00EF1602"/>
    <w:rsid w:val="00EF4623"/>
    <w:rsid w:val="00F00AF4"/>
    <w:rsid w:val="00F10E78"/>
    <w:rsid w:val="00F12509"/>
    <w:rsid w:val="00F13490"/>
    <w:rsid w:val="00F13817"/>
    <w:rsid w:val="00F143F8"/>
    <w:rsid w:val="00F14C2A"/>
    <w:rsid w:val="00F15057"/>
    <w:rsid w:val="00F22025"/>
    <w:rsid w:val="00F220E7"/>
    <w:rsid w:val="00F24649"/>
    <w:rsid w:val="00F25315"/>
    <w:rsid w:val="00F2721A"/>
    <w:rsid w:val="00F301A1"/>
    <w:rsid w:val="00F30589"/>
    <w:rsid w:val="00F31A49"/>
    <w:rsid w:val="00F32C47"/>
    <w:rsid w:val="00F3574A"/>
    <w:rsid w:val="00F36585"/>
    <w:rsid w:val="00F365D1"/>
    <w:rsid w:val="00F37752"/>
    <w:rsid w:val="00F44F17"/>
    <w:rsid w:val="00F47470"/>
    <w:rsid w:val="00F522C6"/>
    <w:rsid w:val="00F529F1"/>
    <w:rsid w:val="00F57358"/>
    <w:rsid w:val="00F57FEA"/>
    <w:rsid w:val="00F60497"/>
    <w:rsid w:val="00F6074A"/>
    <w:rsid w:val="00F6272A"/>
    <w:rsid w:val="00F63108"/>
    <w:rsid w:val="00F63D10"/>
    <w:rsid w:val="00F67BC1"/>
    <w:rsid w:val="00F67E7D"/>
    <w:rsid w:val="00F72519"/>
    <w:rsid w:val="00F73C96"/>
    <w:rsid w:val="00F7693D"/>
    <w:rsid w:val="00F81DCA"/>
    <w:rsid w:val="00F839DD"/>
    <w:rsid w:val="00F85126"/>
    <w:rsid w:val="00F86933"/>
    <w:rsid w:val="00F92C00"/>
    <w:rsid w:val="00F936D3"/>
    <w:rsid w:val="00F96D56"/>
    <w:rsid w:val="00FA08C1"/>
    <w:rsid w:val="00FA4C01"/>
    <w:rsid w:val="00FA71D2"/>
    <w:rsid w:val="00FB1660"/>
    <w:rsid w:val="00FB184F"/>
    <w:rsid w:val="00FB3162"/>
    <w:rsid w:val="00FB33D3"/>
    <w:rsid w:val="00FB40E1"/>
    <w:rsid w:val="00FB43CA"/>
    <w:rsid w:val="00FB515E"/>
    <w:rsid w:val="00FB5DE1"/>
    <w:rsid w:val="00FC37CC"/>
    <w:rsid w:val="00FD01EE"/>
    <w:rsid w:val="00FD1776"/>
    <w:rsid w:val="00FD1A0F"/>
    <w:rsid w:val="00FD234E"/>
    <w:rsid w:val="00FD565D"/>
    <w:rsid w:val="00FD59A6"/>
    <w:rsid w:val="00FD6821"/>
    <w:rsid w:val="00FE0019"/>
    <w:rsid w:val="00FE0174"/>
    <w:rsid w:val="00FE191B"/>
    <w:rsid w:val="00FF0EC3"/>
    <w:rsid w:val="00FF1A88"/>
    <w:rsid w:val="00FF287D"/>
    <w:rsid w:val="00FF3695"/>
    <w:rsid w:val="00FF4237"/>
    <w:rsid w:val="00FF7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46F2"/>
  <w15:chartTrackingRefBased/>
  <w15:docId w15:val="{206A5F9A-8176-46A4-AD7A-A915536C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30"/>
    <w:pPr>
      <w:spacing w:after="0" w:line="240" w:lineRule="auto"/>
    </w:pPr>
    <w:rPr>
      <w:sz w:val="24"/>
      <w:szCs w:val="24"/>
    </w:rPr>
  </w:style>
  <w:style w:type="paragraph" w:styleId="Heading1">
    <w:name w:val="heading 1"/>
    <w:basedOn w:val="Normal"/>
    <w:next w:val="Normal"/>
    <w:link w:val="Heading1Char"/>
    <w:uiPriority w:val="9"/>
    <w:qFormat/>
    <w:rsid w:val="00ED7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7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7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7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7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730"/>
    <w:rPr>
      <w:rFonts w:eastAsiaTheme="majorEastAsia" w:cstheme="majorBidi"/>
      <w:color w:val="272727" w:themeColor="text1" w:themeTint="D8"/>
    </w:rPr>
  </w:style>
  <w:style w:type="paragraph" w:styleId="Title">
    <w:name w:val="Title"/>
    <w:basedOn w:val="Normal"/>
    <w:next w:val="Normal"/>
    <w:link w:val="TitleChar"/>
    <w:qFormat/>
    <w:rsid w:val="00ED77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D7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730"/>
    <w:pPr>
      <w:spacing w:before="160"/>
      <w:jc w:val="center"/>
    </w:pPr>
    <w:rPr>
      <w:i/>
      <w:iCs/>
      <w:color w:val="404040" w:themeColor="text1" w:themeTint="BF"/>
    </w:rPr>
  </w:style>
  <w:style w:type="character" w:customStyle="1" w:styleId="QuoteChar">
    <w:name w:val="Quote Char"/>
    <w:basedOn w:val="DefaultParagraphFont"/>
    <w:link w:val="Quote"/>
    <w:uiPriority w:val="29"/>
    <w:rsid w:val="00ED7730"/>
    <w:rPr>
      <w:i/>
      <w:iCs/>
      <w:color w:val="404040" w:themeColor="text1" w:themeTint="BF"/>
    </w:rPr>
  </w:style>
  <w:style w:type="paragraph" w:styleId="ListParagraph">
    <w:name w:val="List Paragraph"/>
    <w:basedOn w:val="Normal"/>
    <w:uiPriority w:val="34"/>
    <w:qFormat/>
    <w:rsid w:val="00ED7730"/>
    <w:pPr>
      <w:ind w:left="720"/>
      <w:contextualSpacing/>
    </w:pPr>
  </w:style>
  <w:style w:type="character" w:styleId="IntenseEmphasis">
    <w:name w:val="Intense Emphasis"/>
    <w:basedOn w:val="DefaultParagraphFont"/>
    <w:uiPriority w:val="21"/>
    <w:qFormat/>
    <w:rsid w:val="00ED7730"/>
    <w:rPr>
      <w:i/>
      <w:iCs/>
      <w:color w:val="0F4761" w:themeColor="accent1" w:themeShade="BF"/>
    </w:rPr>
  </w:style>
  <w:style w:type="paragraph" w:styleId="IntenseQuote">
    <w:name w:val="Intense Quote"/>
    <w:basedOn w:val="Normal"/>
    <w:next w:val="Normal"/>
    <w:link w:val="IntenseQuoteChar"/>
    <w:uiPriority w:val="30"/>
    <w:qFormat/>
    <w:rsid w:val="00ED7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730"/>
    <w:rPr>
      <w:i/>
      <w:iCs/>
      <w:color w:val="0F4761" w:themeColor="accent1" w:themeShade="BF"/>
    </w:rPr>
  </w:style>
  <w:style w:type="character" w:styleId="IntenseReference">
    <w:name w:val="Intense Reference"/>
    <w:basedOn w:val="DefaultParagraphFont"/>
    <w:uiPriority w:val="32"/>
    <w:qFormat/>
    <w:rsid w:val="00ED7730"/>
    <w:rPr>
      <w:b/>
      <w:bCs/>
      <w:smallCaps/>
      <w:color w:val="0F4761" w:themeColor="accent1" w:themeShade="BF"/>
      <w:spacing w:val="5"/>
    </w:rPr>
  </w:style>
  <w:style w:type="paragraph" w:styleId="Header">
    <w:name w:val="header"/>
    <w:basedOn w:val="Normal"/>
    <w:link w:val="HeaderChar"/>
    <w:uiPriority w:val="99"/>
    <w:unhideWhenUsed/>
    <w:rsid w:val="00030DBB"/>
    <w:pPr>
      <w:tabs>
        <w:tab w:val="center" w:pos="4513"/>
        <w:tab w:val="right" w:pos="9026"/>
      </w:tabs>
    </w:pPr>
  </w:style>
  <w:style w:type="character" w:customStyle="1" w:styleId="HeaderChar">
    <w:name w:val="Header Char"/>
    <w:basedOn w:val="DefaultParagraphFont"/>
    <w:link w:val="Header"/>
    <w:uiPriority w:val="99"/>
    <w:rsid w:val="00030DBB"/>
    <w:rPr>
      <w:sz w:val="24"/>
      <w:szCs w:val="24"/>
    </w:rPr>
  </w:style>
  <w:style w:type="paragraph" w:styleId="Footer">
    <w:name w:val="footer"/>
    <w:basedOn w:val="Normal"/>
    <w:link w:val="FooterChar"/>
    <w:uiPriority w:val="99"/>
    <w:unhideWhenUsed/>
    <w:rsid w:val="00030DBB"/>
    <w:pPr>
      <w:tabs>
        <w:tab w:val="center" w:pos="4513"/>
        <w:tab w:val="right" w:pos="9026"/>
      </w:tabs>
    </w:pPr>
  </w:style>
  <w:style w:type="character" w:customStyle="1" w:styleId="FooterChar">
    <w:name w:val="Footer Char"/>
    <w:basedOn w:val="DefaultParagraphFont"/>
    <w:link w:val="Footer"/>
    <w:uiPriority w:val="99"/>
    <w:rsid w:val="00030DBB"/>
    <w:rPr>
      <w:sz w:val="24"/>
      <w:szCs w:val="24"/>
    </w:rPr>
  </w:style>
  <w:style w:type="character" w:styleId="Hyperlink">
    <w:name w:val="Hyperlink"/>
    <w:basedOn w:val="DefaultParagraphFont"/>
    <w:unhideWhenUsed/>
    <w:rsid w:val="00B13B66"/>
    <w:rPr>
      <w:color w:val="0A2F41"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Southern@justice.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8990</TotalTime>
  <Pages>19</Pages>
  <Words>8650</Words>
  <Characters>49305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Clarke</dc:creator>
  <cp:keywords/>
  <dc:description/>
  <cp:lastModifiedBy>David Clarke</cp:lastModifiedBy>
  <cp:revision>1101</cp:revision>
  <dcterms:created xsi:type="dcterms:W3CDTF">2024-12-07T18:28:00Z</dcterms:created>
  <dcterms:modified xsi:type="dcterms:W3CDTF">2024-12-20T15:31:00Z</dcterms:modified>
</cp:coreProperties>
</file>