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4ADC" w14:textId="0AA2A8E1" w:rsidR="00487D10" w:rsidRPr="00A45CE5" w:rsidRDefault="00B06D29" w:rsidP="00487D10">
      <w:pPr>
        <w:spacing w:after="120"/>
        <w:jc w:val="cente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L</w:t>
      </w:r>
      <w:r w:rsidR="00487D10" w:rsidRPr="00A45CE5">
        <w:rPr>
          <w:rFonts w:asciiTheme="minorHAnsi" w:hAnsiTheme="minorHAnsi" w:cstheme="minorHAnsi"/>
          <w:b/>
          <w:bCs/>
          <w:color w:val="000000" w:themeColor="text1"/>
          <w:sz w:val="22"/>
          <w:szCs w:val="22"/>
        </w:rPr>
        <w:t>and and Property Liaison Group</w:t>
      </w:r>
    </w:p>
    <w:p w14:paraId="54EE43D8" w14:textId="748B188F" w:rsidR="00F849E0" w:rsidRPr="00A45CE5" w:rsidRDefault="00487D10" w:rsidP="00487D10">
      <w:pPr>
        <w:spacing w:after="120"/>
        <w:jc w:val="cente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meeting o</w:t>
      </w:r>
      <w:r w:rsidR="002B41A4" w:rsidRPr="00A45CE5">
        <w:rPr>
          <w:rFonts w:asciiTheme="minorHAnsi" w:hAnsiTheme="minorHAnsi" w:cstheme="minorHAnsi"/>
          <w:b/>
          <w:bCs/>
          <w:color w:val="000000" w:themeColor="text1"/>
          <w:sz w:val="22"/>
          <w:szCs w:val="22"/>
        </w:rPr>
        <w:t>f</w:t>
      </w:r>
      <w:r w:rsidRPr="00A45CE5">
        <w:rPr>
          <w:rFonts w:asciiTheme="minorHAnsi" w:hAnsiTheme="minorHAnsi" w:cstheme="minorHAnsi"/>
          <w:b/>
          <w:bCs/>
          <w:color w:val="000000" w:themeColor="text1"/>
          <w:sz w:val="22"/>
          <w:szCs w:val="22"/>
        </w:rPr>
        <w:t xml:space="preserve"> </w:t>
      </w:r>
      <w:r w:rsidR="0031631C" w:rsidRPr="00A45CE5">
        <w:rPr>
          <w:rFonts w:asciiTheme="minorHAnsi" w:hAnsiTheme="minorHAnsi" w:cstheme="minorHAnsi"/>
          <w:b/>
          <w:bCs/>
          <w:color w:val="000000" w:themeColor="text1"/>
          <w:sz w:val="22"/>
          <w:szCs w:val="22"/>
        </w:rPr>
        <w:t>3 October</w:t>
      </w:r>
      <w:r w:rsidR="00B06D29" w:rsidRPr="00A45CE5">
        <w:rPr>
          <w:rFonts w:asciiTheme="minorHAnsi" w:hAnsiTheme="minorHAnsi" w:cstheme="minorHAnsi"/>
          <w:b/>
          <w:bCs/>
          <w:color w:val="000000" w:themeColor="text1"/>
          <w:sz w:val="22"/>
          <w:szCs w:val="22"/>
        </w:rPr>
        <w:t xml:space="preserve"> 2023</w:t>
      </w:r>
    </w:p>
    <w:p w14:paraId="444AB3BF" w14:textId="77777777" w:rsidR="00736321" w:rsidRPr="00A45CE5" w:rsidRDefault="00736321" w:rsidP="00487D10">
      <w:pPr>
        <w:spacing w:after="120"/>
        <w:rPr>
          <w:rFonts w:asciiTheme="minorHAnsi" w:hAnsiTheme="minorHAnsi" w:cstheme="minorHAnsi"/>
          <w:b/>
          <w:bCs/>
          <w:color w:val="000000" w:themeColor="text1"/>
          <w:sz w:val="22"/>
          <w:szCs w:val="22"/>
        </w:rPr>
      </w:pPr>
    </w:p>
    <w:p w14:paraId="4892AB01" w14:textId="2C61F041" w:rsidR="00F849E0" w:rsidRPr="00A45CE5" w:rsidRDefault="00F849E0"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Welcome and </w:t>
      </w:r>
      <w:proofErr w:type="gramStart"/>
      <w:r w:rsidRPr="00A45CE5">
        <w:rPr>
          <w:rFonts w:asciiTheme="minorHAnsi" w:hAnsiTheme="minorHAnsi" w:cstheme="minorHAnsi"/>
          <w:b/>
          <w:bCs/>
          <w:color w:val="000000" w:themeColor="text1"/>
          <w:sz w:val="22"/>
          <w:szCs w:val="22"/>
        </w:rPr>
        <w:t>introductions</w:t>
      </w:r>
      <w:proofErr w:type="gramEnd"/>
    </w:p>
    <w:p w14:paraId="3DB71802" w14:textId="5F2DA8D8" w:rsidR="00F849E0" w:rsidRPr="00A45CE5" w:rsidRDefault="00F849E0"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HMRC welcomed attendees to the meeting – a list of attendees is at Appendix 1. </w:t>
      </w:r>
    </w:p>
    <w:p w14:paraId="6E09BB32" w14:textId="145C4FFB" w:rsidR="00F849E0" w:rsidRPr="00A45CE5" w:rsidRDefault="00F849E0"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Minutes of previous meeting</w:t>
      </w:r>
      <w:r w:rsidR="0031631C" w:rsidRPr="00A45CE5">
        <w:rPr>
          <w:rFonts w:asciiTheme="minorHAnsi" w:hAnsiTheme="minorHAnsi" w:cstheme="minorHAnsi"/>
          <w:b/>
          <w:bCs/>
          <w:color w:val="000000" w:themeColor="text1"/>
          <w:sz w:val="22"/>
          <w:szCs w:val="22"/>
        </w:rPr>
        <w:t xml:space="preserve"> (13</w:t>
      </w:r>
      <w:r w:rsidR="0031631C" w:rsidRPr="00A45CE5">
        <w:rPr>
          <w:rFonts w:asciiTheme="minorHAnsi" w:hAnsiTheme="minorHAnsi" w:cstheme="minorHAnsi"/>
          <w:b/>
          <w:bCs/>
          <w:color w:val="000000" w:themeColor="text1"/>
          <w:sz w:val="22"/>
          <w:szCs w:val="22"/>
          <w:vertAlign w:val="superscript"/>
        </w:rPr>
        <w:t>th</w:t>
      </w:r>
      <w:r w:rsidR="0031631C" w:rsidRPr="00A45CE5">
        <w:rPr>
          <w:rFonts w:asciiTheme="minorHAnsi" w:hAnsiTheme="minorHAnsi" w:cstheme="minorHAnsi"/>
          <w:b/>
          <w:bCs/>
          <w:color w:val="000000" w:themeColor="text1"/>
          <w:sz w:val="22"/>
          <w:szCs w:val="22"/>
        </w:rPr>
        <w:t xml:space="preserve"> June 2023)</w:t>
      </w:r>
    </w:p>
    <w:p w14:paraId="2C2BA91C" w14:textId="7E2E023A" w:rsidR="00974904" w:rsidRPr="00A45CE5" w:rsidRDefault="00970377"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These had been published on the Joint VAT Consultative Committee</w:t>
      </w:r>
      <w:r w:rsidR="003E75BB" w:rsidRPr="00A45CE5">
        <w:rPr>
          <w:rFonts w:asciiTheme="minorHAnsi" w:hAnsiTheme="minorHAnsi" w:cstheme="minorHAnsi"/>
          <w:color w:val="000000" w:themeColor="text1"/>
          <w:sz w:val="22"/>
          <w:szCs w:val="22"/>
        </w:rPr>
        <w:t xml:space="preserve">’s (JVCC’s) website. </w:t>
      </w:r>
    </w:p>
    <w:p w14:paraId="7A4B457E" w14:textId="6BCC18F9" w:rsidR="00F849E0" w:rsidRPr="00A45CE5" w:rsidRDefault="0059259B"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Litigation update</w:t>
      </w:r>
    </w:p>
    <w:p w14:paraId="2B97C07D" w14:textId="120911E7" w:rsidR="0059259B" w:rsidRPr="00A45CE5" w:rsidRDefault="009F1375"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HMRC confirmed that it would be appealing the </w:t>
      </w:r>
      <w:r w:rsidRPr="00A45CE5">
        <w:rPr>
          <w:rFonts w:asciiTheme="minorHAnsi" w:hAnsiTheme="minorHAnsi" w:cstheme="minorHAnsi"/>
          <w:i/>
          <w:iCs/>
          <w:color w:val="000000" w:themeColor="text1"/>
          <w:sz w:val="22"/>
          <w:szCs w:val="22"/>
        </w:rPr>
        <w:t>Sonder</w:t>
      </w:r>
      <w:r w:rsidRPr="00A45CE5">
        <w:rPr>
          <w:rFonts w:asciiTheme="minorHAnsi" w:hAnsiTheme="minorHAnsi" w:cstheme="minorHAnsi"/>
          <w:color w:val="000000" w:themeColor="text1"/>
          <w:sz w:val="22"/>
          <w:szCs w:val="22"/>
        </w:rPr>
        <w:t xml:space="preserve"> case, on which two queries had b</w:t>
      </w:r>
      <w:r w:rsidR="006A7B58" w:rsidRPr="00A45CE5">
        <w:rPr>
          <w:rFonts w:asciiTheme="minorHAnsi" w:hAnsiTheme="minorHAnsi" w:cstheme="minorHAnsi"/>
          <w:color w:val="000000" w:themeColor="text1"/>
          <w:sz w:val="22"/>
          <w:szCs w:val="22"/>
        </w:rPr>
        <w:t>e</w:t>
      </w:r>
      <w:r w:rsidRPr="00A45CE5">
        <w:rPr>
          <w:rFonts w:asciiTheme="minorHAnsi" w:hAnsiTheme="minorHAnsi" w:cstheme="minorHAnsi"/>
          <w:color w:val="000000" w:themeColor="text1"/>
          <w:sz w:val="22"/>
          <w:szCs w:val="22"/>
        </w:rPr>
        <w:t xml:space="preserve">en raised by </w:t>
      </w:r>
      <w:r w:rsidR="000A4178" w:rsidRPr="00A45CE5">
        <w:rPr>
          <w:rFonts w:asciiTheme="minorHAnsi" w:hAnsiTheme="minorHAnsi" w:cstheme="minorHAnsi"/>
          <w:color w:val="000000" w:themeColor="text1"/>
          <w:sz w:val="22"/>
          <w:szCs w:val="22"/>
        </w:rPr>
        <w:t>LPLG representatives (see separate agenda items below)</w:t>
      </w:r>
    </w:p>
    <w:p w14:paraId="49C6BBD1" w14:textId="79B64831" w:rsidR="0048021D" w:rsidRPr="00A45CE5" w:rsidRDefault="005432EC"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Outstanding queries</w:t>
      </w:r>
    </w:p>
    <w:p w14:paraId="3E86A815" w14:textId="53C80ADA" w:rsidR="00DA2552" w:rsidRPr="00A45CE5" w:rsidRDefault="00347EE6" w:rsidP="00487D10">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Information to be provided on invoices</w:t>
      </w:r>
      <w:r w:rsidR="00EA6982" w:rsidRPr="00A45CE5">
        <w:rPr>
          <w:rFonts w:asciiTheme="minorHAnsi" w:hAnsiTheme="minorHAnsi" w:cstheme="minorHAnsi"/>
          <w:i/>
          <w:iCs/>
          <w:color w:val="000000" w:themeColor="text1"/>
          <w:sz w:val="22"/>
          <w:szCs w:val="22"/>
        </w:rPr>
        <w:t xml:space="preserve"> (Annex 2) </w:t>
      </w:r>
    </w:p>
    <w:p w14:paraId="47B28C1F" w14:textId="4055FF10" w:rsidR="00347EE6" w:rsidRPr="00A45CE5" w:rsidRDefault="00347EE6"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HMRC had circulated shortly before the meeting started a response to a query raised at the June LPLG meeting </w:t>
      </w:r>
      <w:r w:rsidR="006B6CDD" w:rsidRPr="00A45CE5">
        <w:rPr>
          <w:rFonts w:asciiTheme="minorHAnsi" w:hAnsiTheme="minorHAnsi" w:cstheme="minorHAnsi"/>
          <w:color w:val="000000" w:themeColor="text1"/>
          <w:sz w:val="22"/>
          <w:szCs w:val="22"/>
        </w:rPr>
        <w:t xml:space="preserve">regarding the </w:t>
      </w:r>
      <w:r w:rsidR="009E289C" w:rsidRPr="00A45CE5">
        <w:rPr>
          <w:rFonts w:asciiTheme="minorHAnsi" w:hAnsiTheme="minorHAnsi" w:cstheme="minorHAnsi"/>
          <w:color w:val="000000" w:themeColor="text1"/>
          <w:sz w:val="22"/>
          <w:szCs w:val="22"/>
        </w:rPr>
        <w:t xml:space="preserve">level of </w:t>
      </w:r>
      <w:r w:rsidR="006B6CDD" w:rsidRPr="00A45CE5">
        <w:rPr>
          <w:rFonts w:asciiTheme="minorHAnsi" w:hAnsiTheme="minorHAnsi" w:cstheme="minorHAnsi"/>
          <w:color w:val="000000" w:themeColor="text1"/>
          <w:sz w:val="22"/>
          <w:szCs w:val="22"/>
        </w:rPr>
        <w:t>information that HMRC expected</w:t>
      </w:r>
      <w:r w:rsidR="00E14241" w:rsidRPr="00A45CE5">
        <w:rPr>
          <w:rFonts w:asciiTheme="minorHAnsi" w:hAnsiTheme="minorHAnsi" w:cstheme="minorHAnsi"/>
          <w:color w:val="000000" w:themeColor="text1"/>
          <w:sz w:val="22"/>
          <w:szCs w:val="22"/>
        </w:rPr>
        <w:t xml:space="preserve"> to see on invoices</w:t>
      </w:r>
      <w:r w:rsidR="000C0848" w:rsidRPr="00A45CE5">
        <w:rPr>
          <w:rFonts w:asciiTheme="minorHAnsi" w:hAnsiTheme="minorHAnsi" w:cstheme="minorHAnsi"/>
          <w:color w:val="000000" w:themeColor="text1"/>
          <w:sz w:val="22"/>
          <w:szCs w:val="22"/>
        </w:rPr>
        <w:t xml:space="preserve"> </w:t>
      </w:r>
      <w:proofErr w:type="gramStart"/>
      <w:r w:rsidR="000C0848" w:rsidRPr="00A45CE5">
        <w:rPr>
          <w:rFonts w:asciiTheme="minorHAnsi" w:hAnsiTheme="minorHAnsi" w:cstheme="minorHAnsi"/>
          <w:color w:val="000000" w:themeColor="text1"/>
          <w:sz w:val="22"/>
          <w:szCs w:val="22"/>
        </w:rPr>
        <w:t>in order to</w:t>
      </w:r>
      <w:proofErr w:type="gramEnd"/>
      <w:r w:rsidR="000C0848" w:rsidRPr="00A45CE5">
        <w:rPr>
          <w:rFonts w:asciiTheme="minorHAnsi" w:hAnsiTheme="minorHAnsi" w:cstheme="minorHAnsi"/>
          <w:color w:val="000000" w:themeColor="text1"/>
          <w:sz w:val="22"/>
          <w:szCs w:val="22"/>
        </w:rPr>
        <w:t xml:space="preserve"> allow it to </w:t>
      </w:r>
      <w:r w:rsidR="009528B1" w:rsidRPr="00A45CE5">
        <w:rPr>
          <w:rFonts w:asciiTheme="minorHAnsi" w:hAnsiTheme="minorHAnsi" w:cstheme="minorHAnsi"/>
          <w:color w:val="000000" w:themeColor="text1"/>
          <w:sz w:val="22"/>
          <w:szCs w:val="22"/>
        </w:rPr>
        <w:t xml:space="preserve">verify the </w:t>
      </w:r>
      <w:r w:rsidR="007E6010" w:rsidRPr="00A45CE5">
        <w:rPr>
          <w:rFonts w:asciiTheme="minorHAnsi" w:hAnsiTheme="minorHAnsi" w:cstheme="minorHAnsi"/>
          <w:color w:val="000000" w:themeColor="text1"/>
          <w:sz w:val="22"/>
          <w:szCs w:val="22"/>
        </w:rPr>
        <w:t>goods or services being supplied. LPLG members were invited to notify HMRC of any queries</w:t>
      </w:r>
      <w:r w:rsidR="00A75D5F" w:rsidRPr="00A45CE5">
        <w:rPr>
          <w:rFonts w:asciiTheme="minorHAnsi" w:hAnsiTheme="minorHAnsi" w:cstheme="minorHAnsi"/>
          <w:color w:val="000000" w:themeColor="text1"/>
          <w:sz w:val="22"/>
          <w:szCs w:val="22"/>
        </w:rPr>
        <w:t>.</w:t>
      </w:r>
    </w:p>
    <w:p w14:paraId="3B462F13" w14:textId="2F55BB7B" w:rsidR="007E6010" w:rsidRPr="00A45CE5" w:rsidRDefault="007E6010"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AP1: LPLG members to inform HMRC of any questions about the </w:t>
      </w:r>
      <w:r w:rsidR="00182114" w:rsidRPr="00A45CE5">
        <w:rPr>
          <w:rFonts w:asciiTheme="minorHAnsi" w:hAnsiTheme="minorHAnsi" w:cstheme="minorHAnsi"/>
          <w:b/>
          <w:bCs/>
          <w:color w:val="000000" w:themeColor="text1"/>
          <w:sz w:val="22"/>
          <w:szCs w:val="22"/>
        </w:rPr>
        <w:t>written response.</w:t>
      </w:r>
    </w:p>
    <w:p w14:paraId="354404C4" w14:textId="77777777" w:rsidR="006B6CDD" w:rsidRPr="00A45CE5" w:rsidRDefault="006B6CDD" w:rsidP="00487D10">
      <w:pPr>
        <w:spacing w:after="120"/>
        <w:rPr>
          <w:rFonts w:asciiTheme="minorHAnsi" w:hAnsiTheme="minorHAnsi" w:cstheme="minorHAnsi"/>
          <w:color w:val="000000" w:themeColor="text1"/>
          <w:sz w:val="22"/>
          <w:szCs w:val="22"/>
        </w:rPr>
      </w:pPr>
    </w:p>
    <w:p w14:paraId="4DF9F054" w14:textId="327FE86E" w:rsidR="00D6504C" w:rsidRPr="00A45CE5" w:rsidRDefault="00D6504C"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New queries</w:t>
      </w:r>
    </w:p>
    <w:p w14:paraId="7C93CE3A" w14:textId="2B59C3D6" w:rsidR="00D6504C" w:rsidRPr="00A45CE5" w:rsidRDefault="00D6504C" w:rsidP="00487D10">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Sonder 1</w:t>
      </w:r>
      <w:r w:rsidR="00C22F2A" w:rsidRPr="00A45CE5">
        <w:rPr>
          <w:rFonts w:asciiTheme="minorHAnsi" w:hAnsiTheme="minorHAnsi" w:cstheme="minorHAnsi"/>
          <w:i/>
          <w:iCs/>
          <w:color w:val="000000" w:themeColor="text1"/>
          <w:sz w:val="22"/>
          <w:szCs w:val="22"/>
        </w:rPr>
        <w:t xml:space="preserve"> (see Annex </w:t>
      </w:r>
      <w:r w:rsidR="00EA6982" w:rsidRPr="00A45CE5">
        <w:rPr>
          <w:rFonts w:asciiTheme="minorHAnsi" w:hAnsiTheme="minorHAnsi" w:cstheme="minorHAnsi"/>
          <w:i/>
          <w:iCs/>
          <w:color w:val="000000" w:themeColor="text1"/>
          <w:sz w:val="22"/>
          <w:szCs w:val="22"/>
        </w:rPr>
        <w:t>3</w:t>
      </w:r>
      <w:r w:rsidR="00C22F2A" w:rsidRPr="00A45CE5">
        <w:rPr>
          <w:rFonts w:asciiTheme="minorHAnsi" w:hAnsiTheme="minorHAnsi" w:cstheme="minorHAnsi"/>
          <w:i/>
          <w:iCs/>
          <w:color w:val="000000" w:themeColor="text1"/>
          <w:sz w:val="22"/>
          <w:szCs w:val="22"/>
        </w:rPr>
        <w:t xml:space="preserve">) </w:t>
      </w:r>
    </w:p>
    <w:p w14:paraId="36260DB6" w14:textId="35CBD40F" w:rsidR="00DA2552" w:rsidRPr="00A45CE5" w:rsidRDefault="00EB0D31"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This query </w:t>
      </w:r>
      <w:r w:rsidR="00F63F8E" w:rsidRPr="00A45CE5">
        <w:rPr>
          <w:rFonts w:asciiTheme="minorHAnsi" w:hAnsiTheme="minorHAnsi" w:cstheme="minorHAnsi"/>
          <w:color w:val="000000" w:themeColor="text1"/>
          <w:sz w:val="22"/>
          <w:szCs w:val="22"/>
        </w:rPr>
        <w:t xml:space="preserve">contained </w:t>
      </w:r>
      <w:proofErr w:type="gramStart"/>
      <w:r w:rsidR="00F63F8E" w:rsidRPr="00A45CE5">
        <w:rPr>
          <w:rFonts w:asciiTheme="minorHAnsi" w:hAnsiTheme="minorHAnsi" w:cstheme="minorHAnsi"/>
          <w:color w:val="000000" w:themeColor="text1"/>
          <w:sz w:val="22"/>
          <w:szCs w:val="22"/>
        </w:rPr>
        <w:t>a number of</w:t>
      </w:r>
      <w:proofErr w:type="gramEnd"/>
      <w:r w:rsidR="00F63F8E" w:rsidRPr="00A45CE5">
        <w:rPr>
          <w:rFonts w:asciiTheme="minorHAnsi" w:hAnsiTheme="minorHAnsi" w:cstheme="minorHAnsi"/>
          <w:color w:val="000000" w:themeColor="text1"/>
          <w:sz w:val="22"/>
          <w:szCs w:val="22"/>
        </w:rPr>
        <w:t xml:space="preserve"> questions regarding HMRC’s reaction to the recent </w:t>
      </w:r>
      <w:r w:rsidR="00F63F8E" w:rsidRPr="00A45CE5">
        <w:rPr>
          <w:rFonts w:asciiTheme="minorHAnsi" w:hAnsiTheme="minorHAnsi" w:cstheme="minorHAnsi"/>
          <w:i/>
          <w:iCs/>
          <w:color w:val="000000" w:themeColor="text1"/>
          <w:sz w:val="22"/>
          <w:szCs w:val="22"/>
        </w:rPr>
        <w:t>Sonder</w:t>
      </w:r>
      <w:r w:rsidR="00F63F8E" w:rsidRPr="00A45CE5">
        <w:rPr>
          <w:rFonts w:asciiTheme="minorHAnsi" w:hAnsiTheme="minorHAnsi" w:cstheme="minorHAnsi"/>
          <w:color w:val="000000" w:themeColor="text1"/>
          <w:sz w:val="22"/>
          <w:szCs w:val="22"/>
        </w:rPr>
        <w:t xml:space="preserve"> case. As HMRC were in the process of appealing </w:t>
      </w:r>
      <w:r w:rsidR="00F63F8E" w:rsidRPr="00A45CE5">
        <w:rPr>
          <w:rFonts w:asciiTheme="minorHAnsi" w:hAnsiTheme="minorHAnsi" w:cstheme="minorHAnsi"/>
          <w:i/>
          <w:iCs/>
          <w:color w:val="000000" w:themeColor="text1"/>
          <w:sz w:val="22"/>
          <w:szCs w:val="22"/>
        </w:rPr>
        <w:t>Sonder</w:t>
      </w:r>
      <w:r w:rsidR="00F63F8E" w:rsidRPr="00A45CE5">
        <w:rPr>
          <w:rFonts w:asciiTheme="minorHAnsi" w:hAnsiTheme="minorHAnsi" w:cstheme="minorHAnsi"/>
          <w:color w:val="000000" w:themeColor="text1"/>
          <w:sz w:val="22"/>
          <w:szCs w:val="22"/>
        </w:rPr>
        <w:t xml:space="preserve">, they were unable to </w:t>
      </w:r>
      <w:r w:rsidR="00F00B94" w:rsidRPr="00A45CE5">
        <w:rPr>
          <w:rFonts w:asciiTheme="minorHAnsi" w:hAnsiTheme="minorHAnsi" w:cstheme="minorHAnsi"/>
          <w:color w:val="000000" w:themeColor="text1"/>
          <w:sz w:val="22"/>
          <w:szCs w:val="22"/>
        </w:rPr>
        <w:t xml:space="preserve">provide any </w:t>
      </w:r>
      <w:r w:rsidR="00F63F8E" w:rsidRPr="00A45CE5">
        <w:rPr>
          <w:rFonts w:asciiTheme="minorHAnsi" w:hAnsiTheme="minorHAnsi" w:cstheme="minorHAnsi"/>
          <w:color w:val="000000" w:themeColor="text1"/>
          <w:sz w:val="22"/>
          <w:szCs w:val="22"/>
        </w:rPr>
        <w:t>comment</w:t>
      </w:r>
      <w:r w:rsidR="00F00B94" w:rsidRPr="00A45CE5">
        <w:rPr>
          <w:rFonts w:asciiTheme="minorHAnsi" w:hAnsiTheme="minorHAnsi" w:cstheme="minorHAnsi"/>
          <w:color w:val="000000" w:themeColor="text1"/>
          <w:sz w:val="22"/>
          <w:szCs w:val="22"/>
        </w:rPr>
        <w:t xml:space="preserve"> at this stage.</w:t>
      </w:r>
    </w:p>
    <w:p w14:paraId="287664AF" w14:textId="707CE329" w:rsidR="00DA2552" w:rsidRPr="00A45CE5" w:rsidRDefault="00F00B94" w:rsidP="00487D10">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Sonder 2</w:t>
      </w:r>
      <w:r w:rsidR="00C22F2A" w:rsidRPr="00A45CE5">
        <w:rPr>
          <w:rFonts w:asciiTheme="minorHAnsi" w:hAnsiTheme="minorHAnsi" w:cstheme="minorHAnsi"/>
          <w:i/>
          <w:iCs/>
          <w:color w:val="000000" w:themeColor="text1"/>
          <w:sz w:val="22"/>
          <w:szCs w:val="22"/>
        </w:rPr>
        <w:t xml:space="preserve"> (see Annex </w:t>
      </w:r>
      <w:r w:rsidR="00EA6982" w:rsidRPr="00A45CE5">
        <w:rPr>
          <w:rFonts w:asciiTheme="minorHAnsi" w:hAnsiTheme="minorHAnsi" w:cstheme="minorHAnsi"/>
          <w:i/>
          <w:iCs/>
          <w:color w:val="000000" w:themeColor="text1"/>
          <w:sz w:val="22"/>
          <w:szCs w:val="22"/>
        </w:rPr>
        <w:t>4</w:t>
      </w:r>
      <w:r w:rsidR="00C22F2A" w:rsidRPr="00A45CE5">
        <w:rPr>
          <w:rFonts w:asciiTheme="minorHAnsi" w:hAnsiTheme="minorHAnsi" w:cstheme="minorHAnsi"/>
          <w:i/>
          <w:iCs/>
          <w:color w:val="000000" w:themeColor="text1"/>
          <w:sz w:val="22"/>
          <w:szCs w:val="22"/>
        </w:rPr>
        <w:t xml:space="preserve">) </w:t>
      </w:r>
    </w:p>
    <w:p w14:paraId="3E522CF5" w14:textId="5811DE68" w:rsidR="00DA2552" w:rsidRPr="00A45CE5" w:rsidRDefault="00E120C8"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LPLG members </w:t>
      </w:r>
      <w:r w:rsidR="00FA4B18" w:rsidRPr="00A45CE5">
        <w:rPr>
          <w:rFonts w:asciiTheme="minorHAnsi" w:hAnsiTheme="minorHAnsi" w:cstheme="minorHAnsi"/>
          <w:color w:val="000000" w:themeColor="text1"/>
          <w:sz w:val="22"/>
          <w:szCs w:val="22"/>
        </w:rPr>
        <w:t xml:space="preserve">were interested in HMRC’s </w:t>
      </w:r>
      <w:r w:rsidR="008633E3" w:rsidRPr="00A45CE5">
        <w:rPr>
          <w:rFonts w:asciiTheme="minorHAnsi" w:hAnsiTheme="minorHAnsi" w:cstheme="minorHAnsi"/>
          <w:color w:val="000000" w:themeColor="text1"/>
          <w:sz w:val="22"/>
          <w:szCs w:val="22"/>
        </w:rPr>
        <w:t xml:space="preserve">interpretation of the reference to </w:t>
      </w:r>
      <w:r w:rsidR="00FC61CB" w:rsidRPr="00A45CE5">
        <w:rPr>
          <w:rFonts w:asciiTheme="minorHAnsi" w:hAnsiTheme="minorHAnsi" w:cstheme="minorHAnsi"/>
          <w:color w:val="000000" w:themeColor="text1"/>
          <w:sz w:val="22"/>
          <w:szCs w:val="22"/>
        </w:rPr>
        <w:t xml:space="preserve">“advertising or holding out” </w:t>
      </w:r>
      <w:r w:rsidR="001643D8" w:rsidRPr="00A45CE5">
        <w:rPr>
          <w:rFonts w:asciiTheme="minorHAnsi" w:hAnsiTheme="minorHAnsi" w:cstheme="minorHAnsi"/>
          <w:color w:val="000000" w:themeColor="text1"/>
          <w:sz w:val="22"/>
          <w:szCs w:val="22"/>
        </w:rPr>
        <w:t xml:space="preserve">in </w:t>
      </w:r>
      <w:r w:rsidR="00966DD1" w:rsidRPr="00A45CE5">
        <w:rPr>
          <w:rFonts w:asciiTheme="minorHAnsi" w:hAnsiTheme="minorHAnsi" w:cstheme="minorHAnsi"/>
          <w:color w:val="000000" w:themeColor="text1"/>
          <w:sz w:val="22"/>
          <w:szCs w:val="22"/>
        </w:rPr>
        <w:t xml:space="preserve">Sch 9 </w:t>
      </w:r>
      <w:r w:rsidR="0074533C" w:rsidRPr="00A45CE5">
        <w:rPr>
          <w:rFonts w:asciiTheme="minorHAnsi" w:hAnsiTheme="minorHAnsi" w:cstheme="minorHAnsi"/>
          <w:color w:val="000000" w:themeColor="text1"/>
          <w:sz w:val="22"/>
          <w:szCs w:val="22"/>
        </w:rPr>
        <w:t xml:space="preserve">Group 1 </w:t>
      </w:r>
      <w:r w:rsidR="001643D8" w:rsidRPr="00A45CE5">
        <w:rPr>
          <w:rFonts w:asciiTheme="minorHAnsi" w:hAnsiTheme="minorHAnsi" w:cstheme="minorHAnsi"/>
          <w:color w:val="000000" w:themeColor="text1"/>
          <w:sz w:val="22"/>
          <w:szCs w:val="22"/>
        </w:rPr>
        <w:t>item 1</w:t>
      </w:r>
      <w:r w:rsidR="00B35CD7" w:rsidRPr="00A45CE5">
        <w:rPr>
          <w:rFonts w:asciiTheme="minorHAnsi" w:hAnsiTheme="minorHAnsi" w:cstheme="minorHAnsi"/>
          <w:color w:val="000000" w:themeColor="text1"/>
          <w:sz w:val="22"/>
          <w:szCs w:val="22"/>
        </w:rPr>
        <w:t>(e)</w:t>
      </w:r>
      <w:r w:rsidR="0074533C" w:rsidRPr="00A45CE5">
        <w:rPr>
          <w:rFonts w:asciiTheme="minorHAnsi" w:hAnsiTheme="minorHAnsi" w:cstheme="minorHAnsi"/>
          <w:color w:val="000000" w:themeColor="text1"/>
          <w:sz w:val="22"/>
          <w:szCs w:val="22"/>
        </w:rPr>
        <w:t xml:space="preserve">. </w:t>
      </w:r>
      <w:proofErr w:type="gramStart"/>
      <w:r w:rsidR="0074533C" w:rsidRPr="00A45CE5">
        <w:rPr>
          <w:rFonts w:asciiTheme="minorHAnsi" w:hAnsiTheme="minorHAnsi" w:cstheme="minorHAnsi"/>
          <w:color w:val="000000" w:themeColor="text1"/>
          <w:sz w:val="22"/>
          <w:szCs w:val="22"/>
        </w:rPr>
        <w:t>In particular, in</w:t>
      </w:r>
      <w:proofErr w:type="gramEnd"/>
      <w:r w:rsidR="0074533C" w:rsidRPr="00A45CE5">
        <w:rPr>
          <w:rFonts w:asciiTheme="minorHAnsi" w:hAnsiTheme="minorHAnsi" w:cstheme="minorHAnsi"/>
          <w:color w:val="000000" w:themeColor="text1"/>
          <w:sz w:val="22"/>
          <w:szCs w:val="22"/>
        </w:rPr>
        <w:t xml:space="preserve"> the context of holiday accommodation, </w:t>
      </w:r>
      <w:r w:rsidR="00400D5C" w:rsidRPr="00A45CE5">
        <w:rPr>
          <w:rFonts w:asciiTheme="minorHAnsi" w:hAnsiTheme="minorHAnsi" w:cstheme="minorHAnsi"/>
          <w:color w:val="000000" w:themeColor="text1"/>
          <w:sz w:val="22"/>
          <w:szCs w:val="22"/>
        </w:rPr>
        <w:t xml:space="preserve">does </w:t>
      </w:r>
      <w:r w:rsidR="003D70FF" w:rsidRPr="00A45CE5">
        <w:rPr>
          <w:rFonts w:asciiTheme="minorHAnsi" w:hAnsiTheme="minorHAnsi" w:cstheme="minorHAnsi"/>
          <w:color w:val="000000" w:themeColor="text1"/>
          <w:sz w:val="22"/>
          <w:szCs w:val="22"/>
        </w:rPr>
        <w:t xml:space="preserve">the identity or nature of the </w:t>
      </w:r>
      <w:r w:rsidR="0074533C" w:rsidRPr="00A45CE5">
        <w:rPr>
          <w:rFonts w:asciiTheme="minorHAnsi" w:hAnsiTheme="minorHAnsi" w:cstheme="minorHAnsi"/>
          <w:color w:val="000000" w:themeColor="text1"/>
          <w:sz w:val="22"/>
          <w:szCs w:val="22"/>
        </w:rPr>
        <w:t>person doing the advertising or holding out</w:t>
      </w:r>
      <w:r w:rsidR="003D70FF" w:rsidRPr="00A45CE5">
        <w:rPr>
          <w:rFonts w:asciiTheme="minorHAnsi" w:hAnsiTheme="minorHAnsi" w:cstheme="minorHAnsi"/>
          <w:color w:val="000000" w:themeColor="text1"/>
          <w:sz w:val="22"/>
          <w:szCs w:val="22"/>
        </w:rPr>
        <w:t xml:space="preserve"> </w:t>
      </w:r>
      <w:r w:rsidR="00702951" w:rsidRPr="00A45CE5">
        <w:rPr>
          <w:rFonts w:asciiTheme="minorHAnsi" w:hAnsiTheme="minorHAnsi" w:cstheme="minorHAnsi"/>
          <w:color w:val="000000" w:themeColor="text1"/>
          <w:sz w:val="22"/>
          <w:szCs w:val="22"/>
        </w:rPr>
        <w:t>(e.g. landlord/</w:t>
      </w:r>
      <w:r w:rsidR="00C44729" w:rsidRPr="00A45CE5">
        <w:rPr>
          <w:rFonts w:asciiTheme="minorHAnsi" w:hAnsiTheme="minorHAnsi" w:cstheme="minorHAnsi"/>
          <w:color w:val="000000" w:themeColor="text1"/>
          <w:sz w:val="22"/>
          <w:szCs w:val="22"/>
        </w:rPr>
        <w:t>lessee</w:t>
      </w:r>
      <w:r w:rsidR="00702951" w:rsidRPr="00A45CE5">
        <w:rPr>
          <w:rFonts w:asciiTheme="minorHAnsi" w:hAnsiTheme="minorHAnsi" w:cstheme="minorHAnsi"/>
          <w:color w:val="000000" w:themeColor="text1"/>
          <w:sz w:val="22"/>
          <w:szCs w:val="22"/>
        </w:rPr>
        <w:t>/agent</w:t>
      </w:r>
      <w:r w:rsidR="003934DD" w:rsidRPr="00A45CE5">
        <w:rPr>
          <w:rFonts w:asciiTheme="minorHAnsi" w:hAnsiTheme="minorHAnsi" w:cstheme="minorHAnsi"/>
          <w:color w:val="000000" w:themeColor="text1"/>
          <w:sz w:val="22"/>
          <w:szCs w:val="22"/>
        </w:rPr>
        <w:t xml:space="preserve">) </w:t>
      </w:r>
      <w:r w:rsidR="003D70FF" w:rsidRPr="00A45CE5">
        <w:rPr>
          <w:rFonts w:asciiTheme="minorHAnsi" w:hAnsiTheme="minorHAnsi" w:cstheme="minorHAnsi"/>
          <w:color w:val="000000" w:themeColor="text1"/>
          <w:sz w:val="22"/>
          <w:szCs w:val="22"/>
        </w:rPr>
        <w:t xml:space="preserve">impact on </w:t>
      </w:r>
      <w:r w:rsidR="007B57D4" w:rsidRPr="00A45CE5">
        <w:rPr>
          <w:rFonts w:asciiTheme="minorHAnsi" w:hAnsiTheme="minorHAnsi" w:cstheme="minorHAnsi"/>
          <w:color w:val="000000" w:themeColor="text1"/>
          <w:sz w:val="22"/>
          <w:szCs w:val="22"/>
        </w:rPr>
        <w:t>a premises’ treatment as holiday accommodation</w:t>
      </w:r>
      <w:r w:rsidR="00A540E0" w:rsidRPr="00A45CE5">
        <w:rPr>
          <w:rFonts w:asciiTheme="minorHAnsi" w:hAnsiTheme="minorHAnsi" w:cstheme="minorHAnsi"/>
          <w:color w:val="000000" w:themeColor="text1"/>
          <w:sz w:val="22"/>
          <w:szCs w:val="22"/>
        </w:rPr>
        <w:t xml:space="preserve"> for VAT purposes</w:t>
      </w:r>
      <w:r w:rsidR="007B57D4" w:rsidRPr="00A45CE5">
        <w:rPr>
          <w:rFonts w:asciiTheme="minorHAnsi" w:hAnsiTheme="minorHAnsi" w:cstheme="minorHAnsi"/>
          <w:color w:val="000000" w:themeColor="text1"/>
          <w:sz w:val="22"/>
          <w:szCs w:val="22"/>
        </w:rPr>
        <w:t xml:space="preserve">? </w:t>
      </w:r>
    </w:p>
    <w:p w14:paraId="6D33B94B" w14:textId="284A48C8" w:rsidR="003934DD" w:rsidRPr="00A45CE5" w:rsidRDefault="003934DD"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HMRC noted that the holiday accommodation exc</w:t>
      </w:r>
      <w:r w:rsidR="002457C1" w:rsidRPr="00A45CE5">
        <w:rPr>
          <w:rFonts w:asciiTheme="minorHAnsi" w:hAnsiTheme="minorHAnsi" w:cstheme="minorHAnsi"/>
          <w:color w:val="000000" w:themeColor="text1"/>
          <w:sz w:val="22"/>
          <w:szCs w:val="22"/>
        </w:rPr>
        <w:t xml:space="preserve">lusion to the land and property </w:t>
      </w:r>
      <w:r w:rsidR="009557E5" w:rsidRPr="00A45CE5">
        <w:rPr>
          <w:rFonts w:asciiTheme="minorHAnsi" w:hAnsiTheme="minorHAnsi" w:cstheme="minorHAnsi"/>
          <w:color w:val="000000" w:themeColor="text1"/>
          <w:sz w:val="22"/>
          <w:szCs w:val="22"/>
        </w:rPr>
        <w:t xml:space="preserve">VAT </w:t>
      </w:r>
      <w:r w:rsidR="002457C1" w:rsidRPr="00A45CE5">
        <w:rPr>
          <w:rFonts w:asciiTheme="minorHAnsi" w:hAnsiTheme="minorHAnsi" w:cstheme="minorHAnsi"/>
          <w:color w:val="000000" w:themeColor="text1"/>
          <w:sz w:val="22"/>
          <w:szCs w:val="22"/>
        </w:rPr>
        <w:t xml:space="preserve">exemption applies to the person making the supply of holiday accommodation. If </w:t>
      </w:r>
      <w:r w:rsidR="00C44729" w:rsidRPr="00A45CE5">
        <w:rPr>
          <w:rFonts w:asciiTheme="minorHAnsi" w:hAnsiTheme="minorHAnsi" w:cstheme="minorHAnsi"/>
          <w:color w:val="000000" w:themeColor="text1"/>
          <w:sz w:val="22"/>
          <w:szCs w:val="22"/>
        </w:rPr>
        <w:t>the supply is made by a lessee, then the exclusion applies to them</w:t>
      </w:r>
      <w:r w:rsidR="00D2041F" w:rsidRPr="00A45CE5">
        <w:rPr>
          <w:rFonts w:asciiTheme="minorHAnsi" w:hAnsiTheme="minorHAnsi" w:cstheme="minorHAnsi"/>
          <w:color w:val="000000" w:themeColor="text1"/>
          <w:sz w:val="22"/>
          <w:szCs w:val="22"/>
        </w:rPr>
        <w:t xml:space="preserve">. </w:t>
      </w:r>
      <w:r w:rsidR="009557E5" w:rsidRPr="00A45CE5">
        <w:rPr>
          <w:rFonts w:asciiTheme="minorHAnsi" w:hAnsiTheme="minorHAnsi" w:cstheme="minorHAnsi"/>
          <w:color w:val="000000" w:themeColor="text1"/>
          <w:sz w:val="22"/>
          <w:szCs w:val="22"/>
        </w:rPr>
        <w:t xml:space="preserve">Supplies by a landowner to a third party (e.g. who may then </w:t>
      </w:r>
      <w:r w:rsidR="00A60E41" w:rsidRPr="00A45CE5">
        <w:rPr>
          <w:rFonts w:asciiTheme="minorHAnsi" w:hAnsiTheme="minorHAnsi" w:cstheme="minorHAnsi"/>
          <w:color w:val="000000" w:themeColor="text1"/>
          <w:sz w:val="22"/>
          <w:szCs w:val="22"/>
        </w:rPr>
        <w:t xml:space="preserve">make that property available for holiday accommodation) </w:t>
      </w:r>
      <w:r w:rsidR="009557E5" w:rsidRPr="00A45CE5">
        <w:rPr>
          <w:rFonts w:asciiTheme="minorHAnsi" w:hAnsiTheme="minorHAnsi" w:cstheme="minorHAnsi"/>
          <w:color w:val="000000" w:themeColor="text1"/>
          <w:sz w:val="22"/>
          <w:szCs w:val="22"/>
        </w:rPr>
        <w:t>would normally be treated as exempt supplies.</w:t>
      </w:r>
    </w:p>
    <w:p w14:paraId="5303646F" w14:textId="3300938D" w:rsidR="00A205FC" w:rsidRPr="00A45CE5" w:rsidRDefault="005877BD"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LPLG members </w:t>
      </w:r>
      <w:r w:rsidR="00504861" w:rsidRPr="00A45CE5">
        <w:rPr>
          <w:rFonts w:asciiTheme="minorHAnsi" w:hAnsiTheme="minorHAnsi" w:cstheme="minorHAnsi"/>
          <w:color w:val="000000" w:themeColor="text1"/>
          <w:sz w:val="22"/>
          <w:szCs w:val="22"/>
        </w:rPr>
        <w:t xml:space="preserve">highlighted a situation in which HMRC </w:t>
      </w:r>
      <w:r w:rsidR="00A205FC" w:rsidRPr="00A45CE5">
        <w:rPr>
          <w:rFonts w:asciiTheme="minorHAnsi" w:hAnsiTheme="minorHAnsi" w:cstheme="minorHAnsi"/>
          <w:color w:val="000000" w:themeColor="text1"/>
          <w:sz w:val="22"/>
          <w:szCs w:val="22"/>
        </w:rPr>
        <w:t xml:space="preserve">had argued </w:t>
      </w:r>
      <w:r w:rsidR="00504861" w:rsidRPr="00A45CE5">
        <w:rPr>
          <w:rFonts w:asciiTheme="minorHAnsi" w:hAnsiTheme="minorHAnsi" w:cstheme="minorHAnsi"/>
          <w:color w:val="000000" w:themeColor="text1"/>
          <w:sz w:val="22"/>
          <w:szCs w:val="22"/>
        </w:rPr>
        <w:t>that a landowner’s supply of land to a caravan site operator</w:t>
      </w:r>
      <w:r w:rsidR="00A205FC" w:rsidRPr="00A45CE5">
        <w:rPr>
          <w:rFonts w:asciiTheme="minorHAnsi" w:hAnsiTheme="minorHAnsi" w:cstheme="minorHAnsi"/>
          <w:color w:val="000000" w:themeColor="text1"/>
          <w:sz w:val="22"/>
          <w:szCs w:val="22"/>
        </w:rPr>
        <w:t xml:space="preserve"> was provision of holiday accommodation rather than an exempt supply of land. </w:t>
      </w:r>
    </w:p>
    <w:p w14:paraId="1C4F6CA7" w14:textId="0060FABF" w:rsidR="00DB704A" w:rsidRPr="00A45CE5" w:rsidRDefault="00DB704A" w:rsidP="00B5138C">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AP</w:t>
      </w:r>
      <w:r w:rsidR="00B5138C" w:rsidRPr="00A45CE5">
        <w:rPr>
          <w:rFonts w:asciiTheme="minorHAnsi" w:hAnsiTheme="minorHAnsi" w:cstheme="minorHAnsi"/>
          <w:b/>
          <w:bCs/>
          <w:color w:val="000000" w:themeColor="text1"/>
          <w:sz w:val="22"/>
          <w:szCs w:val="22"/>
        </w:rPr>
        <w:t>2</w:t>
      </w:r>
      <w:r w:rsidRPr="00A45CE5">
        <w:rPr>
          <w:rFonts w:asciiTheme="minorHAnsi" w:hAnsiTheme="minorHAnsi" w:cstheme="minorHAnsi"/>
          <w:b/>
          <w:bCs/>
          <w:color w:val="000000" w:themeColor="text1"/>
          <w:sz w:val="22"/>
          <w:szCs w:val="22"/>
        </w:rPr>
        <w:t xml:space="preserve">: </w:t>
      </w:r>
      <w:r w:rsidR="00B5138C" w:rsidRPr="00A45CE5">
        <w:rPr>
          <w:rFonts w:asciiTheme="minorHAnsi" w:hAnsiTheme="minorHAnsi" w:cstheme="minorHAnsi"/>
          <w:b/>
          <w:bCs/>
          <w:color w:val="000000" w:themeColor="text1"/>
          <w:sz w:val="22"/>
          <w:szCs w:val="22"/>
        </w:rPr>
        <w:t xml:space="preserve">HMRC to provide written response to this query </w:t>
      </w:r>
      <w:r w:rsidR="009441E6" w:rsidRPr="00A45CE5">
        <w:rPr>
          <w:rFonts w:asciiTheme="minorHAnsi" w:hAnsiTheme="minorHAnsi" w:cstheme="minorHAnsi"/>
          <w:b/>
          <w:bCs/>
          <w:color w:val="000000" w:themeColor="text1"/>
          <w:sz w:val="22"/>
          <w:szCs w:val="22"/>
        </w:rPr>
        <w:t>as soon as possible</w:t>
      </w:r>
      <w:r w:rsidR="000F4311" w:rsidRPr="00A45CE5">
        <w:rPr>
          <w:rFonts w:asciiTheme="minorHAnsi" w:hAnsiTheme="minorHAnsi" w:cstheme="minorHAnsi"/>
          <w:b/>
          <w:bCs/>
          <w:color w:val="000000" w:themeColor="text1"/>
          <w:sz w:val="22"/>
          <w:szCs w:val="22"/>
        </w:rPr>
        <w:t>.</w:t>
      </w:r>
    </w:p>
    <w:p w14:paraId="45A121F9" w14:textId="29E64B51" w:rsidR="00DB704A" w:rsidRPr="00A45CE5" w:rsidRDefault="0057558C" w:rsidP="00487D10">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Catchpole and Fox</w:t>
      </w:r>
      <w:r w:rsidR="00C22F2A" w:rsidRPr="00A45CE5">
        <w:rPr>
          <w:rFonts w:asciiTheme="minorHAnsi" w:hAnsiTheme="minorHAnsi" w:cstheme="minorHAnsi"/>
          <w:i/>
          <w:iCs/>
          <w:color w:val="000000" w:themeColor="text1"/>
          <w:sz w:val="22"/>
          <w:szCs w:val="22"/>
        </w:rPr>
        <w:t xml:space="preserve"> (see Annex </w:t>
      </w:r>
      <w:r w:rsidR="00EA6982" w:rsidRPr="00A45CE5">
        <w:rPr>
          <w:rFonts w:asciiTheme="minorHAnsi" w:hAnsiTheme="minorHAnsi" w:cstheme="minorHAnsi"/>
          <w:i/>
          <w:iCs/>
          <w:color w:val="000000" w:themeColor="text1"/>
          <w:sz w:val="22"/>
          <w:szCs w:val="22"/>
        </w:rPr>
        <w:t>5</w:t>
      </w:r>
      <w:r w:rsidR="00C22F2A" w:rsidRPr="00A45CE5">
        <w:rPr>
          <w:rFonts w:asciiTheme="minorHAnsi" w:hAnsiTheme="minorHAnsi" w:cstheme="minorHAnsi"/>
          <w:i/>
          <w:iCs/>
          <w:color w:val="000000" w:themeColor="text1"/>
          <w:sz w:val="22"/>
          <w:szCs w:val="22"/>
        </w:rPr>
        <w:t xml:space="preserve">) </w:t>
      </w:r>
    </w:p>
    <w:p w14:paraId="09E40D7B" w14:textId="1849AB76" w:rsidR="00DA2552" w:rsidRPr="00A45CE5" w:rsidRDefault="00F53CDE"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In a written response that would be circulated after the meeting, HMRC confirmed that</w:t>
      </w:r>
      <w:r w:rsidR="00490B03" w:rsidRPr="00A45CE5">
        <w:rPr>
          <w:rFonts w:asciiTheme="minorHAnsi" w:hAnsiTheme="minorHAnsi" w:cstheme="minorHAnsi"/>
          <w:color w:val="000000" w:themeColor="text1"/>
          <w:sz w:val="22"/>
          <w:szCs w:val="22"/>
        </w:rPr>
        <w:t xml:space="preserve"> following the decisions in </w:t>
      </w:r>
      <w:r w:rsidR="00490B03" w:rsidRPr="00A45CE5">
        <w:rPr>
          <w:rFonts w:asciiTheme="minorHAnsi" w:hAnsiTheme="minorHAnsi" w:cstheme="minorHAnsi"/>
          <w:i/>
          <w:iCs/>
          <w:color w:val="000000" w:themeColor="text1"/>
          <w:sz w:val="22"/>
          <w:szCs w:val="22"/>
        </w:rPr>
        <w:t xml:space="preserve">Catchpole </w:t>
      </w:r>
      <w:r w:rsidR="00490B03" w:rsidRPr="00A45CE5">
        <w:rPr>
          <w:rFonts w:asciiTheme="minorHAnsi" w:hAnsiTheme="minorHAnsi" w:cstheme="minorHAnsi"/>
          <w:color w:val="000000" w:themeColor="text1"/>
          <w:sz w:val="22"/>
          <w:szCs w:val="22"/>
        </w:rPr>
        <w:t xml:space="preserve">and </w:t>
      </w:r>
      <w:r w:rsidR="00490B03" w:rsidRPr="00A45CE5">
        <w:rPr>
          <w:rFonts w:asciiTheme="minorHAnsi" w:hAnsiTheme="minorHAnsi" w:cstheme="minorHAnsi"/>
          <w:i/>
          <w:iCs/>
          <w:color w:val="000000" w:themeColor="text1"/>
          <w:sz w:val="22"/>
          <w:szCs w:val="22"/>
        </w:rPr>
        <w:t>Fox</w:t>
      </w:r>
      <w:r w:rsidRPr="00A45CE5">
        <w:rPr>
          <w:rFonts w:asciiTheme="minorHAnsi" w:hAnsiTheme="minorHAnsi" w:cstheme="minorHAnsi"/>
          <w:color w:val="000000" w:themeColor="text1"/>
          <w:sz w:val="22"/>
          <w:szCs w:val="22"/>
        </w:rPr>
        <w:t>:</w:t>
      </w:r>
    </w:p>
    <w:p w14:paraId="13226871" w14:textId="77777777" w:rsidR="009441E6" w:rsidRPr="00A45CE5" w:rsidRDefault="009441E6" w:rsidP="00F53CDE">
      <w:pPr>
        <w:pStyle w:val="ListParagraph"/>
        <w:numPr>
          <w:ilvl w:val="0"/>
          <w:numId w:val="5"/>
        </w:numPr>
        <w:spacing w:after="120"/>
        <w:rPr>
          <w:rFonts w:cstheme="minorHAnsi"/>
          <w:color w:val="000000" w:themeColor="text1"/>
        </w:rPr>
      </w:pPr>
      <w:r w:rsidRPr="00A45CE5">
        <w:rPr>
          <w:color w:val="000000" w:themeColor="text1"/>
        </w:rPr>
        <w:lastRenderedPageBreak/>
        <w:t xml:space="preserve">VCONST14010 said that ‘Throughout this guidance reference to building can also refer to buildings unless the context clearly indicates otherwise’. HMRC confirmed that the guidance referred to </w:t>
      </w:r>
      <w:proofErr w:type="gramStart"/>
      <w:r w:rsidRPr="00A45CE5">
        <w:rPr>
          <w:color w:val="000000" w:themeColor="text1"/>
        </w:rPr>
        <w:t>was</w:t>
      </w:r>
      <w:proofErr w:type="gramEnd"/>
      <w:r w:rsidRPr="00A45CE5">
        <w:rPr>
          <w:color w:val="000000" w:themeColor="text1"/>
        </w:rPr>
        <w:t xml:space="preserve"> the manual as a whole, and that they were unaware of any instances where it actually did ‘clearly indicate otherwise’</w:t>
      </w:r>
    </w:p>
    <w:p w14:paraId="1CEAF0A6" w14:textId="6324BAE2" w:rsidR="00F53CDE" w:rsidRPr="00A45CE5" w:rsidRDefault="00490B03" w:rsidP="00F53CDE">
      <w:pPr>
        <w:pStyle w:val="ListParagraph"/>
        <w:numPr>
          <w:ilvl w:val="0"/>
          <w:numId w:val="5"/>
        </w:numPr>
        <w:spacing w:after="120"/>
        <w:rPr>
          <w:rFonts w:cstheme="minorHAnsi"/>
          <w:color w:val="000000" w:themeColor="text1"/>
        </w:rPr>
      </w:pPr>
      <w:r w:rsidRPr="00A45CE5">
        <w:rPr>
          <w:rFonts w:cstheme="minorHAnsi"/>
          <w:color w:val="000000" w:themeColor="text1"/>
        </w:rPr>
        <w:t xml:space="preserve">Where HMRC’s VAT guidance referred to a building, this included buildings that were comprised of more than one </w:t>
      </w:r>
      <w:r w:rsidR="002E5B31" w:rsidRPr="00A45CE5">
        <w:rPr>
          <w:rFonts w:cstheme="minorHAnsi"/>
          <w:color w:val="000000" w:themeColor="text1"/>
        </w:rPr>
        <w:t>physical structure.</w:t>
      </w:r>
    </w:p>
    <w:p w14:paraId="754053B6" w14:textId="2B22E4EC" w:rsidR="002E5B31" w:rsidRPr="00A45CE5" w:rsidRDefault="002E5B31" w:rsidP="00F53CDE">
      <w:pPr>
        <w:pStyle w:val="ListParagraph"/>
        <w:numPr>
          <w:ilvl w:val="0"/>
          <w:numId w:val="5"/>
        </w:numPr>
        <w:spacing w:after="120"/>
        <w:rPr>
          <w:rFonts w:cstheme="minorHAnsi"/>
          <w:color w:val="000000" w:themeColor="text1"/>
        </w:rPr>
      </w:pPr>
      <w:r w:rsidRPr="00A45CE5">
        <w:rPr>
          <w:rFonts w:cstheme="minorHAnsi"/>
          <w:color w:val="000000" w:themeColor="text1"/>
        </w:rPr>
        <w:t xml:space="preserve">Where HMRC’s extant guidance pre-dated the cases noted above, it would be changed </w:t>
      </w:r>
      <w:proofErr w:type="gramStart"/>
      <w:r w:rsidR="00CA65EE" w:rsidRPr="00A45CE5">
        <w:rPr>
          <w:rFonts w:cstheme="minorHAnsi"/>
          <w:color w:val="000000" w:themeColor="text1"/>
        </w:rPr>
        <w:t>so as to</w:t>
      </w:r>
      <w:proofErr w:type="gramEnd"/>
      <w:r w:rsidR="00CA65EE" w:rsidRPr="00A45CE5">
        <w:rPr>
          <w:rFonts w:cstheme="minorHAnsi"/>
          <w:color w:val="000000" w:themeColor="text1"/>
        </w:rPr>
        <w:t xml:space="preserve"> be consistent with the outcome of those cases.</w:t>
      </w:r>
    </w:p>
    <w:p w14:paraId="5BF50CD6" w14:textId="78E3F829" w:rsidR="00CA65EE" w:rsidRPr="00A45CE5" w:rsidRDefault="002949AF" w:rsidP="00F53CDE">
      <w:pPr>
        <w:pStyle w:val="ListParagraph"/>
        <w:numPr>
          <w:ilvl w:val="0"/>
          <w:numId w:val="5"/>
        </w:numPr>
        <w:spacing w:after="120"/>
        <w:rPr>
          <w:rFonts w:cstheme="minorHAnsi"/>
          <w:color w:val="000000" w:themeColor="text1"/>
        </w:rPr>
      </w:pPr>
      <w:r w:rsidRPr="00A45CE5">
        <w:rPr>
          <w:rFonts w:cstheme="minorHAnsi"/>
          <w:color w:val="000000" w:themeColor="text1"/>
        </w:rPr>
        <w:t xml:space="preserve">HMRC </w:t>
      </w:r>
      <w:r w:rsidR="00AD1A7C" w:rsidRPr="00A45CE5">
        <w:rPr>
          <w:rFonts w:cstheme="minorHAnsi"/>
          <w:color w:val="000000" w:themeColor="text1"/>
        </w:rPr>
        <w:t xml:space="preserve">would follow the same principle in the case of </w:t>
      </w:r>
      <w:r w:rsidRPr="00A45CE5">
        <w:rPr>
          <w:rFonts w:cstheme="minorHAnsi"/>
          <w:color w:val="000000" w:themeColor="text1"/>
        </w:rPr>
        <w:t>building</w:t>
      </w:r>
      <w:r w:rsidR="00AD1A7C" w:rsidRPr="00A45CE5">
        <w:rPr>
          <w:rFonts w:cstheme="minorHAnsi"/>
          <w:color w:val="000000" w:themeColor="text1"/>
        </w:rPr>
        <w:t>s</w:t>
      </w:r>
      <w:r w:rsidRPr="00A45CE5">
        <w:rPr>
          <w:rFonts w:cstheme="minorHAnsi"/>
          <w:color w:val="000000" w:themeColor="text1"/>
        </w:rPr>
        <w:t xml:space="preserve"> designed as </w:t>
      </w:r>
      <w:proofErr w:type="gramStart"/>
      <w:r w:rsidRPr="00A45CE5">
        <w:rPr>
          <w:rFonts w:cstheme="minorHAnsi"/>
          <w:color w:val="000000" w:themeColor="text1"/>
        </w:rPr>
        <w:t>a number of</w:t>
      </w:r>
      <w:proofErr w:type="gramEnd"/>
      <w:r w:rsidRPr="00A45CE5">
        <w:rPr>
          <w:rFonts w:cstheme="minorHAnsi"/>
          <w:color w:val="000000" w:themeColor="text1"/>
        </w:rPr>
        <w:t xml:space="preserve"> dwellings</w:t>
      </w:r>
      <w:r w:rsidR="0032582E" w:rsidRPr="00A45CE5">
        <w:rPr>
          <w:rFonts w:cstheme="minorHAnsi"/>
          <w:color w:val="000000" w:themeColor="text1"/>
        </w:rPr>
        <w:t>.</w:t>
      </w:r>
      <w:r w:rsidRPr="00A45CE5">
        <w:rPr>
          <w:rFonts w:cstheme="minorHAnsi"/>
          <w:color w:val="000000" w:themeColor="text1"/>
        </w:rPr>
        <w:t xml:space="preserve"> </w:t>
      </w:r>
      <w:r w:rsidR="0032582E" w:rsidRPr="00A45CE5">
        <w:rPr>
          <w:rFonts w:cstheme="minorHAnsi"/>
          <w:color w:val="000000" w:themeColor="text1"/>
        </w:rPr>
        <w:t>For instance,</w:t>
      </w:r>
      <w:r w:rsidRPr="00A45CE5">
        <w:rPr>
          <w:rFonts w:cstheme="minorHAnsi"/>
          <w:color w:val="000000" w:themeColor="text1"/>
        </w:rPr>
        <w:t xml:space="preserve"> a block of flats</w:t>
      </w:r>
      <w:r w:rsidR="00AD1A7C" w:rsidRPr="00A45CE5">
        <w:rPr>
          <w:rFonts w:cstheme="minorHAnsi"/>
          <w:color w:val="000000" w:themeColor="text1"/>
        </w:rPr>
        <w:t xml:space="preserve"> with a laundrette in a separate building would be treated as the same </w:t>
      </w:r>
      <w:r w:rsidR="0032582E" w:rsidRPr="00A45CE5">
        <w:rPr>
          <w:rFonts w:cstheme="minorHAnsi"/>
          <w:color w:val="000000" w:themeColor="text1"/>
        </w:rPr>
        <w:t>building for VAT zero-rating purposes</w:t>
      </w:r>
      <w:r w:rsidR="00B91FBC" w:rsidRPr="00A45CE5">
        <w:rPr>
          <w:rFonts w:cstheme="minorHAnsi"/>
          <w:color w:val="000000" w:themeColor="text1"/>
        </w:rPr>
        <w:t xml:space="preserve"> </w:t>
      </w:r>
      <w:proofErr w:type="gramStart"/>
      <w:r w:rsidR="00B91FBC" w:rsidRPr="00A45CE5">
        <w:rPr>
          <w:rFonts w:cstheme="minorHAnsi"/>
          <w:color w:val="000000" w:themeColor="text1"/>
        </w:rPr>
        <w:t>as long as</w:t>
      </w:r>
      <w:proofErr w:type="gramEnd"/>
      <w:r w:rsidR="00B91FBC" w:rsidRPr="00A45CE5">
        <w:rPr>
          <w:rFonts w:cstheme="minorHAnsi"/>
          <w:color w:val="000000" w:themeColor="text1"/>
        </w:rPr>
        <w:t xml:space="preserve"> the buildings were both constructed at the same time</w:t>
      </w:r>
      <w:r w:rsidR="005D38A1" w:rsidRPr="00A45CE5">
        <w:rPr>
          <w:rFonts w:cstheme="minorHAnsi"/>
          <w:color w:val="000000" w:themeColor="text1"/>
        </w:rPr>
        <w:t>.</w:t>
      </w:r>
    </w:p>
    <w:p w14:paraId="0A425247" w14:textId="10264A2D" w:rsidR="005D38A1" w:rsidRPr="00A45CE5" w:rsidRDefault="005D38A1" w:rsidP="00F53CDE">
      <w:pPr>
        <w:pStyle w:val="ListParagraph"/>
        <w:numPr>
          <w:ilvl w:val="0"/>
          <w:numId w:val="5"/>
        </w:numPr>
        <w:spacing w:after="120"/>
        <w:rPr>
          <w:rFonts w:cstheme="minorHAnsi"/>
          <w:color w:val="000000" w:themeColor="text1"/>
        </w:rPr>
      </w:pPr>
      <w:r w:rsidRPr="00A45CE5">
        <w:rPr>
          <w:rFonts w:cstheme="minorHAnsi"/>
          <w:color w:val="000000" w:themeColor="text1"/>
        </w:rPr>
        <w:t xml:space="preserve">The important point is that the buildings should together form a single </w:t>
      </w:r>
      <w:r w:rsidR="004F3DCF" w:rsidRPr="00A45CE5">
        <w:rPr>
          <w:rFonts w:cstheme="minorHAnsi"/>
          <w:color w:val="000000" w:themeColor="text1"/>
        </w:rPr>
        <w:t xml:space="preserve">living unit (i.e. should provide </w:t>
      </w:r>
      <w:r w:rsidR="00087F03" w:rsidRPr="00A45CE5">
        <w:rPr>
          <w:rFonts w:cstheme="minorHAnsi"/>
          <w:color w:val="000000" w:themeColor="text1"/>
        </w:rPr>
        <w:t xml:space="preserve">what might reasonably be expected to be needed in a modern living arrangement). </w:t>
      </w:r>
      <w:r w:rsidR="009D43A8" w:rsidRPr="00A45CE5">
        <w:rPr>
          <w:rFonts w:cstheme="minorHAnsi"/>
          <w:color w:val="000000" w:themeColor="text1"/>
        </w:rPr>
        <w:t>HMRC would not view a block of flats with a gym/pool in a separate building</w:t>
      </w:r>
      <w:r w:rsidR="0032242E" w:rsidRPr="00A45CE5">
        <w:rPr>
          <w:rFonts w:cstheme="minorHAnsi"/>
          <w:color w:val="000000" w:themeColor="text1"/>
        </w:rPr>
        <w:t xml:space="preserve"> (even if their use was restricted to residents)</w:t>
      </w:r>
      <w:r w:rsidR="009D43A8" w:rsidRPr="00A45CE5">
        <w:rPr>
          <w:rFonts w:cstheme="minorHAnsi"/>
          <w:color w:val="000000" w:themeColor="text1"/>
        </w:rPr>
        <w:t xml:space="preserve"> as part of the same building, as such leisure amenities are not necessary to form a single living unit.</w:t>
      </w:r>
    </w:p>
    <w:p w14:paraId="6146F305" w14:textId="0F931A45" w:rsidR="000F106F" w:rsidRPr="00A45CE5" w:rsidRDefault="00F6080B" w:rsidP="000F106F">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HMRC further </w:t>
      </w:r>
      <w:r w:rsidR="006D5942" w:rsidRPr="00A45CE5">
        <w:rPr>
          <w:rFonts w:asciiTheme="minorHAnsi" w:hAnsiTheme="minorHAnsi" w:cstheme="minorHAnsi"/>
          <w:color w:val="000000" w:themeColor="text1"/>
          <w:sz w:val="22"/>
          <w:szCs w:val="22"/>
        </w:rPr>
        <w:t xml:space="preserve">confirmed that if a block of flats contained </w:t>
      </w:r>
      <w:r w:rsidR="008F4298" w:rsidRPr="00A45CE5">
        <w:rPr>
          <w:rFonts w:asciiTheme="minorHAnsi" w:hAnsiTheme="minorHAnsi" w:cstheme="minorHAnsi"/>
          <w:color w:val="000000" w:themeColor="text1"/>
          <w:sz w:val="22"/>
          <w:szCs w:val="22"/>
        </w:rPr>
        <w:t xml:space="preserve">leisure facilities within the same building as the residential </w:t>
      </w:r>
      <w:proofErr w:type="gramStart"/>
      <w:r w:rsidR="008F4298" w:rsidRPr="00A45CE5">
        <w:rPr>
          <w:rFonts w:asciiTheme="minorHAnsi" w:hAnsiTheme="minorHAnsi" w:cstheme="minorHAnsi"/>
          <w:color w:val="000000" w:themeColor="text1"/>
          <w:sz w:val="22"/>
          <w:szCs w:val="22"/>
        </w:rPr>
        <w:t>accommodation</w:t>
      </w:r>
      <w:proofErr w:type="gramEnd"/>
      <w:r w:rsidR="008F4298" w:rsidRPr="00A45CE5">
        <w:rPr>
          <w:rFonts w:asciiTheme="minorHAnsi" w:hAnsiTheme="minorHAnsi" w:cstheme="minorHAnsi"/>
          <w:color w:val="000000" w:themeColor="text1"/>
          <w:sz w:val="22"/>
          <w:szCs w:val="22"/>
        </w:rPr>
        <w:t xml:space="preserve"> then </w:t>
      </w:r>
      <w:r w:rsidR="00EA0460" w:rsidRPr="00A45CE5">
        <w:rPr>
          <w:rFonts w:asciiTheme="minorHAnsi" w:hAnsiTheme="minorHAnsi" w:cstheme="minorHAnsi"/>
          <w:color w:val="000000" w:themeColor="text1"/>
          <w:sz w:val="22"/>
          <w:szCs w:val="22"/>
        </w:rPr>
        <w:t xml:space="preserve">the cost of building these facilities could be zero rated. LPLG members </w:t>
      </w:r>
      <w:r w:rsidR="00A62545" w:rsidRPr="00A45CE5">
        <w:rPr>
          <w:rFonts w:asciiTheme="minorHAnsi" w:hAnsiTheme="minorHAnsi" w:cstheme="minorHAnsi"/>
          <w:color w:val="000000" w:themeColor="text1"/>
          <w:sz w:val="22"/>
          <w:szCs w:val="22"/>
        </w:rPr>
        <w:t xml:space="preserve">were </w:t>
      </w:r>
      <w:r w:rsidR="00726D94" w:rsidRPr="00A45CE5">
        <w:rPr>
          <w:rFonts w:asciiTheme="minorHAnsi" w:hAnsiTheme="minorHAnsi" w:cstheme="minorHAnsi"/>
          <w:color w:val="000000" w:themeColor="text1"/>
          <w:sz w:val="22"/>
          <w:szCs w:val="22"/>
        </w:rPr>
        <w:t>surprised at</w:t>
      </w:r>
      <w:r w:rsidR="00A62545" w:rsidRPr="00A45CE5">
        <w:rPr>
          <w:rFonts w:asciiTheme="minorHAnsi" w:hAnsiTheme="minorHAnsi" w:cstheme="minorHAnsi"/>
          <w:color w:val="000000" w:themeColor="text1"/>
          <w:sz w:val="22"/>
          <w:szCs w:val="22"/>
        </w:rPr>
        <w:t xml:space="preserve"> the discrepancy in treatment between </w:t>
      </w:r>
      <w:r w:rsidR="00601455" w:rsidRPr="00A45CE5">
        <w:rPr>
          <w:rFonts w:asciiTheme="minorHAnsi" w:hAnsiTheme="minorHAnsi" w:cstheme="minorHAnsi"/>
          <w:color w:val="000000" w:themeColor="text1"/>
          <w:sz w:val="22"/>
          <w:szCs w:val="22"/>
        </w:rPr>
        <w:t xml:space="preserve">leisure facilities that </w:t>
      </w:r>
      <w:r w:rsidR="001B03C7" w:rsidRPr="00A45CE5">
        <w:rPr>
          <w:rFonts w:asciiTheme="minorHAnsi" w:hAnsiTheme="minorHAnsi" w:cstheme="minorHAnsi"/>
          <w:color w:val="000000" w:themeColor="text1"/>
          <w:sz w:val="22"/>
          <w:szCs w:val="22"/>
        </w:rPr>
        <w:t>were in the same building as the dwellings</w:t>
      </w:r>
      <w:r w:rsidR="007037ED" w:rsidRPr="00A45CE5">
        <w:rPr>
          <w:rFonts w:asciiTheme="minorHAnsi" w:hAnsiTheme="minorHAnsi" w:cstheme="minorHAnsi"/>
          <w:color w:val="000000" w:themeColor="text1"/>
          <w:sz w:val="22"/>
          <w:szCs w:val="22"/>
        </w:rPr>
        <w:t xml:space="preserve"> and those that were </w:t>
      </w:r>
      <w:r w:rsidR="000A0E71" w:rsidRPr="00A45CE5">
        <w:rPr>
          <w:rFonts w:asciiTheme="minorHAnsi" w:hAnsiTheme="minorHAnsi" w:cstheme="minorHAnsi"/>
          <w:color w:val="000000" w:themeColor="text1"/>
          <w:sz w:val="22"/>
          <w:szCs w:val="22"/>
        </w:rPr>
        <w:t xml:space="preserve">in a </w:t>
      </w:r>
      <w:r w:rsidR="007037ED" w:rsidRPr="00A45CE5">
        <w:rPr>
          <w:rFonts w:asciiTheme="minorHAnsi" w:hAnsiTheme="minorHAnsi" w:cstheme="minorHAnsi"/>
          <w:color w:val="000000" w:themeColor="text1"/>
          <w:sz w:val="22"/>
          <w:szCs w:val="22"/>
        </w:rPr>
        <w:t xml:space="preserve">separate </w:t>
      </w:r>
      <w:r w:rsidR="000A0E71" w:rsidRPr="00A45CE5">
        <w:rPr>
          <w:rFonts w:asciiTheme="minorHAnsi" w:hAnsiTheme="minorHAnsi" w:cstheme="minorHAnsi"/>
          <w:color w:val="000000" w:themeColor="text1"/>
          <w:sz w:val="22"/>
          <w:szCs w:val="22"/>
        </w:rPr>
        <w:t>building</w:t>
      </w:r>
      <w:r w:rsidR="00E33283" w:rsidRPr="00A45CE5">
        <w:rPr>
          <w:rFonts w:asciiTheme="minorHAnsi" w:hAnsiTheme="minorHAnsi" w:cstheme="minorHAnsi"/>
          <w:color w:val="000000" w:themeColor="text1"/>
          <w:sz w:val="22"/>
          <w:szCs w:val="22"/>
        </w:rPr>
        <w:t xml:space="preserve"> and queried how HMRC would view a separate building that contained both leisure facilities and </w:t>
      </w:r>
      <w:r w:rsidR="0091182D" w:rsidRPr="00A45CE5">
        <w:rPr>
          <w:rFonts w:asciiTheme="minorHAnsi" w:hAnsiTheme="minorHAnsi" w:cstheme="minorHAnsi"/>
          <w:color w:val="000000" w:themeColor="text1"/>
          <w:sz w:val="22"/>
          <w:szCs w:val="22"/>
        </w:rPr>
        <w:t>elements necessary to form a single living unit (e.g.</w:t>
      </w:r>
      <w:r w:rsidR="00BF6B0E" w:rsidRPr="00A45CE5">
        <w:rPr>
          <w:rFonts w:asciiTheme="minorHAnsi" w:hAnsiTheme="minorHAnsi" w:cstheme="minorHAnsi"/>
          <w:color w:val="000000" w:themeColor="text1"/>
          <w:sz w:val="22"/>
          <w:szCs w:val="22"/>
        </w:rPr>
        <w:t xml:space="preserve"> key components of heating/cooling systems).</w:t>
      </w:r>
    </w:p>
    <w:p w14:paraId="377000C6" w14:textId="0D338246" w:rsidR="00BF6B0E" w:rsidRPr="00A45CE5" w:rsidRDefault="00BF6B0E" w:rsidP="000F106F">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AP3: HMRC to </w:t>
      </w:r>
      <w:r w:rsidR="006D6182" w:rsidRPr="00A45CE5">
        <w:rPr>
          <w:rFonts w:asciiTheme="minorHAnsi" w:hAnsiTheme="minorHAnsi" w:cstheme="minorHAnsi"/>
          <w:b/>
          <w:bCs/>
          <w:color w:val="000000" w:themeColor="text1"/>
          <w:sz w:val="22"/>
          <w:szCs w:val="22"/>
        </w:rPr>
        <w:t xml:space="preserve">confirm </w:t>
      </w:r>
      <w:r w:rsidR="005E3852" w:rsidRPr="00A45CE5">
        <w:rPr>
          <w:rFonts w:asciiTheme="minorHAnsi" w:hAnsiTheme="minorHAnsi" w:cstheme="minorHAnsi"/>
          <w:b/>
          <w:bCs/>
          <w:color w:val="000000" w:themeColor="text1"/>
          <w:sz w:val="22"/>
          <w:szCs w:val="22"/>
        </w:rPr>
        <w:t>the</w:t>
      </w:r>
      <w:r w:rsidR="009441E6" w:rsidRPr="00A45CE5">
        <w:rPr>
          <w:rFonts w:asciiTheme="minorHAnsi" w:hAnsiTheme="minorHAnsi" w:cstheme="minorHAnsi"/>
          <w:b/>
          <w:bCs/>
          <w:color w:val="000000" w:themeColor="text1"/>
          <w:sz w:val="22"/>
          <w:szCs w:val="22"/>
        </w:rPr>
        <w:t>ir position in writing as soon as possible</w:t>
      </w:r>
      <w:r w:rsidR="00182243" w:rsidRPr="00A45CE5">
        <w:rPr>
          <w:rFonts w:asciiTheme="minorHAnsi" w:hAnsiTheme="minorHAnsi" w:cstheme="minorHAnsi"/>
          <w:b/>
          <w:bCs/>
          <w:color w:val="000000" w:themeColor="text1"/>
          <w:sz w:val="22"/>
          <w:szCs w:val="22"/>
        </w:rPr>
        <w:t>.</w:t>
      </w:r>
    </w:p>
    <w:p w14:paraId="534E2704" w14:textId="77777777" w:rsidR="009D43A8" w:rsidRPr="00A45CE5" w:rsidRDefault="009D43A8" w:rsidP="009D43A8">
      <w:pPr>
        <w:spacing w:after="120"/>
        <w:rPr>
          <w:rFonts w:asciiTheme="minorHAnsi" w:hAnsiTheme="minorHAnsi" w:cstheme="minorHAnsi"/>
          <w:color w:val="000000" w:themeColor="text1"/>
          <w:sz w:val="22"/>
          <w:szCs w:val="22"/>
        </w:rPr>
      </w:pPr>
    </w:p>
    <w:p w14:paraId="6B0AF89A" w14:textId="5B373D38" w:rsidR="00182243" w:rsidRPr="00A45CE5" w:rsidRDefault="00CB2737" w:rsidP="009D43A8">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 xml:space="preserve">Dwellings built before </w:t>
      </w:r>
      <w:proofErr w:type="gramStart"/>
      <w:r w:rsidRPr="00A45CE5">
        <w:rPr>
          <w:rFonts w:asciiTheme="minorHAnsi" w:hAnsiTheme="minorHAnsi" w:cstheme="minorHAnsi"/>
          <w:i/>
          <w:iCs/>
          <w:color w:val="000000" w:themeColor="text1"/>
          <w:sz w:val="22"/>
          <w:szCs w:val="22"/>
        </w:rPr>
        <w:t>1948</w:t>
      </w:r>
      <w:proofErr w:type="gramEnd"/>
    </w:p>
    <w:p w14:paraId="01D1CE7A" w14:textId="730FCA18" w:rsidR="00CB2737" w:rsidRPr="00A45CE5" w:rsidRDefault="00941810" w:rsidP="009D43A8">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HMRC </w:t>
      </w:r>
      <w:r w:rsidR="00232919" w:rsidRPr="00A45CE5">
        <w:rPr>
          <w:rFonts w:asciiTheme="minorHAnsi" w:hAnsiTheme="minorHAnsi" w:cstheme="minorHAnsi"/>
          <w:color w:val="000000" w:themeColor="text1"/>
          <w:sz w:val="22"/>
          <w:szCs w:val="22"/>
        </w:rPr>
        <w:t xml:space="preserve">confirmed it had no guidance on the point raised in this query and </w:t>
      </w:r>
      <w:r w:rsidRPr="00A45CE5">
        <w:rPr>
          <w:rFonts w:asciiTheme="minorHAnsi" w:hAnsiTheme="minorHAnsi" w:cstheme="minorHAnsi"/>
          <w:color w:val="000000" w:themeColor="text1"/>
          <w:sz w:val="22"/>
          <w:szCs w:val="22"/>
        </w:rPr>
        <w:t>undertook</w:t>
      </w:r>
      <w:r w:rsidR="00232919" w:rsidRPr="00A45CE5">
        <w:rPr>
          <w:rFonts w:asciiTheme="minorHAnsi" w:hAnsiTheme="minorHAnsi" w:cstheme="minorHAnsi"/>
          <w:color w:val="000000" w:themeColor="text1"/>
          <w:sz w:val="22"/>
          <w:szCs w:val="22"/>
        </w:rPr>
        <w:t xml:space="preserve"> to provide a response.</w:t>
      </w:r>
    </w:p>
    <w:p w14:paraId="183E704D" w14:textId="14272236" w:rsidR="00232919" w:rsidRPr="00A45CE5" w:rsidRDefault="00232919" w:rsidP="009D43A8">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AP4: HMRC to provide written response to </w:t>
      </w:r>
      <w:r w:rsidR="006A42DF" w:rsidRPr="00A45CE5">
        <w:rPr>
          <w:rFonts w:asciiTheme="minorHAnsi" w:hAnsiTheme="minorHAnsi" w:cstheme="minorHAnsi"/>
          <w:b/>
          <w:bCs/>
          <w:color w:val="000000" w:themeColor="text1"/>
          <w:sz w:val="22"/>
          <w:szCs w:val="22"/>
        </w:rPr>
        <w:t xml:space="preserve">this query </w:t>
      </w:r>
      <w:r w:rsidR="009441E6" w:rsidRPr="00A45CE5">
        <w:rPr>
          <w:rFonts w:asciiTheme="minorHAnsi" w:hAnsiTheme="minorHAnsi" w:cstheme="minorHAnsi"/>
          <w:b/>
          <w:bCs/>
          <w:color w:val="000000" w:themeColor="text1"/>
          <w:sz w:val="22"/>
          <w:szCs w:val="22"/>
        </w:rPr>
        <w:t>as soon as possible</w:t>
      </w:r>
      <w:r w:rsidR="006A42DF" w:rsidRPr="00A45CE5">
        <w:rPr>
          <w:rFonts w:asciiTheme="minorHAnsi" w:hAnsiTheme="minorHAnsi" w:cstheme="minorHAnsi"/>
          <w:b/>
          <w:bCs/>
          <w:color w:val="000000" w:themeColor="text1"/>
          <w:sz w:val="22"/>
          <w:szCs w:val="22"/>
        </w:rPr>
        <w:t>.</w:t>
      </w:r>
    </w:p>
    <w:p w14:paraId="0CE340A1" w14:textId="77777777" w:rsidR="00182243" w:rsidRPr="00A45CE5" w:rsidRDefault="00182243" w:rsidP="009D43A8">
      <w:pPr>
        <w:spacing w:after="120"/>
        <w:rPr>
          <w:rFonts w:asciiTheme="minorHAnsi" w:hAnsiTheme="minorHAnsi" w:cstheme="minorHAnsi"/>
          <w:color w:val="000000" w:themeColor="text1"/>
          <w:sz w:val="22"/>
          <w:szCs w:val="22"/>
        </w:rPr>
      </w:pPr>
    </w:p>
    <w:p w14:paraId="3011F9BB" w14:textId="04513A47" w:rsidR="006A42DF" w:rsidRPr="00A45CE5" w:rsidRDefault="006A42DF" w:rsidP="009D43A8">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Party walls</w:t>
      </w:r>
      <w:r w:rsidR="00C22F2A" w:rsidRPr="00A45CE5">
        <w:rPr>
          <w:rFonts w:asciiTheme="minorHAnsi" w:hAnsiTheme="minorHAnsi" w:cstheme="minorHAnsi"/>
          <w:i/>
          <w:iCs/>
          <w:color w:val="000000" w:themeColor="text1"/>
          <w:sz w:val="22"/>
          <w:szCs w:val="22"/>
        </w:rPr>
        <w:t xml:space="preserve"> (annex </w:t>
      </w:r>
      <w:r w:rsidR="00EA6982" w:rsidRPr="00A45CE5">
        <w:rPr>
          <w:rFonts w:asciiTheme="minorHAnsi" w:hAnsiTheme="minorHAnsi" w:cstheme="minorHAnsi"/>
          <w:i/>
          <w:iCs/>
          <w:color w:val="000000" w:themeColor="text1"/>
          <w:sz w:val="22"/>
          <w:szCs w:val="22"/>
        </w:rPr>
        <w:t>6</w:t>
      </w:r>
      <w:r w:rsidR="00C22F2A" w:rsidRPr="00A45CE5">
        <w:rPr>
          <w:rFonts w:asciiTheme="minorHAnsi" w:hAnsiTheme="minorHAnsi" w:cstheme="minorHAnsi"/>
          <w:i/>
          <w:iCs/>
          <w:color w:val="000000" w:themeColor="text1"/>
          <w:sz w:val="22"/>
          <w:szCs w:val="22"/>
        </w:rPr>
        <w:t xml:space="preserve">) </w:t>
      </w:r>
    </w:p>
    <w:p w14:paraId="0987EF5B" w14:textId="77777777" w:rsidR="00690A30" w:rsidRPr="00A45CE5" w:rsidRDefault="008973E2" w:rsidP="009D43A8">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In a written response that would be circulated after the meeting, HMRC confirmed that </w:t>
      </w:r>
      <w:r w:rsidR="00994E62" w:rsidRPr="00A45CE5">
        <w:rPr>
          <w:rFonts w:asciiTheme="minorHAnsi" w:hAnsiTheme="minorHAnsi" w:cstheme="minorHAnsi"/>
          <w:color w:val="000000" w:themeColor="text1"/>
          <w:sz w:val="22"/>
          <w:szCs w:val="22"/>
        </w:rPr>
        <w:t xml:space="preserve">someone </w:t>
      </w:r>
      <w:r w:rsidR="00D520AB" w:rsidRPr="00A45CE5">
        <w:rPr>
          <w:rFonts w:asciiTheme="minorHAnsi" w:hAnsiTheme="minorHAnsi" w:cstheme="minorHAnsi"/>
          <w:color w:val="000000" w:themeColor="text1"/>
          <w:sz w:val="22"/>
          <w:szCs w:val="22"/>
        </w:rPr>
        <w:t>redevelop</w:t>
      </w:r>
      <w:r w:rsidR="00994E62" w:rsidRPr="00A45CE5">
        <w:rPr>
          <w:rFonts w:asciiTheme="minorHAnsi" w:hAnsiTheme="minorHAnsi" w:cstheme="minorHAnsi"/>
          <w:color w:val="000000" w:themeColor="text1"/>
          <w:sz w:val="22"/>
          <w:szCs w:val="22"/>
        </w:rPr>
        <w:t>ing</w:t>
      </w:r>
      <w:r w:rsidR="00D520AB" w:rsidRPr="00A45CE5">
        <w:rPr>
          <w:rFonts w:asciiTheme="minorHAnsi" w:hAnsiTheme="minorHAnsi" w:cstheme="minorHAnsi"/>
          <w:color w:val="000000" w:themeColor="text1"/>
          <w:sz w:val="22"/>
          <w:szCs w:val="22"/>
        </w:rPr>
        <w:t xml:space="preserve"> </w:t>
      </w:r>
      <w:r w:rsidR="005F5405" w:rsidRPr="00A45CE5">
        <w:rPr>
          <w:rFonts w:asciiTheme="minorHAnsi" w:hAnsiTheme="minorHAnsi" w:cstheme="minorHAnsi"/>
          <w:color w:val="000000" w:themeColor="text1"/>
          <w:sz w:val="22"/>
          <w:szCs w:val="22"/>
        </w:rPr>
        <w:t xml:space="preserve">adjoining houses </w:t>
      </w:r>
      <w:r w:rsidR="00D520AB" w:rsidRPr="00A45CE5">
        <w:rPr>
          <w:rFonts w:asciiTheme="minorHAnsi" w:hAnsiTheme="minorHAnsi" w:cstheme="minorHAnsi"/>
          <w:color w:val="000000" w:themeColor="text1"/>
          <w:sz w:val="22"/>
          <w:szCs w:val="22"/>
        </w:rPr>
        <w:t xml:space="preserve">in a terrace would </w:t>
      </w:r>
      <w:r w:rsidR="001435E3" w:rsidRPr="00A45CE5">
        <w:rPr>
          <w:rFonts w:asciiTheme="minorHAnsi" w:hAnsiTheme="minorHAnsi" w:cstheme="minorHAnsi"/>
          <w:color w:val="000000" w:themeColor="text1"/>
          <w:sz w:val="22"/>
          <w:szCs w:val="22"/>
        </w:rPr>
        <w:t xml:space="preserve">normally only be treated as </w:t>
      </w:r>
      <w:r w:rsidR="00994E62" w:rsidRPr="00A45CE5">
        <w:rPr>
          <w:rFonts w:asciiTheme="minorHAnsi" w:hAnsiTheme="minorHAnsi" w:cstheme="minorHAnsi"/>
          <w:color w:val="000000" w:themeColor="text1"/>
          <w:sz w:val="22"/>
          <w:szCs w:val="22"/>
        </w:rPr>
        <w:t xml:space="preserve">“constructing a building” if the party wall </w:t>
      </w:r>
      <w:r w:rsidR="004671CE" w:rsidRPr="00A45CE5">
        <w:rPr>
          <w:rFonts w:asciiTheme="minorHAnsi" w:hAnsiTheme="minorHAnsi" w:cstheme="minorHAnsi"/>
          <w:color w:val="000000" w:themeColor="text1"/>
          <w:sz w:val="22"/>
          <w:szCs w:val="22"/>
        </w:rPr>
        <w:t>were demolished</w:t>
      </w:r>
      <w:r w:rsidR="00690A30" w:rsidRPr="00A45CE5">
        <w:rPr>
          <w:rFonts w:asciiTheme="minorHAnsi" w:hAnsiTheme="minorHAnsi" w:cstheme="minorHAnsi"/>
          <w:color w:val="000000" w:themeColor="text1"/>
          <w:sz w:val="22"/>
          <w:szCs w:val="22"/>
        </w:rPr>
        <w:t xml:space="preserve"> (the demolition test)</w:t>
      </w:r>
      <w:r w:rsidR="00D10D81" w:rsidRPr="00A45CE5">
        <w:rPr>
          <w:rFonts w:asciiTheme="minorHAnsi" w:hAnsiTheme="minorHAnsi" w:cstheme="minorHAnsi"/>
          <w:color w:val="000000" w:themeColor="text1"/>
          <w:sz w:val="22"/>
          <w:szCs w:val="22"/>
        </w:rPr>
        <w:t>, even if new dwellings were to be built on the same footprint as the old ones</w:t>
      </w:r>
      <w:r w:rsidR="004671CE" w:rsidRPr="00A45CE5">
        <w:rPr>
          <w:rFonts w:asciiTheme="minorHAnsi" w:hAnsiTheme="minorHAnsi" w:cstheme="minorHAnsi"/>
          <w:color w:val="000000" w:themeColor="text1"/>
          <w:sz w:val="22"/>
          <w:szCs w:val="22"/>
        </w:rPr>
        <w:t xml:space="preserve">. </w:t>
      </w:r>
    </w:p>
    <w:p w14:paraId="07837E54" w14:textId="11066CDA" w:rsidR="006A42DF" w:rsidRPr="00A45CE5" w:rsidRDefault="004671CE" w:rsidP="009D43A8">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However, </w:t>
      </w:r>
      <w:r w:rsidR="00072213" w:rsidRPr="00A45CE5">
        <w:rPr>
          <w:rFonts w:asciiTheme="minorHAnsi" w:hAnsiTheme="minorHAnsi" w:cstheme="minorHAnsi"/>
          <w:color w:val="000000" w:themeColor="text1"/>
          <w:sz w:val="22"/>
          <w:szCs w:val="22"/>
        </w:rPr>
        <w:t xml:space="preserve">the demolition test </w:t>
      </w:r>
      <w:r w:rsidR="00690A30" w:rsidRPr="00A45CE5">
        <w:rPr>
          <w:rFonts w:asciiTheme="minorHAnsi" w:hAnsiTheme="minorHAnsi" w:cstheme="minorHAnsi"/>
          <w:color w:val="000000" w:themeColor="text1"/>
          <w:sz w:val="22"/>
          <w:szCs w:val="22"/>
        </w:rPr>
        <w:t>does not apply</w:t>
      </w:r>
      <w:r w:rsidRPr="00A45CE5">
        <w:rPr>
          <w:rFonts w:asciiTheme="minorHAnsi" w:hAnsiTheme="minorHAnsi" w:cstheme="minorHAnsi"/>
          <w:color w:val="000000" w:themeColor="text1"/>
          <w:sz w:val="22"/>
          <w:szCs w:val="22"/>
        </w:rPr>
        <w:t xml:space="preserve"> where </w:t>
      </w:r>
      <w:r w:rsidR="00D10D81" w:rsidRPr="00A45CE5">
        <w:rPr>
          <w:rFonts w:asciiTheme="minorHAnsi" w:hAnsiTheme="minorHAnsi" w:cstheme="minorHAnsi"/>
          <w:color w:val="000000" w:themeColor="text1"/>
          <w:sz w:val="22"/>
          <w:szCs w:val="22"/>
        </w:rPr>
        <w:t xml:space="preserve">retention of the part wall is necessary for the structural integrity of a building being retained. </w:t>
      </w:r>
      <w:r w:rsidR="0084607E" w:rsidRPr="00A45CE5">
        <w:rPr>
          <w:rFonts w:asciiTheme="minorHAnsi" w:hAnsiTheme="minorHAnsi" w:cstheme="minorHAnsi"/>
          <w:color w:val="000000" w:themeColor="text1"/>
          <w:sz w:val="22"/>
          <w:szCs w:val="22"/>
        </w:rPr>
        <w:t xml:space="preserve">This would suggest that a </w:t>
      </w:r>
      <w:r w:rsidR="00C90CE6" w:rsidRPr="00A45CE5">
        <w:rPr>
          <w:rFonts w:asciiTheme="minorHAnsi" w:hAnsiTheme="minorHAnsi" w:cstheme="minorHAnsi"/>
          <w:color w:val="000000" w:themeColor="text1"/>
          <w:sz w:val="22"/>
          <w:szCs w:val="22"/>
        </w:rPr>
        <w:t xml:space="preserve">person could redevelop a </w:t>
      </w:r>
      <w:r w:rsidR="0084607E" w:rsidRPr="00A45CE5">
        <w:rPr>
          <w:rFonts w:asciiTheme="minorHAnsi" w:hAnsiTheme="minorHAnsi" w:cstheme="minorHAnsi"/>
          <w:color w:val="000000" w:themeColor="text1"/>
          <w:sz w:val="22"/>
          <w:szCs w:val="22"/>
        </w:rPr>
        <w:t xml:space="preserve">terrace of e.g. six houses in a phased manner </w:t>
      </w:r>
      <w:r w:rsidR="00690A30" w:rsidRPr="00A45CE5">
        <w:rPr>
          <w:rFonts w:asciiTheme="minorHAnsi" w:hAnsiTheme="minorHAnsi" w:cstheme="minorHAnsi"/>
          <w:color w:val="000000" w:themeColor="text1"/>
          <w:sz w:val="22"/>
          <w:szCs w:val="22"/>
        </w:rPr>
        <w:t xml:space="preserve">with the retention of party walls </w:t>
      </w:r>
      <w:r w:rsidR="00072213" w:rsidRPr="00A45CE5">
        <w:rPr>
          <w:rFonts w:asciiTheme="minorHAnsi" w:hAnsiTheme="minorHAnsi" w:cstheme="minorHAnsi"/>
          <w:color w:val="000000" w:themeColor="text1"/>
          <w:sz w:val="22"/>
          <w:szCs w:val="22"/>
        </w:rPr>
        <w:t xml:space="preserve">and still </w:t>
      </w:r>
      <w:r w:rsidR="00C90CE6" w:rsidRPr="00A45CE5">
        <w:rPr>
          <w:rFonts w:asciiTheme="minorHAnsi" w:hAnsiTheme="minorHAnsi" w:cstheme="minorHAnsi"/>
          <w:color w:val="000000" w:themeColor="text1"/>
          <w:sz w:val="22"/>
          <w:szCs w:val="22"/>
        </w:rPr>
        <w:t>be treated as a person constructing.</w:t>
      </w:r>
    </w:p>
    <w:p w14:paraId="08ACE926" w14:textId="161D1941" w:rsidR="008973E2" w:rsidRPr="00A45CE5" w:rsidRDefault="009441E6" w:rsidP="009D43A8">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AP5: HMRC to provide written response to this query as soon as possible.</w:t>
      </w:r>
    </w:p>
    <w:p w14:paraId="20BE4B6A" w14:textId="77777777" w:rsidR="009441E6" w:rsidRPr="00A45CE5" w:rsidRDefault="009441E6" w:rsidP="009D43A8">
      <w:pPr>
        <w:spacing w:after="120"/>
        <w:rPr>
          <w:rFonts w:asciiTheme="minorHAnsi" w:hAnsiTheme="minorHAnsi" w:cstheme="minorHAnsi"/>
          <w:color w:val="000000" w:themeColor="text1"/>
          <w:sz w:val="22"/>
          <w:szCs w:val="22"/>
        </w:rPr>
      </w:pPr>
    </w:p>
    <w:p w14:paraId="7657F73A" w14:textId="77777777" w:rsidR="00FD07C2" w:rsidRPr="00A45CE5" w:rsidRDefault="00FD07C2" w:rsidP="00487D10">
      <w:pPr>
        <w:spacing w:after="120"/>
        <w:rPr>
          <w:rFonts w:asciiTheme="minorHAnsi" w:hAnsiTheme="minorHAnsi" w:cstheme="minorHAnsi"/>
          <w:b/>
          <w:bCs/>
          <w:color w:val="000000" w:themeColor="text1"/>
          <w:sz w:val="22"/>
          <w:szCs w:val="22"/>
        </w:rPr>
      </w:pPr>
    </w:p>
    <w:p w14:paraId="4EA21713" w14:textId="77777777" w:rsidR="00FD07C2" w:rsidRPr="00A45CE5" w:rsidRDefault="00FD07C2" w:rsidP="00487D10">
      <w:pPr>
        <w:spacing w:after="120"/>
        <w:rPr>
          <w:rFonts w:asciiTheme="minorHAnsi" w:hAnsiTheme="minorHAnsi" w:cstheme="minorHAnsi"/>
          <w:b/>
          <w:bCs/>
          <w:color w:val="000000" w:themeColor="text1"/>
          <w:sz w:val="22"/>
          <w:szCs w:val="22"/>
        </w:rPr>
      </w:pPr>
    </w:p>
    <w:p w14:paraId="120F3E0E" w14:textId="27B46562" w:rsidR="0048021D" w:rsidRPr="00A45CE5" w:rsidRDefault="002A57C9"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lastRenderedPageBreak/>
        <w:t xml:space="preserve">VAT Notices </w:t>
      </w:r>
      <w:proofErr w:type="gramStart"/>
      <w:r w:rsidRPr="00A45CE5">
        <w:rPr>
          <w:rFonts w:asciiTheme="minorHAnsi" w:hAnsiTheme="minorHAnsi" w:cstheme="minorHAnsi"/>
          <w:b/>
          <w:bCs/>
          <w:color w:val="000000" w:themeColor="text1"/>
          <w:sz w:val="22"/>
          <w:szCs w:val="22"/>
        </w:rPr>
        <w:t>update</w:t>
      </w:r>
      <w:proofErr w:type="gramEnd"/>
    </w:p>
    <w:p w14:paraId="4475C942" w14:textId="68B294F6" w:rsidR="00B978C7" w:rsidRPr="00A45CE5" w:rsidRDefault="002A57C9"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HMRC continued to review and update Notice 742</w:t>
      </w:r>
      <w:r w:rsidR="0061215D" w:rsidRPr="00A45CE5">
        <w:rPr>
          <w:rFonts w:asciiTheme="minorHAnsi" w:hAnsiTheme="minorHAnsi" w:cstheme="minorHAnsi"/>
          <w:color w:val="000000" w:themeColor="text1"/>
          <w:sz w:val="22"/>
          <w:szCs w:val="22"/>
        </w:rPr>
        <w:t xml:space="preserve">, where it has added more guidance on </w:t>
      </w:r>
      <w:r w:rsidR="00323281" w:rsidRPr="00A45CE5">
        <w:rPr>
          <w:rFonts w:asciiTheme="minorHAnsi" w:hAnsiTheme="minorHAnsi" w:cstheme="minorHAnsi"/>
          <w:color w:val="000000" w:themeColor="text1"/>
          <w:sz w:val="22"/>
          <w:szCs w:val="22"/>
        </w:rPr>
        <w:t>what constitutes a licence to occupy land</w:t>
      </w:r>
      <w:r w:rsidR="003D6A2C" w:rsidRPr="00A45CE5">
        <w:rPr>
          <w:rFonts w:asciiTheme="minorHAnsi" w:hAnsiTheme="minorHAnsi" w:cstheme="minorHAnsi"/>
          <w:color w:val="000000" w:themeColor="text1"/>
          <w:sz w:val="22"/>
          <w:szCs w:val="22"/>
        </w:rPr>
        <w:t xml:space="preserve"> and would add guidance on call options and overage payments</w:t>
      </w:r>
      <w:r w:rsidR="00E520DF" w:rsidRPr="00A45CE5">
        <w:rPr>
          <w:rFonts w:asciiTheme="minorHAnsi" w:hAnsiTheme="minorHAnsi" w:cstheme="minorHAnsi"/>
          <w:color w:val="000000" w:themeColor="text1"/>
          <w:sz w:val="22"/>
          <w:szCs w:val="22"/>
        </w:rPr>
        <w:t>, based on work recently undertaken by HMRC alongside LPLG members</w:t>
      </w:r>
      <w:r w:rsidR="003D6A2C" w:rsidRPr="00A45CE5">
        <w:rPr>
          <w:rFonts w:asciiTheme="minorHAnsi" w:hAnsiTheme="minorHAnsi" w:cstheme="minorHAnsi"/>
          <w:color w:val="000000" w:themeColor="text1"/>
          <w:sz w:val="22"/>
          <w:szCs w:val="22"/>
        </w:rPr>
        <w:t xml:space="preserve">. </w:t>
      </w:r>
    </w:p>
    <w:p w14:paraId="432B8EEB" w14:textId="6A65A722" w:rsidR="009244C1" w:rsidRPr="00A45CE5" w:rsidRDefault="009244C1"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HMRC was also reviewing Notice 708, with a view to sharing draft updated sections of the Notice with LPLG members as and when </w:t>
      </w:r>
      <w:r w:rsidR="00524989" w:rsidRPr="00A45CE5">
        <w:rPr>
          <w:rFonts w:asciiTheme="minorHAnsi" w:hAnsiTheme="minorHAnsi" w:cstheme="minorHAnsi"/>
          <w:color w:val="000000" w:themeColor="text1"/>
          <w:sz w:val="22"/>
          <w:szCs w:val="22"/>
        </w:rPr>
        <w:t xml:space="preserve">they were ready. HMRC hoped to be </w:t>
      </w:r>
      <w:proofErr w:type="gramStart"/>
      <w:r w:rsidR="00524989" w:rsidRPr="00A45CE5">
        <w:rPr>
          <w:rFonts w:asciiTheme="minorHAnsi" w:hAnsiTheme="minorHAnsi" w:cstheme="minorHAnsi"/>
          <w:color w:val="000000" w:themeColor="text1"/>
          <w:sz w:val="22"/>
          <w:szCs w:val="22"/>
        </w:rPr>
        <w:t>in a position</w:t>
      </w:r>
      <w:proofErr w:type="gramEnd"/>
      <w:r w:rsidR="00524989" w:rsidRPr="00A45CE5">
        <w:rPr>
          <w:rFonts w:asciiTheme="minorHAnsi" w:hAnsiTheme="minorHAnsi" w:cstheme="minorHAnsi"/>
          <w:color w:val="000000" w:themeColor="text1"/>
          <w:sz w:val="22"/>
          <w:szCs w:val="22"/>
        </w:rPr>
        <w:t xml:space="preserve"> to seek LPLG input on the first updated section before the next LPLG meeting.</w:t>
      </w:r>
    </w:p>
    <w:p w14:paraId="48281C8F" w14:textId="5225B4F7" w:rsidR="009441E6" w:rsidRPr="00A45CE5" w:rsidRDefault="009441E6"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AP6: HMRC to share first updated section of Notice 708 ahead of next LPLG meeting and seek comments.</w:t>
      </w:r>
    </w:p>
    <w:p w14:paraId="3638D3B6" w14:textId="77777777" w:rsidR="009441E6" w:rsidRPr="00A45CE5" w:rsidRDefault="009441E6" w:rsidP="00487D10">
      <w:pPr>
        <w:spacing w:after="120"/>
        <w:rPr>
          <w:rFonts w:asciiTheme="minorHAnsi" w:hAnsiTheme="minorHAnsi" w:cstheme="minorHAnsi"/>
          <w:color w:val="000000" w:themeColor="text1"/>
          <w:sz w:val="22"/>
          <w:szCs w:val="22"/>
        </w:rPr>
      </w:pPr>
    </w:p>
    <w:p w14:paraId="3D5D0ACE" w14:textId="3985A6CB" w:rsidR="000473A8" w:rsidRPr="00A45CE5" w:rsidRDefault="004447AB"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Prior to the meeting, </w:t>
      </w:r>
      <w:r w:rsidR="005302A3" w:rsidRPr="00A45CE5">
        <w:rPr>
          <w:rFonts w:asciiTheme="minorHAnsi" w:hAnsiTheme="minorHAnsi" w:cstheme="minorHAnsi"/>
          <w:color w:val="000000" w:themeColor="text1"/>
          <w:sz w:val="22"/>
          <w:szCs w:val="22"/>
        </w:rPr>
        <w:t>HMRC had shared with LPLG members a JVCC memo dated 19</w:t>
      </w:r>
      <w:r w:rsidR="005302A3" w:rsidRPr="00A45CE5">
        <w:rPr>
          <w:rFonts w:asciiTheme="minorHAnsi" w:hAnsiTheme="minorHAnsi" w:cstheme="minorHAnsi"/>
          <w:color w:val="000000" w:themeColor="text1"/>
          <w:sz w:val="22"/>
          <w:szCs w:val="22"/>
          <w:vertAlign w:val="superscript"/>
        </w:rPr>
        <w:t>th</w:t>
      </w:r>
      <w:r w:rsidR="005302A3" w:rsidRPr="00A45CE5">
        <w:rPr>
          <w:rFonts w:asciiTheme="minorHAnsi" w:hAnsiTheme="minorHAnsi" w:cstheme="minorHAnsi"/>
          <w:color w:val="000000" w:themeColor="text1"/>
          <w:sz w:val="22"/>
          <w:szCs w:val="22"/>
        </w:rPr>
        <w:t xml:space="preserve"> June 2019</w:t>
      </w:r>
      <w:r w:rsidR="00AE054D" w:rsidRPr="00A45CE5">
        <w:rPr>
          <w:rFonts w:asciiTheme="minorHAnsi" w:hAnsiTheme="minorHAnsi" w:cstheme="minorHAnsi"/>
          <w:color w:val="000000" w:themeColor="text1"/>
          <w:sz w:val="22"/>
          <w:szCs w:val="22"/>
        </w:rPr>
        <w:t xml:space="preserve"> and indicated that they were not planning to</w:t>
      </w:r>
      <w:r w:rsidR="005302A3" w:rsidRPr="00A45CE5">
        <w:rPr>
          <w:rFonts w:asciiTheme="minorHAnsi" w:hAnsiTheme="minorHAnsi" w:cstheme="minorHAnsi"/>
          <w:color w:val="000000" w:themeColor="text1"/>
          <w:sz w:val="22"/>
          <w:szCs w:val="22"/>
        </w:rPr>
        <w:t xml:space="preserve"> </w:t>
      </w:r>
      <w:r w:rsidR="00AE054D" w:rsidRPr="00A45CE5">
        <w:rPr>
          <w:rFonts w:asciiTheme="minorHAnsi" w:hAnsiTheme="minorHAnsi" w:cstheme="minorHAnsi"/>
          <w:color w:val="000000" w:themeColor="text1"/>
          <w:sz w:val="22"/>
          <w:szCs w:val="22"/>
        </w:rPr>
        <w:t xml:space="preserve">circulate it further. In addition, </w:t>
      </w:r>
      <w:r w:rsidR="000473A8" w:rsidRPr="00A45CE5">
        <w:rPr>
          <w:rFonts w:asciiTheme="minorHAnsi" w:hAnsiTheme="minorHAnsi" w:cstheme="minorHAnsi"/>
          <w:color w:val="000000" w:themeColor="text1"/>
          <w:sz w:val="22"/>
          <w:szCs w:val="22"/>
        </w:rPr>
        <w:t xml:space="preserve">HMRC would be doing some communications work </w:t>
      </w:r>
      <w:r w:rsidR="00914DA3" w:rsidRPr="00A45CE5">
        <w:rPr>
          <w:rFonts w:asciiTheme="minorHAnsi" w:hAnsiTheme="minorHAnsi" w:cstheme="minorHAnsi"/>
          <w:color w:val="000000" w:themeColor="text1"/>
          <w:sz w:val="22"/>
          <w:szCs w:val="22"/>
        </w:rPr>
        <w:t xml:space="preserve">before the end of the year </w:t>
      </w:r>
      <w:r w:rsidR="000473A8" w:rsidRPr="00A45CE5">
        <w:rPr>
          <w:rFonts w:asciiTheme="minorHAnsi" w:hAnsiTheme="minorHAnsi" w:cstheme="minorHAnsi"/>
          <w:color w:val="000000" w:themeColor="text1"/>
          <w:sz w:val="22"/>
          <w:szCs w:val="22"/>
        </w:rPr>
        <w:t>regarding its position on the VAT treatment of cladding remediation works</w:t>
      </w:r>
      <w:r w:rsidR="00914DA3" w:rsidRPr="00A45CE5">
        <w:rPr>
          <w:rFonts w:asciiTheme="minorHAnsi" w:hAnsiTheme="minorHAnsi" w:cstheme="minorHAnsi"/>
          <w:color w:val="000000" w:themeColor="text1"/>
          <w:sz w:val="22"/>
          <w:szCs w:val="22"/>
        </w:rPr>
        <w:t xml:space="preserve">. This would refer to both the liability of remediation works and the recoverability </w:t>
      </w:r>
      <w:r w:rsidR="00DA4424" w:rsidRPr="00A45CE5">
        <w:rPr>
          <w:rFonts w:asciiTheme="minorHAnsi" w:hAnsiTheme="minorHAnsi" w:cstheme="minorHAnsi"/>
          <w:color w:val="000000" w:themeColor="text1"/>
          <w:sz w:val="22"/>
          <w:szCs w:val="22"/>
        </w:rPr>
        <w:t>of input tax.</w:t>
      </w:r>
    </w:p>
    <w:p w14:paraId="2D184E49" w14:textId="77777777" w:rsidR="002A57C9" w:rsidRPr="00A45CE5" w:rsidRDefault="002A57C9" w:rsidP="00487D10">
      <w:pPr>
        <w:spacing w:after="120"/>
        <w:rPr>
          <w:rFonts w:asciiTheme="minorHAnsi" w:hAnsiTheme="minorHAnsi" w:cstheme="minorHAnsi"/>
          <w:color w:val="000000" w:themeColor="text1"/>
          <w:sz w:val="22"/>
          <w:szCs w:val="22"/>
        </w:rPr>
      </w:pPr>
    </w:p>
    <w:p w14:paraId="27823665" w14:textId="6EFA91FF" w:rsidR="00B978C7" w:rsidRPr="00A45CE5" w:rsidRDefault="00EB449A"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TOGCs - article 5(2B) notification</w:t>
      </w:r>
    </w:p>
    <w:p w14:paraId="3E396ED4" w14:textId="7B40B8D2" w:rsidR="009441E6" w:rsidRPr="00A45CE5" w:rsidRDefault="009441E6" w:rsidP="009441E6">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VTOGC6100, in wording taken from HMRC Brief 30/12, outlined HMRC’s view that where a 5(2B) notification could have been given they would accept that it was. Recently taxpayers had received correspondence suggesting that where one hadn’t been given to ensure a TOGC hadn’t taken place, they would insist that it had.  HMRC did not see that there was a policy justification for insisting that it had. However, to the extent that there were cases of HMRC officers taking this approach, the policy team would need to investigate further to understand why. </w:t>
      </w:r>
    </w:p>
    <w:p w14:paraId="49A1E93A" w14:textId="513FE5F0" w:rsidR="00333830" w:rsidRPr="00A45CE5" w:rsidRDefault="00CB0440" w:rsidP="00CB044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AP</w:t>
      </w:r>
      <w:r w:rsidR="009441E6" w:rsidRPr="00A45CE5">
        <w:rPr>
          <w:rFonts w:asciiTheme="minorHAnsi" w:hAnsiTheme="minorHAnsi" w:cstheme="minorHAnsi"/>
          <w:b/>
          <w:bCs/>
          <w:color w:val="000000" w:themeColor="text1"/>
          <w:sz w:val="22"/>
          <w:szCs w:val="22"/>
        </w:rPr>
        <w:t>7</w:t>
      </w:r>
      <w:r w:rsidRPr="00A45CE5">
        <w:rPr>
          <w:rFonts w:asciiTheme="minorHAnsi" w:hAnsiTheme="minorHAnsi" w:cstheme="minorHAnsi"/>
          <w:b/>
          <w:bCs/>
          <w:color w:val="000000" w:themeColor="text1"/>
          <w:sz w:val="22"/>
          <w:szCs w:val="22"/>
        </w:rPr>
        <w:t xml:space="preserve">: Martin Scammell to </w:t>
      </w:r>
      <w:r w:rsidR="009441E6" w:rsidRPr="00A45CE5">
        <w:rPr>
          <w:rFonts w:asciiTheme="minorHAnsi" w:hAnsiTheme="minorHAnsi" w:cstheme="minorHAnsi"/>
          <w:b/>
          <w:bCs/>
          <w:color w:val="000000" w:themeColor="text1"/>
          <w:sz w:val="22"/>
          <w:szCs w:val="22"/>
        </w:rPr>
        <w:t xml:space="preserve">seek client permission to </w:t>
      </w:r>
      <w:r w:rsidR="000F4ED3" w:rsidRPr="00A45CE5">
        <w:rPr>
          <w:rFonts w:asciiTheme="minorHAnsi" w:hAnsiTheme="minorHAnsi" w:cstheme="minorHAnsi"/>
          <w:b/>
          <w:bCs/>
          <w:color w:val="000000" w:themeColor="text1"/>
          <w:sz w:val="22"/>
          <w:szCs w:val="22"/>
        </w:rPr>
        <w:t xml:space="preserve">send HMRC </w:t>
      </w:r>
      <w:r w:rsidRPr="00A45CE5">
        <w:rPr>
          <w:rFonts w:asciiTheme="minorHAnsi" w:hAnsiTheme="minorHAnsi" w:cstheme="minorHAnsi"/>
          <w:b/>
          <w:bCs/>
          <w:color w:val="000000" w:themeColor="text1"/>
          <w:sz w:val="22"/>
          <w:szCs w:val="22"/>
        </w:rPr>
        <w:t xml:space="preserve">example </w:t>
      </w:r>
      <w:r w:rsidR="000F4ED3" w:rsidRPr="00A45CE5">
        <w:rPr>
          <w:rFonts w:asciiTheme="minorHAnsi" w:hAnsiTheme="minorHAnsi" w:cstheme="minorHAnsi"/>
          <w:b/>
          <w:bCs/>
          <w:color w:val="000000" w:themeColor="text1"/>
          <w:sz w:val="22"/>
          <w:szCs w:val="22"/>
        </w:rPr>
        <w:t xml:space="preserve">of this situation </w:t>
      </w:r>
      <w:proofErr w:type="gramStart"/>
      <w:r w:rsidR="000F4ED3" w:rsidRPr="00A45CE5">
        <w:rPr>
          <w:rFonts w:asciiTheme="minorHAnsi" w:hAnsiTheme="minorHAnsi" w:cstheme="minorHAnsi"/>
          <w:b/>
          <w:bCs/>
          <w:color w:val="000000" w:themeColor="text1"/>
          <w:sz w:val="22"/>
          <w:szCs w:val="22"/>
        </w:rPr>
        <w:t>happening</w:t>
      </w:r>
      <w:proofErr w:type="gramEnd"/>
    </w:p>
    <w:p w14:paraId="3C2ACED2" w14:textId="77777777" w:rsidR="000F4ED3" w:rsidRPr="00A45CE5" w:rsidRDefault="000F4ED3" w:rsidP="00487D10">
      <w:pPr>
        <w:spacing w:after="120"/>
        <w:rPr>
          <w:rFonts w:asciiTheme="minorHAnsi" w:hAnsiTheme="minorHAnsi" w:cstheme="minorHAnsi"/>
          <w:b/>
          <w:bCs/>
          <w:color w:val="000000" w:themeColor="text1"/>
          <w:sz w:val="22"/>
          <w:szCs w:val="22"/>
        </w:rPr>
      </w:pPr>
    </w:p>
    <w:p w14:paraId="252AB536" w14:textId="4C5A41C1" w:rsidR="00B978C7" w:rsidRPr="00A45CE5" w:rsidRDefault="000F4ED3"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B</w:t>
      </w:r>
      <w:r w:rsidR="00EA50E1" w:rsidRPr="00A45CE5">
        <w:rPr>
          <w:rFonts w:asciiTheme="minorHAnsi" w:hAnsiTheme="minorHAnsi" w:cstheme="minorHAnsi"/>
          <w:b/>
          <w:bCs/>
          <w:color w:val="000000" w:themeColor="text1"/>
          <w:sz w:val="22"/>
          <w:szCs w:val="22"/>
        </w:rPr>
        <w:t xml:space="preserve">usiness </w:t>
      </w:r>
      <w:r w:rsidRPr="00A45CE5">
        <w:rPr>
          <w:rFonts w:asciiTheme="minorHAnsi" w:hAnsiTheme="minorHAnsi" w:cstheme="minorHAnsi"/>
          <w:b/>
          <w:bCs/>
          <w:color w:val="000000" w:themeColor="text1"/>
          <w:sz w:val="22"/>
          <w:szCs w:val="22"/>
        </w:rPr>
        <w:t>B</w:t>
      </w:r>
      <w:r w:rsidR="00EA50E1" w:rsidRPr="00A45CE5">
        <w:rPr>
          <w:rFonts w:asciiTheme="minorHAnsi" w:hAnsiTheme="minorHAnsi" w:cstheme="minorHAnsi"/>
          <w:b/>
          <w:bCs/>
          <w:color w:val="000000" w:themeColor="text1"/>
          <w:sz w:val="22"/>
          <w:szCs w:val="22"/>
        </w:rPr>
        <w:t>riefs</w:t>
      </w:r>
      <w:r w:rsidR="00171BAA" w:rsidRPr="00A45CE5">
        <w:rPr>
          <w:rFonts w:asciiTheme="minorHAnsi" w:hAnsiTheme="minorHAnsi" w:cstheme="minorHAnsi"/>
          <w:b/>
          <w:bCs/>
          <w:color w:val="000000" w:themeColor="text1"/>
          <w:sz w:val="22"/>
          <w:szCs w:val="22"/>
        </w:rPr>
        <w:t xml:space="preserve"> </w:t>
      </w:r>
      <w:r w:rsidR="00EA50E1" w:rsidRPr="00A45CE5">
        <w:rPr>
          <w:rFonts w:asciiTheme="minorHAnsi" w:hAnsiTheme="minorHAnsi" w:cstheme="minorHAnsi"/>
          <w:b/>
          <w:bCs/>
          <w:color w:val="000000" w:themeColor="text1"/>
          <w:sz w:val="22"/>
          <w:szCs w:val="22"/>
        </w:rPr>
        <w:t>(BBs)</w:t>
      </w:r>
      <w:r w:rsidR="00171BAA" w:rsidRPr="00A45CE5">
        <w:rPr>
          <w:rFonts w:asciiTheme="minorHAnsi" w:hAnsiTheme="minorHAnsi" w:cstheme="minorHAnsi"/>
          <w:b/>
          <w:bCs/>
          <w:color w:val="000000" w:themeColor="text1"/>
          <w:sz w:val="22"/>
          <w:szCs w:val="22"/>
        </w:rPr>
        <w:t>21/04</w:t>
      </w:r>
      <w:r w:rsidR="00EA50E1" w:rsidRPr="00A45CE5">
        <w:rPr>
          <w:rFonts w:asciiTheme="minorHAnsi" w:hAnsiTheme="minorHAnsi" w:cstheme="minorHAnsi"/>
          <w:b/>
          <w:bCs/>
          <w:color w:val="000000" w:themeColor="text1"/>
          <w:sz w:val="22"/>
          <w:szCs w:val="22"/>
        </w:rPr>
        <w:t xml:space="preserve"> and 30/04</w:t>
      </w:r>
    </w:p>
    <w:p w14:paraId="1CB26148" w14:textId="2FE95099" w:rsidR="00171BAA" w:rsidRPr="00A45CE5" w:rsidRDefault="00A70427" w:rsidP="00171BAA">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HMRC confirmed that it </w:t>
      </w:r>
      <w:r w:rsidR="00734FCF" w:rsidRPr="00A45CE5">
        <w:rPr>
          <w:rFonts w:asciiTheme="minorHAnsi" w:hAnsiTheme="minorHAnsi" w:cstheme="minorHAnsi"/>
          <w:color w:val="000000" w:themeColor="text1"/>
          <w:sz w:val="22"/>
          <w:szCs w:val="22"/>
        </w:rPr>
        <w:t xml:space="preserve">was satisfied that </w:t>
      </w:r>
      <w:r w:rsidR="009441E6" w:rsidRPr="00A45CE5">
        <w:rPr>
          <w:rFonts w:asciiTheme="minorHAnsi" w:hAnsiTheme="minorHAnsi" w:cstheme="minorHAnsi"/>
          <w:color w:val="000000" w:themeColor="text1"/>
          <w:sz w:val="22"/>
          <w:szCs w:val="22"/>
        </w:rPr>
        <w:t xml:space="preserve">the information in </w:t>
      </w:r>
      <w:r w:rsidR="00EA50E1" w:rsidRPr="00A45CE5">
        <w:rPr>
          <w:rFonts w:asciiTheme="minorHAnsi" w:hAnsiTheme="minorHAnsi" w:cstheme="minorHAnsi"/>
          <w:color w:val="000000" w:themeColor="text1"/>
          <w:sz w:val="22"/>
          <w:szCs w:val="22"/>
        </w:rPr>
        <w:t xml:space="preserve">BBs 21/04 and 30/04 </w:t>
      </w:r>
      <w:r w:rsidR="009441E6" w:rsidRPr="00A45CE5">
        <w:rPr>
          <w:rFonts w:asciiTheme="minorHAnsi" w:hAnsiTheme="minorHAnsi" w:cstheme="minorHAnsi"/>
          <w:color w:val="000000" w:themeColor="text1"/>
          <w:sz w:val="22"/>
          <w:szCs w:val="22"/>
        </w:rPr>
        <w:t xml:space="preserve">remained correct. HMRC also noted its intention to include part of </w:t>
      </w:r>
      <w:r w:rsidR="00655177" w:rsidRPr="00A45CE5">
        <w:rPr>
          <w:rFonts w:asciiTheme="minorHAnsi" w:hAnsiTheme="minorHAnsi" w:cstheme="minorHAnsi"/>
          <w:color w:val="000000" w:themeColor="text1"/>
          <w:sz w:val="22"/>
          <w:szCs w:val="22"/>
        </w:rPr>
        <w:t xml:space="preserve">VAT Information Sheet (VIS) 14/03 </w:t>
      </w:r>
      <w:r w:rsidR="009441E6" w:rsidRPr="00A45CE5">
        <w:rPr>
          <w:rFonts w:asciiTheme="minorHAnsi" w:hAnsiTheme="minorHAnsi" w:cstheme="minorHAnsi"/>
          <w:color w:val="000000" w:themeColor="text1"/>
          <w:sz w:val="22"/>
          <w:szCs w:val="22"/>
        </w:rPr>
        <w:t>into the relevant manual</w:t>
      </w:r>
      <w:r w:rsidR="001D7B0A" w:rsidRPr="00A45CE5">
        <w:rPr>
          <w:rFonts w:asciiTheme="minorHAnsi" w:hAnsiTheme="minorHAnsi" w:cstheme="minorHAnsi"/>
          <w:color w:val="000000" w:themeColor="text1"/>
          <w:sz w:val="22"/>
          <w:szCs w:val="22"/>
        </w:rPr>
        <w:t>.</w:t>
      </w:r>
    </w:p>
    <w:p w14:paraId="5B298C86" w14:textId="77777777" w:rsidR="001D7B0A" w:rsidRPr="00A45CE5" w:rsidRDefault="001D7B0A" w:rsidP="00171BAA">
      <w:pPr>
        <w:spacing w:after="120"/>
        <w:rPr>
          <w:rFonts w:asciiTheme="minorHAnsi" w:hAnsiTheme="minorHAnsi" w:cstheme="minorHAnsi"/>
          <w:color w:val="000000" w:themeColor="text1"/>
          <w:sz w:val="22"/>
          <w:szCs w:val="22"/>
        </w:rPr>
      </w:pPr>
    </w:p>
    <w:p w14:paraId="2109380B" w14:textId="07015F37" w:rsidR="00094D11" w:rsidRPr="00A45CE5" w:rsidRDefault="00EF1F28"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Action points from previous meetings</w:t>
      </w:r>
    </w:p>
    <w:tbl>
      <w:tblPr>
        <w:tblW w:w="912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1"/>
        <w:gridCol w:w="4252"/>
        <w:gridCol w:w="3685"/>
      </w:tblGrid>
      <w:tr w:rsidR="00A45CE5" w:rsidRPr="00A45CE5" w14:paraId="0D023567"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2FEE36" w14:textId="5AA70D70" w:rsidR="00EF1F28" w:rsidRPr="00A45CE5" w:rsidRDefault="00C57080" w:rsidP="00487D10">
            <w:pPr>
              <w:spacing w:after="120"/>
              <w:ind w:left="113"/>
              <w:rPr>
                <w:rFonts w:asciiTheme="minorHAnsi" w:eastAsia="Times New Roman" w:hAnsiTheme="minorHAnsi" w:cstheme="minorHAnsi"/>
                <w:color w:val="000000" w:themeColor="text1"/>
                <w:sz w:val="22"/>
                <w:szCs w:val="22"/>
                <w:lang w:eastAsia="en-GB"/>
              </w:rPr>
            </w:pPr>
            <w:bookmarkStart w:id="0" w:name="_Hlk138004398"/>
            <w:r w:rsidRPr="00A45CE5">
              <w:rPr>
                <w:rFonts w:asciiTheme="minorHAnsi" w:eastAsia="Times New Roman" w:hAnsiTheme="minorHAnsi" w:cstheme="minorHAnsi"/>
                <w:color w:val="000000" w:themeColor="text1"/>
                <w:sz w:val="22"/>
                <w:szCs w:val="22"/>
                <w:lang w:eastAsia="en-GB"/>
              </w:rPr>
              <w:t>Date</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2917E" w14:textId="77777777" w:rsidR="00EF1F28" w:rsidRPr="00A45CE5" w:rsidRDefault="00EF1F28" w:rsidP="00487D10">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Action point</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B245CA1" w14:textId="77777777" w:rsidR="00EF1F28" w:rsidRPr="00A45CE5" w:rsidRDefault="00EF1F28" w:rsidP="00487D10">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Status</w:t>
            </w:r>
          </w:p>
        </w:tc>
      </w:tr>
      <w:bookmarkEnd w:id="0"/>
      <w:tr w:rsidR="00A45CE5" w:rsidRPr="00A45CE5" w14:paraId="13970901"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5FF993F" w14:textId="392EFCDA" w:rsidR="00EF1F28" w:rsidRPr="00A45CE5" w:rsidRDefault="00C57080" w:rsidP="00487D10">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Nov 2020</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9A6F647" w14:textId="426E3585" w:rsidR="00EF1F28" w:rsidRPr="00A45CE5" w:rsidRDefault="00EF1F28" w:rsidP="00487D10">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 xml:space="preserve">Value of commercial property upon deregistration – No update was provided. </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542ED51" w14:textId="76437454" w:rsidR="00EF1F28" w:rsidRPr="00A45CE5" w:rsidRDefault="00EF1F28" w:rsidP="00487D10">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 xml:space="preserve">Open – </w:t>
            </w:r>
            <w:r w:rsidR="00CA3B5C" w:rsidRPr="00A45CE5">
              <w:rPr>
                <w:rFonts w:asciiTheme="minorHAnsi" w:eastAsia="Times New Roman" w:hAnsiTheme="minorHAnsi" w:cstheme="minorHAnsi"/>
                <w:color w:val="000000" w:themeColor="text1"/>
                <w:sz w:val="22"/>
                <w:szCs w:val="22"/>
                <w:lang w:eastAsia="en-GB"/>
              </w:rPr>
              <w:t xml:space="preserve">HMRC carrying out a fundamental review of the </w:t>
            </w:r>
            <w:r w:rsidR="00842135" w:rsidRPr="00A45CE5">
              <w:rPr>
                <w:rFonts w:asciiTheme="minorHAnsi" w:eastAsia="Times New Roman" w:hAnsiTheme="minorHAnsi" w:cstheme="minorHAnsi"/>
                <w:color w:val="000000" w:themeColor="text1"/>
                <w:sz w:val="22"/>
                <w:szCs w:val="22"/>
                <w:lang w:eastAsia="en-GB"/>
              </w:rPr>
              <w:t>CGS. A representative from the relevant HMRC VAT policy team would attend the next LPLG meeting to provide an update.</w:t>
            </w:r>
          </w:p>
        </w:tc>
      </w:tr>
      <w:tr w:rsidR="00A45CE5" w:rsidRPr="00A45CE5" w14:paraId="62E31A57"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C1C1F63" w14:textId="35C6DA95" w:rsidR="00EF1F28" w:rsidRPr="00A45CE5" w:rsidRDefault="00C57080" w:rsidP="00C57080">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Oct 2021</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DED036F" w14:textId="51CB838A" w:rsidR="00EF1F28" w:rsidRPr="00A45CE5" w:rsidRDefault="00EF1F28" w:rsidP="00487D10">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Update to CGS Notice re VAT de-registration – HMRC to provide written update</w:t>
            </w:r>
            <w:r w:rsidR="009A5363" w:rsidRPr="00A45CE5">
              <w:rPr>
                <w:rFonts w:asciiTheme="minorHAnsi" w:eastAsia="Times New Roman" w:hAnsiTheme="minorHAnsi" w:cstheme="minorHAnsi"/>
                <w:color w:val="000000" w:themeColor="text1"/>
                <w:sz w:val="22"/>
                <w:szCs w:val="22"/>
                <w:lang w:eastAsia="en-GB"/>
              </w:rPr>
              <w:t>.</w:t>
            </w:r>
            <w:r w:rsidRPr="00A45CE5">
              <w:rPr>
                <w:rFonts w:asciiTheme="minorHAnsi" w:eastAsia="Times New Roman" w:hAnsiTheme="minorHAnsi" w:cstheme="minorHAnsi"/>
                <w:color w:val="000000" w:themeColor="text1"/>
                <w:sz w:val="22"/>
                <w:szCs w:val="22"/>
                <w:lang w:eastAsia="en-GB"/>
              </w:rPr>
              <w:t xml:space="preserve"> </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8A9BDCC" w14:textId="5ECDD722" w:rsidR="00EF1F28" w:rsidRPr="00A45CE5" w:rsidRDefault="00EF1F28" w:rsidP="00487D10">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Open –</w:t>
            </w:r>
            <w:r w:rsidR="00842135" w:rsidRPr="00A45CE5">
              <w:rPr>
                <w:rFonts w:asciiTheme="minorHAnsi" w:eastAsia="Times New Roman" w:hAnsiTheme="minorHAnsi" w:cstheme="minorHAnsi"/>
                <w:color w:val="000000" w:themeColor="text1"/>
                <w:sz w:val="22"/>
                <w:szCs w:val="22"/>
                <w:lang w:eastAsia="en-GB"/>
              </w:rPr>
              <w:t xml:space="preserve"> a</w:t>
            </w:r>
            <w:r w:rsidR="00C7018F" w:rsidRPr="00A45CE5">
              <w:rPr>
                <w:rFonts w:asciiTheme="minorHAnsi" w:eastAsia="Times New Roman" w:hAnsiTheme="minorHAnsi" w:cstheme="minorHAnsi"/>
                <w:color w:val="000000" w:themeColor="text1"/>
                <w:sz w:val="22"/>
                <w:szCs w:val="22"/>
                <w:lang w:eastAsia="en-GB"/>
              </w:rPr>
              <w:t>s above.</w:t>
            </w:r>
          </w:p>
        </w:tc>
      </w:tr>
      <w:tr w:rsidR="00A45CE5" w:rsidRPr="00A45CE5" w14:paraId="5554FB1D"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8482376" w14:textId="2E7721EE"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lastRenderedPageBreak/>
              <w:t>Jan 2023</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285451B" w14:textId="4EAC6ACC"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b/>
                <w:bCs/>
                <w:color w:val="000000" w:themeColor="text1"/>
                <w:sz w:val="22"/>
                <w:szCs w:val="22"/>
                <w:lang w:eastAsia="en-GB"/>
              </w:rPr>
              <w:t xml:space="preserve">Change of trustees – </w:t>
            </w:r>
            <w:r w:rsidRPr="00A45CE5">
              <w:rPr>
                <w:rFonts w:asciiTheme="minorHAnsi" w:hAnsiTheme="minorHAnsi" w:cstheme="minorHAnsi"/>
                <w:color w:val="000000" w:themeColor="text1"/>
                <w:sz w:val="22"/>
                <w:szCs w:val="22"/>
              </w:rPr>
              <w:t xml:space="preserve">HMRC to </w:t>
            </w:r>
            <w:r w:rsidR="00E870A1" w:rsidRPr="00A45CE5">
              <w:rPr>
                <w:rFonts w:asciiTheme="minorHAnsi" w:hAnsiTheme="minorHAnsi" w:cstheme="minorHAnsi"/>
                <w:color w:val="000000" w:themeColor="text1"/>
                <w:sz w:val="22"/>
                <w:szCs w:val="22"/>
              </w:rPr>
              <w:t>engage with relevant LPLG members</w:t>
            </w:r>
            <w:r w:rsidRPr="00A45CE5">
              <w:rPr>
                <w:rFonts w:asciiTheme="minorHAnsi" w:hAnsiTheme="minorHAnsi" w:cstheme="minorHAnsi"/>
                <w:color w:val="000000" w:themeColor="text1"/>
                <w:sz w:val="22"/>
                <w:szCs w:val="22"/>
              </w:rPr>
              <w:t>.</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DB8CB1E" w14:textId="7C02F017" w:rsidR="009A3E6A" w:rsidRPr="00A45CE5" w:rsidRDefault="00E870A1"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Open</w:t>
            </w:r>
            <w:r w:rsidR="009A3E6A" w:rsidRPr="00A45CE5">
              <w:rPr>
                <w:rFonts w:asciiTheme="minorHAnsi" w:eastAsia="Times New Roman" w:hAnsiTheme="minorHAnsi" w:cstheme="minorHAnsi"/>
                <w:color w:val="000000" w:themeColor="text1"/>
                <w:sz w:val="22"/>
                <w:szCs w:val="22"/>
                <w:lang w:eastAsia="en-GB"/>
              </w:rPr>
              <w:t xml:space="preserve"> – </w:t>
            </w:r>
            <w:r w:rsidR="00C74040" w:rsidRPr="00A45CE5">
              <w:rPr>
                <w:rFonts w:asciiTheme="minorHAnsi" w:eastAsia="Times New Roman" w:hAnsiTheme="minorHAnsi" w:cstheme="minorHAnsi"/>
                <w:color w:val="000000" w:themeColor="text1"/>
                <w:sz w:val="22"/>
                <w:szCs w:val="22"/>
                <w:lang w:eastAsia="en-GB"/>
              </w:rPr>
              <w:t>HMRC to arrange a meeting to progress.</w:t>
            </w:r>
          </w:p>
        </w:tc>
      </w:tr>
      <w:tr w:rsidR="00A45CE5" w:rsidRPr="00A45CE5" w14:paraId="31785C0C"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83270BC" w14:textId="4744330C"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Jan 2023</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21BB70A" w14:textId="79DF5D39" w:rsidR="009A3E6A" w:rsidRPr="00A45CE5" w:rsidRDefault="009A3E6A" w:rsidP="009A3E6A">
            <w:pPr>
              <w:pStyle w:val="paragraph"/>
              <w:spacing w:before="0" w:beforeAutospacing="0" w:after="120" w:afterAutospacing="0"/>
              <w:ind w:left="113"/>
              <w:textAlignment w:val="baseline"/>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L&amp;P review</w:t>
            </w:r>
            <w:r w:rsidRPr="00A45CE5">
              <w:rPr>
                <w:rFonts w:asciiTheme="minorHAnsi" w:hAnsiTheme="minorHAnsi" w:cstheme="minorHAnsi"/>
                <w:color w:val="000000" w:themeColor="text1"/>
                <w:sz w:val="22"/>
                <w:szCs w:val="22"/>
              </w:rPr>
              <w:t xml:space="preserve"> – </w:t>
            </w:r>
            <w:r w:rsidRPr="00A45CE5">
              <w:rPr>
                <w:rStyle w:val="normaltextrun"/>
                <w:rFonts w:asciiTheme="minorHAnsi" w:hAnsiTheme="minorHAnsi" w:cstheme="minorHAnsi"/>
                <w:color w:val="000000" w:themeColor="text1"/>
                <w:sz w:val="22"/>
                <w:szCs w:val="22"/>
              </w:rPr>
              <w:t xml:space="preserve">LPLG members to provide examples of supplies that illustrate </w:t>
            </w:r>
            <w:r w:rsidR="00AE0AEF" w:rsidRPr="00A45CE5">
              <w:rPr>
                <w:rStyle w:val="normaltextrun"/>
                <w:rFonts w:asciiTheme="minorHAnsi" w:hAnsiTheme="minorHAnsi" w:cstheme="minorHAnsi"/>
                <w:color w:val="000000" w:themeColor="text1"/>
                <w:sz w:val="22"/>
                <w:szCs w:val="22"/>
              </w:rPr>
              <w:t>‘</w:t>
            </w:r>
            <w:r w:rsidRPr="00A45CE5">
              <w:rPr>
                <w:rStyle w:val="normaltextrun"/>
                <w:rFonts w:asciiTheme="minorHAnsi" w:hAnsiTheme="minorHAnsi" w:cstheme="minorHAnsi"/>
                <w:color w:val="000000" w:themeColor="text1"/>
                <w:sz w:val="22"/>
                <w:szCs w:val="22"/>
              </w:rPr>
              <w:t>passivity</w:t>
            </w:r>
            <w:r w:rsidR="00AE0AEF" w:rsidRPr="00A45CE5">
              <w:rPr>
                <w:rStyle w:val="normaltextrun"/>
                <w:rFonts w:asciiTheme="minorHAnsi" w:hAnsiTheme="minorHAnsi" w:cstheme="minorHAnsi"/>
                <w:color w:val="000000" w:themeColor="text1"/>
                <w:sz w:val="22"/>
                <w:szCs w:val="22"/>
              </w:rPr>
              <w:t>’</w:t>
            </w:r>
            <w:r w:rsidRPr="00A45CE5">
              <w:rPr>
                <w:rStyle w:val="normaltextrun"/>
                <w:rFonts w:asciiTheme="minorHAnsi" w:hAnsiTheme="minorHAnsi" w:cstheme="minorHAnsi"/>
                <w:color w:val="000000" w:themeColor="text1"/>
                <w:sz w:val="22"/>
                <w:szCs w:val="22"/>
              </w:rPr>
              <w:t xml:space="preserve"> and </w:t>
            </w:r>
            <w:r w:rsidR="00AE0AEF" w:rsidRPr="00A45CE5">
              <w:rPr>
                <w:rStyle w:val="normaltextrun"/>
                <w:rFonts w:asciiTheme="minorHAnsi" w:hAnsiTheme="minorHAnsi" w:cstheme="minorHAnsi"/>
                <w:color w:val="000000" w:themeColor="text1"/>
                <w:sz w:val="22"/>
                <w:szCs w:val="22"/>
              </w:rPr>
              <w:t>‘</w:t>
            </w:r>
            <w:r w:rsidRPr="00A45CE5">
              <w:rPr>
                <w:rStyle w:val="normaltextrun"/>
                <w:rFonts w:asciiTheme="minorHAnsi" w:hAnsiTheme="minorHAnsi" w:cstheme="minorHAnsi"/>
                <w:color w:val="000000" w:themeColor="text1"/>
                <w:sz w:val="22"/>
                <w:szCs w:val="22"/>
              </w:rPr>
              <w:t>exclusivity</w:t>
            </w:r>
            <w:r w:rsidR="00AE0AEF" w:rsidRPr="00A45CE5">
              <w:rPr>
                <w:rStyle w:val="normaltextrun"/>
                <w:rFonts w:asciiTheme="minorHAnsi" w:hAnsiTheme="minorHAnsi" w:cstheme="minorHAnsi"/>
                <w:color w:val="000000" w:themeColor="text1"/>
                <w:sz w:val="22"/>
                <w:szCs w:val="22"/>
              </w:rPr>
              <w:t>’</w:t>
            </w:r>
            <w:r w:rsidR="00AE0AEF" w:rsidRPr="00A45CE5">
              <w:rPr>
                <w:rStyle w:val="normaltextrun"/>
                <w:color w:val="000000" w:themeColor="text1"/>
              </w:rPr>
              <w:t>.</w:t>
            </w:r>
            <w:r w:rsidRPr="00A45CE5">
              <w:rPr>
                <w:rStyle w:val="normaltextrun"/>
                <w:rFonts w:asciiTheme="minorHAnsi" w:hAnsiTheme="minorHAnsi" w:cstheme="minorHAnsi"/>
                <w:color w:val="000000" w:themeColor="text1"/>
                <w:sz w:val="22"/>
                <w:szCs w:val="22"/>
              </w:rPr>
              <w:t xml:space="preserve"> </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C49ACD5" w14:textId="25389771" w:rsidR="009A3E6A" w:rsidRPr="00A45CE5" w:rsidRDefault="0073654F"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Closed – rolled into review of Notice 742.</w:t>
            </w:r>
          </w:p>
        </w:tc>
      </w:tr>
      <w:tr w:rsidR="00A45CE5" w:rsidRPr="00A45CE5" w14:paraId="22363196"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16FFBB8" w14:textId="1E673824"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Jan 2023</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018A6FF" w14:textId="2757B0CD"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b/>
                <w:bCs/>
                <w:color w:val="000000" w:themeColor="text1"/>
                <w:sz w:val="22"/>
                <w:szCs w:val="22"/>
                <w:lang w:eastAsia="en-GB"/>
              </w:rPr>
              <w:t>ESM installation</w:t>
            </w:r>
            <w:r w:rsidRPr="00A45CE5">
              <w:rPr>
                <w:rFonts w:asciiTheme="minorHAnsi" w:eastAsia="Times New Roman" w:hAnsiTheme="minorHAnsi" w:cstheme="minorHAnsi"/>
                <w:color w:val="000000" w:themeColor="text1"/>
                <w:sz w:val="22"/>
                <w:szCs w:val="22"/>
                <w:lang w:eastAsia="en-GB"/>
              </w:rPr>
              <w:t xml:space="preserve"> – </w:t>
            </w:r>
            <w:r w:rsidRPr="00A45CE5">
              <w:rPr>
                <w:rFonts w:asciiTheme="minorHAnsi" w:hAnsiTheme="minorHAnsi" w:cstheme="minorHAnsi"/>
                <w:color w:val="000000" w:themeColor="text1"/>
                <w:sz w:val="22"/>
                <w:szCs w:val="22"/>
              </w:rPr>
              <w:t>HMRC stated that they have just updated guidance and would check their examples and come back with any additional thoughts.</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CCB66DD" w14:textId="7815F47F" w:rsidR="009A3E6A" w:rsidRPr="00A45CE5" w:rsidRDefault="00E77DFC"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Closed</w:t>
            </w:r>
            <w:r w:rsidR="009A3E6A" w:rsidRPr="00A45CE5">
              <w:rPr>
                <w:rFonts w:asciiTheme="minorHAnsi" w:eastAsia="Times New Roman" w:hAnsiTheme="minorHAnsi" w:cstheme="minorHAnsi"/>
                <w:color w:val="000000" w:themeColor="text1"/>
                <w:sz w:val="22"/>
                <w:szCs w:val="22"/>
                <w:lang w:eastAsia="en-GB"/>
              </w:rPr>
              <w:t xml:space="preserve"> – </w:t>
            </w:r>
            <w:r w:rsidRPr="00A45CE5">
              <w:rPr>
                <w:rFonts w:asciiTheme="minorHAnsi" w:eastAsia="Times New Roman" w:hAnsiTheme="minorHAnsi" w:cstheme="minorHAnsi"/>
                <w:color w:val="000000" w:themeColor="text1"/>
                <w:sz w:val="22"/>
                <w:szCs w:val="22"/>
                <w:lang w:eastAsia="en-GB"/>
              </w:rPr>
              <w:t>government consulted on the VAT treatment of ESM installation earlier in the year and would soon publish a summary of responses covering this point</w:t>
            </w:r>
            <w:r w:rsidR="009A3E6A" w:rsidRPr="00A45CE5">
              <w:rPr>
                <w:rFonts w:asciiTheme="minorHAnsi" w:eastAsia="Times New Roman" w:hAnsiTheme="minorHAnsi" w:cstheme="minorHAnsi"/>
                <w:color w:val="000000" w:themeColor="text1"/>
                <w:sz w:val="22"/>
                <w:szCs w:val="22"/>
                <w:lang w:eastAsia="en-GB"/>
              </w:rPr>
              <w:t>.</w:t>
            </w:r>
          </w:p>
        </w:tc>
      </w:tr>
      <w:tr w:rsidR="00A45CE5" w:rsidRPr="00A45CE5" w14:paraId="269A710C"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419005E" w14:textId="78E17C51"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Jan 2023</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E2FC475" w14:textId="024AFB87"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b/>
                <w:bCs/>
                <w:color w:val="000000" w:themeColor="text1"/>
                <w:sz w:val="22"/>
                <w:szCs w:val="22"/>
                <w:lang w:eastAsia="en-GB"/>
              </w:rPr>
              <w:t>Modular buildings and zero rate</w:t>
            </w:r>
            <w:r w:rsidRPr="00A45CE5">
              <w:rPr>
                <w:rFonts w:asciiTheme="minorHAnsi" w:eastAsia="Times New Roman" w:hAnsiTheme="minorHAnsi" w:cstheme="minorHAnsi"/>
                <w:color w:val="000000" w:themeColor="text1"/>
                <w:sz w:val="22"/>
                <w:szCs w:val="22"/>
                <w:lang w:eastAsia="en-GB"/>
              </w:rPr>
              <w:t xml:space="preserve"> – </w:t>
            </w:r>
            <w:r w:rsidRPr="00A45CE5">
              <w:rPr>
                <w:rFonts w:asciiTheme="minorHAnsi" w:hAnsiTheme="minorHAnsi" w:cstheme="minorHAnsi"/>
                <w:color w:val="000000" w:themeColor="text1"/>
                <w:sz w:val="22"/>
                <w:szCs w:val="22"/>
              </w:rPr>
              <w:t xml:space="preserve">LPLG members to provide more detail to enable HMRC to decide whether to update Guidance. </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99079B9" w14:textId="33C82D3E" w:rsidR="009A3E6A" w:rsidRPr="00A45CE5" w:rsidRDefault="0024158E"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Closed</w:t>
            </w:r>
            <w:r w:rsidR="008A730B" w:rsidRPr="00A45CE5">
              <w:rPr>
                <w:rFonts w:asciiTheme="minorHAnsi" w:eastAsia="Times New Roman" w:hAnsiTheme="minorHAnsi" w:cstheme="minorHAnsi"/>
                <w:color w:val="000000" w:themeColor="text1"/>
                <w:sz w:val="22"/>
                <w:szCs w:val="22"/>
                <w:lang w:eastAsia="en-GB"/>
              </w:rPr>
              <w:t xml:space="preserve"> – see AOB below for more detail.</w:t>
            </w:r>
          </w:p>
        </w:tc>
      </w:tr>
      <w:tr w:rsidR="00A45CE5" w:rsidRPr="00A45CE5" w14:paraId="05D7EE38"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DEF8DBD" w14:textId="3B8732DF"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Jan 2023</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A1D3DDD" w14:textId="4E437573"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b/>
                <w:bCs/>
                <w:color w:val="000000" w:themeColor="text1"/>
                <w:sz w:val="22"/>
                <w:szCs w:val="22"/>
                <w:lang w:eastAsia="en-GB"/>
              </w:rPr>
              <w:t>Modular buildings and zero rate</w:t>
            </w:r>
            <w:r w:rsidRPr="00A45CE5">
              <w:rPr>
                <w:rFonts w:asciiTheme="minorHAnsi" w:eastAsia="Times New Roman" w:hAnsiTheme="minorHAnsi" w:cstheme="minorHAnsi"/>
                <w:color w:val="000000" w:themeColor="text1"/>
                <w:sz w:val="22"/>
                <w:szCs w:val="22"/>
                <w:lang w:eastAsia="en-GB"/>
              </w:rPr>
              <w:t xml:space="preserve"> – </w:t>
            </w:r>
            <w:r w:rsidRPr="00A45CE5">
              <w:rPr>
                <w:rFonts w:asciiTheme="minorHAnsi" w:hAnsiTheme="minorHAnsi" w:cstheme="minorHAnsi"/>
                <w:color w:val="000000" w:themeColor="text1"/>
                <w:sz w:val="22"/>
                <w:szCs w:val="22"/>
              </w:rPr>
              <w:t>Ruth Corkin offered to arrange a visit to a construction site near Bicester.</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EDB1597" w14:textId="0D27C922" w:rsidR="009A3E6A" w:rsidRPr="00A45CE5" w:rsidRDefault="0024158E"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 xml:space="preserve">Closed – HMRC had recently </w:t>
            </w:r>
            <w:r w:rsidR="00187F64" w:rsidRPr="00A45CE5">
              <w:rPr>
                <w:rFonts w:asciiTheme="minorHAnsi" w:eastAsia="Times New Roman" w:hAnsiTheme="minorHAnsi" w:cstheme="minorHAnsi"/>
                <w:color w:val="000000" w:themeColor="text1"/>
                <w:sz w:val="22"/>
                <w:szCs w:val="22"/>
                <w:lang w:eastAsia="en-GB"/>
              </w:rPr>
              <w:t>been on a site visit – see AOB below for more detail</w:t>
            </w:r>
            <w:r w:rsidR="009A3E6A" w:rsidRPr="00A45CE5">
              <w:rPr>
                <w:rFonts w:asciiTheme="minorHAnsi" w:eastAsia="Times New Roman" w:hAnsiTheme="minorHAnsi" w:cstheme="minorHAnsi"/>
                <w:color w:val="000000" w:themeColor="text1"/>
                <w:sz w:val="22"/>
                <w:szCs w:val="22"/>
                <w:lang w:eastAsia="en-GB"/>
              </w:rPr>
              <w:t>.</w:t>
            </w:r>
          </w:p>
        </w:tc>
      </w:tr>
      <w:tr w:rsidR="00A45CE5" w:rsidRPr="00A45CE5" w14:paraId="20C8E00A"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7DA7BD6" w14:textId="332B67C4"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Jan 2023</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3CDA200" w14:textId="203B69BC"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b/>
                <w:bCs/>
                <w:color w:val="000000" w:themeColor="text1"/>
                <w:sz w:val="22"/>
                <w:szCs w:val="22"/>
                <w:lang w:eastAsia="en-GB"/>
              </w:rPr>
              <w:t>Fire and safety remediation</w:t>
            </w:r>
            <w:r w:rsidRPr="00A45CE5">
              <w:rPr>
                <w:rFonts w:asciiTheme="minorHAnsi" w:eastAsia="Times New Roman" w:hAnsiTheme="minorHAnsi" w:cstheme="minorHAnsi"/>
                <w:color w:val="000000" w:themeColor="text1"/>
                <w:sz w:val="22"/>
                <w:szCs w:val="22"/>
                <w:lang w:eastAsia="en-GB"/>
              </w:rPr>
              <w:t xml:space="preserve"> – </w:t>
            </w:r>
            <w:r w:rsidRPr="00A45CE5">
              <w:rPr>
                <w:rFonts w:asciiTheme="minorHAnsi" w:hAnsiTheme="minorHAnsi" w:cstheme="minorHAnsi"/>
                <w:color w:val="000000" w:themeColor="text1"/>
                <w:sz w:val="22"/>
                <w:szCs w:val="22"/>
              </w:rPr>
              <w:t xml:space="preserve">NHF to </w:t>
            </w:r>
            <w:proofErr w:type="gramStart"/>
            <w:r w:rsidR="002156D8" w:rsidRPr="00A45CE5">
              <w:rPr>
                <w:rFonts w:asciiTheme="minorHAnsi" w:hAnsiTheme="minorHAnsi" w:cstheme="minorHAnsi"/>
                <w:color w:val="000000" w:themeColor="text1"/>
                <w:sz w:val="22"/>
                <w:szCs w:val="22"/>
              </w:rPr>
              <w:t xml:space="preserve">send </w:t>
            </w:r>
            <w:r w:rsidRPr="00A45CE5">
              <w:rPr>
                <w:rFonts w:asciiTheme="minorHAnsi" w:hAnsiTheme="minorHAnsi" w:cstheme="minorHAnsi"/>
                <w:color w:val="000000" w:themeColor="text1"/>
                <w:sz w:val="22"/>
                <w:szCs w:val="22"/>
              </w:rPr>
              <w:t xml:space="preserve"> examples</w:t>
            </w:r>
            <w:proofErr w:type="gramEnd"/>
            <w:r w:rsidRPr="00A45CE5">
              <w:rPr>
                <w:rFonts w:asciiTheme="minorHAnsi" w:hAnsiTheme="minorHAnsi" w:cstheme="minorHAnsi"/>
                <w:color w:val="000000" w:themeColor="text1"/>
                <w:sz w:val="22"/>
                <w:szCs w:val="22"/>
              </w:rPr>
              <w:t xml:space="preserve"> of HMRC’s withdrawal of written clearance. HMRC to review.</w:t>
            </w:r>
            <w:r w:rsidRPr="00A45CE5">
              <w:rPr>
                <w:rFonts w:asciiTheme="minorHAnsi" w:hAnsiTheme="minorHAnsi" w:cstheme="minorHAnsi"/>
                <w:b/>
                <w:bCs/>
                <w:color w:val="000000" w:themeColor="text1"/>
                <w:sz w:val="22"/>
                <w:szCs w:val="22"/>
              </w:rPr>
              <w:t xml:space="preserve"> </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2CCAB00" w14:textId="2608615C"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Open</w:t>
            </w:r>
            <w:r w:rsidR="00187F64" w:rsidRPr="00A45CE5">
              <w:rPr>
                <w:rFonts w:asciiTheme="minorHAnsi" w:eastAsia="Times New Roman" w:hAnsiTheme="minorHAnsi" w:cstheme="minorHAnsi"/>
                <w:color w:val="000000" w:themeColor="text1"/>
                <w:sz w:val="22"/>
                <w:szCs w:val="22"/>
                <w:lang w:eastAsia="en-GB"/>
              </w:rPr>
              <w:t xml:space="preserve"> – NHF were trying to get </w:t>
            </w:r>
            <w:r w:rsidR="00960B11" w:rsidRPr="00A45CE5">
              <w:rPr>
                <w:rFonts w:asciiTheme="minorHAnsi" w:eastAsia="Times New Roman" w:hAnsiTheme="minorHAnsi" w:cstheme="minorHAnsi"/>
                <w:color w:val="000000" w:themeColor="text1"/>
                <w:sz w:val="22"/>
                <w:szCs w:val="22"/>
                <w:lang w:eastAsia="en-GB"/>
              </w:rPr>
              <w:t xml:space="preserve">the approval of relevant </w:t>
            </w:r>
            <w:r w:rsidR="00187F64" w:rsidRPr="00A45CE5">
              <w:rPr>
                <w:rFonts w:asciiTheme="minorHAnsi" w:eastAsia="Times New Roman" w:hAnsiTheme="minorHAnsi" w:cstheme="minorHAnsi"/>
                <w:color w:val="000000" w:themeColor="text1"/>
                <w:sz w:val="22"/>
                <w:szCs w:val="22"/>
                <w:lang w:eastAsia="en-GB"/>
              </w:rPr>
              <w:t>member</w:t>
            </w:r>
            <w:r w:rsidR="00960B11" w:rsidRPr="00A45CE5">
              <w:rPr>
                <w:rFonts w:asciiTheme="minorHAnsi" w:eastAsia="Times New Roman" w:hAnsiTheme="minorHAnsi" w:cstheme="minorHAnsi"/>
                <w:color w:val="000000" w:themeColor="text1"/>
                <w:sz w:val="22"/>
                <w:szCs w:val="22"/>
                <w:lang w:eastAsia="en-GB"/>
              </w:rPr>
              <w:t>s to share details with HMRC.</w:t>
            </w:r>
          </w:p>
        </w:tc>
      </w:tr>
      <w:tr w:rsidR="00A45CE5" w:rsidRPr="00A45CE5" w14:paraId="5CEF8016"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547AC95" w14:textId="233892F6"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Jan 2023</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9B4BEE0" w14:textId="0D282784"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b/>
                <w:bCs/>
                <w:color w:val="000000" w:themeColor="text1"/>
                <w:sz w:val="22"/>
                <w:szCs w:val="22"/>
                <w:lang w:eastAsia="en-GB"/>
              </w:rPr>
              <w:t>Notice 708 update</w:t>
            </w:r>
            <w:r w:rsidRPr="00A45CE5">
              <w:rPr>
                <w:rFonts w:asciiTheme="minorHAnsi" w:eastAsia="Times New Roman" w:hAnsiTheme="minorHAnsi" w:cstheme="minorHAnsi"/>
                <w:color w:val="000000" w:themeColor="text1"/>
                <w:sz w:val="22"/>
                <w:szCs w:val="22"/>
                <w:lang w:eastAsia="en-GB"/>
              </w:rPr>
              <w:t xml:space="preserve"> – HMRC to </w:t>
            </w:r>
            <w:r w:rsidR="004F6AC7" w:rsidRPr="00A45CE5">
              <w:rPr>
                <w:rFonts w:asciiTheme="minorHAnsi" w:eastAsia="Times New Roman" w:hAnsiTheme="minorHAnsi" w:cstheme="minorHAnsi"/>
                <w:color w:val="000000" w:themeColor="text1"/>
                <w:sz w:val="22"/>
                <w:szCs w:val="22"/>
                <w:lang w:eastAsia="en-GB"/>
              </w:rPr>
              <w:t>begin work</w:t>
            </w:r>
            <w:r w:rsidR="002649C1" w:rsidRPr="00A45CE5">
              <w:rPr>
                <w:rFonts w:asciiTheme="minorHAnsi" w:eastAsia="Times New Roman" w:hAnsiTheme="minorHAnsi" w:cstheme="minorHAnsi"/>
                <w:color w:val="000000" w:themeColor="text1"/>
                <w:sz w:val="22"/>
                <w:szCs w:val="22"/>
                <w:lang w:eastAsia="en-GB"/>
              </w:rPr>
              <w:t xml:space="preserve"> on the </w:t>
            </w:r>
            <w:r w:rsidR="004F6AC7" w:rsidRPr="00A45CE5">
              <w:rPr>
                <w:rFonts w:asciiTheme="minorHAnsi" w:eastAsia="Times New Roman" w:hAnsiTheme="minorHAnsi" w:cstheme="minorHAnsi"/>
                <w:color w:val="000000" w:themeColor="text1"/>
                <w:sz w:val="22"/>
                <w:szCs w:val="22"/>
                <w:lang w:eastAsia="en-GB"/>
              </w:rPr>
              <w:t xml:space="preserve"> </w:t>
            </w:r>
            <w:r w:rsidRPr="00A45CE5">
              <w:rPr>
                <w:rFonts w:asciiTheme="minorHAnsi" w:eastAsia="Times New Roman" w:hAnsiTheme="minorHAnsi" w:cstheme="minorHAnsi"/>
                <w:color w:val="000000" w:themeColor="text1"/>
                <w:sz w:val="22"/>
                <w:szCs w:val="22"/>
                <w:lang w:eastAsia="en-GB"/>
              </w:rPr>
              <w:t xml:space="preserve"> updated Notice for LPLG comments</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60B5CAF" w14:textId="4EE216E7"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Ope</w:t>
            </w:r>
            <w:r w:rsidR="00960B11" w:rsidRPr="00A45CE5">
              <w:rPr>
                <w:rFonts w:asciiTheme="minorHAnsi" w:eastAsia="Times New Roman" w:hAnsiTheme="minorHAnsi" w:cstheme="minorHAnsi"/>
                <w:color w:val="000000" w:themeColor="text1"/>
                <w:sz w:val="22"/>
                <w:szCs w:val="22"/>
                <w:lang w:eastAsia="en-GB"/>
              </w:rPr>
              <w:t xml:space="preserve">n – see update </w:t>
            </w:r>
            <w:proofErr w:type="gramStart"/>
            <w:r w:rsidR="00960B11" w:rsidRPr="00A45CE5">
              <w:rPr>
                <w:rFonts w:asciiTheme="minorHAnsi" w:eastAsia="Times New Roman" w:hAnsiTheme="minorHAnsi" w:cstheme="minorHAnsi"/>
                <w:color w:val="000000" w:themeColor="text1"/>
                <w:sz w:val="22"/>
                <w:szCs w:val="22"/>
                <w:lang w:eastAsia="en-GB"/>
              </w:rPr>
              <w:t>above.</w:t>
            </w:r>
            <w:r w:rsidR="002649C1" w:rsidRPr="00A45CE5">
              <w:rPr>
                <w:rFonts w:asciiTheme="minorHAnsi" w:eastAsia="Times New Roman" w:hAnsiTheme="minorHAnsi" w:cstheme="minorHAnsi"/>
                <w:color w:val="000000" w:themeColor="text1"/>
                <w:sz w:val="22"/>
                <w:szCs w:val="22"/>
                <w:lang w:eastAsia="en-GB"/>
              </w:rPr>
              <w:t>.</w:t>
            </w:r>
            <w:proofErr w:type="gramEnd"/>
          </w:p>
        </w:tc>
      </w:tr>
      <w:tr w:rsidR="00A45CE5" w:rsidRPr="00A45CE5" w14:paraId="4DFC07EC" w14:textId="77777777" w:rsidTr="00A368B3">
        <w:tc>
          <w:tcPr>
            <w:tcW w:w="11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6EBCACF" w14:textId="32E82971"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Jan 2023</w:t>
            </w:r>
          </w:p>
        </w:tc>
        <w:tc>
          <w:tcPr>
            <w:tcW w:w="425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D031D4" w14:textId="586E5606"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b/>
                <w:bCs/>
                <w:color w:val="000000" w:themeColor="text1"/>
                <w:sz w:val="22"/>
                <w:szCs w:val="22"/>
                <w:lang w:eastAsia="en-GB"/>
              </w:rPr>
              <w:t>Sale and leasebacks</w:t>
            </w:r>
            <w:r w:rsidRPr="00A45CE5">
              <w:rPr>
                <w:rFonts w:asciiTheme="minorHAnsi" w:eastAsia="Times New Roman" w:hAnsiTheme="minorHAnsi" w:cstheme="minorHAnsi"/>
                <w:color w:val="000000" w:themeColor="text1"/>
                <w:sz w:val="22"/>
                <w:szCs w:val="22"/>
                <w:lang w:eastAsia="en-GB"/>
              </w:rPr>
              <w:t xml:space="preserve"> – draft RCB to be shared with LPLG members for comments </w:t>
            </w:r>
          </w:p>
        </w:tc>
        <w:tc>
          <w:tcPr>
            <w:tcW w:w="368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414688E" w14:textId="0979F1B5" w:rsidR="009A3E6A" w:rsidRPr="00A45CE5" w:rsidRDefault="009A3E6A" w:rsidP="009A3E6A">
            <w:pPr>
              <w:spacing w:after="120"/>
              <w:ind w:left="113"/>
              <w:rPr>
                <w:rFonts w:asciiTheme="minorHAnsi" w:eastAsia="Times New Roman" w:hAnsiTheme="minorHAnsi" w:cstheme="minorHAnsi"/>
                <w:color w:val="000000" w:themeColor="text1"/>
                <w:sz w:val="22"/>
                <w:szCs w:val="22"/>
                <w:lang w:eastAsia="en-GB"/>
              </w:rPr>
            </w:pPr>
            <w:r w:rsidRPr="00A45CE5">
              <w:rPr>
                <w:rFonts w:asciiTheme="minorHAnsi" w:eastAsia="Times New Roman" w:hAnsiTheme="minorHAnsi" w:cstheme="minorHAnsi"/>
                <w:color w:val="000000" w:themeColor="text1"/>
                <w:sz w:val="22"/>
                <w:szCs w:val="22"/>
                <w:lang w:eastAsia="en-GB"/>
              </w:rPr>
              <w:t xml:space="preserve">Open – HMRC considering appropriate place for </w:t>
            </w:r>
            <w:proofErr w:type="gramStart"/>
            <w:r w:rsidRPr="00A45CE5">
              <w:rPr>
                <w:rFonts w:asciiTheme="minorHAnsi" w:eastAsia="Times New Roman" w:hAnsiTheme="minorHAnsi" w:cstheme="minorHAnsi"/>
                <w:color w:val="000000" w:themeColor="text1"/>
                <w:sz w:val="22"/>
                <w:szCs w:val="22"/>
                <w:lang w:eastAsia="en-GB"/>
              </w:rPr>
              <w:t>guidance, and</w:t>
            </w:r>
            <w:proofErr w:type="gramEnd"/>
            <w:r w:rsidRPr="00A45CE5">
              <w:rPr>
                <w:rFonts w:asciiTheme="minorHAnsi" w:eastAsia="Times New Roman" w:hAnsiTheme="minorHAnsi" w:cstheme="minorHAnsi"/>
                <w:color w:val="000000" w:themeColor="text1"/>
                <w:sz w:val="22"/>
                <w:szCs w:val="22"/>
                <w:lang w:eastAsia="en-GB"/>
              </w:rPr>
              <w:t xml:space="preserve"> would respond separately.</w:t>
            </w:r>
          </w:p>
        </w:tc>
      </w:tr>
    </w:tbl>
    <w:p w14:paraId="486C135F" w14:textId="0C8B3C3E" w:rsidR="0060602B" w:rsidRPr="00A45CE5" w:rsidRDefault="0060602B" w:rsidP="00487D10">
      <w:pPr>
        <w:spacing w:after="120"/>
        <w:rPr>
          <w:rFonts w:asciiTheme="minorHAnsi" w:hAnsiTheme="minorHAnsi" w:cstheme="minorHAnsi"/>
          <w:color w:val="000000" w:themeColor="text1"/>
          <w:sz w:val="22"/>
          <w:szCs w:val="22"/>
        </w:rPr>
      </w:pPr>
    </w:p>
    <w:p w14:paraId="18F23B0F" w14:textId="77777777" w:rsidR="005F735E" w:rsidRPr="00A45CE5" w:rsidRDefault="005F735E" w:rsidP="005F735E">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Any other business</w:t>
      </w:r>
    </w:p>
    <w:p w14:paraId="1D8F70F4" w14:textId="1207612C" w:rsidR="005F735E" w:rsidRPr="00A45CE5" w:rsidRDefault="005F735E" w:rsidP="005F735E">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VIS 07/08</w:t>
      </w:r>
    </w:p>
    <w:p w14:paraId="1FD075A2" w14:textId="77777777" w:rsidR="005F735E" w:rsidRPr="00A45CE5" w:rsidRDefault="005F735E" w:rsidP="005F735E">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LPLG members noted that the exceptional market conditions reflected in VIS 07/08 (i.e. housebuilders unable to sell homes and therefore letting them out) had begun to manifest again and it was noted that the current partial exemption guidance does not cover the key points in VIS 07/08. </w:t>
      </w:r>
      <w:proofErr w:type="gramStart"/>
      <w:r w:rsidRPr="00A45CE5">
        <w:rPr>
          <w:rFonts w:asciiTheme="minorHAnsi" w:hAnsiTheme="minorHAnsi" w:cstheme="minorHAnsi"/>
          <w:color w:val="000000" w:themeColor="text1"/>
          <w:sz w:val="22"/>
          <w:szCs w:val="22"/>
        </w:rPr>
        <w:t>In particular, it</w:t>
      </w:r>
      <w:proofErr w:type="gramEnd"/>
      <w:r w:rsidRPr="00A45CE5">
        <w:rPr>
          <w:rFonts w:asciiTheme="minorHAnsi" w:hAnsiTheme="minorHAnsi" w:cstheme="minorHAnsi"/>
          <w:color w:val="000000" w:themeColor="text1"/>
          <w:sz w:val="22"/>
          <w:szCs w:val="22"/>
        </w:rPr>
        <w:t xml:space="preserve"> was not clear who taxpayers should notify within HMRC that they were applying the treatment allowed by VIS 07/08.</w:t>
      </w:r>
    </w:p>
    <w:p w14:paraId="1B3D90C2" w14:textId="0C78FED0" w:rsidR="005F735E" w:rsidRPr="00A45CE5" w:rsidRDefault="005F735E" w:rsidP="005F735E">
      <w:pPr>
        <w:spacing w:after="120"/>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AP</w:t>
      </w:r>
      <w:r w:rsidR="009441E6" w:rsidRPr="00A45CE5">
        <w:rPr>
          <w:rFonts w:asciiTheme="minorHAnsi" w:hAnsiTheme="minorHAnsi" w:cstheme="minorHAnsi"/>
          <w:b/>
          <w:bCs/>
          <w:color w:val="000000" w:themeColor="text1"/>
          <w:sz w:val="22"/>
          <w:szCs w:val="22"/>
        </w:rPr>
        <w:t>8</w:t>
      </w:r>
      <w:r w:rsidRPr="00A45CE5">
        <w:rPr>
          <w:rFonts w:asciiTheme="minorHAnsi" w:hAnsiTheme="minorHAnsi" w:cstheme="minorHAnsi"/>
          <w:b/>
          <w:bCs/>
          <w:color w:val="000000" w:themeColor="text1"/>
          <w:sz w:val="22"/>
          <w:szCs w:val="22"/>
        </w:rPr>
        <w:t>: HMRC to confirm who taxpayers should notify regarding following the principles of VIS 07/08.</w:t>
      </w:r>
    </w:p>
    <w:p w14:paraId="324D4EBF" w14:textId="77777777" w:rsidR="005F735E" w:rsidRPr="00A45CE5" w:rsidRDefault="005F735E" w:rsidP="00487D10">
      <w:pPr>
        <w:spacing w:after="120"/>
        <w:rPr>
          <w:rFonts w:asciiTheme="minorHAnsi" w:hAnsiTheme="minorHAnsi" w:cstheme="minorHAnsi"/>
          <w:color w:val="000000" w:themeColor="text1"/>
          <w:sz w:val="22"/>
          <w:szCs w:val="22"/>
        </w:rPr>
      </w:pPr>
    </w:p>
    <w:p w14:paraId="469F9491" w14:textId="6F4378DB" w:rsidR="005F735E" w:rsidRPr="00A45CE5" w:rsidRDefault="005F735E" w:rsidP="00487D10">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Construction forum / MMC paper</w:t>
      </w:r>
    </w:p>
    <w:p w14:paraId="76EB431C" w14:textId="2CE0A60F" w:rsidR="005F735E" w:rsidRPr="00A45CE5" w:rsidRDefault="005F735E"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HMRC’s Construction Industry Scheme</w:t>
      </w:r>
      <w:r w:rsidR="0052744A" w:rsidRPr="00A45CE5">
        <w:rPr>
          <w:rFonts w:asciiTheme="minorHAnsi" w:hAnsiTheme="minorHAnsi" w:cstheme="minorHAnsi"/>
          <w:color w:val="000000" w:themeColor="text1"/>
          <w:sz w:val="22"/>
          <w:szCs w:val="22"/>
        </w:rPr>
        <w:t xml:space="preserve"> (CIS) team regularly convened a construction forum with industry stakeholders. While the forum focused mostly on CIS matters, it had recently </w:t>
      </w:r>
      <w:r w:rsidR="003A7BAD" w:rsidRPr="00A45CE5">
        <w:rPr>
          <w:rFonts w:asciiTheme="minorHAnsi" w:hAnsiTheme="minorHAnsi" w:cstheme="minorHAnsi"/>
          <w:color w:val="000000" w:themeColor="text1"/>
          <w:sz w:val="22"/>
          <w:szCs w:val="22"/>
        </w:rPr>
        <w:t xml:space="preserve">(and with </w:t>
      </w:r>
      <w:r w:rsidR="003A7BAD" w:rsidRPr="00A45CE5">
        <w:rPr>
          <w:rFonts w:asciiTheme="minorHAnsi" w:hAnsiTheme="minorHAnsi" w:cstheme="minorHAnsi"/>
          <w:color w:val="000000" w:themeColor="text1"/>
          <w:sz w:val="22"/>
          <w:szCs w:val="22"/>
        </w:rPr>
        <w:lastRenderedPageBreak/>
        <w:t xml:space="preserve">input from HMRC’s VAT policy team) considered the </w:t>
      </w:r>
      <w:r w:rsidR="00ED11B3" w:rsidRPr="00A45CE5">
        <w:rPr>
          <w:rFonts w:asciiTheme="minorHAnsi" w:hAnsiTheme="minorHAnsi" w:cstheme="minorHAnsi"/>
          <w:color w:val="000000" w:themeColor="text1"/>
          <w:sz w:val="22"/>
          <w:szCs w:val="22"/>
        </w:rPr>
        <w:t xml:space="preserve">CIS and </w:t>
      </w:r>
      <w:r w:rsidR="003A7BAD" w:rsidRPr="00A45CE5">
        <w:rPr>
          <w:rFonts w:asciiTheme="minorHAnsi" w:hAnsiTheme="minorHAnsi" w:cstheme="minorHAnsi"/>
          <w:color w:val="000000" w:themeColor="text1"/>
          <w:sz w:val="22"/>
          <w:szCs w:val="22"/>
        </w:rPr>
        <w:t xml:space="preserve">VAT treatment of buildings constructed </w:t>
      </w:r>
      <w:r w:rsidR="00007DAF" w:rsidRPr="00A45CE5">
        <w:rPr>
          <w:rFonts w:asciiTheme="minorHAnsi" w:hAnsiTheme="minorHAnsi" w:cstheme="minorHAnsi"/>
          <w:color w:val="000000" w:themeColor="text1"/>
          <w:sz w:val="22"/>
          <w:szCs w:val="22"/>
        </w:rPr>
        <w:t>using modular construction, preparing a paper earlier in the year.</w:t>
      </w:r>
    </w:p>
    <w:p w14:paraId="3C08F08E" w14:textId="1486CF72" w:rsidR="00E252EE" w:rsidRPr="00A45CE5" w:rsidRDefault="00E252EE"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Separately, HMRC’s VAT policy team had recently visited a construction site where homes were being built using </w:t>
      </w:r>
      <w:r w:rsidR="00A70CF0" w:rsidRPr="00A45CE5">
        <w:rPr>
          <w:rFonts w:asciiTheme="minorHAnsi" w:hAnsiTheme="minorHAnsi" w:cstheme="minorHAnsi"/>
          <w:color w:val="000000" w:themeColor="text1"/>
          <w:sz w:val="22"/>
          <w:szCs w:val="22"/>
        </w:rPr>
        <w:t xml:space="preserve">offsite preparation methods (though not modular construction). As a result of this </w:t>
      </w:r>
      <w:r w:rsidR="008B3F0D" w:rsidRPr="00A45CE5">
        <w:rPr>
          <w:rFonts w:asciiTheme="minorHAnsi" w:hAnsiTheme="minorHAnsi" w:cstheme="minorHAnsi"/>
          <w:color w:val="000000" w:themeColor="text1"/>
          <w:sz w:val="22"/>
          <w:szCs w:val="22"/>
        </w:rPr>
        <w:t xml:space="preserve">visit </w:t>
      </w:r>
      <w:r w:rsidR="00A70CF0" w:rsidRPr="00A45CE5">
        <w:rPr>
          <w:rFonts w:asciiTheme="minorHAnsi" w:hAnsiTheme="minorHAnsi" w:cstheme="minorHAnsi"/>
          <w:color w:val="000000" w:themeColor="text1"/>
          <w:sz w:val="22"/>
          <w:szCs w:val="22"/>
        </w:rPr>
        <w:t xml:space="preserve">and </w:t>
      </w:r>
      <w:r w:rsidR="008B3F0D" w:rsidRPr="00A45CE5">
        <w:rPr>
          <w:rFonts w:asciiTheme="minorHAnsi" w:hAnsiTheme="minorHAnsi" w:cstheme="minorHAnsi"/>
          <w:color w:val="000000" w:themeColor="text1"/>
          <w:sz w:val="22"/>
          <w:szCs w:val="22"/>
        </w:rPr>
        <w:t>follow-up engagement with the construction firm in question</w:t>
      </w:r>
      <w:r w:rsidR="00A70CF0" w:rsidRPr="00A45CE5">
        <w:rPr>
          <w:rFonts w:asciiTheme="minorHAnsi" w:hAnsiTheme="minorHAnsi" w:cstheme="minorHAnsi"/>
          <w:color w:val="000000" w:themeColor="text1"/>
          <w:sz w:val="22"/>
          <w:szCs w:val="22"/>
        </w:rPr>
        <w:t xml:space="preserve">, HMRC </w:t>
      </w:r>
      <w:r w:rsidR="008B3F0D" w:rsidRPr="00A45CE5">
        <w:rPr>
          <w:rFonts w:asciiTheme="minorHAnsi" w:hAnsiTheme="minorHAnsi" w:cstheme="minorHAnsi"/>
          <w:color w:val="000000" w:themeColor="text1"/>
          <w:sz w:val="22"/>
          <w:szCs w:val="22"/>
        </w:rPr>
        <w:t xml:space="preserve">would be updating its </w:t>
      </w:r>
      <w:r w:rsidR="009D6CD7" w:rsidRPr="00A45CE5">
        <w:rPr>
          <w:rFonts w:asciiTheme="minorHAnsi" w:hAnsiTheme="minorHAnsi" w:cstheme="minorHAnsi"/>
          <w:color w:val="000000" w:themeColor="text1"/>
          <w:sz w:val="22"/>
          <w:szCs w:val="22"/>
        </w:rPr>
        <w:t xml:space="preserve">VAT guidance on construction to reflect the terminology currently used in </w:t>
      </w:r>
      <w:r w:rsidR="00972240" w:rsidRPr="00A45CE5">
        <w:rPr>
          <w:rFonts w:asciiTheme="minorHAnsi" w:hAnsiTheme="minorHAnsi" w:cstheme="minorHAnsi"/>
          <w:color w:val="000000" w:themeColor="text1"/>
          <w:sz w:val="22"/>
          <w:szCs w:val="22"/>
        </w:rPr>
        <w:t>the industry.</w:t>
      </w:r>
    </w:p>
    <w:p w14:paraId="77FFD89E" w14:textId="07EF28D7" w:rsidR="00972240" w:rsidRPr="00A45CE5" w:rsidRDefault="00972240"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However, the site visit had not provided further clarity on the application of “golden brick” in a modular construction setting</w:t>
      </w:r>
      <w:r w:rsidR="00442FCA" w:rsidRPr="00A45CE5">
        <w:rPr>
          <w:rFonts w:asciiTheme="minorHAnsi" w:hAnsiTheme="minorHAnsi" w:cstheme="minorHAnsi"/>
          <w:color w:val="000000" w:themeColor="text1"/>
          <w:sz w:val="22"/>
          <w:szCs w:val="22"/>
        </w:rPr>
        <w:t>. HMRC was considering reframing guidance on golden brick as part of its update of Notice 708</w:t>
      </w:r>
      <w:r w:rsidR="00E52523" w:rsidRPr="00A45CE5">
        <w:rPr>
          <w:rFonts w:asciiTheme="minorHAnsi" w:hAnsiTheme="minorHAnsi" w:cstheme="minorHAnsi"/>
          <w:color w:val="000000" w:themeColor="text1"/>
          <w:sz w:val="22"/>
          <w:szCs w:val="22"/>
        </w:rPr>
        <w:t xml:space="preserve"> and BPF representatives offered to share </w:t>
      </w:r>
      <w:r w:rsidR="006C7976" w:rsidRPr="00A45CE5">
        <w:rPr>
          <w:rFonts w:asciiTheme="minorHAnsi" w:hAnsiTheme="minorHAnsi" w:cstheme="minorHAnsi"/>
          <w:color w:val="000000" w:themeColor="text1"/>
          <w:sz w:val="22"/>
          <w:szCs w:val="22"/>
        </w:rPr>
        <w:t xml:space="preserve">their </w:t>
      </w:r>
      <w:r w:rsidR="00E52523" w:rsidRPr="00A45CE5">
        <w:rPr>
          <w:rFonts w:asciiTheme="minorHAnsi" w:hAnsiTheme="minorHAnsi" w:cstheme="minorHAnsi"/>
          <w:color w:val="000000" w:themeColor="text1"/>
          <w:sz w:val="22"/>
          <w:szCs w:val="22"/>
        </w:rPr>
        <w:t xml:space="preserve">recent </w:t>
      </w:r>
      <w:r w:rsidR="00C17E5E" w:rsidRPr="00A45CE5">
        <w:rPr>
          <w:rFonts w:asciiTheme="minorHAnsi" w:hAnsiTheme="minorHAnsi" w:cstheme="minorHAnsi"/>
          <w:color w:val="000000" w:themeColor="text1"/>
          <w:sz w:val="22"/>
          <w:szCs w:val="22"/>
        </w:rPr>
        <w:t>thinking on this issue.</w:t>
      </w:r>
    </w:p>
    <w:p w14:paraId="05D4D8D8" w14:textId="204CC366" w:rsidR="00C17E5E" w:rsidRPr="00A45CE5" w:rsidRDefault="00C17E5E"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AP</w:t>
      </w:r>
      <w:r w:rsidR="009441E6" w:rsidRPr="00A45CE5">
        <w:rPr>
          <w:rFonts w:asciiTheme="minorHAnsi" w:hAnsiTheme="minorHAnsi" w:cstheme="minorHAnsi"/>
          <w:b/>
          <w:bCs/>
          <w:color w:val="000000" w:themeColor="text1"/>
          <w:sz w:val="22"/>
          <w:szCs w:val="22"/>
        </w:rPr>
        <w:t>9</w:t>
      </w:r>
      <w:r w:rsidRPr="00A45CE5">
        <w:rPr>
          <w:rFonts w:asciiTheme="minorHAnsi" w:hAnsiTheme="minorHAnsi" w:cstheme="minorHAnsi"/>
          <w:b/>
          <w:bCs/>
          <w:color w:val="000000" w:themeColor="text1"/>
          <w:sz w:val="22"/>
          <w:szCs w:val="22"/>
        </w:rPr>
        <w:t>: HMRC to circulate construction forum note on modular construction</w:t>
      </w:r>
      <w:r w:rsidR="00111C0D" w:rsidRPr="00A45CE5">
        <w:rPr>
          <w:rFonts w:asciiTheme="minorHAnsi" w:hAnsiTheme="minorHAnsi" w:cstheme="minorHAnsi"/>
          <w:b/>
          <w:bCs/>
          <w:color w:val="000000" w:themeColor="text1"/>
          <w:sz w:val="22"/>
          <w:szCs w:val="22"/>
        </w:rPr>
        <w:t xml:space="preserve"> to LPLG </w:t>
      </w:r>
      <w:proofErr w:type="gramStart"/>
      <w:r w:rsidR="00111C0D" w:rsidRPr="00A45CE5">
        <w:rPr>
          <w:rFonts w:asciiTheme="minorHAnsi" w:hAnsiTheme="minorHAnsi" w:cstheme="minorHAnsi"/>
          <w:b/>
          <w:bCs/>
          <w:color w:val="000000" w:themeColor="text1"/>
          <w:sz w:val="22"/>
          <w:szCs w:val="22"/>
        </w:rPr>
        <w:t>members</w:t>
      </w:r>
      <w:proofErr w:type="gramEnd"/>
    </w:p>
    <w:p w14:paraId="1C01A6A2" w14:textId="77777777" w:rsidR="00111C0D" w:rsidRPr="00A45CE5" w:rsidRDefault="00111C0D" w:rsidP="00487D10">
      <w:pPr>
        <w:spacing w:after="120"/>
        <w:rPr>
          <w:rFonts w:asciiTheme="minorHAnsi" w:hAnsiTheme="minorHAnsi" w:cstheme="minorHAnsi"/>
          <w:b/>
          <w:bCs/>
          <w:color w:val="000000" w:themeColor="text1"/>
          <w:sz w:val="22"/>
          <w:szCs w:val="22"/>
        </w:rPr>
      </w:pPr>
    </w:p>
    <w:p w14:paraId="08239AA6" w14:textId="6CFDBF87" w:rsidR="00111C0D" w:rsidRPr="00A45CE5" w:rsidRDefault="00111C0D" w:rsidP="00487D10">
      <w:pPr>
        <w:spacing w:after="1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VAT treatment of biodiversity net gain scheme</w:t>
      </w:r>
    </w:p>
    <w:p w14:paraId="4F428765" w14:textId="21210AC1" w:rsidR="00111C0D" w:rsidRPr="00A45CE5" w:rsidRDefault="00111C0D" w:rsidP="00487D10">
      <w:pPr>
        <w:spacing w:after="1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LPLG members noted that </w:t>
      </w:r>
      <w:r w:rsidR="00CC712F" w:rsidRPr="00A45CE5">
        <w:rPr>
          <w:rFonts w:asciiTheme="minorHAnsi" w:hAnsiTheme="minorHAnsi" w:cstheme="minorHAnsi"/>
          <w:color w:val="000000" w:themeColor="text1"/>
          <w:sz w:val="22"/>
          <w:szCs w:val="22"/>
        </w:rPr>
        <w:t xml:space="preserve">HMRC had recently met with stakeholders on this and offered to put the VAT policy team in </w:t>
      </w:r>
      <w:r w:rsidR="00790EE7" w:rsidRPr="00A45CE5">
        <w:rPr>
          <w:rFonts w:asciiTheme="minorHAnsi" w:hAnsiTheme="minorHAnsi" w:cstheme="minorHAnsi"/>
          <w:color w:val="000000" w:themeColor="text1"/>
          <w:sz w:val="22"/>
          <w:szCs w:val="22"/>
        </w:rPr>
        <w:t>touch with relevant colleagues.</w:t>
      </w:r>
    </w:p>
    <w:p w14:paraId="5492DE27" w14:textId="77777777" w:rsidR="0060602B" w:rsidRPr="00A45CE5" w:rsidRDefault="0060602B">
      <w:pPr>
        <w:spacing w:after="160" w:line="259" w:lineRule="auto"/>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br w:type="page"/>
      </w:r>
    </w:p>
    <w:p w14:paraId="7825301B" w14:textId="2DF98595" w:rsidR="00123EFA" w:rsidRPr="00A45CE5" w:rsidRDefault="00123EFA" w:rsidP="00487D10">
      <w:pPr>
        <w:pStyle w:val="ListParagraph"/>
        <w:spacing w:after="120" w:line="240" w:lineRule="auto"/>
        <w:ind w:left="0"/>
        <w:jc w:val="both"/>
        <w:rPr>
          <w:rFonts w:cstheme="minorHAnsi"/>
          <w:b/>
          <w:bCs/>
          <w:color w:val="000000" w:themeColor="text1"/>
        </w:rPr>
      </w:pPr>
      <w:r w:rsidRPr="00A45CE5">
        <w:rPr>
          <w:rFonts w:cstheme="minorHAnsi"/>
          <w:b/>
          <w:bCs/>
          <w:color w:val="000000" w:themeColor="text1"/>
        </w:rPr>
        <w:lastRenderedPageBreak/>
        <w:t>Appendix 1 – attendees</w:t>
      </w:r>
    </w:p>
    <w:p w14:paraId="727386F4" w14:textId="77777777" w:rsidR="0060602B" w:rsidRPr="00A45CE5" w:rsidRDefault="0060602B" w:rsidP="00487D10">
      <w:pPr>
        <w:pStyle w:val="ListParagraph"/>
        <w:spacing w:after="120" w:line="240" w:lineRule="auto"/>
        <w:ind w:left="0"/>
        <w:jc w:val="both"/>
        <w:rPr>
          <w:rFonts w:cstheme="minorHAnsi"/>
          <w:b/>
          <w:bCs/>
          <w:color w:val="000000" w:themeColor="text1"/>
        </w:rPr>
      </w:pPr>
    </w:p>
    <w:tbl>
      <w:tblPr>
        <w:tblW w:w="9127" w:type="dxa"/>
        <w:tblInd w:w="-5" w:type="dxa"/>
        <w:shd w:val="clear" w:color="auto" w:fill="FFFFFF"/>
        <w:tblLayout w:type="fixed"/>
        <w:tblLook w:val="0000" w:firstRow="0" w:lastRow="0" w:firstColumn="0" w:lastColumn="0" w:noHBand="0" w:noVBand="0"/>
      </w:tblPr>
      <w:tblGrid>
        <w:gridCol w:w="3458"/>
        <w:gridCol w:w="5669"/>
      </w:tblGrid>
      <w:tr w:rsidR="00A45CE5" w:rsidRPr="00A45CE5" w14:paraId="0B8802BC"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8BD4C1" w14:textId="1475B419" w:rsidR="00D91D67" w:rsidRPr="00A45CE5" w:rsidRDefault="00D91D6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Audrey Fearing</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6DBA12" w14:textId="63F934BE" w:rsidR="00D91D67" w:rsidRPr="00A45CE5" w:rsidRDefault="00D91D6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National Housing Federation</w:t>
            </w:r>
          </w:p>
        </w:tc>
      </w:tr>
      <w:tr w:rsidR="00A45CE5" w:rsidRPr="00A45CE5" w14:paraId="16168614"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B37258" w14:textId="01B125DE" w:rsidR="00123EFA"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Ben Tennant</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368199" w14:textId="17488898" w:rsidR="00123EFA"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Chartered Institute of Taxation</w:t>
            </w:r>
          </w:p>
        </w:tc>
      </w:tr>
      <w:tr w:rsidR="00A45CE5" w:rsidRPr="00A45CE5" w14:paraId="5CC8DC39"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28D44C" w14:textId="43023AAD"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Colin Smith</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6549B1" w14:textId="32ECD963"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British Property Federation</w:t>
            </w:r>
          </w:p>
        </w:tc>
      </w:tr>
      <w:tr w:rsidR="00A45CE5" w:rsidRPr="00A45CE5" w14:paraId="18FDEACC"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7F1890" w14:textId="279F8283"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Daniel Smith</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DE08A2" w14:textId="26DE4C35"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Chartered Institute of Housing</w:t>
            </w:r>
          </w:p>
        </w:tc>
      </w:tr>
      <w:tr w:rsidR="00A45CE5" w:rsidRPr="00A45CE5" w14:paraId="0F91D2D0"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88CA10" w14:textId="786CA157"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David Jordorson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BCB5A9" w14:textId="056AD758"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Association of British Insurers</w:t>
            </w:r>
          </w:p>
        </w:tc>
      </w:tr>
      <w:tr w:rsidR="00A45CE5" w:rsidRPr="00A45CE5" w14:paraId="598EA3B7"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BB5922" w14:textId="311ACE91"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Hugh Mitchell</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576370" w14:textId="1AF583BF"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Association of Tax Technicians</w:t>
            </w:r>
          </w:p>
        </w:tc>
      </w:tr>
      <w:tr w:rsidR="00A45CE5" w:rsidRPr="00A45CE5" w14:paraId="2B54A7DD"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83EADA" w14:textId="48AA1D5F" w:rsidR="006E7C73" w:rsidRPr="00A45CE5" w:rsidRDefault="006E7C73"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Ion Fletcher</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D56A1D" w14:textId="56FB1CA4" w:rsidR="006E7C73" w:rsidRPr="00A45CE5" w:rsidRDefault="006E7C73"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British Property Federation</w:t>
            </w:r>
          </w:p>
        </w:tc>
      </w:tr>
      <w:tr w:rsidR="00A45CE5" w:rsidRPr="00A45CE5" w14:paraId="60805994"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068D83" w14:textId="3040A780"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John Butterfield</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6FC25E" w14:textId="2992CDF2"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Homes for Scotland</w:t>
            </w:r>
          </w:p>
        </w:tc>
      </w:tr>
      <w:tr w:rsidR="00A45CE5" w:rsidRPr="00A45CE5" w14:paraId="6CA01567"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7D9191" w14:textId="17B583B0"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Julian Potts</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462FAF" w14:textId="5BB238FF"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British Property Federation</w:t>
            </w:r>
          </w:p>
        </w:tc>
      </w:tr>
      <w:tr w:rsidR="00A45CE5" w:rsidRPr="00A45CE5" w14:paraId="185A8693"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B1EE3B" w14:textId="492FF008"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Karen Regan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D3296" w14:textId="4F705824"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Charity Tax Group</w:t>
            </w:r>
          </w:p>
        </w:tc>
      </w:tr>
      <w:tr w:rsidR="00A45CE5" w:rsidRPr="00A45CE5" w14:paraId="183CDABB"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ED677C" w14:textId="26E1F05A"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Karen Thomas</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A7BE50" w14:textId="2F30BE09"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Chartered Institute of Public Finance and Accountancy</w:t>
            </w:r>
          </w:p>
        </w:tc>
      </w:tr>
      <w:tr w:rsidR="00A45CE5" w:rsidRPr="00A45CE5" w14:paraId="37E8811C"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BC261D" w14:textId="5F5A35A3"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Martin Scammell</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0ED405" w14:textId="308FE07B" w:rsidR="00E1570F" w:rsidRPr="00A45CE5" w:rsidRDefault="00E1570F"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British Property Federation</w:t>
            </w:r>
          </w:p>
        </w:tc>
      </w:tr>
      <w:tr w:rsidR="00A45CE5" w:rsidRPr="00A45CE5" w14:paraId="01EF9DED"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F31F1F" w14:textId="6154ABF2"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Peter Hughes</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FDBAAF" w14:textId="09B2805B"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Institute of Chartered Accountants in England and Wales</w:t>
            </w:r>
          </w:p>
        </w:tc>
      </w:tr>
      <w:tr w:rsidR="00A45CE5" w:rsidRPr="00A45CE5" w14:paraId="4594309F"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D1A018" w14:textId="2DF5482B"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Paul Atkins</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F7696D" w14:textId="27377437"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Home Builders Federation</w:t>
            </w:r>
          </w:p>
        </w:tc>
      </w:tr>
      <w:tr w:rsidR="00A45CE5" w:rsidRPr="00A45CE5" w14:paraId="7D04FAF1"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22A640" w14:textId="73CCF74F"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Richard Dalton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50B38D" w14:textId="0E4BAECF"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Royal Institution of Chartered Surveyors</w:t>
            </w:r>
          </w:p>
        </w:tc>
      </w:tr>
      <w:tr w:rsidR="00A45CE5" w:rsidRPr="00A45CE5" w14:paraId="64C35A19"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750820" w14:textId="5B6700C9"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Robert Plumbly</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C56BBF" w14:textId="5AD34720"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VAT Practitioners Group</w:t>
            </w:r>
          </w:p>
        </w:tc>
      </w:tr>
      <w:tr w:rsidR="00A45CE5" w:rsidRPr="00A45CE5" w14:paraId="1AF3DD00"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A46FFC" w14:textId="7B2FCD65"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Ronnie Brown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691268" w14:textId="46493A38" w:rsidR="003D666E" w:rsidRPr="00A45CE5" w:rsidRDefault="003D666E" w:rsidP="003D666E">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Law Society of Scotland</w:t>
            </w:r>
          </w:p>
        </w:tc>
      </w:tr>
    </w:tbl>
    <w:p w14:paraId="70225C90" w14:textId="77777777" w:rsidR="005D23FD" w:rsidRPr="00A45CE5" w:rsidRDefault="005D23FD" w:rsidP="00487D10">
      <w:pPr>
        <w:spacing w:after="120"/>
        <w:rPr>
          <w:rFonts w:asciiTheme="minorHAnsi" w:hAnsiTheme="minorHAnsi" w:cstheme="minorHAnsi"/>
          <w:color w:val="000000" w:themeColor="text1"/>
          <w:sz w:val="22"/>
          <w:szCs w:val="22"/>
        </w:rPr>
      </w:pPr>
    </w:p>
    <w:tbl>
      <w:tblPr>
        <w:tblW w:w="9127" w:type="dxa"/>
        <w:tblInd w:w="-5" w:type="dxa"/>
        <w:shd w:val="clear" w:color="auto" w:fill="FFFFFF"/>
        <w:tblLayout w:type="fixed"/>
        <w:tblLook w:val="0000" w:firstRow="0" w:lastRow="0" w:firstColumn="0" w:lastColumn="0" w:noHBand="0" w:noVBand="0"/>
      </w:tblPr>
      <w:tblGrid>
        <w:gridCol w:w="3458"/>
        <w:gridCol w:w="5669"/>
      </w:tblGrid>
      <w:tr w:rsidR="00A45CE5" w:rsidRPr="00A45CE5" w14:paraId="4B254705"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6782BB" w14:textId="694B7885" w:rsidR="005D23FD"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Andy Tomlinson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0F3305" w14:textId="79C2AF09" w:rsidR="005D23FD"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622FE51B"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478E93" w14:textId="162D918D" w:rsidR="000E197C" w:rsidRPr="00A45CE5" w:rsidRDefault="000E197C"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Andy Higgins</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355CA4" w14:textId="1AD9DBA1" w:rsidR="000E197C" w:rsidRPr="00A45CE5" w:rsidRDefault="000E197C"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51BE0D56"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B82D3C" w14:textId="5AAC58ED"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Anthony Ugulu</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AC441F" w14:textId="0513C2C6"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2F1F12EE"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ACDC11" w14:textId="17ECF43F"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Brian Burke</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83534A" w14:textId="6223E35E"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5C926320"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9F6705" w14:textId="018A3A78"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Daniel Taylor</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3FFB24" w14:textId="15D68B41"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3B9386A1"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FEBF3A" w14:textId="5509E404"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Gail Anderson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FB08F5" w14:textId="62A90AFD"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6855421A"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10F9B4" w14:textId="1266EF7D"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Hina Kanwal</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4850EB" w14:textId="0A17659A"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3F5E0EC9"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B1B0A8" w14:textId="0F5C860C"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Ian Broadhurst</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D2FDC4" w14:textId="3EA188AE"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05B26BD7"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0F8762" w14:textId="79E81624"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Ishrat Ali</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C99052" w14:textId="56055CD7"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16BAE4C8"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6C3402" w14:textId="75CC3691"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James Ormanczyk</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14101C" w14:textId="26C797F2"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4EBA32FD"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1209DB" w14:textId="75D4EDA1"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James Pattinson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1110B1" w14:textId="521CF1B6"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2E8864E3"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38CF48" w14:textId="6140597E"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Lisa Allen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74D7D2" w14:textId="3B71A1F1"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523C7CDD"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AC0745" w14:textId="743B47C2"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Marie Williams</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9FE5B7" w14:textId="115E77B1"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22E0B6CC"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173523" w14:textId="15AEE89E"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Meenakhi Borooah</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E549C" w14:textId="70226C4F"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7F8471AA"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81AD3F" w14:textId="17F0D2D8"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Melanie Williams</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E04358" w14:textId="73A1F693"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58F0B099"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494535" w14:textId="1FBC80F0"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lastRenderedPageBreak/>
              <w:t>Mike Lee</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F0D38D" w14:textId="277D6A8D"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77DAFB95"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8875E2" w14:textId="780C912F"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Nick Henderson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1F3FB0" w14:textId="116D7486"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4713236C"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4EDFA8" w14:textId="06AA0115"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Robert Zimmermann</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E71B68" w14:textId="5DB566E6"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r w:rsidR="00A45CE5" w:rsidRPr="00A45CE5" w14:paraId="0AA34C6C" w14:textId="77777777" w:rsidTr="00A368B3">
        <w:trPr>
          <w:cantSplit/>
          <w:trHeight w:val="330"/>
        </w:trPr>
        <w:tc>
          <w:tcPr>
            <w:tcW w:w="3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4E25A2" w14:textId="7621D710" w:rsidR="00E32617" w:rsidRPr="00A45CE5" w:rsidRDefault="00107328"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Tricia Burns</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067AD6" w14:textId="133975CD" w:rsidR="00E32617" w:rsidRPr="00A45CE5" w:rsidRDefault="00E32617" w:rsidP="00487D10">
            <w:pPr>
              <w:pStyle w:val="TableGrid1"/>
              <w:spacing w:after="120"/>
              <w:ind w:left="113"/>
              <w:rPr>
                <w:rFonts w:asciiTheme="minorHAnsi" w:hAnsiTheme="minorHAnsi" w:cstheme="minorHAnsi"/>
                <w:color w:val="000000" w:themeColor="text1"/>
                <w:szCs w:val="22"/>
              </w:rPr>
            </w:pPr>
            <w:r w:rsidRPr="00A45CE5">
              <w:rPr>
                <w:rFonts w:asciiTheme="minorHAnsi" w:hAnsiTheme="minorHAnsi" w:cstheme="minorHAnsi"/>
                <w:color w:val="000000" w:themeColor="text1"/>
                <w:szCs w:val="22"/>
              </w:rPr>
              <w:t>HMRC</w:t>
            </w:r>
          </w:p>
        </w:tc>
      </w:tr>
    </w:tbl>
    <w:p w14:paraId="6C608F99" w14:textId="77777777" w:rsidR="00E66CF7" w:rsidRPr="00A45CE5" w:rsidRDefault="00E66CF7" w:rsidP="00487D10">
      <w:pPr>
        <w:shd w:val="clear" w:color="auto" w:fill="FFFFFF"/>
        <w:spacing w:after="120"/>
        <w:rPr>
          <w:rFonts w:asciiTheme="minorHAnsi" w:eastAsia="Times New Roman" w:hAnsiTheme="minorHAnsi" w:cstheme="minorHAnsi"/>
          <w:color w:val="000000" w:themeColor="text1"/>
          <w:spacing w:val="3"/>
          <w:sz w:val="22"/>
          <w:szCs w:val="22"/>
          <w:lang w:val="nl-NL" w:eastAsia="en-GB"/>
        </w:rPr>
      </w:pPr>
    </w:p>
    <w:p w14:paraId="6340FDAA" w14:textId="3DDA86B7" w:rsidR="00EA6982" w:rsidRPr="00A45CE5" w:rsidRDefault="00EA6982" w:rsidP="005A0789">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Annex 2 – Invoices</w:t>
      </w:r>
    </w:p>
    <w:p w14:paraId="036EEE8E" w14:textId="51C2696B" w:rsidR="006A7B58" w:rsidRPr="00A45CE5" w:rsidRDefault="006A7B58" w:rsidP="005A0789">
      <w:pPr>
        <w:rPr>
          <w:rFonts w:asciiTheme="minorHAnsi" w:hAnsiTheme="minorHAnsi" w:cstheme="minorHAnsi"/>
          <w:b/>
          <w:bCs/>
          <w:color w:val="000000" w:themeColor="text1"/>
          <w:sz w:val="22"/>
          <w:szCs w:val="22"/>
        </w:rPr>
      </w:pPr>
    </w:p>
    <w:p w14:paraId="772E9757" w14:textId="1A66C911" w:rsidR="006A7B58" w:rsidRPr="00A45CE5" w:rsidRDefault="006A7B58" w:rsidP="006A7B58">
      <w:pPr>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 xml:space="preserve">Subject: </w:t>
      </w:r>
      <w:r w:rsidRPr="00A45CE5">
        <w:rPr>
          <w:rFonts w:asciiTheme="minorHAnsi" w:hAnsiTheme="minorHAnsi" w:cstheme="minorHAnsi"/>
          <w:color w:val="000000" w:themeColor="text1"/>
          <w:sz w:val="22"/>
          <w:szCs w:val="22"/>
        </w:rPr>
        <w:t>Details to be shown on invoices</w:t>
      </w:r>
    </w:p>
    <w:p w14:paraId="5170EE2C" w14:textId="3C5D3957" w:rsidR="006A7B58" w:rsidRPr="00A45CE5" w:rsidRDefault="006A7B58" w:rsidP="006A7B58">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Representative body:</w:t>
      </w:r>
      <w:r w:rsidRPr="00A45CE5">
        <w:rPr>
          <w:rFonts w:asciiTheme="minorHAnsi" w:hAnsiTheme="minorHAnsi" w:cstheme="minorHAnsi"/>
          <w:color w:val="000000" w:themeColor="text1"/>
          <w:sz w:val="22"/>
          <w:szCs w:val="22"/>
        </w:rPr>
        <w:t xml:space="preserve"> BPF</w:t>
      </w:r>
      <w:r w:rsidRPr="00A45CE5">
        <w:rPr>
          <w:rFonts w:asciiTheme="minorHAnsi" w:hAnsiTheme="minorHAnsi" w:cstheme="minorHAnsi"/>
          <w:b/>
          <w:bCs/>
          <w:color w:val="000000" w:themeColor="text1"/>
          <w:sz w:val="22"/>
          <w:szCs w:val="22"/>
        </w:rPr>
        <w:t xml:space="preserve"> </w:t>
      </w:r>
    </w:p>
    <w:p w14:paraId="75154BBA" w14:textId="1D3BCB94" w:rsidR="006A7B58" w:rsidRPr="00A45CE5" w:rsidRDefault="006A7B58" w:rsidP="006A7B58">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Representative(s): </w:t>
      </w:r>
      <w:r w:rsidRPr="00A45CE5">
        <w:rPr>
          <w:rFonts w:asciiTheme="minorHAnsi" w:hAnsiTheme="minorHAnsi" w:cstheme="minorHAnsi"/>
          <w:color w:val="000000" w:themeColor="text1"/>
          <w:sz w:val="22"/>
          <w:szCs w:val="22"/>
        </w:rPr>
        <w:t>Martin Scammell</w:t>
      </w:r>
    </w:p>
    <w:p w14:paraId="2A5311AD" w14:textId="00C34170" w:rsidR="006A7B58" w:rsidRPr="00A45CE5" w:rsidRDefault="006A7B58" w:rsidP="006A7B58">
      <w:pPr>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 xml:space="preserve">LPLG Priority Level: </w:t>
      </w:r>
      <w:r w:rsidRPr="00A45CE5">
        <w:rPr>
          <w:rFonts w:asciiTheme="minorHAnsi" w:hAnsiTheme="minorHAnsi" w:cstheme="minorHAnsi"/>
          <w:color w:val="000000" w:themeColor="text1"/>
          <w:sz w:val="22"/>
          <w:szCs w:val="22"/>
        </w:rPr>
        <w:t xml:space="preserve">This is going to need a response from people who don’t normally attend LPLG, so I imagine it’ll come in writing, in a ‘post-meeting pack’. </w:t>
      </w:r>
      <w:proofErr w:type="gramStart"/>
      <w:r w:rsidRPr="00A45CE5">
        <w:rPr>
          <w:rFonts w:asciiTheme="minorHAnsi" w:hAnsiTheme="minorHAnsi" w:cstheme="minorHAnsi"/>
          <w:color w:val="000000" w:themeColor="text1"/>
          <w:sz w:val="22"/>
          <w:szCs w:val="22"/>
        </w:rPr>
        <w:t>So</w:t>
      </w:r>
      <w:proofErr w:type="gramEnd"/>
      <w:r w:rsidRPr="00A45CE5">
        <w:rPr>
          <w:rFonts w:asciiTheme="minorHAnsi" w:hAnsiTheme="minorHAnsi" w:cstheme="minorHAnsi"/>
          <w:color w:val="000000" w:themeColor="text1"/>
          <w:sz w:val="22"/>
          <w:szCs w:val="22"/>
        </w:rPr>
        <w:t xml:space="preserve"> there’s no need for much meeting time, unless others want to chip in. But it would need to be the post-meeting pack from this meeting, as I expect the next will be sometime next year.</w:t>
      </w:r>
    </w:p>
    <w:p w14:paraId="5DB22945" w14:textId="16E63621" w:rsidR="006A7B58" w:rsidRPr="00A45CE5" w:rsidRDefault="006A7B58" w:rsidP="006A7B58">
      <w:pPr>
        <w:rPr>
          <w:rFonts w:asciiTheme="minorHAnsi" w:hAnsiTheme="minorHAnsi" w:cstheme="minorHAnsi"/>
          <w:color w:val="000000" w:themeColor="text1"/>
          <w:sz w:val="22"/>
          <w:szCs w:val="22"/>
        </w:rPr>
      </w:pPr>
    </w:p>
    <w:p w14:paraId="4ABDB13A" w14:textId="066D6C06" w:rsidR="006A7B58" w:rsidRPr="00A45CE5" w:rsidRDefault="006A7B58" w:rsidP="006A7B58">
      <w:pPr>
        <w:rPr>
          <w:rFonts w:asciiTheme="minorHAnsi" w:hAnsiTheme="minorHAnsi" w:cstheme="minorHAnsi"/>
          <w:b/>
          <w:color w:val="000000" w:themeColor="text1"/>
          <w:sz w:val="22"/>
          <w:szCs w:val="22"/>
        </w:rPr>
      </w:pPr>
      <w:r w:rsidRPr="00A45CE5">
        <w:rPr>
          <w:rFonts w:asciiTheme="minorHAnsi" w:hAnsiTheme="minorHAnsi" w:cstheme="minorHAnsi"/>
          <w:b/>
          <w:color w:val="000000" w:themeColor="text1"/>
          <w:sz w:val="22"/>
          <w:szCs w:val="22"/>
        </w:rPr>
        <w:t>Description of the Supply:</w:t>
      </w:r>
    </w:p>
    <w:p w14:paraId="2ED5E70A" w14:textId="77777777" w:rsidR="006A7B58" w:rsidRPr="00A45CE5" w:rsidRDefault="006A7B58" w:rsidP="006A7B58">
      <w:pPr>
        <w:rPr>
          <w:rFonts w:asciiTheme="minorHAnsi" w:hAnsiTheme="minorHAnsi" w:cstheme="minorHAnsi"/>
          <w:b/>
          <w:color w:val="000000" w:themeColor="text1"/>
          <w:sz w:val="22"/>
          <w:szCs w:val="22"/>
        </w:rPr>
      </w:pPr>
    </w:p>
    <w:p w14:paraId="6A44E997" w14:textId="77777777" w:rsidR="006A7B58" w:rsidRPr="00A45CE5" w:rsidRDefault="006A7B58" w:rsidP="006A7B58">
      <w:pPr>
        <w:rPr>
          <w:rFonts w:asciiTheme="minorHAnsi" w:hAnsiTheme="minorHAnsi" w:cstheme="minorHAnsi"/>
          <w:bCs/>
          <w:i/>
          <w:iCs/>
          <w:color w:val="000000" w:themeColor="text1"/>
          <w:sz w:val="22"/>
          <w:szCs w:val="22"/>
        </w:rPr>
      </w:pPr>
      <w:r w:rsidRPr="00A45CE5">
        <w:rPr>
          <w:rFonts w:asciiTheme="minorHAnsi" w:hAnsiTheme="minorHAnsi" w:cstheme="minorHAnsi"/>
          <w:bCs/>
          <w:i/>
          <w:iCs/>
          <w:color w:val="000000" w:themeColor="text1"/>
          <w:sz w:val="22"/>
          <w:szCs w:val="22"/>
        </w:rPr>
        <w:t>What type of taxpayer is affected?</w:t>
      </w:r>
    </w:p>
    <w:p w14:paraId="70C238CB" w14:textId="5F0D41B3" w:rsidR="006A7B58" w:rsidRPr="00A45CE5" w:rsidRDefault="006A7B58" w:rsidP="006A7B58">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 xml:space="preserve">Building contractors and their business customers, although the issue is a broader </w:t>
      </w:r>
      <w:proofErr w:type="gramStart"/>
      <w:r w:rsidRPr="00A45CE5">
        <w:rPr>
          <w:rFonts w:asciiTheme="minorHAnsi" w:hAnsiTheme="minorHAnsi" w:cstheme="minorHAnsi"/>
          <w:bCs/>
          <w:color w:val="000000" w:themeColor="text1"/>
          <w:sz w:val="22"/>
          <w:szCs w:val="22"/>
        </w:rPr>
        <w:t>one</w:t>
      </w:r>
      <w:proofErr w:type="gramEnd"/>
    </w:p>
    <w:p w14:paraId="1A9E4C6B" w14:textId="77777777" w:rsidR="006A7B58" w:rsidRPr="00A45CE5" w:rsidRDefault="006A7B58" w:rsidP="006A7B58">
      <w:pPr>
        <w:rPr>
          <w:rFonts w:asciiTheme="minorHAnsi" w:hAnsiTheme="minorHAnsi" w:cstheme="minorHAnsi"/>
          <w:bCs/>
          <w:color w:val="000000" w:themeColor="text1"/>
          <w:sz w:val="22"/>
          <w:szCs w:val="22"/>
        </w:rPr>
      </w:pPr>
    </w:p>
    <w:p w14:paraId="6609B602" w14:textId="77777777" w:rsidR="006A7B58" w:rsidRPr="00A45CE5" w:rsidRDefault="006A7B58" w:rsidP="006A7B58">
      <w:pPr>
        <w:rPr>
          <w:rFonts w:asciiTheme="minorHAnsi" w:hAnsiTheme="minorHAnsi" w:cstheme="minorHAnsi"/>
          <w:bCs/>
          <w:i/>
          <w:iCs/>
          <w:color w:val="000000" w:themeColor="text1"/>
          <w:sz w:val="22"/>
          <w:szCs w:val="22"/>
        </w:rPr>
      </w:pPr>
      <w:r w:rsidRPr="00A45CE5">
        <w:rPr>
          <w:rFonts w:asciiTheme="minorHAnsi" w:hAnsiTheme="minorHAnsi" w:cstheme="minorHAnsi"/>
          <w:bCs/>
          <w:i/>
          <w:iCs/>
          <w:color w:val="000000" w:themeColor="text1"/>
          <w:sz w:val="22"/>
          <w:szCs w:val="22"/>
        </w:rPr>
        <w:t>What type of supply is being made?</w:t>
      </w:r>
    </w:p>
    <w:p w14:paraId="1D986B15" w14:textId="45E656EC" w:rsidR="006A7B58" w:rsidRPr="00A45CE5" w:rsidRDefault="006A7B58" w:rsidP="006A7B58">
      <w:pPr>
        <w:rPr>
          <w:rFonts w:asciiTheme="minorHAnsi" w:hAnsiTheme="minorHAnsi" w:cstheme="minorHAnsi"/>
          <w:bCs/>
          <w:color w:val="000000" w:themeColor="text1"/>
          <w:sz w:val="22"/>
          <w:szCs w:val="22"/>
        </w:rPr>
      </w:pPr>
      <w:proofErr w:type="gramStart"/>
      <w:r w:rsidRPr="00A45CE5">
        <w:rPr>
          <w:rFonts w:asciiTheme="minorHAnsi" w:hAnsiTheme="minorHAnsi" w:cstheme="minorHAnsi"/>
          <w:bCs/>
          <w:color w:val="000000" w:themeColor="text1"/>
          <w:sz w:val="22"/>
          <w:szCs w:val="22"/>
        </w:rPr>
        <w:t>Typically</w:t>
      </w:r>
      <w:proofErr w:type="gramEnd"/>
      <w:r w:rsidRPr="00A45CE5">
        <w:rPr>
          <w:rFonts w:asciiTheme="minorHAnsi" w:hAnsiTheme="minorHAnsi" w:cstheme="minorHAnsi"/>
          <w:bCs/>
          <w:color w:val="000000" w:themeColor="text1"/>
          <w:sz w:val="22"/>
          <w:szCs w:val="22"/>
        </w:rPr>
        <w:t xml:space="preserve"> standard-rated building work, not subject to the domestic reverse charge although, again, the actual issue is broader</w:t>
      </w:r>
    </w:p>
    <w:p w14:paraId="30A18276" w14:textId="77777777" w:rsidR="006A7B58" w:rsidRPr="00A45CE5" w:rsidRDefault="006A7B58" w:rsidP="006A7B58">
      <w:pPr>
        <w:rPr>
          <w:rFonts w:asciiTheme="minorHAnsi" w:hAnsiTheme="minorHAnsi" w:cstheme="minorHAnsi"/>
          <w:bCs/>
          <w:color w:val="000000" w:themeColor="text1"/>
          <w:sz w:val="22"/>
          <w:szCs w:val="22"/>
        </w:rPr>
      </w:pPr>
    </w:p>
    <w:p w14:paraId="7B50BDDF" w14:textId="77777777" w:rsidR="006A7B58" w:rsidRPr="00A45CE5" w:rsidRDefault="006A7B58" w:rsidP="006A7B58">
      <w:pPr>
        <w:rPr>
          <w:rFonts w:asciiTheme="minorHAnsi" w:hAnsiTheme="minorHAnsi" w:cstheme="minorHAnsi"/>
          <w:bCs/>
          <w:i/>
          <w:iCs/>
          <w:color w:val="000000" w:themeColor="text1"/>
          <w:sz w:val="22"/>
          <w:szCs w:val="22"/>
        </w:rPr>
      </w:pPr>
      <w:r w:rsidRPr="00A45CE5">
        <w:rPr>
          <w:rFonts w:asciiTheme="minorHAnsi" w:hAnsiTheme="minorHAnsi" w:cstheme="minorHAnsi"/>
          <w:bCs/>
          <w:i/>
          <w:iCs/>
          <w:color w:val="000000" w:themeColor="text1"/>
          <w:sz w:val="22"/>
          <w:szCs w:val="22"/>
        </w:rPr>
        <w:t>Who is making and receiving the supply/payment?</w:t>
      </w:r>
    </w:p>
    <w:p w14:paraId="63910B85" w14:textId="3F16C3D5" w:rsidR="006A7B58" w:rsidRPr="00A45CE5" w:rsidRDefault="006A7B58" w:rsidP="006A7B58">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 xml:space="preserve">In relation to building work, a contractor is making supplies to the owner of a </w:t>
      </w:r>
      <w:proofErr w:type="gramStart"/>
      <w:r w:rsidRPr="00A45CE5">
        <w:rPr>
          <w:rFonts w:asciiTheme="minorHAnsi" w:hAnsiTheme="minorHAnsi" w:cstheme="minorHAnsi"/>
          <w:bCs/>
          <w:color w:val="000000" w:themeColor="text1"/>
          <w:sz w:val="22"/>
          <w:szCs w:val="22"/>
        </w:rPr>
        <w:t>building</w:t>
      </w:r>
      <w:proofErr w:type="gramEnd"/>
    </w:p>
    <w:p w14:paraId="6763897C" w14:textId="77777777" w:rsidR="006A7B58" w:rsidRPr="00A45CE5" w:rsidRDefault="006A7B58" w:rsidP="006A7B58">
      <w:pPr>
        <w:rPr>
          <w:rFonts w:asciiTheme="minorHAnsi" w:hAnsiTheme="minorHAnsi" w:cstheme="minorHAnsi"/>
          <w:bCs/>
          <w:color w:val="000000" w:themeColor="text1"/>
          <w:sz w:val="22"/>
          <w:szCs w:val="22"/>
        </w:rPr>
      </w:pPr>
    </w:p>
    <w:p w14:paraId="4E73E2BA" w14:textId="77777777" w:rsidR="006A7B58" w:rsidRPr="00A45CE5" w:rsidRDefault="006A7B58" w:rsidP="006A7B58">
      <w:pPr>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Potential impact?</w:t>
      </w:r>
    </w:p>
    <w:p w14:paraId="18B74ACF" w14:textId="4ECDEB9C" w:rsidR="006A7B58" w:rsidRPr="00A45CE5" w:rsidRDefault="006A7B58" w:rsidP="006A7B58">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Customers being assessed for otherwise recoverable input tax. Customers and contractors not knowing how to comply with HMRC’s expectations, nor therefore whether there is a risk of an assessment.</w:t>
      </w:r>
    </w:p>
    <w:p w14:paraId="35DC3E7F" w14:textId="08B92C1D" w:rsidR="00EA6982" w:rsidRPr="00A45CE5" w:rsidRDefault="00EA6982" w:rsidP="005A0789">
      <w:pPr>
        <w:rPr>
          <w:rFonts w:asciiTheme="minorHAnsi" w:hAnsiTheme="minorHAnsi" w:cstheme="minorHAnsi"/>
          <w:b/>
          <w:bCs/>
          <w:color w:val="000000" w:themeColor="text1"/>
          <w:sz w:val="22"/>
          <w:szCs w:val="22"/>
        </w:rPr>
      </w:pPr>
    </w:p>
    <w:p w14:paraId="396B2BFD" w14:textId="77777777" w:rsidR="006A7B58" w:rsidRPr="00A45CE5" w:rsidRDefault="006A7B58" w:rsidP="006A7B58">
      <w:pPr>
        <w:numPr>
          <w:ilvl w:val="0"/>
          <w:numId w:val="11"/>
        </w:numPr>
        <w:spacing w:line="252" w:lineRule="auto"/>
        <w:contextualSpacing/>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Is it HMRC’s view that the description needs merely to be sufficient for the parties to identify the goods or services, such that there could be no doubt in the event of a dispute whether they had been supplied, invoiced and/or paid for? Or is it HMRC’s view that the description needs to be sufficient to identify the goods or services to HMRC, or to anyone else? If the latter, can taxpayers assume that HMRC are familiar with terminology conventionally used in the relevant sector?</w:t>
      </w:r>
    </w:p>
    <w:p w14:paraId="5F835C14" w14:textId="77777777" w:rsidR="006A7B58" w:rsidRPr="00A45CE5" w:rsidRDefault="006A7B58" w:rsidP="006A7B58">
      <w:pPr>
        <w:spacing w:line="252" w:lineRule="auto"/>
        <w:rPr>
          <w:rFonts w:asciiTheme="minorHAnsi" w:hAnsiTheme="minorHAnsi" w:cstheme="minorHAnsi"/>
          <w:color w:val="000000" w:themeColor="text1"/>
          <w:sz w:val="22"/>
          <w:szCs w:val="22"/>
        </w:rPr>
      </w:pPr>
    </w:p>
    <w:p w14:paraId="4D705CEE"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VAT Reg 14 (1) (g) and (h) of the VAT Regs 1995 state that a supplier must provide a VAT invoice that contains:</w:t>
      </w:r>
    </w:p>
    <w:p w14:paraId="6AAA055A"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(g) a description sufficient to identify the goods or services supplied</w:t>
      </w:r>
    </w:p>
    <w:p w14:paraId="179C474F"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 for each description, the quantity of the goods or the extent of the services, and the rate of VAT and the amount payable, excluding VAT, expressed in any currency. </w:t>
      </w:r>
    </w:p>
    <w:p w14:paraId="61684D9B"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
    <w:p w14:paraId="79761E14"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This means that the description needs to be detailed enough to allow HMRC to verify the goods/services being supplied. This is to allow verification that the correct rate of VAT has </w:t>
      </w:r>
      <w:r w:rsidRPr="00A45CE5">
        <w:rPr>
          <w:rFonts w:asciiTheme="minorHAnsi" w:hAnsiTheme="minorHAnsi" w:cstheme="minorHAnsi"/>
          <w:color w:val="000000" w:themeColor="text1"/>
          <w:sz w:val="22"/>
          <w:szCs w:val="22"/>
        </w:rPr>
        <w:lastRenderedPageBreak/>
        <w:t>been charged and to evidence the link between the business activity of the recipient and the cost incurred.</w:t>
      </w:r>
    </w:p>
    <w:p w14:paraId="436CDF40"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
    <w:p w14:paraId="42BD6900" w14:textId="77777777" w:rsidR="006A7B58" w:rsidRPr="00A45CE5" w:rsidRDefault="006A7B58" w:rsidP="006A7B58">
      <w:pPr>
        <w:spacing w:after="160" w:line="257" w:lineRule="auto"/>
        <w:ind w:left="720"/>
        <w:rPr>
          <w:rFonts w:asciiTheme="minorHAnsi" w:eastAsia="Calibri" w:hAnsiTheme="minorHAnsi" w:cstheme="minorHAnsi"/>
          <w:color w:val="000000" w:themeColor="text1"/>
          <w:sz w:val="22"/>
          <w:szCs w:val="22"/>
        </w:rPr>
      </w:pPr>
      <w:r w:rsidRPr="00A45CE5">
        <w:rPr>
          <w:rFonts w:asciiTheme="minorHAnsi" w:eastAsia="Calibri" w:hAnsiTheme="minorHAnsi" w:cstheme="minorHAnsi"/>
          <w:color w:val="000000" w:themeColor="text1"/>
          <w:sz w:val="22"/>
          <w:szCs w:val="22"/>
        </w:rPr>
        <w:t xml:space="preserve">In the case of </w:t>
      </w:r>
      <w:proofErr w:type="spellStart"/>
      <w:r w:rsidRPr="00A45CE5">
        <w:rPr>
          <w:rFonts w:asciiTheme="minorHAnsi" w:eastAsia="Calibri" w:hAnsiTheme="minorHAnsi" w:cstheme="minorHAnsi"/>
          <w:color w:val="000000" w:themeColor="text1"/>
          <w:sz w:val="22"/>
          <w:szCs w:val="22"/>
        </w:rPr>
        <w:t>Deadoc</w:t>
      </w:r>
      <w:proofErr w:type="spellEnd"/>
      <w:r w:rsidRPr="00A45CE5">
        <w:rPr>
          <w:rFonts w:asciiTheme="minorHAnsi" w:eastAsia="Calibri" w:hAnsiTheme="minorHAnsi" w:cstheme="minorHAnsi"/>
          <w:color w:val="000000" w:themeColor="text1"/>
          <w:sz w:val="22"/>
          <w:szCs w:val="22"/>
        </w:rPr>
        <w:t xml:space="preserve"> Construction Ltd &amp; Anor (2015) TC 04610 the FTT reviewed invoices that had been provided to support recovery of Input Tax on an individual basis to establish their ability to satisfy the requirements of Reg 14, particularly points (g) and (h). The judge commented on differences in the invoices specifically around whether a site/address of the work being completed was mentioned, or the </w:t>
      </w:r>
      <w:bookmarkStart w:id="1" w:name="_Int_pFbZoecd"/>
      <w:proofErr w:type="gramStart"/>
      <w:r w:rsidRPr="00A45CE5">
        <w:rPr>
          <w:rFonts w:asciiTheme="minorHAnsi" w:eastAsia="Calibri" w:hAnsiTheme="minorHAnsi" w:cstheme="minorHAnsi"/>
          <w:color w:val="000000" w:themeColor="text1"/>
          <w:sz w:val="22"/>
          <w:szCs w:val="22"/>
        </w:rPr>
        <w:t>time period</w:t>
      </w:r>
      <w:bookmarkEnd w:id="1"/>
      <w:proofErr w:type="gramEnd"/>
      <w:r w:rsidRPr="00A45CE5">
        <w:rPr>
          <w:rFonts w:asciiTheme="minorHAnsi" w:eastAsia="Calibri" w:hAnsiTheme="minorHAnsi" w:cstheme="minorHAnsi"/>
          <w:color w:val="000000" w:themeColor="text1"/>
          <w:sz w:val="22"/>
          <w:szCs w:val="22"/>
        </w:rPr>
        <w:t xml:space="preserve"> for which the invoice was raised. Where those details were not present on the invoices, that Input Tax was deemed not recoverable</w:t>
      </w:r>
      <w:bookmarkStart w:id="2" w:name="_Int_tM8emUw6"/>
      <w:r w:rsidRPr="00A45CE5">
        <w:rPr>
          <w:rFonts w:asciiTheme="minorHAnsi" w:eastAsia="Calibri" w:hAnsiTheme="minorHAnsi" w:cstheme="minorHAnsi"/>
          <w:color w:val="000000" w:themeColor="text1"/>
          <w:sz w:val="22"/>
          <w:szCs w:val="22"/>
        </w:rPr>
        <w:t xml:space="preserve">.  </w:t>
      </w:r>
      <w:bookmarkEnd w:id="2"/>
      <w:r w:rsidRPr="00A45CE5">
        <w:rPr>
          <w:rFonts w:asciiTheme="minorHAnsi" w:eastAsia="Calibri" w:hAnsiTheme="minorHAnsi" w:cstheme="minorHAnsi"/>
          <w:color w:val="000000" w:themeColor="text1"/>
          <w:sz w:val="22"/>
          <w:szCs w:val="22"/>
        </w:rPr>
        <w:t xml:space="preserve"> </w:t>
      </w:r>
    </w:p>
    <w:p w14:paraId="7771FB2A" w14:textId="77777777" w:rsidR="006A7B58" w:rsidRPr="00A45CE5" w:rsidRDefault="006A7B58" w:rsidP="006A7B58">
      <w:pPr>
        <w:spacing w:after="160" w:line="257" w:lineRule="auto"/>
        <w:ind w:left="720"/>
        <w:rPr>
          <w:rFonts w:asciiTheme="minorHAnsi" w:eastAsia="Calibri" w:hAnsiTheme="minorHAnsi" w:cstheme="minorHAnsi"/>
          <w:color w:val="000000" w:themeColor="text1"/>
          <w:sz w:val="22"/>
          <w:szCs w:val="22"/>
        </w:rPr>
      </w:pPr>
      <w:r w:rsidRPr="00A45CE5">
        <w:rPr>
          <w:rFonts w:asciiTheme="minorHAnsi" w:eastAsia="Calibri" w:hAnsiTheme="minorHAnsi" w:cstheme="minorHAnsi"/>
          <w:color w:val="000000" w:themeColor="text1"/>
          <w:sz w:val="22"/>
          <w:szCs w:val="22"/>
        </w:rPr>
        <w:t xml:space="preserve">So as shown in the previous paragraph, HMRC </w:t>
      </w:r>
      <w:proofErr w:type="gramStart"/>
      <w:r w:rsidRPr="00A45CE5">
        <w:rPr>
          <w:rFonts w:asciiTheme="minorHAnsi" w:eastAsia="Calibri" w:hAnsiTheme="minorHAnsi" w:cstheme="minorHAnsi"/>
          <w:color w:val="000000" w:themeColor="text1"/>
          <w:sz w:val="22"/>
          <w:szCs w:val="22"/>
        </w:rPr>
        <w:t>has to</w:t>
      </w:r>
      <w:proofErr w:type="gramEnd"/>
      <w:r w:rsidRPr="00A45CE5">
        <w:rPr>
          <w:rFonts w:asciiTheme="minorHAnsi" w:eastAsia="Calibri" w:hAnsiTheme="minorHAnsi" w:cstheme="minorHAnsi"/>
          <w:color w:val="000000" w:themeColor="text1"/>
          <w:sz w:val="22"/>
          <w:szCs w:val="22"/>
        </w:rPr>
        <w:t xml:space="preserve"> be able to verify/assure the details on the invoices to ensure the VAT has a business purpose and is charged at the correct rate of VAT. HMRC staff would not </w:t>
      </w:r>
      <w:bookmarkStart w:id="3" w:name="_Int_xTc8fB3w"/>
      <w:r w:rsidRPr="00A45CE5">
        <w:rPr>
          <w:rFonts w:asciiTheme="minorHAnsi" w:eastAsia="Calibri" w:hAnsiTheme="minorHAnsi" w:cstheme="minorHAnsi"/>
          <w:color w:val="000000" w:themeColor="text1"/>
          <w:sz w:val="22"/>
          <w:szCs w:val="22"/>
        </w:rPr>
        <w:t>generally understand</w:t>
      </w:r>
      <w:bookmarkEnd w:id="3"/>
      <w:r w:rsidRPr="00A45CE5">
        <w:rPr>
          <w:rFonts w:asciiTheme="minorHAnsi" w:eastAsia="Calibri" w:hAnsiTheme="minorHAnsi" w:cstheme="minorHAnsi"/>
          <w:color w:val="000000" w:themeColor="text1"/>
          <w:sz w:val="22"/>
          <w:szCs w:val="22"/>
        </w:rPr>
        <w:t xml:space="preserve"> sector specific terminology but would be able to request clarification if needed.</w:t>
      </w:r>
    </w:p>
    <w:p w14:paraId="6ABD761D" w14:textId="77777777" w:rsidR="006A7B58" w:rsidRPr="00A45CE5" w:rsidRDefault="006A7B58" w:rsidP="006A7B58">
      <w:pPr>
        <w:spacing w:after="160" w:line="257" w:lineRule="auto"/>
        <w:ind w:left="720"/>
        <w:rPr>
          <w:rFonts w:asciiTheme="minorHAnsi" w:eastAsia="Calibri" w:hAnsiTheme="minorHAnsi" w:cstheme="minorHAnsi"/>
          <w:color w:val="000000" w:themeColor="text1"/>
          <w:sz w:val="22"/>
          <w:szCs w:val="22"/>
        </w:rPr>
      </w:pPr>
    </w:p>
    <w:p w14:paraId="01691A1E" w14:textId="77777777" w:rsidR="006A7B58" w:rsidRPr="00A45CE5" w:rsidRDefault="006A7B58" w:rsidP="006A7B58">
      <w:pPr>
        <w:spacing w:line="252" w:lineRule="auto"/>
        <w:rPr>
          <w:rFonts w:asciiTheme="minorHAnsi" w:hAnsiTheme="minorHAnsi" w:cstheme="minorHAnsi"/>
          <w:color w:val="000000" w:themeColor="text1"/>
          <w:sz w:val="22"/>
          <w:szCs w:val="22"/>
        </w:rPr>
      </w:pPr>
    </w:p>
    <w:p w14:paraId="381BB3BC" w14:textId="77777777" w:rsidR="006A7B58" w:rsidRPr="00A45CE5" w:rsidRDefault="006A7B58" w:rsidP="006A7B58">
      <w:pPr>
        <w:numPr>
          <w:ilvl w:val="0"/>
          <w:numId w:val="11"/>
        </w:numPr>
        <w:spacing w:line="252" w:lineRule="auto"/>
        <w:contextualSpacing/>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 xml:space="preserve">Is it HMRC’s view that a description contained in supporting documents that are referred to in the invoice, and attached to or otherwise provided with the invoice, can be treated as contained in the invoice? Or are they ‘other evidence’ so that it is a matter for HMRC’s discretion whether these can be </w:t>
      </w:r>
      <w:proofErr w:type="gramStart"/>
      <w:r w:rsidRPr="00A45CE5">
        <w:rPr>
          <w:rFonts w:asciiTheme="minorHAnsi" w:eastAsia="Times New Roman" w:hAnsiTheme="minorHAnsi" w:cstheme="minorHAnsi"/>
          <w:color w:val="000000" w:themeColor="text1"/>
          <w:sz w:val="22"/>
          <w:szCs w:val="22"/>
        </w:rPr>
        <w:t>taken into account</w:t>
      </w:r>
      <w:proofErr w:type="gramEnd"/>
      <w:r w:rsidRPr="00A45CE5">
        <w:rPr>
          <w:rFonts w:asciiTheme="minorHAnsi" w:eastAsia="Times New Roman" w:hAnsiTheme="minorHAnsi" w:cstheme="minorHAnsi"/>
          <w:color w:val="000000" w:themeColor="text1"/>
          <w:sz w:val="22"/>
          <w:szCs w:val="22"/>
        </w:rPr>
        <w:t xml:space="preserve">? Examples would be a breakdown of the work done, or in the case of interim payments a professional valuation of works done since the last invoice; the invoice itself might for example say ‘stage payment for </w:t>
      </w:r>
      <w:proofErr w:type="gramStart"/>
      <w:r w:rsidRPr="00A45CE5">
        <w:rPr>
          <w:rFonts w:asciiTheme="minorHAnsi" w:eastAsia="Times New Roman" w:hAnsiTheme="minorHAnsi" w:cstheme="minorHAnsi"/>
          <w:color w:val="000000" w:themeColor="text1"/>
          <w:sz w:val="22"/>
          <w:szCs w:val="22"/>
        </w:rPr>
        <w:t>works’</w:t>
      </w:r>
      <w:proofErr w:type="gramEnd"/>
      <w:r w:rsidRPr="00A45CE5">
        <w:rPr>
          <w:rFonts w:asciiTheme="minorHAnsi" w:eastAsia="Times New Roman" w:hAnsiTheme="minorHAnsi" w:cstheme="minorHAnsi"/>
          <w:color w:val="000000" w:themeColor="text1"/>
          <w:sz w:val="22"/>
          <w:szCs w:val="22"/>
        </w:rPr>
        <w:t xml:space="preserve"> or ‘valuation’ with a reference number</w:t>
      </w:r>
    </w:p>
    <w:p w14:paraId="19CB0E0A" w14:textId="77777777" w:rsidR="006A7B58" w:rsidRPr="00A45CE5" w:rsidRDefault="006A7B58" w:rsidP="006A7B58">
      <w:pPr>
        <w:spacing w:line="252" w:lineRule="auto"/>
        <w:contextualSpacing/>
        <w:rPr>
          <w:rFonts w:asciiTheme="minorHAnsi" w:eastAsia="Calibri" w:hAnsiTheme="minorHAnsi" w:cstheme="minorHAnsi"/>
          <w:color w:val="000000" w:themeColor="text1"/>
          <w:sz w:val="22"/>
          <w:szCs w:val="22"/>
        </w:rPr>
      </w:pPr>
    </w:p>
    <w:p w14:paraId="1DE6534D" w14:textId="77777777" w:rsidR="006A7B58" w:rsidRPr="00A45CE5" w:rsidRDefault="006A7B58" w:rsidP="006A7B58">
      <w:pPr>
        <w:spacing w:line="252" w:lineRule="auto"/>
        <w:ind w:left="720"/>
        <w:contextualSpacing/>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As explained in question 1 the required contents of a VAT Invoice are described in Reg 14 of the VAT Regs 1995. For a VAT invoice to be valid it must contain all those points listed within the document, however there is no statutory definition of what constitutes an “invoice”, and anything else supplied would be treated as alternative/supplementary evidence.</w:t>
      </w:r>
    </w:p>
    <w:p w14:paraId="28167742" w14:textId="77777777" w:rsidR="006A7B58" w:rsidRPr="00A45CE5" w:rsidRDefault="006A7B58" w:rsidP="006A7B58">
      <w:pPr>
        <w:spacing w:line="252" w:lineRule="auto"/>
        <w:ind w:left="720"/>
        <w:contextualSpacing/>
        <w:rPr>
          <w:rFonts w:asciiTheme="minorHAnsi" w:eastAsia="Times New Roman" w:hAnsiTheme="minorHAnsi" w:cstheme="minorHAnsi"/>
          <w:color w:val="000000" w:themeColor="text1"/>
          <w:sz w:val="22"/>
          <w:szCs w:val="22"/>
        </w:rPr>
      </w:pPr>
    </w:p>
    <w:p w14:paraId="00E9E0FE" w14:textId="77777777" w:rsidR="006A7B58" w:rsidRPr="00A45CE5" w:rsidRDefault="006A7B58" w:rsidP="006A7B58">
      <w:pPr>
        <w:spacing w:line="252" w:lineRule="auto"/>
        <w:ind w:left="720"/>
        <w:contextualSpacing/>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 xml:space="preserve">VAT Notice 700, Para 16.8.1 states that an invalid invoice is one which falls short of any of the requirements set out in para 16.3 (which are the requirements of Reg 14). So other documents that may provide more clarity to the supply made can be used but as para 16.8.2 of the Notice states this would be at HMRC’s discretion. HMRC does not provide an exhaustive list of situations where discretion will be </w:t>
      </w:r>
      <w:proofErr w:type="gramStart"/>
      <w:r w:rsidRPr="00A45CE5">
        <w:rPr>
          <w:rFonts w:asciiTheme="minorHAnsi" w:eastAsia="Times New Roman" w:hAnsiTheme="minorHAnsi" w:cstheme="minorHAnsi"/>
          <w:color w:val="000000" w:themeColor="text1"/>
          <w:sz w:val="22"/>
          <w:szCs w:val="22"/>
        </w:rPr>
        <w:t>applied, but</w:t>
      </w:r>
      <w:proofErr w:type="gramEnd"/>
      <w:r w:rsidRPr="00A45CE5">
        <w:rPr>
          <w:rFonts w:asciiTheme="minorHAnsi" w:eastAsia="Times New Roman" w:hAnsiTheme="minorHAnsi" w:cstheme="minorHAnsi"/>
          <w:color w:val="000000" w:themeColor="text1"/>
          <w:sz w:val="22"/>
          <w:szCs w:val="22"/>
        </w:rPr>
        <w:t xml:space="preserve"> will review on a case by case basis dependent on the individual facts. </w:t>
      </w:r>
    </w:p>
    <w:p w14:paraId="276924BA" w14:textId="77777777" w:rsidR="006A7B58" w:rsidRPr="00A45CE5" w:rsidRDefault="006A7B58" w:rsidP="006A7B58">
      <w:pPr>
        <w:spacing w:line="252" w:lineRule="auto"/>
        <w:ind w:left="720"/>
        <w:contextualSpacing/>
        <w:rPr>
          <w:rFonts w:asciiTheme="minorHAnsi" w:eastAsia="Times New Roman" w:hAnsiTheme="minorHAnsi" w:cstheme="minorHAnsi"/>
          <w:color w:val="000000" w:themeColor="text1"/>
          <w:sz w:val="22"/>
          <w:szCs w:val="22"/>
        </w:rPr>
      </w:pPr>
    </w:p>
    <w:p w14:paraId="07B2ACBF" w14:textId="77777777" w:rsidR="006A7B58" w:rsidRPr="00A45CE5" w:rsidRDefault="006A7B58" w:rsidP="006A7B58">
      <w:pPr>
        <w:spacing w:line="252" w:lineRule="auto"/>
        <w:rPr>
          <w:rFonts w:asciiTheme="minorHAnsi" w:hAnsiTheme="minorHAnsi" w:cstheme="minorHAnsi"/>
          <w:color w:val="000000" w:themeColor="text1"/>
          <w:sz w:val="22"/>
          <w:szCs w:val="22"/>
        </w:rPr>
      </w:pPr>
    </w:p>
    <w:p w14:paraId="6C99CAB4" w14:textId="77777777" w:rsidR="006A7B58" w:rsidRPr="00A45CE5" w:rsidRDefault="006A7B58" w:rsidP="006A7B58">
      <w:pPr>
        <w:numPr>
          <w:ilvl w:val="0"/>
          <w:numId w:val="11"/>
        </w:numPr>
        <w:spacing w:line="252" w:lineRule="auto"/>
        <w:contextualSpacing/>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Similarly, is it HMRC’s view that a description contained in other documents unambiguously referred to in the invoice, but not attached to or provided with it, can be treated as contained in the invoice? Or, again, are they ‘other evidence’, and a matter for HMRC’s discretion? Examples might include a reference to:</w:t>
      </w:r>
    </w:p>
    <w:p w14:paraId="63023D22" w14:textId="77777777" w:rsidR="006A7B58" w:rsidRPr="00A45CE5" w:rsidRDefault="006A7B58" w:rsidP="006A7B58">
      <w:pPr>
        <w:spacing w:line="252" w:lineRule="auto"/>
        <w:ind w:left="720"/>
        <w:contextualSpacing/>
        <w:rPr>
          <w:rFonts w:asciiTheme="minorHAnsi" w:hAnsiTheme="minorHAnsi" w:cstheme="minorHAnsi"/>
          <w:color w:val="000000" w:themeColor="text1"/>
          <w:sz w:val="22"/>
          <w:szCs w:val="22"/>
        </w:rPr>
      </w:pPr>
    </w:p>
    <w:p w14:paraId="67F02C92" w14:textId="77777777" w:rsidR="006A7B58" w:rsidRPr="00A45CE5" w:rsidRDefault="006A7B58" w:rsidP="006A7B58">
      <w:pPr>
        <w:numPr>
          <w:ilvl w:val="0"/>
          <w:numId w:val="12"/>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a contract between the parties, eg ‘our contract of [date]’ or ‘our contract [reference number]’</w:t>
      </w:r>
    </w:p>
    <w:p w14:paraId="03EADA79" w14:textId="77777777" w:rsidR="006A7B58" w:rsidRPr="00A45CE5" w:rsidRDefault="006A7B58" w:rsidP="006A7B58">
      <w:pPr>
        <w:numPr>
          <w:ilvl w:val="0"/>
          <w:numId w:val="12"/>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 xml:space="preserve">a numbered purchase order issued by the </w:t>
      </w:r>
      <w:proofErr w:type="gramStart"/>
      <w:r w:rsidRPr="00A45CE5">
        <w:rPr>
          <w:rFonts w:asciiTheme="minorHAnsi" w:eastAsia="Times New Roman" w:hAnsiTheme="minorHAnsi" w:cstheme="minorHAnsi"/>
          <w:color w:val="000000" w:themeColor="text1"/>
          <w:sz w:val="22"/>
          <w:szCs w:val="22"/>
        </w:rPr>
        <w:t>customer</w:t>
      </w:r>
      <w:proofErr w:type="gramEnd"/>
    </w:p>
    <w:p w14:paraId="63CC09FA" w14:textId="77777777" w:rsidR="006A7B58" w:rsidRPr="00A45CE5" w:rsidRDefault="006A7B58" w:rsidP="006A7B58">
      <w:pPr>
        <w:numPr>
          <w:ilvl w:val="0"/>
          <w:numId w:val="12"/>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 xml:space="preserve">a project name, used for example to preserve </w:t>
      </w:r>
      <w:proofErr w:type="gramStart"/>
      <w:r w:rsidRPr="00A45CE5">
        <w:rPr>
          <w:rFonts w:asciiTheme="minorHAnsi" w:eastAsia="Times New Roman" w:hAnsiTheme="minorHAnsi" w:cstheme="minorHAnsi"/>
          <w:color w:val="000000" w:themeColor="text1"/>
          <w:sz w:val="22"/>
          <w:szCs w:val="22"/>
        </w:rPr>
        <w:t>confidentiality</w:t>
      </w:r>
      <w:proofErr w:type="gramEnd"/>
    </w:p>
    <w:p w14:paraId="25A7BA9A" w14:textId="77777777" w:rsidR="006A7B58" w:rsidRPr="00A45CE5" w:rsidRDefault="006A7B58" w:rsidP="006A7B58">
      <w:pPr>
        <w:numPr>
          <w:ilvl w:val="0"/>
          <w:numId w:val="12"/>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planning permission</w:t>
      </w:r>
    </w:p>
    <w:p w14:paraId="2EAE664F" w14:textId="77777777" w:rsidR="006A7B58" w:rsidRPr="00A45CE5" w:rsidRDefault="006A7B58" w:rsidP="006A7B58">
      <w:pPr>
        <w:numPr>
          <w:ilvl w:val="0"/>
          <w:numId w:val="12"/>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lastRenderedPageBreak/>
        <w:t>a statutory requirement (eg ‘works to comply with regulation XX of the XX Regulations’)?</w:t>
      </w:r>
    </w:p>
    <w:p w14:paraId="7397BFA9" w14:textId="77777777" w:rsidR="006A7B58" w:rsidRPr="00A45CE5" w:rsidRDefault="006A7B58" w:rsidP="006A7B58">
      <w:pPr>
        <w:spacing w:line="252" w:lineRule="auto"/>
        <w:rPr>
          <w:rFonts w:asciiTheme="minorHAnsi" w:eastAsia="Calibri" w:hAnsiTheme="minorHAnsi" w:cstheme="minorHAnsi"/>
          <w:color w:val="000000" w:themeColor="text1"/>
          <w:sz w:val="22"/>
          <w:szCs w:val="22"/>
        </w:rPr>
      </w:pPr>
    </w:p>
    <w:p w14:paraId="1FA0A3DE" w14:textId="77777777" w:rsidR="006A7B58" w:rsidRPr="00A45CE5" w:rsidRDefault="006A7B58" w:rsidP="006A7B58">
      <w:pPr>
        <w:spacing w:line="252" w:lineRule="auto"/>
        <w:ind w:left="720"/>
        <w:rPr>
          <w:rFonts w:asciiTheme="minorHAnsi" w:eastAsia="Verdana" w:hAnsiTheme="minorHAnsi" w:cstheme="minorHAnsi"/>
          <w:color w:val="000000" w:themeColor="text1"/>
          <w:sz w:val="22"/>
          <w:szCs w:val="22"/>
        </w:rPr>
      </w:pPr>
      <w:r w:rsidRPr="00A45CE5">
        <w:rPr>
          <w:rFonts w:asciiTheme="minorHAnsi" w:eastAsia="Verdana Pro" w:hAnsiTheme="minorHAnsi" w:cstheme="minorHAnsi"/>
          <w:color w:val="000000" w:themeColor="text1"/>
          <w:sz w:val="22"/>
          <w:szCs w:val="22"/>
        </w:rPr>
        <w:t xml:space="preserve">Documents which are separate to VAT invoices are other evidence. Reg 29 of VAT Regs 1995 and </w:t>
      </w:r>
      <w:hyperlink r:id="rId11">
        <w:r w:rsidRPr="00A45CE5">
          <w:rPr>
            <w:rStyle w:val="Hyperlink"/>
            <w:rFonts w:asciiTheme="minorHAnsi" w:eastAsia="Verdana" w:hAnsiTheme="minorHAnsi" w:cstheme="minorHAnsi"/>
            <w:color w:val="000000" w:themeColor="text1"/>
            <w:sz w:val="22"/>
            <w:szCs w:val="22"/>
          </w:rPr>
          <w:t>VIT31200</w:t>
        </w:r>
      </w:hyperlink>
      <w:r w:rsidRPr="00A45CE5">
        <w:rPr>
          <w:rFonts w:asciiTheme="minorHAnsi" w:eastAsia="Verdana" w:hAnsiTheme="minorHAnsi" w:cstheme="minorHAnsi"/>
          <w:color w:val="000000" w:themeColor="text1"/>
          <w:sz w:val="22"/>
          <w:szCs w:val="22"/>
        </w:rPr>
        <w:t xml:space="preserve"> outlines when HMRC may apply discretion when considering alternative/supplementary evidence. </w:t>
      </w:r>
      <w:r w:rsidRPr="00A45CE5">
        <w:rPr>
          <w:rFonts w:asciiTheme="minorHAnsi" w:eastAsia="Verdana Pro" w:hAnsiTheme="minorHAnsi" w:cstheme="minorHAnsi"/>
          <w:color w:val="000000" w:themeColor="text1"/>
          <w:sz w:val="22"/>
          <w:szCs w:val="22"/>
        </w:rPr>
        <w:t xml:space="preserve">Where claims to deduct VAT are not supported by a valid VAT invoice HMRC staff will consider </w:t>
      </w:r>
      <w:bookmarkStart w:id="4" w:name="_Int_mDiDefMa"/>
      <w:proofErr w:type="gramStart"/>
      <w:r w:rsidRPr="00A45CE5">
        <w:rPr>
          <w:rFonts w:asciiTheme="minorHAnsi" w:eastAsia="Verdana Pro" w:hAnsiTheme="minorHAnsi" w:cstheme="minorHAnsi"/>
          <w:color w:val="000000" w:themeColor="text1"/>
          <w:sz w:val="22"/>
          <w:szCs w:val="22"/>
        </w:rPr>
        <w:t>whether or not</w:t>
      </w:r>
      <w:bookmarkEnd w:id="4"/>
      <w:proofErr w:type="gramEnd"/>
      <w:r w:rsidRPr="00A45CE5">
        <w:rPr>
          <w:rFonts w:asciiTheme="minorHAnsi" w:eastAsia="Verdana Pro" w:hAnsiTheme="minorHAnsi" w:cstheme="minorHAnsi"/>
          <w:color w:val="000000" w:themeColor="text1"/>
          <w:sz w:val="22"/>
          <w:szCs w:val="22"/>
        </w:rPr>
        <w:t xml:space="preserve"> there is satisfactory alternative evidence of the taxable supply available to support deduction. HMRC staff will not simply refuse a claim without </w:t>
      </w:r>
      <w:bookmarkStart w:id="5" w:name="_Int_5EFCxrz6"/>
      <w:proofErr w:type="gramStart"/>
      <w:r w:rsidRPr="00A45CE5">
        <w:rPr>
          <w:rFonts w:asciiTheme="minorHAnsi" w:eastAsia="Verdana Pro" w:hAnsiTheme="minorHAnsi" w:cstheme="minorHAnsi"/>
          <w:color w:val="000000" w:themeColor="text1"/>
          <w:sz w:val="22"/>
          <w:szCs w:val="22"/>
        </w:rPr>
        <w:t>giving reasonable consideration to</w:t>
      </w:r>
      <w:bookmarkEnd w:id="5"/>
      <w:proofErr w:type="gramEnd"/>
      <w:r w:rsidRPr="00A45CE5">
        <w:rPr>
          <w:rFonts w:asciiTheme="minorHAnsi" w:eastAsia="Verdana Pro" w:hAnsiTheme="minorHAnsi" w:cstheme="minorHAnsi"/>
          <w:color w:val="000000" w:themeColor="text1"/>
          <w:sz w:val="22"/>
          <w:szCs w:val="22"/>
        </w:rPr>
        <w:t xml:space="preserve"> such evidence. HMRC has a duty to ensure that taxpayers pay no more tax than is properly due. </w:t>
      </w:r>
    </w:p>
    <w:p w14:paraId="70BB3DA8" w14:textId="77777777" w:rsidR="006A7B58" w:rsidRPr="00A45CE5" w:rsidRDefault="006A7B58" w:rsidP="006A7B58">
      <w:pPr>
        <w:spacing w:line="252" w:lineRule="auto"/>
        <w:ind w:left="720"/>
        <w:rPr>
          <w:rFonts w:asciiTheme="minorHAnsi" w:eastAsia="Verdana Pro" w:hAnsiTheme="minorHAnsi" w:cstheme="minorHAnsi"/>
          <w:color w:val="000000" w:themeColor="text1"/>
          <w:sz w:val="22"/>
          <w:szCs w:val="22"/>
        </w:rPr>
      </w:pPr>
    </w:p>
    <w:p w14:paraId="5A395735" w14:textId="77777777" w:rsidR="006A7B58" w:rsidRPr="00A45CE5" w:rsidRDefault="006A7B58" w:rsidP="006A7B58">
      <w:pPr>
        <w:spacing w:line="252" w:lineRule="auto"/>
        <w:ind w:left="720"/>
        <w:rPr>
          <w:rFonts w:asciiTheme="minorHAnsi" w:eastAsia="Verdana Pro" w:hAnsiTheme="minorHAnsi" w:cstheme="minorHAnsi"/>
          <w:color w:val="000000" w:themeColor="text1"/>
          <w:sz w:val="22"/>
          <w:szCs w:val="22"/>
        </w:rPr>
      </w:pPr>
      <w:r w:rsidRPr="00A45CE5">
        <w:rPr>
          <w:rFonts w:asciiTheme="minorHAnsi" w:eastAsia="Verdana Pro" w:hAnsiTheme="minorHAnsi" w:cstheme="minorHAnsi"/>
          <w:color w:val="000000" w:themeColor="text1"/>
          <w:sz w:val="22"/>
          <w:szCs w:val="22"/>
        </w:rPr>
        <w:t xml:space="preserve">Therefore, and in line with our response at question 1 if HMRC applies discretion and takes </w:t>
      </w:r>
      <w:proofErr w:type="gramStart"/>
      <w:r w:rsidRPr="00A45CE5">
        <w:rPr>
          <w:rFonts w:asciiTheme="minorHAnsi" w:eastAsia="Verdana Pro" w:hAnsiTheme="minorHAnsi" w:cstheme="minorHAnsi"/>
          <w:color w:val="000000" w:themeColor="text1"/>
          <w:sz w:val="22"/>
          <w:szCs w:val="22"/>
        </w:rPr>
        <w:t>in to</w:t>
      </w:r>
      <w:proofErr w:type="gramEnd"/>
      <w:r w:rsidRPr="00A45CE5">
        <w:rPr>
          <w:rFonts w:asciiTheme="minorHAnsi" w:eastAsia="Verdana Pro" w:hAnsiTheme="minorHAnsi" w:cstheme="minorHAnsi"/>
          <w:color w:val="000000" w:themeColor="text1"/>
          <w:sz w:val="22"/>
          <w:szCs w:val="22"/>
        </w:rPr>
        <w:t xml:space="preserve"> consideration supplementary evidence, the evidence should provide details of the supply that gives clarity to its extent and period to enable HMRC to verify.</w:t>
      </w:r>
    </w:p>
    <w:p w14:paraId="64D36BC9" w14:textId="77777777" w:rsidR="006A7B58" w:rsidRPr="00A45CE5" w:rsidRDefault="006A7B58" w:rsidP="006A7B58">
      <w:pPr>
        <w:spacing w:line="252" w:lineRule="auto"/>
        <w:ind w:left="720"/>
        <w:rPr>
          <w:rFonts w:asciiTheme="minorHAnsi" w:eastAsia="Verdana Pro" w:hAnsiTheme="minorHAnsi" w:cstheme="minorHAnsi"/>
          <w:color w:val="000000" w:themeColor="text1"/>
          <w:sz w:val="22"/>
          <w:szCs w:val="22"/>
        </w:rPr>
      </w:pPr>
    </w:p>
    <w:p w14:paraId="1DDAEE90" w14:textId="77777777" w:rsidR="006A7B58" w:rsidRPr="00A45CE5" w:rsidRDefault="006A7B58" w:rsidP="006A7B58">
      <w:pPr>
        <w:spacing w:line="252" w:lineRule="auto"/>
        <w:ind w:left="720"/>
        <w:rPr>
          <w:rFonts w:asciiTheme="minorHAnsi" w:eastAsia="Verdana Pro" w:hAnsiTheme="minorHAnsi" w:cstheme="minorHAnsi"/>
          <w:color w:val="000000" w:themeColor="text1"/>
          <w:sz w:val="22"/>
          <w:szCs w:val="22"/>
        </w:rPr>
      </w:pPr>
    </w:p>
    <w:p w14:paraId="72FEDD68" w14:textId="77777777" w:rsidR="006A7B58" w:rsidRPr="00A45CE5" w:rsidRDefault="006A7B58" w:rsidP="006A7B58">
      <w:pPr>
        <w:numPr>
          <w:ilvl w:val="0"/>
          <w:numId w:val="11"/>
        </w:numPr>
        <w:spacing w:line="252" w:lineRule="auto"/>
        <w:contextualSpacing/>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Can HMRC please indicate whether, in the case of building work, they see it as essential that the address is specified, either on the face of the invoice or (depending on the answers to the above) in other documentation? If so, and given that the customer and their address will be known, how much detail is required? If, for example, the customer was HMRC, which of the following would be acceptable:</w:t>
      </w:r>
    </w:p>
    <w:p w14:paraId="3680C97B" w14:textId="77777777" w:rsidR="006A7B58" w:rsidRPr="00A45CE5" w:rsidRDefault="006A7B58" w:rsidP="006A7B58">
      <w:pPr>
        <w:spacing w:line="252" w:lineRule="auto"/>
        <w:rPr>
          <w:rFonts w:asciiTheme="minorHAnsi" w:hAnsiTheme="minorHAnsi" w:cstheme="minorHAnsi"/>
          <w:color w:val="000000" w:themeColor="text1"/>
          <w:sz w:val="22"/>
          <w:szCs w:val="22"/>
        </w:rPr>
      </w:pPr>
    </w:p>
    <w:p w14:paraId="05BE4057" w14:textId="77777777" w:rsidR="006A7B58" w:rsidRPr="00A45CE5" w:rsidRDefault="006A7B58" w:rsidP="006A7B58">
      <w:pPr>
        <w:numPr>
          <w:ilvl w:val="0"/>
          <w:numId w:val="13"/>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14, Westfield Avenue, Stratford, London E20 1HZ</w:t>
      </w:r>
    </w:p>
    <w:p w14:paraId="6EB6F61C" w14:textId="77777777" w:rsidR="006A7B58" w:rsidRPr="00A45CE5" w:rsidRDefault="006A7B58" w:rsidP="006A7B58">
      <w:pPr>
        <w:numPr>
          <w:ilvl w:val="0"/>
          <w:numId w:val="13"/>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Westfield Avenue, Stratford, London E20</w:t>
      </w:r>
    </w:p>
    <w:p w14:paraId="7C0C8C53" w14:textId="77777777" w:rsidR="006A7B58" w:rsidRPr="00A45CE5" w:rsidRDefault="006A7B58" w:rsidP="006A7B58">
      <w:pPr>
        <w:numPr>
          <w:ilvl w:val="0"/>
          <w:numId w:val="13"/>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14, Westfield Avenue, Stratford</w:t>
      </w:r>
    </w:p>
    <w:p w14:paraId="08704B9C" w14:textId="77777777" w:rsidR="006A7B58" w:rsidRPr="00A45CE5" w:rsidRDefault="006A7B58" w:rsidP="006A7B58">
      <w:pPr>
        <w:numPr>
          <w:ilvl w:val="0"/>
          <w:numId w:val="13"/>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Westfield Avenue, Stratford</w:t>
      </w:r>
    </w:p>
    <w:p w14:paraId="57115219" w14:textId="77777777" w:rsidR="006A7B58" w:rsidRPr="00A45CE5" w:rsidRDefault="006A7B58" w:rsidP="006A7B58">
      <w:pPr>
        <w:numPr>
          <w:ilvl w:val="0"/>
          <w:numId w:val="13"/>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Your offices in Stratford</w:t>
      </w:r>
    </w:p>
    <w:p w14:paraId="4E876C49" w14:textId="77777777" w:rsidR="006A7B58" w:rsidRPr="00A45CE5" w:rsidRDefault="006A7B58" w:rsidP="006A7B58">
      <w:pPr>
        <w:spacing w:line="252" w:lineRule="auto"/>
        <w:rPr>
          <w:rFonts w:asciiTheme="minorHAnsi" w:hAnsiTheme="minorHAnsi" w:cstheme="minorHAnsi"/>
          <w:color w:val="000000" w:themeColor="text1"/>
          <w:sz w:val="22"/>
          <w:szCs w:val="22"/>
        </w:rPr>
      </w:pPr>
    </w:p>
    <w:p w14:paraId="3C52193E"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As per answer to question 1 the level of detail provided should allow HMRC, to determine, with the provision of any other documentation, to verify the supply, the correct liability of the supply made. </w:t>
      </w:r>
      <w:proofErr w:type="gramStart"/>
      <w:r w:rsidRPr="00A45CE5">
        <w:rPr>
          <w:rFonts w:asciiTheme="minorHAnsi" w:hAnsiTheme="minorHAnsi" w:cstheme="minorHAnsi"/>
          <w:color w:val="000000" w:themeColor="text1"/>
          <w:sz w:val="22"/>
          <w:szCs w:val="22"/>
        </w:rPr>
        <w:t>So</w:t>
      </w:r>
      <w:proofErr w:type="gramEnd"/>
      <w:r w:rsidRPr="00A45CE5">
        <w:rPr>
          <w:rFonts w:asciiTheme="minorHAnsi" w:hAnsiTheme="minorHAnsi" w:cstheme="minorHAnsi"/>
          <w:color w:val="000000" w:themeColor="text1"/>
          <w:sz w:val="22"/>
          <w:szCs w:val="22"/>
        </w:rPr>
        <w:t xml:space="preserve"> if the location/and address of a building is necessary to determine that, then that would be advisable to be prominent within the invoice issued.</w:t>
      </w:r>
    </w:p>
    <w:p w14:paraId="349F2881"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
    <w:p w14:paraId="58E1B38E"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In </w:t>
      </w:r>
      <w:proofErr w:type="spellStart"/>
      <w:r w:rsidRPr="00A45CE5">
        <w:rPr>
          <w:rFonts w:asciiTheme="minorHAnsi" w:hAnsiTheme="minorHAnsi" w:cstheme="minorHAnsi"/>
          <w:color w:val="000000" w:themeColor="text1"/>
          <w:sz w:val="22"/>
          <w:szCs w:val="22"/>
        </w:rPr>
        <w:t>Deadoc</w:t>
      </w:r>
      <w:proofErr w:type="spellEnd"/>
      <w:r w:rsidRPr="00A45CE5">
        <w:rPr>
          <w:rFonts w:asciiTheme="minorHAnsi" w:hAnsiTheme="minorHAnsi" w:cstheme="minorHAnsi"/>
          <w:color w:val="000000" w:themeColor="text1"/>
          <w:sz w:val="22"/>
          <w:szCs w:val="22"/>
        </w:rPr>
        <w:t xml:space="preserve"> Construction Ltd TC (2015) 04610, the Judge comments that “Part of the purpose of Reg 14 is to ensure that invoices contain sufficient information to enable an independent observer (typically HMRC) to be satisfied as to the identification and quantification of the goods or services supplied”.  </w:t>
      </w:r>
    </w:p>
    <w:p w14:paraId="65B22E7E"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
    <w:p w14:paraId="7FAE84CA"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HMRC would see the identification of goods/services from a compliance perspective to include a possible site visit to premises to verify any work that has been invoiced, so an identifiable address for work being completed is important.</w:t>
      </w:r>
    </w:p>
    <w:p w14:paraId="65294499"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
    <w:p w14:paraId="7B398E4D" w14:textId="77777777" w:rsidR="006A7B58" w:rsidRPr="00A45CE5" w:rsidRDefault="006A7B58" w:rsidP="006A7B58">
      <w:pPr>
        <w:numPr>
          <w:ilvl w:val="0"/>
          <w:numId w:val="11"/>
        </w:numPr>
        <w:spacing w:line="252" w:lineRule="auto"/>
        <w:contextualSpacing/>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Which of the following would HMRC regard as ‘a description sufficient to identify the goods or services supplied’? Where relevant, would it make a difference if the part of the building, eg the first floor, or the bathrooms, was specified?</w:t>
      </w:r>
    </w:p>
    <w:p w14:paraId="6A150F50" w14:textId="77777777" w:rsidR="006A7B58" w:rsidRPr="00A45CE5" w:rsidRDefault="006A7B58" w:rsidP="006A7B58">
      <w:pPr>
        <w:spacing w:line="252" w:lineRule="auto"/>
        <w:rPr>
          <w:rFonts w:asciiTheme="minorHAnsi" w:hAnsiTheme="minorHAnsi" w:cstheme="minorHAnsi"/>
          <w:color w:val="000000" w:themeColor="text1"/>
          <w:sz w:val="22"/>
          <w:szCs w:val="22"/>
        </w:rPr>
      </w:pPr>
    </w:p>
    <w:p w14:paraId="44F96D45"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Building work</w:t>
      </w:r>
    </w:p>
    <w:p w14:paraId="2FE1B78D"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Refurbishment</w:t>
      </w:r>
    </w:p>
    <w:p w14:paraId="014B5AA4"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Conversion work</w:t>
      </w:r>
    </w:p>
    <w:p w14:paraId="42E104D1"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Conversion of offices to four flats</w:t>
      </w:r>
    </w:p>
    <w:p w14:paraId="4D82AB74"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lastRenderedPageBreak/>
        <w:t>Demolition and site clearance</w:t>
      </w:r>
    </w:p>
    <w:p w14:paraId="28F86B2A"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Landscaping works, provision of access and fencing</w:t>
      </w:r>
    </w:p>
    <w:p w14:paraId="5D3404EB"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Electrical work</w:t>
      </w:r>
    </w:p>
    <w:p w14:paraId="2FADA355"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Installation of electrical sockets and light switches</w:t>
      </w:r>
    </w:p>
    <w:p w14:paraId="335FC64D"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 xml:space="preserve">Installation of one XYZ type 3 </w:t>
      </w:r>
      <w:proofErr w:type="gramStart"/>
      <w:r w:rsidRPr="00A45CE5">
        <w:rPr>
          <w:rFonts w:asciiTheme="minorHAnsi" w:eastAsia="Times New Roman" w:hAnsiTheme="minorHAnsi" w:cstheme="minorHAnsi"/>
          <w:color w:val="000000" w:themeColor="text1"/>
          <w:sz w:val="22"/>
          <w:szCs w:val="22"/>
        </w:rPr>
        <w:t>boiler</w:t>
      </w:r>
      <w:proofErr w:type="gramEnd"/>
    </w:p>
    <w:p w14:paraId="7C474A51"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 xml:space="preserve">Installation of one XYZ type </w:t>
      </w:r>
      <w:proofErr w:type="gramStart"/>
      <w:r w:rsidRPr="00A45CE5">
        <w:rPr>
          <w:rFonts w:asciiTheme="minorHAnsi" w:eastAsia="Times New Roman" w:hAnsiTheme="minorHAnsi" w:cstheme="minorHAnsi"/>
          <w:color w:val="000000" w:themeColor="text1"/>
          <w:sz w:val="22"/>
          <w:szCs w:val="22"/>
        </w:rPr>
        <w:t>3</w:t>
      </w:r>
      <w:proofErr w:type="gramEnd"/>
    </w:p>
    <w:p w14:paraId="55FAF72A" w14:textId="77777777" w:rsidR="006A7B58" w:rsidRPr="00A45CE5" w:rsidRDefault="006A7B58" w:rsidP="006A7B58">
      <w:pPr>
        <w:numPr>
          <w:ilvl w:val="0"/>
          <w:numId w:val="14"/>
        </w:numPr>
        <w:spacing w:line="252" w:lineRule="auto"/>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 xml:space="preserve">Fire safety </w:t>
      </w:r>
      <w:proofErr w:type="gramStart"/>
      <w:r w:rsidRPr="00A45CE5">
        <w:rPr>
          <w:rFonts w:asciiTheme="minorHAnsi" w:eastAsia="Times New Roman" w:hAnsiTheme="minorHAnsi" w:cstheme="minorHAnsi"/>
          <w:color w:val="000000" w:themeColor="text1"/>
          <w:sz w:val="22"/>
          <w:szCs w:val="22"/>
        </w:rPr>
        <w:t>works</w:t>
      </w:r>
      <w:proofErr w:type="gramEnd"/>
    </w:p>
    <w:p w14:paraId="17E8FC46" w14:textId="77777777" w:rsidR="006A7B58" w:rsidRPr="00A45CE5" w:rsidRDefault="006A7B58" w:rsidP="006A7B58">
      <w:pPr>
        <w:spacing w:line="252" w:lineRule="auto"/>
        <w:rPr>
          <w:rFonts w:asciiTheme="minorHAnsi" w:hAnsiTheme="minorHAnsi" w:cstheme="minorHAnsi"/>
          <w:color w:val="000000" w:themeColor="text1"/>
          <w:sz w:val="22"/>
          <w:szCs w:val="22"/>
        </w:rPr>
      </w:pPr>
    </w:p>
    <w:p w14:paraId="6022C020"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As referenced in earlier responses, the details provided on the invoice for each different type of supply should be sufficient for HMRC to verify that the supply has been charged at the correct rate of VAT. Technical detail of the supply is not immediately required, although could be requested by HMRC officers </w:t>
      </w:r>
      <w:bookmarkStart w:id="6" w:name="_Int_IlD97mde"/>
      <w:proofErr w:type="gramStart"/>
      <w:r w:rsidRPr="00A45CE5">
        <w:rPr>
          <w:rFonts w:asciiTheme="minorHAnsi" w:hAnsiTheme="minorHAnsi" w:cstheme="minorHAnsi"/>
          <w:color w:val="000000" w:themeColor="text1"/>
          <w:sz w:val="22"/>
          <w:szCs w:val="22"/>
        </w:rPr>
        <w:t>at a later date</w:t>
      </w:r>
      <w:bookmarkEnd w:id="6"/>
      <w:proofErr w:type="gramEnd"/>
      <w:r w:rsidRPr="00A45CE5">
        <w:rPr>
          <w:rFonts w:asciiTheme="minorHAnsi" w:hAnsiTheme="minorHAnsi" w:cstheme="minorHAnsi"/>
          <w:color w:val="000000" w:themeColor="text1"/>
          <w:sz w:val="22"/>
          <w:szCs w:val="22"/>
        </w:rPr>
        <w:t xml:space="preserve"> if needed.   </w:t>
      </w:r>
    </w:p>
    <w:p w14:paraId="30317C65"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
    <w:p w14:paraId="757DF053"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roofErr w:type="gramStart"/>
      <w:r w:rsidRPr="00A45CE5">
        <w:rPr>
          <w:rFonts w:asciiTheme="minorHAnsi" w:hAnsiTheme="minorHAnsi" w:cstheme="minorHAnsi"/>
          <w:color w:val="000000" w:themeColor="text1"/>
          <w:sz w:val="22"/>
          <w:szCs w:val="22"/>
        </w:rPr>
        <w:t>So</w:t>
      </w:r>
      <w:proofErr w:type="gramEnd"/>
      <w:r w:rsidRPr="00A45CE5">
        <w:rPr>
          <w:rFonts w:asciiTheme="minorHAnsi" w:hAnsiTheme="minorHAnsi" w:cstheme="minorHAnsi"/>
          <w:color w:val="000000" w:themeColor="text1"/>
          <w:sz w:val="22"/>
          <w:szCs w:val="22"/>
        </w:rPr>
        <w:t xml:space="preserve"> using a supply of a biscuit as an example. The word biscuit would not solely allow HMRC to verify whether the sale of that biscuit was made at the correct VAT rate. It would need to include further identifiers to allow HMRC to verify whether the correct VAT rate had been applied (e.g. plain, chocolate covered etc.).    </w:t>
      </w:r>
    </w:p>
    <w:p w14:paraId="7B79A4D9"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
    <w:p w14:paraId="04B60D0D"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Using one of the bullet points in your question, if conversion work was to a building which resulted in a particular rate of VAT being charged, then HMRC would expect the invoice to demonstrate and assure that VAT rate accordingly.</w:t>
      </w:r>
    </w:p>
    <w:p w14:paraId="571F54B5" w14:textId="77777777" w:rsidR="006A7B58" w:rsidRPr="00A45CE5" w:rsidRDefault="006A7B58" w:rsidP="006A7B58">
      <w:pPr>
        <w:spacing w:line="252" w:lineRule="auto"/>
        <w:ind w:left="720"/>
        <w:rPr>
          <w:rFonts w:asciiTheme="minorHAnsi" w:hAnsiTheme="minorHAnsi" w:cstheme="minorHAnsi"/>
          <w:color w:val="000000" w:themeColor="text1"/>
          <w:sz w:val="22"/>
          <w:szCs w:val="22"/>
        </w:rPr>
      </w:pPr>
    </w:p>
    <w:p w14:paraId="68018B4D" w14:textId="77777777" w:rsidR="006A7B58" w:rsidRPr="00A45CE5" w:rsidRDefault="006A7B58" w:rsidP="006A7B58">
      <w:pPr>
        <w:spacing w:line="252" w:lineRule="auto"/>
        <w:ind w:left="720"/>
        <w:rPr>
          <w:rFonts w:asciiTheme="minorHAnsi" w:eastAsia="Verdana" w:hAnsiTheme="minorHAnsi" w:cstheme="minorHAnsi"/>
          <w:color w:val="000000" w:themeColor="text1"/>
          <w:sz w:val="22"/>
          <w:szCs w:val="22"/>
        </w:rPr>
      </w:pPr>
    </w:p>
    <w:p w14:paraId="1E4A0A3A" w14:textId="77777777" w:rsidR="006A7B58" w:rsidRPr="00A45CE5" w:rsidRDefault="006A7B58" w:rsidP="006A7B58">
      <w:pPr>
        <w:numPr>
          <w:ilvl w:val="0"/>
          <w:numId w:val="11"/>
        </w:numPr>
        <w:spacing w:line="252" w:lineRule="auto"/>
        <w:contextualSpacing/>
        <w:rPr>
          <w:rFonts w:asciiTheme="minorHAnsi" w:eastAsia="Times New Roman" w:hAnsiTheme="minorHAnsi" w:cstheme="minorHAnsi"/>
          <w:color w:val="000000" w:themeColor="text1"/>
          <w:sz w:val="22"/>
          <w:szCs w:val="22"/>
        </w:rPr>
      </w:pPr>
      <w:r w:rsidRPr="00A45CE5">
        <w:rPr>
          <w:rFonts w:asciiTheme="minorHAnsi" w:eastAsia="Times New Roman" w:hAnsiTheme="minorHAnsi" w:cstheme="minorHAnsi"/>
          <w:color w:val="000000" w:themeColor="text1"/>
          <w:sz w:val="22"/>
          <w:szCs w:val="22"/>
        </w:rPr>
        <w:t>VAT Notice 700 para 16.7 gives an example of a VAT invoice for goods. Can HMRC please provide some examples of wording for building work, which they would regard as ‘a description sufficient to identify the goods or services supplied’? Would HMRC consider including these in guidance?</w:t>
      </w:r>
    </w:p>
    <w:p w14:paraId="19771336" w14:textId="77777777" w:rsidR="006A7B58" w:rsidRPr="00A45CE5" w:rsidRDefault="006A7B58" w:rsidP="006A7B58">
      <w:pPr>
        <w:spacing w:line="252" w:lineRule="auto"/>
        <w:rPr>
          <w:rFonts w:asciiTheme="minorHAnsi" w:hAnsiTheme="minorHAnsi" w:cstheme="minorHAnsi"/>
          <w:color w:val="000000" w:themeColor="text1"/>
          <w:sz w:val="22"/>
          <w:szCs w:val="22"/>
        </w:rPr>
      </w:pPr>
    </w:p>
    <w:p w14:paraId="42DDF714" w14:textId="0828C4AE" w:rsidR="00EA6982" w:rsidRPr="00A45CE5" w:rsidRDefault="006A7B58" w:rsidP="006A7B58">
      <w:pPr>
        <w:rPr>
          <w:rFonts w:asciiTheme="minorHAnsi" w:hAnsiTheme="minorHAnsi" w:cstheme="minorHAnsi"/>
          <w:b/>
          <w:bCs/>
          <w:color w:val="000000" w:themeColor="text1"/>
          <w:sz w:val="22"/>
          <w:szCs w:val="22"/>
        </w:rPr>
      </w:pPr>
      <w:r w:rsidRPr="00A45CE5">
        <w:rPr>
          <w:rFonts w:asciiTheme="minorHAnsi" w:hAnsiTheme="minorHAnsi" w:cstheme="minorHAnsi"/>
          <w:color w:val="000000" w:themeColor="text1"/>
          <w:sz w:val="22"/>
          <w:szCs w:val="22"/>
        </w:rPr>
        <w:t>We would suggest that following the response above, wording should allow HMRC to verify that the correct liability of the supply has been determined. HMRC cannot be prescriptive and list wording that would cover all sce</w:t>
      </w:r>
      <w:r w:rsidRPr="00A45CE5">
        <w:rPr>
          <w:rFonts w:asciiTheme="minorHAnsi" w:eastAsia="Verdana" w:hAnsiTheme="minorHAnsi" w:cstheme="minorHAnsi"/>
          <w:color w:val="000000" w:themeColor="text1"/>
          <w:sz w:val="22"/>
          <w:szCs w:val="22"/>
        </w:rPr>
        <w:t>narios in enough detail to include in any VAT guidance.</w:t>
      </w:r>
    </w:p>
    <w:p w14:paraId="5428EBA4" w14:textId="77777777" w:rsidR="00EA6982" w:rsidRPr="00A45CE5" w:rsidRDefault="00EA6982" w:rsidP="005A0789">
      <w:pPr>
        <w:rPr>
          <w:rFonts w:asciiTheme="minorHAnsi" w:hAnsiTheme="minorHAnsi" w:cstheme="minorHAnsi"/>
          <w:b/>
          <w:bCs/>
          <w:color w:val="000000" w:themeColor="text1"/>
          <w:sz w:val="22"/>
          <w:szCs w:val="22"/>
        </w:rPr>
      </w:pPr>
    </w:p>
    <w:p w14:paraId="13269F6F" w14:textId="4F503C5F" w:rsidR="005A0789" w:rsidRPr="00A45CE5" w:rsidRDefault="00C22F2A" w:rsidP="005A0789">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Annex </w:t>
      </w:r>
      <w:r w:rsidR="00EA6982" w:rsidRPr="00A45CE5">
        <w:rPr>
          <w:rFonts w:asciiTheme="minorHAnsi" w:hAnsiTheme="minorHAnsi" w:cstheme="minorHAnsi"/>
          <w:b/>
          <w:bCs/>
          <w:color w:val="000000" w:themeColor="text1"/>
          <w:sz w:val="22"/>
          <w:szCs w:val="22"/>
        </w:rPr>
        <w:t>3</w:t>
      </w:r>
      <w:r w:rsidRPr="00A45CE5">
        <w:rPr>
          <w:rFonts w:asciiTheme="minorHAnsi" w:hAnsiTheme="minorHAnsi" w:cstheme="minorHAnsi"/>
          <w:b/>
          <w:bCs/>
          <w:color w:val="000000" w:themeColor="text1"/>
          <w:sz w:val="22"/>
          <w:szCs w:val="22"/>
        </w:rPr>
        <w:t xml:space="preserve"> – HMRC Reply to Sonder 1</w:t>
      </w:r>
    </w:p>
    <w:p w14:paraId="6DA62D93" w14:textId="77777777" w:rsidR="00C22F2A" w:rsidRPr="00A45CE5" w:rsidRDefault="00C22F2A" w:rsidP="005A0789">
      <w:pPr>
        <w:rPr>
          <w:rFonts w:asciiTheme="minorHAnsi" w:hAnsiTheme="minorHAnsi" w:cstheme="minorHAnsi"/>
          <w:color w:val="000000" w:themeColor="text1"/>
          <w:sz w:val="22"/>
          <w:szCs w:val="22"/>
        </w:rPr>
      </w:pPr>
    </w:p>
    <w:p w14:paraId="6E3DC9EA" w14:textId="77777777" w:rsidR="00C22F2A" w:rsidRPr="00A45CE5" w:rsidRDefault="00C22F2A" w:rsidP="00C22F2A">
      <w:pPr>
        <w:rPr>
          <w:rFonts w:asciiTheme="minorHAnsi" w:hAnsiTheme="minorHAnsi" w:cstheme="minorHAnsi"/>
          <w:bCs/>
          <w:color w:val="000000" w:themeColor="text1"/>
          <w:sz w:val="22"/>
          <w:szCs w:val="22"/>
          <w:lang w:val="fr-FR"/>
        </w:rPr>
      </w:pPr>
      <w:proofErr w:type="spellStart"/>
      <w:proofErr w:type="gramStart"/>
      <w:r w:rsidRPr="00A45CE5">
        <w:rPr>
          <w:rFonts w:asciiTheme="minorHAnsi" w:hAnsiTheme="minorHAnsi" w:cstheme="minorHAnsi"/>
          <w:b/>
          <w:color w:val="000000" w:themeColor="text1"/>
          <w:sz w:val="22"/>
          <w:szCs w:val="22"/>
          <w:lang w:val="fr-FR"/>
        </w:rPr>
        <w:t>Subject</w:t>
      </w:r>
      <w:proofErr w:type="spellEnd"/>
      <w:r w:rsidRPr="00A45CE5">
        <w:rPr>
          <w:rFonts w:asciiTheme="minorHAnsi" w:hAnsiTheme="minorHAnsi" w:cstheme="minorHAnsi"/>
          <w:b/>
          <w:color w:val="000000" w:themeColor="text1"/>
          <w:sz w:val="22"/>
          <w:szCs w:val="22"/>
          <w:lang w:val="fr-FR"/>
        </w:rPr>
        <w:t>:</w:t>
      </w:r>
      <w:proofErr w:type="gramEnd"/>
      <w:r w:rsidRPr="00A45CE5">
        <w:rPr>
          <w:rFonts w:asciiTheme="minorHAnsi" w:hAnsiTheme="minorHAnsi" w:cstheme="minorHAnsi"/>
          <w:b/>
          <w:color w:val="000000" w:themeColor="text1"/>
          <w:sz w:val="22"/>
          <w:szCs w:val="22"/>
          <w:lang w:val="fr-FR"/>
        </w:rPr>
        <w:t xml:space="preserve"> </w:t>
      </w:r>
      <w:r w:rsidRPr="00A45CE5">
        <w:rPr>
          <w:rFonts w:asciiTheme="minorHAnsi" w:hAnsiTheme="minorHAnsi" w:cstheme="minorHAnsi"/>
          <w:bCs/>
          <w:color w:val="000000" w:themeColor="text1"/>
          <w:sz w:val="22"/>
          <w:szCs w:val="22"/>
          <w:lang w:val="fr-FR"/>
        </w:rPr>
        <w:t xml:space="preserve">Sonder Europe Ltd </w:t>
      </w:r>
      <w:hyperlink r:id="rId12" w:history="1">
        <w:r w:rsidRPr="00A45CE5">
          <w:rPr>
            <w:rStyle w:val="Hyperlink"/>
            <w:rFonts w:asciiTheme="minorHAnsi" w:hAnsiTheme="minorHAnsi" w:cstheme="minorHAnsi"/>
            <w:bCs/>
            <w:color w:val="000000" w:themeColor="text1"/>
            <w:sz w:val="22"/>
            <w:szCs w:val="22"/>
            <w:lang w:val="fr-FR"/>
          </w:rPr>
          <w:t>https://www.bailii.org/uk/cases/UKFTT/TC/2023/TC08852.pdf</w:t>
        </w:r>
      </w:hyperlink>
    </w:p>
    <w:p w14:paraId="402710E1"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Representative body: </w:t>
      </w:r>
      <w:r w:rsidRPr="00A45CE5">
        <w:rPr>
          <w:rFonts w:asciiTheme="minorHAnsi" w:hAnsiTheme="minorHAnsi" w:cstheme="minorHAnsi"/>
          <w:bCs/>
          <w:color w:val="000000" w:themeColor="text1"/>
          <w:sz w:val="22"/>
          <w:szCs w:val="22"/>
        </w:rPr>
        <w:t>BPF</w:t>
      </w:r>
    </w:p>
    <w:p w14:paraId="0B2BCFA3"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Representative(s): </w:t>
      </w:r>
      <w:r w:rsidRPr="00A45CE5">
        <w:rPr>
          <w:rFonts w:asciiTheme="minorHAnsi" w:hAnsiTheme="minorHAnsi" w:cstheme="minorHAnsi"/>
          <w:bCs/>
          <w:color w:val="000000" w:themeColor="text1"/>
          <w:sz w:val="22"/>
          <w:szCs w:val="22"/>
        </w:rPr>
        <w:t>Martin Scammell</w:t>
      </w:r>
    </w:p>
    <w:p w14:paraId="0AA4C791"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LPLG priority level: </w:t>
      </w:r>
      <w:r w:rsidRPr="00A45CE5">
        <w:rPr>
          <w:rFonts w:asciiTheme="minorHAnsi" w:hAnsiTheme="minorHAnsi" w:cstheme="minorHAnsi"/>
          <w:bCs/>
          <w:color w:val="000000" w:themeColor="text1"/>
          <w:sz w:val="22"/>
          <w:szCs w:val="22"/>
        </w:rPr>
        <w:t xml:space="preserve">HMRC must know the answers to at least some of the questions below, </w:t>
      </w:r>
      <w:proofErr w:type="gramStart"/>
      <w:r w:rsidRPr="00A45CE5">
        <w:rPr>
          <w:rFonts w:asciiTheme="minorHAnsi" w:hAnsiTheme="minorHAnsi" w:cstheme="minorHAnsi"/>
          <w:bCs/>
          <w:color w:val="000000" w:themeColor="text1"/>
          <w:sz w:val="22"/>
          <w:szCs w:val="22"/>
        </w:rPr>
        <w:t>in particular 1</w:t>
      </w:r>
      <w:proofErr w:type="gramEnd"/>
      <w:r w:rsidRPr="00A45CE5">
        <w:rPr>
          <w:rFonts w:asciiTheme="minorHAnsi" w:hAnsiTheme="minorHAnsi" w:cstheme="minorHAnsi"/>
          <w:bCs/>
          <w:color w:val="000000" w:themeColor="text1"/>
          <w:sz w:val="22"/>
          <w:szCs w:val="22"/>
        </w:rPr>
        <w:t>, so there is no reason why these can’t be provided at the October meeting. To any extent that they do not know, they are of course welcome to consider them over the next few months, and to respond at or before the next meeting.</w:t>
      </w:r>
    </w:p>
    <w:p w14:paraId="6E88CE0E" w14:textId="77777777" w:rsidR="00C22F2A" w:rsidRPr="00A45CE5" w:rsidRDefault="00C22F2A" w:rsidP="00C22F2A">
      <w:pPr>
        <w:rPr>
          <w:rFonts w:asciiTheme="minorHAnsi" w:hAnsiTheme="minorHAnsi" w:cstheme="minorHAnsi"/>
          <w:bCs/>
          <w:color w:val="000000" w:themeColor="text1"/>
          <w:sz w:val="22"/>
          <w:szCs w:val="22"/>
        </w:rPr>
      </w:pPr>
    </w:p>
    <w:p w14:paraId="1155DAC3" w14:textId="77777777" w:rsidR="00C22F2A" w:rsidRPr="00A45CE5" w:rsidRDefault="00C22F2A" w:rsidP="00C22F2A">
      <w:pPr>
        <w:rPr>
          <w:rFonts w:asciiTheme="minorHAnsi" w:hAnsiTheme="minorHAnsi" w:cstheme="minorHAnsi"/>
          <w:b/>
          <w:color w:val="000000" w:themeColor="text1"/>
          <w:sz w:val="22"/>
          <w:szCs w:val="22"/>
        </w:rPr>
      </w:pPr>
      <w:r w:rsidRPr="00A45CE5">
        <w:rPr>
          <w:rFonts w:asciiTheme="minorHAnsi" w:hAnsiTheme="minorHAnsi" w:cstheme="minorHAnsi"/>
          <w:b/>
          <w:color w:val="000000" w:themeColor="text1"/>
          <w:sz w:val="22"/>
          <w:szCs w:val="22"/>
        </w:rPr>
        <w:t xml:space="preserve">Description of the supply: </w:t>
      </w:r>
    </w:p>
    <w:p w14:paraId="25B61F11" w14:textId="77777777" w:rsidR="00C22F2A" w:rsidRPr="00A45CE5" w:rsidRDefault="00C22F2A" w:rsidP="00C22F2A">
      <w:pPr>
        <w:rPr>
          <w:rFonts w:asciiTheme="minorHAnsi" w:hAnsiTheme="minorHAnsi" w:cstheme="minorHAnsi"/>
          <w:b/>
          <w:color w:val="000000" w:themeColor="text1"/>
          <w:sz w:val="22"/>
          <w:szCs w:val="22"/>
        </w:rPr>
      </w:pPr>
    </w:p>
    <w:p w14:paraId="56D299CE"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i/>
          <w:iCs/>
          <w:color w:val="000000" w:themeColor="text1"/>
          <w:sz w:val="22"/>
          <w:szCs w:val="22"/>
        </w:rPr>
        <w:t>What type of taxpayer is affected?</w:t>
      </w:r>
      <w:r w:rsidRPr="00A45CE5">
        <w:rPr>
          <w:rFonts w:asciiTheme="minorHAnsi" w:hAnsiTheme="minorHAnsi" w:cstheme="minorHAnsi"/>
          <w:bCs/>
          <w:color w:val="000000" w:themeColor="text1"/>
          <w:sz w:val="22"/>
          <w:szCs w:val="22"/>
        </w:rPr>
        <w:t xml:space="preserve"> </w:t>
      </w:r>
    </w:p>
    <w:p w14:paraId="44293D36"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Providers of short-term accommodation who rent it from the owners.</w:t>
      </w:r>
    </w:p>
    <w:p w14:paraId="7D1E0F83" w14:textId="77777777" w:rsidR="00C22F2A" w:rsidRPr="00A45CE5" w:rsidRDefault="00C22F2A" w:rsidP="00C22F2A">
      <w:pPr>
        <w:rPr>
          <w:rFonts w:asciiTheme="minorHAnsi" w:hAnsiTheme="minorHAnsi" w:cstheme="minorHAnsi"/>
          <w:b/>
          <w:color w:val="000000" w:themeColor="text1"/>
          <w:sz w:val="22"/>
          <w:szCs w:val="22"/>
        </w:rPr>
      </w:pPr>
      <w:r w:rsidRPr="00A45CE5">
        <w:rPr>
          <w:rFonts w:asciiTheme="minorHAnsi" w:hAnsiTheme="minorHAnsi" w:cstheme="minorHAnsi"/>
          <w:bCs/>
          <w:color w:val="000000" w:themeColor="text1"/>
          <w:sz w:val="22"/>
          <w:szCs w:val="22"/>
        </w:rPr>
        <w:t xml:space="preserve"> </w:t>
      </w:r>
    </w:p>
    <w:p w14:paraId="05461F10"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i/>
          <w:iCs/>
          <w:color w:val="000000" w:themeColor="text1"/>
          <w:sz w:val="22"/>
          <w:szCs w:val="22"/>
        </w:rPr>
        <w:t>What type of supply is being made?</w:t>
      </w:r>
      <w:r w:rsidRPr="00A45CE5">
        <w:rPr>
          <w:rFonts w:asciiTheme="minorHAnsi" w:hAnsiTheme="minorHAnsi" w:cstheme="minorHAnsi"/>
          <w:bCs/>
          <w:color w:val="000000" w:themeColor="text1"/>
          <w:sz w:val="22"/>
          <w:szCs w:val="22"/>
        </w:rPr>
        <w:t xml:space="preserve"> </w:t>
      </w:r>
    </w:p>
    <w:p w14:paraId="35586A48"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 xml:space="preserve">Letting of short-term accommodation, ordinarily likely to be seen as taxable as holiday accommodation or as accommodation in a hotel, inn, boarding </w:t>
      </w:r>
      <w:proofErr w:type="gramStart"/>
      <w:r w:rsidRPr="00A45CE5">
        <w:rPr>
          <w:rFonts w:asciiTheme="minorHAnsi" w:hAnsiTheme="minorHAnsi" w:cstheme="minorHAnsi"/>
          <w:bCs/>
          <w:color w:val="000000" w:themeColor="text1"/>
          <w:sz w:val="22"/>
          <w:szCs w:val="22"/>
        </w:rPr>
        <w:t>house</w:t>
      </w:r>
      <w:proofErr w:type="gramEnd"/>
      <w:r w:rsidRPr="00A45CE5">
        <w:rPr>
          <w:rFonts w:asciiTheme="minorHAnsi" w:hAnsiTheme="minorHAnsi" w:cstheme="minorHAnsi"/>
          <w:bCs/>
          <w:color w:val="000000" w:themeColor="text1"/>
          <w:sz w:val="22"/>
          <w:szCs w:val="22"/>
        </w:rPr>
        <w:t xml:space="preserve"> or similar establishment.</w:t>
      </w:r>
    </w:p>
    <w:p w14:paraId="1BF2277F" w14:textId="77777777" w:rsidR="00C22F2A" w:rsidRPr="00A45CE5" w:rsidRDefault="00C22F2A" w:rsidP="00C22F2A">
      <w:pPr>
        <w:rPr>
          <w:rFonts w:asciiTheme="minorHAnsi" w:hAnsiTheme="minorHAnsi" w:cstheme="minorHAnsi"/>
          <w:bCs/>
          <w:color w:val="000000" w:themeColor="text1"/>
          <w:sz w:val="22"/>
          <w:szCs w:val="22"/>
        </w:rPr>
      </w:pPr>
    </w:p>
    <w:p w14:paraId="33E1F6B9" w14:textId="77777777" w:rsidR="00C22F2A" w:rsidRPr="00A45CE5" w:rsidRDefault="00C22F2A" w:rsidP="00C22F2A">
      <w:pPr>
        <w:rPr>
          <w:rFonts w:asciiTheme="minorHAnsi" w:hAnsiTheme="minorHAnsi" w:cstheme="minorHAnsi"/>
          <w:bCs/>
          <w:i/>
          <w:iCs/>
          <w:color w:val="000000" w:themeColor="text1"/>
          <w:sz w:val="22"/>
          <w:szCs w:val="22"/>
        </w:rPr>
      </w:pPr>
      <w:r w:rsidRPr="00A45CE5">
        <w:rPr>
          <w:rFonts w:asciiTheme="minorHAnsi" w:hAnsiTheme="minorHAnsi" w:cstheme="minorHAnsi"/>
          <w:bCs/>
          <w:i/>
          <w:iCs/>
          <w:color w:val="000000" w:themeColor="text1"/>
          <w:sz w:val="22"/>
          <w:szCs w:val="22"/>
        </w:rPr>
        <w:t xml:space="preserve">Who is making and receiving the supply/payment? </w:t>
      </w:r>
    </w:p>
    <w:p w14:paraId="16BA75A4"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The provider is making the supply to (and receiving payment from) guests or their employers.</w:t>
      </w:r>
    </w:p>
    <w:p w14:paraId="0A3FC044" w14:textId="77777777" w:rsidR="00C22F2A" w:rsidRPr="00A45CE5" w:rsidRDefault="00C22F2A" w:rsidP="00C22F2A">
      <w:pPr>
        <w:rPr>
          <w:rFonts w:asciiTheme="minorHAnsi" w:hAnsiTheme="minorHAnsi" w:cstheme="minorHAnsi"/>
          <w:bCs/>
          <w:color w:val="000000" w:themeColor="text1"/>
          <w:sz w:val="22"/>
          <w:szCs w:val="22"/>
        </w:rPr>
      </w:pPr>
    </w:p>
    <w:p w14:paraId="4ABFA035"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i/>
          <w:iCs/>
          <w:color w:val="000000" w:themeColor="text1"/>
          <w:sz w:val="22"/>
          <w:szCs w:val="22"/>
        </w:rPr>
        <w:t xml:space="preserve">Potential impact? </w:t>
      </w:r>
    </w:p>
    <w:p w14:paraId="12407ECA"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The application of TOMS, in line with the Sonder decision, would increase costs to businesses using serviced flats etc for employees – they would be unable to recover the supplier’s TOMS VAT, and there would be further irrecoverable VAT in the supply chain. TOMS would seem to reduce costs to private travellers, unless the 28-day rule would otherwise apply, but the extent of this would depend on what VAT the supplier incurred. Applied retrospectively, it would mean that affected taxpayers had not been entitled to </w:t>
      </w:r>
      <w:proofErr w:type="gramStart"/>
      <w:r w:rsidRPr="00A45CE5">
        <w:rPr>
          <w:rFonts w:asciiTheme="minorHAnsi" w:hAnsiTheme="minorHAnsi" w:cstheme="minorHAnsi"/>
          <w:color w:val="000000" w:themeColor="text1"/>
          <w:sz w:val="22"/>
          <w:szCs w:val="22"/>
        </w:rPr>
        <w:t>reduced-rating</w:t>
      </w:r>
      <w:proofErr w:type="gramEnd"/>
      <w:r w:rsidRPr="00A45CE5">
        <w:rPr>
          <w:rFonts w:asciiTheme="minorHAnsi" w:hAnsiTheme="minorHAnsi" w:cstheme="minorHAnsi"/>
          <w:color w:val="000000" w:themeColor="text1"/>
          <w:sz w:val="22"/>
          <w:szCs w:val="22"/>
        </w:rPr>
        <w:t xml:space="preserve"> in 2020-22.</w:t>
      </w:r>
    </w:p>
    <w:p w14:paraId="4F4CC5C0" w14:textId="77777777" w:rsidR="00C22F2A" w:rsidRPr="00A45CE5" w:rsidRDefault="00C22F2A" w:rsidP="00C22F2A">
      <w:pPr>
        <w:rPr>
          <w:rFonts w:asciiTheme="minorHAnsi" w:hAnsiTheme="minorHAnsi" w:cstheme="minorHAnsi"/>
          <w:color w:val="000000" w:themeColor="text1"/>
          <w:sz w:val="22"/>
          <w:szCs w:val="22"/>
        </w:rPr>
      </w:pPr>
    </w:p>
    <w:p w14:paraId="4F4B43B2" w14:textId="77777777" w:rsidR="00C22F2A" w:rsidRPr="00A45CE5" w:rsidRDefault="00C22F2A" w:rsidP="00C22F2A">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The question for HMRC: </w:t>
      </w:r>
    </w:p>
    <w:p w14:paraId="1570E18D" w14:textId="77777777" w:rsidR="00C22F2A" w:rsidRPr="00A45CE5" w:rsidRDefault="00C22F2A" w:rsidP="00C22F2A">
      <w:pPr>
        <w:rPr>
          <w:rFonts w:asciiTheme="minorHAnsi" w:hAnsiTheme="minorHAnsi" w:cstheme="minorHAnsi"/>
          <w:b/>
          <w:bCs/>
          <w:color w:val="000000" w:themeColor="text1"/>
          <w:sz w:val="22"/>
          <w:szCs w:val="22"/>
        </w:rPr>
      </w:pPr>
    </w:p>
    <w:p w14:paraId="2689A88E" w14:textId="77777777" w:rsidR="00C22F2A" w:rsidRPr="00A45CE5" w:rsidRDefault="00C22F2A" w:rsidP="00C22F2A">
      <w:pPr>
        <w:pStyle w:val="ListParagraph"/>
        <w:numPr>
          <w:ilvl w:val="0"/>
          <w:numId w:val="6"/>
        </w:numPr>
        <w:spacing w:after="0" w:line="240" w:lineRule="auto"/>
        <w:rPr>
          <w:rFonts w:cstheme="minorHAnsi"/>
          <w:color w:val="000000" w:themeColor="text1"/>
        </w:rPr>
      </w:pPr>
      <w:r w:rsidRPr="00A45CE5">
        <w:rPr>
          <w:rFonts w:cstheme="minorHAnsi"/>
          <w:color w:val="000000" w:themeColor="text1"/>
        </w:rPr>
        <w:t>Do HMRC consider the FTT decision in Sonder to have been correct?</w:t>
      </w:r>
    </w:p>
    <w:p w14:paraId="0A140A42" w14:textId="77777777" w:rsidR="00C22F2A" w:rsidRPr="00A45CE5" w:rsidRDefault="00C22F2A" w:rsidP="00C22F2A">
      <w:pPr>
        <w:rPr>
          <w:rFonts w:asciiTheme="minorHAnsi" w:hAnsiTheme="minorHAnsi" w:cstheme="minorHAnsi"/>
          <w:color w:val="000000" w:themeColor="text1"/>
          <w:sz w:val="22"/>
          <w:szCs w:val="22"/>
        </w:rPr>
      </w:pPr>
    </w:p>
    <w:p w14:paraId="3DDA4212"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Answer - HMRC are appealing the decision. As such questions 2-4 don’t need to be addressed. </w:t>
      </w:r>
    </w:p>
    <w:p w14:paraId="792579F0" w14:textId="77777777" w:rsidR="00C22F2A" w:rsidRPr="00A45CE5" w:rsidRDefault="00C22F2A" w:rsidP="00C22F2A">
      <w:pPr>
        <w:rPr>
          <w:rFonts w:asciiTheme="minorHAnsi" w:hAnsiTheme="minorHAnsi" w:cstheme="minorHAnsi"/>
          <w:color w:val="000000" w:themeColor="text1"/>
          <w:sz w:val="22"/>
          <w:szCs w:val="22"/>
        </w:rPr>
      </w:pPr>
    </w:p>
    <w:p w14:paraId="2DC3DE61" w14:textId="77777777" w:rsidR="00C22F2A" w:rsidRPr="00A45CE5" w:rsidRDefault="00C22F2A" w:rsidP="00C22F2A">
      <w:pPr>
        <w:pStyle w:val="ListParagraph"/>
        <w:numPr>
          <w:ilvl w:val="0"/>
          <w:numId w:val="6"/>
        </w:numPr>
        <w:spacing w:after="0" w:line="240" w:lineRule="auto"/>
        <w:rPr>
          <w:rFonts w:cstheme="minorHAnsi"/>
          <w:color w:val="000000" w:themeColor="text1"/>
        </w:rPr>
      </w:pPr>
      <w:r w:rsidRPr="00A45CE5">
        <w:rPr>
          <w:rFonts w:cstheme="minorHAnsi"/>
          <w:color w:val="000000" w:themeColor="text1"/>
        </w:rPr>
        <w:t>If not, do they simply propose to ignore it, or will they take any action to head off similar arguments? Will they be adding anything to guidance?</w:t>
      </w:r>
    </w:p>
    <w:p w14:paraId="4E37022F" w14:textId="77777777" w:rsidR="00C22F2A" w:rsidRPr="00A45CE5" w:rsidRDefault="00C22F2A" w:rsidP="00C22F2A">
      <w:pPr>
        <w:rPr>
          <w:rFonts w:asciiTheme="minorHAnsi" w:hAnsiTheme="minorHAnsi" w:cstheme="minorHAnsi"/>
          <w:color w:val="000000" w:themeColor="text1"/>
          <w:sz w:val="22"/>
          <w:szCs w:val="22"/>
        </w:rPr>
      </w:pPr>
    </w:p>
    <w:p w14:paraId="2F5BA1D6" w14:textId="77777777" w:rsidR="00C22F2A" w:rsidRPr="00A45CE5" w:rsidRDefault="00C22F2A" w:rsidP="00C22F2A">
      <w:pPr>
        <w:pStyle w:val="ListParagraph"/>
        <w:numPr>
          <w:ilvl w:val="0"/>
          <w:numId w:val="6"/>
        </w:numPr>
        <w:spacing w:after="0" w:line="240" w:lineRule="auto"/>
        <w:rPr>
          <w:rFonts w:cstheme="minorHAnsi"/>
          <w:color w:val="000000" w:themeColor="text1"/>
        </w:rPr>
      </w:pPr>
      <w:r w:rsidRPr="00A45CE5">
        <w:rPr>
          <w:rFonts w:cstheme="minorHAnsi"/>
          <w:color w:val="000000" w:themeColor="text1"/>
        </w:rPr>
        <w:t xml:space="preserve">If HMRC </w:t>
      </w:r>
      <w:r w:rsidRPr="00A45CE5">
        <w:rPr>
          <w:rFonts w:cstheme="minorHAnsi"/>
          <w:i/>
          <w:iCs/>
          <w:color w:val="000000" w:themeColor="text1"/>
        </w:rPr>
        <w:t>do</w:t>
      </w:r>
      <w:r w:rsidRPr="00A45CE5">
        <w:rPr>
          <w:rFonts w:cstheme="minorHAnsi"/>
          <w:color w:val="000000" w:themeColor="text1"/>
        </w:rPr>
        <w:t xml:space="preserve"> think that the decision was correct, do they propose to take any action to limit the scope of TOMS going forward? Will they be commenting in guidance? And where do they see the limits to the decision? Sonder had taken leases of, apparently, several years, had typically furnished the apartments, and sometimes done some minor decoration work. Do HMRC have any views on what changes to these facts would have meant that Sonder was providing the accommodation from its own resources, or was undertaking ‘material alteration or further processing’, such that TOMS would not have applied?</w:t>
      </w:r>
    </w:p>
    <w:p w14:paraId="695C63A2" w14:textId="77777777" w:rsidR="00C22F2A" w:rsidRPr="00A45CE5" w:rsidRDefault="00C22F2A" w:rsidP="00C22F2A">
      <w:pPr>
        <w:rPr>
          <w:rFonts w:asciiTheme="minorHAnsi" w:hAnsiTheme="minorHAnsi" w:cstheme="minorHAnsi"/>
          <w:color w:val="000000" w:themeColor="text1"/>
          <w:sz w:val="22"/>
          <w:szCs w:val="22"/>
        </w:rPr>
      </w:pPr>
    </w:p>
    <w:p w14:paraId="18673657" w14:textId="77777777" w:rsidR="00C22F2A" w:rsidRPr="00A45CE5" w:rsidRDefault="00C22F2A" w:rsidP="00C22F2A">
      <w:pPr>
        <w:pStyle w:val="ListParagraph"/>
        <w:numPr>
          <w:ilvl w:val="0"/>
          <w:numId w:val="6"/>
        </w:numPr>
        <w:spacing w:after="0" w:line="240" w:lineRule="auto"/>
        <w:rPr>
          <w:rFonts w:cstheme="minorHAnsi"/>
          <w:color w:val="000000" w:themeColor="text1"/>
        </w:rPr>
      </w:pPr>
      <w:r w:rsidRPr="00A45CE5">
        <w:rPr>
          <w:rFonts w:cstheme="minorHAnsi"/>
          <w:color w:val="000000" w:themeColor="text1"/>
        </w:rPr>
        <w:t>Sonder was concerned with the legislation prior to Brexit implementation. Is it HMRC’s view that the answers to any of the points above would be different under current legislation?</w:t>
      </w:r>
    </w:p>
    <w:p w14:paraId="4A9C5E14" w14:textId="77777777" w:rsidR="00C22F2A" w:rsidRPr="00A45CE5" w:rsidRDefault="00C22F2A" w:rsidP="00C22F2A">
      <w:pPr>
        <w:rPr>
          <w:rFonts w:asciiTheme="minorHAnsi" w:hAnsiTheme="minorHAnsi" w:cstheme="minorHAnsi"/>
          <w:b/>
          <w:bCs/>
          <w:color w:val="000000" w:themeColor="text1"/>
          <w:sz w:val="22"/>
          <w:szCs w:val="22"/>
        </w:rPr>
      </w:pPr>
    </w:p>
    <w:p w14:paraId="6BD20120" w14:textId="77777777" w:rsidR="00C22F2A" w:rsidRPr="00A45CE5" w:rsidRDefault="00C22F2A" w:rsidP="00C22F2A">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Any other supporting evidence or comments: </w:t>
      </w:r>
    </w:p>
    <w:p w14:paraId="72821CFC" w14:textId="77777777" w:rsidR="00C22F2A" w:rsidRPr="00A45CE5" w:rsidRDefault="00C22F2A" w:rsidP="00C22F2A">
      <w:pPr>
        <w:rPr>
          <w:rFonts w:asciiTheme="minorHAnsi" w:hAnsiTheme="minorHAnsi" w:cstheme="minorHAnsi"/>
          <w:bCs/>
          <w:color w:val="000000" w:themeColor="text1"/>
          <w:sz w:val="22"/>
          <w:szCs w:val="22"/>
        </w:rPr>
      </w:pPr>
    </w:p>
    <w:p w14:paraId="3E897177"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Date: </w:t>
      </w:r>
      <w:r w:rsidRPr="00A45CE5">
        <w:rPr>
          <w:rFonts w:asciiTheme="minorHAnsi" w:hAnsiTheme="minorHAnsi" w:cstheme="minorHAnsi"/>
          <w:bCs/>
          <w:color w:val="000000" w:themeColor="text1"/>
          <w:sz w:val="22"/>
          <w:szCs w:val="22"/>
        </w:rPr>
        <w:t>16 September 2023</w:t>
      </w:r>
    </w:p>
    <w:p w14:paraId="759F49B3" w14:textId="77777777" w:rsidR="00C22F2A" w:rsidRPr="00A45CE5" w:rsidRDefault="00C22F2A" w:rsidP="005A0789">
      <w:pPr>
        <w:rPr>
          <w:rFonts w:asciiTheme="minorHAnsi" w:hAnsiTheme="minorHAnsi" w:cstheme="minorHAnsi"/>
          <w:color w:val="000000" w:themeColor="text1"/>
          <w:sz w:val="22"/>
          <w:szCs w:val="22"/>
        </w:rPr>
      </w:pPr>
    </w:p>
    <w:p w14:paraId="114C2437" w14:textId="59EAD223" w:rsidR="00123EFA" w:rsidRPr="00A45CE5" w:rsidRDefault="00C22F2A" w:rsidP="00487D10">
      <w:pPr>
        <w:spacing w:after="120"/>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Annex </w:t>
      </w:r>
      <w:r w:rsidR="00EA6982" w:rsidRPr="00A45CE5">
        <w:rPr>
          <w:rFonts w:asciiTheme="minorHAnsi" w:hAnsiTheme="minorHAnsi" w:cstheme="minorHAnsi"/>
          <w:b/>
          <w:bCs/>
          <w:color w:val="000000" w:themeColor="text1"/>
          <w:sz w:val="22"/>
          <w:szCs w:val="22"/>
        </w:rPr>
        <w:t>4</w:t>
      </w:r>
      <w:r w:rsidRPr="00A45CE5">
        <w:rPr>
          <w:rFonts w:asciiTheme="minorHAnsi" w:hAnsiTheme="minorHAnsi" w:cstheme="minorHAnsi"/>
          <w:b/>
          <w:bCs/>
          <w:color w:val="000000" w:themeColor="text1"/>
          <w:sz w:val="22"/>
          <w:szCs w:val="22"/>
        </w:rPr>
        <w:t xml:space="preserve"> – HMRC reply to Sonder 2</w:t>
      </w:r>
    </w:p>
    <w:p w14:paraId="0364F814" w14:textId="77777777" w:rsidR="00C22F2A" w:rsidRPr="00A45CE5" w:rsidRDefault="00C22F2A" w:rsidP="00C22F2A">
      <w:pPr>
        <w:rPr>
          <w:rFonts w:asciiTheme="minorHAnsi" w:hAnsiTheme="minorHAnsi" w:cstheme="minorHAnsi"/>
          <w:bCs/>
          <w:color w:val="000000" w:themeColor="text1"/>
          <w:sz w:val="22"/>
          <w:szCs w:val="22"/>
          <w:lang w:val="fr-FR"/>
        </w:rPr>
      </w:pPr>
      <w:proofErr w:type="spellStart"/>
      <w:proofErr w:type="gramStart"/>
      <w:r w:rsidRPr="00A45CE5">
        <w:rPr>
          <w:rFonts w:asciiTheme="minorHAnsi" w:hAnsiTheme="minorHAnsi" w:cstheme="minorHAnsi"/>
          <w:b/>
          <w:color w:val="000000" w:themeColor="text1"/>
          <w:sz w:val="22"/>
          <w:szCs w:val="22"/>
          <w:lang w:val="fr-FR"/>
        </w:rPr>
        <w:t>Subject</w:t>
      </w:r>
      <w:proofErr w:type="spellEnd"/>
      <w:r w:rsidRPr="00A45CE5">
        <w:rPr>
          <w:rFonts w:asciiTheme="minorHAnsi" w:hAnsiTheme="minorHAnsi" w:cstheme="minorHAnsi"/>
          <w:b/>
          <w:color w:val="000000" w:themeColor="text1"/>
          <w:sz w:val="22"/>
          <w:szCs w:val="22"/>
          <w:lang w:val="fr-FR"/>
        </w:rPr>
        <w:t>:</w:t>
      </w:r>
      <w:proofErr w:type="gramEnd"/>
      <w:r w:rsidRPr="00A45CE5">
        <w:rPr>
          <w:rFonts w:asciiTheme="minorHAnsi" w:hAnsiTheme="minorHAnsi" w:cstheme="minorHAnsi"/>
          <w:b/>
          <w:color w:val="000000" w:themeColor="text1"/>
          <w:sz w:val="22"/>
          <w:szCs w:val="22"/>
          <w:lang w:val="fr-FR"/>
        </w:rPr>
        <w:t xml:space="preserve"> </w:t>
      </w:r>
      <w:r w:rsidRPr="00A45CE5">
        <w:rPr>
          <w:rFonts w:asciiTheme="minorHAnsi" w:hAnsiTheme="minorHAnsi" w:cstheme="minorHAnsi"/>
          <w:bCs/>
          <w:color w:val="000000" w:themeColor="text1"/>
          <w:sz w:val="22"/>
          <w:szCs w:val="22"/>
          <w:lang w:val="fr-FR"/>
        </w:rPr>
        <w:t xml:space="preserve">Sonder Europe Ltd </w:t>
      </w:r>
      <w:hyperlink r:id="rId13" w:history="1">
        <w:r w:rsidRPr="00A45CE5">
          <w:rPr>
            <w:rStyle w:val="Hyperlink"/>
            <w:rFonts w:asciiTheme="minorHAnsi" w:hAnsiTheme="minorHAnsi" w:cstheme="minorHAnsi"/>
            <w:bCs/>
            <w:color w:val="000000" w:themeColor="text1"/>
            <w:sz w:val="22"/>
            <w:szCs w:val="22"/>
            <w:lang w:val="fr-FR"/>
          </w:rPr>
          <w:t>https://www.bailii.org/uk/cases/UKFTT/TC/2023/TC08852.pdf</w:t>
        </w:r>
      </w:hyperlink>
    </w:p>
    <w:p w14:paraId="2BFB4204" w14:textId="3CD07136"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Representative body: </w:t>
      </w:r>
      <w:r w:rsidRPr="00A45CE5">
        <w:rPr>
          <w:rFonts w:asciiTheme="minorHAnsi" w:hAnsiTheme="minorHAnsi" w:cstheme="minorHAnsi"/>
          <w:bCs/>
          <w:color w:val="000000" w:themeColor="text1"/>
          <w:sz w:val="22"/>
          <w:szCs w:val="22"/>
        </w:rPr>
        <w:t>BPF</w:t>
      </w:r>
    </w:p>
    <w:p w14:paraId="612052C4"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Representative(s): </w:t>
      </w:r>
      <w:r w:rsidRPr="00A45CE5">
        <w:rPr>
          <w:rFonts w:asciiTheme="minorHAnsi" w:hAnsiTheme="minorHAnsi" w:cstheme="minorHAnsi"/>
          <w:bCs/>
          <w:color w:val="000000" w:themeColor="text1"/>
          <w:sz w:val="22"/>
          <w:szCs w:val="22"/>
        </w:rPr>
        <w:t>Martin Scammell</w:t>
      </w:r>
    </w:p>
    <w:p w14:paraId="0D914E78"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LPLG priority level: </w:t>
      </w:r>
      <w:r w:rsidRPr="00A45CE5">
        <w:rPr>
          <w:rFonts w:asciiTheme="minorHAnsi" w:hAnsiTheme="minorHAnsi" w:cstheme="minorHAnsi"/>
          <w:bCs/>
          <w:color w:val="000000" w:themeColor="text1"/>
          <w:sz w:val="22"/>
          <w:szCs w:val="22"/>
        </w:rPr>
        <w:t xml:space="preserve">The question is about HMRC’s own arguments in litigation, </w:t>
      </w:r>
    </w:p>
    <w:p w14:paraId="1A7C0E4A" w14:textId="77777777" w:rsidR="00C22F2A" w:rsidRPr="00A45CE5" w:rsidRDefault="00C22F2A" w:rsidP="00C22F2A">
      <w:pPr>
        <w:rPr>
          <w:rFonts w:asciiTheme="minorHAnsi" w:hAnsiTheme="minorHAnsi" w:cstheme="minorHAnsi"/>
          <w:bCs/>
          <w:color w:val="000000" w:themeColor="text1"/>
          <w:sz w:val="22"/>
          <w:szCs w:val="22"/>
        </w:rPr>
      </w:pPr>
      <w:proofErr w:type="gramStart"/>
      <w:r w:rsidRPr="00A45CE5">
        <w:rPr>
          <w:rFonts w:asciiTheme="minorHAnsi" w:hAnsiTheme="minorHAnsi" w:cstheme="minorHAnsi"/>
          <w:bCs/>
          <w:color w:val="000000" w:themeColor="text1"/>
          <w:sz w:val="22"/>
          <w:szCs w:val="22"/>
        </w:rPr>
        <w:t>so</w:t>
      </w:r>
      <w:proofErr w:type="gramEnd"/>
      <w:r w:rsidRPr="00A45CE5">
        <w:rPr>
          <w:rFonts w:asciiTheme="minorHAnsi" w:hAnsiTheme="minorHAnsi" w:cstheme="minorHAnsi"/>
          <w:bCs/>
          <w:color w:val="000000" w:themeColor="text1"/>
          <w:sz w:val="22"/>
          <w:szCs w:val="22"/>
        </w:rPr>
        <w:t xml:space="preserve"> we might assume that they had considered the matter beforehand, and can provide a response at October’s meeting. If, on the other hand, HMRC ran their arguments without having considered them, it would be understandable if they needed to think about them now, and entirely acceptable if they responded at or before the next meeting.</w:t>
      </w:r>
    </w:p>
    <w:p w14:paraId="243CE54E" w14:textId="77777777" w:rsidR="00C22F2A" w:rsidRPr="00A45CE5" w:rsidRDefault="00C22F2A" w:rsidP="00C22F2A">
      <w:pPr>
        <w:rPr>
          <w:rFonts w:asciiTheme="minorHAnsi" w:hAnsiTheme="minorHAnsi" w:cstheme="minorHAnsi"/>
          <w:bCs/>
          <w:color w:val="000000" w:themeColor="text1"/>
          <w:sz w:val="22"/>
          <w:szCs w:val="22"/>
        </w:rPr>
      </w:pPr>
    </w:p>
    <w:p w14:paraId="4F35B28F" w14:textId="77777777" w:rsidR="00C22F2A" w:rsidRPr="00A45CE5" w:rsidRDefault="00C22F2A" w:rsidP="00C22F2A">
      <w:pPr>
        <w:rPr>
          <w:rFonts w:asciiTheme="minorHAnsi" w:hAnsiTheme="minorHAnsi" w:cstheme="minorHAnsi"/>
          <w:b/>
          <w:color w:val="000000" w:themeColor="text1"/>
          <w:sz w:val="22"/>
          <w:szCs w:val="22"/>
        </w:rPr>
      </w:pPr>
      <w:r w:rsidRPr="00A45CE5">
        <w:rPr>
          <w:rFonts w:asciiTheme="minorHAnsi" w:hAnsiTheme="minorHAnsi" w:cstheme="minorHAnsi"/>
          <w:b/>
          <w:color w:val="000000" w:themeColor="text1"/>
          <w:sz w:val="22"/>
          <w:szCs w:val="22"/>
        </w:rPr>
        <w:t xml:space="preserve">Description of the supply: </w:t>
      </w:r>
    </w:p>
    <w:p w14:paraId="5A0FEDE4" w14:textId="77777777" w:rsidR="00C22F2A" w:rsidRPr="00A45CE5" w:rsidRDefault="00C22F2A" w:rsidP="00C22F2A">
      <w:pPr>
        <w:rPr>
          <w:rFonts w:asciiTheme="minorHAnsi" w:hAnsiTheme="minorHAnsi" w:cstheme="minorHAnsi"/>
          <w:b/>
          <w:color w:val="000000" w:themeColor="text1"/>
          <w:sz w:val="22"/>
          <w:szCs w:val="22"/>
        </w:rPr>
      </w:pPr>
    </w:p>
    <w:p w14:paraId="30262AC8"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i/>
          <w:iCs/>
          <w:color w:val="000000" w:themeColor="text1"/>
          <w:sz w:val="22"/>
          <w:szCs w:val="22"/>
        </w:rPr>
        <w:t>What type of taxpayer is affected?</w:t>
      </w:r>
      <w:r w:rsidRPr="00A45CE5">
        <w:rPr>
          <w:rFonts w:asciiTheme="minorHAnsi" w:hAnsiTheme="minorHAnsi" w:cstheme="minorHAnsi"/>
          <w:bCs/>
          <w:color w:val="000000" w:themeColor="text1"/>
          <w:sz w:val="22"/>
          <w:szCs w:val="22"/>
        </w:rPr>
        <w:t xml:space="preserve"> </w:t>
      </w:r>
    </w:p>
    <w:p w14:paraId="23607A01"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 xml:space="preserve">Landlords of accommodation that is advertised or held out by their tenant as holiday accommodation, or as suitable for holiday or leisure use. </w:t>
      </w:r>
    </w:p>
    <w:p w14:paraId="47353B6D" w14:textId="77777777" w:rsidR="00C22F2A" w:rsidRPr="00A45CE5" w:rsidRDefault="00C22F2A" w:rsidP="00C22F2A">
      <w:pPr>
        <w:rPr>
          <w:rFonts w:asciiTheme="minorHAnsi" w:hAnsiTheme="minorHAnsi" w:cstheme="minorHAnsi"/>
          <w:bCs/>
          <w:color w:val="000000" w:themeColor="text1"/>
          <w:sz w:val="22"/>
          <w:szCs w:val="22"/>
        </w:rPr>
      </w:pPr>
    </w:p>
    <w:p w14:paraId="60358DE0"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i/>
          <w:iCs/>
          <w:color w:val="000000" w:themeColor="text1"/>
          <w:sz w:val="22"/>
          <w:szCs w:val="22"/>
        </w:rPr>
        <w:t>What type of supply is being made?</w:t>
      </w:r>
      <w:r w:rsidRPr="00A45CE5">
        <w:rPr>
          <w:rFonts w:asciiTheme="minorHAnsi" w:hAnsiTheme="minorHAnsi" w:cstheme="minorHAnsi"/>
          <w:bCs/>
          <w:color w:val="000000" w:themeColor="text1"/>
          <w:sz w:val="22"/>
          <w:szCs w:val="22"/>
        </w:rPr>
        <w:t xml:space="preserve"> </w:t>
      </w:r>
    </w:p>
    <w:p w14:paraId="28AD38FA" w14:textId="65ABA9F6"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The letting of the accommodation.</w:t>
      </w:r>
    </w:p>
    <w:p w14:paraId="05A42A99" w14:textId="77777777" w:rsidR="00EA6982" w:rsidRPr="00A45CE5" w:rsidRDefault="00EA6982" w:rsidP="00C22F2A">
      <w:pPr>
        <w:rPr>
          <w:rFonts w:asciiTheme="minorHAnsi" w:hAnsiTheme="minorHAnsi" w:cstheme="minorHAnsi"/>
          <w:bCs/>
          <w:color w:val="000000" w:themeColor="text1"/>
          <w:sz w:val="22"/>
          <w:szCs w:val="22"/>
        </w:rPr>
      </w:pPr>
    </w:p>
    <w:p w14:paraId="0BFFD718" w14:textId="77777777" w:rsidR="00C22F2A" w:rsidRPr="00A45CE5" w:rsidRDefault="00C22F2A" w:rsidP="00C22F2A">
      <w:pPr>
        <w:rPr>
          <w:rFonts w:asciiTheme="minorHAnsi" w:hAnsiTheme="minorHAnsi" w:cstheme="minorHAnsi"/>
          <w:bCs/>
          <w:i/>
          <w:iCs/>
          <w:color w:val="000000" w:themeColor="text1"/>
          <w:sz w:val="22"/>
          <w:szCs w:val="22"/>
        </w:rPr>
      </w:pPr>
      <w:r w:rsidRPr="00A45CE5">
        <w:rPr>
          <w:rFonts w:asciiTheme="minorHAnsi" w:hAnsiTheme="minorHAnsi" w:cstheme="minorHAnsi"/>
          <w:bCs/>
          <w:i/>
          <w:iCs/>
          <w:color w:val="000000" w:themeColor="text1"/>
          <w:sz w:val="22"/>
          <w:szCs w:val="22"/>
        </w:rPr>
        <w:t xml:space="preserve">Who is making and receiving the supply/payment? </w:t>
      </w:r>
    </w:p>
    <w:p w14:paraId="10491D45"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The landlord is making the supply to the tenant, who is paying rent.</w:t>
      </w:r>
    </w:p>
    <w:p w14:paraId="5FF48BBF" w14:textId="77777777" w:rsidR="00C22F2A" w:rsidRPr="00A45CE5" w:rsidRDefault="00C22F2A" w:rsidP="00C22F2A">
      <w:pPr>
        <w:rPr>
          <w:rFonts w:asciiTheme="minorHAnsi" w:hAnsiTheme="minorHAnsi" w:cstheme="minorHAnsi"/>
          <w:bCs/>
          <w:color w:val="000000" w:themeColor="text1"/>
          <w:sz w:val="22"/>
          <w:szCs w:val="22"/>
        </w:rPr>
      </w:pPr>
    </w:p>
    <w:p w14:paraId="43A21A9E"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i/>
          <w:iCs/>
          <w:color w:val="000000" w:themeColor="text1"/>
          <w:sz w:val="22"/>
          <w:szCs w:val="22"/>
        </w:rPr>
        <w:t xml:space="preserve">Potential impact? </w:t>
      </w:r>
    </w:p>
    <w:p w14:paraId="11C9203B"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Potential errors in whether VAT is being accounted for and recovered.</w:t>
      </w:r>
    </w:p>
    <w:p w14:paraId="6BE631CD" w14:textId="77777777" w:rsidR="00C22F2A" w:rsidRPr="00A45CE5" w:rsidRDefault="00C22F2A" w:rsidP="00C22F2A">
      <w:pPr>
        <w:rPr>
          <w:rFonts w:asciiTheme="minorHAnsi" w:hAnsiTheme="minorHAnsi" w:cstheme="minorHAnsi"/>
          <w:color w:val="000000" w:themeColor="text1"/>
          <w:sz w:val="22"/>
          <w:szCs w:val="22"/>
        </w:rPr>
      </w:pPr>
    </w:p>
    <w:p w14:paraId="7911726A" w14:textId="77777777" w:rsidR="00C22F2A" w:rsidRPr="00A45CE5" w:rsidRDefault="00C22F2A" w:rsidP="00C22F2A">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The question for HMRC: </w:t>
      </w:r>
    </w:p>
    <w:p w14:paraId="2D5F50E8" w14:textId="77777777" w:rsidR="00C22F2A" w:rsidRPr="00A45CE5" w:rsidRDefault="00C22F2A" w:rsidP="00C22F2A">
      <w:pPr>
        <w:rPr>
          <w:rFonts w:asciiTheme="minorHAnsi" w:hAnsiTheme="minorHAnsi" w:cstheme="minorHAnsi"/>
          <w:b/>
          <w:bCs/>
          <w:color w:val="000000" w:themeColor="text1"/>
          <w:sz w:val="22"/>
          <w:szCs w:val="22"/>
        </w:rPr>
      </w:pPr>
    </w:p>
    <w:p w14:paraId="3CAFAC9F"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The following is an extract from the Sonder decision (paras 56-57):</w:t>
      </w:r>
    </w:p>
    <w:p w14:paraId="3A7E2F85" w14:textId="77777777" w:rsidR="00C22F2A" w:rsidRPr="00A45CE5" w:rsidRDefault="00C22F2A" w:rsidP="00C22F2A">
      <w:pPr>
        <w:rPr>
          <w:rFonts w:asciiTheme="minorHAnsi" w:hAnsiTheme="minorHAnsi" w:cstheme="minorHAnsi"/>
          <w:color w:val="000000" w:themeColor="text1"/>
          <w:sz w:val="22"/>
          <w:szCs w:val="22"/>
        </w:rPr>
      </w:pPr>
    </w:p>
    <w:p w14:paraId="15F1E067" w14:textId="77777777" w:rsidR="00C22F2A" w:rsidRPr="00A45CE5" w:rsidRDefault="00C22F2A" w:rsidP="00C22F2A">
      <w:pPr>
        <w:spacing w:after="111" w:line="249" w:lineRule="auto"/>
        <w:ind w:left="720" w:right="4"/>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HMRC also accepted that Sonder provided short term travel accommodation in the apartments which it leased from the landlords.  HMRC’s case, however, was that renting exempt residential accommodation and then subletting it to travellers does not fall within the TOMS.  </w:t>
      </w:r>
    </w:p>
    <w:p w14:paraId="7B3A9626" w14:textId="77777777" w:rsidR="00C22F2A" w:rsidRPr="00A45CE5" w:rsidRDefault="00C22F2A" w:rsidP="00C22F2A">
      <w:pPr>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Sonder leased the apartments from the landlords for a term of years for an annual rent. The landlord’s supply was an exempt supply of land, ie the apartments, for residential purposes.  Sonder used the property to make supplies of </w:t>
      </w:r>
      <w:proofErr w:type="gramStart"/>
      <w:r w:rsidRPr="00A45CE5">
        <w:rPr>
          <w:rFonts w:asciiTheme="minorHAnsi" w:hAnsiTheme="minorHAnsi" w:cstheme="minorHAnsi"/>
          <w:color w:val="000000" w:themeColor="text1"/>
          <w:sz w:val="22"/>
          <w:szCs w:val="22"/>
        </w:rPr>
        <w:t>short term</w:t>
      </w:r>
      <w:proofErr w:type="gramEnd"/>
      <w:r w:rsidRPr="00A45CE5">
        <w:rPr>
          <w:rFonts w:asciiTheme="minorHAnsi" w:hAnsiTheme="minorHAnsi" w:cstheme="minorHAnsi"/>
          <w:color w:val="000000" w:themeColor="text1"/>
          <w:sz w:val="22"/>
          <w:szCs w:val="22"/>
        </w:rPr>
        <w:t xml:space="preserve"> accommodation to travellers which was, in principle, subject to VAT.  Mr Macnab submitted that the landlord did nothing but make a bare supply of accommodation to Sonder and played no part in Sonder’s supplies of the furnished and serviced apartment to travellers.  </w:t>
      </w:r>
    </w:p>
    <w:p w14:paraId="119F1BA1" w14:textId="77777777" w:rsidR="00C22F2A" w:rsidRPr="00A45CE5" w:rsidRDefault="00C22F2A" w:rsidP="00C22F2A">
      <w:pPr>
        <w:rPr>
          <w:rFonts w:asciiTheme="minorHAnsi" w:hAnsiTheme="minorHAnsi" w:cstheme="minorHAnsi"/>
          <w:color w:val="000000" w:themeColor="text1"/>
          <w:sz w:val="22"/>
          <w:szCs w:val="22"/>
        </w:rPr>
      </w:pPr>
    </w:p>
    <w:p w14:paraId="1FF3B1A7"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Absent TOMS, Sonder’s lettings were taxable, either as a letting of sleeping accommodation in a hotel, inn, boarding </w:t>
      </w:r>
      <w:proofErr w:type="gramStart"/>
      <w:r w:rsidRPr="00A45CE5">
        <w:rPr>
          <w:rFonts w:asciiTheme="minorHAnsi" w:hAnsiTheme="minorHAnsi" w:cstheme="minorHAnsi"/>
          <w:color w:val="000000" w:themeColor="text1"/>
          <w:sz w:val="22"/>
          <w:szCs w:val="22"/>
        </w:rPr>
        <w:t>house</w:t>
      </w:r>
      <w:proofErr w:type="gramEnd"/>
      <w:r w:rsidRPr="00A45CE5">
        <w:rPr>
          <w:rFonts w:asciiTheme="minorHAnsi" w:hAnsiTheme="minorHAnsi" w:cstheme="minorHAnsi"/>
          <w:color w:val="000000" w:themeColor="text1"/>
          <w:sz w:val="22"/>
          <w:szCs w:val="22"/>
        </w:rPr>
        <w:t xml:space="preserve"> or similar establishment (Sch 9 Group 1 item 1(d)) or as a letting of holiday accommodation under item 1(e). Note 13 to the Group says that:</w:t>
      </w:r>
    </w:p>
    <w:p w14:paraId="62F3160D" w14:textId="77777777" w:rsidR="00C22F2A" w:rsidRPr="00A45CE5" w:rsidRDefault="00C22F2A" w:rsidP="00C22F2A">
      <w:pPr>
        <w:rPr>
          <w:rFonts w:asciiTheme="minorHAnsi" w:hAnsiTheme="minorHAnsi" w:cstheme="minorHAnsi"/>
          <w:color w:val="000000" w:themeColor="text1"/>
          <w:sz w:val="22"/>
          <w:szCs w:val="22"/>
        </w:rPr>
      </w:pPr>
    </w:p>
    <w:p w14:paraId="22A1EE61" w14:textId="77777777" w:rsidR="00C22F2A" w:rsidRPr="00A45CE5" w:rsidRDefault="00C22F2A" w:rsidP="00C22F2A">
      <w:pPr>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w:t>
      </w:r>
      <w:proofErr w:type="gramStart"/>
      <w:r w:rsidRPr="00A45CE5">
        <w:rPr>
          <w:rFonts w:asciiTheme="minorHAnsi" w:hAnsiTheme="minorHAnsi" w:cstheme="minorHAnsi"/>
          <w:color w:val="000000" w:themeColor="text1"/>
          <w:sz w:val="22"/>
          <w:szCs w:val="22"/>
        </w:rPr>
        <w:t>holiday</w:t>
      </w:r>
      <w:proofErr w:type="gramEnd"/>
      <w:r w:rsidRPr="00A45CE5">
        <w:rPr>
          <w:rFonts w:asciiTheme="minorHAnsi" w:hAnsiTheme="minorHAnsi" w:cstheme="minorHAnsi"/>
          <w:color w:val="000000" w:themeColor="text1"/>
          <w:sz w:val="22"/>
          <w:szCs w:val="22"/>
        </w:rPr>
        <w:t xml:space="preserve"> accommodation’ includes any accommodation in a building … which is advertised or held out as holiday accommodation or as suitable for holiday or leisure use, but excludes any accommodation within paragraph (d)’. </w:t>
      </w:r>
    </w:p>
    <w:p w14:paraId="3942CA2B" w14:textId="77777777" w:rsidR="00C22F2A" w:rsidRPr="00A45CE5" w:rsidRDefault="00C22F2A" w:rsidP="00C22F2A">
      <w:pPr>
        <w:rPr>
          <w:rFonts w:asciiTheme="minorHAnsi" w:hAnsiTheme="minorHAnsi" w:cstheme="minorHAnsi"/>
          <w:color w:val="000000" w:themeColor="text1"/>
          <w:sz w:val="22"/>
          <w:szCs w:val="22"/>
        </w:rPr>
      </w:pPr>
    </w:p>
    <w:p w14:paraId="52529FAC"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It is apparent from the decision, and from websites, including the company’s own at </w:t>
      </w:r>
    </w:p>
    <w:p w14:paraId="46C47156" w14:textId="77777777" w:rsidR="00C22F2A" w:rsidRPr="00A45CE5" w:rsidRDefault="00DF785E" w:rsidP="00C22F2A">
      <w:pPr>
        <w:rPr>
          <w:rFonts w:asciiTheme="minorHAnsi" w:hAnsiTheme="minorHAnsi" w:cstheme="minorHAnsi"/>
          <w:color w:val="000000" w:themeColor="text1"/>
          <w:sz w:val="22"/>
          <w:szCs w:val="22"/>
        </w:rPr>
      </w:pPr>
      <w:hyperlink r:id="rId14" w:history="1">
        <w:r w:rsidR="00C22F2A" w:rsidRPr="00A45CE5">
          <w:rPr>
            <w:rStyle w:val="Hyperlink"/>
            <w:rFonts w:asciiTheme="minorHAnsi" w:hAnsiTheme="minorHAnsi" w:cstheme="minorHAnsi"/>
            <w:color w:val="000000" w:themeColor="text1"/>
            <w:sz w:val="22"/>
            <w:szCs w:val="22"/>
          </w:rPr>
          <w:t>https://www.sonder.com/en-gb</w:t>
        </w:r>
      </w:hyperlink>
      <w:r w:rsidR="00C22F2A" w:rsidRPr="00A45CE5">
        <w:rPr>
          <w:rFonts w:asciiTheme="minorHAnsi" w:hAnsiTheme="minorHAnsi" w:cstheme="minorHAnsi"/>
          <w:color w:val="000000" w:themeColor="text1"/>
          <w:sz w:val="22"/>
          <w:szCs w:val="22"/>
        </w:rPr>
        <w:t xml:space="preserve">, that the accommodation was advertised and held out by Sonder in this way. </w:t>
      </w:r>
    </w:p>
    <w:p w14:paraId="793CC0A3" w14:textId="77777777" w:rsidR="00C22F2A" w:rsidRPr="00A45CE5" w:rsidRDefault="00C22F2A" w:rsidP="00C22F2A">
      <w:pPr>
        <w:rPr>
          <w:rFonts w:asciiTheme="minorHAnsi" w:hAnsiTheme="minorHAnsi" w:cstheme="minorHAnsi"/>
          <w:color w:val="000000" w:themeColor="text1"/>
          <w:sz w:val="22"/>
          <w:szCs w:val="22"/>
        </w:rPr>
      </w:pPr>
    </w:p>
    <w:p w14:paraId="2AB72999"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It is not suggested that the lettings to Sonder, by the various landlords, were taxable under item 1(d). But it might be thought that they were taxable under item 1(e), because of the way in which the accommodation was being advertised and held out by Sonder. The provision does not suggest that this needs to be done by the person </w:t>
      </w:r>
      <w:proofErr w:type="gramStart"/>
      <w:r w:rsidRPr="00A45CE5">
        <w:rPr>
          <w:rFonts w:asciiTheme="minorHAnsi" w:hAnsiTheme="minorHAnsi" w:cstheme="minorHAnsi"/>
          <w:color w:val="000000" w:themeColor="text1"/>
          <w:sz w:val="22"/>
          <w:szCs w:val="22"/>
        </w:rPr>
        <w:t>actually making</w:t>
      </w:r>
      <w:proofErr w:type="gramEnd"/>
      <w:r w:rsidRPr="00A45CE5">
        <w:rPr>
          <w:rFonts w:asciiTheme="minorHAnsi" w:hAnsiTheme="minorHAnsi" w:cstheme="minorHAnsi"/>
          <w:color w:val="000000" w:themeColor="text1"/>
          <w:sz w:val="22"/>
          <w:szCs w:val="22"/>
        </w:rPr>
        <w:t xml:space="preserve"> the supply.</w:t>
      </w:r>
    </w:p>
    <w:p w14:paraId="4FC39A23" w14:textId="77777777" w:rsidR="00C22F2A" w:rsidRPr="00A45CE5" w:rsidRDefault="00C22F2A" w:rsidP="00C22F2A">
      <w:pPr>
        <w:rPr>
          <w:rFonts w:asciiTheme="minorHAnsi" w:hAnsiTheme="minorHAnsi" w:cstheme="minorHAnsi"/>
          <w:color w:val="000000" w:themeColor="text1"/>
          <w:sz w:val="22"/>
          <w:szCs w:val="22"/>
        </w:rPr>
      </w:pPr>
    </w:p>
    <w:p w14:paraId="1DFD1C77"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In view of this:</w:t>
      </w:r>
    </w:p>
    <w:p w14:paraId="1239BC5A" w14:textId="77777777" w:rsidR="00C22F2A" w:rsidRPr="00A45CE5" w:rsidRDefault="00C22F2A" w:rsidP="00C22F2A">
      <w:pPr>
        <w:rPr>
          <w:rFonts w:asciiTheme="minorHAnsi" w:hAnsiTheme="minorHAnsi" w:cstheme="minorHAnsi"/>
          <w:color w:val="000000" w:themeColor="text1"/>
          <w:sz w:val="22"/>
          <w:szCs w:val="22"/>
        </w:rPr>
      </w:pPr>
    </w:p>
    <w:p w14:paraId="4BFB883C" w14:textId="77777777" w:rsidR="00C22F2A" w:rsidRPr="00A45CE5" w:rsidRDefault="00C22F2A" w:rsidP="00C22F2A">
      <w:pPr>
        <w:pStyle w:val="ListParagraph"/>
        <w:numPr>
          <w:ilvl w:val="0"/>
          <w:numId w:val="7"/>
        </w:numPr>
        <w:spacing w:after="0" w:line="240" w:lineRule="auto"/>
        <w:rPr>
          <w:rFonts w:cstheme="minorHAnsi"/>
          <w:color w:val="000000" w:themeColor="text1"/>
        </w:rPr>
      </w:pPr>
      <w:r w:rsidRPr="00A45CE5">
        <w:rPr>
          <w:rFonts w:cstheme="minorHAnsi"/>
          <w:color w:val="000000" w:themeColor="text1"/>
        </w:rPr>
        <w:t>Can HMRC confirm that it is indeed their view that the lettings to Sonder were exempt, as they maintained at the Tribunal?</w:t>
      </w:r>
    </w:p>
    <w:p w14:paraId="178986E7" w14:textId="77777777" w:rsidR="006A7B58" w:rsidRPr="00A45CE5" w:rsidRDefault="006A7B58" w:rsidP="00C22F2A">
      <w:pPr>
        <w:rPr>
          <w:rFonts w:asciiTheme="minorHAnsi" w:hAnsiTheme="minorHAnsi" w:cstheme="minorHAnsi"/>
          <w:color w:val="000000" w:themeColor="text1"/>
          <w:sz w:val="22"/>
          <w:szCs w:val="22"/>
        </w:rPr>
      </w:pPr>
    </w:p>
    <w:p w14:paraId="04121FD2" w14:textId="22399EB0"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Answer – It would not be appropriate for HMRC to comment on speculative “facts” that are not recorded as such in the decision.</w:t>
      </w:r>
    </w:p>
    <w:p w14:paraId="465B791B"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lastRenderedPageBreak/>
        <w:t xml:space="preserve">The case was about the nature and treatment of the supply </w:t>
      </w:r>
      <w:r w:rsidRPr="00A45CE5">
        <w:rPr>
          <w:rFonts w:asciiTheme="minorHAnsi" w:hAnsiTheme="minorHAnsi" w:cstheme="minorHAnsi"/>
          <w:color w:val="000000" w:themeColor="text1"/>
          <w:sz w:val="22"/>
          <w:szCs w:val="22"/>
          <w:u w:val="single"/>
        </w:rPr>
        <w:t>by</w:t>
      </w:r>
      <w:r w:rsidRPr="00A45CE5">
        <w:rPr>
          <w:rFonts w:asciiTheme="minorHAnsi" w:hAnsiTheme="minorHAnsi" w:cstheme="minorHAnsi"/>
          <w:color w:val="000000" w:themeColor="text1"/>
          <w:sz w:val="22"/>
          <w:szCs w:val="22"/>
        </w:rPr>
        <w:t xml:space="preserve"> Sonder, not the supplies to Sonder. HMRC did not “rule” that the supplies by the landlords were exempt but, in as far as it may have been material, were content to accept that they were in this instance.</w:t>
      </w:r>
    </w:p>
    <w:p w14:paraId="3E41D507"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Para 27 of the decision records that </w:t>
      </w:r>
      <w:r w:rsidRPr="00A45CE5">
        <w:rPr>
          <w:rFonts w:asciiTheme="minorHAnsi" w:hAnsiTheme="minorHAnsi" w:cstheme="minorHAnsi"/>
          <w:i/>
          <w:iCs/>
          <w:color w:val="000000" w:themeColor="text1"/>
          <w:sz w:val="22"/>
          <w:szCs w:val="22"/>
        </w:rPr>
        <w:t xml:space="preserve">“The landlords were not </w:t>
      </w:r>
      <w:proofErr w:type="gramStart"/>
      <w:r w:rsidRPr="00A45CE5">
        <w:rPr>
          <w:rFonts w:asciiTheme="minorHAnsi" w:hAnsiTheme="minorHAnsi" w:cstheme="minorHAnsi"/>
          <w:i/>
          <w:iCs/>
          <w:color w:val="000000" w:themeColor="text1"/>
          <w:sz w:val="22"/>
          <w:szCs w:val="22"/>
        </w:rPr>
        <w:t>hoteliers</w:t>
      </w:r>
      <w:proofErr w:type="gramEnd"/>
      <w:r w:rsidRPr="00A45CE5">
        <w:rPr>
          <w:rFonts w:asciiTheme="minorHAnsi" w:hAnsiTheme="minorHAnsi" w:cstheme="minorHAnsi"/>
          <w:i/>
          <w:iCs/>
          <w:color w:val="000000" w:themeColor="text1"/>
          <w:sz w:val="22"/>
          <w:szCs w:val="22"/>
        </w:rPr>
        <w:t xml:space="preserve"> and their aim was simply to lease apartments to Sonder. The landlords did not provide any additional services such as the concierge and cleaning services described below.”</w:t>
      </w:r>
      <w:r w:rsidRPr="00A45CE5">
        <w:rPr>
          <w:rFonts w:asciiTheme="minorHAnsi" w:hAnsiTheme="minorHAnsi" w:cstheme="minorHAnsi"/>
          <w:color w:val="000000" w:themeColor="text1"/>
          <w:sz w:val="22"/>
          <w:szCs w:val="22"/>
        </w:rPr>
        <w:t xml:space="preserve"> That is, the landlords rented furnished and unfurnished residential property to Sonder for a </w:t>
      </w:r>
      <w:proofErr w:type="gramStart"/>
      <w:r w:rsidRPr="00A45CE5">
        <w:rPr>
          <w:rFonts w:asciiTheme="minorHAnsi" w:hAnsiTheme="minorHAnsi" w:cstheme="minorHAnsi"/>
          <w:color w:val="000000" w:themeColor="text1"/>
          <w:sz w:val="22"/>
          <w:szCs w:val="22"/>
        </w:rPr>
        <w:t>terms of years</w:t>
      </w:r>
      <w:proofErr w:type="gramEnd"/>
      <w:r w:rsidRPr="00A45CE5">
        <w:rPr>
          <w:rFonts w:asciiTheme="minorHAnsi" w:hAnsiTheme="minorHAnsi" w:cstheme="minorHAnsi"/>
          <w:color w:val="000000" w:themeColor="text1"/>
          <w:sz w:val="22"/>
          <w:szCs w:val="22"/>
        </w:rPr>
        <w:t xml:space="preserve"> for an annual rent - as is recorded in paragraph 57.</w:t>
      </w:r>
    </w:p>
    <w:p w14:paraId="7E964DAC" w14:textId="77777777" w:rsidR="00C22F2A" w:rsidRPr="00A45CE5" w:rsidRDefault="00C22F2A" w:rsidP="00C22F2A">
      <w:pPr>
        <w:ind w:left="429"/>
        <w:rPr>
          <w:rFonts w:asciiTheme="minorHAnsi" w:hAnsiTheme="minorHAnsi" w:cstheme="minorHAnsi"/>
          <w:color w:val="000000" w:themeColor="text1"/>
          <w:sz w:val="22"/>
          <w:szCs w:val="22"/>
        </w:rPr>
      </w:pPr>
    </w:p>
    <w:p w14:paraId="672EC168" w14:textId="77777777" w:rsidR="00C22F2A" w:rsidRPr="00A45CE5" w:rsidRDefault="00C22F2A" w:rsidP="00C22F2A">
      <w:pPr>
        <w:pStyle w:val="ListParagraph"/>
        <w:numPr>
          <w:ilvl w:val="0"/>
          <w:numId w:val="7"/>
        </w:numPr>
        <w:spacing w:after="0" w:line="240" w:lineRule="auto"/>
        <w:rPr>
          <w:rFonts w:cstheme="minorHAnsi"/>
          <w:color w:val="000000" w:themeColor="text1"/>
        </w:rPr>
      </w:pPr>
      <w:r w:rsidRPr="00A45CE5">
        <w:rPr>
          <w:rFonts w:cstheme="minorHAnsi"/>
          <w:color w:val="000000" w:themeColor="text1"/>
        </w:rPr>
        <w:t>How do HMRC interpret the reference to advertising or holding out in item 1(e)? The provision clearly applies to a landlord who is doing the advertising or holding out themselves. Presumably it also applies if it is done by an agent, or by an associated company?</w:t>
      </w:r>
    </w:p>
    <w:p w14:paraId="07BEB1CA" w14:textId="77777777" w:rsidR="00C22F2A" w:rsidRPr="00A45CE5" w:rsidRDefault="00C22F2A" w:rsidP="00C22F2A">
      <w:pPr>
        <w:pStyle w:val="ListParagraph"/>
        <w:ind w:left="789"/>
        <w:rPr>
          <w:rFonts w:cstheme="minorHAnsi"/>
          <w:color w:val="000000" w:themeColor="text1"/>
        </w:rPr>
      </w:pPr>
    </w:p>
    <w:p w14:paraId="39B7414A" w14:textId="77777777" w:rsidR="00C22F2A" w:rsidRPr="00A45CE5" w:rsidRDefault="00C22F2A" w:rsidP="00C22F2A">
      <w:pPr>
        <w:ind w:left="429"/>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Answer - Paragraph 5.1 of the VAT Notice 709/03 states “</w:t>
      </w:r>
      <w:r w:rsidRPr="00A45CE5">
        <w:rPr>
          <w:rFonts w:asciiTheme="minorHAnsi" w:hAnsiTheme="minorHAnsi" w:cstheme="minorHAnsi"/>
          <w:i/>
          <w:iCs/>
          <w:color w:val="000000" w:themeColor="text1"/>
          <w:sz w:val="22"/>
          <w:szCs w:val="22"/>
          <w:shd w:val="clear" w:color="auto" w:fill="FFFFFF"/>
        </w:rPr>
        <w:t>Accommodation advertised or held out as suitable for holiday or leisure use is always treated as holiday accommodation.</w:t>
      </w:r>
      <w:r w:rsidRPr="00A45CE5">
        <w:rPr>
          <w:rFonts w:asciiTheme="minorHAnsi" w:hAnsiTheme="minorHAnsi" w:cstheme="minorHAnsi"/>
          <w:color w:val="000000" w:themeColor="text1"/>
          <w:sz w:val="22"/>
          <w:szCs w:val="22"/>
          <w:shd w:val="clear" w:color="auto" w:fill="FFFFFF"/>
        </w:rPr>
        <w:t xml:space="preserve">” This would apply to any advertising irrespective of whether it is done by the owner of the accommodation or </w:t>
      </w:r>
      <w:proofErr w:type="gramStart"/>
      <w:r w:rsidRPr="00A45CE5">
        <w:rPr>
          <w:rFonts w:asciiTheme="minorHAnsi" w:hAnsiTheme="minorHAnsi" w:cstheme="minorHAnsi"/>
          <w:color w:val="000000" w:themeColor="text1"/>
          <w:sz w:val="22"/>
          <w:szCs w:val="22"/>
          <w:shd w:val="clear" w:color="auto" w:fill="FFFFFF"/>
        </w:rPr>
        <w:t>it is done</w:t>
      </w:r>
      <w:proofErr w:type="gramEnd"/>
      <w:r w:rsidRPr="00A45CE5">
        <w:rPr>
          <w:rFonts w:asciiTheme="minorHAnsi" w:hAnsiTheme="minorHAnsi" w:cstheme="minorHAnsi"/>
          <w:color w:val="000000" w:themeColor="text1"/>
          <w:sz w:val="22"/>
          <w:szCs w:val="22"/>
          <w:shd w:val="clear" w:color="auto" w:fill="FFFFFF"/>
        </w:rPr>
        <w:t xml:space="preserve"> on his behalf by a third party. </w:t>
      </w:r>
    </w:p>
    <w:p w14:paraId="4650827C" w14:textId="77777777" w:rsidR="00C22F2A" w:rsidRPr="00A45CE5" w:rsidRDefault="00C22F2A" w:rsidP="00C22F2A">
      <w:pPr>
        <w:rPr>
          <w:rFonts w:asciiTheme="minorHAnsi" w:hAnsiTheme="minorHAnsi" w:cstheme="minorHAnsi"/>
          <w:color w:val="000000" w:themeColor="text1"/>
          <w:sz w:val="22"/>
          <w:szCs w:val="22"/>
        </w:rPr>
      </w:pPr>
    </w:p>
    <w:p w14:paraId="19AA9748" w14:textId="77777777" w:rsidR="00C22F2A" w:rsidRPr="00A45CE5" w:rsidRDefault="00C22F2A" w:rsidP="00C22F2A">
      <w:pPr>
        <w:pStyle w:val="ListParagraph"/>
        <w:ind w:left="789"/>
        <w:rPr>
          <w:rFonts w:cstheme="minorHAnsi"/>
          <w:color w:val="000000" w:themeColor="text1"/>
        </w:rPr>
      </w:pPr>
      <w:r w:rsidRPr="00A45CE5">
        <w:rPr>
          <w:rFonts w:cstheme="minorHAnsi"/>
          <w:color w:val="000000" w:themeColor="text1"/>
        </w:rPr>
        <w:t>How far does it extend where the tenant decides for themselves to advertise or hold the accommodation out as holiday accommodation? Does the landlord need to know that this is happening, or to expect it to happen, as they would seem to have done in Sonder? Does it make any difference whether the landlord has any financial interest in the matter?</w:t>
      </w:r>
    </w:p>
    <w:p w14:paraId="407A5C87" w14:textId="77777777" w:rsidR="00C22F2A" w:rsidRPr="00A45CE5" w:rsidRDefault="00C22F2A" w:rsidP="00C22F2A">
      <w:pPr>
        <w:pStyle w:val="ListParagraph"/>
        <w:ind w:left="789"/>
        <w:rPr>
          <w:rFonts w:cstheme="minorHAnsi"/>
          <w:color w:val="000000" w:themeColor="text1"/>
        </w:rPr>
      </w:pPr>
    </w:p>
    <w:p w14:paraId="313C89CD"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Answer – This applies to the person making the supply of the holiday accommodation. It would not normally apply to a landlord who has merely granted a lease or tenancy in his property to a third party unless there is a restriction under which occupation of the property throughout the year is not permitted. In which case the supply by the landlord to the tenant will also be caught as a supply of holiday accommodation.</w:t>
      </w:r>
    </w:p>
    <w:p w14:paraId="7A7F4061" w14:textId="77777777" w:rsidR="00C22F2A" w:rsidRPr="00A45CE5" w:rsidRDefault="00C22F2A" w:rsidP="00C22F2A">
      <w:pPr>
        <w:rPr>
          <w:rFonts w:asciiTheme="minorHAnsi" w:hAnsiTheme="minorHAnsi" w:cstheme="minorHAnsi"/>
          <w:color w:val="000000" w:themeColor="text1"/>
          <w:sz w:val="22"/>
          <w:szCs w:val="22"/>
        </w:rPr>
      </w:pPr>
    </w:p>
    <w:p w14:paraId="7ED5D14E" w14:textId="77777777" w:rsidR="00C22F2A" w:rsidRPr="00A45CE5" w:rsidRDefault="00C22F2A" w:rsidP="00C22F2A">
      <w:pPr>
        <w:pStyle w:val="ListParagraph"/>
        <w:numPr>
          <w:ilvl w:val="0"/>
          <w:numId w:val="7"/>
        </w:numPr>
        <w:spacing w:after="0" w:line="240" w:lineRule="auto"/>
        <w:rPr>
          <w:rFonts w:cstheme="minorHAnsi"/>
          <w:color w:val="000000" w:themeColor="text1"/>
        </w:rPr>
      </w:pPr>
      <w:r w:rsidRPr="00A45CE5">
        <w:rPr>
          <w:rFonts w:cstheme="minorHAnsi"/>
          <w:color w:val="000000" w:themeColor="text1"/>
        </w:rPr>
        <w:t xml:space="preserve">Is it HMRC’s view that item 1(e) only applies during periods when the accommodation is being advertised or held out as holiday accommodation, so that the liability of a landlord’s supplies might change </w:t>
      </w:r>
      <w:proofErr w:type="gramStart"/>
      <w:r w:rsidRPr="00A45CE5">
        <w:rPr>
          <w:rFonts w:cstheme="minorHAnsi"/>
          <w:color w:val="000000" w:themeColor="text1"/>
        </w:rPr>
        <w:t>during the course of</w:t>
      </w:r>
      <w:proofErr w:type="gramEnd"/>
      <w:r w:rsidRPr="00A45CE5">
        <w:rPr>
          <w:rFonts w:cstheme="minorHAnsi"/>
          <w:color w:val="000000" w:themeColor="text1"/>
        </w:rPr>
        <w:t xml:space="preserve"> a letting?</w:t>
      </w:r>
    </w:p>
    <w:p w14:paraId="6BCB9824" w14:textId="77777777" w:rsidR="00C22F2A" w:rsidRPr="00A45CE5" w:rsidRDefault="00C22F2A" w:rsidP="00C22F2A">
      <w:pPr>
        <w:rPr>
          <w:rFonts w:asciiTheme="minorHAnsi" w:hAnsiTheme="minorHAnsi" w:cstheme="minorHAnsi"/>
          <w:color w:val="000000" w:themeColor="text1"/>
          <w:sz w:val="22"/>
          <w:szCs w:val="22"/>
        </w:rPr>
      </w:pPr>
    </w:p>
    <w:p w14:paraId="7C989230"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Answer – </w:t>
      </w:r>
      <w:proofErr w:type="gramStart"/>
      <w:r w:rsidRPr="00A45CE5">
        <w:rPr>
          <w:rFonts w:asciiTheme="minorHAnsi" w:hAnsiTheme="minorHAnsi" w:cstheme="minorHAnsi"/>
          <w:color w:val="000000" w:themeColor="text1"/>
          <w:sz w:val="22"/>
          <w:szCs w:val="22"/>
        </w:rPr>
        <w:t>Yes it is</w:t>
      </w:r>
      <w:proofErr w:type="gramEnd"/>
      <w:r w:rsidRPr="00A45CE5">
        <w:rPr>
          <w:rFonts w:asciiTheme="minorHAnsi" w:hAnsiTheme="minorHAnsi" w:cstheme="minorHAnsi"/>
          <w:color w:val="000000" w:themeColor="text1"/>
          <w:sz w:val="22"/>
          <w:szCs w:val="22"/>
        </w:rPr>
        <w:t xml:space="preserve"> possible that the liability of the supply may change in certain circumstances, see Paragraph 5.6 Off-season letting of VAT Notice 709/03.</w:t>
      </w:r>
    </w:p>
    <w:p w14:paraId="042D380C" w14:textId="77777777" w:rsidR="00C22F2A" w:rsidRPr="00A45CE5" w:rsidRDefault="00C22F2A" w:rsidP="00C22F2A">
      <w:pPr>
        <w:ind w:left="429"/>
        <w:rPr>
          <w:rFonts w:asciiTheme="minorHAnsi" w:hAnsiTheme="minorHAnsi" w:cstheme="minorHAnsi"/>
          <w:color w:val="000000" w:themeColor="text1"/>
          <w:sz w:val="22"/>
          <w:szCs w:val="22"/>
        </w:rPr>
      </w:pPr>
    </w:p>
    <w:p w14:paraId="088B79C3" w14:textId="77777777" w:rsidR="00C22F2A" w:rsidRPr="00A45CE5" w:rsidRDefault="00C22F2A" w:rsidP="00C22F2A">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Any other supporting evidence or comments: </w:t>
      </w:r>
    </w:p>
    <w:p w14:paraId="69CAE5F5" w14:textId="77777777" w:rsidR="00C22F2A" w:rsidRPr="00A45CE5" w:rsidRDefault="00C22F2A" w:rsidP="00C22F2A">
      <w:pPr>
        <w:rPr>
          <w:rFonts w:asciiTheme="minorHAnsi" w:hAnsiTheme="minorHAnsi" w:cstheme="minorHAnsi"/>
          <w:bCs/>
          <w:color w:val="000000" w:themeColor="text1"/>
          <w:sz w:val="22"/>
          <w:szCs w:val="22"/>
        </w:rPr>
      </w:pPr>
    </w:p>
    <w:p w14:paraId="356956C1"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Date: </w:t>
      </w:r>
      <w:r w:rsidRPr="00A45CE5">
        <w:rPr>
          <w:rFonts w:asciiTheme="minorHAnsi" w:hAnsiTheme="minorHAnsi" w:cstheme="minorHAnsi"/>
          <w:bCs/>
          <w:color w:val="000000" w:themeColor="text1"/>
          <w:sz w:val="22"/>
          <w:szCs w:val="22"/>
        </w:rPr>
        <w:t>16 September 2023</w:t>
      </w:r>
    </w:p>
    <w:p w14:paraId="180E9B35" w14:textId="55B30006" w:rsidR="00C22F2A" w:rsidRPr="00A45CE5" w:rsidRDefault="00C22F2A" w:rsidP="00C22F2A">
      <w:pPr>
        <w:rPr>
          <w:rFonts w:asciiTheme="minorHAnsi" w:hAnsiTheme="minorHAnsi" w:cstheme="minorHAnsi"/>
          <w:color w:val="000000" w:themeColor="text1"/>
          <w:sz w:val="22"/>
          <w:szCs w:val="22"/>
        </w:rPr>
      </w:pPr>
    </w:p>
    <w:p w14:paraId="4F14CF3B" w14:textId="594A2CC0" w:rsidR="00C22F2A" w:rsidRPr="00A45CE5" w:rsidRDefault="00C22F2A" w:rsidP="00C22F2A">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Annex </w:t>
      </w:r>
      <w:r w:rsidR="00EA6982" w:rsidRPr="00A45CE5">
        <w:rPr>
          <w:rFonts w:asciiTheme="minorHAnsi" w:hAnsiTheme="minorHAnsi" w:cstheme="minorHAnsi"/>
          <w:b/>
          <w:bCs/>
          <w:color w:val="000000" w:themeColor="text1"/>
          <w:sz w:val="22"/>
          <w:szCs w:val="22"/>
        </w:rPr>
        <w:t>5</w:t>
      </w:r>
      <w:r w:rsidRPr="00A45CE5">
        <w:rPr>
          <w:rFonts w:asciiTheme="minorHAnsi" w:hAnsiTheme="minorHAnsi" w:cstheme="minorHAnsi"/>
          <w:b/>
          <w:bCs/>
          <w:color w:val="000000" w:themeColor="text1"/>
          <w:sz w:val="22"/>
          <w:szCs w:val="22"/>
        </w:rPr>
        <w:t xml:space="preserve"> – HMRC reply to Catchpole and Fox </w:t>
      </w:r>
    </w:p>
    <w:p w14:paraId="2B64A98A" w14:textId="4FC8CC01" w:rsidR="00C22F2A" w:rsidRPr="00A45CE5" w:rsidRDefault="00C22F2A" w:rsidP="00C22F2A">
      <w:pPr>
        <w:rPr>
          <w:rFonts w:asciiTheme="minorHAnsi" w:hAnsiTheme="minorHAnsi" w:cstheme="minorHAnsi"/>
          <w:b/>
          <w:bCs/>
          <w:color w:val="000000" w:themeColor="text1"/>
          <w:sz w:val="22"/>
          <w:szCs w:val="22"/>
        </w:rPr>
      </w:pPr>
    </w:p>
    <w:p w14:paraId="734B717C" w14:textId="77777777" w:rsidR="00C22F2A" w:rsidRPr="00A45CE5" w:rsidRDefault="00C22F2A" w:rsidP="00C22F2A">
      <w:pPr>
        <w:rPr>
          <w:rFonts w:asciiTheme="minorHAnsi" w:hAnsiTheme="minorHAnsi" w:cstheme="minorHAnsi"/>
          <w:b/>
          <w:color w:val="000000" w:themeColor="text1"/>
          <w:sz w:val="22"/>
          <w:szCs w:val="22"/>
        </w:rPr>
      </w:pPr>
      <w:r w:rsidRPr="00A45CE5">
        <w:rPr>
          <w:rFonts w:asciiTheme="minorHAnsi" w:hAnsiTheme="minorHAnsi" w:cstheme="minorHAnsi"/>
          <w:b/>
          <w:color w:val="000000" w:themeColor="text1"/>
          <w:sz w:val="22"/>
          <w:szCs w:val="22"/>
        </w:rPr>
        <w:t xml:space="preserve">Subject: </w:t>
      </w:r>
      <w:r w:rsidRPr="00A45CE5">
        <w:rPr>
          <w:rFonts w:asciiTheme="minorHAnsi" w:hAnsiTheme="minorHAnsi" w:cstheme="minorHAnsi"/>
          <w:bCs/>
          <w:color w:val="000000" w:themeColor="text1"/>
          <w:sz w:val="22"/>
          <w:szCs w:val="22"/>
        </w:rPr>
        <w:t>Catchpole and Fox</w:t>
      </w:r>
    </w:p>
    <w:p w14:paraId="29E3CAA0"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Representative body: </w:t>
      </w:r>
      <w:r w:rsidRPr="00A45CE5">
        <w:rPr>
          <w:rFonts w:asciiTheme="minorHAnsi" w:hAnsiTheme="minorHAnsi" w:cstheme="minorHAnsi"/>
          <w:bCs/>
          <w:color w:val="000000" w:themeColor="text1"/>
          <w:sz w:val="22"/>
          <w:szCs w:val="22"/>
        </w:rPr>
        <w:t>BPF</w:t>
      </w:r>
    </w:p>
    <w:p w14:paraId="34AF389A" w14:textId="77777777" w:rsidR="00C22F2A" w:rsidRPr="00A45CE5" w:rsidRDefault="00C22F2A" w:rsidP="00C22F2A">
      <w:pPr>
        <w:rPr>
          <w:rFonts w:asciiTheme="minorHAnsi" w:hAnsiTheme="minorHAnsi" w:cstheme="minorHAnsi"/>
          <w:b/>
          <w:color w:val="000000" w:themeColor="text1"/>
          <w:sz w:val="22"/>
          <w:szCs w:val="22"/>
        </w:rPr>
      </w:pPr>
      <w:r w:rsidRPr="00A45CE5">
        <w:rPr>
          <w:rFonts w:asciiTheme="minorHAnsi" w:hAnsiTheme="minorHAnsi" w:cstheme="minorHAnsi"/>
          <w:b/>
          <w:color w:val="000000" w:themeColor="text1"/>
          <w:sz w:val="22"/>
          <w:szCs w:val="22"/>
        </w:rPr>
        <w:t xml:space="preserve">Representative(s): </w:t>
      </w:r>
      <w:r w:rsidRPr="00A45CE5">
        <w:rPr>
          <w:rFonts w:asciiTheme="minorHAnsi" w:hAnsiTheme="minorHAnsi" w:cstheme="minorHAnsi"/>
          <w:bCs/>
          <w:color w:val="000000" w:themeColor="text1"/>
          <w:sz w:val="22"/>
          <w:szCs w:val="22"/>
        </w:rPr>
        <w:t>Martin Scammell</w:t>
      </w:r>
    </w:p>
    <w:p w14:paraId="4D3FEDFA"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 xml:space="preserve">LPLG priority level: </w:t>
      </w:r>
      <w:r w:rsidRPr="00A45CE5">
        <w:rPr>
          <w:rFonts w:asciiTheme="minorHAnsi" w:hAnsiTheme="minorHAnsi" w:cstheme="minorHAnsi"/>
          <w:bCs/>
          <w:color w:val="000000" w:themeColor="text1"/>
          <w:sz w:val="22"/>
          <w:szCs w:val="22"/>
        </w:rPr>
        <w:t>If HMRC already know the answer, there is no obvious reason why it cannot be provided at the October meeting. If they do not, the matter may not be time-critical, in that it is not new.</w:t>
      </w:r>
    </w:p>
    <w:p w14:paraId="28997114" w14:textId="77777777" w:rsidR="00C22F2A" w:rsidRPr="00A45CE5" w:rsidRDefault="00C22F2A" w:rsidP="00C22F2A">
      <w:pPr>
        <w:rPr>
          <w:rFonts w:asciiTheme="minorHAnsi" w:hAnsiTheme="minorHAnsi" w:cstheme="minorHAnsi"/>
          <w:bCs/>
          <w:color w:val="000000" w:themeColor="text1"/>
          <w:sz w:val="22"/>
          <w:szCs w:val="22"/>
        </w:rPr>
      </w:pPr>
    </w:p>
    <w:p w14:paraId="2193DD44" w14:textId="77777777" w:rsidR="00C22F2A" w:rsidRPr="00A45CE5" w:rsidRDefault="00C22F2A" w:rsidP="00C22F2A">
      <w:pPr>
        <w:rPr>
          <w:rFonts w:asciiTheme="minorHAnsi" w:hAnsiTheme="minorHAnsi" w:cstheme="minorHAnsi"/>
          <w:b/>
          <w:color w:val="000000" w:themeColor="text1"/>
          <w:sz w:val="22"/>
          <w:szCs w:val="22"/>
        </w:rPr>
      </w:pPr>
      <w:r w:rsidRPr="00A45CE5">
        <w:rPr>
          <w:rFonts w:asciiTheme="minorHAnsi" w:hAnsiTheme="minorHAnsi" w:cstheme="minorHAnsi"/>
          <w:b/>
          <w:color w:val="000000" w:themeColor="text1"/>
          <w:sz w:val="22"/>
          <w:szCs w:val="22"/>
        </w:rPr>
        <w:lastRenderedPageBreak/>
        <w:t xml:space="preserve">Description of the supply: </w:t>
      </w:r>
    </w:p>
    <w:p w14:paraId="409C3ABE" w14:textId="77777777" w:rsidR="00C22F2A" w:rsidRPr="00A45CE5" w:rsidRDefault="00C22F2A" w:rsidP="00C22F2A">
      <w:pPr>
        <w:rPr>
          <w:rFonts w:asciiTheme="minorHAnsi" w:hAnsiTheme="minorHAnsi" w:cstheme="minorHAnsi"/>
          <w:bCs/>
          <w:color w:val="000000" w:themeColor="text1"/>
          <w:sz w:val="22"/>
          <w:szCs w:val="22"/>
        </w:rPr>
      </w:pPr>
    </w:p>
    <w:p w14:paraId="448657FA" w14:textId="77777777" w:rsidR="00C22F2A" w:rsidRPr="00A45CE5" w:rsidRDefault="00C22F2A" w:rsidP="00C22F2A">
      <w:pPr>
        <w:rPr>
          <w:rFonts w:asciiTheme="minorHAnsi" w:hAnsiTheme="minorHAnsi" w:cstheme="minorHAnsi"/>
          <w:bCs/>
          <w:i/>
          <w:iCs/>
          <w:color w:val="000000" w:themeColor="text1"/>
          <w:sz w:val="22"/>
          <w:szCs w:val="22"/>
        </w:rPr>
      </w:pPr>
      <w:r w:rsidRPr="00A45CE5">
        <w:rPr>
          <w:rFonts w:asciiTheme="minorHAnsi" w:hAnsiTheme="minorHAnsi" w:cstheme="minorHAnsi"/>
          <w:bCs/>
          <w:i/>
          <w:iCs/>
          <w:color w:val="000000" w:themeColor="text1"/>
          <w:sz w:val="22"/>
          <w:szCs w:val="22"/>
        </w:rPr>
        <w:t xml:space="preserve">What type of taxpayer is affected? </w:t>
      </w:r>
    </w:p>
    <w:p w14:paraId="5664C233"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 xml:space="preserve">The example given below is of someone commissioning the construction of flats and associated facilities, but the question is potentially more wide-ranging. </w:t>
      </w:r>
    </w:p>
    <w:p w14:paraId="727AF91D" w14:textId="77777777" w:rsidR="00C22F2A" w:rsidRPr="00A45CE5" w:rsidRDefault="00C22F2A" w:rsidP="00C22F2A">
      <w:pPr>
        <w:rPr>
          <w:rFonts w:asciiTheme="minorHAnsi" w:hAnsiTheme="minorHAnsi" w:cstheme="minorHAnsi"/>
          <w:b/>
          <w:color w:val="000000" w:themeColor="text1"/>
          <w:sz w:val="22"/>
          <w:szCs w:val="22"/>
        </w:rPr>
      </w:pPr>
    </w:p>
    <w:p w14:paraId="72B3BE86" w14:textId="77777777" w:rsidR="00C22F2A" w:rsidRPr="00A45CE5" w:rsidRDefault="00C22F2A" w:rsidP="00C22F2A">
      <w:pPr>
        <w:rPr>
          <w:rFonts w:asciiTheme="minorHAnsi" w:hAnsiTheme="minorHAnsi" w:cstheme="minorHAnsi"/>
          <w:bCs/>
          <w:i/>
          <w:iCs/>
          <w:color w:val="000000" w:themeColor="text1"/>
          <w:sz w:val="22"/>
          <w:szCs w:val="22"/>
        </w:rPr>
      </w:pPr>
      <w:r w:rsidRPr="00A45CE5">
        <w:rPr>
          <w:rFonts w:asciiTheme="minorHAnsi" w:hAnsiTheme="minorHAnsi" w:cstheme="minorHAnsi"/>
          <w:bCs/>
          <w:i/>
          <w:iCs/>
          <w:color w:val="000000" w:themeColor="text1"/>
          <w:sz w:val="22"/>
          <w:szCs w:val="22"/>
        </w:rPr>
        <w:t xml:space="preserve">What type of supply is being made? </w:t>
      </w:r>
    </w:p>
    <w:p w14:paraId="6312A789"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In the example, construction work.</w:t>
      </w:r>
    </w:p>
    <w:p w14:paraId="5DB22F13" w14:textId="77777777" w:rsidR="00C22F2A" w:rsidRPr="00A45CE5" w:rsidRDefault="00C22F2A" w:rsidP="00C22F2A">
      <w:pPr>
        <w:rPr>
          <w:rFonts w:asciiTheme="minorHAnsi" w:hAnsiTheme="minorHAnsi" w:cstheme="minorHAnsi"/>
          <w:bCs/>
          <w:color w:val="000000" w:themeColor="text1"/>
          <w:sz w:val="22"/>
          <w:szCs w:val="22"/>
        </w:rPr>
      </w:pPr>
    </w:p>
    <w:p w14:paraId="17C4D2DB" w14:textId="77777777" w:rsidR="00C22F2A" w:rsidRPr="00A45CE5" w:rsidRDefault="00C22F2A" w:rsidP="00C22F2A">
      <w:pPr>
        <w:rPr>
          <w:rFonts w:asciiTheme="minorHAnsi" w:hAnsiTheme="minorHAnsi" w:cstheme="minorHAnsi"/>
          <w:b/>
          <w:i/>
          <w:iCs/>
          <w:color w:val="000000" w:themeColor="text1"/>
          <w:sz w:val="22"/>
          <w:szCs w:val="22"/>
        </w:rPr>
      </w:pPr>
      <w:r w:rsidRPr="00A45CE5">
        <w:rPr>
          <w:rFonts w:asciiTheme="minorHAnsi" w:hAnsiTheme="minorHAnsi" w:cstheme="minorHAnsi"/>
          <w:bCs/>
          <w:i/>
          <w:iCs/>
          <w:color w:val="000000" w:themeColor="text1"/>
          <w:sz w:val="22"/>
          <w:szCs w:val="22"/>
        </w:rPr>
        <w:t xml:space="preserve">Who is making and receiving the supply/payment? </w:t>
      </w:r>
    </w:p>
    <w:p w14:paraId="663577EB"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In the example, a contractor is making the supply to the developer, who is paying for it.</w:t>
      </w:r>
    </w:p>
    <w:p w14:paraId="2C465BCC" w14:textId="77777777" w:rsidR="00C22F2A" w:rsidRPr="00A45CE5" w:rsidRDefault="00C22F2A" w:rsidP="00C22F2A">
      <w:pPr>
        <w:rPr>
          <w:rFonts w:asciiTheme="minorHAnsi" w:hAnsiTheme="minorHAnsi" w:cstheme="minorHAnsi"/>
          <w:color w:val="000000" w:themeColor="text1"/>
          <w:sz w:val="22"/>
          <w:szCs w:val="22"/>
        </w:rPr>
      </w:pPr>
    </w:p>
    <w:p w14:paraId="223C6A64" w14:textId="77777777" w:rsidR="00C22F2A" w:rsidRPr="00A45CE5" w:rsidRDefault="00C22F2A" w:rsidP="00C22F2A">
      <w:pPr>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Potential impact?</w:t>
      </w:r>
    </w:p>
    <w:p w14:paraId="02CA4A89" w14:textId="77777777" w:rsidR="00C22F2A" w:rsidRPr="00A45CE5" w:rsidRDefault="00C22F2A" w:rsidP="00C22F2A">
      <w:pPr>
        <w:rPr>
          <w:rFonts w:asciiTheme="minorHAnsi" w:hAnsiTheme="minorHAnsi" w:cstheme="minorHAnsi"/>
          <w:color w:val="000000" w:themeColor="text1"/>
          <w:sz w:val="22"/>
          <w:szCs w:val="22"/>
        </w:rPr>
      </w:pPr>
    </w:p>
    <w:p w14:paraId="259A12D5"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In the example, the point is relevant to whether the contractor should be charging VAT, and to whether the developer is at risk of an assessment if they seek to recover VAT that the contractor purports to charge.</w:t>
      </w:r>
    </w:p>
    <w:p w14:paraId="22D13D8A" w14:textId="77777777" w:rsidR="00C22F2A" w:rsidRPr="00A45CE5" w:rsidRDefault="00C22F2A" w:rsidP="00C22F2A">
      <w:pPr>
        <w:rPr>
          <w:rFonts w:asciiTheme="minorHAnsi" w:hAnsiTheme="minorHAnsi" w:cstheme="minorHAnsi"/>
          <w:color w:val="000000" w:themeColor="text1"/>
          <w:sz w:val="22"/>
          <w:szCs w:val="22"/>
        </w:rPr>
      </w:pPr>
    </w:p>
    <w:p w14:paraId="50329E8A" w14:textId="77777777" w:rsidR="00C22F2A" w:rsidRPr="00A45CE5" w:rsidRDefault="00C22F2A" w:rsidP="00C22F2A">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The question for HMRC: </w:t>
      </w:r>
    </w:p>
    <w:p w14:paraId="40F8F1F1" w14:textId="77777777" w:rsidR="00C22F2A" w:rsidRPr="00A45CE5" w:rsidRDefault="00C22F2A" w:rsidP="00C22F2A">
      <w:pPr>
        <w:rPr>
          <w:rFonts w:asciiTheme="minorHAnsi" w:hAnsiTheme="minorHAnsi" w:cstheme="minorHAnsi"/>
          <w:color w:val="000000" w:themeColor="text1"/>
          <w:sz w:val="22"/>
          <w:szCs w:val="22"/>
        </w:rPr>
      </w:pPr>
    </w:p>
    <w:p w14:paraId="29669447" w14:textId="77777777" w:rsidR="00C22F2A" w:rsidRPr="00A45CE5" w:rsidRDefault="00C22F2A" w:rsidP="00C22F2A">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VCONST14010 says that:</w:t>
      </w:r>
    </w:p>
    <w:p w14:paraId="5F532695" w14:textId="77777777" w:rsidR="00C22F2A" w:rsidRPr="00A45CE5" w:rsidRDefault="00C22F2A" w:rsidP="00C22F2A">
      <w:pPr>
        <w:rPr>
          <w:rFonts w:asciiTheme="minorHAnsi" w:hAnsiTheme="minorHAnsi" w:cstheme="minorHAnsi"/>
          <w:color w:val="000000" w:themeColor="text1"/>
          <w:sz w:val="22"/>
          <w:szCs w:val="22"/>
        </w:rPr>
      </w:pPr>
    </w:p>
    <w:p w14:paraId="13FC0437" w14:textId="77777777" w:rsidR="00C22F2A" w:rsidRPr="00A45CE5" w:rsidRDefault="00C22F2A" w:rsidP="00C22F2A">
      <w:pPr>
        <w:ind w:left="720"/>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‘The law generally refers to a ‘building’ rather than ‘</w:t>
      </w:r>
      <w:proofErr w:type="gramStart"/>
      <w:r w:rsidRPr="00A45CE5">
        <w:rPr>
          <w:rFonts w:asciiTheme="minorHAnsi" w:hAnsiTheme="minorHAnsi" w:cstheme="minorHAnsi"/>
          <w:color w:val="000000" w:themeColor="text1"/>
          <w:sz w:val="22"/>
          <w:szCs w:val="22"/>
        </w:rPr>
        <w:t>buildings’</w:t>
      </w:r>
      <w:proofErr w:type="gramEnd"/>
      <w:r w:rsidRPr="00A45CE5">
        <w:rPr>
          <w:rFonts w:asciiTheme="minorHAnsi" w:hAnsiTheme="minorHAnsi" w:cstheme="minorHAnsi"/>
          <w:color w:val="000000" w:themeColor="text1"/>
          <w:sz w:val="22"/>
          <w:szCs w:val="22"/>
        </w:rPr>
        <w:t xml:space="preserve">. However, following the First-tier Tribunal decisions in Mark Catchpole (TC01995) and Mr T Fox (TC01957) HMRC has accepted that in certain cases, under the Interpretation Act, the term ‘building’ can refer to more than one building. For example, a dwelling can consist of more than one building. Throughout this guidance reference to building can also refer to buildings unless the </w:t>
      </w:r>
      <w:bookmarkStart w:id="7" w:name="_Hlk145750489"/>
      <w:r w:rsidRPr="00A45CE5">
        <w:rPr>
          <w:rFonts w:asciiTheme="minorHAnsi" w:hAnsiTheme="minorHAnsi" w:cstheme="minorHAnsi"/>
          <w:color w:val="000000" w:themeColor="text1"/>
          <w:sz w:val="22"/>
          <w:szCs w:val="22"/>
        </w:rPr>
        <w:t>context clearly indicates otherwise</w:t>
      </w:r>
      <w:bookmarkEnd w:id="7"/>
      <w:r w:rsidRPr="00A45CE5">
        <w:rPr>
          <w:rFonts w:asciiTheme="minorHAnsi" w:hAnsiTheme="minorHAnsi" w:cstheme="minorHAnsi"/>
          <w:color w:val="000000" w:themeColor="text1"/>
          <w:sz w:val="22"/>
          <w:szCs w:val="22"/>
        </w:rPr>
        <w:t>.’</w:t>
      </w:r>
    </w:p>
    <w:p w14:paraId="463A5C8A" w14:textId="77777777" w:rsidR="00C22F2A" w:rsidRPr="00A45CE5" w:rsidRDefault="00C22F2A" w:rsidP="00C22F2A">
      <w:pPr>
        <w:rPr>
          <w:rFonts w:asciiTheme="minorHAnsi" w:hAnsiTheme="minorHAnsi" w:cstheme="minorHAnsi"/>
          <w:color w:val="000000" w:themeColor="text1"/>
          <w:sz w:val="22"/>
          <w:szCs w:val="22"/>
        </w:rPr>
      </w:pPr>
    </w:p>
    <w:p w14:paraId="47FCFA91" w14:textId="77777777" w:rsidR="00C22F2A" w:rsidRPr="00A45CE5" w:rsidRDefault="00C22F2A" w:rsidP="00C22F2A">
      <w:pPr>
        <w:pStyle w:val="ListParagraph"/>
        <w:numPr>
          <w:ilvl w:val="0"/>
          <w:numId w:val="8"/>
        </w:numPr>
        <w:spacing w:after="0" w:line="240" w:lineRule="auto"/>
        <w:rPr>
          <w:rFonts w:cstheme="minorHAnsi"/>
          <w:i/>
          <w:iCs/>
          <w:color w:val="000000" w:themeColor="text1"/>
        </w:rPr>
      </w:pPr>
      <w:r w:rsidRPr="00A45CE5">
        <w:rPr>
          <w:rFonts w:cstheme="minorHAnsi"/>
          <w:color w:val="000000" w:themeColor="text1"/>
        </w:rPr>
        <w:t xml:space="preserve">Can HMRC confirm that ‘this guidance’ refers to the entirety of VCONST? If not, what does it refer to? – </w:t>
      </w:r>
    </w:p>
    <w:p w14:paraId="678A56C1" w14:textId="79A3F6A2" w:rsidR="00C22F2A" w:rsidRPr="00A45CE5" w:rsidRDefault="00C22F2A" w:rsidP="006A7B58">
      <w:pPr>
        <w:pStyle w:val="ListParagraph"/>
        <w:rPr>
          <w:rFonts w:cstheme="minorHAnsi"/>
          <w:i/>
          <w:iCs/>
          <w:color w:val="000000" w:themeColor="text1"/>
        </w:rPr>
      </w:pPr>
      <w:r w:rsidRPr="00A45CE5">
        <w:rPr>
          <w:rFonts w:cstheme="minorHAnsi"/>
          <w:color w:val="000000" w:themeColor="text1"/>
        </w:rPr>
        <w:t xml:space="preserve">Answer: </w:t>
      </w:r>
      <w:r w:rsidRPr="00A45CE5">
        <w:rPr>
          <w:rFonts w:cstheme="minorHAnsi"/>
          <w:i/>
          <w:iCs/>
          <w:color w:val="000000" w:themeColor="text1"/>
        </w:rPr>
        <w:t xml:space="preserve">HMRC can confirm that when the legislation refers to a building, following catchpole if that building consists of more than one building to be used at the same time to create a single unit then a “building” can comprise of more than one building. This term refers to any reference to a new build for the purposes of the VCONST. </w:t>
      </w:r>
    </w:p>
    <w:p w14:paraId="412F194F" w14:textId="77777777" w:rsidR="00C22F2A" w:rsidRPr="00A45CE5" w:rsidRDefault="00C22F2A" w:rsidP="00C22F2A">
      <w:pPr>
        <w:pStyle w:val="ListParagraph"/>
        <w:rPr>
          <w:rFonts w:cstheme="minorHAnsi"/>
          <w:color w:val="000000" w:themeColor="text1"/>
        </w:rPr>
      </w:pPr>
    </w:p>
    <w:p w14:paraId="46EAB474" w14:textId="77777777" w:rsidR="00C22F2A" w:rsidRPr="00A45CE5" w:rsidRDefault="00C22F2A" w:rsidP="00C22F2A">
      <w:pPr>
        <w:pStyle w:val="ListParagraph"/>
        <w:numPr>
          <w:ilvl w:val="0"/>
          <w:numId w:val="8"/>
        </w:numPr>
        <w:spacing w:after="0" w:line="240" w:lineRule="auto"/>
        <w:rPr>
          <w:rFonts w:cstheme="minorHAnsi"/>
          <w:color w:val="000000" w:themeColor="text1"/>
        </w:rPr>
      </w:pPr>
      <w:r w:rsidRPr="00A45CE5">
        <w:rPr>
          <w:rFonts w:cstheme="minorHAnsi"/>
          <w:color w:val="000000" w:themeColor="text1"/>
        </w:rPr>
        <w:t>The wording quoted above was added in June 2022, and so post-dates most of the manual. References to ‘building’ are therefore likely to be older, and so not specifically to say that they cannot refer to more than one building. Can HMRC give an indication of how readers might tell that the ‘context clearly indicates otherwise’? - Are they aware of any instances in the manual where ‘building’ cannot be read as ‘</w:t>
      </w:r>
      <w:proofErr w:type="gramStart"/>
      <w:r w:rsidRPr="00A45CE5">
        <w:rPr>
          <w:rFonts w:cstheme="minorHAnsi"/>
          <w:color w:val="000000" w:themeColor="text1"/>
        </w:rPr>
        <w:t>buildings’</w:t>
      </w:r>
      <w:proofErr w:type="gramEnd"/>
      <w:r w:rsidRPr="00A45CE5">
        <w:rPr>
          <w:rFonts w:cstheme="minorHAnsi"/>
          <w:color w:val="000000" w:themeColor="text1"/>
        </w:rPr>
        <w:t xml:space="preserve">? </w:t>
      </w:r>
    </w:p>
    <w:p w14:paraId="3519AE4B" w14:textId="77777777" w:rsidR="00C22F2A" w:rsidRPr="00A45CE5" w:rsidRDefault="00C22F2A" w:rsidP="00C22F2A">
      <w:pPr>
        <w:pStyle w:val="ListParagraph"/>
        <w:rPr>
          <w:rFonts w:cstheme="minorHAnsi"/>
          <w:color w:val="000000" w:themeColor="text1"/>
        </w:rPr>
      </w:pPr>
    </w:p>
    <w:p w14:paraId="35403928" w14:textId="1CC6C34D" w:rsidR="00C22F2A" w:rsidRPr="00A45CE5" w:rsidRDefault="00C22F2A" w:rsidP="00C22F2A">
      <w:pPr>
        <w:pStyle w:val="ListParagraph"/>
        <w:rPr>
          <w:rFonts w:cstheme="minorHAnsi"/>
          <w:color w:val="000000" w:themeColor="text1"/>
        </w:rPr>
      </w:pPr>
      <w:r w:rsidRPr="00A45CE5">
        <w:rPr>
          <w:rFonts w:cstheme="minorHAnsi"/>
          <w:color w:val="000000" w:themeColor="text1"/>
        </w:rPr>
        <w:t xml:space="preserve">Answer: </w:t>
      </w:r>
      <w:r w:rsidRPr="00A45CE5">
        <w:rPr>
          <w:rFonts w:cstheme="minorHAnsi"/>
          <w:i/>
          <w:iCs/>
          <w:color w:val="000000" w:themeColor="text1"/>
        </w:rPr>
        <w:t>We will look at the guidance to ensure that there is a common thread throughout the guidance.</w:t>
      </w:r>
    </w:p>
    <w:p w14:paraId="7BDD7910" w14:textId="77777777" w:rsidR="00C22F2A" w:rsidRPr="00A45CE5" w:rsidRDefault="00C22F2A" w:rsidP="00C22F2A">
      <w:pPr>
        <w:pStyle w:val="ListParagraph"/>
        <w:rPr>
          <w:rFonts w:cstheme="minorHAnsi"/>
          <w:color w:val="000000" w:themeColor="text1"/>
        </w:rPr>
      </w:pPr>
    </w:p>
    <w:p w14:paraId="7A7A4A3A" w14:textId="77777777" w:rsidR="00C22F2A" w:rsidRPr="00A45CE5" w:rsidRDefault="00C22F2A" w:rsidP="00C22F2A">
      <w:pPr>
        <w:pStyle w:val="ListParagraph"/>
        <w:numPr>
          <w:ilvl w:val="0"/>
          <w:numId w:val="8"/>
        </w:numPr>
        <w:spacing w:after="0" w:line="240" w:lineRule="auto"/>
        <w:rPr>
          <w:rFonts w:cstheme="minorHAnsi"/>
          <w:i/>
          <w:iCs/>
          <w:color w:val="000000" w:themeColor="text1"/>
        </w:rPr>
      </w:pPr>
      <w:r w:rsidRPr="00A45CE5">
        <w:rPr>
          <w:rFonts w:cstheme="minorHAnsi"/>
          <w:color w:val="000000" w:themeColor="text1"/>
        </w:rPr>
        <w:t xml:space="preserve">Catchpole and Fox were both about whether the reference in Sch 8 Group 5 Note 2 to ‘a building … designed as a dwelling’ included two buildings that, together, served as a dwelling. Are HMRC content that the same point can apply to the reference, also in Note 2, to ‘a building … designed as a number of </w:t>
      </w:r>
      <w:proofErr w:type="gramStart"/>
      <w:r w:rsidRPr="00A45CE5">
        <w:rPr>
          <w:rFonts w:cstheme="minorHAnsi"/>
          <w:color w:val="000000" w:themeColor="text1"/>
        </w:rPr>
        <w:t>dwellings’</w:t>
      </w:r>
      <w:proofErr w:type="gramEnd"/>
      <w:r w:rsidRPr="00A45CE5">
        <w:rPr>
          <w:rFonts w:cstheme="minorHAnsi"/>
          <w:color w:val="000000" w:themeColor="text1"/>
        </w:rPr>
        <w:t xml:space="preserve">? </w:t>
      </w:r>
    </w:p>
    <w:p w14:paraId="407E972B" w14:textId="77777777" w:rsidR="00C22F2A" w:rsidRPr="00A45CE5" w:rsidRDefault="00C22F2A" w:rsidP="00C22F2A">
      <w:pPr>
        <w:pStyle w:val="ListParagraph"/>
        <w:rPr>
          <w:rFonts w:cstheme="minorHAnsi"/>
          <w:color w:val="000000" w:themeColor="text1"/>
        </w:rPr>
      </w:pPr>
    </w:p>
    <w:p w14:paraId="537A2F73" w14:textId="13E795A7" w:rsidR="00C22F2A" w:rsidRPr="00A45CE5" w:rsidRDefault="00C22F2A" w:rsidP="00C22F2A">
      <w:pPr>
        <w:pStyle w:val="ListParagraph"/>
        <w:rPr>
          <w:rFonts w:cstheme="minorHAnsi"/>
          <w:i/>
          <w:iCs/>
          <w:color w:val="000000" w:themeColor="text1"/>
        </w:rPr>
      </w:pPr>
      <w:r w:rsidRPr="00A45CE5">
        <w:rPr>
          <w:rFonts w:cstheme="minorHAnsi"/>
          <w:color w:val="000000" w:themeColor="text1"/>
        </w:rPr>
        <w:lastRenderedPageBreak/>
        <w:t xml:space="preserve">Answer: </w:t>
      </w:r>
      <w:r w:rsidRPr="00A45CE5">
        <w:rPr>
          <w:rFonts w:cstheme="minorHAnsi"/>
          <w:i/>
          <w:iCs/>
          <w:color w:val="000000" w:themeColor="text1"/>
        </w:rPr>
        <w:t xml:space="preserve">Building designed as </w:t>
      </w:r>
      <w:proofErr w:type="gramStart"/>
      <w:r w:rsidRPr="00A45CE5">
        <w:rPr>
          <w:rFonts w:cstheme="minorHAnsi"/>
          <w:i/>
          <w:iCs/>
          <w:color w:val="000000" w:themeColor="text1"/>
        </w:rPr>
        <w:t>a number of</w:t>
      </w:r>
      <w:proofErr w:type="gramEnd"/>
      <w:r w:rsidRPr="00A45CE5">
        <w:rPr>
          <w:rFonts w:cstheme="minorHAnsi"/>
          <w:i/>
          <w:iCs/>
          <w:color w:val="000000" w:themeColor="text1"/>
        </w:rPr>
        <w:t xml:space="preserve"> dwellings will follow the same rules, only additional building that are integral to create a single living unit would apply. </w:t>
      </w:r>
    </w:p>
    <w:p w14:paraId="117B3F06" w14:textId="77777777" w:rsidR="00C22F2A" w:rsidRPr="00A45CE5" w:rsidRDefault="00C22F2A" w:rsidP="00C22F2A">
      <w:pPr>
        <w:pStyle w:val="ListParagraph"/>
        <w:rPr>
          <w:rFonts w:cstheme="minorHAnsi"/>
          <w:color w:val="000000" w:themeColor="text1"/>
        </w:rPr>
      </w:pPr>
    </w:p>
    <w:p w14:paraId="402D8067" w14:textId="77777777" w:rsidR="00C22F2A" w:rsidRPr="00A45CE5" w:rsidRDefault="00C22F2A" w:rsidP="00C22F2A">
      <w:pPr>
        <w:pStyle w:val="ListParagraph"/>
        <w:numPr>
          <w:ilvl w:val="0"/>
          <w:numId w:val="8"/>
        </w:numPr>
        <w:spacing w:after="0" w:line="240" w:lineRule="auto"/>
        <w:rPr>
          <w:rFonts w:cstheme="minorHAnsi"/>
          <w:color w:val="000000" w:themeColor="text1"/>
        </w:rPr>
      </w:pPr>
      <w:r w:rsidRPr="00A45CE5">
        <w:rPr>
          <w:rFonts w:cstheme="minorHAnsi"/>
          <w:color w:val="000000" w:themeColor="text1"/>
        </w:rPr>
        <w:t xml:space="preserve">VCONST14190 says that: </w:t>
      </w:r>
    </w:p>
    <w:p w14:paraId="2CA3C43D" w14:textId="77777777" w:rsidR="00C22F2A" w:rsidRPr="00A45CE5" w:rsidRDefault="00C22F2A" w:rsidP="00C22F2A">
      <w:pPr>
        <w:pStyle w:val="ListParagraph"/>
        <w:rPr>
          <w:rFonts w:cstheme="minorHAnsi"/>
          <w:color w:val="000000" w:themeColor="text1"/>
        </w:rPr>
      </w:pPr>
    </w:p>
    <w:p w14:paraId="21AC2351" w14:textId="77777777" w:rsidR="00C22F2A" w:rsidRPr="00A45CE5" w:rsidRDefault="00C22F2A" w:rsidP="00C22F2A">
      <w:pPr>
        <w:pStyle w:val="ListParagraph"/>
        <w:ind w:left="1440"/>
        <w:rPr>
          <w:rFonts w:cstheme="minorHAnsi"/>
          <w:color w:val="000000" w:themeColor="text1"/>
        </w:rPr>
      </w:pPr>
      <w:r w:rsidRPr="00A45CE5">
        <w:rPr>
          <w:rFonts w:cstheme="minorHAnsi"/>
          <w:color w:val="000000" w:themeColor="text1"/>
        </w:rPr>
        <w:t>‘Shared living and leisure facilities in blocks of flats, such as lounges, laundries, swimming pools that are used only by the residents and their guests are accepted as part of a building designed as number of dwellings.’</w:t>
      </w:r>
    </w:p>
    <w:p w14:paraId="63D39505" w14:textId="77777777" w:rsidR="00C22F2A" w:rsidRPr="00A45CE5" w:rsidRDefault="00C22F2A" w:rsidP="00C22F2A">
      <w:pPr>
        <w:pStyle w:val="ListParagraph"/>
        <w:rPr>
          <w:rFonts w:cstheme="minorHAnsi"/>
          <w:color w:val="000000" w:themeColor="text1"/>
        </w:rPr>
      </w:pPr>
    </w:p>
    <w:p w14:paraId="4708BC4E" w14:textId="77777777" w:rsidR="00C22F2A" w:rsidRPr="00A45CE5" w:rsidRDefault="00C22F2A" w:rsidP="00C22F2A">
      <w:pPr>
        <w:pStyle w:val="ListParagraph"/>
        <w:rPr>
          <w:rFonts w:cstheme="minorHAnsi"/>
          <w:color w:val="000000" w:themeColor="text1"/>
        </w:rPr>
      </w:pPr>
      <w:r w:rsidRPr="00A45CE5">
        <w:rPr>
          <w:rFonts w:cstheme="minorHAnsi"/>
          <w:color w:val="000000" w:themeColor="text1"/>
        </w:rPr>
        <w:t xml:space="preserve">Is this a case where the reference to a building can include more than one building, or in which ‘the context clearly indicates otherwise’? </w:t>
      </w:r>
    </w:p>
    <w:p w14:paraId="352CCDDC" w14:textId="77777777" w:rsidR="00C22F2A" w:rsidRPr="00A45CE5" w:rsidRDefault="00C22F2A" w:rsidP="00C22F2A">
      <w:pPr>
        <w:pStyle w:val="ListParagraph"/>
        <w:rPr>
          <w:rFonts w:cstheme="minorHAnsi"/>
          <w:color w:val="000000" w:themeColor="text1"/>
        </w:rPr>
      </w:pPr>
    </w:p>
    <w:p w14:paraId="12E23C61" w14:textId="77777777" w:rsidR="00C22F2A" w:rsidRPr="00A45CE5" w:rsidRDefault="00C22F2A" w:rsidP="00C22F2A">
      <w:pPr>
        <w:pStyle w:val="ListParagraph"/>
        <w:rPr>
          <w:rFonts w:cstheme="minorHAnsi"/>
          <w:color w:val="000000" w:themeColor="text1"/>
        </w:rPr>
      </w:pPr>
      <w:r w:rsidRPr="00A45CE5">
        <w:rPr>
          <w:rFonts w:cstheme="minorHAnsi"/>
          <w:color w:val="000000" w:themeColor="text1"/>
        </w:rPr>
        <w:t xml:space="preserve">It would mean, for example, that the construction of a block of flats, together with a laundry facility in a separate building, would be wholly zero-rated if the laundry was only for the use of residents and their guests, giving a similar result to Sch 8 Group 5 Note 5, about ‘a number of buildings … intended to be used together as a unit solely for a relevant residential purpose’. </w:t>
      </w:r>
    </w:p>
    <w:p w14:paraId="0C330559" w14:textId="77777777" w:rsidR="00C22F2A" w:rsidRPr="00A45CE5" w:rsidRDefault="00C22F2A" w:rsidP="00C22F2A">
      <w:pPr>
        <w:pStyle w:val="ListParagraph"/>
        <w:rPr>
          <w:rFonts w:cstheme="minorHAnsi"/>
          <w:color w:val="000000" w:themeColor="text1"/>
        </w:rPr>
      </w:pPr>
    </w:p>
    <w:p w14:paraId="1C60CBF9" w14:textId="154CE2AD" w:rsidR="00C22F2A" w:rsidRPr="00A45CE5" w:rsidRDefault="00C22F2A" w:rsidP="00C22F2A">
      <w:pPr>
        <w:ind w:left="7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 xml:space="preserve">Answer: If there was a separate building with laundry facility for use solely for the residents this is correct the supply would be zero-rated when: </w:t>
      </w:r>
    </w:p>
    <w:p w14:paraId="487DE27A" w14:textId="77777777" w:rsidR="00C22F2A" w:rsidRPr="00A45CE5" w:rsidRDefault="00C22F2A" w:rsidP="00C22F2A">
      <w:pPr>
        <w:pStyle w:val="ListParagraph"/>
        <w:numPr>
          <w:ilvl w:val="0"/>
          <w:numId w:val="10"/>
        </w:numPr>
        <w:spacing w:after="0" w:line="240" w:lineRule="auto"/>
        <w:rPr>
          <w:rFonts w:cstheme="minorHAnsi"/>
          <w:i/>
          <w:iCs/>
          <w:color w:val="000000" w:themeColor="text1"/>
        </w:rPr>
      </w:pPr>
      <w:r w:rsidRPr="00A45CE5">
        <w:rPr>
          <w:rFonts w:cstheme="minorHAnsi"/>
          <w:i/>
          <w:iCs/>
          <w:color w:val="000000" w:themeColor="text1"/>
        </w:rPr>
        <w:t xml:space="preserve">constructed at the same time, </w:t>
      </w:r>
    </w:p>
    <w:p w14:paraId="2066460D" w14:textId="77777777" w:rsidR="00C22F2A" w:rsidRPr="00A45CE5" w:rsidRDefault="00C22F2A" w:rsidP="00C22F2A">
      <w:pPr>
        <w:pStyle w:val="ListParagraph"/>
        <w:numPr>
          <w:ilvl w:val="0"/>
          <w:numId w:val="10"/>
        </w:numPr>
        <w:spacing w:after="0" w:line="240" w:lineRule="auto"/>
        <w:rPr>
          <w:rFonts w:cstheme="minorHAnsi"/>
          <w:i/>
          <w:iCs/>
          <w:color w:val="000000" w:themeColor="text1"/>
        </w:rPr>
      </w:pPr>
      <w:r w:rsidRPr="00A45CE5">
        <w:rPr>
          <w:rFonts w:cstheme="minorHAnsi"/>
          <w:i/>
          <w:iCs/>
          <w:color w:val="000000" w:themeColor="text1"/>
        </w:rPr>
        <w:t xml:space="preserve">included on the original plans and </w:t>
      </w:r>
    </w:p>
    <w:p w14:paraId="0E9A3180" w14:textId="77777777" w:rsidR="00C22F2A" w:rsidRPr="00A45CE5" w:rsidRDefault="00C22F2A" w:rsidP="00C22F2A">
      <w:pPr>
        <w:pStyle w:val="ListParagraph"/>
        <w:numPr>
          <w:ilvl w:val="0"/>
          <w:numId w:val="10"/>
        </w:numPr>
        <w:spacing w:after="0" w:line="240" w:lineRule="auto"/>
        <w:rPr>
          <w:rFonts w:cstheme="minorHAnsi"/>
          <w:i/>
          <w:iCs/>
          <w:color w:val="000000" w:themeColor="text1"/>
        </w:rPr>
      </w:pPr>
      <w:r w:rsidRPr="00A45CE5">
        <w:rPr>
          <w:rFonts w:cstheme="minorHAnsi"/>
          <w:i/>
          <w:iCs/>
          <w:color w:val="000000" w:themeColor="text1"/>
        </w:rPr>
        <w:t xml:space="preserve">only available to the residents. </w:t>
      </w:r>
    </w:p>
    <w:p w14:paraId="4C69A7A2" w14:textId="77777777" w:rsidR="00C22F2A" w:rsidRPr="00A45CE5" w:rsidRDefault="00C22F2A" w:rsidP="00C22F2A">
      <w:pPr>
        <w:ind w:left="720"/>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However, a separate building for a swimming pool or gym would not be allowed as these are leisure facilities and are not required to create a single living unit. These types of structures are considered as works unconnected to the construction of a building. (Para 3.3.5, Notice 708, Buildings and construction).</w:t>
      </w:r>
    </w:p>
    <w:p w14:paraId="0C50CB2B" w14:textId="77777777" w:rsidR="00C22F2A" w:rsidRPr="00A45CE5" w:rsidRDefault="00C22F2A" w:rsidP="00C22F2A">
      <w:pPr>
        <w:pStyle w:val="ListParagraph"/>
        <w:rPr>
          <w:rFonts w:cstheme="minorHAnsi"/>
          <w:i/>
          <w:iCs/>
          <w:color w:val="000000" w:themeColor="text1"/>
        </w:rPr>
      </w:pPr>
    </w:p>
    <w:p w14:paraId="4AB04CA3" w14:textId="77777777" w:rsidR="00C22F2A" w:rsidRPr="00A45CE5" w:rsidRDefault="00C22F2A" w:rsidP="00C22F2A">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Any other supporting evidence or comments: </w:t>
      </w:r>
    </w:p>
    <w:p w14:paraId="6878ED9E" w14:textId="77777777" w:rsidR="00C22F2A" w:rsidRPr="00A45CE5" w:rsidRDefault="00C22F2A" w:rsidP="00C22F2A">
      <w:pPr>
        <w:rPr>
          <w:rFonts w:asciiTheme="minorHAnsi" w:hAnsiTheme="minorHAnsi" w:cstheme="minorHAnsi"/>
          <w:bCs/>
          <w:color w:val="000000" w:themeColor="text1"/>
          <w:sz w:val="22"/>
          <w:szCs w:val="22"/>
        </w:rPr>
      </w:pPr>
    </w:p>
    <w:p w14:paraId="0240AF87"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 xml:space="preserve">References to legislation and guidance as above. The example is reminiscent of St George’s Augustinian Care </w:t>
      </w:r>
      <w:hyperlink r:id="rId15" w:history="1">
        <w:r w:rsidRPr="00A45CE5">
          <w:rPr>
            <w:rStyle w:val="Hyperlink"/>
            <w:rFonts w:asciiTheme="minorHAnsi" w:hAnsiTheme="minorHAnsi" w:cstheme="minorHAnsi"/>
            <w:bCs/>
            <w:color w:val="000000" w:themeColor="text1"/>
            <w:sz w:val="22"/>
            <w:szCs w:val="22"/>
          </w:rPr>
          <w:t>https://www.bailii.org/uk/cases/UKFTT/TC/2016/TC05316.html</w:t>
        </w:r>
      </w:hyperlink>
      <w:r w:rsidRPr="00A45CE5">
        <w:rPr>
          <w:rFonts w:asciiTheme="minorHAnsi" w:hAnsiTheme="minorHAnsi" w:cstheme="minorHAnsi"/>
          <w:bCs/>
          <w:color w:val="000000" w:themeColor="text1"/>
          <w:sz w:val="22"/>
          <w:szCs w:val="22"/>
        </w:rPr>
        <w:t xml:space="preserve">, and would seem to suggest that HMRC had been correct both to accept zero-rating in 2005 (when the original buildings were being constructed) and to reject it in 2015 (in relation to an additional building). Catchpole and Fox were mentioned in the decision. The Tribunal seems to have assumed that they were only relevant to </w:t>
      </w:r>
      <w:r w:rsidRPr="00A45CE5">
        <w:rPr>
          <w:rFonts w:asciiTheme="minorHAnsi" w:hAnsiTheme="minorHAnsi" w:cstheme="minorHAnsi"/>
          <w:color w:val="000000" w:themeColor="text1"/>
          <w:sz w:val="22"/>
          <w:szCs w:val="22"/>
        </w:rPr>
        <w:t>a building designed as one dwelling, but this would not have affected the outcome.</w:t>
      </w:r>
    </w:p>
    <w:p w14:paraId="069A7B74" w14:textId="77777777" w:rsidR="00C22F2A" w:rsidRPr="00A45CE5" w:rsidRDefault="00C22F2A" w:rsidP="00C22F2A">
      <w:pPr>
        <w:rPr>
          <w:rFonts w:asciiTheme="minorHAnsi" w:hAnsiTheme="minorHAnsi" w:cstheme="minorHAnsi"/>
          <w:bCs/>
          <w:color w:val="000000" w:themeColor="text1"/>
          <w:sz w:val="22"/>
          <w:szCs w:val="22"/>
        </w:rPr>
      </w:pPr>
    </w:p>
    <w:p w14:paraId="6F7EC777" w14:textId="77777777" w:rsidR="00C22F2A" w:rsidRPr="00A45CE5" w:rsidRDefault="00C22F2A" w:rsidP="00C22F2A">
      <w:pPr>
        <w:rPr>
          <w:rFonts w:asciiTheme="minorHAnsi" w:hAnsiTheme="minorHAnsi" w:cstheme="minorHAnsi"/>
          <w:bCs/>
          <w:color w:val="000000" w:themeColor="text1"/>
          <w:sz w:val="22"/>
          <w:szCs w:val="22"/>
        </w:rPr>
      </w:pPr>
      <w:r w:rsidRPr="00A45CE5">
        <w:rPr>
          <w:rFonts w:asciiTheme="minorHAnsi" w:hAnsiTheme="minorHAnsi" w:cstheme="minorHAnsi"/>
          <w:b/>
          <w:color w:val="000000" w:themeColor="text1"/>
          <w:sz w:val="22"/>
          <w:szCs w:val="22"/>
        </w:rPr>
        <w:t>Date:</w:t>
      </w:r>
      <w:r w:rsidRPr="00A45CE5">
        <w:rPr>
          <w:rFonts w:asciiTheme="minorHAnsi" w:hAnsiTheme="minorHAnsi" w:cstheme="minorHAnsi"/>
          <w:bCs/>
          <w:color w:val="000000" w:themeColor="text1"/>
          <w:sz w:val="22"/>
          <w:szCs w:val="22"/>
        </w:rPr>
        <w:t xml:space="preserve"> 16 September 2023</w:t>
      </w:r>
    </w:p>
    <w:p w14:paraId="65471708" w14:textId="014DBD9A" w:rsidR="00C22F2A" w:rsidRPr="00A45CE5" w:rsidRDefault="00C22F2A" w:rsidP="00C22F2A">
      <w:pPr>
        <w:rPr>
          <w:rFonts w:asciiTheme="minorHAnsi" w:hAnsiTheme="minorHAnsi" w:cstheme="minorHAnsi"/>
          <w:b/>
          <w:bCs/>
          <w:color w:val="000000" w:themeColor="text1"/>
          <w:sz w:val="22"/>
          <w:szCs w:val="22"/>
        </w:rPr>
      </w:pPr>
    </w:p>
    <w:p w14:paraId="1E6F6123" w14:textId="25C5F856" w:rsidR="00C22F2A" w:rsidRPr="00A45CE5" w:rsidRDefault="00C22F2A" w:rsidP="00C22F2A">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Annex </w:t>
      </w:r>
      <w:r w:rsidR="00EA6982" w:rsidRPr="00A45CE5">
        <w:rPr>
          <w:rFonts w:asciiTheme="minorHAnsi" w:hAnsiTheme="minorHAnsi" w:cstheme="minorHAnsi"/>
          <w:b/>
          <w:bCs/>
          <w:color w:val="000000" w:themeColor="text1"/>
          <w:sz w:val="22"/>
          <w:szCs w:val="22"/>
        </w:rPr>
        <w:t>6</w:t>
      </w:r>
      <w:r w:rsidRPr="00A45CE5">
        <w:rPr>
          <w:rFonts w:asciiTheme="minorHAnsi" w:hAnsiTheme="minorHAnsi" w:cstheme="minorHAnsi"/>
          <w:b/>
          <w:bCs/>
          <w:color w:val="000000" w:themeColor="text1"/>
          <w:sz w:val="22"/>
          <w:szCs w:val="22"/>
        </w:rPr>
        <w:t xml:space="preserve"> </w:t>
      </w:r>
      <w:r w:rsidR="00EA6982" w:rsidRPr="00A45CE5">
        <w:rPr>
          <w:rFonts w:asciiTheme="minorHAnsi" w:hAnsiTheme="minorHAnsi" w:cstheme="minorHAnsi"/>
          <w:b/>
          <w:bCs/>
          <w:color w:val="000000" w:themeColor="text1"/>
          <w:sz w:val="22"/>
          <w:szCs w:val="22"/>
        </w:rPr>
        <w:t xml:space="preserve">– Party walls </w:t>
      </w:r>
      <w:r w:rsidRPr="00A45CE5">
        <w:rPr>
          <w:rFonts w:asciiTheme="minorHAnsi" w:hAnsiTheme="minorHAnsi" w:cstheme="minorHAnsi"/>
          <w:b/>
          <w:bCs/>
          <w:color w:val="000000" w:themeColor="text1"/>
          <w:sz w:val="22"/>
          <w:szCs w:val="22"/>
        </w:rPr>
        <w:t xml:space="preserve"> </w:t>
      </w:r>
    </w:p>
    <w:p w14:paraId="36D4C5A6" w14:textId="1BAF32F2" w:rsidR="00EA6982" w:rsidRPr="00A45CE5" w:rsidRDefault="00EA6982" w:rsidP="00EA6982">
      <w:pPr>
        <w:rPr>
          <w:rFonts w:asciiTheme="minorHAnsi" w:hAnsiTheme="minorHAnsi" w:cstheme="minorHAnsi"/>
          <w:b/>
          <w:bCs/>
          <w:color w:val="000000" w:themeColor="text1"/>
          <w:sz w:val="22"/>
          <w:szCs w:val="22"/>
        </w:rPr>
      </w:pPr>
    </w:p>
    <w:p w14:paraId="36528868" w14:textId="750D0FE5"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Subject:</w:t>
      </w:r>
      <w:r w:rsidRPr="00A45CE5">
        <w:rPr>
          <w:rFonts w:asciiTheme="minorHAnsi" w:hAnsiTheme="minorHAnsi" w:cstheme="minorHAnsi"/>
          <w:color w:val="000000" w:themeColor="text1"/>
          <w:sz w:val="22"/>
          <w:szCs w:val="22"/>
        </w:rPr>
        <w:t xml:space="preserve"> Demolition and retention of party walls </w:t>
      </w:r>
    </w:p>
    <w:p w14:paraId="1747C0D8" w14:textId="29AF5296"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Representative body:</w:t>
      </w:r>
      <w:r w:rsidRPr="00A45CE5">
        <w:rPr>
          <w:rFonts w:asciiTheme="minorHAnsi" w:hAnsiTheme="minorHAnsi" w:cstheme="minorHAnsi"/>
          <w:color w:val="000000" w:themeColor="text1"/>
          <w:sz w:val="22"/>
          <w:szCs w:val="22"/>
        </w:rPr>
        <w:t xml:space="preserve"> BPF</w:t>
      </w:r>
    </w:p>
    <w:p w14:paraId="70BBCF26"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Representative(s):</w:t>
      </w:r>
      <w:r w:rsidRPr="00A45CE5">
        <w:rPr>
          <w:rFonts w:asciiTheme="minorHAnsi" w:hAnsiTheme="minorHAnsi" w:cstheme="minorHAnsi"/>
          <w:color w:val="000000" w:themeColor="text1"/>
          <w:sz w:val="22"/>
          <w:szCs w:val="22"/>
        </w:rPr>
        <w:t xml:space="preserve"> Julian Potts</w:t>
      </w:r>
    </w:p>
    <w:p w14:paraId="2B4225E3" w14:textId="6938143C"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LPLG Priority Level:</w:t>
      </w:r>
      <w:r w:rsidRPr="00A45CE5">
        <w:rPr>
          <w:rFonts w:asciiTheme="minorHAnsi" w:hAnsiTheme="minorHAnsi" w:cstheme="minorHAnsi"/>
          <w:color w:val="000000" w:themeColor="text1"/>
          <w:sz w:val="22"/>
          <w:szCs w:val="22"/>
        </w:rPr>
        <w:t xml:space="preserve"> If there is a simple answer this could be dealt with quickly as it is a single point </w:t>
      </w:r>
      <w:proofErr w:type="gramStart"/>
      <w:r w:rsidRPr="00A45CE5">
        <w:rPr>
          <w:rFonts w:asciiTheme="minorHAnsi" w:hAnsiTheme="minorHAnsi" w:cstheme="minorHAnsi"/>
          <w:color w:val="000000" w:themeColor="text1"/>
          <w:sz w:val="22"/>
          <w:szCs w:val="22"/>
        </w:rPr>
        <w:t>issue</w:t>
      </w:r>
      <w:proofErr w:type="gramEnd"/>
    </w:p>
    <w:p w14:paraId="276D2228" w14:textId="20C422A3" w:rsidR="00EA6982" w:rsidRPr="00A45CE5" w:rsidRDefault="00EA6982" w:rsidP="00EA6982">
      <w:pPr>
        <w:rPr>
          <w:rFonts w:asciiTheme="minorHAnsi" w:hAnsiTheme="minorHAnsi" w:cstheme="minorHAnsi"/>
          <w:color w:val="000000" w:themeColor="text1"/>
          <w:sz w:val="22"/>
          <w:szCs w:val="22"/>
        </w:rPr>
      </w:pPr>
    </w:p>
    <w:p w14:paraId="632E5F6C" w14:textId="77777777" w:rsidR="00EA6982" w:rsidRPr="00A45CE5" w:rsidRDefault="00EA6982" w:rsidP="00EA6982">
      <w:pPr>
        <w:rPr>
          <w:rFonts w:asciiTheme="minorHAnsi" w:hAnsiTheme="minorHAnsi" w:cstheme="minorHAnsi"/>
          <w:b/>
          <w:color w:val="000000" w:themeColor="text1"/>
          <w:sz w:val="22"/>
          <w:szCs w:val="22"/>
        </w:rPr>
      </w:pPr>
      <w:r w:rsidRPr="00A45CE5">
        <w:rPr>
          <w:rFonts w:asciiTheme="minorHAnsi" w:hAnsiTheme="minorHAnsi" w:cstheme="minorHAnsi"/>
          <w:b/>
          <w:color w:val="000000" w:themeColor="text1"/>
          <w:sz w:val="22"/>
          <w:szCs w:val="22"/>
        </w:rPr>
        <w:t>Description of the Supply -</w:t>
      </w:r>
    </w:p>
    <w:p w14:paraId="050FA4E1" w14:textId="77777777" w:rsidR="00EA6982" w:rsidRPr="00A45CE5" w:rsidRDefault="00EA6982" w:rsidP="00EA6982">
      <w:pPr>
        <w:rPr>
          <w:rFonts w:asciiTheme="minorHAnsi" w:hAnsiTheme="minorHAnsi" w:cstheme="minorHAnsi"/>
          <w:b/>
          <w:color w:val="000000" w:themeColor="text1"/>
          <w:sz w:val="22"/>
          <w:szCs w:val="22"/>
        </w:rPr>
      </w:pPr>
      <w:r w:rsidRPr="00A45CE5">
        <w:rPr>
          <w:rFonts w:asciiTheme="minorHAnsi" w:hAnsiTheme="minorHAnsi" w:cstheme="minorHAnsi"/>
          <w:bCs/>
          <w:color w:val="000000" w:themeColor="text1"/>
          <w:sz w:val="22"/>
          <w:szCs w:val="22"/>
        </w:rPr>
        <w:lastRenderedPageBreak/>
        <w:t>What type of taxpayer is affected? Contractors, Subcontractors and Residential Property developers</w:t>
      </w:r>
    </w:p>
    <w:p w14:paraId="4434FBC4" w14:textId="77777777" w:rsidR="00EA6982" w:rsidRPr="00A45CE5" w:rsidRDefault="00EA6982" w:rsidP="00EA6982">
      <w:pPr>
        <w:rPr>
          <w:rFonts w:asciiTheme="minorHAnsi" w:hAnsiTheme="minorHAnsi" w:cstheme="minorHAnsi"/>
          <w:bCs/>
          <w:color w:val="000000" w:themeColor="text1"/>
          <w:sz w:val="22"/>
          <w:szCs w:val="22"/>
        </w:rPr>
      </w:pPr>
      <w:r w:rsidRPr="00A45CE5">
        <w:rPr>
          <w:rFonts w:asciiTheme="minorHAnsi" w:hAnsiTheme="minorHAnsi" w:cstheme="minorHAnsi"/>
          <w:bCs/>
          <w:color w:val="000000" w:themeColor="text1"/>
          <w:sz w:val="22"/>
          <w:szCs w:val="22"/>
        </w:rPr>
        <w:t xml:space="preserve">What type of supply is being made? Construction services or sale of new dwellings </w:t>
      </w:r>
    </w:p>
    <w:p w14:paraId="3FAB789A" w14:textId="77777777" w:rsidR="00EA6982" w:rsidRPr="00A45CE5" w:rsidRDefault="00EA6982" w:rsidP="00EA6982">
      <w:pPr>
        <w:rPr>
          <w:rFonts w:asciiTheme="minorHAnsi" w:hAnsiTheme="minorHAnsi" w:cstheme="minorHAnsi"/>
          <w:b/>
          <w:color w:val="000000" w:themeColor="text1"/>
          <w:sz w:val="22"/>
          <w:szCs w:val="22"/>
        </w:rPr>
      </w:pPr>
      <w:r w:rsidRPr="00A45CE5">
        <w:rPr>
          <w:rFonts w:asciiTheme="minorHAnsi" w:hAnsiTheme="minorHAnsi" w:cstheme="minorHAnsi"/>
          <w:bCs/>
          <w:color w:val="000000" w:themeColor="text1"/>
          <w:sz w:val="22"/>
          <w:szCs w:val="22"/>
        </w:rPr>
        <w:t xml:space="preserve">Who is making and receiving the supply/payment? Contractors or </w:t>
      </w:r>
      <w:proofErr w:type="spellStart"/>
      <w:proofErr w:type="gramStart"/>
      <w:r w:rsidRPr="00A45CE5">
        <w:rPr>
          <w:rFonts w:asciiTheme="minorHAnsi" w:hAnsiTheme="minorHAnsi" w:cstheme="minorHAnsi"/>
          <w:bCs/>
          <w:color w:val="000000" w:themeColor="text1"/>
          <w:sz w:val="22"/>
          <w:szCs w:val="22"/>
        </w:rPr>
        <w:t>sub contractors</w:t>
      </w:r>
      <w:proofErr w:type="spellEnd"/>
      <w:proofErr w:type="gramEnd"/>
      <w:r w:rsidRPr="00A45CE5">
        <w:rPr>
          <w:rFonts w:asciiTheme="minorHAnsi" w:hAnsiTheme="minorHAnsi" w:cstheme="minorHAnsi"/>
          <w:bCs/>
          <w:color w:val="000000" w:themeColor="text1"/>
          <w:sz w:val="22"/>
          <w:szCs w:val="22"/>
        </w:rPr>
        <w:t xml:space="preserve"> making supplies to property developers or property developers selling new dwellings </w:t>
      </w:r>
    </w:p>
    <w:p w14:paraId="1F719358" w14:textId="12032771"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Potential impact? Difference between zero rate applying and standard rate of VAT applying or difference between zero rated and exempt supplies for property </w:t>
      </w:r>
      <w:proofErr w:type="gramStart"/>
      <w:r w:rsidRPr="00A45CE5">
        <w:rPr>
          <w:rFonts w:asciiTheme="minorHAnsi" w:hAnsiTheme="minorHAnsi" w:cstheme="minorHAnsi"/>
          <w:color w:val="000000" w:themeColor="text1"/>
          <w:sz w:val="22"/>
          <w:szCs w:val="22"/>
        </w:rPr>
        <w:t>developers</w:t>
      </w:r>
      <w:proofErr w:type="gramEnd"/>
    </w:p>
    <w:p w14:paraId="1E0CCB0E" w14:textId="6BD6A9FB" w:rsidR="00EA6982" w:rsidRPr="00A45CE5" w:rsidRDefault="00EA6982" w:rsidP="00EA6982">
      <w:pPr>
        <w:rPr>
          <w:rFonts w:asciiTheme="minorHAnsi" w:hAnsiTheme="minorHAnsi" w:cstheme="minorHAnsi"/>
          <w:color w:val="000000" w:themeColor="text1"/>
          <w:sz w:val="22"/>
          <w:szCs w:val="22"/>
        </w:rPr>
      </w:pPr>
    </w:p>
    <w:p w14:paraId="4716E3C1" w14:textId="77777777" w:rsidR="00EA6982" w:rsidRPr="00A45CE5" w:rsidRDefault="00EA6982" w:rsidP="00EA6982">
      <w:pPr>
        <w:rPr>
          <w:rFonts w:asciiTheme="minorHAnsi" w:hAnsiTheme="minorHAnsi" w:cstheme="minorHAnsi"/>
          <w:color w:val="000000" w:themeColor="text1"/>
          <w:sz w:val="22"/>
          <w:szCs w:val="22"/>
        </w:rPr>
      </w:pPr>
    </w:p>
    <w:p w14:paraId="542C4066" w14:textId="41D7E064"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b/>
          <w:bCs/>
          <w:color w:val="000000" w:themeColor="text1"/>
          <w:sz w:val="22"/>
          <w:szCs w:val="22"/>
        </w:rPr>
        <w:t>The question for HMRC:</w:t>
      </w:r>
      <w:r w:rsidRPr="00A45CE5">
        <w:rPr>
          <w:rFonts w:asciiTheme="minorHAnsi" w:hAnsiTheme="minorHAnsi" w:cstheme="minorHAnsi"/>
          <w:color w:val="000000" w:themeColor="text1"/>
          <w:sz w:val="22"/>
          <w:szCs w:val="22"/>
        </w:rPr>
        <w:t xml:space="preserve"> In HMRC Notice 708 section 3.2.3 there is the following </w:t>
      </w:r>
      <w:proofErr w:type="gramStart"/>
      <w:r w:rsidRPr="00A45CE5">
        <w:rPr>
          <w:rFonts w:asciiTheme="minorHAnsi" w:hAnsiTheme="minorHAnsi" w:cstheme="minorHAnsi"/>
          <w:color w:val="000000" w:themeColor="text1"/>
          <w:sz w:val="22"/>
          <w:szCs w:val="22"/>
        </w:rPr>
        <w:t>paragraph</w:t>
      </w:r>
      <w:proofErr w:type="gramEnd"/>
    </w:p>
    <w:p w14:paraId="40AF685D"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But if you’re re-developing adjoining houses in a terrace, the party wall between the houses being redeveloped will also need to be demolished before you’re seen to be ‘constructing a building’ for VAT purposes.</w:t>
      </w:r>
    </w:p>
    <w:p w14:paraId="2443936D"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Does this paragraph only refer to a situation where adjoining houses in a terrace are demolished and then a single dwelling (single building) is constructed in their place. The sentence refers to ‘constructing a building’. </w:t>
      </w:r>
    </w:p>
    <w:p w14:paraId="4F7B75B1" w14:textId="77777777" w:rsidR="00EA6982" w:rsidRPr="00A45CE5" w:rsidRDefault="00EA6982" w:rsidP="00EA6982">
      <w:pPr>
        <w:rPr>
          <w:rFonts w:asciiTheme="minorHAnsi" w:hAnsiTheme="minorHAnsi" w:cstheme="minorHAnsi"/>
          <w:color w:val="000000" w:themeColor="text1"/>
          <w:sz w:val="22"/>
          <w:szCs w:val="22"/>
        </w:rPr>
      </w:pPr>
    </w:p>
    <w:p w14:paraId="4E5EF0E0"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What happens where adjoining dwellings are replaced on same footprint. Each new dwelling would generally be understood to be a separate building so in this case do HMRC agree that each dwelling be zero rated despite the retention of the party wall between the two new dwellings.</w:t>
      </w:r>
    </w:p>
    <w:p w14:paraId="2B4B9898" w14:textId="77777777" w:rsidR="00EA6982" w:rsidRPr="00A45CE5" w:rsidRDefault="00EA6982" w:rsidP="00EA6982">
      <w:pPr>
        <w:rPr>
          <w:rFonts w:asciiTheme="minorHAnsi" w:hAnsiTheme="minorHAnsi" w:cstheme="minorHAnsi"/>
          <w:color w:val="000000" w:themeColor="text1"/>
          <w:sz w:val="22"/>
          <w:szCs w:val="22"/>
        </w:rPr>
      </w:pPr>
    </w:p>
    <w:p w14:paraId="0E29C32F"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For </w:t>
      </w:r>
      <w:proofErr w:type="gramStart"/>
      <w:r w:rsidRPr="00A45CE5">
        <w:rPr>
          <w:rFonts w:asciiTheme="minorHAnsi" w:hAnsiTheme="minorHAnsi" w:cstheme="minorHAnsi"/>
          <w:color w:val="000000" w:themeColor="text1"/>
          <w:sz w:val="22"/>
          <w:szCs w:val="22"/>
        </w:rPr>
        <w:t>example</w:t>
      </w:r>
      <w:proofErr w:type="gramEnd"/>
      <w:r w:rsidRPr="00A45CE5">
        <w:rPr>
          <w:rFonts w:asciiTheme="minorHAnsi" w:hAnsiTheme="minorHAnsi" w:cstheme="minorHAnsi"/>
          <w:color w:val="000000" w:themeColor="text1"/>
          <w:sz w:val="22"/>
          <w:szCs w:val="22"/>
        </w:rPr>
        <w:t xml:space="preserve"> six dwellings in a terrace are demolished and six new dwellings constructed on the same footprints. Would the retained party walls between each new dwelling being ignored for the purposes of zero rating as each new dwelling is a separate building? </w:t>
      </w:r>
    </w:p>
    <w:p w14:paraId="73318BE2" w14:textId="77777777" w:rsidR="00EA6982" w:rsidRPr="00A45CE5" w:rsidRDefault="00EA6982" w:rsidP="00EA6982">
      <w:pPr>
        <w:rPr>
          <w:rFonts w:asciiTheme="minorHAnsi" w:hAnsiTheme="minorHAnsi" w:cstheme="minorHAnsi"/>
          <w:color w:val="000000" w:themeColor="text1"/>
          <w:sz w:val="22"/>
          <w:szCs w:val="22"/>
        </w:rPr>
      </w:pPr>
    </w:p>
    <w:p w14:paraId="4ED04494"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What happens if there are different owners to the adjacent dwellings? </w:t>
      </w:r>
    </w:p>
    <w:p w14:paraId="26E3B5C3" w14:textId="77777777" w:rsidR="00EA6982" w:rsidRPr="00A45CE5" w:rsidRDefault="00EA6982" w:rsidP="00EA6982">
      <w:pPr>
        <w:rPr>
          <w:rFonts w:asciiTheme="minorHAnsi" w:hAnsiTheme="minorHAnsi" w:cstheme="minorHAnsi"/>
          <w:color w:val="000000" w:themeColor="text1"/>
          <w:sz w:val="22"/>
          <w:szCs w:val="22"/>
        </w:rPr>
      </w:pPr>
    </w:p>
    <w:p w14:paraId="08C0C512"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Is this only an issue only when existing dwellings are demolished (other than the party wall) at the same time?  So that in a situation where one dwelling is fully demolished but the neighbouring property is not fully demolished would zero rating be available? For </w:t>
      </w:r>
      <w:proofErr w:type="gramStart"/>
      <w:r w:rsidRPr="00A45CE5">
        <w:rPr>
          <w:rFonts w:asciiTheme="minorHAnsi" w:hAnsiTheme="minorHAnsi" w:cstheme="minorHAnsi"/>
          <w:color w:val="000000" w:themeColor="text1"/>
          <w:sz w:val="22"/>
          <w:szCs w:val="22"/>
        </w:rPr>
        <w:t>example</w:t>
      </w:r>
      <w:proofErr w:type="gramEnd"/>
      <w:r w:rsidRPr="00A45CE5">
        <w:rPr>
          <w:rFonts w:asciiTheme="minorHAnsi" w:hAnsiTheme="minorHAnsi" w:cstheme="minorHAnsi"/>
          <w:color w:val="000000" w:themeColor="text1"/>
          <w:sz w:val="22"/>
          <w:szCs w:val="22"/>
        </w:rPr>
        <w:t xml:space="preserve"> if works are phased would works also be zero rated?</w:t>
      </w:r>
    </w:p>
    <w:p w14:paraId="66550519" w14:textId="77777777" w:rsidR="00EA6982" w:rsidRPr="00A45CE5" w:rsidRDefault="00EA6982" w:rsidP="00EA6982">
      <w:pPr>
        <w:rPr>
          <w:rFonts w:asciiTheme="minorHAnsi" w:hAnsiTheme="minorHAnsi" w:cstheme="minorHAnsi"/>
          <w:color w:val="000000" w:themeColor="text1"/>
          <w:sz w:val="22"/>
          <w:szCs w:val="22"/>
        </w:rPr>
      </w:pPr>
    </w:p>
    <w:p w14:paraId="6B2814CC" w14:textId="23264EF2" w:rsidR="00EA6982" w:rsidRPr="00A45CE5" w:rsidRDefault="00EA6982" w:rsidP="00EA6982">
      <w:pPr>
        <w:rPr>
          <w:rFonts w:asciiTheme="minorHAnsi" w:hAnsiTheme="minorHAnsi" w:cstheme="minorHAnsi"/>
          <w:b/>
          <w:bCs/>
          <w:color w:val="000000" w:themeColor="text1"/>
          <w:sz w:val="22"/>
          <w:szCs w:val="22"/>
        </w:rPr>
      </w:pPr>
      <w:r w:rsidRPr="00A45CE5">
        <w:rPr>
          <w:rFonts w:asciiTheme="minorHAnsi" w:hAnsiTheme="minorHAnsi" w:cstheme="minorHAnsi"/>
          <w:b/>
          <w:bCs/>
          <w:color w:val="000000" w:themeColor="text1"/>
          <w:sz w:val="22"/>
          <w:szCs w:val="22"/>
        </w:rPr>
        <w:t xml:space="preserve">Any other supporting evidence or comments: </w:t>
      </w:r>
    </w:p>
    <w:p w14:paraId="7BB2BE55"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e.g. references to legislation, HMRC </w:t>
      </w:r>
      <w:proofErr w:type="gramStart"/>
      <w:r w:rsidRPr="00A45CE5">
        <w:rPr>
          <w:rFonts w:asciiTheme="minorHAnsi" w:hAnsiTheme="minorHAnsi" w:cstheme="minorHAnsi"/>
          <w:color w:val="000000" w:themeColor="text1"/>
          <w:sz w:val="22"/>
          <w:szCs w:val="22"/>
        </w:rPr>
        <w:t>guidance</w:t>
      </w:r>
      <w:proofErr w:type="gramEnd"/>
    </w:p>
    <w:p w14:paraId="133CB632" w14:textId="77777777" w:rsidR="00EA6982" w:rsidRPr="00A45CE5" w:rsidRDefault="00EA6982" w:rsidP="00EA6982">
      <w:pPr>
        <w:rPr>
          <w:rFonts w:asciiTheme="minorHAnsi" w:hAnsiTheme="minorHAnsi" w:cstheme="minorHAnsi"/>
          <w:color w:val="000000" w:themeColor="text1"/>
          <w:sz w:val="22"/>
          <w:szCs w:val="22"/>
        </w:rPr>
      </w:pPr>
    </w:p>
    <w:p w14:paraId="1B26649F"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Items 2 and 4 of Group 5 of Schedule 8 VAT Act 1994</w:t>
      </w:r>
    </w:p>
    <w:p w14:paraId="2AEEF40A"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 </w:t>
      </w:r>
    </w:p>
    <w:p w14:paraId="2C14FA07"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2 The supply </w:t>
      </w:r>
      <w:proofErr w:type="gramStart"/>
      <w:r w:rsidRPr="00A45CE5">
        <w:rPr>
          <w:rFonts w:asciiTheme="minorHAnsi" w:hAnsiTheme="minorHAnsi" w:cstheme="minorHAnsi"/>
          <w:color w:val="000000" w:themeColor="text1"/>
          <w:sz w:val="22"/>
          <w:szCs w:val="22"/>
        </w:rPr>
        <w:t>in the course of</w:t>
      </w:r>
      <w:proofErr w:type="gramEnd"/>
      <w:r w:rsidRPr="00A45CE5">
        <w:rPr>
          <w:rFonts w:asciiTheme="minorHAnsi" w:hAnsiTheme="minorHAnsi" w:cstheme="minorHAnsi"/>
          <w:color w:val="000000" w:themeColor="text1"/>
          <w:sz w:val="22"/>
          <w:szCs w:val="22"/>
        </w:rPr>
        <w:t xml:space="preserve"> the construction of—</w:t>
      </w:r>
    </w:p>
    <w:p w14:paraId="3BC8A294"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(a) a building designed as a dwelling or number of dwellings or intended for use solely for a relevant residential purpose or a relevant charitable purpose; or</w:t>
      </w:r>
    </w:p>
    <w:p w14:paraId="1B11DEE9"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(b) any civil engineering work necessary for the development of a permanent park for residential caravans,</w:t>
      </w:r>
    </w:p>
    <w:p w14:paraId="17A14DA4"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of any services related to the construction other than the services of an architect, surveyor or any person acting as a consultant or in a supervisory capacity.</w:t>
      </w:r>
    </w:p>
    <w:p w14:paraId="222C3A83"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4 The supply of building materials to a person to whom the supplier is supplying services within item 2 or 3 of this Group which include the incorporation of the materials into the building (or its site) in </w:t>
      </w:r>
      <w:proofErr w:type="gramStart"/>
      <w:r w:rsidRPr="00A45CE5">
        <w:rPr>
          <w:rFonts w:asciiTheme="minorHAnsi" w:hAnsiTheme="minorHAnsi" w:cstheme="minorHAnsi"/>
          <w:color w:val="000000" w:themeColor="text1"/>
          <w:sz w:val="22"/>
          <w:szCs w:val="22"/>
        </w:rPr>
        <w:t>question</w:t>
      </w:r>
      <w:proofErr w:type="gramEnd"/>
    </w:p>
    <w:p w14:paraId="15CD7455" w14:textId="77777777" w:rsidR="00EA6982" w:rsidRPr="00A45CE5" w:rsidRDefault="00EA6982" w:rsidP="00EA6982">
      <w:pPr>
        <w:rPr>
          <w:rFonts w:asciiTheme="minorHAnsi" w:hAnsiTheme="minorHAnsi" w:cstheme="minorHAnsi"/>
          <w:color w:val="000000" w:themeColor="text1"/>
          <w:sz w:val="22"/>
          <w:szCs w:val="22"/>
        </w:rPr>
      </w:pPr>
    </w:p>
    <w:p w14:paraId="05F491F6" w14:textId="77777777" w:rsidR="00EA6982" w:rsidRPr="00A45CE5" w:rsidRDefault="00EA6982" w:rsidP="00EA6982">
      <w:pPr>
        <w:rPr>
          <w:rFonts w:asciiTheme="minorHAnsi" w:hAnsiTheme="minorHAnsi" w:cstheme="minorHAnsi"/>
          <w:color w:val="000000" w:themeColor="text1"/>
          <w:sz w:val="22"/>
          <w:szCs w:val="22"/>
        </w:rPr>
      </w:pPr>
    </w:p>
    <w:p w14:paraId="12903CDF"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 Notes 2, 16 and 18 to Group 5 of Schedule 8 VAT Act 1994</w:t>
      </w:r>
    </w:p>
    <w:p w14:paraId="427BFAD2" w14:textId="77777777" w:rsidR="00EA6982" w:rsidRPr="00A45CE5" w:rsidRDefault="00EA6982" w:rsidP="00EA6982">
      <w:pPr>
        <w:rPr>
          <w:rFonts w:asciiTheme="minorHAnsi" w:hAnsiTheme="minorHAnsi" w:cstheme="minorHAnsi"/>
          <w:color w:val="000000" w:themeColor="text1"/>
          <w:sz w:val="22"/>
          <w:szCs w:val="22"/>
        </w:rPr>
      </w:pPr>
    </w:p>
    <w:p w14:paraId="295232E4"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lastRenderedPageBreak/>
        <w:t xml:space="preserve">(2)A building is designed as a dwelling or </w:t>
      </w:r>
      <w:proofErr w:type="gramStart"/>
      <w:r w:rsidRPr="00A45CE5">
        <w:rPr>
          <w:rFonts w:asciiTheme="minorHAnsi" w:hAnsiTheme="minorHAnsi" w:cstheme="minorHAnsi"/>
          <w:color w:val="000000" w:themeColor="text1"/>
          <w:sz w:val="22"/>
          <w:szCs w:val="22"/>
        </w:rPr>
        <w:t>a number of</w:t>
      </w:r>
      <w:proofErr w:type="gramEnd"/>
      <w:r w:rsidRPr="00A45CE5">
        <w:rPr>
          <w:rFonts w:asciiTheme="minorHAnsi" w:hAnsiTheme="minorHAnsi" w:cstheme="minorHAnsi"/>
          <w:color w:val="000000" w:themeColor="text1"/>
          <w:sz w:val="22"/>
          <w:szCs w:val="22"/>
        </w:rPr>
        <w:t xml:space="preserve"> dwellings where in relation to each dwelling the following conditions are satisfied—</w:t>
      </w:r>
    </w:p>
    <w:p w14:paraId="51771E2F"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(a)the dwelling consists of self-contained living </w:t>
      </w:r>
      <w:proofErr w:type="gramStart"/>
      <w:r w:rsidRPr="00A45CE5">
        <w:rPr>
          <w:rFonts w:asciiTheme="minorHAnsi" w:hAnsiTheme="minorHAnsi" w:cstheme="minorHAnsi"/>
          <w:color w:val="000000" w:themeColor="text1"/>
          <w:sz w:val="22"/>
          <w:szCs w:val="22"/>
        </w:rPr>
        <w:t>accommodation;</w:t>
      </w:r>
      <w:proofErr w:type="gramEnd"/>
    </w:p>
    <w:p w14:paraId="61CDC43E"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(b)there is no provision for direct internal access from the dwelling to any other dwelling or part of a </w:t>
      </w:r>
      <w:proofErr w:type="gramStart"/>
      <w:r w:rsidRPr="00A45CE5">
        <w:rPr>
          <w:rFonts w:asciiTheme="minorHAnsi" w:hAnsiTheme="minorHAnsi" w:cstheme="minorHAnsi"/>
          <w:color w:val="000000" w:themeColor="text1"/>
          <w:sz w:val="22"/>
          <w:szCs w:val="22"/>
        </w:rPr>
        <w:t>dwelling;</w:t>
      </w:r>
      <w:proofErr w:type="gramEnd"/>
    </w:p>
    <w:p w14:paraId="2DEE7031"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(c)the separate use, or disposal of the dwelling is not prohibited by the term of any covenant, statutory planning consent or similar provision; and</w:t>
      </w:r>
    </w:p>
    <w:p w14:paraId="2F52D055"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(d)statutory planning consent has been granted in respect of that dwelling and its construction or conversion has been carried out in accordance with that consent.</w:t>
      </w:r>
    </w:p>
    <w:p w14:paraId="170F2021" w14:textId="77777777" w:rsidR="00EA6982" w:rsidRPr="00A45CE5" w:rsidRDefault="00EA6982" w:rsidP="00EA6982">
      <w:pPr>
        <w:rPr>
          <w:rFonts w:asciiTheme="minorHAnsi" w:hAnsiTheme="minorHAnsi" w:cstheme="minorHAnsi"/>
          <w:color w:val="000000" w:themeColor="text1"/>
          <w:sz w:val="22"/>
          <w:szCs w:val="22"/>
        </w:rPr>
      </w:pPr>
    </w:p>
    <w:p w14:paraId="3A503DE6"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(16) For the purpose of this Group, the construction of a building does not include—</w:t>
      </w:r>
    </w:p>
    <w:p w14:paraId="336364F7"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(a)the conversion, </w:t>
      </w:r>
      <w:proofErr w:type="gramStart"/>
      <w:r w:rsidRPr="00A45CE5">
        <w:rPr>
          <w:rFonts w:asciiTheme="minorHAnsi" w:hAnsiTheme="minorHAnsi" w:cstheme="minorHAnsi"/>
          <w:color w:val="000000" w:themeColor="text1"/>
          <w:sz w:val="22"/>
          <w:szCs w:val="22"/>
        </w:rPr>
        <w:t>reconstruction</w:t>
      </w:r>
      <w:proofErr w:type="gramEnd"/>
      <w:r w:rsidRPr="00A45CE5">
        <w:rPr>
          <w:rFonts w:asciiTheme="minorHAnsi" w:hAnsiTheme="minorHAnsi" w:cstheme="minorHAnsi"/>
          <w:color w:val="000000" w:themeColor="text1"/>
          <w:sz w:val="22"/>
          <w:szCs w:val="22"/>
        </w:rPr>
        <w:t xml:space="preserve"> or alteration of an existing building; or</w:t>
      </w:r>
    </w:p>
    <w:p w14:paraId="07252B5B"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(b)any enlargement of, or extension to, an existing building except to the extent the enlargement or extension creates an additional dwelling or dwellings; or</w:t>
      </w:r>
    </w:p>
    <w:p w14:paraId="37FCEA72"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(c)subject to Note (17) below, the construction of an annexe to an existing building.</w:t>
      </w:r>
    </w:p>
    <w:p w14:paraId="7CBAED94" w14:textId="77777777" w:rsidR="00EA6982" w:rsidRPr="00A45CE5" w:rsidRDefault="00EA6982" w:rsidP="00EA6982">
      <w:pPr>
        <w:rPr>
          <w:rFonts w:asciiTheme="minorHAnsi" w:hAnsiTheme="minorHAnsi" w:cstheme="minorHAnsi"/>
          <w:color w:val="000000" w:themeColor="text1"/>
          <w:sz w:val="22"/>
          <w:szCs w:val="22"/>
        </w:rPr>
      </w:pPr>
    </w:p>
    <w:p w14:paraId="2A3942A0"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(18)A building only ceases to be an existing building when:</w:t>
      </w:r>
    </w:p>
    <w:p w14:paraId="71BDB157"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(a)demolished completely to ground level; or</w:t>
      </w:r>
    </w:p>
    <w:p w14:paraId="15493FCF"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(b)the part remaining above ground level consists of no more than a single facade or where a corner site, a double facade, the retention of which is a condition or requirement of statutory planning consent or similar permission.</w:t>
      </w:r>
    </w:p>
    <w:p w14:paraId="36219C93"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Extract from HMRC Notice 708</w:t>
      </w:r>
    </w:p>
    <w:p w14:paraId="42808BF8"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 </w:t>
      </w:r>
    </w:p>
    <w:p w14:paraId="58867765"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3.2.3 Demolition and retention of party walls</w:t>
      </w:r>
    </w:p>
    <w:p w14:paraId="399F306A"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In determining whether a building has been demolished completely to ground level, you can ignore the retention of party walls that separate one building from another building that is not being demolished.</w:t>
      </w:r>
    </w:p>
    <w:p w14:paraId="2B111A5E"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So, for example, you’re ‘constructing a building’ when you ‘infill’ in a row of terraced houses provided the pre-existing house is demolished completely to ground level apart from the party walls shared with the adjoining houses either side.</w:t>
      </w:r>
    </w:p>
    <w:p w14:paraId="4A2D430B"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But if you’re re-developing adjoining houses in a terrace, the party wall between the houses being redeveloped will also need to be demolished before you’re seen to be ‘constructing a building’ for VAT purposes.</w:t>
      </w:r>
    </w:p>
    <w:p w14:paraId="4571CDFE"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A party wall need not separate a building from another building, a party wall can also be the wall of a building. On one property and a boundary or garden wall for the adjoining property. If such a wall is retained, the building in question cannot be said to have been demolished completely to ground level.</w:t>
      </w:r>
    </w:p>
    <w:p w14:paraId="39F870AD" w14:textId="77777777" w:rsidR="00EA6982" w:rsidRPr="00A45CE5" w:rsidRDefault="00EA6982" w:rsidP="00EA6982">
      <w:pPr>
        <w:rPr>
          <w:rFonts w:asciiTheme="minorHAnsi" w:hAnsiTheme="minorHAnsi" w:cstheme="minorHAnsi"/>
          <w:color w:val="000000" w:themeColor="text1"/>
          <w:sz w:val="22"/>
          <w:szCs w:val="22"/>
        </w:rPr>
      </w:pPr>
    </w:p>
    <w:p w14:paraId="402C1FDE" w14:textId="58278C16"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Answer: When you want to construct a new dwelling on a site where a property already exists you need to meet the conditions in Note 18, Group 5, Schedule 8 of the VAT Act:</w:t>
      </w:r>
    </w:p>
    <w:p w14:paraId="77CF6515" w14:textId="77777777" w:rsidR="00EA6982" w:rsidRPr="00A45CE5" w:rsidRDefault="00EA6982" w:rsidP="00EA6982">
      <w:pPr>
        <w:rPr>
          <w:rFonts w:asciiTheme="minorHAnsi" w:hAnsiTheme="minorHAnsi" w:cstheme="minorHAnsi"/>
          <w:color w:val="000000" w:themeColor="text1"/>
          <w:sz w:val="22"/>
          <w:szCs w:val="22"/>
        </w:rPr>
      </w:pPr>
    </w:p>
    <w:p w14:paraId="6A65C3DF" w14:textId="77777777" w:rsidR="00EA6982" w:rsidRPr="00A45CE5" w:rsidRDefault="00EA6982" w:rsidP="00EA6982">
      <w:pPr>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(18)A building only ceases to be an existing building when:</w:t>
      </w:r>
    </w:p>
    <w:p w14:paraId="5D183BEB" w14:textId="77777777" w:rsidR="00EA6982" w:rsidRPr="00A45CE5" w:rsidRDefault="00EA6982" w:rsidP="00EA6982">
      <w:pPr>
        <w:rPr>
          <w:rFonts w:asciiTheme="minorHAnsi" w:hAnsiTheme="minorHAnsi" w:cstheme="minorHAnsi"/>
          <w:i/>
          <w:iCs/>
          <w:color w:val="000000" w:themeColor="text1"/>
          <w:sz w:val="22"/>
          <w:szCs w:val="22"/>
        </w:rPr>
      </w:pPr>
      <w:r w:rsidRPr="00A45CE5">
        <w:rPr>
          <w:rFonts w:asciiTheme="minorHAnsi" w:hAnsiTheme="minorHAnsi" w:cstheme="minorHAnsi"/>
          <w:i/>
          <w:iCs/>
          <w:color w:val="000000" w:themeColor="text1"/>
          <w:sz w:val="22"/>
          <w:szCs w:val="22"/>
        </w:rPr>
        <w:t>(a)demolished completely to ground level; or</w:t>
      </w:r>
    </w:p>
    <w:p w14:paraId="05BF9485"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i/>
          <w:iCs/>
          <w:color w:val="000000" w:themeColor="text1"/>
          <w:sz w:val="22"/>
          <w:szCs w:val="22"/>
        </w:rPr>
        <w:t>(b)the part remaining above ground level consists of no more than a single facade or where a corner site, a double facade, the retention of which is a condition or requirement of statutory planning consent or similar permission.</w:t>
      </w:r>
    </w:p>
    <w:p w14:paraId="21B1663E" w14:textId="77777777" w:rsidR="00EA6982" w:rsidRPr="00A45CE5" w:rsidRDefault="00EA6982" w:rsidP="00EA6982">
      <w:pPr>
        <w:rPr>
          <w:rFonts w:asciiTheme="minorHAnsi" w:hAnsiTheme="minorHAnsi" w:cstheme="minorHAnsi"/>
          <w:color w:val="000000" w:themeColor="text1"/>
          <w:sz w:val="22"/>
          <w:szCs w:val="22"/>
        </w:rPr>
      </w:pPr>
    </w:p>
    <w:p w14:paraId="2DAC2DA5"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When you have terrace houses it is right that when demolishing one of the properties within the terrace you cannot knock down the party walls on either side as the properties still being used as dwellings or existing buildings and must be retained for the structure integrity of the existing </w:t>
      </w:r>
      <w:r w:rsidRPr="00A45CE5">
        <w:rPr>
          <w:rFonts w:asciiTheme="minorHAnsi" w:hAnsiTheme="minorHAnsi" w:cstheme="minorHAnsi"/>
          <w:color w:val="000000" w:themeColor="text1"/>
          <w:sz w:val="22"/>
          <w:szCs w:val="22"/>
        </w:rPr>
        <w:lastRenderedPageBreak/>
        <w:t>properties. The front and rear of the property (subject to the façade condition) would need to be demolished to meet this demolition test.</w:t>
      </w:r>
    </w:p>
    <w:p w14:paraId="415FD39B" w14:textId="77777777" w:rsidR="00EA6982" w:rsidRPr="00A45CE5" w:rsidRDefault="00EA6982" w:rsidP="00EA6982">
      <w:pPr>
        <w:rPr>
          <w:rFonts w:asciiTheme="minorHAnsi" w:hAnsiTheme="minorHAnsi" w:cstheme="minorHAnsi"/>
          <w:color w:val="000000" w:themeColor="text1"/>
          <w:sz w:val="22"/>
          <w:szCs w:val="22"/>
        </w:rPr>
      </w:pPr>
    </w:p>
    <w:p w14:paraId="1445B1C9"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If you are rebuilding two properties within the terrace which are side by side the party wall that adjoins to the two properties will need to be demolished to meet the demolition test. Regardless of the rebuild being on the same footprint as this </w:t>
      </w:r>
      <w:proofErr w:type="gramStart"/>
      <w:r w:rsidRPr="00A45CE5">
        <w:rPr>
          <w:rFonts w:asciiTheme="minorHAnsi" w:hAnsiTheme="minorHAnsi" w:cstheme="minorHAnsi"/>
          <w:color w:val="000000" w:themeColor="text1"/>
          <w:sz w:val="22"/>
          <w:szCs w:val="22"/>
        </w:rPr>
        <w:t>particular party</w:t>
      </w:r>
      <w:proofErr w:type="gramEnd"/>
      <w:r w:rsidRPr="00A45CE5">
        <w:rPr>
          <w:rFonts w:asciiTheme="minorHAnsi" w:hAnsiTheme="minorHAnsi" w:cstheme="minorHAnsi"/>
          <w:color w:val="000000" w:themeColor="text1"/>
          <w:sz w:val="22"/>
          <w:szCs w:val="22"/>
        </w:rPr>
        <w:t xml:space="preserve"> wall is no longer required for the integrity of any existing building.</w:t>
      </w:r>
    </w:p>
    <w:p w14:paraId="50C222A4" w14:textId="77777777" w:rsidR="00EA6982" w:rsidRPr="00A45CE5" w:rsidRDefault="00EA6982" w:rsidP="00EA6982">
      <w:pPr>
        <w:rPr>
          <w:rFonts w:asciiTheme="minorHAnsi" w:hAnsiTheme="minorHAnsi" w:cstheme="minorHAnsi"/>
          <w:color w:val="000000" w:themeColor="text1"/>
          <w:sz w:val="22"/>
          <w:szCs w:val="22"/>
        </w:rPr>
      </w:pPr>
    </w:p>
    <w:p w14:paraId="42B7D761" w14:textId="77777777" w:rsidR="00EA6982" w:rsidRPr="00A45CE5" w:rsidRDefault="00EA6982" w:rsidP="00EA6982">
      <w:pPr>
        <w:rPr>
          <w:rFonts w:asciiTheme="minorHAnsi" w:hAnsiTheme="minorHAnsi" w:cstheme="minorHAnsi"/>
          <w:color w:val="000000" w:themeColor="text1"/>
          <w:sz w:val="22"/>
          <w:szCs w:val="22"/>
        </w:rPr>
      </w:pPr>
      <w:proofErr w:type="gramStart"/>
      <w:r w:rsidRPr="00A45CE5">
        <w:rPr>
          <w:rFonts w:asciiTheme="minorHAnsi" w:hAnsiTheme="minorHAnsi" w:cstheme="minorHAnsi"/>
          <w:color w:val="000000" w:themeColor="text1"/>
          <w:sz w:val="22"/>
          <w:szCs w:val="22"/>
        </w:rPr>
        <w:t>So</w:t>
      </w:r>
      <w:proofErr w:type="gramEnd"/>
      <w:r w:rsidRPr="00A45CE5">
        <w:rPr>
          <w:rFonts w:asciiTheme="minorHAnsi" w:hAnsiTheme="minorHAnsi" w:cstheme="minorHAnsi"/>
          <w:color w:val="000000" w:themeColor="text1"/>
          <w:sz w:val="22"/>
          <w:szCs w:val="22"/>
        </w:rPr>
        <w:t xml:space="preserve"> if you have 6 dwellings in a terrace and you are demolishing all 6 of the dwellings all party walls will need to be demolished to meet the demolition test regardless of the new dwellings being constructed on the same footprint. This is still subject to the façade conditions, for example if the planning consent instructs that the front façade of the 6 dwelling must be retained then all other walls including the party walls must be demolished.</w:t>
      </w:r>
    </w:p>
    <w:p w14:paraId="21CE6A00" w14:textId="77777777" w:rsidR="00EA6982" w:rsidRPr="00A45CE5" w:rsidRDefault="00EA6982" w:rsidP="00EA6982">
      <w:pPr>
        <w:rPr>
          <w:rFonts w:asciiTheme="minorHAnsi" w:hAnsiTheme="minorHAnsi" w:cstheme="minorHAnsi"/>
          <w:color w:val="000000" w:themeColor="text1"/>
          <w:sz w:val="22"/>
          <w:szCs w:val="22"/>
        </w:rPr>
      </w:pPr>
    </w:p>
    <w:p w14:paraId="06C5399A" w14:textId="77777777"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If different persons own each of the properties and planning consent has been given for each </w:t>
      </w:r>
      <w:proofErr w:type="gramStart"/>
      <w:r w:rsidRPr="00A45CE5">
        <w:rPr>
          <w:rFonts w:asciiTheme="minorHAnsi" w:hAnsiTheme="minorHAnsi" w:cstheme="minorHAnsi"/>
          <w:color w:val="000000" w:themeColor="text1"/>
          <w:sz w:val="22"/>
          <w:szCs w:val="22"/>
        </w:rPr>
        <w:t>dwelling</w:t>
      </w:r>
      <w:proofErr w:type="gramEnd"/>
      <w:r w:rsidRPr="00A45CE5">
        <w:rPr>
          <w:rFonts w:asciiTheme="minorHAnsi" w:hAnsiTheme="minorHAnsi" w:cstheme="minorHAnsi"/>
          <w:color w:val="000000" w:themeColor="text1"/>
          <w:sz w:val="22"/>
          <w:szCs w:val="22"/>
        </w:rPr>
        <w:t xml:space="preserve"> then the same principals above will ably to the party walls of an existing property.</w:t>
      </w:r>
    </w:p>
    <w:p w14:paraId="0B0769CD" w14:textId="573F73E1" w:rsidR="00EA6982" w:rsidRPr="00A45CE5" w:rsidRDefault="00EA6982" w:rsidP="00EA6982">
      <w:pPr>
        <w:rPr>
          <w:rFonts w:asciiTheme="minorHAnsi" w:hAnsiTheme="minorHAnsi" w:cstheme="minorHAnsi"/>
          <w:color w:val="000000" w:themeColor="text1"/>
          <w:sz w:val="22"/>
          <w:szCs w:val="22"/>
        </w:rPr>
      </w:pPr>
    </w:p>
    <w:p w14:paraId="3672A5DB" w14:textId="77777777" w:rsidR="00EA6982" w:rsidRPr="00A45CE5" w:rsidRDefault="00EA6982" w:rsidP="00EA6982">
      <w:pPr>
        <w:rPr>
          <w:rFonts w:asciiTheme="minorHAnsi" w:hAnsiTheme="minorHAnsi" w:cstheme="minorHAnsi"/>
          <w:color w:val="000000" w:themeColor="text1"/>
          <w:sz w:val="22"/>
          <w:szCs w:val="22"/>
        </w:rPr>
      </w:pPr>
    </w:p>
    <w:p w14:paraId="675187DD" w14:textId="77777777" w:rsidR="00EA6982" w:rsidRPr="00A45CE5" w:rsidRDefault="00EA6982" w:rsidP="00EA6982">
      <w:pPr>
        <w:rPr>
          <w:rFonts w:asciiTheme="minorHAnsi" w:hAnsiTheme="minorHAnsi" w:cstheme="minorHAnsi"/>
          <w:color w:val="000000" w:themeColor="text1"/>
          <w:sz w:val="22"/>
          <w:szCs w:val="22"/>
        </w:rPr>
      </w:pPr>
    </w:p>
    <w:p w14:paraId="3DD62A2A" w14:textId="77777777" w:rsidR="00EA6982" w:rsidRPr="00A45CE5" w:rsidRDefault="00EA6982" w:rsidP="00EA6982">
      <w:pPr>
        <w:rPr>
          <w:rFonts w:asciiTheme="minorHAnsi" w:hAnsiTheme="minorHAnsi" w:cstheme="minorHAnsi"/>
          <w:color w:val="000000" w:themeColor="text1"/>
          <w:sz w:val="22"/>
          <w:szCs w:val="22"/>
        </w:rPr>
      </w:pPr>
    </w:p>
    <w:p w14:paraId="5C1C50EB" w14:textId="77777777" w:rsidR="00EA6982" w:rsidRPr="00A45CE5" w:rsidRDefault="00EA6982" w:rsidP="00EA6982">
      <w:pPr>
        <w:rPr>
          <w:rFonts w:asciiTheme="minorHAnsi" w:hAnsiTheme="minorHAnsi" w:cstheme="minorHAnsi"/>
          <w:color w:val="000000" w:themeColor="text1"/>
          <w:sz w:val="22"/>
          <w:szCs w:val="22"/>
        </w:rPr>
      </w:pPr>
    </w:p>
    <w:p w14:paraId="45592209" w14:textId="77777777" w:rsidR="00EA6982" w:rsidRPr="00A45CE5" w:rsidRDefault="00EA6982" w:rsidP="00EA6982">
      <w:pPr>
        <w:rPr>
          <w:rFonts w:asciiTheme="minorHAnsi" w:hAnsiTheme="minorHAnsi" w:cstheme="minorHAnsi"/>
          <w:color w:val="000000" w:themeColor="text1"/>
          <w:sz w:val="22"/>
          <w:szCs w:val="22"/>
        </w:rPr>
      </w:pPr>
    </w:p>
    <w:p w14:paraId="077B84DF" w14:textId="77777777" w:rsidR="00EA6982" w:rsidRPr="00A45CE5" w:rsidRDefault="00EA6982" w:rsidP="00EA6982">
      <w:pPr>
        <w:rPr>
          <w:rFonts w:asciiTheme="minorHAnsi" w:hAnsiTheme="minorHAnsi" w:cstheme="minorHAnsi"/>
          <w:color w:val="000000" w:themeColor="text1"/>
          <w:sz w:val="22"/>
          <w:szCs w:val="22"/>
        </w:rPr>
      </w:pPr>
    </w:p>
    <w:p w14:paraId="28A50B12" w14:textId="77777777" w:rsidR="00EA6982" w:rsidRPr="00A45CE5" w:rsidRDefault="00EA6982" w:rsidP="00EA6982">
      <w:pPr>
        <w:rPr>
          <w:rFonts w:asciiTheme="minorHAnsi" w:hAnsiTheme="minorHAnsi" w:cstheme="minorHAnsi"/>
          <w:color w:val="000000" w:themeColor="text1"/>
          <w:sz w:val="22"/>
          <w:szCs w:val="22"/>
        </w:rPr>
      </w:pPr>
    </w:p>
    <w:p w14:paraId="2543F07B" w14:textId="5EA683E2" w:rsidR="00EA6982" w:rsidRPr="00A45CE5" w:rsidRDefault="00EA6982" w:rsidP="00EA6982">
      <w:pPr>
        <w:rPr>
          <w:rFonts w:asciiTheme="minorHAnsi" w:hAnsiTheme="minorHAnsi" w:cstheme="minorHAnsi"/>
          <w:color w:val="000000" w:themeColor="text1"/>
          <w:sz w:val="22"/>
          <w:szCs w:val="22"/>
        </w:rPr>
      </w:pPr>
      <w:r w:rsidRPr="00A45CE5">
        <w:rPr>
          <w:rFonts w:asciiTheme="minorHAnsi" w:hAnsiTheme="minorHAnsi" w:cstheme="minorHAnsi"/>
          <w:color w:val="000000" w:themeColor="text1"/>
          <w:sz w:val="22"/>
          <w:szCs w:val="22"/>
        </w:rPr>
        <w:t xml:space="preserve">       </w:t>
      </w:r>
    </w:p>
    <w:sectPr w:rsidR="00EA6982" w:rsidRPr="00A45CE5">
      <w:footerReference w:type="even"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854C" w14:textId="77777777" w:rsidR="00E70B83" w:rsidRDefault="00E70B83" w:rsidP="00574088">
      <w:r>
        <w:separator/>
      </w:r>
    </w:p>
  </w:endnote>
  <w:endnote w:type="continuationSeparator" w:id="0">
    <w:p w14:paraId="2C90E290" w14:textId="77777777" w:rsidR="00E70B83" w:rsidRDefault="00E70B83" w:rsidP="0057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6839" w14:textId="505889EA" w:rsidR="00574088" w:rsidRDefault="00574088">
    <w:pPr>
      <w:pStyle w:val="Footer"/>
    </w:pPr>
    <w:r>
      <w:rPr>
        <w:noProof/>
        <w14:ligatures w14:val="standardContextual"/>
      </w:rPr>
      <mc:AlternateContent>
        <mc:Choice Requires="wps">
          <w:drawing>
            <wp:anchor distT="0" distB="0" distL="0" distR="0" simplePos="0" relativeHeight="251659264" behindDoc="0" locked="0" layoutInCell="1" allowOverlap="1" wp14:anchorId="6FAFBCE2" wp14:editId="1C24969F">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6B61F" w14:textId="3F759010" w:rsidR="00574088" w:rsidRPr="00452D2B" w:rsidRDefault="00574088">
                          <w:pPr>
                            <w:rPr>
                              <w:rFonts w:ascii="Calibri" w:eastAsia="Calibri" w:hAnsi="Calibri" w:cs="Calibri"/>
                              <w:noProof/>
                              <w:sz w:val="20"/>
                              <w:szCs w:val="20"/>
                            </w:rPr>
                          </w:pPr>
                          <w:r w:rsidRPr="00452D2B">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FBCE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FB6B61F" w14:textId="3F759010" w:rsidR="00574088" w:rsidRPr="00452D2B" w:rsidRDefault="00574088">
                    <w:pPr>
                      <w:rPr>
                        <w:rFonts w:ascii="Calibri" w:eastAsia="Calibri" w:hAnsi="Calibri" w:cs="Calibri"/>
                        <w:noProof/>
                        <w:sz w:val="20"/>
                        <w:szCs w:val="20"/>
                      </w:rPr>
                    </w:pPr>
                    <w:r w:rsidRPr="00452D2B">
                      <w:rPr>
                        <w:rFonts w:ascii="Calibri" w:eastAsia="Calibri" w:hAnsi="Calibri" w:cs="Calibri"/>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8252" w14:textId="0D6BE49C" w:rsidR="00574088" w:rsidRDefault="00574088">
    <w:pPr>
      <w:pStyle w:val="Footer"/>
    </w:pPr>
    <w:r>
      <w:rPr>
        <w:noProof/>
        <w14:ligatures w14:val="standardContextual"/>
      </w:rPr>
      <mc:AlternateContent>
        <mc:Choice Requires="wps">
          <w:drawing>
            <wp:anchor distT="0" distB="0" distL="0" distR="0" simplePos="0" relativeHeight="251658240" behindDoc="0" locked="0" layoutInCell="1" allowOverlap="1" wp14:anchorId="7F2DFE2C" wp14:editId="669C9EAD">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68FF5" w14:textId="31AD7635" w:rsidR="00574088" w:rsidRPr="00452D2B" w:rsidRDefault="00574088">
                          <w:pPr>
                            <w:rPr>
                              <w:rFonts w:ascii="Calibri" w:eastAsia="Calibri" w:hAnsi="Calibri" w:cs="Calibri"/>
                              <w:noProof/>
                              <w:sz w:val="20"/>
                              <w:szCs w:val="20"/>
                            </w:rPr>
                          </w:pPr>
                          <w:r w:rsidRPr="00452D2B">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DFE2C"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8668FF5" w14:textId="31AD7635" w:rsidR="00574088" w:rsidRPr="00452D2B" w:rsidRDefault="00574088">
                    <w:pPr>
                      <w:rPr>
                        <w:rFonts w:ascii="Calibri" w:eastAsia="Calibri" w:hAnsi="Calibri" w:cs="Calibri"/>
                        <w:noProof/>
                        <w:sz w:val="20"/>
                        <w:szCs w:val="20"/>
                      </w:rPr>
                    </w:pPr>
                    <w:r w:rsidRPr="00452D2B">
                      <w:rPr>
                        <w:rFonts w:ascii="Calibri" w:eastAsia="Calibri" w:hAnsi="Calibri" w:cs="Calibri"/>
                        <w:noProo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626B" w14:textId="77777777" w:rsidR="00E70B83" w:rsidRDefault="00E70B83" w:rsidP="00574088">
      <w:r>
        <w:separator/>
      </w:r>
    </w:p>
  </w:footnote>
  <w:footnote w:type="continuationSeparator" w:id="0">
    <w:p w14:paraId="5375DD52" w14:textId="77777777" w:rsidR="00E70B83" w:rsidRDefault="00E70B83" w:rsidP="0057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02C"/>
    <w:multiLevelType w:val="hybridMultilevel"/>
    <w:tmpl w:val="7A966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B6C48"/>
    <w:multiLevelType w:val="hybridMultilevel"/>
    <w:tmpl w:val="A738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E2124"/>
    <w:multiLevelType w:val="hybridMultilevel"/>
    <w:tmpl w:val="444A4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C62F12"/>
    <w:multiLevelType w:val="hybridMultilevel"/>
    <w:tmpl w:val="190A0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E86097"/>
    <w:multiLevelType w:val="hybridMultilevel"/>
    <w:tmpl w:val="A6DE3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2953E9"/>
    <w:multiLevelType w:val="hybridMultilevel"/>
    <w:tmpl w:val="B5D88C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AA02209"/>
    <w:multiLevelType w:val="hybridMultilevel"/>
    <w:tmpl w:val="E22092F2"/>
    <w:lvl w:ilvl="0" w:tplc="DE6C92C6">
      <w:start w:val="1"/>
      <w:numFmt w:val="bullet"/>
      <w:lvlText w:val="•"/>
      <w:lvlJc w:val="left"/>
      <w:pPr>
        <w:tabs>
          <w:tab w:val="num" w:pos="720"/>
        </w:tabs>
        <w:ind w:left="720" w:hanging="360"/>
      </w:pPr>
      <w:rPr>
        <w:rFonts w:ascii="Times New Roman" w:hAnsi="Times New Roman" w:hint="default"/>
      </w:rPr>
    </w:lvl>
    <w:lvl w:ilvl="1" w:tplc="53765D0C" w:tentative="1">
      <w:start w:val="1"/>
      <w:numFmt w:val="bullet"/>
      <w:lvlText w:val="•"/>
      <w:lvlJc w:val="left"/>
      <w:pPr>
        <w:tabs>
          <w:tab w:val="num" w:pos="1440"/>
        </w:tabs>
        <w:ind w:left="1440" w:hanging="360"/>
      </w:pPr>
      <w:rPr>
        <w:rFonts w:ascii="Times New Roman" w:hAnsi="Times New Roman" w:hint="default"/>
      </w:rPr>
    </w:lvl>
    <w:lvl w:ilvl="2" w:tplc="0BAAF4FC" w:tentative="1">
      <w:start w:val="1"/>
      <w:numFmt w:val="bullet"/>
      <w:lvlText w:val="•"/>
      <w:lvlJc w:val="left"/>
      <w:pPr>
        <w:tabs>
          <w:tab w:val="num" w:pos="2160"/>
        </w:tabs>
        <w:ind w:left="2160" w:hanging="360"/>
      </w:pPr>
      <w:rPr>
        <w:rFonts w:ascii="Times New Roman" w:hAnsi="Times New Roman" w:hint="default"/>
      </w:rPr>
    </w:lvl>
    <w:lvl w:ilvl="3" w:tplc="EEA49682" w:tentative="1">
      <w:start w:val="1"/>
      <w:numFmt w:val="bullet"/>
      <w:lvlText w:val="•"/>
      <w:lvlJc w:val="left"/>
      <w:pPr>
        <w:tabs>
          <w:tab w:val="num" w:pos="2880"/>
        </w:tabs>
        <w:ind w:left="2880" w:hanging="360"/>
      </w:pPr>
      <w:rPr>
        <w:rFonts w:ascii="Times New Roman" w:hAnsi="Times New Roman" w:hint="default"/>
      </w:rPr>
    </w:lvl>
    <w:lvl w:ilvl="4" w:tplc="907A2BB0" w:tentative="1">
      <w:start w:val="1"/>
      <w:numFmt w:val="bullet"/>
      <w:lvlText w:val="•"/>
      <w:lvlJc w:val="left"/>
      <w:pPr>
        <w:tabs>
          <w:tab w:val="num" w:pos="3600"/>
        </w:tabs>
        <w:ind w:left="3600" w:hanging="360"/>
      </w:pPr>
      <w:rPr>
        <w:rFonts w:ascii="Times New Roman" w:hAnsi="Times New Roman" w:hint="default"/>
      </w:rPr>
    </w:lvl>
    <w:lvl w:ilvl="5" w:tplc="6F92B602" w:tentative="1">
      <w:start w:val="1"/>
      <w:numFmt w:val="bullet"/>
      <w:lvlText w:val="•"/>
      <w:lvlJc w:val="left"/>
      <w:pPr>
        <w:tabs>
          <w:tab w:val="num" w:pos="4320"/>
        </w:tabs>
        <w:ind w:left="4320" w:hanging="360"/>
      </w:pPr>
      <w:rPr>
        <w:rFonts w:ascii="Times New Roman" w:hAnsi="Times New Roman" w:hint="default"/>
      </w:rPr>
    </w:lvl>
    <w:lvl w:ilvl="6" w:tplc="13D88F84" w:tentative="1">
      <w:start w:val="1"/>
      <w:numFmt w:val="bullet"/>
      <w:lvlText w:val="•"/>
      <w:lvlJc w:val="left"/>
      <w:pPr>
        <w:tabs>
          <w:tab w:val="num" w:pos="5040"/>
        </w:tabs>
        <w:ind w:left="5040" w:hanging="360"/>
      </w:pPr>
      <w:rPr>
        <w:rFonts w:ascii="Times New Roman" w:hAnsi="Times New Roman" w:hint="default"/>
      </w:rPr>
    </w:lvl>
    <w:lvl w:ilvl="7" w:tplc="1C1A5ED2" w:tentative="1">
      <w:start w:val="1"/>
      <w:numFmt w:val="bullet"/>
      <w:lvlText w:val="•"/>
      <w:lvlJc w:val="left"/>
      <w:pPr>
        <w:tabs>
          <w:tab w:val="num" w:pos="5760"/>
        </w:tabs>
        <w:ind w:left="5760" w:hanging="360"/>
      </w:pPr>
      <w:rPr>
        <w:rFonts w:ascii="Times New Roman" w:hAnsi="Times New Roman" w:hint="default"/>
      </w:rPr>
    </w:lvl>
    <w:lvl w:ilvl="8" w:tplc="292AA6D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8A8608B"/>
    <w:multiLevelType w:val="hybridMultilevel"/>
    <w:tmpl w:val="48C06A3A"/>
    <w:lvl w:ilvl="0" w:tplc="28E656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93877DD"/>
    <w:multiLevelType w:val="hybridMultilevel"/>
    <w:tmpl w:val="73C2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FD571F"/>
    <w:multiLevelType w:val="hybridMultilevel"/>
    <w:tmpl w:val="D1C4CAF4"/>
    <w:lvl w:ilvl="0" w:tplc="E0001490">
      <w:start w:val="1"/>
      <w:numFmt w:val="decimal"/>
      <w:lvlText w:val="%1."/>
      <w:lvlJc w:val="left"/>
      <w:pPr>
        <w:ind w:left="789" w:hanging="360"/>
      </w:pPr>
    </w:lvl>
    <w:lvl w:ilvl="1" w:tplc="08090001">
      <w:start w:val="1"/>
      <w:numFmt w:val="bullet"/>
      <w:lvlText w:val=""/>
      <w:lvlJc w:val="left"/>
      <w:pPr>
        <w:ind w:left="1509" w:hanging="360"/>
      </w:pPr>
      <w:rPr>
        <w:rFonts w:ascii="Symbol" w:hAnsi="Symbol" w:hint="default"/>
      </w:r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10" w15:restartNumberingAfterBreak="0">
    <w:nsid w:val="6B457829"/>
    <w:multiLevelType w:val="hybridMultilevel"/>
    <w:tmpl w:val="42EA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A1B71"/>
    <w:multiLevelType w:val="hybridMultilevel"/>
    <w:tmpl w:val="C9DA50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E5F0B0F"/>
    <w:multiLevelType w:val="hybridMultilevel"/>
    <w:tmpl w:val="CB3A2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64320"/>
    <w:multiLevelType w:val="hybridMultilevel"/>
    <w:tmpl w:val="08CE2DC4"/>
    <w:lvl w:ilvl="0" w:tplc="28D4CFDE">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418381">
    <w:abstractNumId w:val="1"/>
  </w:num>
  <w:num w:numId="2" w16cid:durableId="414203994">
    <w:abstractNumId w:val="8"/>
  </w:num>
  <w:num w:numId="3" w16cid:durableId="537275701">
    <w:abstractNumId w:val="10"/>
  </w:num>
  <w:num w:numId="4" w16cid:durableId="1615867480">
    <w:abstractNumId w:val="6"/>
  </w:num>
  <w:num w:numId="5" w16cid:durableId="1429499337">
    <w:abstractNumId w:val="13"/>
  </w:num>
  <w:num w:numId="6" w16cid:durableId="840044069">
    <w:abstractNumId w:val="0"/>
  </w:num>
  <w:num w:numId="7" w16cid:durableId="1906842251">
    <w:abstractNumId w:val="9"/>
  </w:num>
  <w:num w:numId="8" w16cid:durableId="661466752">
    <w:abstractNumId w:val="12"/>
  </w:num>
  <w:num w:numId="9" w16cid:durableId="538979532">
    <w:abstractNumId w:val="7"/>
  </w:num>
  <w:num w:numId="10" w16cid:durableId="1300456746">
    <w:abstractNumId w:val="11"/>
  </w:num>
  <w:num w:numId="11" w16cid:durableId="1483690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206111">
    <w:abstractNumId w:val="2"/>
  </w:num>
  <w:num w:numId="13" w16cid:durableId="1345205603">
    <w:abstractNumId w:val="3"/>
  </w:num>
  <w:num w:numId="14" w16cid:durableId="1615210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E0"/>
    <w:rsid w:val="00007DAF"/>
    <w:rsid w:val="00013F21"/>
    <w:rsid w:val="00015A3D"/>
    <w:rsid w:val="000473A8"/>
    <w:rsid w:val="00065EE9"/>
    <w:rsid w:val="000663E1"/>
    <w:rsid w:val="00072213"/>
    <w:rsid w:val="00074166"/>
    <w:rsid w:val="00087F03"/>
    <w:rsid w:val="000923A5"/>
    <w:rsid w:val="00094D11"/>
    <w:rsid w:val="000A0E71"/>
    <w:rsid w:val="000A4178"/>
    <w:rsid w:val="000B7A59"/>
    <w:rsid w:val="000C0848"/>
    <w:rsid w:val="000C4C57"/>
    <w:rsid w:val="000D65EA"/>
    <w:rsid w:val="000E197C"/>
    <w:rsid w:val="000F106F"/>
    <w:rsid w:val="000F4311"/>
    <w:rsid w:val="000F4ED3"/>
    <w:rsid w:val="00107328"/>
    <w:rsid w:val="00111C0D"/>
    <w:rsid w:val="00113436"/>
    <w:rsid w:val="00113BFC"/>
    <w:rsid w:val="00121D61"/>
    <w:rsid w:val="00123EFA"/>
    <w:rsid w:val="001435E3"/>
    <w:rsid w:val="00143963"/>
    <w:rsid w:val="001643D8"/>
    <w:rsid w:val="00171BAA"/>
    <w:rsid w:val="00182114"/>
    <w:rsid w:val="00182243"/>
    <w:rsid w:val="00187F64"/>
    <w:rsid w:val="001B03C7"/>
    <w:rsid w:val="001C65BF"/>
    <w:rsid w:val="001D7B0A"/>
    <w:rsid w:val="001F2C82"/>
    <w:rsid w:val="001F48C4"/>
    <w:rsid w:val="001F5FAD"/>
    <w:rsid w:val="002156D8"/>
    <w:rsid w:val="00232919"/>
    <w:rsid w:val="0024158E"/>
    <w:rsid w:val="002457C1"/>
    <w:rsid w:val="00252941"/>
    <w:rsid w:val="00254120"/>
    <w:rsid w:val="002649C1"/>
    <w:rsid w:val="00266BE0"/>
    <w:rsid w:val="00270F69"/>
    <w:rsid w:val="00272129"/>
    <w:rsid w:val="002949AF"/>
    <w:rsid w:val="002A11C4"/>
    <w:rsid w:val="002A57C9"/>
    <w:rsid w:val="002B41A4"/>
    <w:rsid w:val="002B7FAB"/>
    <w:rsid w:val="002C230B"/>
    <w:rsid w:val="002D0DD2"/>
    <w:rsid w:val="002E5B31"/>
    <w:rsid w:val="002E7A84"/>
    <w:rsid w:val="002F2865"/>
    <w:rsid w:val="00310AC5"/>
    <w:rsid w:val="0031631C"/>
    <w:rsid w:val="0032242E"/>
    <w:rsid w:val="00323281"/>
    <w:rsid w:val="0032582E"/>
    <w:rsid w:val="00333830"/>
    <w:rsid w:val="00336286"/>
    <w:rsid w:val="00347EE6"/>
    <w:rsid w:val="003668E8"/>
    <w:rsid w:val="00386623"/>
    <w:rsid w:val="003934DD"/>
    <w:rsid w:val="003A7BAD"/>
    <w:rsid w:val="003D666E"/>
    <w:rsid w:val="003D6A2C"/>
    <w:rsid w:val="003D70FF"/>
    <w:rsid w:val="003E75BB"/>
    <w:rsid w:val="00400A1A"/>
    <w:rsid w:val="00400D5C"/>
    <w:rsid w:val="00400E55"/>
    <w:rsid w:val="00413D61"/>
    <w:rsid w:val="004304C0"/>
    <w:rsid w:val="00442FCA"/>
    <w:rsid w:val="004447AB"/>
    <w:rsid w:val="00452D2B"/>
    <w:rsid w:val="004667AC"/>
    <w:rsid w:val="004671CE"/>
    <w:rsid w:val="0048021D"/>
    <w:rsid w:val="00487D10"/>
    <w:rsid w:val="00490B03"/>
    <w:rsid w:val="004A0A0A"/>
    <w:rsid w:val="004A4706"/>
    <w:rsid w:val="004A6BAC"/>
    <w:rsid w:val="004F3DCF"/>
    <w:rsid w:val="004F6AC7"/>
    <w:rsid w:val="00504861"/>
    <w:rsid w:val="00524989"/>
    <w:rsid w:val="0052744A"/>
    <w:rsid w:val="005302A3"/>
    <w:rsid w:val="00530E07"/>
    <w:rsid w:val="005432EC"/>
    <w:rsid w:val="0054535A"/>
    <w:rsid w:val="00574088"/>
    <w:rsid w:val="0057558C"/>
    <w:rsid w:val="00583AB0"/>
    <w:rsid w:val="005877BD"/>
    <w:rsid w:val="00590A03"/>
    <w:rsid w:val="0059259B"/>
    <w:rsid w:val="00592778"/>
    <w:rsid w:val="00593B05"/>
    <w:rsid w:val="005A0789"/>
    <w:rsid w:val="005A1365"/>
    <w:rsid w:val="005D23FD"/>
    <w:rsid w:val="005D38A1"/>
    <w:rsid w:val="005D64C6"/>
    <w:rsid w:val="005E3852"/>
    <w:rsid w:val="005F5405"/>
    <w:rsid w:val="005F735E"/>
    <w:rsid w:val="00601455"/>
    <w:rsid w:val="0060602B"/>
    <w:rsid w:val="0061215D"/>
    <w:rsid w:val="0062532A"/>
    <w:rsid w:val="006415C2"/>
    <w:rsid w:val="00655177"/>
    <w:rsid w:val="0068325B"/>
    <w:rsid w:val="00690A30"/>
    <w:rsid w:val="00691338"/>
    <w:rsid w:val="006A42DF"/>
    <w:rsid w:val="006A4546"/>
    <w:rsid w:val="006A7B58"/>
    <w:rsid w:val="006B6CDD"/>
    <w:rsid w:val="006C0F00"/>
    <w:rsid w:val="006C3104"/>
    <w:rsid w:val="006C7976"/>
    <w:rsid w:val="006D5942"/>
    <w:rsid w:val="006D6182"/>
    <w:rsid w:val="006E7C73"/>
    <w:rsid w:val="006F177B"/>
    <w:rsid w:val="00702951"/>
    <w:rsid w:val="007037ED"/>
    <w:rsid w:val="0072050E"/>
    <w:rsid w:val="00726D94"/>
    <w:rsid w:val="00730EAA"/>
    <w:rsid w:val="00734FCF"/>
    <w:rsid w:val="00736321"/>
    <w:rsid w:val="0073654F"/>
    <w:rsid w:val="0074533C"/>
    <w:rsid w:val="00775EFF"/>
    <w:rsid w:val="00780FC3"/>
    <w:rsid w:val="00790EE7"/>
    <w:rsid w:val="0079727B"/>
    <w:rsid w:val="007B57D4"/>
    <w:rsid w:val="007B596E"/>
    <w:rsid w:val="007C70AD"/>
    <w:rsid w:val="007E6010"/>
    <w:rsid w:val="007E7772"/>
    <w:rsid w:val="007F4CDD"/>
    <w:rsid w:val="00834151"/>
    <w:rsid w:val="00842135"/>
    <w:rsid w:val="0084607E"/>
    <w:rsid w:val="008633E3"/>
    <w:rsid w:val="00867465"/>
    <w:rsid w:val="00881EF2"/>
    <w:rsid w:val="00892177"/>
    <w:rsid w:val="008973E2"/>
    <w:rsid w:val="008A730B"/>
    <w:rsid w:val="008B17CD"/>
    <w:rsid w:val="008B3F0D"/>
    <w:rsid w:val="008F4298"/>
    <w:rsid w:val="0091182D"/>
    <w:rsid w:val="00914DA3"/>
    <w:rsid w:val="00921715"/>
    <w:rsid w:val="009244C1"/>
    <w:rsid w:val="00941810"/>
    <w:rsid w:val="009441E6"/>
    <w:rsid w:val="009460C3"/>
    <w:rsid w:val="009528B1"/>
    <w:rsid w:val="009557E5"/>
    <w:rsid w:val="00960B11"/>
    <w:rsid w:val="0096576F"/>
    <w:rsid w:val="00966CA1"/>
    <w:rsid w:val="00966DD1"/>
    <w:rsid w:val="00970377"/>
    <w:rsid w:val="009711AE"/>
    <w:rsid w:val="00972240"/>
    <w:rsid w:val="00974904"/>
    <w:rsid w:val="00994E62"/>
    <w:rsid w:val="0099508F"/>
    <w:rsid w:val="009A3E6A"/>
    <w:rsid w:val="009A5363"/>
    <w:rsid w:val="009B062E"/>
    <w:rsid w:val="009D43A8"/>
    <w:rsid w:val="009D6CD7"/>
    <w:rsid w:val="009E289C"/>
    <w:rsid w:val="009F1375"/>
    <w:rsid w:val="009F3710"/>
    <w:rsid w:val="00A205FC"/>
    <w:rsid w:val="00A368B3"/>
    <w:rsid w:val="00A37BEA"/>
    <w:rsid w:val="00A43B82"/>
    <w:rsid w:val="00A45CE5"/>
    <w:rsid w:val="00A540E0"/>
    <w:rsid w:val="00A60E41"/>
    <w:rsid w:val="00A62545"/>
    <w:rsid w:val="00A6313B"/>
    <w:rsid w:val="00A70427"/>
    <w:rsid w:val="00A70CF0"/>
    <w:rsid w:val="00A71792"/>
    <w:rsid w:val="00A75D5F"/>
    <w:rsid w:val="00A9485B"/>
    <w:rsid w:val="00A979E2"/>
    <w:rsid w:val="00AC665C"/>
    <w:rsid w:val="00AD1A7C"/>
    <w:rsid w:val="00AE054D"/>
    <w:rsid w:val="00AE0AEF"/>
    <w:rsid w:val="00B06D29"/>
    <w:rsid w:val="00B301CA"/>
    <w:rsid w:val="00B35CD7"/>
    <w:rsid w:val="00B35FE0"/>
    <w:rsid w:val="00B42140"/>
    <w:rsid w:val="00B5138C"/>
    <w:rsid w:val="00B606DC"/>
    <w:rsid w:val="00B7283E"/>
    <w:rsid w:val="00B91FBC"/>
    <w:rsid w:val="00B978C7"/>
    <w:rsid w:val="00BD4906"/>
    <w:rsid w:val="00BE4388"/>
    <w:rsid w:val="00BF6B0E"/>
    <w:rsid w:val="00C0792E"/>
    <w:rsid w:val="00C17E5E"/>
    <w:rsid w:val="00C22F2A"/>
    <w:rsid w:val="00C37494"/>
    <w:rsid w:val="00C44729"/>
    <w:rsid w:val="00C57080"/>
    <w:rsid w:val="00C7018F"/>
    <w:rsid w:val="00C74040"/>
    <w:rsid w:val="00C8101D"/>
    <w:rsid w:val="00C82213"/>
    <w:rsid w:val="00C90CE6"/>
    <w:rsid w:val="00CA3B5C"/>
    <w:rsid w:val="00CA65EE"/>
    <w:rsid w:val="00CB0440"/>
    <w:rsid w:val="00CB2737"/>
    <w:rsid w:val="00CC712F"/>
    <w:rsid w:val="00D10D81"/>
    <w:rsid w:val="00D2041F"/>
    <w:rsid w:val="00D313C2"/>
    <w:rsid w:val="00D520AB"/>
    <w:rsid w:val="00D544D8"/>
    <w:rsid w:val="00D6504C"/>
    <w:rsid w:val="00D737F7"/>
    <w:rsid w:val="00D91D67"/>
    <w:rsid w:val="00DA2552"/>
    <w:rsid w:val="00DA2C03"/>
    <w:rsid w:val="00DA4237"/>
    <w:rsid w:val="00DA4424"/>
    <w:rsid w:val="00DB704A"/>
    <w:rsid w:val="00DD2A9E"/>
    <w:rsid w:val="00DD73A9"/>
    <w:rsid w:val="00DF0428"/>
    <w:rsid w:val="00DF3C19"/>
    <w:rsid w:val="00DF785E"/>
    <w:rsid w:val="00E120C8"/>
    <w:rsid w:val="00E14241"/>
    <w:rsid w:val="00E1570F"/>
    <w:rsid w:val="00E235F1"/>
    <w:rsid w:val="00E252EE"/>
    <w:rsid w:val="00E32617"/>
    <w:rsid w:val="00E33283"/>
    <w:rsid w:val="00E520DF"/>
    <w:rsid w:val="00E52523"/>
    <w:rsid w:val="00E66CF7"/>
    <w:rsid w:val="00E70B83"/>
    <w:rsid w:val="00E77DFC"/>
    <w:rsid w:val="00E870A1"/>
    <w:rsid w:val="00EA0460"/>
    <w:rsid w:val="00EA4CA5"/>
    <w:rsid w:val="00EA50E1"/>
    <w:rsid w:val="00EA6982"/>
    <w:rsid w:val="00EB0D31"/>
    <w:rsid w:val="00EB449A"/>
    <w:rsid w:val="00ED11B3"/>
    <w:rsid w:val="00ED245B"/>
    <w:rsid w:val="00EF00C3"/>
    <w:rsid w:val="00EF1F28"/>
    <w:rsid w:val="00F00B94"/>
    <w:rsid w:val="00F3129F"/>
    <w:rsid w:val="00F402A3"/>
    <w:rsid w:val="00F53CDE"/>
    <w:rsid w:val="00F6080B"/>
    <w:rsid w:val="00F63F8E"/>
    <w:rsid w:val="00F849E0"/>
    <w:rsid w:val="00F870C9"/>
    <w:rsid w:val="00FA4B18"/>
    <w:rsid w:val="00FB7752"/>
    <w:rsid w:val="00FC61CB"/>
    <w:rsid w:val="00FC69DD"/>
    <w:rsid w:val="00FD07C2"/>
    <w:rsid w:val="00FD4CCD"/>
    <w:rsid w:val="00FE0664"/>
    <w:rsid w:val="00FF4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51BB"/>
  <w15:chartTrackingRefBased/>
  <w15:docId w15:val="{78BCE507-9BFC-4872-8081-992F7025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E0"/>
    <w:pPr>
      <w:spacing w:after="0" w:line="240" w:lineRule="auto"/>
    </w:pPr>
    <w:rPr>
      <w:rFonts w:ascii="Helvetica" w:eastAsia="ヒラギノ角ゴ Pro W3" w:hAnsi="Helvetica" w:cs="Times New Roman"/>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62E"/>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921715"/>
    <w:rPr>
      <w:color w:val="0563C1" w:themeColor="hyperlink"/>
      <w:u w:val="single"/>
    </w:rPr>
  </w:style>
  <w:style w:type="character" w:styleId="UnresolvedMention">
    <w:name w:val="Unresolved Mention"/>
    <w:basedOn w:val="DefaultParagraphFont"/>
    <w:uiPriority w:val="99"/>
    <w:semiHidden/>
    <w:unhideWhenUsed/>
    <w:rsid w:val="00921715"/>
    <w:rPr>
      <w:color w:val="605E5C"/>
      <w:shd w:val="clear" w:color="auto" w:fill="E1DFDD"/>
    </w:rPr>
  </w:style>
  <w:style w:type="paragraph" w:customStyle="1" w:styleId="paragraph">
    <w:name w:val="paragraph"/>
    <w:basedOn w:val="Normal"/>
    <w:rsid w:val="00EF1F28"/>
    <w:pPr>
      <w:spacing w:before="100" w:beforeAutospacing="1" w:after="100" w:afterAutospacing="1"/>
    </w:pPr>
    <w:rPr>
      <w:rFonts w:ascii="Times New Roman" w:eastAsia="Times New Roman" w:hAnsi="Times New Roman"/>
      <w:color w:val="auto"/>
      <w:lang w:eastAsia="en-GB"/>
    </w:rPr>
  </w:style>
  <w:style w:type="character" w:customStyle="1" w:styleId="normaltextrun">
    <w:name w:val="normaltextrun"/>
    <w:basedOn w:val="DefaultParagraphFont"/>
    <w:rsid w:val="00EF1F28"/>
  </w:style>
  <w:style w:type="paragraph" w:styleId="NormalWeb">
    <w:name w:val="Normal (Web)"/>
    <w:basedOn w:val="Normal"/>
    <w:uiPriority w:val="99"/>
    <w:semiHidden/>
    <w:unhideWhenUsed/>
    <w:rsid w:val="006F177B"/>
    <w:pPr>
      <w:spacing w:before="100" w:beforeAutospacing="1" w:after="100" w:afterAutospacing="1"/>
    </w:pPr>
    <w:rPr>
      <w:rFonts w:ascii="Times New Roman" w:eastAsia="Times New Roman" w:hAnsi="Times New Roman"/>
      <w:color w:val="auto"/>
      <w:lang w:eastAsia="en-GB"/>
    </w:rPr>
  </w:style>
  <w:style w:type="character" w:styleId="Strong">
    <w:name w:val="Strong"/>
    <w:basedOn w:val="DefaultParagraphFont"/>
    <w:uiPriority w:val="22"/>
    <w:qFormat/>
    <w:rsid w:val="006F177B"/>
    <w:rPr>
      <w:b/>
      <w:bCs/>
    </w:rPr>
  </w:style>
  <w:style w:type="paragraph" w:customStyle="1" w:styleId="TableGrid1">
    <w:name w:val="Table Grid1"/>
    <w:rsid w:val="00123EFA"/>
    <w:pPr>
      <w:spacing w:after="0" w:line="240" w:lineRule="auto"/>
    </w:pPr>
    <w:rPr>
      <w:rFonts w:ascii="Times New Roman" w:eastAsia="ヒラギノ角ゴ Pro W3" w:hAnsi="Times New Roman" w:cs="Times New Roman"/>
      <w:color w:val="000000"/>
      <w:kern w:val="0"/>
      <w:szCs w:val="20"/>
      <w:lang w:eastAsia="en-GB"/>
      <w14:ligatures w14:val="none"/>
    </w:rPr>
  </w:style>
  <w:style w:type="character" w:customStyle="1" w:styleId="qrev7">
    <w:name w:val="qrev7"/>
    <w:basedOn w:val="DefaultParagraphFont"/>
    <w:rsid w:val="00E32617"/>
  </w:style>
  <w:style w:type="character" w:customStyle="1" w:styleId="ynrlnc">
    <w:name w:val="ynrlnc"/>
    <w:basedOn w:val="DefaultParagraphFont"/>
    <w:rsid w:val="00E32617"/>
  </w:style>
  <w:style w:type="character" w:styleId="CommentReference">
    <w:name w:val="annotation reference"/>
    <w:basedOn w:val="DefaultParagraphFont"/>
    <w:uiPriority w:val="99"/>
    <w:semiHidden/>
    <w:unhideWhenUsed/>
    <w:rsid w:val="00487D10"/>
    <w:rPr>
      <w:sz w:val="16"/>
      <w:szCs w:val="16"/>
    </w:rPr>
  </w:style>
  <w:style w:type="paragraph" w:styleId="CommentText">
    <w:name w:val="annotation text"/>
    <w:basedOn w:val="Normal"/>
    <w:link w:val="CommentTextChar"/>
    <w:uiPriority w:val="99"/>
    <w:unhideWhenUsed/>
    <w:rsid w:val="00487D10"/>
    <w:rPr>
      <w:sz w:val="20"/>
      <w:szCs w:val="20"/>
    </w:rPr>
  </w:style>
  <w:style w:type="character" w:customStyle="1" w:styleId="CommentTextChar">
    <w:name w:val="Comment Text Char"/>
    <w:basedOn w:val="DefaultParagraphFont"/>
    <w:link w:val="CommentText"/>
    <w:uiPriority w:val="99"/>
    <w:rsid w:val="00487D10"/>
    <w:rPr>
      <w:rFonts w:ascii="Helvetica" w:eastAsia="ヒラギノ角ゴ Pro W3" w:hAnsi="Helvetica"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7D10"/>
    <w:rPr>
      <w:b/>
      <w:bCs/>
    </w:rPr>
  </w:style>
  <w:style w:type="character" w:customStyle="1" w:styleId="CommentSubjectChar">
    <w:name w:val="Comment Subject Char"/>
    <w:basedOn w:val="CommentTextChar"/>
    <w:link w:val="CommentSubject"/>
    <w:uiPriority w:val="99"/>
    <w:semiHidden/>
    <w:rsid w:val="00487D10"/>
    <w:rPr>
      <w:rFonts w:ascii="Helvetica" w:eastAsia="ヒラギノ角ゴ Pro W3" w:hAnsi="Helvetica" w:cs="Times New Roman"/>
      <w:b/>
      <w:bCs/>
      <w:color w:val="000000"/>
      <w:kern w:val="0"/>
      <w:sz w:val="20"/>
      <w:szCs w:val="20"/>
      <w14:ligatures w14:val="none"/>
    </w:rPr>
  </w:style>
  <w:style w:type="paragraph" w:styleId="Revision">
    <w:name w:val="Revision"/>
    <w:hidden/>
    <w:uiPriority w:val="99"/>
    <w:semiHidden/>
    <w:rsid w:val="002B41A4"/>
    <w:pPr>
      <w:spacing w:after="0" w:line="240" w:lineRule="auto"/>
    </w:pPr>
    <w:rPr>
      <w:rFonts w:ascii="Helvetica" w:eastAsia="ヒラギノ角ゴ Pro W3" w:hAnsi="Helvetica" w:cs="Times New Roman"/>
      <w:color w:val="000000"/>
      <w:kern w:val="0"/>
      <w:sz w:val="24"/>
      <w:szCs w:val="24"/>
      <w14:ligatures w14:val="none"/>
    </w:rPr>
  </w:style>
  <w:style w:type="paragraph" w:styleId="Footer">
    <w:name w:val="footer"/>
    <w:basedOn w:val="Normal"/>
    <w:link w:val="FooterChar"/>
    <w:uiPriority w:val="99"/>
    <w:unhideWhenUsed/>
    <w:rsid w:val="00574088"/>
    <w:pPr>
      <w:tabs>
        <w:tab w:val="center" w:pos="4513"/>
        <w:tab w:val="right" w:pos="9026"/>
      </w:tabs>
    </w:pPr>
  </w:style>
  <w:style w:type="character" w:customStyle="1" w:styleId="FooterChar">
    <w:name w:val="Footer Char"/>
    <w:basedOn w:val="DefaultParagraphFont"/>
    <w:link w:val="Footer"/>
    <w:uiPriority w:val="99"/>
    <w:rsid w:val="00574088"/>
    <w:rPr>
      <w:rFonts w:ascii="Helvetica" w:eastAsia="ヒラギノ角ゴ Pro W3" w:hAnsi="Helvetica" w:cs="Times New Roman"/>
      <w:color w:val="000000"/>
      <w:kern w:val="0"/>
      <w:sz w:val="24"/>
      <w:szCs w:val="24"/>
      <w14:ligatures w14:val="none"/>
    </w:rPr>
  </w:style>
  <w:style w:type="paragraph" w:styleId="Header">
    <w:name w:val="header"/>
    <w:basedOn w:val="Normal"/>
    <w:link w:val="HeaderChar"/>
    <w:uiPriority w:val="99"/>
    <w:unhideWhenUsed/>
    <w:rsid w:val="00400E55"/>
    <w:pPr>
      <w:tabs>
        <w:tab w:val="center" w:pos="4513"/>
        <w:tab w:val="right" w:pos="9026"/>
      </w:tabs>
    </w:pPr>
  </w:style>
  <w:style w:type="character" w:customStyle="1" w:styleId="HeaderChar">
    <w:name w:val="Header Char"/>
    <w:basedOn w:val="DefaultParagraphFont"/>
    <w:link w:val="Header"/>
    <w:uiPriority w:val="99"/>
    <w:rsid w:val="00400E55"/>
    <w:rPr>
      <w:rFonts w:ascii="Helvetica" w:eastAsia="ヒラギノ角ゴ Pro W3" w:hAnsi="Helvetica" w:cs="Times New Roman"/>
      <w:color w:val="000000"/>
      <w:kern w:val="0"/>
      <w:sz w:val="24"/>
      <w:szCs w:val="24"/>
      <w14:ligatures w14:val="none"/>
    </w:rPr>
  </w:style>
  <w:style w:type="paragraph" w:customStyle="1" w:styleId="pf0">
    <w:name w:val="pf0"/>
    <w:basedOn w:val="Normal"/>
    <w:rsid w:val="009441E6"/>
    <w:pPr>
      <w:spacing w:before="100" w:beforeAutospacing="1" w:after="100" w:afterAutospacing="1"/>
      <w:ind w:left="720"/>
    </w:pPr>
    <w:rPr>
      <w:rFonts w:ascii="Times New Roman" w:eastAsia="Times New Roman" w:hAnsi="Times New Roman"/>
      <w:color w:val="auto"/>
      <w:lang w:eastAsia="en-GB"/>
    </w:rPr>
  </w:style>
  <w:style w:type="character" w:customStyle="1" w:styleId="cf01">
    <w:name w:val="cf01"/>
    <w:basedOn w:val="DefaultParagraphFont"/>
    <w:rsid w:val="009441E6"/>
    <w:rPr>
      <w:rFonts w:ascii="Segoe UI" w:hAnsi="Segoe UI" w:cs="Segoe UI" w:hint="default"/>
      <w:color w:val="222222"/>
      <w:sz w:val="18"/>
      <w:szCs w:val="18"/>
      <w:shd w:val="clear" w:color="auto" w:fill="FFFFFF"/>
    </w:rPr>
  </w:style>
  <w:style w:type="character" w:customStyle="1" w:styleId="cf11">
    <w:name w:val="cf11"/>
    <w:basedOn w:val="DefaultParagraphFont"/>
    <w:rsid w:val="009441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827450">
      <w:bodyDiv w:val="1"/>
      <w:marLeft w:val="0"/>
      <w:marRight w:val="0"/>
      <w:marTop w:val="0"/>
      <w:marBottom w:val="0"/>
      <w:divBdr>
        <w:top w:val="none" w:sz="0" w:space="0" w:color="auto"/>
        <w:left w:val="none" w:sz="0" w:space="0" w:color="auto"/>
        <w:bottom w:val="none" w:sz="0" w:space="0" w:color="auto"/>
        <w:right w:val="none" w:sz="0" w:space="0" w:color="auto"/>
      </w:divBdr>
    </w:div>
    <w:div w:id="1450902141">
      <w:bodyDiv w:val="1"/>
      <w:marLeft w:val="0"/>
      <w:marRight w:val="0"/>
      <w:marTop w:val="0"/>
      <w:marBottom w:val="0"/>
      <w:divBdr>
        <w:top w:val="none" w:sz="0" w:space="0" w:color="auto"/>
        <w:left w:val="none" w:sz="0" w:space="0" w:color="auto"/>
        <w:bottom w:val="none" w:sz="0" w:space="0" w:color="auto"/>
        <w:right w:val="none" w:sz="0" w:space="0" w:color="auto"/>
      </w:divBdr>
      <w:divsChild>
        <w:div w:id="1058555656">
          <w:marLeft w:val="547"/>
          <w:marRight w:val="0"/>
          <w:marTop w:val="96"/>
          <w:marBottom w:val="0"/>
          <w:divBdr>
            <w:top w:val="none" w:sz="0" w:space="0" w:color="auto"/>
            <w:left w:val="none" w:sz="0" w:space="0" w:color="auto"/>
            <w:bottom w:val="none" w:sz="0" w:space="0" w:color="auto"/>
            <w:right w:val="none" w:sz="0" w:space="0" w:color="auto"/>
          </w:divBdr>
        </w:div>
        <w:div w:id="461923210">
          <w:marLeft w:val="547"/>
          <w:marRight w:val="0"/>
          <w:marTop w:val="96"/>
          <w:marBottom w:val="0"/>
          <w:divBdr>
            <w:top w:val="none" w:sz="0" w:space="0" w:color="auto"/>
            <w:left w:val="none" w:sz="0" w:space="0" w:color="auto"/>
            <w:bottom w:val="none" w:sz="0" w:space="0" w:color="auto"/>
            <w:right w:val="none" w:sz="0" w:space="0" w:color="auto"/>
          </w:divBdr>
        </w:div>
        <w:div w:id="249048168">
          <w:marLeft w:val="547"/>
          <w:marRight w:val="0"/>
          <w:marTop w:val="96"/>
          <w:marBottom w:val="0"/>
          <w:divBdr>
            <w:top w:val="none" w:sz="0" w:space="0" w:color="auto"/>
            <w:left w:val="none" w:sz="0" w:space="0" w:color="auto"/>
            <w:bottom w:val="none" w:sz="0" w:space="0" w:color="auto"/>
            <w:right w:val="none" w:sz="0" w:space="0" w:color="auto"/>
          </w:divBdr>
        </w:div>
        <w:div w:id="31924412">
          <w:marLeft w:val="547"/>
          <w:marRight w:val="0"/>
          <w:marTop w:val="96"/>
          <w:marBottom w:val="0"/>
          <w:divBdr>
            <w:top w:val="none" w:sz="0" w:space="0" w:color="auto"/>
            <w:left w:val="none" w:sz="0" w:space="0" w:color="auto"/>
            <w:bottom w:val="none" w:sz="0" w:space="0" w:color="auto"/>
            <w:right w:val="none" w:sz="0" w:space="0" w:color="auto"/>
          </w:divBdr>
        </w:div>
        <w:div w:id="969868830">
          <w:marLeft w:val="547"/>
          <w:marRight w:val="0"/>
          <w:marTop w:val="96"/>
          <w:marBottom w:val="0"/>
          <w:divBdr>
            <w:top w:val="none" w:sz="0" w:space="0" w:color="auto"/>
            <w:left w:val="none" w:sz="0" w:space="0" w:color="auto"/>
            <w:bottom w:val="none" w:sz="0" w:space="0" w:color="auto"/>
            <w:right w:val="none" w:sz="0" w:space="0" w:color="auto"/>
          </w:divBdr>
        </w:div>
        <w:div w:id="1645432596">
          <w:marLeft w:val="547"/>
          <w:marRight w:val="0"/>
          <w:marTop w:val="96"/>
          <w:marBottom w:val="0"/>
          <w:divBdr>
            <w:top w:val="none" w:sz="0" w:space="0" w:color="auto"/>
            <w:left w:val="none" w:sz="0" w:space="0" w:color="auto"/>
            <w:bottom w:val="none" w:sz="0" w:space="0" w:color="auto"/>
            <w:right w:val="none" w:sz="0" w:space="0" w:color="auto"/>
          </w:divBdr>
        </w:div>
      </w:divsChild>
    </w:div>
    <w:div w:id="1677612967">
      <w:bodyDiv w:val="1"/>
      <w:marLeft w:val="0"/>
      <w:marRight w:val="0"/>
      <w:marTop w:val="0"/>
      <w:marBottom w:val="0"/>
      <w:divBdr>
        <w:top w:val="none" w:sz="0" w:space="0" w:color="auto"/>
        <w:left w:val="none" w:sz="0" w:space="0" w:color="auto"/>
        <w:bottom w:val="none" w:sz="0" w:space="0" w:color="auto"/>
        <w:right w:val="none" w:sz="0" w:space="0" w:color="auto"/>
      </w:divBdr>
    </w:div>
    <w:div w:id="2142994333">
      <w:bodyDiv w:val="1"/>
      <w:marLeft w:val="0"/>
      <w:marRight w:val="0"/>
      <w:marTop w:val="0"/>
      <w:marBottom w:val="0"/>
      <w:divBdr>
        <w:top w:val="none" w:sz="0" w:space="0" w:color="auto"/>
        <w:left w:val="none" w:sz="0" w:space="0" w:color="auto"/>
        <w:bottom w:val="none" w:sz="0" w:space="0" w:color="auto"/>
        <w:right w:val="none" w:sz="0" w:space="0" w:color="auto"/>
      </w:divBdr>
      <w:divsChild>
        <w:div w:id="731776239">
          <w:marLeft w:val="0"/>
          <w:marRight w:val="0"/>
          <w:marTop w:val="0"/>
          <w:marBottom w:val="0"/>
          <w:divBdr>
            <w:top w:val="none" w:sz="0" w:space="0" w:color="auto"/>
            <w:left w:val="none" w:sz="0" w:space="0" w:color="auto"/>
            <w:bottom w:val="none" w:sz="0" w:space="0" w:color="auto"/>
            <w:right w:val="none" w:sz="0" w:space="0" w:color="auto"/>
          </w:divBdr>
          <w:divsChild>
            <w:div w:id="1792943031">
              <w:marLeft w:val="-120"/>
              <w:marRight w:val="0"/>
              <w:marTop w:val="0"/>
              <w:marBottom w:val="0"/>
              <w:divBdr>
                <w:top w:val="none" w:sz="0" w:space="0" w:color="auto"/>
                <w:left w:val="none" w:sz="0" w:space="0" w:color="auto"/>
                <w:bottom w:val="none" w:sz="0" w:space="0" w:color="auto"/>
                <w:right w:val="none" w:sz="0" w:space="0" w:color="auto"/>
              </w:divBdr>
              <w:divsChild>
                <w:div w:id="140125324">
                  <w:marLeft w:val="0"/>
                  <w:marRight w:val="0"/>
                  <w:marTop w:val="0"/>
                  <w:marBottom w:val="0"/>
                  <w:divBdr>
                    <w:top w:val="none" w:sz="0" w:space="0" w:color="auto"/>
                    <w:left w:val="none" w:sz="0" w:space="0" w:color="auto"/>
                    <w:bottom w:val="none" w:sz="0" w:space="0" w:color="auto"/>
                    <w:right w:val="none" w:sz="0" w:space="0" w:color="auto"/>
                  </w:divBdr>
                  <w:divsChild>
                    <w:div w:id="877937682">
                      <w:marLeft w:val="0"/>
                      <w:marRight w:val="0"/>
                      <w:marTop w:val="0"/>
                      <w:marBottom w:val="0"/>
                      <w:divBdr>
                        <w:top w:val="none" w:sz="0" w:space="0" w:color="auto"/>
                        <w:left w:val="none" w:sz="0" w:space="0" w:color="auto"/>
                        <w:bottom w:val="none" w:sz="0" w:space="0" w:color="auto"/>
                        <w:right w:val="none" w:sz="0" w:space="0" w:color="auto"/>
                      </w:divBdr>
                      <w:divsChild>
                        <w:div w:id="350840871">
                          <w:marLeft w:val="0"/>
                          <w:marRight w:val="0"/>
                          <w:marTop w:val="0"/>
                          <w:marBottom w:val="0"/>
                          <w:divBdr>
                            <w:top w:val="none" w:sz="0" w:space="0" w:color="auto"/>
                            <w:left w:val="none" w:sz="0" w:space="0" w:color="auto"/>
                            <w:bottom w:val="none" w:sz="0" w:space="0" w:color="auto"/>
                            <w:right w:val="none" w:sz="0" w:space="0" w:color="auto"/>
                          </w:divBdr>
                          <w:divsChild>
                            <w:div w:id="277293923">
                              <w:marLeft w:val="0"/>
                              <w:marRight w:val="0"/>
                              <w:marTop w:val="0"/>
                              <w:marBottom w:val="0"/>
                              <w:divBdr>
                                <w:top w:val="none" w:sz="0" w:space="0" w:color="auto"/>
                                <w:left w:val="none" w:sz="0" w:space="0" w:color="auto"/>
                                <w:bottom w:val="none" w:sz="0" w:space="0" w:color="auto"/>
                                <w:right w:val="none" w:sz="0" w:space="0" w:color="auto"/>
                              </w:divBdr>
                              <w:divsChild>
                                <w:div w:id="2070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49856">
                  <w:marLeft w:val="0"/>
                  <w:marRight w:val="0"/>
                  <w:marTop w:val="0"/>
                  <w:marBottom w:val="0"/>
                  <w:divBdr>
                    <w:top w:val="none" w:sz="0" w:space="0" w:color="auto"/>
                    <w:left w:val="none" w:sz="0" w:space="0" w:color="auto"/>
                    <w:bottom w:val="none" w:sz="0" w:space="0" w:color="auto"/>
                    <w:right w:val="none" w:sz="0" w:space="0" w:color="auto"/>
                  </w:divBdr>
                  <w:divsChild>
                    <w:div w:id="1518235171">
                      <w:marLeft w:val="0"/>
                      <w:marRight w:val="0"/>
                      <w:marTop w:val="0"/>
                      <w:marBottom w:val="0"/>
                      <w:divBdr>
                        <w:top w:val="none" w:sz="0" w:space="0" w:color="auto"/>
                        <w:left w:val="none" w:sz="0" w:space="0" w:color="auto"/>
                        <w:bottom w:val="none" w:sz="0" w:space="0" w:color="auto"/>
                        <w:right w:val="none" w:sz="0" w:space="0" w:color="auto"/>
                      </w:divBdr>
                      <w:divsChild>
                        <w:div w:id="1149442379">
                          <w:marLeft w:val="0"/>
                          <w:marRight w:val="0"/>
                          <w:marTop w:val="0"/>
                          <w:marBottom w:val="0"/>
                          <w:divBdr>
                            <w:top w:val="none" w:sz="0" w:space="0" w:color="auto"/>
                            <w:left w:val="none" w:sz="0" w:space="0" w:color="auto"/>
                            <w:bottom w:val="none" w:sz="0" w:space="0" w:color="auto"/>
                            <w:right w:val="none" w:sz="0" w:space="0" w:color="auto"/>
                          </w:divBdr>
                          <w:divsChild>
                            <w:div w:id="1034227928">
                              <w:marLeft w:val="0"/>
                              <w:marRight w:val="0"/>
                              <w:marTop w:val="0"/>
                              <w:marBottom w:val="0"/>
                              <w:divBdr>
                                <w:top w:val="none" w:sz="0" w:space="0" w:color="auto"/>
                                <w:left w:val="none" w:sz="0" w:space="0" w:color="auto"/>
                                <w:bottom w:val="none" w:sz="0" w:space="0" w:color="auto"/>
                                <w:right w:val="none" w:sz="0" w:space="0" w:color="auto"/>
                              </w:divBdr>
                              <w:divsChild>
                                <w:div w:id="7091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553">
                  <w:marLeft w:val="0"/>
                  <w:marRight w:val="0"/>
                  <w:marTop w:val="0"/>
                  <w:marBottom w:val="0"/>
                  <w:divBdr>
                    <w:top w:val="none" w:sz="0" w:space="0" w:color="auto"/>
                    <w:left w:val="none" w:sz="0" w:space="0" w:color="auto"/>
                    <w:bottom w:val="none" w:sz="0" w:space="0" w:color="auto"/>
                    <w:right w:val="none" w:sz="0" w:space="0" w:color="auto"/>
                  </w:divBdr>
                  <w:divsChild>
                    <w:div w:id="1563827076">
                      <w:marLeft w:val="0"/>
                      <w:marRight w:val="0"/>
                      <w:marTop w:val="0"/>
                      <w:marBottom w:val="0"/>
                      <w:divBdr>
                        <w:top w:val="none" w:sz="0" w:space="0" w:color="auto"/>
                        <w:left w:val="none" w:sz="0" w:space="0" w:color="auto"/>
                        <w:bottom w:val="none" w:sz="0" w:space="0" w:color="auto"/>
                        <w:right w:val="none" w:sz="0" w:space="0" w:color="auto"/>
                      </w:divBdr>
                      <w:divsChild>
                        <w:div w:id="1942299563">
                          <w:marLeft w:val="0"/>
                          <w:marRight w:val="0"/>
                          <w:marTop w:val="0"/>
                          <w:marBottom w:val="0"/>
                          <w:divBdr>
                            <w:top w:val="none" w:sz="0" w:space="0" w:color="auto"/>
                            <w:left w:val="none" w:sz="0" w:space="0" w:color="auto"/>
                            <w:bottom w:val="none" w:sz="0" w:space="0" w:color="auto"/>
                            <w:right w:val="none" w:sz="0" w:space="0" w:color="auto"/>
                          </w:divBdr>
                          <w:divsChild>
                            <w:div w:id="448163233">
                              <w:marLeft w:val="0"/>
                              <w:marRight w:val="0"/>
                              <w:marTop w:val="0"/>
                              <w:marBottom w:val="0"/>
                              <w:divBdr>
                                <w:top w:val="none" w:sz="0" w:space="0" w:color="auto"/>
                                <w:left w:val="none" w:sz="0" w:space="0" w:color="auto"/>
                                <w:bottom w:val="none" w:sz="0" w:space="0" w:color="auto"/>
                                <w:right w:val="none" w:sz="0" w:space="0" w:color="auto"/>
                              </w:divBdr>
                              <w:divsChild>
                                <w:div w:id="2309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04392">
                  <w:marLeft w:val="0"/>
                  <w:marRight w:val="0"/>
                  <w:marTop w:val="0"/>
                  <w:marBottom w:val="0"/>
                  <w:divBdr>
                    <w:top w:val="none" w:sz="0" w:space="0" w:color="auto"/>
                    <w:left w:val="none" w:sz="0" w:space="0" w:color="auto"/>
                    <w:bottom w:val="none" w:sz="0" w:space="0" w:color="auto"/>
                    <w:right w:val="none" w:sz="0" w:space="0" w:color="auto"/>
                  </w:divBdr>
                  <w:divsChild>
                    <w:div w:id="342979838">
                      <w:marLeft w:val="0"/>
                      <w:marRight w:val="0"/>
                      <w:marTop w:val="0"/>
                      <w:marBottom w:val="0"/>
                      <w:divBdr>
                        <w:top w:val="none" w:sz="0" w:space="0" w:color="auto"/>
                        <w:left w:val="none" w:sz="0" w:space="0" w:color="auto"/>
                        <w:bottom w:val="none" w:sz="0" w:space="0" w:color="auto"/>
                        <w:right w:val="none" w:sz="0" w:space="0" w:color="auto"/>
                      </w:divBdr>
                      <w:divsChild>
                        <w:div w:id="260577632">
                          <w:marLeft w:val="0"/>
                          <w:marRight w:val="0"/>
                          <w:marTop w:val="0"/>
                          <w:marBottom w:val="0"/>
                          <w:divBdr>
                            <w:top w:val="none" w:sz="0" w:space="0" w:color="auto"/>
                            <w:left w:val="none" w:sz="0" w:space="0" w:color="auto"/>
                            <w:bottom w:val="none" w:sz="0" w:space="0" w:color="auto"/>
                            <w:right w:val="none" w:sz="0" w:space="0" w:color="auto"/>
                          </w:divBdr>
                          <w:divsChild>
                            <w:div w:id="2105106753">
                              <w:marLeft w:val="0"/>
                              <w:marRight w:val="0"/>
                              <w:marTop w:val="0"/>
                              <w:marBottom w:val="0"/>
                              <w:divBdr>
                                <w:top w:val="none" w:sz="0" w:space="0" w:color="auto"/>
                                <w:left w:val="none" w:sz="0" w:space="0" w:color="auto"/>
                                <w:bottom w:val="none" w:sz="0" w:space="0" w:color="auto"/>
                                <w:right w:val="none" w:sz="0" w:space="0" w:color="auto"/>
                              </w:divBdr>
                              <w:divsChild>
                                <w:div w:id="9207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5209">
                  <w:marLeft w:val="0"/>
                  <w:marRight w:val="0"/>
                  <w:marTop w:val="0"/>
                  <w:marBottom w:val="0"/>
                  <w:divBdr>
                    <w:top w:val="none" w:sz="0" w:space="0" w:color="auto"/>
                    <w:left w:val="none" w:sz="0" w:space="0" w:color="auto"/>
                    <w:bottom w:val="none" w:sz="0" w:space="0" w:color="auto"/>
                    <w:right w:val="none" w:sz="0" w:space="0" w:color="auto"/>
                  </w:divBdr>
                  <w:divsChild>
                    <w:div w:id="1482621567">
                      <w:marLeft w:val="0"/>
                      <w:marRight w:val="0"/>
                      <w:marTop w:val="0"/>
                      <w:marBottom w:val="0"/>
                      <w:divBdr>
                        <w:top w:val="none" w:sz="0" w:space="0" w:color="auto"/>
                        <w:left w:val="none" w:sz="0" w:space="0" w:color="auto"/>
                        <w:bottom w:val="none" w:sz="0" w:space="0" w:color="auto"/>
                        <w:right w:val="none" w:sz="0" w:space="0" w:color="auto"/>
                      </w:divBdr>
                      <w:divsChild>
                        <w:div w:id="1177429601">
                          <w:marLeft w:val="0"/>
                          <w:marRight w:val="0"/>
                          <w:marTop w:val="0"/>
                          <w:marBottom w:val="0"/>
                          <w:divBdr>
                            <w:top w:val="none" w:sz="0" w:space="0" w:color="auto"/>
                            <w:left w:val="none" w:sz="0" w:space="0" w:color="auto"/>
                            <w:bottom w:val="none" w:sz="0" w:space="0" w:color="auto"/>
                            <w:right w:val="none" w:sz="0" w:space="0" w:color="auto"/>
                          </w:divBdr>
                          <w:divsChild>
                            <w:div w:id="1921401115">
                              <w:marLeft w:val="0"/>
                              <w:marRight w:val="0"/>
                              <w:marTop w:val="0"/>
                              <w:marBottom w:val="0"/>
                              <w:divBdr>
                                <w:top w:val="none" w:sz="0" w:space="0" w:color="auto"/>
                                <w:left w:val="none" w:sz="0" w:space="0" w:color="auto"/>
                                <w:bottom w:val="none" w:sz="0" w:space="0" w:color="auto"/>
                                <w:right w:val="none" w:sz="0" w:space="0" w:color="auto"/>
                              </w:divBdr>
                              <w:divsChild>
                                <w:div w:id="8715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40389">
                  <w:marLeft w:val="0"/>
                  <w:marRight w:val="0"/>
                  <w:marTop w:val="0"/>
                  <w:marBottom w:val="0"/>
                  <w:divBdr>
                    <w:top w:val="none" w:sz="0" w:space="0" w:color="auto"/>
                    <w:left w:val="none" w:sz="0" w:space="0" w:color="auto"/>
                    <w:bottom w:val="none" w:sz="0" w:space="0" w:color="auto"/>
                    <w:right w:val="none" w:sz="0" w:space="0" w:color="auto"/>
                  </w:divBdr>
                  <w:divsChild>
                    <w:div w:id="1810241013">
                      <w:marLeft w:val="0"/>
                      <w:marRight w:val="0"/>
                      <w:marTop w:val="0"/>
                      <w:marBottom w:val="0"/>
                      <w:divBdr>
                        <w:top w:val="none" w:sz="0" w:space="0" w:color="auto"/>
                        <w:left w:val="none" w:sz="0" w:space="0" w:color="auto"/>
                        <w:bottom w:val="none" w:sz="0" w:space="0" w:color="auto"/>
                        <w:right w:val="none" w:sz="0" w:space="0" w:color="auto"/>
                      </w:divBdr>
                      <w:divsChild>
                        <w:div w:id="398482765">
                          <w:marLeft w:val="0"/>
                          <w:marRight w:val="0"/>
                          <w:marTop w:val="0"/>
                          <w:marBottom w:val="0"/>
                          <w:divBdr>
                            <w:top w:val="none" w:sz="0" w:space="0" w:color="auto"/>
                            <w:left w:val="none" w:sz="0" w:space="0" w:color="auto"/>
                            <w:bottom w:val="none" w:sz="0" w:space="0" w:color="auto"/>
                            <w:right w:val="none" w:sz="0" w:space="0" w:color="auto"/>
                          </w:divBdr>
                          <w:divsChild>
                            <w:div w:id="576675157">
                              <w:marLeft w:val="0"/>
                              <w:marRight w:val="0"/>
                              <w:marTop w:val="0"/>
                              <w:marBottom w:val="0"/>
                              <w:divBdr>
                                <w:top w:val="none" w:sz="0" w:space="0" w:color="auto"/>
                                <w:left w:val="none" w:sz="0" w:space="0" w:color="auto"/>
                                <w:bottom w:val="none" w:sz="0" w:space="0" w:color="auto"/>
                                <w:right w:val="none" w:sz="0" w:space="0" w:color="auto"/>
                              </w:divBdr>
                              <w:divsChild>
                                <w:div w:id="19133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2246">
                  <w:marLeft w:val="0"/>
                  <w:marRight w:val="0"/>
                  <w:marTop w:val="0"/>
                  <w:marBottom w:val="0"/>
                  <w:divBdr>
                    <w:top w:val="none" w:sz="0" w:space="0" w:color="auto"/>
                    <w:left w:val="none" w:sz="0" w:space="0" w:color="auto"/>
                    <w:bottom w:val="none" w:sz="0" w:space="0" w:color="auto"/>
                    <w:right w:val="none" w:sz="0" w:space="0" w:color="auto"/>
                  </w:divBdr>
                  <w:divsChild>
                    <w:div w:id="2036029838">
                      <w:marLeft w:val="0"/>
                      <w:marRight w:val="0"/>
                      <w:marTop w:val="0"/>
                      <w:marBottom w:val="0"/>
                      <w:divBdr>
                        <w:top w:val="none" w:sz="0" w:space="0" w:color="auto"/>
                        <w:left w:val="none" w:sz="0" w:space="0" w:color="auto"/>
                        <w:bottom w:val="none" w:sz="0" w:space="0" w:color="auto"/>
                        <w:right w:val="none" w:sz="0" w:space="0" w:color="auto"/>
                      </w:divBdr>
                      <w:divsChild>
                        <w:div w:id="460660815">
                          <w:marLeft w:val="0"/>
                          <w:marRight w:val="0"/>
                          <w:marTop w:val="0"/>
                          <w:marBottom w:val="0"/>
                          <w:divBdr>
                            <w:top w:val="none" w:sz="0" w:space="0" w:color="auto"/>
                            <w:left w:val="none" w:sz="0" w:space="0" w:color="auto"/>
                            <w:bottom w:val="none" w:sz="0" w:space="0" w:color="auto"/>
                            <w:right w:val="none" w:sz="0" w:space="0" w:color="auto"/>
                          </w:divBdr>
                          <w:divsChild>
                            <w:div w:id="502162186">
                              <w:marLeft w:val="0"/>
                              <w:marRight w:val="0"/>
                              <w:marTop w:val="0"/>
                              <w:marBottom w:val="0"/>
                              <w:divBdr>
                                <w:top w:val="none" w:sz="0" w:space="0" w:color="auto"/>
                                <w:left w:val="none" w:sz="0" w:space="0" w:color="auto"/>
                                <w:bottom w:val="none" w:sz="0" w:space="0" w:color="auto"/>
                                <w:right w:val="none" w:sz="0" w:space="0" w:color="auto"/>
                              </w:divBdr>
                              <w:divsChild>
                                <w:div w:id="125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53992">
                  <w:marLeft w:val="0"/>
                  <w:marRight w:val="0"/>
                  <w:marTop w:val="0"/>
                  <w:marBottom w:val="0"/>
                  <w:divBdr>
                    <w:top w:val="none" w:sz="0" w:space="0" w:color="auto"/>
                    <w:left w:val="none" w:sz="0" w:space="0" w:color="auto"/>
                    <w:bottom w:val="none" w:sz="0" w:space="0" w:color="auto"/>
                    <w:right w:val="none" w:sz="0" w:space="0" w:color="auto"/>
                  </w:divBdr>
                  <w:divsChild>
                    <w:div w:id="871455615">
                      <w:marLeft w:val="0"/>
                      <w:marRight w:val="0"/>
                      <w:marTop w:val="0"/>
                      <w:marBottom w:val="0"/>
                      <w:divBdr>
                        <w:top w:val="none" w:sz="0" w:space="0" w:color="auto"/>
                        <w:left w:val="none" w:sz="0" w:space="0" w:color="auto"/>
                        <w:bottom w:val="none" w:sz="0" w:space="0" w:color="auto"/>
                        <w:right w:val="none" w:sz="0" w:space="0" w:color="auto"/>
                      </w:divBdr>
                      <w:divsChild>
                        <w:div w:id="1820615835">
                          <w:marLeft w:val="0"/>
                          <w:marRight w:val="0"/>
                          <w:marTop w:val="0"/>
                          <w:marBottom w:val="0"/>
                          <w:divBdr>
                            <w:top w:val="none" w:sz="0" w:space="0" w:color="auto"/>
                            <w:left w:val="none" w:sz="0" w:space="0" w:color="auto"/>
                            <w:bottom w:val="none" w:sz="0" w:space="0" w:color="auto"/>
                            <w:right w:val="none" w:sz="0" w:space="0" w:color="auto"/>
                          </w:divBdr>
                          <w:divsChild>
                            <w:div w:id="1174102196">
                              <w:marLeft w:val="0"/>
                              <w:marRight w:val="0"/>
                              <w:marTop w:val="0"/>
                              <w:marBottom w:val="0"/>
                              <w:divBdr>
                                <w:top w:val="none" w:sz="0" w:space="0" w:color="auto"/>
                                <w:left w:val="none" w:sz="0" w:space="0" w:color="auto"/>
                                <w:bottom w:val="none" w:sz="0" w:space="0" w:color="auto"/>
                                <w:right w:val="none" w:sz="0" w:space="0" w:color="auto"/>
                              </w:divBdr>
                              <w:divsChild>
                                <w:div w:id="10803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41813">
                  <w:marLeft w:val="0"/>
                  <w:marRight w:val="0"/>
                  <w:marTop w:val="0"/>
                  <w:marBottom w:val="0"/>
                  <w:divBdr>
                    <w:top w:val="none" w:sz="0" w:space="0" w:color="auto"/>
                    <w:left w:val="none" w:sz="0" w:space="0" w:color="auto"/>
                    <w:bottom w:val="none" w:sz="0" w:space="0" w:color="auto"/>
                    <w:right w:val="none" w:sz="0" w:space="0" w:color="auto"/>
                  </w:divBdr>
                  <w:divsChild>
                    <w:div w:id="1308390452">
                      <w:marLeft w:val="0"/>
                      <w:marRight w:val="0"/>
                      <w:marTop w:val="0"/>
                      <w:marBottom w:val="0"/>
                      <w:divBdr>
                        <w:top w:val="none" w:sz="0" w:space="0" w:color="auto"/>
                        <w:left w:val="none" w:sz="0" w:space="0" w:color="auto"/>
                        <w:bottom w:val="none" w:sz="0" w:space="0" w:color="auto"/>
                        <w:right w:val="none" w:sz="0" w:space="0" w:color="auto"/>
                      </w:divBdr>
                      <w:divsChild>
                        <w:div w:id="698895297">
                          <w:marLeft w:val="0"/>
                          <w:marRight w:val="0"/>
                          <w:marTop w:val="0"/>
                          <w:marBottom w:val="0"/>
                          <w:divBdr>
                            <w:top w:val="none" w:sz="0" w:space="0" w:color="auto"/>
                            <w:left w:val="none" w:sz="0" w:space="0" w:color="auto"/>
                            <w:bottom w:val="none" w:sz="0" w:space="0" w:color="auto"/>
                            <w:right w:val="none" w:sz="0" w:space="0" w:color="auto"/>
                          </w:divBdr>
                          <w:divsChild>
                            <w:div w:id="190076692">
                              <w:marLeft w:val="0"/>
                              <w:marRight w:val="0"/>
                              <w:marTop w:val="0"/>
                              <w:marBottom w:val="0"/>
                              <w:divBdr>
                                <w:top w:val="none" w:sz="0" w:space="0" w:color="auto"/>
                                <w:left w:val="none" w:sz="0" w:space="0" w:color="auto"/>
                                <w:bottom w:val="none" w:sz="0" w:space="0" w:color="auto"/>
                                <w:right w:val="none" w:sz="0" w:space="0" w:color="auto"/>
                              </w:divBdr>
                              <w:divsChild>
                                <w:div w:id="667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2577">
                  <w:marLeft w:val="0"/>
                  <w:marRight w:val="0"/>
                  <w:marTop w:val="0"/>
                  <w:marBottom w:val="0"/>
                  <w:divBdr>
                    <w:top w:val="none" w:sz="0" w:space="0" w:color="auto"/>
                    <w:left w:val="none" w:sz="0" w:space="0" w:color="auto"/>
                    <w:bottom w:val="none" w:sz="0" w:space="0" w:color="auto"/>
                    <w:right w:val="none" w:sz="0" w:space="0" w:color="auto"/>
                  </w:divBdr>
                  <w:divsChild>
                    <w:div w:id="836307590">
                      <w:marLeft w:val="0"/>
                      <w:marRight w:val="0"/>
                      <w:marTop w:val="0"/>
                      <w:marBottom w:val="0"/>
                      <w:divBdr>
                        <w:top w:val="none" w:sz="0" w:space="0" w:color="auto"/>
                        <w:left w:val="none" w:sz="0" w:space="0" w:color="auto"/>
                        <w:bottom w:val="none" w:sz="0" w:space="0" w:color="auto"/>
                        <w:right w:val="none" w:sz="0" w:space="0" w:color="auto"/>
                      </w:divBdr>
                      <w:divsChild>
                        <w:div w:id="271783402">
                          <w:marLeft w:val="0"/>
                          <w:marRight w:val="0"/>
                          <w:marTop w:val="0"/>
                          <w:marBottom w:val="0"/>
                          <w:divBdr>
                            <w:top w:val="none" w:sz="0" w:space="0" w:color="auto"/>
                            <w:left w:val="none" w:sz="0" w:space="0" w:color="auto"/>
                            <w:bottom w:val="none" w:sz="0" w:space="0" w:color="auto"/>
                            <w:right w:val="none" w:sz="0" w:space="0" w:color="auto"/>
                          </w:divBdr>
                          <w:divsChild>
                            <w:div w:id="559634475">
                              <w:marLeft w:val="0"/>
                              <w:marRight w:val="0"/>
                              <w:marTop w:val="0"/>
                              <w:marBottom w:val="0"/>
                              <w:divBdr>
                                <w:top w:val="none" w:sz="0" w:space="0" w:color="auto"/>
                                <w:left w:val="none" w:sz="0" w:space="0" w:color="auto"/>
                                <w:bottom w:val="none" w:sz="0" w:space="0" w:color="auto"/>
                                <w:right w:val="none" w:sz="0" w:space="0" w:color="auto"/>
                              </w:divBdr>
                              <w:divsChild>
                                <w:div w:id="4636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0618">
                  <w:marLeft w:val="0"/>
                  <w:marRight w:val="0"/>
                  <w:marTop w:val="0"/>
                  <w:marBottom w:val="0"/>
                  <w:divBdr>
                    <w:top w:val="none" w:sz="0" w:space="0" w:color="auto"/>
                    <w:left w:val="none" w:sz="0" w:space="0" w:color="auto"/>
                    <w:bottom w:val="none" w:sz="0" w:space="0" w:color="auto"/>
                    <w:right w:val="none" w:sz="0" w:space="0" w:color="auto"/>
                  </w:divBdr>
                  <w:divsChild>
                    <w:div w:id="1187522940">
                      <w:marLeft w:val="0"/>
                      <w:marRight w:val="0"/>
                      <w:marTop w:val="0"/>
                      <w:marBottom w:val="0"/>
                      <w:divBdr>
                        <w:top w:val="none" w:sz="0" w:space="0" w:color="auto"/>
                        <w:left w:val="none" w:sz="0" w:space="0" w:color="auto"/>
                        <w:bottom w:val="none" w:sz="0" w:space="0" w:color="auto"/>
                        <w:right w:val="none" w:sz="0" w:space="0" w:color="auto"/>
                      </w:divBdr>
                      <w:divsChild>
                        <w:div w:id="531190505">
                          <w:marLeft w:val="0"/>
                          <w:marRight w:val="0"/>
                          <w:marTop w:val="0"/>
                          <w:marBottom w:val="0"/>
                          <w:divBdr>
                            <w:top w:val="none" w:sz="0" w:space="0" w:color="auto"/>
                            <w:left w:val="none" w:sz="0" w:space="0" w:color="auto"/>
                            <w:bottom w:val="none" w:sz="0" w:space="0" w:color="auto"/>
                            <w:right w:val="none" w:sz="0" w:space="0" w:color="auto"/>
                          </w:divBdr>
                          <w:divsChild>
                            <w:div w:id="2004505987">
                              <w:marLeft w:val="0"/>
                              <w:marRight w:val="0"/>
                              <w:marTop w:val="0"/>
                              <w:marBottom w:val="0"/>
                              <w:divBdr>
                                <w:top w:val="none" w:sz="0" w:space="0" w:color="auto"/>
                                <w:left w:val="none" w:sz="0" w:space="0" w:color="auto"/>
                                <w:bottom w:val="none" w:sz="0" w:space="0" w:color="auto"/>
                                <w:right w:val="none" w:sz="0" w:space="0" w:color="auto"/>
                              </w:divBdr>
                              <w:divsChild>
                                <w:div w:id="16247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39695">
                  <w:marLeft w:val="0"/>
                  <w:marRight w:val="0"/>
                  <w:marTop w:val="0"/>
                  <w:marBottom w:val="0"/>
                  <w:divBdr>
                    <w:top w:val="none" w:sz="0" w:space="0" w:color="auto"/>
                    <w:left w:val="none" w:sz="0" w:space="0" w:color="auto"/>
                    <w:bottom w:val="none" w:sz="0" w:space="0" w:color="auto"/>
                    <w:right w:val="none" w:sz="0" w:space="0" w:color="auto"/>
                  </w:divBdr>
                  <w:divsChild>
                    <w:div w:id="671682518">
                      <w:marLeft w:val="0"/>
                      <w:marRight w:val="0"/>
                      <w:marTop w:val="0"/>
                      <w:marBottom w:val="0"/>
                      <w:divBdr>
                        <w:top w:val="none" w:sz="0" w:space="0" w:color="auto"/>
                        <w:left w:val="none" w:sz="0" w:space="0" w:color="auto"/>
                        <w:bottom w:val="none" w:sz="0" w:space="0" w:color="auto"/>
                        <w:right w:val="none" w:sz="0" w:space="0" w:color="auto"/>
                      </w:divBdr>
                      <w:divsChild>
                        <w:div w:id="1006127514">
                          <w:marLeft w:val="0"/>
                          <w:marRight w:val="0"/>
                          <w:marTop w:val="0"/>
                          <w:marBottom w:val="0"/>
                          <w:divBdr>
                            <w:top w:val="none" w:sz="0" w:space="0" w:color="auto"/>
                            <w:left w:val="none" w:sz="0" w:space="0" w:color="auto"/>
                            <w:bottom w:val="none" w:sz="0" w:space="0" w:color="auto"/>
                            <w:right w:val="none" w:sz="0" w:space="0" w:color="auto"/>
                          </w:divBdr>
                          <w:divsChild>
                            <w:div w:id="1683362689">
                              <w:marLeft w:val="0"/>
                              <w:marRight w:val="0"/>
                              <w:marTop w:val="0"/>
                              <w:marBottom w:val="0"/>
                              <w:divBdr>
                                <w:top w:val="none" w:sz="0" w:space="0" w:color="auto"/>
                                <w:left w:val="none" w:sz="0" w:space="0" w:color="auto"/>
                                <w:bottom w:val="none" w:sz="0" w:space="0" w:color="auto"/>
                                <w:right w:val="none" w:sz="0" w:space="0" w:color="auto"/>
                              </w:divBdr>
                              <w:divsChild>
                                <w:div w:id="11930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0169">
                  <w:marLeft w:val="0"/>
                  <w:marRight w:val="0"/>
                  <w:marTop w:val="0"/>
                  <w:marBottom w:val="0"/>
                  <w:divBdr>
                    <w:top w:val="none" w:sz="0" w:space="0" w:color="auto"/>
                    <w:left w:val="none" w:sz="0" w:space="0" w:color="auto"/>
                    <w:bottom w:val="none" w:sz="0" w:space="0" w:color="auto"/>
                    <w:right w:val="none" w:sz="0" w:space="0" w:color="auto"/>
                  </w:divBdr>
                  <w:divsChild>
                    <w:div w:id="171653082">
                      <w:marLeft w:val="0"/>
                      <w:marRight w:val="0"/>
                      <w:marTop w:val="0"/>
                      <w:marBottom w:val="0"/>
                      <w:divBdr>
                        <w:top w:val="none" w:sz="0" w:space="0" w:color="auto"/>
                        <w:left w:val="none" w:sz="0" w:space="0" w:color="auto"/>
                        <w:bottom w:val="none" w:sz="0" w:space="0" w:color="auto"/>
                        <w:right w:val="none" w:sz="0" w:space="0" w:color="auto"/>
                      </w:divBdr>
                      <w:divsChild>
                        <w:div w:id="166749521">
                          <w:marLeft w:val="0"/>
                          <w:marRight w:val="0"/>
                          <w:marTop w:val="0"/>
                          <w:marBottom w:val="0"/>
                          <w:divBdr>
                            <w:top w:val="none" w:sz="0" w:space="0" w:color="auto"/>
                            <w:left w:val="none" w:sz="0" w:space="0" w:color="auto"/>
                            <w:bottom w:val="none" w:sz="0" w:space="0" w:color="auto"/>
                            <w:right w:val="none" w:sz="0" w:space="0" w:color="auto"/>
                          </w:divBdr>
                          <w:divsChild>
                            <w:div w:id="1706785791">
                              <w:marLeft w:val="0"/>
                              <w:marRight w:val="0"/>
                              <w:marTop w:val="0"/>
                              <w:marBottom w:val="0"/>
                              <w:divBdr>
                                <w:top w:val="none" w:sz="0" w:space="0" w:color="auto"/>
                                <w:left w:val="none" w:sz="0" w:space="0" w:color="auto"/>
                                <w:bottom w:val="none" w:sz="0" w:space="0" w:color="auto"/>
                                <w:right w:val="none" w:sz="0" w:space="0" w:color="auto"/>
                              </w:divBdr>
                              <w:divsChild>
                                <w:div w:id="111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15621">
                  <w:marLeft w:val="0"/>
                  <w:marRight w:val="0"/>
                  <w:marTop w:val="0"/>
                  <w:marBottom w:val="0"/>
                  <w:divBdr>
                    <w:top w:val="none" w:sz="0" w:space="0" w:color="auto"/>
                    <w:left w:val="none" w:sz="0" w:space="0" w:color="auto"/>
                    <w:bottom w:val="none" w:sz="0" w:space="0" w:color="auto"/>
                    <w:right w:val="none" w:sz="0" w:space="0" w:color="auto"/>
                  </w:divBdr>
                  <w:divsChild>
                    <w:div w:id="260070678">
                      <w:marLeft w:val="0"/>
                      <w:marRight w:val="0"/>
                      <w:marTop w:val="0"/>
                      <w:marBottom w:val="0"/>
                      <w:divBdr>
                        <w:top w:val="none" w:sz="0" w:space="0" w:color="auto"/>
                        <w:left w:val="none" w:sz="0" w:space="0" w:color="auto"/>
                        <w:bottom w:val="none" w:sz="0" w:space="0" w:color="auto"/>
                        <w:right w:val="none" w:sz="0" w:space="0" w:color="auto"/>
                      </w:divBdr>
                      <w:divsChild>
                        <w:div w:id="587739400">
                          <w:marLeft w:val="0"/>
                          <w:marRight w:val="0"/>
                          <w:marTop w:val="0"/>
                          <w:marBottom w:val="0"/>
                          <w:divBdr>
                            <w:top w:val="none" w:sz="0" w:space="0" w:color="auto"/>
                            <w:left w:val="none" w:sz="0" w:space="0" w:color="auto"/>
                            <w:bottom w:val="none" w:sz="0" w:space="0" w:color="auto"/>
                            <w:right w:val="none" w:sz="0" w:space="0" w:color="auto"/>
                          </w:divBdr>
                          <w:divsChild>
                            <w:div w:id="1893030849">
                              <w:marLeft w:val="0"/>
                              <w:marRight w:val="0"/>
                              <w:marTop w:val="0"/>
                              <w:marBottom w:val="0"/>
                              <w:divBdr>
                                <w:top w:val="none" w:sz="0" w:space="0" w:color="auto"/>
                                <w:left w:val="none" w:sz="0" w:space="0" w:color="auto"/>
                                <w:bottom w:val="none" w:sz="0" w:space="0" w:color="auto"/>
                                <w:right w:val="none" w:sz="0" w:space="0" w:color="auto"/>
                              </w:divBdr>
                              <w:divsChild>
                                <w:div w:id="6948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6155">
                  <w:marLeft w:val="0"/>
                  <w:marRight w:val="0"/>
                  <w:marTop w:val="0"/>
                  <w:marBottom w:val="0"/>
                  <w:divBdr>
                    <w:top w:val="none" w:sz="0" w:space="0" w:color="auto"/>
                    <w:left w:val="none" w:sz="0" w:space="0" w:color="auto"/>
                    <w:bottom w:val="none" w:sz="0" w:space="0" w:color="auto"/>
                    <w:right w:val="none" w:sz="0" w:space="0" w:color="auto"/>
                  </w:divBdr>
                  <w:divsChild>
                    <w:div w:id="1564485661">
                      <w:marLeft w:val="0"/>
                      <w:marRight w:val="0"/>
                      <w:marTop w:val="0"/>
                      <w:marBottom w:val="0"/>
                      <w:divBdr>
                        <w:top w:val="none" w:sz="0" w:space="0" w:color="auto"/>
                        <w:left w:val="none" w:sz="0" w:space="0" w:color="auto"/>
                        <w:bottom w:val="none" w:sz="0" w:space="0" w:color="auto"/>
                        <w:right w:val="none" w:sz="0" w:space="0" w:color="auto"/>
                      </w:divBdr>
                      <w:divsChild>
                        <w:div w:id="2018538927">
                          <w:marLeft w:val="0"/>
                          <w:marRight w:val="0"/>
                          <w:marTop w:val="0"/>
                          <w:marBottom w:val="0"/>
                          <w:divBdr>
                            <w:top w:val="none" w:sz="0" w:space="0" w:color="auto"/>
                            <w:left w:val="none" w:sz="0" w:space="0" w:color="auto"/>
                            <w:bottom w:val="none" w:sz="0" w:space="0" w:color="auto"/>
                            <w:right w:val="none" w:sz="0" w:space="0" w:color="auto"/>
                          </w:divBdr>
                          <w:divsChild>
                            <w:div w:id="1576090064">
                              <w:marLeft w:val="0"/>
                              <w:marRight w:val="0"/>
                              <w:marTop w:val="0"/>
                              <w:marBottom w:val="0"/>
                              <w:divBdr>
                                <w:top w:val="none" w:sz="0" w:space="0" w:color="auto"/>
                                <w:left w:val="none" w:sz="0" w:space="0" w:color="auto"/>
                                <w:bottom w:val="none" w:sz="0" w:space="0" w:color="auto"/>
                                <w:right w:val="none" w:sz="0" w:space="0" w:color="auto"/>
                              </w:divBdr>
                              <w:divsChild>
                                <w:div w:id="1641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50701">
                  <w:marLeft w:val="0"/>
                  <w:marRight w:val="0"/>
                  <w:marTop w:val="0"/>
                  <w:marBottom w:val="0"/>
                  <w:divBdr>
                    <w:top w:val="none" w:sz="0" w:space="0" w:color="auto"/>
                    <w:left w:val="none" w:sz="0" w:space="0" w:color="auto"/>
                    <w:bottom w:val="none" w:sz="0" w:space="0" w:color="auto"/>
                    <w:right w:val="none" w:sz="0" w:space="0" w:color="auto"/>
                  </w:divBdr>
                  <w:divsChild>
                    <w:div w:id="1708599208">
                      <w:marLeft w:val="0"/>
                      <w:marRight w:val="0"/>
                      <w:marTop w:val="0"/>
                      <w:marBottom w:val="0"/>
                      <w:divBdr>
                        <w:top w:val="none" w:sz="0" w:space="0" w:color="auto"/>
                        <w:left w:val="none" w:sz="0" w:space="0" w:color="auto"/>
                        <w:bottom w:val="none" w:sz="0" w:space="0" w:color="auto"/>
                        <w:right w:val="none" w:sz="0" w:space="0" w:color="auto"/>
                      </w:divBdr>
                      <w:divsChild>
                        <w:div w:id="1757557870">
                          <w:marLeft w:val="0"/>
                          <w:marRight w:val="0"/>
                          <w:marTop w:val="0"/>
                          <w:marBottom w:val="0"/>
                          <w:divBdr>
                            <w:top w:val="none" w:sz="0" w:space="0" w:color="auto"/>
                            <w:left w:val="none" w:sz="0" w:space="0" w:color="auto"/>
                            <w:bottom w:val="none" w:sz="0" w:space="0" w:color="auto"/>
                            <w:right w:val="none" w:sz="0" w:space="0" w:color="auto"/>
                          </w:divBdr>
                          <w:divsChild>
                            <w:div w:id="20908142">
                              <w:marLeft w:val="0"/>
                              <w:marRight w:val="0"/>
                              <w:marTop w:val="0"/>
                              <w:marBottom w:val="0"/>
                              <w:divBdr>
                                <w:top w:val="none" w:sz="0" w:space="0" w:color="auto"/>
                                <w:left w:val="none" w:sz="0" w:space="0" w:color="auto"/>
                                <w:bottom w:val="none" w:sz="0" w:space="0" w:color="auto"/>
                                <w:right w:val="none" w:sz="0" w:space="0" w:color="auto"/>
                              </w:divBdr>
                              <w:divsChild>
                                <w:div w:id="21263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4627">
                  <w:marLeft w:val="0"/>
                  <w:marRight w:val="0"/>
                  <w:marTop w:val="0"/>
                  <w:marBottom w:val="0"/>
                  <w:divBdr>
                    <w:top w:val="none" w:sz="0" w:space="0" w:color="auto"/>
                    <w:left w:val="none" w:sz="0" w:space="0" w:color="auto"/>
                    <w:bottom w:val="none" w:sz="0" w:space="0" w:color="auto"/>
                    <w:right w:val="none" w:sz="0" w:space="0" w:color="auto"/>
                  </w:divBdr>
                  <w:divsChild>
                    <w:div w:id="725839970">
                      <w:marLeft w:val="0"/>
                      <w:marRight w:val="0"/>
                      <w:marTop w:val="0"/>
                      <w:marBottom w:val="0"/>
                      <w:divBdr>
                        <w:top w:val="none" w:sz="0" w:space="0" w:color="auto"/>
                        <w:left w:val="none" w:sz="0" w:space="0" w:color="auto"/>
                        <w:bottom w:val="none" w:sz="0" w:space="0" w:color="auto"/>
                        <w:right w:val="none" w:sz="0" w:space="0" w:color="auto"/>
                      </w:divBdr>
                      <w:divsChild>
                        <w:div w:id="1965230745">
                          <w:marLeft w:val="0"/>
                          <w:marRight w:val="0"/>
                          <w:marTop w:val="0"/>
                          <w:marBottom w:val="0"/>
                          <w:divBdr>
                            <w:top w:val="none" w:sz="0" w:space="0" w:color="auto"/>
                            <w:left w:val="none" w:sz="0" w:space="0" w:color="auto"/>
                            <w:bottom w:val="none" w:sz="0" w:space="0" w:color="auto"/>
                            <w:right w:val="none" w:sz="0" w:space="0" w:color="auto"/>
                          </w:divBdr>
                          <w:divsChild>
                            <w:div w:id="1063522552">
                              <w:marLeft w:val="0"/>
                              <w:marRight w:val="0"/>
                              <w:marTop w:val="0"/>
                              <w:marBottom w:val="0"/>
                              <w:divBdr>
                                <w:top w:val="none" w:sz="0" w:space="0" w:color="auto"/>
                                <w:left w:val="none" w:sz="0" w:space="0" w:color="auto"/>
                                <w:bottom w:val="none" w:sz="0" w:space="0" w:color="auto"/>
                                <w:right w:val="none" w:sz="0" w:space="0" w:color="auto"/>
                              </w:divBdr>
                              <w:divsChild>
                                <w:div w:id="18337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2447">
                  <w:marLeft w:val="0"/>
                  <w:marRight w:val="0"/>
                  <w:marTop w:val="0"/>
                  <w:marBottom w:val="0"/>
                  <w:divBdr>
                    <w:top w:val="none" w:sz="0" w:space="0" w:color="auto"/>
                    <w:left w:val="none" w:sz="0" w:space="0" w:color="auto"/>
                    <w:bottom w:val="none" w:sz="0" w:space="0" w:color="auto"/>
                    <w:right w:val="none" w:sz="0" w:space="0" w:color="auto"/>
                  </w:divBdr>
                  <w:divsChild>
                    <w:div w:id="1583638339">
                      <w:marLeft w:val="0"/>
                      <w:marRight w:val="0"/>
                      <w:marTop w:val="0"/>
                      <w:marBottom w:val="0"/>
                      <w:divBdr>
                        <w:top w:val="none" w:sz="0" w:space="0" w:color="auto"/>
                        <w:left w:val="none" w:sz="0" w:space="0" w:color="auto"/>
                        <w:bottom w:val="none" w:sz="0" w:space="0" w:color="auto"/>
                        <w:right w:val="none" w:sz="0" w:space="0" w:color="auto"/>
                      </w:divBdr>
                      <w:divsChild>
                        <w:div w:id="1015575436">
                          <w:marLeft w:val="0"/>
                          <w:marRight w:val="0"/>
                          <w:marTop w:val="0"/>
                          <w:marBottom w:val="0"/>
                          <w:divBdr>
                            <w:top w:val="none" w:sz="0" w:space="0" w:color="auto"/>
                            <w:left w:val="none" w:sz="0" w:space="0" w:color="auto"/>
                            <w:bottom w:val="none" w:sz="0" w:space="0" w:color="auto"/>
                            <w:right w:val="none" w:sz="0" w:space="0" w:color="auto"/>
                          </w:divBdr>
                          <w:divsChild>
                            <w:div w:id="1489009127">
                              <w:marLeft w:val="0"/>
                              <w:marRight w:val="0"/>
                              <w:marTop w:val="0"/>
                              <w:marBottom w:val="0"/>
                              <w:divBdr>
                                <w:top w:val="none" w:sz="0" w:space="0" w:color="auto"/>
                                <w:left w:val="none" w:sz="0" w:space="0" w:color="auto"/>
                                <w:bottom w:val="none" w:sz="0" w:space="0" w:color="auto"/>
                                <w:right w:val="none" w:sz="0" w:space="0" w:color="auto"/>
                              </w:divBdr>
                              <w:divsChild>
                                <w:div w:id="14131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10198">
                  <w:marLeft w:val="0"/>
                  <w:marRight w:val="0"/>
                  <w:marTop w:val="0"/>
                  <w:marBottom w:val="0"/>
                  <w:divBdr>
                    <w:top w:val="none" w:sz="0" w:space="0" w:color="auto"/>
                    <w:left w:val="none" w:sz="0" w:space="0" w:color="auto"/>
                    <w:bottom w:val="none" w:sz="0" w:space="0" w:color="auto"/>
                    <w:right w:val="none" w:sz="0" w:space="0" w:color="auto"/>
                  </w:divBdr>
                  <w:divsChild>
                    <w:div w:id="737048489">
                      <w:marLeft w:val="0"/>
                      <w:marRight w:val="0"/>
                      <w:marTop w:val="0"/>
                      <w:marBottom w:val="0"/>
                      <w:divBdr>
                        <w:top w:val="none" w:sz="0" w:space="0" w:color="auto"/>
                        <w:left w:val="none" w:sz="0" w:space="0" w:color="auto"/>
                        <w:bottom w:val="none" w:sz="0" w:space="0" w:color="auto"/>
                        <w:right w:val="none" w:sz="0" w:space="0" w:color="auto"/>
                      </w:divBdr>
                      <w:divsChild>
                        <w:div w:id="1034766002">
                          <w:marLeft w:val="0"/>
                          <w:marRight w:val="0"/>
                          <w:marTop w:val="0"/>
                          <w:marBottom w:val="0"/>
                          <w:divBdr>
                            <w:top w:val="none" w:sz="0" w:space="0" w:color="auto"/>
                            <w:left w:val="none" w:sz="0" w:space="0" w:color="auto"/>
                            <w:bottom w:val="none" w:sz="0" w:space="0" w:color="auto"/>
                            <w:right w:val="none" w:sz="0" w:space="0" w:color="auto"/>
                          </w:divBdr>
                          <w:divsChild>
                            <w:div w:id="835070660">
                              <w:marLeft w:val="0"/>
                              <w:marRight w:val="0"/>
                              <w:marTop w:val="0"/>
                              <w:marBottom w:val="0"/>
                              <w:divBdr>
                                <w:top w:val="none" w:sz="0" w:space="0" w:color="auto"/>
                                <w:left w:val="none" w:sz="0" w:space="0" w:color="auto"/>
                                <w:bottom w:val="none" w:sz="0" w:space="0" w:color="auto"/>
                                <w:right w:val="none" w:sz="0" w:space="0" w:color="auto"/>
                              </w:divBdr>
                              <w:divsChild>
                                <w:div w:id="11276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40134">
                  <w:marLeft w:val="0"/>
                  <w:marRight w:val="0"/>
                  <w:marTop w:val="0"/>
                  <w:marBottom w:val="0"/>
                  <w:divBdr>
                    <w:top w:val="none" w:sz="0" w:space="0" w:color="auto"/>
                    <w:left w:val="none" w:sz="0" w:space="0" w:color="auto"/>
                    <w:bottom w:val="none" w:sz="0" w:space="0" w:color="auto"/>
                    <w:right w:val="none" w:sz="0" w:space="0" w:color="auto"/>
                  </w:divBdr>
                  <w:divsChild>
                    <w:div w:id="1176112539">
                      <w:marLeft w:val="0"/>
                      <w:marRight w:val="0"/>
                      <w:marTop w:val="0"/>
                      <w:marBottom w:val="0"/>
                      <w:divBdr>
                        <w:top w:val="none" w:sz="0" w:space="0" w:color="auto"/>
                        <w:left w:val="none" w:sz="0" w:space="0" w:color="auto"/>
                        <w:bottom w:val="none" w:sz="0" w:space="0" w:color="auto"/>
                        <w:right w:val="none" w:sz="0" w:space="0" w:color="auto"/>
                      </w:divBdr>
                      <w:divsChild>
                        <w:div w:id="2108960236">
                          <w:marLeft w:val="0"/>
                          <w:marRight w:val="0"/>
                          <w:marTop w:val="0"/>
                          <w:marBottom w:val="0"/>
                          <w:divBdr>
                            <w:top w:val="none" w:sz="0" w:space="0" w:color="auto"/>
                            <w:left w:val="none" w:sz="0" w:space="0" w:color="auto"/>
                            <w:bottom w:val="none" w:sz="0" w:space="0" w:color="auto"/>
                            <w:right w:val="none" w:sz="0" w:space="0" w:color="auto"/>
                          </w:divBdr>
                          <w:divsChild>
                            <w:div w:id="1600722088">
                              <w:marLeft w:val="0"/>
                              <w:marRight w:val="0"/>
                              <w:marTop w:val="0"/>
                              <w:marBottom w:val="0"/>
                              <w:divBdr>
                                <w:top w:val="none" w:sz="0" w:space="0" w:color="auto"/>
                                <w:left w:val="none" w:sz="0" w:space="0" w:color="auto"/>
                                <w:bottom w:val="none" w:sz="0" w:space="0" w:color="auto"/>
                                <w:right w:val="none" w:sz="0" w:space="0" w:color="auto"/>
                              </w:divBdr>
                              <w:divsChild>
                                <w:div w:id="192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89888">
                  <w:marLeft w:val="0"/>
                  <w:marRight w:val="0"/>
                  <w:marTop w:val="0"/>
                  <w:marBottom w:val="0"/>
                  <w:divBdr>
                    <w:top w:val="none" w:sz="0" w:space="0" w:color="auto"/>
                    <w:left w:val="none" w:sz="0" w:space="0" w:color="auto"/>
                    <w:bottom w:val="none" w:sz="0" w:space="0" w:color="auto"/>
                    <w:right w:val="none" w:sz="0" w:space="0" w:color="auto"/>
                  </w:divBdr>
                  <w:divsChild>
                    <w:div w:id="2077434703">
                      <w:marLeft w:val="0"/>
                      <w:marRight w:val="0"/>
                      <w:marTop w:val="0"/>
                      <w:marBottom w:val="0"/>
                      <w:divBdr>
                        <w:top w:val="none" w:sz="0" w:space="0" w:color="auto"/>
                        <w:left w:val="none" w:sz="0" w:space="0" w:color="auto"/>
                        <w:bottom w:val="none" w:sz="0" w:space="0" w:color="auto"/>
                        <w:right w:val="none" w:sz="0" w:space="0" w:color="auto"/>
                      </w:divBdr>
                      <w:divsChild>
                        <w:div w:id="266541985">
                          <w:marLeft w:val="0"/>
                          <w:marRight w:val="0"/>
                          <w:marTop w:val="0"/>
                          <w:marBottom w:val="0"/>
                          <w:divBdr>
                            <w:top w:val="none" w:sz="0" w:space="0" w:color="auto"/>
                            <w:left w:val="none" w:sz="0" w:space="0" w:color="auto"/>
                            <w:bottom w:val="none" w:sz="0" w:space="0" w:color="auto"/>
                            <w:right w:val="none" w:sz="0" w:space="0" w:color="auto"/>
                          </w:divBdr>
                          <w:divsChild>
                            <w:div w:id="165245296">
                              <w:marLeft w:val="0"/>
                              <w:marRight w:val="0"/>
                              <w:marTop w:val="0"/>
                              <w:marBottom w:val="0"/>
                              <w:divBdr>
                                <w:top w:val="none" w:sz="0" w:space="0" w:color="auto"/>
                                <w:left w:val="none" w:sz="0" w:space="0" w:color="auto"/>
                                <w:bottom w:val="none" w:sz="0" w:space="0" w:color="auto"/>
                                <w:right w:val="none" w:sz="0" w:space="0" w:color="auto"/>
                              </w:divBdr>
                              <w:divsChild>
                                <w:div w:id="15776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45213">
                  <w:marLeft w:val="0"/>
                  <w:marRight w:val="0"/>
                  <w:marTop w:val="0"/>
                  <w:marBottom w:val="0"/>
                  <w:divBdr>
                    <w:top w:val="none" w:sz="0" w:space="0" w:color="auto"/>
                    <w:left w:val="none" w:sz="0" w:space="0" w:color="auto"/>
                    <w:bottom w:val="none" w:sz="0" w:space="0" w:color="auto"/>
                    <w:right w:val="none" w:sz="0" w:space="0" w:color="auto"/>
                  </w:divBdr>
                  <w:divsChild>
                    <w:div w:id="145826430">
                      <w:marLeft w:val="0"/>
                      <w:marRight w:val="0"/>
                      <w:marTop w:val="0"/>
                      <w:marBottom w:val="0"/>
                      <w:divBdr>
                        <w:top w:val="none" w:sz="0" w:space="0" w:color="auto"/>
                        <w:left w:val="none" w:sz="0" w:space="0" w:color="auto"/>
                        <w:bottom w:val="none" w:sz="0" w:space="0" w:color="auto"/>
                        <w:right w:val="none" w:sz="0" w:space="0" w:color="auto"/>
                      </w:divBdr>
                      <w:divsChild>
                        <w:div w:id="1074085782">
                          <w:marLeft w:val="0"/>
                          <w:marRight w:val="0"/>
                          <w:marTop w:val="0"/>
                          <w:marBottom w:val="0"/>
                          <w:divBdr>
                            <w:top w:val="none" w:sz="0" w:space="0" w:color="auto"/>
                            <w:left w:val="none" w:sz="0" w:space="0" w:color="auto"/>
                            <w:bottom w:val="none" w:sz="0" w:space="0" w:color="auto"/>
                            <w:right w:val="none" w:sz="0" w:space="0" w:color="auto"/>
                          </w:divBdr>
                          <w:divsChild>
                            <w:div w:id="1035932521">
                              <w:marLeft w:val="0"/>
                              <w:marRight w:val="0"/>
                              <w:marTop w:val="0"/>
                              <w:marBottom w:val="0"/>
                              <w:divBdr>
                                <w:top w:val="none" w:sz="0" w:space="0" w:color="auto"/>
                                <w:left w:val="none" w:sz="0" w:space="0" w:color="auto"/>
                                <w:bottom w:val="none" w:sz="0" w:space="0" w:color="auto"/>
                                <w:right w:val="none" w:sz="0" w:space="0" w:color="auto"/>
                              </w:divBdr>
                              <w:divsChild>
                                <w:div w:id="16353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7279">
                  <w:marLeft w:val="0"/>
                  <w:marRight w:val="0"/>
                  <w:marTop w:val="0"/>
                  <w:marBottom w:val="0"/>
                  <w:divBdr>
                    <w:top w:val="none" w:sz="0" w:space="0" w:color="auto"/>
                    <w:left w:val="none" w:sz="0" w:space="0" w:color="auto"/>
                    <w:bottom w:val="none" w:sz="0" w:space="0" w:color="auto"/>
                    <w:right w:val="none" w:sz="0" w:space="0" w:color="auto"/>
                  </w:divBdr>
                  <w:divsChild>
                    <w:div w:id="1565798920">
                      <w:marLeft w:val="0"/>
                      <w:marRight w:val="0"/>
                      <w:marTop w:val="0"/>
                      <w:marBottom w:val="0"/>
                      <w:divBdr>
                        <w:top w:val="none" w:sz="0" w:space="0" w:color="auto"/>
                        <w:left w:val="none" w:sz="0" w:space="0" w:color="auto"/>
                        <w:bottom w:val="none" w:sz="0" w:space="0" w:color="auto"/>
                        <w:right w:val="none" w:sz="0" w:space="0" w:color="auto"/>
                      </w:divBdr>
                      <w:divsChild>
                        <w:div w:id="176701277">
                          <w:marLeft w:val="0"/>
                          <w:marRight w:val="0"/>
                          <w:marTop w:val="0"/>
                          <w:marBottom w:val="0"/>
                          <w:divBdr>
                            <w:top w:val="none" w:sz="0" w:space="0" w:color="auto"/>
                            <w:left w:val="none" w:sz="0" w:space="0" w:color="auto"/>
                            <w:bottom w:val="none" w:sz="0" w:space="0" w:color="auto"/>
                            <w:right w:val="none" w:sz="0" w:space="0" w:color="auto"/>
                          </w:divBdr>
                          <w:divsChild>
                            <w:div w:id="1339383508">
                              <w:marLeft w:val="0"/>
                              <w:marRight w:val="0"/>
                              <w:marTop w:val="0"/>
                              <w:marBottom w:val="0"/>
                              <w:divBdr>
                                <w:top w:val="none" w:sz="0" w:space="0" w:color="auto"/>
                                <w:left w:val="none" w:sz="0" w:space="0" w:color="auto"/>
                                <w:bottom w:val="none" w:sz="0" w:space="0" w:color="auto"/>
                                <w:right w:val="none" w:sz="0" w:space="0" w:color="auto"/>
                              </w:divBdr>
                              <w:divsChild>
                                <w:div w:id="8306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36901">
                  <w:marLeft w:val="0"/>
                  <w:marRight w:val="0"/>
                  <w:marTop w:val="0"/>
                  <w:marBottom w:val="0"/>
                  <w:divBdr>
                    <w:top w:val="none" w:sz="0" w:space="0" w:color="auto"/>
                    <w:left w:val="none" w:sz="0" w:space="0" w:color="auto"/>
                    <w:bottom w:val="none" w:sz="0" w:space="0" w:color="auto"/>
                    <w:right w:val="none" w:sz="0" w:space="0" w:color="auto"/>
                  </w:divBdr>
                  <w:divsChild>
                    <w:div w:id="1780489140">
                      <w:marLeft w:val="0"/>
                      <w:marRight w:val="0"/>
                      <w:marTop w:val="0"/>
                      <w:marBottom w:val="0"/>
                      <w:divBdr>
                        <w:top w:val="none" w:sz="0" w:space="0" w:color="auto"/>
                        <w:left w:val="none" w:sz="0" w:space="0" w:color="auto"/>
                        <w:bottom w:val="none" w:sz="0" w:space="0" w:color="auto"/>
                        <w:right w:val="none" w:sz="0" w:space="0" w:color="auto"/>
                      </w:divBdr>
                      <w:divsChild>
                        <w:div w:id="287200912">
                          <w:marLeft w:val="0"/>
                          <w:marRight w:val="0"/>
                          <w:marTop w:val="0"/>
                          <w:marBottom w:val="0"/>
                          <w:divBdr>
                            <w:top w:val="none" w:sz="0" w:space="0" w:color="auto"/>
                            <w:left w:val="none" w:sz="0" w:space="0" w:color="auto"/>
                            <w:bottom w:val="none" w:sz="0" w:space="0" w:color="auto"/>
                            <w:right w:val="none" w:sz="0" w:space="0" w:color="auto"/>
                          </w:divBdr>
                          <w:divsChild>
                            <w:div w:id="1185286245">
                              <w:marLeft w:val="0"/>
                              <w:marRight w:val="0"/>
                              <w:marTop w:val="0"/>
                              <w:marBottom w:val="0"/>
                              <w:divBdr>
                                <w:top w:val="none" w:sz="0" w:space="0" w:color="auto"/>
                                <w:left w:val="none" w:sz="0" w:space="0" w:color="auto"/>
                                <w:bottom w:val="none" w:sz="0" w:space="0" w:color="auto"/>
                                <w:right w:val="none" w:sz="0" w:space="0" w:color="auto"/>
                              </w:divBdr>
                              <w:divsChild>
                                <w:div w:id="18095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87513">
                  <w:marLeft w:val="0"/>
                  <w:marRight w:val="0"/>
                  <w:marTop w:val="0"/>
                  <w:marBottom w:val="0"/>
                  <w:divBdr>
                    <w:top w:val="none" w:sz="0" w:space="0" w:color="auto"/>
                    <w:left w:val="none" w:sz="0" w:space="0" w:color="auto"/>
                    <w:bottom w:val="none" w:sz="0" w:space="0" w:color="auto"/>
                    <w:right w:val="none" w:sz="0" w:space="0" w:color="auto"/>
                  </w:divBdr>
                  <w:divsChild>
                    <w:div w:id="2055962318">
                      <w:marLeft w:val="0"/>
                      <w:marRight w:val="0"/>
                      <w:marTop w:val="0"/>
                      <w:marBottom w:val="0"/>
                      <w:divBdr>
                        <w:top w:val="none" w:sz="0" w:space="0" w:color="auto"/>
                        <w:left w:val="none" w:sz="0" w:space="0" w:color="auto"/>
                        <w:bottom w:val="none" w:sz="0" w:space="0" w:color="auto"/>
                        <w:right w:val="none" w:sz="0" w:space="0" w:color="auto"/>
                      </w:divBdr>
                      <w:divsChild>
                        <w:div w:id="2019845967">
                          <w:marLeft w:val="0"/>
                          <w:marRight w:val="0"/>
                          <w:marTop w:val="0"/>
                          <w:marBottom w:val="0"/>
                          <w:divBdr>
                            <w:top w:val="none" w:sz="0" w:space="0" w:color="auto"/>
                            <w:left w:val="none" w:sz="0" w:space="0" w:color="auto"/>
                            <w:bottom w:val="none" w:sz="0" w:space="0" w:color="auto"/>
                            <w:right w:val="none" w:sz="0" w:space="0" w:color="auto"/>
                          </w:divBdr>
                          <w:divsChild>
                            <w:div w:id="1918512531">
                              <w:marLeft w:val="0"/>
                              <w:marRight w:val="0"/>
                              <w:marTop w:val="0"/>
                              <w:marBottom w:val="0"/>
                              <w:divBdr>
                                <w:top w:val="none" w:sz="0" w:space="0" w:color="auto"/>
                                <w:left w:val="none" w:sz="0" w:space="0" w:color="auto"/>
                                <w:bottom w:val="none" w:sz="0" w:space="0" w:color="auto"/>
                                <w:right w:val="none" w:sz="0" w:space="0" w:color="auto"/>
                              </w:divBdr>
                              <w:divsChild>
                                <w:div w:id="6099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8779">
                  <w:marLeft w:val="0"/>
                  <w:marRight w:val="0"/>
                  <w:marTop w:val="0"/>
                  <w:marBottom w:val="0"/>
                  <w:divBdr>
                    <w:top w:val="none" w:sz="0" w:space="0" w:color="auto"/>
                    <w:left w:val="none" w:sz="0" w:space="0" w:color="auto"/>
                    <w:bottom w:val="none" w:sz="0" w:space="0" w:color="auto"/>
                    <w:right w:val="none" w:sz="0" w:space="0" w:color="auto"/>
                  </w:divBdr>
                  <w:divsChild>
                    <w:div w:id="1453859245">
                      <w:marLeft w:val="0"/>
                      <w:marRight w:val="0"/>
                      <w:marTop w:val="0"/>
                      <w:marBottom w:val="0"/>
                      <w:divBdr>
                        <w:top w:val="none" w:sz="0" w:space="0" w:color="auto"/>
                        <w:left w:val="none" w:sz="0" w:space="0" w:color="auto"/>
                        <w:bottom w:val="none" w:sz="0" w:space="0" w:color="auto"/>
                        <w:right w:val="none" w:sz="0" w:space="0" w:color="auto"/>
                      </w:divBdr>
                      <w:divsChild>
                        <w:div w:id="1275284497">
                          <w:marLeft w:val="0"/>
                          <w:marRight w:val="0"/>
                          <w:marTop w:val="0"/>
                          <w:marBottom w:val="0"/>
                          <w:divBdr>
                            <w:top w:val="none" w:sz="0" w:space="0" w:color="auto"/>
                            <w:left w:val="none" w:sz="0" w:space="0" w:color="auto"/>
                            <w:bottom w:val="none" w:sz="0" w:space="0" w:color="auto"/>
                            <w:right w:val="none" w:sz="0" w:space="0" w:color="auto"/>
                          </w:divBdr>
                          <w:divsChild>
                            <w:div w:id="303436480">
                              <w:marLeft w:val="0"/>
                              <w:marRight w:val="0"/>
                              <w:marTop w:val="0"/>
                              <w:marBottom w:val="0"/>
                              <w:divBdr>
                                <w:top w:val="none" w:sz="0" w:space="0" w:color="auto"/>
                                <w:left w:val="none" w:sz="0" w:space="0" w:color="auto"/>
                                <w:bottom w:val="none" w:sz="0" w:space="0" w:color="auto"/>
                                <w:right w:val="none" w:sz="0" w:space="0" w:color="auto"/>
                              </w:divBdr>
                              <w:divsChild>
                                <w:div w:id="14447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1624">
                  <w:marLeft w:val="0"/>
                  <w:marRight w:val="0"/>
                  <w:marTop w:val="0"/>
                  <w:marBottom w:val="0"/>
                  <w:divBdr>
                    <w:top w:val="none" w:sz="0" w:space="0" w:color="auto"/>
                    <w:left w:val="none" w:sz="0" w:space="0" w:color="auto"/>
                    <w:bottom w:val="none" w:sz="0" w:space="0" w:color="auto"/>
                    <w:right w:val="none" w:sz="0" w:space="0" w:color="auto"/>
                  </w:divBdr>
                  <w:divsChild>
                    <w:div w:id="1232042096">
                      <w:marLeft w:val="0"/>
                      <w:marRight w:val="0"/>
                      <w:marTop w:val="0"/>
                      <w:marBottom w:val="0"/>
                      <w:divBdr>
                        <w:top w:val="none" w:sz="0" w:space="0" w:color="auto"/>
                        <w:left w:val="none" w:sz="0" w:space="0" w:color="auto"/>
                        <w:bottom w:val="none" w:sz="0" w:space="0" w:color="auto"/>
                        <w:right w:val="none" w:sz="0" w:space="0" w:color="auto"/>
                      </w:divBdr>
                      <w:divsChild>
                        <w:div w:id="1802918300">
                          <w:marLeft w:val="0"/>
                          <w:marRight w:val="0"/>
                          <w:marTop w:val="0"/>
                          <w:marBottom w:val="0"/>
                          <w:divBdr>
                            <w:top w:val="none" w:sz="0" w:space="0" w:color="auto"/>
                            <w:left w:val="none" w:sz="0" w:space="0" w:color="auto"/>
                            <w:bottom w:val="none" w:sz="0" w:space="0" w:color="auto"/>
                            <w:right w:val="none" w:sz="0" w:space="0" w:color="auto"/>
                          </w:divBdr>
                          <w:divsChild>
                            <w:div w:id="853152769">
                              <w:marLeft w:val="0"/>
                              <w:marRight w:val="0"/>
                              <w:marTop w:val="0"/>
                              <w:marBottom w:val="0"/>
                              <w:divBdr>
                                <w:top w:val="none" w:sz="0" w:space="0" w:color="auto"/>
                                <w:left w:val="none" w:sz="0" w:space="0" w:color="auto"/>
                                <w:bottom w:val="none" w:sz="0" w:space="0" w:color="auto"/>
                                <w:right w:val="none" w:sz="0" w:space="0" w:color="auto"/>
                              </w:divBdr>
                              <w:divsChild>
                                <w:div w:id="4259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1974">
                  <w:marLeft w:val="0"/>
                  <w:marRight w:val="0"/>
                  <w:marTop w:val="0"/>
                  <w:marBottom w:val="0"/>
                  <w:divBdr>
                    <w:top w:val="none" w:sz="0" w:space="0" w:color="auto"/>
                    <w:left w:val="none" w:sz="0" w:space="0" w:color="auto"/>
                    <w:bottom w:val="none" w:sz="0" w:space="0" w:color="auto"/>
                    <w:right w:val="none" w:sz="0" w:space="0" w:color="auto"/>
                  </w:divBdr>
                  <w:divsChild>
                    <w:div w:id="947007441">
                      <w:marLeft w:val="0"/>
                      <w:marRight w:val="0"/>
                      <w:marTop w:val="0"/>
                      <w:marBottom w:val="0"/>
                      <w:divBdr>
                        <w:top w:val="none" w:sz="0" w:space="0" w:color="auto"/>
                        <w:left w:val="none" w:sz="0" w:space="0" w:color="auto"/>
                        <w:bottom w:val="none" w:sz="0" w:space="0" w:color="auto"/>
                        <w:right w:val="none" w:sz="0" w:space="0" w:color="auto"/>
                      </w:divBdr>
                      <w:divsChild>
                        <w:div w:id="803545422">
                          <w:marLeft w:val="0"/>
                          <w:marRight w:val="0"/>
                          <w:marTop w:val="0"/>
                          <w:marBottom w:val="0"/>
                          <w:divBdr>
                            <w:top w:val="none" w:sz="0" w:space="0" w:color="auto"/>
                            <w:left w:val="none" w:sz="0" w:space="0" w:color="auto"/>
                            <w:bottom w:val="none" w:sz="0" w:space="0" w:color="auto"/>
                            <w:right w:val="none" w:sz="0" w:space="0" w:color="auto"/>
                          </w:divBdr>
                          <w:divsChild>
                            <w:div w:id="1699157051">
                              <w:marLeft w:val="0"/>
                              <w:marRight w:val="0"/>
                              <w:marTop w:val="0"/>
                              <w:marBottom w:val="0"/>
                              <w:divBdr>
                                <w:top w:val="none" w:sz="0" w:space="0" w:color="auto"/>
                                <w:left w:val="none" w:sz="0" w:space="0" w:color="auto"/>
                                <w:bottom w:val="none" w:sz="0" w:space="0" w:color="auto"/>
                                <w:right w:val="none" w:sz="0" w:space="0" w:color="auto"/>
                              </w:divBdr>
                              <w:divsChild>
                                <w:div w:id="19639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04985">
                  <w:marLeft w:val="0"/>
                  <w:marRight w:val="0"/>
                  <w:marTop w:val="0"/>
                  <w:marBottom w:val="0"/>
                  <w:divBdr>
                    <w:top w:val="none" w:sz="0" w:space="0" w:color="auto"/>
                    <w:left w:val="none" w:sz="0" w:space="0" w:color="auto"/>
                    <w:bottom w:val="none" w:sz="0" w:space="0" w:color="auto"/>
                    <w:right w:val="none" w:sz="0" w:space="0" w:color="auto"/>
                  </w:divBdr>
                  <w:divsChild>
                    <w:div w:id="894195267">
                      <w:marLeft w:val="0"/>
                      <w:marRight w:val="0"/>
                      <w:marTop w:val="0"/>
                      <w:marBottom w:val="0"/>
                      <w:divBdr>
                        <w:top w:val="none" w:sz="0" w:space="0" w:color="auto"/>
                        <w:left w:val="none" w:sz="0" w:space="0" w:color="auto"/>
                        <w:bottom w:val="none" w:sz="0" w:space="0" w:color="auto"/>
                        <w:right w:val="none" w:sz="0" w:space="0" w:color="auto"/>
                      </w:divBdr>
                      <w:divsChild>
                        <w:div w:id="1701123018">
                          <w:marLeft w:val="0"/>
                          <w:marRight w:val="0"/>
                          <w:marTop w:val="0"/>
                          <w:marBottom w:val="0"/>
                          <w:divBdr>
                            <w:top w:val="none" w:sz="0" w:space="0" w:color="auto"/>
                            <w:left w:val="none" w:sz="0" w:space="0" w:color="auto"/>
                            <w:bottom w:val="none" w:sz="0" w:space="0" w:color="auto"/>
                            <w:right w:val="none" w:sz="0" w:space="0" w:color="auto"/>
                          </w:divBdr>
                          <w:divsChild>
                            <w:div w:id="844398100">
                              <w:marLeft w:val="0"/>
                              <w:marRight w:val="0"/>
                              <w:marTop w:val="0"/>
                              <w:marBottom w:val="0"/>
                              <w:divBdr>
                                <w:top w:val="none" w:sz="0" w:space="0" w:color="auto"/>
                                <w:left w:val="none" w:sz="0" w:space="0" w:color="auto"/>
                                <w:bottom w:val="none" w:sz="0" w:space="0" w:color="auto"/>
                                <w:right w:val="none" w:sz="0" w:space="0" w:color="auto"/>
                              </w:divBdr>
                              <w:divsChild>
                                <w:div w:id="16072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7015">
                  <w:marLeft w:val="0"/>
                  <w:marRight w:val="0"/>
                  <w:marTop w:val="0"/>
                  <w:marBottom w:val="0"/>
                  <w:divBdr>
                    <w:top w:val="none" w:sz="0" w:space="0" w:color="auto"/>
                    <w:left w:val="none" w:sz="0" w:space="0" w:color="auto"/>
                    <w:bottom w:val="none" w:sz="0" w:space="0" w:color="auto"/>
                    <w:right w:val="none" w:sz="0" w:space="0" w:color="auto"/>
                  </w:divBdr>
                  <w:divsChild>
                    <w:div w:id="1544366863">
                      <w:marLeft w:val="0"/>
                      <w:marRight w:val="0"/>
                      <w:marTop w:val="0"/>
                      <w:marBottom w:val="0"/>
                      <w:divBdr>
                        <w:top w:val="none" w:sz="0" w:space="0" w:color="auto"/>
                        <w:left w:val="none" w:sz="0" w:space="0" w:color="auto"/>
                        <w:bottom w:val="none" w:sz="0" w:space="0" w:color="auto"/>
                        <w:right w:val="none" w:sz="0" w:space="0" w:color="auto"/>
                      </w:divBdr>
                      <w:divsChild>
                        <w:div w:id="1628973475">
                          <w:marLeft w:val="0"/>
                          <w:marRight w:val="0"/>
                          <w:marTop w:val="0"/>
                          <w:marBottom w:val="0"/>
                          <w:divBdr>
                            <w:top w:val="none" w:sz="0" w:space="0" w:color="auto"/>
                            <w:left w:val="none" w:sz="0" w:space="0" w:color="auto"/>
                            <w:bottom w:val="none" w:sz="0" w:space="0" w:color="auto"/>
                            <w:right w:val="none" w:sz="0" w:space="0" w:color="auto"/>
                          </w:divBdr>
                          <w:divsChild>
                            <w:div w:id="14423788">
                              <w:marLeft w:val="0"/>
                              <w:marRight w:val="0"/>
                              <w:marTop w:val="0"/>
                              <w:marBottom w:val="0"/>
                              <w:divBdr>
                                <w:top w:val="none" w:sz="0" w:space="0" w:color="auto"/>
                                <w:left w:val="none" w:sz="0" w:space="0" w:color="auto"/>
                                <w:bottom w:val="none" w:sz="0" w:space="0" w:color="auto"/>
                                <w:right w:val="none" w:sz="0" w:space="0" w:color="auto"/>
                              </w:divBdr>
                              <w:divsChild>
                                <w:div w:id="13171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942">
                  <w:marLeft w:val="0"/>
                  <w:marRight w:val="0"/>
                  <w:marTop w:val="0"/>
                  <w:marBottom w:val="0"/>
                  <w:divBdr>
                    <w:top w:val="none" w:sz="0" w:space="0" w:color="auto"/>
                    <w:left w:val="none" w:sz="0" w:space="0" w:color="auto"/>
                    <w:bottom w:val="none" w:sz="0" w:space="0" w:color="auto"/>
                    <w:right w:val="none" w:sz="0" w:space="0" w:color="auto"/>
                  </w:divBdr>
                  <w:divsChild>
                    <w:div w:id="1156990994">
                      <w:marLeft w:val="0"/>
                      <w:marRight w:val="0"/>
                      <w:marTop w:val="0"/>
                      <w:marBottom w:val="0"/>
                      <w:divBdr>
                        <w:top w:val="none" w:sz="0" w:space="0" w:color="auto"/>
                        <w:left w:val="none" w:sz="0" w:space="0" w:color="auto"/>
                        <w:bottom w:val="none" w:sz="0" w:space="0" w:color="auto"/>
                        <w:right w:val="none" w:sz="0" w:space="0" w:color="auto"/>
                      </w:divBdr>
                      <w:divsChild>
                        <w:div w:id="961031516">
                          <w:marLeft w:val="0"/>
                          <w:marRight w:val="0"/>
                          <w:marTop w:val="0"/>
                          <w:marBottom w:val="0"/>
                          <w:divBdr>
                            <w:top w:val="none" w:sz="0" w:space="0" w:color="auto"/>
                            <w:left w:val="none" w:sz="0" w:space="0" w:color="auto"/>
                            <w:bottom w:val="none" w:sz="0" w:space="0" w:color="auto"/>
                            <w:right w:val="none" w:sz="0" w:space="0" w:color="auto"/>
                          </w:divBdr>
                          <w:divsChild>
                            <w:div w:id="405804555">
                              <w:marLeft w:val="0"/>
                              <w:marRight w:val="0"/>
                              <w:marTop w:val="0"/>
                              <w:marBottom w:val="0"/>
                              <w:divBdr>
                                <w:top w:val="none" w:sz="0" w:space="0" w:color="auto"/>
                                <w:left w:val="none" w:sz="0" w:space="0" w:color="auto"/>
                                <w:bottom w:val="none" w:sz="0" w:space="0" w:color="auto"/>
                                <w:right w:val="none" w:sz="0" w:space="0" w:color="auto"/>
                              </w:divBdr>
                              <w:divsChild>
                                <w:div w:id="16732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4751">
                  <w:marLeft w:val="0"/>
                  <w:marRight w:val="0"/>
                  <w:marTop w:val="0"/>
                  <w:marBottom w:val="0"/>
                  <w:divBdr>
                    <w:top w:val="none" w:sz="0" w:space="0" w:color="auto"/>
                    <w:left w:val="none" w:sz="0" w:space="0" w:color="auto"/>
                    <w:bottom w:val="none" w:sz="0" w:space="0" w:color="auto"/>
                    <w:right w:val="none" w:sz="0" w:space="0" w:color="auto"/>
                  </w:divBdr>
                  <w:divsChild>
                    <w:div w:id="1982227979">
                      <w:marLeft w:val="0"/>
                      <w:marRight w:val="0"/>
                      <w:marTop w:val="0"/>
                      <w:marBottom w:val="0"/>
                      <w:divBdr>
                        <w:top w:val="none" w:sz="0" w:space="0" w:color="auto"/>
                        <w:left w:val="none" w:sz="0" w:space="0" w:color="auto"/>
                        <w:bottom w:val="none" w:sz="0" w:space="0" w:color="auto"/>
                        <w:right w:val="none" w:sz="0" w:space="0" w:color="auto"/>
                      </w:divBdr>
                      <w:divsChild>
                        <w:div w:id="2090498213">
                          <w:marLeft w:val="0"/>
                          <w:marRight w:val="0"/>
                          <w:marTop w:val="0"/>
                          <w:marBottom w:val="0"/>
                          <w:divBdr>
                            <w:top w:val="none" w:sz="0" w:space="0" w:color="auto"/>
                            <w:left w:val="none" w:sz="0" w:space="0" w:color="auto"/>
                            <w:bottom w:val="none" w:sz="0" w:space="0" w:color="auto"/>
                            <w:right w:val="none" w:sz="0" w:space="0" w:color="auto"/>
                          </w:divBdr>
                          <w:divsChild>
                            <w:div w:id="731274219">
                              <w:marLeft w:val="0"/>
                              <w:marRight w:val="0"/>
                              <w:marTop w:val="0"/>
                              <w:marBottom w:val="0"/>
                              <w:divBdr>
                                <w:top w:val="none" w:sz="0" w:space="0" w:color="auto"/>
                                <w:left w:val="none" w:sz="0" w:space="0" w:color="auto"/>
                                <w:bottom w:val="none" w:sz="0" w:space="0" w:color="auto"/>
                                <w:right w:val="none" w:sz="0" w:space="0" w:color="auto"/>
                              </w:divBdr>
                              <w:divsChild>
                                <w:div w:id="15012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96817">
                  <w:marLeft w:val="0"/>
                  <w:marRight w:val="0"/>
                  <w:marTop w:val="0"/>
                  <w:marBottom w:val="0"/>
                  <w:divBdr>
                    <w:top w:val="none" w:sz="0" w:space="0" w:color="auto"/>
                    <w:left w:val="none" w:sz="0" w:space="0" w:color="auto"/>
                    <w:bottom w:val="none" w:sz="0" w:space="0" w:color="auto"/>
                    <w:right w:val="none" w:sz="0" w:space="0" w:color="auto"/>
                  </w:divBdr>
                  <w:divsChild>
                    <w:div w:id="1359969511">
                      <w:marLeft w:val="0"/>
                      <w:marRight w:val="0"/>
                      <w:marTop w:val="0"/>
                      <w:marBottom w:val="0"/>
                      <w:divBdr>
                        <w:top w:val="none" w:sz="0" w:space="0" w:color="auto"/>
                        <w:left w:val="none" w:sz="0" w:space="0" w:color="auto"/>
                        <w:bottom w:val="none" w:sz="0" w:space="0" w:color="auto"/>
                        <w:right w:val="none" w:sz="0" w:space="0" w:color="auto"/>
                      </w:divBdr>
                      <w:divsChild>
                        <w:div w:id="1647079591">
                          <w:marLeft w:val="0"/>
                          <w:marRight w:val="0"/>
                          <w:marTop w:val="0"/>
                          <w:marBottom w:val="0"/>
                          <w:divBdr>
                            <w:top w:val="none" w:sz="0" w:space="0" w:color="auto"/>
                            <w:left w:val="none" w:sz="0" w:space="0" w:color="auto"/>
                            <w:bottom w:val="none" w:sz="0" w:space="0" w:color="auto"/>
                            <w:right w:val="none" w:sz="0" w:space="0" w:color="auto"/>
                          </w:divBdr>
                          <w:divsChild>
                            <w:div w:id="1277642976">
                              <w:marLeft w:val="0"/>
                              <w:marRight w:val="0"/>
                              <w:marTop w:val="0"/>
                              <w:marBottom w:val="0"/>
                              <w:divBdr>
                                <w:top w:val="none" w:sz="0" w:space="0" w:color="auto"/>
                                <w:left w:val="none" w:sz="0" w:space="0" w:color="auto"/>
                                <w:bottom w:val="none" w:sz="0" w:space="0" w:color="auto"/>
                                <w:right w:val="none" w:sz="0" w:space="0" w:color="auto"/>
                              </w:divBdr>
                              <w:divsChild>
                                <w:div w:id="20769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7734">
                  <w:marLeft w:val="0"/>
                  <w:marRight w:val="0"/>
                  <w:marTop w:val="0"/>
                  <w:marBottom w:val="0"/>
                  <w:divBdr>
                    <w:top w:val="none" w:sz="0" w:space="0" w:color="auto"/>
                    <w:left w:val="none" w:sz="0" w:space="0" w:color="auto"/>
                    <w:bottom w:val="none" w:sz="0" w:space="0" w:color="auto"/>
                    <w:right w:val="none" w:sz="0" w:space="0" w:color="auto"/>
                  </w:divBdr>
                  <w:divsChild>
                    <w:div w:id="2002001069">
                      <w:marLeft w:val="0"/>
                      <w:marRight w:val="0"/>
                      <w:marTop w:val="0"/>
                      <w:marBottom w:val="0"/>
                      <w:divBdr>
                        <w:top w:val="none" w:sz="0" w:space="0" w:color="auto"/>
                        <w:left w:val="none" w:sz="0" w:space="0" w:color="auto"/>
                        <w:bottom w:val="none" w:sz="0" w:space="0" w:color="auto"/>
                        <w:right w:val="none" w:sz="0" w:space="0" w:color="auto"/>
                      </w:divBdr>
                      <w:divsChild>
                        <w:div w:id="1583298003">
                          <w:marLeft w:val="0"/>
                          <w:marRight w:val="0"/>
                          <w:marTop w:val="0"/>
                          <w:marBottom w:val="0"/>
                          <w:divBdr>
                            <w:top w:val="none" w:sz="0" w:space="0" w:color="auto"/>
                            <w:left w:val="none" w:sz="0" w:space="0" w:color="auto"/>
                            <w:bottom w:val="none" w:sz="0" w:space="0" w:color="auto"/>
                            <w:right w:val="none" w:sz="0" w:space="0" w:color="auto"/>
                          </w:divBdr>
                          <w:divsChild>
                            <w:div w:id="1266495390">
                              <w:marLeft w:val="0"/>
                              <w:marRight w:val="0"/>
                              <w:marTop w:val="0"/>
                              <w:marBottom w:val="0"/>
                              <w:divBdr>
                                <w:top w:val="none" w:sz="0" w:space="0" w:color="auto"/>
                                <w:left w:val="none" w:sz="0" w:space="0" w:color="auto"/>
                                <w:bottom w:val="none" w:sz="0" w:space="0" w:color="auto"/>
                                <w:right w:val="none" w:sz="0" w:space="0" w:color="auto"/>
                              </w:divBdr>
                              <w:divsChild>
                                <w:div w:id="18464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5194">
                  <w:marLeft w:val="0"/>
                  <w:marRight w:val="0"/>
                  <w:marTop w:val="0"/>
                  <w:marBottom w:val="0"/>
                  <w:divBdr>
                    <w:top w:val="none" w:sz="0" w:space="0" w:color="auto"/>
                    <w:left w:val="none" w:sz="0" w:space="0" w:color="auto"/>
                    <w:bottom w:val="none" w:sz="0" w:space="0" w:color="auto"/>
                    <w:right w:val="none" w:sz="0" w:space="0" w:color="auto"/>
                  </w:divBdr>
                  <w:divsChild>
                    <w:div w:id="876744448">
                      <w:marLeft w:val="0"/>
                      <w:marRight w:val="0"/>
                      <w:marTop w:val="0"/>
                      <w:marBottom w:val="0"/>
                      <w:divBdr>
                        <w:top w:val="none" w:sz="0" w:space="0" w:color="auto"/>
                        <w:left w:val="none" w:sz="0" w:space="0" w:color="auto"/>
                        <w:bottom w:val="none" w:sz="0" w:space="0" w:color="auto"/>
                        <w:right w:val="none" w:sz="0" w:space="0" w:color="auto"/>
                      </w:divBdr>
                      <w:divsChild>
                        <w:div w:id="1193110710">
                          <w:marLeft w:val="0"/>
                          <w:marRight w:val="0"/>
                          <w:marTop w:val="0"/>
                          <w:marBottom w:val="0"/>
                          <w:divBdr>
                            <w:top w:val="none" w:sz="0" w:space="0" w:color="auto"/>
                            <w:left w:val="none" w:sz="0" w:space="0" w:color="auto"/>
                            <w:bottom w:val="none" w:sz="0" w:space="0" w:color="auto"/>
                            <w:right w:val="none" w:sz="0" w:space="0" w:color="auto"/>
                          </w:divBdr>
                          <w:divsChild>
                            <w:div w:id="696586743">
                              <w:marLeft w:val="0"/>
                              <w:marRight w:val="0"/>
                              <w:marTop w:val="0"/>
                              <w:marBottom w:val="0"/>
                              <w:divBdr>
                                <w:top w:val="none" w:sz="0" w:space="0" w:color="auto"/>
                                <w:left w:val="none" w:sz="0" w:space="0" w:color="auto"/>
                                <w:bottom w:val="none" w:sz="0" w:space="0" w:color="auto"/>
                                <w:right w:val="none" w:sz="0" w:space="0" w:color="auto"/>
                              </w:divBdr>
                              <w:divsChild>
                                <w:div w:id="3221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947475">
          <w:marLeft w:val="0"/>
          <w:marRight w:val="0"/>
          <w:marTop w:val="0"/>
          <w:marBottom w:val="0"/>
          <w:divBdr>
            <w:top w:val="none" w:sz="0" w:space="0" w:color="auto"/>
            <w:left w:val="none" w:sz="0" w:space="0" w:color="auto"/>
            <w:bottom w:val="none" w:sz="0" w:space="0" w:color="auto"/>
            <w:right w:val="none" w:sz="0" w:space="0" w:color="auto"/>
          </w:divBdr>
          <w:divsChild>
            <w:div w:id="297105545">
              <w:marLeft w:val="0"/>
              <w:marRight w:val="0"/>
              <w:marTop w:val="0"/>
              <w:marBottom w:val="0"/>
              <w:divBdr>
                <w:top w:val="none" w:sz="0" w:space="0" w:color="auto"/>
                <w:left w:val="none" w:sz="0" w:space="0" w:color="auto"/>
                <w:bottom w:val="none" w:sz="0" w:space="0" w:color="auto"/>
                <w:right w:val="none" w:sz="0" w:space="0" w:color="auto"/>
              </w:divBdr>
              <w:divsChild>
                <w:div w:id="1000809985">
                  <w:marLeft w:val="0"/>
                  <w:marRight w:val="0"/>
                  <w:marTop w:val="0"/>
                  <w:marBottom w:val="0"/>
                  <w:divBdr>
                    <w:top w:val="none" w:sz="0" w:space="0" w:color="auto"/>
                    <w:left w:val="none" w:sz="0" w:space="0" w:color="auto"/>
                    <w:bottom w:val="none" w:sz="0" w:space="0" w:color="auto"/>
                    <w:right w:val="none" w:sz="0" w:space="0" w:color="auto"/>
                  </w:divBdr>
                </w:div>
              </w:divsChild>
            </w:div>
            <w:div w:id="14377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ilii.org/uk/cases/UKFTT/TC/2023/TC0885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ilii.org/uk/cases/UKFTT/TC/2023/TC0885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hmrc-internal-manuals/vat-input-tax/vit31200" TargetMode="External"/><Relationship Id="rId5" Type="http://schemas.openxmlformats.org/officeDocument/2006/relationships/numbering" Target="numbering.xml"/><Relationship Id="rId15" Type="http://schemas.openxmlformats.org/officeDocument/2006/relationships/hyperlink" Target="https://www.bailii.org/uk/cases/UKFTT/TC/2016/TC05316.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nder.com/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B99B90759F8418E10CBFBDA76CD0C" ma:contentTypeVersion="17" ma:contentTypeDescription="Create a new document." ma:contentTypeScope="" ma:versionID="8ebee5a387e2a44f08e692434c7d759f">
  <xsd:schema xmlns:xsd="http://www.w3.org/2001/XMLSchema" xmlns:xs="http://www.w3.org/2001/XMLSchema" xmlns:p="http://schemas.microsoft.com/office/2006/metadata/properties" xmlns:ns2="b8920b28-e74f-423e-a588-7b0852b2e168" xmlns:ns3="89282885-2a61-4f59-8308-712f1b3cd72c" targetNamespace="http://schemas.microsoft.com/office/2006/metadata/properties" ma:root="true" ma:fieldsID="437646f40627f051b0663da86e254875" ns2:_="" ns3:_="">
    <xsd:import namespace="b8920b28-e74f-423e-a588-7b0852b2e168"/>
    <xsd:import namespace="89282885-2a61-4f59-8308-712f1b3cd7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0b28-e74f-423e-a588-7b0852b2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2ff15-131d-4eef-a922-27e9562486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82885-2a61-4f59-8308-712f1b3cd7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a4a335-ab24-4e68-8dc6-00cf44973815}" ma:internalName="TaxCatchAll" ma:showField="CatchAllData" ma:web="89282885-2a61-4f59-8308-712f1b3cd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0b28-e74f-423e-a588-7b0852b2e168">
      <Terms xmlns="http://schemas.microsoft.com/office/infopath/2007/PartnerControls"/>
    </lcf76f155ced4ddcb4097134ff3c332f>
    <TaxCatchAll xmlns="89282885-2a61-4f59-8308-712f1b3cd72c" xsi:nil="true"/>
    <SharedWithUsers xmlns="89282885-2a61-4f59-8308-712f1b3cd72c">
      <UserInfo>
        <DisplayName>Tomlinson, Andy (CS&amp;TD)</DisplayName>
        <AccountId>478</AccountId>
        <AccountType/>
      </UserInfo>
      <UserInfo>
        <DisplayName>Ugulu, Anthony (CS&amp;TD)</DisplayName>
        <AccountId>596</AccountId>
        <AccountType/>
      </UserInfo>
      <UserInfo>
        <DisplayName>Burke, Brian (BT&amp;C)</DisplayName>
        <AccountId>1126</AccountId>
        <AccountType/>
      </UserInfo>
      <UserInfo>
        <DisplayName>Taylor, Daniel (CS&amp;TD VAT)</DisplayName>
        <AccountId>187</AccountId>
        <AccountType/>
      </UserInfo>
      <UserInfo>
        <DisplayName>Anderson, Gail (BT&amp;C)</DisplayName>
        <AccountId>516</AccountId>
        <AccountType/>
      </UserInfo>
      <UserInfo>
        <DisplayName>Kanwal, Hina (CS&amp;TD)</DisplayName>
        <AccountId>139</AccountId>
        <AccountType/>
      </UserInfo>
      <UserInfo>
        <DisplayName>Broadhurst, Ian (CS&amp;TD VAT)</DisplayName>
        <AccountId>185</AccountId>
        <AccountType/>
      </UserInfo>
      <UserInfo>
        <DisplayName>Ali, Ishrat (CS&amp;TD)</DisplayName>
        <AccountId>182</AccountId>
        <AccountType/>
      </UserInfo>
      <UserInfo>
        <DisplayName>Pattinson, James (CS&amp;TD)</DisplayName>
        <AccountId>232</AccountId>
        <AccountType/>
      </UserInfo>
      <UserInfo>
        <DisplayName>Ormanczyk, James (CS&amp;TD)</DisplayName>
        <AccountId>168</AccountId>
        <AccountType/>
      </UserInfo>
      <UserInfo>
        <DisplayName>Allen, Lisa (CS&amp;TD)</DisplayName>
        <AccountId>192</AccountId>
        <AccountType/>
      </UserInfo>
      <UserInfo>
        <DisplayName>Williams, Marie (CS&amp;TD)</DisplayName>
        <AccountId>12</AccountId>
        <AccountType/>
      </UserInfo>
      <UserInfo>
        <DisplayName>Borooah, Meenakhi (CS&amp;TD)</DisplayName>
        <AccountId>219</AccountId>
        <AccountType/>
      </UserInfo>
      <UserInfo>
        <DisplayName>Lee, Mike (LB North West)</DisplayName>
        <AccountId>550</AccountId>
        <AccountType/>
      </UserInfo>
      <UserInfo>
        <DisplayName>Askew, Philip (CS&amp;TD)</DisplayName>
        <AccountId>233</AccountId>
        <AccountType/>
      </UserInfo>
      <UserInfo>
        <DisplayName>Irwin, Ross (LB North East &amp; Yorkshire)</DisplayName>
        <AccountId>365</AccountId>
        <AccountType/>
      </UserInfo>
      <UserInfo>
        <DisplayName>Zimmermann, Robert (CS&amp;TD Indirect Tax)</DisplayName>
        <AccountId>537</AccountId>
        <AccountType/>
      </UserInfo>
      <UserInfo>
        <DisplayName>Mackie, Sandy (CS&amp;TD)</DisplayName>
        <AccountId>170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D870B-C7CA-44AC-A1EF-129FCA0D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0b28-e74f-423e-a588-7b0852b2e168"/>
    <ds:schemaRef ds:uri="89282885-2a61-4f59-8308-712f1b3cd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4E6F1-DD68-46C4-81E9-6E1AD3688081}">
  <ds:schemaRefs>
    <ds:schemaRef ds:uri="http://schemas.openxmlformats.org/officeDocument/2006/bibliography"/>
  </ds:schemaRefs>
</ds:datastoreItem>
</file>

<file path=customXml/itemProps3.xml><?xml version="1.0" encoding="utf-8"?>
<ds:datastoreItem xmlns:ds="http://schemas.openxmlformats.org/officeDocument/2006/customXml" ds:itemID="{B34B42D0-30B0-48E9-B8A6-5A5E114D70AF}">
  <ds:schemaRefs>
    <ds:schemaRef ds:uri="http://schemas.microsoft.com/office/2006/metadata/properties"/>
    <ds:schemaRef ds:uri="http://schemas.microsoft.com/office/infopath/2007/PartnerControls"/>
    <ds:schemaRef ds:uri="b8920b28-e74f-423e-a588-7b0852b2e168"/>
    <ds:schemaRef ds:uri="89282885-2a61-4f59-8308-712f1b3cd72c"/>
  </ds:schemaRefs>
</ds:datastoreItem>
</file>

<file path=customXml/itemProps4.xml><?xml version="1.0" encoding="utf-8"?>
<ds:datastoreItem xmlns:ds="http://schemas.openxmlformats.org/officeDocument/2006/customXml" ds:itemID="{B6445AF7-1109-4AE3-A107-EA503CF57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6438</Words>
  <Characters>36701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Scammell</dc:creator>
  <cp:keywords/>
  <dc:description/>
  <cp:lastModifiedBy>Barclay, Mike (HMRC Comms and Guidance)</cp:lastModifiedBy>
  <cp:revision>3</cp:revision>
  <dcterms:created xsi:type="dcterms:W3CDTF">2024-12-16T11:13:00Z</dcterms:created>
  <dcterms:modified xsi:type="dcterms:W3CDTF">2024-12-17T10:20:00Z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0x010100B90B99B90759F8418E10CBFBDA76CD0C</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f9af038e-07b4-4369-a678-c835687cb272_Enabled">
    <vt:lpwstr>true</vt:lpwstr>
  </property>
  <property fmtid="{D5CDD505-2E9C-101B-9397-08002B2CF9AE}" pid="8" name="MSIP_Label_f9af038e-07b4-4369-a678-c835687cb272_SetDate">
    <vt:lpwstr>2023-07-10T15:58:25Z</vt:lpwstr>
  </property>
  <property fmtid="{D5CDD505-2E9C-101B-9397-08002B2CF9AE}" pid="9" name="MSIP_Label_f9af038e-07b4-4369-a678-c835687cb272_Method">
    <vt:lpwstr>Standard</vt:lpwstr>
  </property>
  <property fmtid="{D5CDD505-2E9C-101B-9397-08002B2CF9AE}" pid="10" name="MSIP_Label_f9af038e-07b4-4369-a678-c835687cb272_Name">
    <vt:lpwstr>OFFICIAL</vt:lpwstr>
  </property>
  <property fmtid="{D5CDD505-2E9C-101B-9397-08002B2CF9AE}" pid="11" name="MSIP_Label_f9af038e-07b4-4369-a678-c835687cb272_SiteId">
    <vt:lpwstr>ac52f73c-fd1a-4a9a-8e7a-4a248f3139e1</vt:lpwstr>
  </property>
  <property fmtid="{D5CDD505-2E9C-101B-9397-08002B2CF9AE}" pid="12" name="MSIP_Label_f9af038e-07b4-4369-a678-c835687cb272_ActionId">
    <vt:lpwstr>80486804-76ee-430a-bce9-9cc8381f9fa7</vt:lpwstr>
  </property>
  <property fmtid="{D5CDD505-2E9C-101B-9397-08002B2CF9AE}" pid="13" name="MSIP_Label_f9af038e-07b4-4369-a678-c835687cb272_ContentBits">
    <vt:lpwstr>2</vt:lpwstr>
  </property>
</Properties>
</file>