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F4D27" w14:textId="31B7CBD8" w:rsidR="00D50AE0" w:rsidRPr="0018130B" w:rsidRDefault="00D50AE0" w:rsidP="00D50AE0">
      <w:pPr>
        <w:pStyle w:val="NormalWeb"/>
        <w:spacing w:before="0" w:beforeAutospacing="0" w:after="0" w:afterAutospacing="0"/>
        <w:jc w:val="both"/>
        <w:rPr>
          <w:rFonts w:ascii="Georgia" w:hAnsi="Georgia" w:cs="Arial"/>
          <w:iCs/>
          <w:sz w:val="20"/>
          <w:szCs w:val="20"/>
        </w:rPr>
      </w:pPr>
    </w:p>
    <w:tbl>
      <w:tblPr>
        <w:tblW w:w="0" w:type="auto"/>
        <w:tblLook w:val="01E0" w:firstRow="1" w:lastRow="1" w:firstColumn="1" w:lastColumn="1" w:noHBand="0" w:noVBand="0"/>
      </w:tblPr>
      <w:tblGrid>
        <w:gridCol w:w="2600"/>
        <w:gridCol w:w="503"/>
        <w:gridCol w:w="5209"/>
      </w:tblGrid>
      <w:tr w:rsidR="00892274" w:rsidRPr="00892274" w14:paraId="342D8B5B" w14:textId="77777777" w:rsidTr="1A3F4ED3">
        <w:trPr>
          <w:trHeight w:val="1008"/>
        </w:trPr>
        <w:tc>
          <w:tcPr>
            <w:tcW w:w="3168" w:type="dxa"/>
            <w:shd w:val="clear" w:color="auto" w:fill="auto"/>
            <w:vAlign w:val="center"/>
          </w:tcPr>
          <w:p w14:paraId="01A4AF91" w14:textId="57D197A2" w:rsidR="00892274" w:rsidRPr="00892274" w:rsidRDefault="00892274" w:rsidP="00892274">
            <w:pPr>
              <w:tabs>
                <w:tab w:val="left" w:pos="2880"/>
              </w:tabs>
              <w:spacing w:before="240" w:after="240"/>
              <w:rPr>
                <w:rFonts w:ascii="Georgia" w:hAnsi="Georgia" w:cs="Arial"/>
                <w:b/>
                <w:bCs/>
                <w:lang w:val="en-US"/>
              </w:rPr>
            </w:pPr>
            <w:r w:rsidRPr="00892274">
              <w:rPr>
                <w:rFonts w:ascii="Georgia" w:hAnsi="Georgia"/>
                <w:noProof/>
                <w:lang w:val="en-US"/>
              </w:rPr>
              <w:drawing>
                <wp:inline distT="0" distB="0" distL="0" distR="0" wp14:anchorId="56226C61" wp14:editId="55CA9561">
                  <wp:extent cx="914400" cy="7727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2795"/>
                          </a:xfrm>
                          <a:prstGeom prst="rect">
                            <a:avLst/>
                          </a:prstGeom>
                          <a:noFill/>
                          <a:ln>
                            <a:noFill/>
                          </a:ln>
                        </pic:spPr>
                      </pic:pic>
                    </a:graphicData>
                  </a:graphic>
                </wp:inline>
              </w:drawing>
            </w:r>
          </w:p>
        </w:tc>
        <w:tc>
          <w:tcPr>
            <w:tcW w:w="720" w:type="dxa"/>
            <w:shd w:val="clear" w:color="auto" w:fill="auto"/>
            <w:vAlign w:val="center"/>
          </w:tcPr>
          <w:p w14:paraId="25EFF77D" w14:textId="77777777" w:rsidR="00892274" w:rsidRPr="00892274" w:rsidRDefault="00892274" w:rsidP="00892274">
            <w:pPr>
              <w:tabs>
                <w:tab w:val="left" w:pos="2880"/>
              </w:tabs>
              <w:spacing w:before="240" w:after="240"/>
              <w:rPr>
                <w:rFonts w:ascii="Georgia" w:hAnsi="Georgia" w:cs="Arial"/>
                <w:b/>
                <w:bCs/>
                <w:lang w:val="en-US"/>
              </w:rPr>
            </w:pPr>
          </w:p>
        </w:tc>
        <w:tc>
          <w:tcPr>
            <w:tcW w:w="4634" w:type="dxa"/>
            <w:shd w:val="clear" w:color="auto" w:fill="auto"/>
            <w:vAlign w:val="center"/>
          </w:tcPr>
          <w:p w14:paraId="01F63787" w14:textId="77777777" w:rsidR="00892274" w:rsidRPr="00892274" w:rsidRDefault="00892274" w:rsidP="00892274">
            <w:pPr>
              <w:ind w:left="3600" w:hanging="3600"/>
              <w:rPr>
                <w:rFonts w:ascii="Georgia" w:hAnsi="Georgia"/>
                <w:b/>
                <w:bCs/>
                <w:lang w:eastAsia="en-US"/>
              </w:rPr>
            </w:pPr>
            <w:r w:rsidRPr="00892274">
              <w:rPr>
                <w:rFonts w:ascii="Georgia" w:hAnsi="Georgia"/>
                <w:b/>
                <w:bCs/>
                <w:lang w:eastAsia="en-US"/>
              </w:rPr>
              <w:t>FIRST-TIER TRIBUNAL</w:t>
            </w:r>
          </w:p>
          <w:p w14:paraId="5DBCEF19" w14:textId="77777777" w:rsidR="00892274" w:rsidRPr="00892274" w:rsidRDefault="00892274" w:rsidP="00892274">
            <w:pPr>
              <w:tabs>
                <w:tab w:val="left" w:pos="2880"/>
              </w:tabs>
              <w:rPr>
                <w:rFonts w:ascii="Georgia" w:hAnsi="Georgia" w:cs="Arial"/>
                <w:b/>
                <w:bCs/>
                <w:lang w:val="en-US"/>
              </w:rPr>
            </w:pPr>
            <w:r w:rsidRPr="00892274">
              <w:rPr>
                <w:rFonts w:ascii="Georgia" w:hAnsi="Georgia"/>
                <w:b/>
                <w:lang w:val="en-US"/>
              </w:rPr>
              <w:t>PROPERTY CHAMBER (RESIDENTIAL PROPERTY)</w:t>
            </w:r>
          </w:p>
        </w:tc>
      </w:tr>
      <w:tr w:rsidR="00892274" w:rsidRPr="00892274" w14:paraId="22C44FD0" w14:textId="77777777" w:rsidTr="1A3F4ED3">
        <w:tc>
          <w:tcPr>
            <w:tcW w:w="3168" w:type="dxa"/>
            <w:shd w:val="clear" w:color="auto" w:fill="auto"/>
            <w:vAlign w:val="center"/>
          </w:tcPr>
          <w:p w14:paraId="5247FF1E" w14:textId="77777777" w:rsidR="00892274" w:rsidRPr="00892274" w:rsidRDefault="00892274" w:rsidP="00892274">
            <w:pPr>
              <w:tabs>
                <w:tab w:val="left" w:pos="2880"/>
              </w:tabs>
              <w:rPr>
                <w:rFonts w:ascii="Georgia" w:hAnsi="Georgia" w:cs="Arial"/>
                <w:b/>
                <w:bCs/>
                <w:lang w:val="en-US"/>
              </w:rPr>
            </w:pPr>
            <w:r w:rsidRPr="00892274">
              <w:rPr>
                <w:rFonts w:ascii="Georgia" w:hAnsi="Georgia" w:cs="Arial"/>
                <w:b/>
                <w:bCs/>
                <w:lang w:val="en-US"/>
              </w:rPr>
              <w:t>Case reference</w:t>
            </w:r>
          </w:p>
        </w:tc>
        <w:tc>
          <w:tcPr>
            <w:tcW w:w="720" w:type="dxa"/>
            <w:shd w:val="clear" w:color="auto" w:fill="auto"/>
            <w:vAlign w:val="center"/>
          </w:tcPr>
          <w:p w14:paraId="2F1312AB" w14:textId="77777777" w:rsidR="00892274" w:rsidRPr="00892274" w:rsidRDefault="00892274" w:rsidP="00892274">
            <w:pPr>
              <w:tabs>
                <w:tab w:val="left" w:pos="2880"/>
              </w:tabs>
              <w:spacing w:before="240" w:after="240"/>
              <w:rPr>
                <w:rFonts w:ascii="Georgia" w:hAnsi="Georgia" w:cs="Arial"/>
                <w:b/>
                <w:bCs/>
                <w:lang w:val="en-US"/>
              </w:rPr>
            </w:pPr>
            <w:r w:rsidRPr="00892274">
              <w:rPr>
                <w:rFonts w:ascii="Georgia" w:hAnsi="Georgia" w:cs="Arial"/>
                <w:b/>
                <w:bCs/>
                <w:lang w:val="en-US"/>
              </w:rPr>
              <w:t>:</w:t>
            </w:r>
          </w:p>
        </w:tc>
        <w:tc>
          <w:tcPr>
            <w:tcW w:w="4634" w:type="dxa"/>
            <w:shd w:val="clear" w:color="auto" w:fill="auto"/>
            <w:vAlign w:val="center"/>
          </w:tcPr>
          <w:p w14:paraId="09BFEBC3" w14:textId="076FC52E" w:rsidR="00892274" w:rsidRPr="00892274" w:rsidRDefault="00120519" w:rsidP="00892274">
            <w:pPr>
              <w:tabs>
                <w:tab w:val="left" w:pos="2880"/>
              </w:tabs>
              <w:rPr>
                <w:rFonts w:ascii="Georgia" w:hAnsi="Georgia" w:cs="Arial"/>
                <w:b/>
                <w:bCs/>
                <w:lang w:val="en-US"/>
              </w:rPr>
            </w:pPr>
            <w:r>
              <w:rPr>
                <w:rFonts w:ascii="Georgia" w:hAnsi="Georgia" w:cs="Arial"/>
                <w:b/>
                <w:bCs/>
                <w:lang w:val="en-US"/>
              </w:rPr>
              <w:t>CHI/45UG/LSC/</w:t>
            </w:r>
            <w:r w:rsidR="00C87BCD">
              <w:rPr>
                <w:rFonts w:ascii="Georgia" w:hAnsi="Georgia" w:cs="Arial"/>
                <w:b/>
                <w:bCs/>
                <w:lang w:val="en-US"/>
              </w:rPr>
              <w:t>2023/</w:t>
            </w:r>
            <w:r>
              <w:rPr>
                <w:rFonts w:ascii="Georgia" w:hAnsi="Georgia" w:cs="Arial"/>
                <w:b/>
                <w:bCs/>
                <w:lang w:val="en-US"/>
              </w:rPr>
              <w:t>0093</w:t>
            </w:r>
          </w:p>
        </w:tc>
      </w:tr>
      <w:tr w:rsidR="00892274" w:rsidRPr="00892274" w14:paraId="3535DCF8" w14:textId="77777777" w:rsidTr="1A3F4ED3">
        <w:tc>
          <w:tcPr>
            <w:tcW w:w="3168" w:type="dxa"/>
            <w:shd w:val="clear" w:color="auto" w:fill="auto"/>
            <w:vAlign w:val="center"/>
          </w:tcPr>
          <w:p w14:paraId="6036AC56" w14:textId="77777777" w:rsidR="00892274" w:rsidRPr="00892274" w:rsidRDefault="00892274" w:rsidP="00892274">
            <w:pPr>
              <w:tabs>
                <w:tab w:val="left" w:pos="2880"/>
              </w:tabs>
              <w:rPr>
                <w:rFonts w:ascii="Georgia" w:hAnsi="Georgia" w:cs="Arial"/>
                <w:b/>
                <w:bCs/>
                <w:lang w:val="en-US"/>
              </w:rPr>
            </w:pPr>
            <w:r w:rsidRPr="00892274">
              <w:rPr>
                <w:rFonts w:ascii="Georgia" w:hAnsi="Georgia" w:cs="Arial"/>
                <w:b/>
                <w:bCs/>
                <w:lang w:val="en-US"/>
              </w:rPr>
              <w:t>Property</w:t>
            </w:r>
          </w:p>
        </w:tc>
        <w:tc>
          <w:tcPr>
            <w:tcW w:w="720" w:type="dxa"/>
            <w:shd w:val="clear" w:color="auto" w:fill="auto"/>
            <w:vAlign w:val="center"/>
          </w:tcPr>
          <w:p w14:paraId="2C7E4DEA" w14:textId="77777777" w:rsidR="00892274" w:rsidRPr="00892274" w:rsidRDefault="00892274" w:rsidP="00892274">
            <w:pPr>
              <w:tabs>
                <w:tab w:val="left" w:pos="2880"/>
              </w:tabs>
              <w:spacing w:before="240" w:after="240"/>
              <w:rPr>
                <w:rFonts w:ascii="Georgia" w:hAnsi="Georgia" w:cs="Arial"/>
                <w:b/>
                <w:bCs/>
                <w:lang w:val="en-US"/>
              </w:rPr>
            </w:pPr>
            <w:r w:rsidRPr="00892274">
              <w:rPr>
                <w:rFonts w:ascii="Georgia" w:hAnsi="Georgia" w:cs="Arial"/>
                <w:b/>
                <w:bCs/>
                <w:lang w:val="en-US"/>
              </w:rPr>
              <w:t>:</w:t>
            </w:r>
          </w:p>
        </w:tc>
        <w:tc>
          <w:tcPr>
            <w:tcW w:w="4634" w:type="dxa"/>
            <w:shd w:val="clear" w:color="auto" w:fill="auto"/>
            <w:vAlign w:val="center"/>
          </w:tcPr>
          <w:p w14:paraId="047FC85A" w14:textId="549056A8" w:rsidR="00892274" w:rsidRPr="00892274" w:rsidRDefault="00120519" w:rsidP="00892274">
            <w:pPr>
              <w:tabs>
                <w:tab w:val="left" w:pos="2880"/>
              </w:tabs>
              <w:rPr>
                <w:rFonts w:ascii="Georgia" w:hAnsi="Georgia" w:cs="Arial"/>
                <w:b/>
                <w:bCs/>
                <w:lang w:val="en-US"/>
              </w:rPr>
            </w:pPr>
            <w:r>
              <w:rPr>
                <w:rFonts w:ascii="Georgia" w:hAnsi="Georgia" w:cs="Arial"/>
                <w:b/>
                <w:bCs/>
                <w:lang w:val="en-US"/>
              </w:rPr>
              <w:t xml:space="preserve">The </w:t>
            </w:r>
            <w:r w:rsidR="00911EAA">
              <w:rPr>
                <w:rFonts w:ascii="Georgia" w:hAnsi="Georgia" w:cs="Arial"/>
                <w:b/>
                <w:bCs/>
                <w:lang w:val="en-US"/>
              </w:rPr>
              <w:t>Priory,</w:t>
            </w:r>
            <w:r>
              <w:rPr>
                <w:rFonts w:ascii="Georgia" w:hAnsi="Georgia" w:cs="Arial"/>
                <w:b/>
                <w:bCs/>
                <w:lang w:val="en-US"/>
              </w:rPr>
              <w:t xml:space="preserve"> </w:t>
            </w:r>
            <w:proofErr w:type="spellStart"/>
            <w:r>
              <w:rPr>
                <w:rFonts w:ascii="Georgia" w:hAnsi="Georgia" w:cs="Arial"/>
                <w:b/>
                <w:bCs/>
                <w:lang w:val="en-US"/>
              </w:rPr>
              <w:t>Syresham</w:t>
            </w:r>
            <w:proofErr w:type="spellEnd"/>
            <w:r>
              <w:rPr>
                <w:rFonts w:ascii="Georgia" w:hAnsi="Georgia" w:cs="Arial"/>
                <w:b/>
                <w:bCs/>
                <w:lang w:val="en-US"/>
              </w:rPr>
              <w:t xml:space="preserve"> Gardens</w:t>
            </w:r>
            <w:r w:rsidR="00911EAA">
              <w:rPr>
                <w:rFonts w:ascii="Georgia" w:hAnsi="Georgia" w:cs="Arial"/>
                <w:b/>
                <w:bCs/>
                <w:lang w:val="en-US"/>
              </w:rPr>
              <w:t>,</w:t>
            </w:r>
            <w:r>
              <w:rPr>
                <w:rFonts w:ascii="Georgia" w:hAnsi="Georgia" w:cs="Arial"/>
                <w:b/>
                <w:bCs/>
                <w:lang w:val="en-US"/>
              </w:rPr>
              <w:t xml:space="preserve"> Haywards Heath</w:t>
            </w:r>
            <w:r w:rsidR="00911EAA">
              <w:rPr>
                <w:rFonts w:ascii="Georgia" w:hAnsi="Georgia" w:cs="Arial"/>
                <w:b/>
                <w:bCs/>
                <w:lang w:val="en-US"/>
              </w:rPr>
              <w:t>,</w:t>
            </w:r>
            <w:r>
              <w:rPr>
                <w:rFonts w:ascii="Georgia" w:hAnsi="Georgia" w:cs="Arial"/>
                <w:b/>
                <w:bCs/>
                <w:lang w:val="en-US"/>
              </w:rPr>
              <w:t xml:space="preserve"> West Sussex RH16 3XB </w:t>
            </w:r>
          </w:p>
        </w:tc>
      </w:tr>
      <w:tr w:rsidR="00892274" w:rsidRPr="00892274" w14:paraId="1EFC361C" w14:textId="77777777" w:rsidTr="1A3F4ED3">
        <w:tc>
          <w:tcPr>
            <w:tcW w:w="3168" w:type="dxa"/>
            <w:shd w:val="clear" w:color="auto" w:fill="auto"/>
            <w:vAlign w:val="center"/>
          </w:tcPr>
          <w:p w14:paraId="6E6AD960" w14:textId="77777777" w:rsidR="00892274" w:rsidRPr="00892274" w:rsidRDefault="00892274" w:rsidP="00892274">
            <w:pPr>
              <w:tabs>
                <w:tab w:val="left" w:pos="2880"/>
              </w:tabs>
              <w:rPr>
                <w:rFonts w:ascii="Georgia" w:hAnsi="Georgia" w:cs="Arial"/>
                <w:b/>
                <w:bCs/>
                <w:lang w:val="en-US"/>
              </w:rPr>
            </w:pPr>
            <w:r w:rsidRPr="00892274">
              <w:rPr>
                <w:rFonts w:ascii="Georgia" w:hAnsi="Georgia" w:cs="Arial"/>
                <w:b/>
                <w:bCs/>
                <w:lang w:val="en-US"/>
              </w:rPr>
              <w:t>Applicant</w:t>
            </w:r>
          </w:p>
        </w:tc>
        <w:tc>
          <w:tcPr>
            <w:tcW w:w="720" w:type="dxa"/>
            <w:shd w:val="clear" w:color="auto" w:fill="auto"/>
            <w:vAlign w:val="center"/>
          </w:tcPr>
          <w:p w14:paraId="14223C6D" w14:textId="77777777" w:rsidR="00892274" w:rsidRPr="00892274" w:rsidRDefault="00892274" w:rsidP="00892274">
            <w:pPr>
              <w:tabs>
                <w:tab w:val="left" w:pos="2880"/>
              </w:tabs>
              <w:spacing w:before="240" w:after="240"/>
              <w:rPr>
                <w:rFonts w:ascii="Georgia" w:hAnsi="Georgia" w:cs="Arial"/>
                <w:b/>
                <w:bCs/>
                <w:lang w:val="en-US"/>
              </w:rPr>
            </w:pPr>
            <w:r w:rsidRPr="00892274">
              <w:rPr>
                <w:rFonts w:ascii="Georgia" w:hAnsi="Georgia" w:cs="Arial"/>
                <w:b/>
                <w:bCs/>
                <w:lang w:val="en-US"/>
              </w:rPr>
              <w:t>:</w:t>
            </w:r>
          </w:p>
        </w:tc>
        <w:tc>
          <w:tcPr>
            <w:tcW w:w="4634" w:type="dxa"/>
            <w:shd w:val="clear" w:color="auto" w:fill="auto"/>
            <w:vAlign w:val="center"/>
          </w:tcPr>
          <w:p w14:paraId="0074E184" w14:textId="606FC344" w:rsidR="00892274" w:rsidRPr="00892274" w:rsidRDefault="00911EAA" w:rsidP="00892274">
            <w:pPr>
              <w:tabs>
                <w:tab w:val="left" w:pos="2880"/>
              </w:tabs>
              <w:rPr>
                <w:rFonts w:ascii="Georgia" w:hAnsi="Georgia" w:cs="Arial"/>
                <w:b/>
                <w:bCs/>
                <w:lang w:val="en-US"/>
              </w:rPr>
            </w:pPr>
            <w:r>
              <w:rPr>
                <w:rFonts w:ascii="Georgia" w:hAnsi="Georgia" w:cs="Arial"/>
                <w:b/>
                <w:bCs/>
                <w:lang w:val="en-US"/>
              </w:rPr>
              <w:t xml:space="preserve">Mr B McNamara </w:t>
            </w:r>
          </w:p>
        </w:tc>
      </w:tr>
      <w:tr w:rsidR="004306E5" w:rsidRPr="00892274" w14:paraId="179A70D4" w14:textId="77777777" w:rsidTr="1A3F4ED3">
        <w:tc>
          <w:tcPr>
            <w:tcW w:w="3168" w:type="dxa"/>
            <w:shd w:val="clear" w:color="auto" w:fill="auto"/>
            <w:vAlign w:val="center"/>
          </w:tcPr>
          <w:p w14:paraId="79E83B0F" w14:textId="1C2562D5" w:rsidR="004306E5" w:rsidRPr="00892274" w:rsidRDefault="004306E5" w:rsidP="00892274">
            <w:pPr>
              <w:tabs>
                <w:tab w:val="left" w:pos="2880"/>
              </w:tabs>
              <w:rPr>
                <w:rFonts w:ascii="Georgia" w:hAnsi="Georgia" w:cs="Arial"/>
                <w:b/>
                <w:bCs/>
                <w:lang w:val="en-US"/>
              </w:rPr>
            </w:pPr>
            <w:r>
              <w:rPr>
                <w:rFonts w:ascii="Georgia" w:hAnsi="Georgia" w:cs="Arial"/>
                <w:b/>
                <w:bCs/>
                <w:lang w:val="en-US"/>
              </w:rPr>
              <w:t>Representative</w:t>
            </w:r>
          </w:p>
        </w:tc>
        <w:tc>
          <w:tcPr>
            <w:tcW w:w="720" w:type="dxa"/>
            <w:shd w:val="clear" w:color="auto" w:fill="auto"/>
            <w:vAlign w:val="center"/>
          </w:tcPr>
          <w:p w14:paraId="5D2EB59E" w14:textId="614D4A89" w:rsidR="004306E5" w:rsidRPr="00892274" w:rsidRDefault="004306E5" w:rsidP="00892274">
            <w:pPr>
              <w:tabs>
                <w:tab w:val="left" w:pos="2880"/>
              </w:tabs>
              <w:spacing w:before="240" w:after="240"/>
              <w:rPr>
                <w:rFonts w:ascii="Georgia" w:hAnsi="Georgia" w:cs="Arial"/>
                <w:b/>
                <w:bCs/>
                <w:lang w:val="en-US"/>
              </w:rPr>
            </w:pPr>
            <w:r>
              <w:rPr>
                <w:rFonts w:ascii="Georgia" w:hAnsi="Georgia" w:cs="Arial"/>
                <w:b/>
                <w:bCs/>
                <w:lang w:val="en-US"/>
              </w:rPr>
              <w:t>:</w:t>
            </w:r>
          </w:p>
        </w:tc>
        <w:tc>
          <w:tcPr>
            <w:tcW w:w="4634" w:type="dxa"/>
            <w:shd w:val="clear" w:color="auto" w:fill="auto"/>
            <w:vAlign w:val="center"/>
          </w:tcPr>
          <w:p w14:paraId="63FA6250" w14:textId="3DFBA1ED" w:rsidR="004306E5" w:rsidRDefault="004306E5" w:rsidP="00892274">
            <w:pPr>
              <w:tabs>
                <w:tab w:val="left" w:pos="2880"/>
              </w:tabs>
              <w:rPr>
                <w:rFonts w:ascii="Georgia" w:hAnsi="Georgia" w:cs="Arial"/>
                <w:b/>
                <w:bCs/>
                <w:lang w:val="en-US"/>
              </w:rPr>
            </w:pPr>
            <w:r>
              <w:rPr>
                <w:rFonts w:ascii="Georgia" w:hAnsi="Georgia" w:cs="Arial"/>
                <w:b/>
                <w:bCs/>
                <w:lang w:val="en-US"/>
              </w:rPr>
              <w:t xml:space="preserve">In person </w:t>
            </w:r>
          </w:p>
        </w:tc>
      </w:tr>
      <w:tr w:rsidR="00892274" w:rsidRPr="00892274" w14:paraId="4D6F9C58" w14:textId="77777777" w:rsidTr="1A3F4ED3">
        <w:tc>
          <w:tcPr>
            <w:tcW w:w="3168" w:type="dxa"/>
            <w:shd w:val="clear" w:color="auto" w:fill="auto"/>
            <w:vAlign w:val="center"/>
          </w:tcPr>
          <w:p w14:paraId="4CB489A5" w14:textId="77777777" w:rsidR="00892274" w:rsidRPr="00892274" w:rsidRDefault="00892274" w:rsidP="00892274">
            <w:pPr>
              <w:tabs>
                <w:tab w:val="left" w:pos="2880"/>
              </w:tabs>
              <w:rPr>
                <w:rFonts w:ascii="Georgia" w:hAnsi="Georgia" w:cs="Arial"/>
                <w:b/>
                <w:bCs/>
                <w:lang w:val="en-US"/>
              </w:rPr>
            </w:pPr>
            <w:r w:rsidRPr="00892274">
              <w:rPr>
                <w:rFonts w:ascii="Georgia" w:hAnsi="Georgia" w:cs="Arial"/>
                <w:b/>
                <w:bCs/>
                <w:lang w:val="en-US"/>
              </w:rPr>
              <w:t>Respondent</w:t>
            </w:r>
          </w:p>
        </w:tc>
        <w:tc>
          <w:tcPr>
            <w:tcW w:w="720" w:type="dxa"/>
            <w:shd w:val="clear" w:color="auto" w:fill="auto"/>
            <w:vAlign w:val="center"/>
          </w:tcPr>
          <w:p w14:paraId="45114A22" w14:textId="77777777" w:rsidR="00892274" w:rsidRPr="00892274" w:rsidRDefault="00892274" w:rsidP="00892274">
            <w:pPr>
              <w:tabs>
                <w:tab w:val="left" w:pos="2880"/>
              </w:tabs>
              <w:spacing w:before="240" w:after="240"/>
              <w:rPr>
                <w:rFonts w:ascii="Georgia" w:hAnsi="Georgia" w:cs="Arial"/>
                <w:b/>
                <w:bCs/>
                <w:lang w:val="en-US"/>
              </w:rPr>
            </w:pPr>
            <w:r w:rsidRPr="00892274">
              <w:rPr>
                <w:rFonts w:ascii="Georgia" w:hAnsi="Georgia" w:cs="Arial"/>
                <w:b/>
                <w:bCs/>
                <w:lang w:val="en-US"/>
              </w:rPr>
              <w:t>:</w:t>
            </w:r>
          </w:p>
        </w:tc>
        <w:tc>
          <w:tcPr>
            <w:tcW w:w="4634" w:type="dxa"/>
            <w:shd w:val="clear" w:color="auto" w:fill="auto"/>
            <w:vAlign w:val="center"/>
          </w:tcPr>
          <w:p w14:paraId="4355CB93" w14:textId="322A085D" w:rsidR="00892274" w:rsidRPr="00892274" w:rsidRDefault="003D5A77" w:rsidP="00892274">
            <w:pPr>
              <w:tabs>
                <w:tab w:val="left" w:pos="2880"/>
              </w:tabs>
              <w:rPr>
                <w:rFonts w:ascii="Georgia" w:hAnsi="Georgia" w:cs="Arial"/>
                <w:b/>
                <w:bCs/>
                <w:lang w:val="en-US"/>
              </w:rPr>
            </w:pPr>
            <w:r>
              <w:rPr>
                <w:rFonts w:ascii="Georgia" w:hAnsi="Georgia" w:cs="Arial"/>
                <w:b/>
                <w:bCs/>
                <w:lang w:val="en-US"/>
              </w:rPr>
              <w:t>The Priory HH Limited</w:t>
            </w:r>
          </w:p>
        </w:tc>
      </w:tr>
      <w:tr w:rsidR="004306E5" w:rsidRPr="00892274" w14:paraId="13AFF35B" w14:textId="77777777" w:rsidTr="1A3F4ED3">
        <w:tc>
          <w:tcPr>
            <w:tcW w:w="3168" w:type="dxa"/>
            <w:shd w:val="clear" w:color="auto" w:fill="auto"/>
            <w:vAlign w:val="center"/>
          </w:tcPr>
          <w:p w14:paraId="3502915E" w14:textId="213C7459" w:rsidR="004306E5" w:rsidRPr="00892274" w:rsidRDefault="004306E5" w:rsidP="00892274">
            <w:pPr>
              <w:tabs>
                <w:tab w:val="left" w:pos="2880"/>
              </w:tabs>
              <w:rPr>
                <w:rFonts w:ascii="Georgia" w:hAnsi="Georgia" w:cs="Arial"/>
                <w:b/>
                <w:bCs/>
                <w:lang w:val="en-US"/>
              </w:rPr>
            </w:pPr>
            <w:r>
              <w:rPr>
                <w:rFonts w:ascii="Georgia" w:hAnsi="Georgia" w:cs="Arial"/>
                <w:b/>
                <w:bCs/>
                <w:lang w:val="en-US"/>
              </w:rPr>
              <w:t>Representative</w:t>
            </w:r>
          </w:p>
        </w:tc>
        <w:tc>
          <w:tcPr>
            <w:tcW w:w="720" w:type="dxa"/>
            <w:shd w:val="clear" w:color="auto" w:fill="auto"/>
            <w:vAlign w:val="center"/>
          </w:tcPr>
          <w:p w14:paraId="3E8F87DC" w14:textId="274834B4" w:rsidR="004306E5" w:rsidRPr="00892274" w:rsidRDefault="004306E5" w:rsidP="00892274">
            <w:pPr>
              <w:tabs>
                <w:tab w:val="left" w:pos="2880"/>
              </w:tabs>
              <w:spacing w:before="240" w:after="240"/>
              <w:rPr>
                <w:rFonts w:ascii="Georgia" w:hAnsi="Georgia" w:cs="Arial"/>
                <w:b/>
                <w:bCs/>
                <w:lang w:val="en-US"/>
              </w:rPr>
            </w:pPr>
            <w:r>
              <w:rPr>
                <w:rFonts w:ascii="Georgia" w:hAnsi="Georgia" w:cs="Arial"/>
                <w:b/>
                <w:bCs/>
                <w:lang w:val="en-US"/>
              </w:rPr>
              <w:t>:</w:t>
            </w:r>
          </w:p>
        </w:tc>
        <w:tc>
          <w:tcPr>
            <w:tcW w:w="4634" w:type="dxa"/>
            <w:shd w:val="clear" w:color="auto" w:fill="auto"/>
            <w:vAlign w:val="center"/>
          </w:tcPr>
          <w:p w14:paraId="00BEF9A4" w14:textId="397BAF18" w:rsidR="004306E5" w:rsidRDefault="004306E5" w:rsidP="00892274">
            <w:pPr>
              <w:tabs>
                <w:tab w:val="left" w:pos="2880"/>
              </w:tabs>
              <w:rPr>
                <w:rFonts w:ascii="Georgia" w:hAnsi="Georgia" w:cs="Arial"/>
                <w:b/>
                <w:bCs/>
                <w:lang w:val="en-US"/>
              </w:rPr>
            </w:pPr>
            <w:proofErr w:type="spellStart"/>
            <w:r>
              <w:rPr>
                <w:rFonts w:ascii="Georgia" w:hAnsi="Georgia" w:cs="Arial"/>
                <w:b/>
                <w:bCs/>
                <w:lang w:val="en-US"/>
              </w:rPr>
              <w:t>Fountayne</w:t>
            </w:r>
            <w:proofErr w:type="spellEnd"/>
            <w:r>
              <w:rPr>
                <w:rFonts w:ascii="Georgia" w:hAnsi="Georgia" w:cs="Arial"/>
                <w:b/>
                <w:bCs/>
                <w:lang w:val="en-US"/>
              </w:rPr>
              <w:t xml:space="preserve"> Managing Limited</w:t>
            </w:r>
            <w:r w:rsidR="0099253C">
              <w:rPr>
                <w:rFonts w:ascii="Georgia" w:hAnsi="Georgia" w:cs="Arial"/>
                <w:b/>
                <w:bCs/>
                <w:lang w:val="en-US"/>
              </w:rPr>
              <w:t xml:space="preserve"> (</w:t>
            </w:r>
            <w:proofErr w:type="spellStart"/>
            <w:r w:rsidR="0099253C">
              <w:rPr>
                <w:rFonts w:ascii="Georgia" w:hAnsi="Georgia" w:cs="Arial"/>
                <w:b/>
                <w:bCs/>
                <w:lang w:val="en-US"/>
              </w:rPr>
              <w:t>Mr</w:t>
            </w:r>
            <w:proofErr w:type="spellEnd"/>
            <w:r w:rsidR="0099253C">
              <w:rPr>
                <w:rFonts w:ascii="Georgia" w:hAnsi="Georgia" w:cs="Arial"/>
                <w:b/>
                <w:bCs/>
                <w:lang w:val="en-US"/>
              </w:rPr>
              <w:t xml:space="preserve"> S Stern)</w:t>
            </w:r>
            <w:r w:rsidR="008B6EE4">
              <w:rPr>
                <w:rFonts w:ascii="Georgia" w:hAnsi="Georgia" w:cs="Arial"/>
                <w:b/>
                <w:bCs/>
                <w:lang w:val="en-US"/>
              </w:rPr>
              <w:t xml:space="preserve">, but no </w:t>
            </w:r>
            <w:proofErr w:type="gramStart"/>
            <w:r w:rsidR="008B6EE4">
              <w:rPr>
                <w:rFonts w:ascii="Georgia" w:hAnsi="Georgia" w:cs="Arial"/>
                <w:b/>
                <w:bCs/>
                <w:lang w:val="en-US"/>
              </w:rPr>
              <w:t>representation  at</w:t>
            </w:r>
            <w:proofErr w:type="gramEnd"/>
            <w:r w:rsidR="008B6EE4">
              <w:rPr>
                <w:rFonts w:ascii="Georgia" w:hAnsi="Georgia" w:cs="Arial"/>
                <w:b/>
                <w:bCs/>
                <w:lang w:val="en-US"/>
              </w:rPr>
              <w:t xml:space="preserve"> the hearing </w:t>
            </w:r>
            <w:r w:rsidR="0099253C">
              <w:rPr>
                <w:rFonts w:ascii="Georgia" w:hAnsi="Georgia" w:cs="Arial"/>
                <w:b/>
                <w:bCs/>
                <w:lang w:val="en-US"/>
              </w:rPr>
              <w:t xml:space="preserve"> </w:t>
            </w:r>
          </w:p>
          <w:p w14:paraId="235BCC0E" w14:textId="1294BDF7" w:rsidR="000B4B12" w:rsidRDefault="000B4B12" w:rsidP="00892274">
            <w:pPr>
              <w:tabs>
                <w:tab w:val="left" w:pos="2880"/>
              </w:tabs>
              <w:rPr>
                <w:rFonts w:ascii="Georgia" w:hAnsi="Georgia" w:cs="Arial"/>
                <w:b/>
                <w:bCs/>
                <w:lang w:val="en-US"/>
              </w:rPr>
            </w:pPr>
          </w:p>
        </w:tc>
      </w:tr>
      <w:tr w:rsidR="00892274" w:rsidRPr="00892274" w14:paraId="60035420" w14:textId="77777777" w:rsidTr="1A3F4ED3">
        <w:tc>
          <w:tcPr>
            <w:tcW w:w="3168" w:type="dxa"/>
            <w:shd w:val="clear" w:color="auto" w:fill="auto"/>
            <w:vAlign w:val="center"/>
          </w:tcPr>
          <w:p w14:paraId="4DCDC2EB" w14:textId="77777777" w:rsidR="00892274" w:rsidRPr="00892274" w:rsidRDefault="00892274" w:rsidP="00892274">
            <w:pPr>
              <w:tabs>
                <w:tab w:val="left" w:pos="2880"/>
              </w:tabs>
              <w:rPr>
                <w:rFonts w:ascii="Georgia" w:hAnsi="Georgia" w:cs="Arial"/>
                <w:b/>
                <w:bCs/>
                <w:lang w:val="en-US"/>
              </w:rPr>
            </w:pPr>
            <w:r w:rsidRPr="00892274">
              <w:rPr>
                <w:rFonts w:ascii="Georgia" w:hAnsi="Georgia" w:cs="Arial"/>
                <w:b/>
                <w:bCs/>
                <w:lang w:val="en-US"/>
              </w:rPr>
              <w:t>Type of application</w:t>
            </w:r>
          </w:p>
        </w:tc>
        <w:tc>
          <w:tcPr>
            <w:tcW w:w="720" w:type="dxa"/>
            <w:shd w:val="clear" w:color="auto" w:fill="auto"/>
            <w:vAlign w:val="center"/>
          </w:tcPr>
          <w:p w14:paraId="69BBA13D" w14:textId="77777777" w:rsidR="00892274" w:rsidRPr="00892274" w:rsidRDefault="00892274" w:rsidP="00892274">
            <w:pPr>
              <w:tabs>
                <w:tab w:val="left" w:pos="2880"/>
              </w:tabs>
              <w:spacing w:before="240" w:after="240"/>
              <w:rPr>
                <w:rFonts w:ascii="Georgia" w:hAnsi="Georgia" w:cs="Arial"/>
                <w:b/>
                <w:bCs/>
                <w:lang w:val="en-US"/>
              </w:rPr>
            </w:pPr>
            <w:r w:rsidRPr="00892274">
              <w:rPr>
                <w:rFonts w:ascii="Georgia" w:hAnsi="Georgia" w:cs="Arial"/>
                <w:b/>
                <w:bCs/>
                <w:lang w:val="en-US"/>
              </w:rPr>
              <w:t>:</w:t>
            </w:r>
          </w:p>
        </w:tc>
        <w:tc>
          <w:tcPr>
            <w:tcW w:w="4634" w:type="dxa"/>
            <w:shd w:val="clear" w:color="auto" w:fill="auto"/>
            <w:vAlign w:val="center"/>
          </w:tcPr>
          <w:p w14:paraId="3ECD6BBE" w14:textId="29F4F63C" w:rsidR="00892274" w:rsidRDefault="000B4B12" w:rsidP="00892274">
            <w:pPr>
              <w:tabs>
                <w:tab w:val="left" w:pos="2880"/>
              </w:tabs>
              <w:rPr>
                <w:rFonts w:ascii="Georgia" w:hAnsi="Georgia" w:cs="Arial"/>
                <w:b/>
                <w:bCs/>
              </w:rPr>
            </w:pPr>
            <w:r w:rsidRPr="000B4B12">
              <w:rPr>
                <w:rFonts w:ascii="Georgia" w:hAnsi="Georgia" w:cs="Arial"/>
                <w:b/>
                <w:bCs/>
              </w:rPr>
              <w:t>For the determination of the liability to pay service charges under section 27A of the Landlord and Tenant Act 1985</w:t>
            </w:r>
            <w:r w:rsidR="00BB73B2">
              <w:rPr>
                <w:rFonts w:ascii="Georgia" w:hAnsi="Georgia" w:cs="Arial"/>
                <w:b/>
                <w:bCs/>
              </w:rPr>
              <w:t>; costs orders</w:t>
            </w:r>
          </w:p>
          <w:p w14:paraId="5E258244" w14:textId="0A72D657" w:rsidR="00490DD6" w:rsidRPr="00892274" w:rsidRDefault="00490DD6" w:rsidP="00892274">
            <w:pPr>
              <w:tabs>
                <w:tab w:val="left" w:pos="2880"/>
              </w:tabs>
              <w:rPr>
                <w:rFonts w:ascii="Georgia" w:hAnsi="Georgia" w:cs="Arial"/>
                <w:b/>
                <w:bCs/>
                <w:lang w:val="en-US"/>
              </w:rPr>
            </w:pPr>
          </w:p>
        </w:tc>
      </w:tr>
      <w:tr w:rsidR="00892274" w:rsidRPr="00892274" w14:paraId="15250DCE" w14:textId="77777777" w:rsidTr="1A3F4ED3">
        <w:tc>
          <w:tcPr>
            <w:tcW w:w="3168" w:type="dxa"/>
            <w:shd w:val="clear" w:color="auto" w:fill="auto"/>
            <w:vAlign w:val="center"/>
          </w:tcPr>
          <w:p w14:paraId="7ABF3F44" w14:textId="58F8ED22" w:rsidR="00892274" w:rsidRPr="00892274" w:rsidRDefault="00892274" w:rsidP="00892274">
            <w:pPr>
              <w:tabs>
                <w:tab w:val="left" w:pos="2880"/>
              </w:tabs>
              <w:rPr>
                <w:rFonts w:ascii="Georgia" w:hAnsi="Georgia" w:cs="Arial"/>
                <w:b/>
                <w:bCs/>
                <w:lang w:val="en-US"/>
              </w:rPr>
            </w:pPr>
            <w:r w:rsidRPr="00892274">
              <w:rPr>
                <w:rFonts w:ascii="Georgia" w:hAnsi="Georgia" w:cs="Arial"/>
                <w:b/>
                <w:bCs/>
                <w:lang w:val="en-US"/>
              </w:rPr>
              <w:t>Tribunal member</w:t>
            </w:r>
            <w:r w:rsidR="000B4B12">
              <w:rPr>
                <w:rFonts w:ascii="Georgia" w:hAnsi="Georgia" w:cs="Arial"/>
                <w:b/>
                <w:bCs/>
                <w:lang w:val="en-US"/>
              </w:rPr>
              <w:t>s</w:t>
            </w:r>
          </w:p>
        </w:tc>
        <w:tc>
          <w:tcPr>
            <w:tcW w:w="720" w:type="dxa"/>
            <w:shd w:val="clear" w:color="auto" w:fill="auto"/>
            <w:vAlign w:val="center"/>
          </w:tcPr>
          <w:p w14:paraId="15EB0645" w14:textId="77777777" w:rsidR="00892274" w:rsidRPr="00892274" w:rsidRDefault="00892274" w:rsidP="00892274">
            <w:pPr>
              <w:tabs>
                <w:tab w:val="left" w:pos="2880"/>
              </w:tabs>
              <w:spacing w:before="240" w:after="240"/>
              <w:rPr>
                <w:rFonts w:ascii="Georgia" w:hAnsi="Georgia" w:cs="Arial"/>
                <w:b/>
                <w:bCs/>
                <w:lang w:val="en-US"/>
              </w:rPr>
            </w:pPr>
            <w:r w:rsidRPr="00892274">
              <w:rPr>
                <w:rFonts w:ascii="Georgia" w:hAnsi="Georgia" w:cs="Arial"/>
                <w:b/>
                <w:bCs/>
                <w:lang w:val="en-US"/>
              </w:rPr>
              <w:t>:</w:t>
            </w:r>
          </w:p>
        </w:tc>
        <w:tc>
          <w:tcPr>
            <w:tcW w:w="4634" w:type="dxa"/>
            <w:shd w:val="clear" w:color="auto" w:fill="auto"/>
            <w:vAlign w:val="center"/>
          </w:tcPr>
          <w:p w14:paraId="430E6F23" w14:textId="77777777" w:rsidR="00892274" w:rsidRDefault="00F8303F" w:rsidP="00892274">
            <w:pPr>
              <w:tabs>
                <w:tab w:val="left" w:pos="2880"/>
              </w:tabs>
              <w:rPr>
                <w:rFonts w:ascii="Georgia" w:hAnsi="Georgia" w:cs="Arial"/>
                <w:b/>
                <w:bCs/>
                <w:lang w:val="en-US"/>
              </w:rPr>
            </w:pPr>
            <w:r>
              <w:rPr>
                <w:rFonts w:ascii="Georgia" w:hAnsi="Georgia" w:cs="Arial"/>
                <w:b/>
                <w:bCs/>
                <w:lang w:val="en-US"/>
              </w:rPr>
              <w:t>Mr C Norman FRICS</w:t>
            </w:r>
          </w:p>
          <w:p w14:paraId="0F327103" w14:textId="77777777" w:rsidR="00127963" w:rsidRDefault="00127963" w:rsidP="00892274">
            <w:pPr>
              <w:tabs>
                <w:tab w:val="left" w:pos="2880"/>
              </w:tabs>
              <w:rPr>
                <w:rFonts w:ascii="Georgia" w:hAnsi="Georgia" w:cs="Arial"/>
                <w:b/>
                <w:bCs/>
                <w:lang w:val="en-US"/>
              </w:rPr>
            </w:pPr>
            <w:r>
              <w:rPr>
                <w:rFonts w:ascii="Georgia" w:hAnsi="Georgia" w:cs="Arial"/>
                <w:b/>
                <w:bCs/>
                <w:lang w:val="en-US"/>
              </w:rPr>
              <w:t>Valuer Chairman</w:t>
            </w:r>
          </w:p>
          <w:p w14:paraId="7A7717A3" w14:textId="69AB3E86" w:rsidR="000B4B12" w:rsidRDefault="000B4B12" w:rsidP="00892274">
            <w:pPr>
              <w:tabs>
                <w:tab w:val="left" w:pos="2880"/>
              </w:tabs>
              <w:rPr>
                <w:rFonts w:ascii="Georgia" w:hAnsi="Georgia" w:cs="Arial"/>
                <w:b/>
                <w:bCs/>
                <w:lang w:val="en-US"/>
              </w:rPr>
            </w:pPr>
            <w:proofErr w:type="spellStart"/>
            <w:r>
              <w:rPr>
                <w:rFonts w:ascii="Georgia" w:hAnsi="Georgia" w:cs="Arial"/>
                <w:b/>
                <w:bCs/>
                <w:lang w:val="en-US"/>
              </w:rPr>
              <w:t>Mrs</w:t>
            </w:r>
            <w:proofErr w:type="spellEnd"/>
            <w:r>
              <w:rPr>
                <w:rFonts w:ascii="Georgia" w:hAnsi="Georgia" w:cs="Arial"/>
                <w:b/>
                <w:bCs/>
                <w:lang w:val="en-US"/>
              </w:rPr>
              <w:t xml:space="preserve"> </w:t>
            </w:r>
            <w:r w:rsidR="00490DD6">
              <w:rPr>
                <w:rFonts w:ascii="Georgia" w:hAnsi="Georgia" w:cs="Arial"/>
                <w:b/>
                <w:bCs/>
                <w:lang w:val="en-US"/>
              </w:rPr>
              <w:t>J Coupe FRICS, Regional Surveyor</w:t>
            </w:r>
          </w:p>
          <w:p w14:paraId="026DC3EB" w14:textId="6B6FBC24" w:rsidR="00490DD6" w:rsidRDefault="00490DD6" w:rsidP="00892274">
            <w:pPr>
              <w:tabs>
                <w:tab w:val="left" w:pos="2880"/>
              </w:tabs>
              <w:rPr>
                <w:rFonts w:ascii="Georgia" w:hAnsi="Georgia" w:cs="Arial"/>
                <w:b/>
                <w:bCs/>
                <w:lang w:val="en-US"/>
              </w:rPr>
            </w:pPr>
            <w:proofErr w:type="spellStart"/>
            <w:r>
              <w:rPr>
                <w:rFonts w:ascii="Georgia" w:hAnsi="Georgia" w:cs="Arial"/>
                <w:b/>
                <w:bCs/>
                <w:lang w:val="en-US"/>
              </w:rPr>
              <w:t>Ms</w:t>
            </w:r>
            <w:proofErr w:type="spellEnd"/>
            <w:r>
              <w:rPr>
                <w:rFonts w:ascii="Georgia" w:hAnsi="Georgia" w:cs="Arial"/>
                <w:b/>
                <w:bCs/>
                <w:lang w:val="en-US"/>
              </w:rPr>
              <w:t xml:space="preserve"> </w:t>
            </w:r>
            <w:r w:rsidR="00BF736B">
              <w:rPr>
                <w:rFonts w:ascii="Georgia" w:hAnsi="Georgia" w:cs="Arial"/>
                <w:b/>
                <w:bCs/>
                <w:lang w:val="en-US"/>
              </w:rPr>
              <w:t xml:space="preserve">J Dalal </w:t>
            </w:r>
          </w:p>
          <w:p w14:paraId="745C5490" w14:textId="1545345C" w:rsidR="00490DD6" w:rsidRPr="00892274" w:rsidRDefault="00490DD6" w:rsidP="00892274">
            <w:pPr>
              <w:tabs>
                <w:tab w:val="left" w:pos="2880"/>
              </w:tabs>
              <w:rPr>
                <w:rFonts w:ascii="Georgia" w:hAnsi="Georgia" w:cs="Arial"/>
                <w:b/>
                <w:bCs/>
                <w:lang w:val="en-US"/>
              </w:rPr>
            </w:pPr>
          </w:p>
        </w:tc>
      </w:tr>
      <w:tr w:rsidR="00DB6CDD" w:rsidRPr="00892274" w14:paraId="543009ED" w14:textId="77777777" w:rsidTr="1A3F4ED3">
        <w:tc>
          <w:tcPr>
            <w:tcW w:w="3168" w:type="dxa"/>
            <w:shd w:val="clear" w:color="auto" w:fill="auto"/>
            <w:vAlign w:val="center"/>
          </w:tcPr>
          <w:p w14:paraId="6D83CCE3" w14:textId="764AF7B5" w:rsidR="00DB6CDD" w:rsidRPr="00892274" w:rsidRDefault="00DB6CDD" w:rsidP="00892274">
            <w:pPr>
              <w:tabs>
                <w:tab w:val="left" w:pos="2880"/>
              </w:tabs>
              <w:rPr>
                <w:rFonts w:ascii="Georgia" w:hAnsi="Georgia" w:cs="Arial"/>
                <w:b/>
                <w:bCs/>
                <w:lang w:val="en-US"/>
              </w:rPr>
            </w:pPr>
            <w:r>
              <w:rPr>
                <w:rFonts w:ascii="Georgia" w:hAnsi="Georgia" w:cs="Arial"/>
                <w:b/>
                <w:bCs/>
                <w:lang w:val="en-US"/>
              </w:rPr>
              <w:t xml:space="preserve">Date of Hearing </w:t>
            </w:r>
          </w:p>
        </w:tc>
        <w:tc>
          <w:tcPr>
            <w:tcW w:w="720" w:type="dxa"/>
            <w:shd w:val="clear" w:color="auto" w:fill="auto"/>
            <w:vAlign w:val="center"/>
          </w:tcPr>
          <w:p w14:paraId="74582383" w14:textId="350DDFAD" w:rsidR="00DB6CDD" w:rsidRPr="00892274" w:rsidRDefault="00DB6CDD" w:rsidP="00892274">
            <w:pPr>
              <w:tabs>
                <w:tab w:val="left" w:pos="2880"/>
              </w:tabs>
              <w:spacing w:before="240" w:after="240"/>
              <w:rPr>
                <w:rFonts w:ascii="Georgia" w:hAnsi="Georgia" w:cs="Arial"/>
                <w:b/>
                <w:bCs/>
                <w:lang w:val="en-US"/>
              </w:rPr>
            </w:pPr>
            <w:r>
              <w:rPr>
                <w:rFonts w:ascii="Georgia" w:hAnsi="Georgia" w:cs="Arial"/>
                <w:b/>
                <w:bCs/>
                <w:lang w:val="en-US"/>
              </w:rPr>
              <w:t>:</w:t>
            </w:r>
          </w:p>
        </w:tc>
        <w:tc>
          <w:tcPr>
            <w:tcW w:w="4634" w:type="dxa"/>
            <w:shd w:val="clear" w:color="auto" w:fill="auto"/>
            <w:vAlign w:val="center"/>
          </w:tcPr>
          <w:p w14:paraId="74574CF3" w14:textId="08BCF8ED" w:rsidR="00DB6CDD" w:rsidRDefault="00DB6CDD" w:rsidP="00892274">
            <w:pPr>
              <w:tabs>
                <w:tab w:val="left" w:pos="2880"/>
              </w:tabs>
              <w:rPr>
                <w:rFonts w:ascii="Georgia" w:hAnsi="Georgia" w:cs="Arial"/>
                <w:b/>
                <w:bCs/>
                <w:lang w:val="en-US"/>
              </w:rPr>
            </w:pPr>
            <w:r>
              <w:rPr>
                <w:rFonts w:ascii="Georgia" w:hAnsi="Georgia" w:cs="Arial"/>
                <w:b/>
                <w:bCs/>
                <w:lang w:val="en-US"/>
              </w:rPr>
              <w:t>13 August 2024</w:t>
            </w:r>
          </w:p>
        </w:tc>
      </w:tr>
      <w:tr w:rsidR="00892274" w:rsidRPr="00892274" w14:paraId="4F2220B2" w14:textId="77777777" w:rsidTr="1A3F4ED3">
        <w:tc>
          <w:tcPr>
            <w:tcW w:w="3168" w:type="dxa"/>
            <w:shd w:val="clear" w:color="auto" w:fill="auto"/>
            <w:vAlign w:val="center"/>
          </w:tcPr>
          <w:p w14:paraId="498F441E" w14:textId="2044259A" w:rsidR="00892274" w:rsidRPr="00892274" w:rsidRDefault="00892274" w:rsidP="00892274">
            <w:pPr>
              <w:tabs>
                <w:tab w:val="left" w:pos="2880"/>
              </w:tabs>
              <w:rPr>
                <w:rFonts w:ascii="Georgia" w:hAnsi="Georgia" w:cs="Arial"/>
                <w:b/>
                <w:bCs/>
                <w:lang w:val="en-US"/>
              </w:rPr>
            </w:pPr>
            <w:r w:rsidRPr="00892274">
              <w:rPr>
                <w:rFonts w:ascii="Georgia" w:hAnsi="Georgia" w:cs="Arial"/>
                <w:b/>
                <w:bCs/>
                <w:lang w:val="en-US"/>
              </w:rPr>
              <w:t xml:space="preserve">Date of </w:t>
            </w:r>
            <w:r w:rsidR="00F8303F">
              <w:rPr>
                <w:rFonts w:ascii="Georgia" w:hAnsi="Georgia" w:cs="Arial"/>
                <w:b/>
                <w:bCs/>
                <w:lang w:val="en-US"/>
              </w:rPr>
              <w:t>Decision</w:t>
            </w:r>
          </w:p>
        </w:tc>
        <w:tc>
          <w:tcPr>
            <w:tcW w:w="720" w:type="dxa"/>
            <w:shd w:val="clear" w:color="auto" w:fill="auto"/>
            <w:vAlign w:val="center"/>
          </w:tcPr>
          <w:p w14:paraId="18351A27" w14:textId="77777777" w:rsidR="00892274" w:rsidRPr="00892274" w:rsidRDefault="00892274" w:rsidP="00892274">
            <w:pPr>
              <w:tabs>
                <w:tab w:val="left" w:pos="2880"/>
              </w:tabs>
              <w:spacing w:before="240" w:after="240"/>
              <w:rPr>
                <w:rFonts w:ascii="Georgia" w:hAnsi="Georgia" w:cs="Arial"/>
                <w:b/>
                <w:bCs/>
                <w:lang w:val="en-US"/>
              </w:rPr>
            </w:pPr>
            <w:r w:rsidRPr="00892274">
              <w:rPr>
                <w:rFonts w:ascii="Georgia" w:hAnsi="Georgia" w:cs="Arial"/>
                <w:b/>
                <w:bCs/>
                <w:lang w:val="en-US"/>
              </w:rPr>
              <w:t>:</w:t>
            </w:r>
          </w:p>
        </w:tc>
        <w:tc>
          <w:tcPr>
            <w:tcW w:w="4634" w:type="dxa"/>
            <w:shd w:val="clear" w:color="auto" w:fill="auto"/>
            <w:vAlign w:val="center"/>
          </w:tcPr>
          <w:p w14:paraId="4839092F" w14:textId="4009DA51" w:rsidR="00892274" w:rsidRPr="00892274" w:rsidRDefault="00FA1882" w:rsidP="00892274">
            <w:pPr>
              <w:tabs>
                <w:tab w:val="left" w:pos="2880"/>
              </w:tabs>
              <w:rPr>
                <w:rFonts w:ascii="Georgia" w:hAnsi="Georgia" w:cs="Arial"/>
                <w:b/>
                <w:bCs/>
                <w:lang w:val="en-US"/>
              </w:rPr>
            </w:pPr>
            <w:r>
              <w:rPr>
                <w:rFonts w:ascii="Georgia" w:hAnsi="Georgia" w:cs="Arial"/>
                <w:b/>
                <w:bCs/>
                <w:lang w:val="en-US"/>
              </w:rPr>
              <w:t>1</w:t>
            </w:r>
            <w:r w:rsidR="00051048">
              <w:rPr>
                <w:rFonts w:ascii="Georgia" w:hAnsi="Georgia" w:cs="Arial"/>
                <w:b/>
                <w:bCs/>
                <w:lang w:val="en-US"/>
              </w:rPr>
              <w:t>1</w:t>
            </w:r>
            <w:r w:rsidR="00B40018">
              <w:rPr>
                <w:rFonts w:ascii="Georgia" w:hAnsi="Georgia" w:cs="Arial"/>
                <w:b/>
                <w:bCs/>
                <w:lang w:val="en-US"/>
              </w:rPr>
              <w:t xml:space="preserve"> November </w:t>
            </w:r>
            <w:r w:rsidR="008D718C" w:rsidRPr="1A3F4ED3">
              <w:rPr>
                <w:rFonts w:ascii="Georgia" w:hAnsi="Georgia" w:cs="Arial"/>
                <w:b/>
                <w:bCs/>
                <w:lang w:val="en-US"/>
              </w:rPr>
              <w:t>2024</w:t>
            </w:r>
          </w:p>
        </w:tc>
      </w:tr>
    </w:tbl>
    <w:p w14:paraId="6B4D3796" w14:textId="77777777" w:rsidR="00892274" w:rsidRPr="00892274" w:rsidRDefault="00892274" w:rsidP="00892274">
      <w:pPr>
        <w:jc w:val="both"/>
        <w:rPr>
          <w:rFonts w:ascii="Georgia" w:hAnsi="Georg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tblGrid>
      <w:tr w:rsidR="00892274" w:rsidRPr="00892274" w14:paraId="00CA5462" w14:textId="77777777">
        <w:trPr>
          <w:trHeight w:val="811"/>
        </w:trPr>
        <w:tc>
          <w:tcPr>
            <w:tcW w:w="8522" w:type="dxa"/>
            <w:tcBorders>
              <w:left w:val="nil"/>
              <w:right w:val="nil"/>
            </w:tcBorders>
            <w:shd w:val="clear" w:color="auto" w:fill="auto"/>
            <w:vAlign w:val="center"/>
          </w:tcPr>
          <w:p w14:paraId="0C5A570D" w14:textId="51003969" w:rsidR="00892274" w:rsidRPr="00892274" w:rsidRDefault="00266D41" w:rsidP="00892274">
            <w:pPr>
              <w:jc w:val="center"/>
              <w:rPr>
                <w:rFonts w:ascii="Georgia" w:hAnsi="Georgia" w:cs="Arial"/>
                <w:b/>
                <w:bCs/>
                <w:lang w:val="en-US"/>
              </w:rPr>
            </w:pPr>
            <w:r>
              <w:rPr>
                <w:rFonts w:ascii="Georgia" w:hAnsi="Georgia" w:cs="Arial"/>
                <w:b/>
                <w:bCs/>
                <w:lang w:val="en-US"/>
              </w:rPr>
              <w:t xml:space="preserve">DECISION </w:t>
            </w:r>
          </w:p>
        </w:tc>
      </w:tr>
    </w:tbl>
    <w:p w14:paraId="6D13F217" w14:textId="77777777" w:rsidR="00892274" w:rsidRPr="00892274" w:rsidRDefault="00892274" w:rsidP="00892274">
      <w:pPr>
        <w:jc w:val="both"/>
        <w:rPr>
          <w:rFonts w:ascii="Georgia" w:hAnsi="Georgia"/>
          <w:lang w:val="en-US"/>
        </w:rPr>
      </w:pPr>
    </w:p>
    <w:p w14:paraId="4610CB2F" w14:textId="0D4FB227" w:rsidR="00892274" w:rsidRDefault="00892274" w:rsidP="00892274">
      <w:pPr>
        <w:jc w:val="both"/>
        <w:rPr>
          <w:rFonts w:ascii="Georgia" w:hAnsi="Georgia" w:cs="Arial"/>
        </w:rPr>
      </w:pPr>
    </w:p>
    <w:p w14:paraId="3E333566" w14:textId="77777777" w:rsidR="00B66B91" w:rsidRDefault="00B66B91" w:rsidP="00B66B91">
      <w:pPr>
        <w:ind w:left="1096"/>
        <w:jc w:val="both"/>
        <w:rPr>
          <w:rFonts w:ascii="Georgia" w:hAnsi="Georgia" w:cs="Arial"/>
        </w:rPr>
      </w:pPr>
    </w:p>
    <w:p w14:paraId="7F899978" w14:textId="77777777" w:rsidR="00F130D2" w:rsidRDefault="00F130D2" w:rsidP="00B66B91">
      <w:pPr>
        <w:ind w:left="1096"/>
        <w:jc w:val="both"/>
        <w:rPr>
          <w:rFonts w:ascii="Georgia" w:hAnsi="Georgia" w:cs="Arial"/>
        </w:rPr>
      </w:pPr>
    </w:p>
    <w:p w14:paraId="58B0C5BA" w14:textId="7101FD90" w:rsidR="00F130D2" w:rsidRPr="005C2212" w:rsidRDefault="00F130D2" w:rsidP="009F599A">
      <w:pPr>
        <w:spacing w:after="160" w:line="259" w:lineRule="auto"/>
        <w:jc w:val="center"/>
        <w:rPr>
          <w:rFonts w:ascii="Georgia" w:hAnsi="Georgia" w:cs="Arial"/>
          <w:b/>
          <w:bCs/>
          <w:u w:val="single"/>
        </w:rPr>
      </w:pPr>
      <w:r>
        <w:rPr>
          <w:rFonts w:ascii="Georgia" w:hAnsi="Georgia" w:cs="Arial"/>
        </w:rPr>
        <w:br w:type="page"/>
      </w:r>
      <w:r w:rsidRPr="005C2212">
        <w:rPr>
          <w:rFonts w:ascii="Georgia" w:hAnsi="Georgia" w:cs="Arial"/>
          <w:b/>
          <w:bCs/>
          <w:u w:val="single"/>
        </w:rPr>
        <w:lastRenderedPageBreak/>
        <w:t>Decisions of the Tribunal</w:t>
      </w:r>
    </w:p>
    <w:p w14:paraId="1AFD753B" w14:textId="77777777" w:rsidR="009F599A" w:rsidRPr="005C2212" w:rsidRDefault="009F599A" w:rsidP="009F599A">
      <w:pPr>
        <w:ind w:left="360"/>
        <w:rPr>
          <w:rFonts w:ascii="Georgia" w:hAnsi="Georgia" w:cs="Arial"/>
        </w:rPr>
      </w:pPr>
    </w:p>
    <w:p w14:paraId="109E58CC" w14:textId="77777777" w:rsidR="00F130D2" w:rsidRPr="008A3B86" w:rsidRDefault="00F130D2" w:rsidP="00E35DC5">
      <w:pPr>
        <w:pStyle w:val="ListParagraph"/>
        <w:numPr>
          <w:ilvl w:val="0"/>
          <w:numId w:val="26"/>
        </w:numPr>
        <w:jc w:val="both"/>
        <w:rPr>
          <w:rFonts w:ascii="Georgia" w:hAnsi="Georgia" w:cs="Arial"/>
          <w:sz w:val="24"/>
          <w:szCs w:val="24"/>
        </w:rPr>
      </w:pPr>
      <w:r w:rsidRPr="008A3B86">
        <w:rPr>
          <w:rFonts w:ascii="Georgia" w:hAnsi="Georgia" w:cs="Arial"/>
          <w:sz w:val="24"/>
          <w:szCs w:val="24"/>
        </w:rPr>
        <w:t>The Tribunal makes the determinations as set out under the various headings in this Decision and the annexed Scott Schedule. </w:t>
      </w:r>
    </w:p>
    <w:p w14:paraId="3867F66C" w14:textId="77777777" w:rsidR="009F599A" w:rsidRPr="008A3B86" w:rsidRDefault="009F599A" w:rsidP="00E35DC5">
      <w:pPr>
        <w:pStyle w:val="ListParagraph"/>
        <w:jc w:val="both"/>
        <w:rPr>
          <w:rFonts w:ascii="Georgia" w:hAnsi="Georgia" w:cs="Arial"/>
          <w:sz w:val="24"/>
          <w:szCs w:val="24"/>
        </w:rPr>
      </w:pPr>
    </w:p>
    <w:p w14:paraId="25C156FD" w14:textId="67ED9D3A" w:rsidR="00F130D2" w:rsidRPr="008A3B86" w:rsidRDefault="00F130D2" w:rsidP="00E35DC5">
      <w:pPr>
        <w:pStyle w:val="ListParagraph"/>
        <w:numPr>
          <w:ilvl w:val="0"/>
          <w:numId w:val="26"/>
        </w:numPr>
        <w:jc w:val="both"/>
        <w:rPr>
          <w:rFonts w:ascii="Georgia" w:hAnsi="Georgia" w:cs="Arial"/>
          <w:sz w:val="24"/>
          <w:szCs w:val="24"/>
        </w:rPr>
      </w:pPr>
      <w:r w:rsidRPr="008A3B86">
        <w:rPr>
          <w:rFonts w:ascii="Georgia" w:hAnsi="Georgia" w:cs="Arial"/>
          <w:sz w:val="24"/>
          <w:szCs w:val="24"/>
        </w:rPr>
        <w:t xml:space="preserve">The Tribunal makes an order under section 20C of the Landlord and Tenant Act 1985 </w:t>
      </w:r>
      <w:r w:rsidR="00D42E16" w:rsidRPr="008A3B86">
        <w:rPr>
          <w:rFonts w:ascii="Georgia" w:hAnsi="Georgia" w:cs="Arial"/>
          <w:sz w:val="24"/>
          <w:szCs w:val="24"/>
        </w:rPr>
        <w:t xml:space="preserve">(“the 1985 Act”) </w:t>
      </w:r>
      <w:r w:rsidRPr="008A3B86">
        <w:rPr>
          <w:rFonts w:ascii="Georgia" w:hAnsi="Georgia" w:cs="Arial"/>
          <w:sz w:val="24"/>
          <w:szCs w:val="24"/>
        </w:rPr>
        <w:t>so that none of the landlord’s costs of the tribunal proceedings may be passed to the lessees through any service charge. </w:t>
      </w:r>
    </w:p>
    <w:p w14:paraId="6D76BC6B" w14:textId="77777777" w:rsidR="009F599A" w:rsidRPr="008A3B86" w:rsidRDefault="009F599A" w:rsidP="00E35DC5">
      <w:pPr>
        <w:ind w:left="360"/>
        <w:jc w:val="both"/>
        <w:rPr>
          <w:rFonts w:ascii="Georgia" w:hAnsi="Georgia" w:cs="Arial"/>
        </w:rPr>
      </w:pPr>
    </w:p>
    <w:p w14:paraId="0532E954" w14:textId="308470B0" w:rsidR="00F130D2" w:rsidRPr="008A3B86" w:rsidRDefault="00F130D2" w:rsidP="00E35DC5">
      <w:pPr>
        <w:pStyle w:val="ListParagraph"/>
        <w:numPr>
          <w:ilvl w:val="0"/>
          <w:numId w:val="26"/>
        </w:numPr>
        <w:jc w:val="both"/>
        <w:rPr>
          <w:rFonts w:ascii="Georgia" w:hAnsi="Georgia" w:cs="Arial"/>
          <w:sz w:val="24"/>
          <w:szCs w:val="24"/>
        </w:rPr>
      </w:pPr>
      <w:r w:rsidRPr="008A3B86">
        <w:rPr>
          <w:rFonts w:ascii="Georgia" w:hAnsi="Georgia" w:cs="Arial"/>
          <w:sz w:val="24"/>
          <w:szCs w:val="24"/>
        </w:rPr>
        <w:t xml:space="preserve">The Tribunal makes an order under Para 5A of Sch 11 Commonhold and Leasehold Reform Act 2002 (“the 2002 Act”) that the landlord may not recover litigation costs via administration charges against the </w:t>
      </w:r>
      <w:r w:rsidR="00817159">
        <w:rPr>
          <w:rFonts w:ascii="Georgia" w:hAnsi="Georgia" w:cs="Arial"/>
          <w:sz w:val="24"/>
          <w:szCs w:val="24"/>
        </w:rPr>
        <w:t>Applicant</w:t>
      </w:r>
      <w:r w:rsidRPr="008A3B86">
        <w:rPr>
          <w:rFonts w:ascii="Georgia" w:hAnsi="Georgia" w:cs="Arial"/>
          <w:sz w:val="24"/>
          <w:szCs w:val="24"/>
        </w:rPr>
        <w:t>s.  </w:t>
      </w:r>
    </w:p>
    <w:p w14:paraId="218D5BF2" w14:textId="77777777" w:rsidR="009F599A" w:rsidRPr="008A3B86" w:rsidRDefault="009F599A" w:rsidP="00E35DC5">
      <w:pPr>
        <w:ind w:left="360"/>
        <w:jc w:val="both"/>
        <w:rPr>
          <w:rFonts w:ascii="Georgia" w:hAnsi="Georgia" w:cs="Arial"/>
        </w:rPr>
      </w:pPr>
    </w:p>
    <w:p w14:paraId="0D2DDE96" w14:textId="39166E45" w:rsidR="00F130D2" w:rsidRPr="008A3B86" w:rsidRDefault="00F130D2" w:rsidP="00E35DC5">
      <w:pPr>
        <w:pStyle w:val="ListParagraph"/>
        <w:numPr>
          <w:ilvl w:val="0"/>
          <w:numId w:val="26"/>
        </w:numPr>
        <w:jc w:val="both"/>
        <w:rPr>
          <w:rFonts w:ascii="Georgia" w:hAnsi="Georgia" w:cs="Arial"/>
          <w:sz w:val="24"/>
          <w:szCs w:val="24"/>
        </w:rPr>
      </w:pPr>
      <w:r w:rsidRPr="008A3B86">
        <w:rPr>
          <w:rFonts w:ascii="Georgia" w:hAnsi="Georgia" w:cs="Arial"/>
          <w:sz w:val="24"/>
          <w:szCs w:val="24"/>
        </w:rPr>
        <w:t xml:space="preserve">The Tribunal orders that the </w:t>
      </w:r>
      <w:r w:rsidR="00817159">
        <w:rPr>
          <w:rFonts w:ascii="Georgia" w:hAnsi="Georgia" w:cs="Arial"/>
          <w:sz w:val="24"/>
          <w:szCs w:val="24"/>
        </w:rPr>
        <w:t>Applicant</w:t>
      </w:r>
      <w:r w:rsidRPr="008A3B86">
        <w:rPr>
          <w:rFonts w:ascii="Georgia" w:hAnsi="Georgia" w:cs="Arial"/>
          <w:sz w:val="24"/>
          <w:szCs w:val="24"/>
        </w:rPr>
        <w:t xml:space="preserve">s’ hearing and application fee be reimbursed by the </w:t>
      </w:r>
      <w:r w:rsidR="00817159">
        <w:rPr>
          <w:rFonts w:ascii="Georgia" w:hAnsi="Georgia" w:cs="Arial"/>
          <w:sz w:val="24"/>
          <w:szCs w:val="24"/>
        </w:rPr>
        <w:t>Respondent</w:t>
      </w:r>
      <w:r w:rsidRPr="008A3B86">
        <w:rPr>
          <w:rFonts w:ascii="Georgia" w:hAnsi="Georgia" w:cs="Arial"/>
          <w:sz w:val="24"/>
          <w:szCs w:val="24"/>
        </w:rPr>
        <w:t xml:space="preserve"> within 28 days of this decision.  </w:t>
      </w:r>
    </w:p>
    <w:p w14:paraId="18638D5D" w14:textId="77777777" w:rsidR="00F130D2" w:rsidRPr="008A3B86" w:rsidRDefault="00F130D2" w:rsidP="00E35DC5">
      <w:pPr>
        <w:spacing w:after="160" w:line="259" w:lineRule="auto"/>
        <w:ind w:left="360"/>
        <w:jc w:val="both"/>
        <w:rPr>
          <w:rFonts w:ascii="Georgia" w:hAnsi="Georgia" w:cs="Arial"/>
        </w:rPr>
      </w:pPr>
    </w:p>
    <w:p w14:paraId="0B2F8317" w14:textId="70404F84" w:rsidR="00F130D2" w:rsidRPr="008A3B86" w:rsidRDefault="00F130D2" w:rsidP="00F130D2">
      <w:pPr>
        <w:spacing w:after="160" w:line="259" w:lineRule="auto"/>
        <w:jc w:val="center"/>
        <w:rPr>
          <w:rFonts w:ascii="Georgia" w:hAnsi="Georgia" w:cs="Arial"/>
          <w:b/>
          <w:bCs/>
          <w:u w:val="single"/>
        </w:rPr>
      </w:pPr>
      <w:r w:rsidRPr="008A3B86">
        <w:rPr>
          <w:rFonts w:ascii="Georgia" w:hAnsi="Georgia" w:cs="Arial"/>
          <w:b/>
          <w:bCs/>
          <w:u w:val="single"/>
        </w:rPr>
        <w:t xml:space="preserve">Reasons </w:t>
      </w:r>
    </w:p>
    <w:p w14:paraId="16A91E74" w14:textId="77777777" w:rsidR="00F130D2" w:rsidRPr="008A3B86" w:rsidRDefault="00F130D2" w:rsidP="00F130D2">
      <w:pPr>
        <w:spacing w:after="160" w:line="259" w:lineRule="auto"/>
        <w:ind w:left="360"/>
        <w:rPr>
          <w:rFonts w:ascii="Georgia" w:hAnsi="Georgia" w:cs="Arial"/>
        </w:rPr>
      </w:pPr>
    </w:p>
    <w:p w14:paraId="38049320" w14:textId="4098CC87" w:rsidR="00F130D2" w:rsidRPr="008A3B86" w:rsidRDefault="00F130D2" w:rsidP="00F130D2">
      <w:pPr>
        <w:spacing w:after="160" w:line="259" w:lineRule="auto"/>
        <w:rPr>
          <w:rFonts w:ascii="Georgia" w:hAnsi="Georgia" w:cs="Arial"/>
          <w:b/>
          <w:bCs/>
        </w:rPr>
      </w:pPr>
      <w:r w:rsidRPr="008A3B86">
        <w:rPr>
          <w:rFonts w:ascii="Georgia" w:hAnsi="Georgia" w:cs="Arial"/>
          <w:b/>
          <w:bCs/>
        </w:rPr>
        <w:t xml:space="preserve">The Application </w:t>
      </w:r>
      <w:r w:rsidR="00191EA2">
        <w:rPr>
          <w:rFonts w:ascii="Georgia" w:hAnsi="Georgia" w:cs="Arial"/>
          <w:b/>
          <w:bCs/>
        </w:rPr>
        <w:t xml:space="preserve">and Directions </w:t>
      </w:r>
    </w:p>
    <w:p w14:paraId="20B559EF" w14:textId="54106C2C" w:rsidR="00DC3A03" w:rsidRPr="008A3B86" w:rsidRDefault="00AB5220" w:rsidP="00E35DC5">
      <w:pPr>
        <w:pStyle w:val="ListParagraph"/>
        <w:numPr>
          <w:ilvl w:val="0"/>
          <w:numId w:val="27"/>
        </w:numPr>
        <w:jc w:val="both"/>
        <w:rPr>
          <w:rFonts w:ascii="Georgia" w:hAnsi="Georgia" w:cs="Arial"/>
          <w:sz w:val="24"/>
          <w:szCs w:val="24"/>
        </w:rPr>
      </w:pPr>
      <w:r>
        <w:rPr>
          <w:rFonts w:ascii="Georgia" w:hAnsi="Georgia" w:cs="Arial"/>
          <w:sz w:val="24"/>
          <w:szCs w:val="24"/>
        </w:rPr>
        <w:t>On 3 July 2023 t</w:t>
      </w:r>
      <w:r w:rsidRPr="008A3B86">
        <w:rPr>
          <w:rFonts w:ascii="Georgia" w:hAnsi="Georgia" w:cs="Arial"/>
          <w:sz w:val="24"/>
          <w:szCs w:val="24"/>
        </w:rPr>
        <w:t xml:space="preserve">he </w:t>
      </w:r>
      <w:r w:rsidR="00817159">
        <w:rPr>
          <w:rFonts w:ascii="Georgia" w:hAnsi="Georgia" w:cs="Arial"/>
          <w:sz w:val="24"/>
          <w:szCs w:val="24"/>
        </w:rPr>
        <w:t>Applicant</w:t>
      </w:r>
      <w:r w:rsidRPr="008A3B86">
        <w:rPr>
          <w:rFonts w:ascii="Georgia" w:hAnsi="Georgia" w:cs="Arial"/>
          <w:sz w:val="24"/>
          <w:szCs w:val="24"/>
        </w:rPr>
        <w:t xml:space="preserve"> </w:t>
      </w:r>
      <w:r>
        <w:rPr>
          <w:rFonts w:ascii="Georgia" w:hAnsi="Georgia" w:cs="Arial"/>
          <w:sz w:val="24"/>
          <w:szCs w:val="24"/>
        </w:rPr>
        <w:t xml:space="preserve">sought </w:t>
      </w:r>
      <w:r w:rsidR="00D42E16" w:rsidRPr="008A3B86">
        <w:rPr>
          <w:rFonts w:ascii="Georgia" w:hAnsi="Georgia" w:cs="Arial"/>
          <w:sz w:val="24"/>
          <w:szCs w:val="24"/>
        </w:rPr>
        <w:t xml:space="preserve">a determination as to the reasonableness </w:t>
      </w:r>
      <w:r w:rsidR="009F599A" w:rsidRPr="008A3B86">
        <w:rPr>
          <w:rFonts w:ascii="Georgia" w:hAnsi="Georgia" w:cs="Arial"/>
          <w:sz w:val="24"/>
          <w:szCs w:val="24"/>
        </w:rPr>
        <w:t xml:space="preserve">and payability </w:t>
      </w:r>
      <w:r w:rsidR="00D42E16" w:rsidRPr="008A3B86">
        <w:rPr>
          <w:rFonts w:ascii="Georgia" w:hAnsi="Georgia" w:cs="Arial"/>
          <w:sz w:val="24"/>
          <w:szCs w:val="24"/>
        </w:rPr>
        <w:t>of service charges for the</w:t>
      </w:r>
      <w:r w:rsidR="00DC3A03" w:rsidRPr="008A3B86">
        <w:rPr>
          <w:rFonts w:ascii="Georgia" w:hAnsi="Georgia" w:cs="Arial"/>
          <w:sz w:val="24"/>
          <w:szCs w:val="24"/>
        </w:rPr>
        <w:t xml:space="preserve"> </w:t>
      </w:r>
      <w:proofErr w:type="gramStart"/>
      <w:r w:rsidR="00DC3A03" w:rsidRPr="008A3B86">
        <w:rPr>
          <w:rFonts w:ascii="Georgia" w:hAnsi="Georgia" w:cs="Arial"/>
          <w:sz w:val="24"/>
          <w:szCs w:val="24"/>
        </w:rPr>
        <w:t xml:space="preserve">past </w:t>
      </w:r>
      <w:r w:rsidR="00D42E16" w:rsidRPr="008A3B86">
        <w:rPr>
          <w:rFonts w:ascii="Georgia" w:hAnsi="Georgia" w:cs="Arial"/>
          <w:sz w:val="24"/>
          <w:szCs w:val="24"/>
        </w:rPr>
        <w:t xml:space="preserve"> years</w:t>
      </w:r>
      <w:proofErr w:type="gramEnd"/>
      <w:r w:rsidR="009F599A" w:rsidRPr="008A3B86">
        <w:rPr>
          <w:rFonts w:ascii="Georgia" w:hAnsi="Georgia" w:cs="Arial"/>
          <w:sz w:val="24"/>
          <w:szCs w:val="24"/>
        </w:rPr>
        <w:t>:</w:t>
      </w:r>
      <w:r w:rsidR="00D42E16" w:rsidRPr="008A3B86">
        <w:rPr>
          <w:rFonts w:ascii="Georgia" w:hAnsi="Georgia" w:cs="Arial"/>
          <w:sz w:val="24"/>
          <w:szCs w:val="24"/>
        </w:rPr>
        <w:t xml:space="preserve"> </w:t>
      </w:r>
    </w:p>
    <w:p w14:paraId="352389CF" w14:textId="6E75DCFD" w:rsidR="00DC3A03" w:rsidRPr="008A3B86" w:rsidRDefault="00D42E16" w:rsidP="00E35DC5">
      <w:pPr>
        <w:spacing w:after="160" w:line="259" w:lineRule="auto"/>
        <w:ind w:left="851"/>
        <w:jc w:val="both"/>
        <w:rPr>
          <w:rFonts w:ascii="Georgia" w:hAnsi="Georgia" w:cs="Arial"/>
        </w:rPr>
      </w:pPr>
      <w:r w:rsidRPr="008A3B86">
        <w:rPr>
          <w:rFonts w:ascii="Georgia" w:hAnsi="Georgia" w:cs="Arial"/>
        </w:rPr>
        <w:t xml:space="preserve">2020, 2021, 2022 </w:t>
      </w:r>
    </w:p>
    <w:p w14:paraId="520D78D0" w14:textId="77777777" w:rsidR="00DC3A03" w:rsidRPr="008A3B86" w:rsidRDefault="00D42E16" w:rsidP="00E35DC5">
      <w:pPr>
        <w:spacing w:after="160" w:line="259" w:lineRule="auto"/>
        <w:ind w:left="851"/>
        <w:jc w:val="both"/>
        <w:rPr>
          <w:rFonts w:ascii="Georgia" w:hAnsi="Georgia" w:cs="Arial"/>
        </w:rPr>
      </w:pPr>
      <w:r w:rsidRPr="008A3B86">
        <w:rPr>
          <w:rFonts w:ascii="Georgia" w:hAnsi="Georgia" w:cs="Arial"/>
        </w:rPr>
        <w:t xml:space="preserve">and </w:t>
      </w:r>
    </w:p>
    <w:p w14:paraId="251812BE" w14:textId="43A2B2EF" w:rsidR="00DC3A03" w:rsidRPr="008A3B86" w:rsidRDefault="00DC3A03" w:rsidP="00E35DC5">
      <w:pPr>
        <w:spacing w:after="160" w:line="259" w:lineRule="auto"/>
        <w:ind w:left="851"/>
        <w:jc w:val="both"/>
        <w:rPr>
          <w:rFonts w:ascii="Georgia" w:hAnsi="Georgia" w:cs="Arial"/>
        </w:rPr>
      </w:pPr>
      <w:proofErr w:type="spellStart"/>
      <w:r w:rsidRPr="008A3B86">
        <w:rPr>
          <w:rFonts w:ascii="Georgia" w:hAnsi="Georgia" w:cs="Arial"/>
        </w:rPr>
        <w:t>the</w:t>
      </w:r>
      <w:proofErr w:type="spellEnd"/>
      <w:r w:rsidRPr="008A3B86">
        <w:rPr>
          <w:rFonts w:ascii="Georgia" w:hAnsi="Georgia" w:cs="Arial"/>
        </w:rPr>
        <w:t xml:space="preserve"> </w:t>
      </w:r>
      <w:r w:rsidR="009F599A" w:rsidRPr="008A3B86">
        <w:rPr>
          <w:rFonts w:ascii="Georgia" w:hAnsi="Georgia" w:cs="Arial"/>
        </w:rPr>
        <w:t xml:space="preserve">then </w:t>
      </w:r>
      <w:r w:rsidRPr="008A3B86">
        <w:rPr>
          <w:rFonts w:ascii="Georgia" w:hAnsi="Georgia" w:cs="Arial"/>
        </w:rPr>
        <w:t xml:space="preserve">future year </w:t>
      </w:r>
      <w:r w:rsidR="00D42E16" w:rsidRPr="008A3B86">
        <w:rPr>
          <w:rFonts w:ascii="Georgia" w:hAnsi="Georgia" w:cs="Arial"/>
        </w:rPr>
        <w:t xml:space="preserve">2023. </w:t>
      </w:r>
    </w:p>
    <w:p w14:paraId="15D14169" w14:textId="0AEACF13" w:rsidR="00F130D2" w:rsidRPr="008A3B86" w:rsidRDefault="00D42E16" w:rsidP="00E35DC5">
      <w:pPr>
        <w:pStyle w:val="ListParagraph"/>
        <w:numPr>
          <w:ilvl w:val="0"/>
          <w:numId w:val="27"/>
        </w:numPr>
        <w:jc w:val="both"/>
        <w:rPr>
          <w:rFonts w:ascii="Georgia" w:hAnsi="Georgia" w:cs="Arial"/>
          <w:sz w:val="24"/>
          <w:szCs w:val="24"/>
        </w:rPr>
      </w:pPr>
      <w:r w:rsidRPr="008A3B86">
        <w:rPr>
          <w:rFonts w:ascii="Georgia" w:hAnsi="Georgia" w:cs="Arial"/>
          <w:sz w:val="24"/>
          <w:szCs w:val="24"/>
        </w:rPr>
        <w:t xml:space="preserve">The total value in dispute was </w:t>
      </w:r>
      <w:r w:rsidR="004269BE" w:rsidRPr="008A3B86">
        <w:rPr>
          <w:rFonts w:ascii="Georgia" w:hAnsi="Georgia" w:cs="Arial"/>
          <w:sz w:val="24"/>
          <w:szCs w:val="24"/>
        </w:rPr>
        <w:t xml:space="preserve">stated as </w:t>
      </w:r>
      <w:r w:rsidR="00373A2A" w:rsidRPr="008A3B86">
        <w:rPr>
          <w:rFonts w:ascii="Georgia" w:hAnsi="Georgia" w:cs="Arial"/>
          <w:sz w:val="24"/>
          <w:szCs w:val="24"/>
        </w:rPr>
        <w:t xml:space="preserve">being </w:t>
      </w:r>
      <w:r w:rsidRPr="008A3B86">
        <w:rPr>
          <w:rFonts w:ascii="Georgia" w:hAnsi="Georgia" w:cs="Arial"/>
          <w:sz w:val="24"/>
          <w:szCs w:val="24"/>
        </w:rPr>
        <w:t>£5,377.38</w:t>
      </w:r>
      <w:r w:rsidR="004269BE" w:rsidRPr="008A3B86">
        <w:rPr>
          <w:rFonts w:ascii="Georgia" w:hAnsi="Georgia" w:cs="Arial"/>
          <w:sz w:val="24"/>
          <w:szCs w:val="24"/>
        </w:rPr>
        <w:t xml:space="preserve"> (later </w:t>
      </w:r>
      <w:r w:rsidR="00373A2A" w:rsidRPr="008A3B86">
        <w:rPr>
          <w:rFonts w:ascii="Georgia" w:hAnsi="Georgia" w:cs="Arial"/>
          <w:sz w:val="24"/>
          <w:szCs w:val="24"/>
        </w:rPr>
        <w:t>re</w:t>
      </w:r>
      <w:r w:rsidR="00AB5220">
        <w:rPr>
          <w:rFonts w:ascii="Georgia" w:hAnsi="Georgia" w:cs="Arial"/>
          <w:sz w:val="24"/>
          <w:szCs w:val="24"/>
        </w:rPr>
        <w:t>-</w:t>
      </w:r>
      <w:r w:rsidR="00373A2A" w:rsidRPr="008A3B86">
        <w:rPr>
          <w:rFonts w:ascii="Georgia" w:hAnsi="Georgia" w:cs="Arial"/>
          <w:sz w:val="24"/>
          <w:szCs w:val="24"/>
        </w:rPr>
        <w:t>stated a</w:t>
      </w:r>
      <w:r w:rsidR="0017331C" w:rsidRPr="008A3B86">
        <w:rPr>
          <w:rFonts w:ascii="Georgia" w:hAnsi="Georgia" w:cs="Arial"/>
          <w:sz w:val="24"/>
          <w:szCs w:val="24"/>
        </w:rPr>
        <w:t xml:space="preserve">s </w:t>
      </w:r>
      <w:r w:rsidR="004269BE" w:rsidRPr="008A3B86">
        <w:rPr>
          <w:rFonts w:ascii="Georgia" w:hAnsi="Georgia" w:cs="Arial"/>
          <w:sz w:val="24"/>
          <w:szCs w:val="24"/>
        </w:rPr>
        <w:t xml:space="preserve">£4832.74 </w:t>
      </w:r>
      <w:r w:rsidR="0017331C" w:rsidRPr="008A3B86">
        <w:rPr>
          <w:rFonts w:ascii="Georgia" w:hAnsi="Georgia" w:cs="Arial"/>
          <w:sz w:val="24"/>
          <w:szCs w:val="24"/>
        </w:rPr>
        <w:t xml:space="preserve">per </w:t>
      </w:r>
      <w:r w:rsidR="004269BE" w:rsidRPr="008A3B86">
        <w:rPr>
          <w:rFonts w:ascii="Georgia" w:hAnsi="Georgia" w:cs="Arial"/>
          <w:sz w:val="24"/>
          <w:szCs w:val="24"/>
        </w:rPr>
        <w:t>para</w:t>
      </w:r>
      <w:r w:rsidR="00AB5220">
        <w:rPr>
          <w:rFonts w:ascii="Georgia" w:hAnsi="Georgia" w:cs="Arial"/>
          <w:sz w:val="24"/>
          <w:szCs w:val="24"/>
        </w:rPr>
        <w:t>graph</w:t>
      </w:r>
      <w:r w:rsidR="004269BE" w:rsidRPr="008A3B86">
        <w:rPr>
          <w:rFonts w:ascii="Georgia" w:hAnsi="Georgia" w:cs="Arial"/>
          <w:sz w:val="24"/>
          <w:szCs w:val="24"/>
        </w:rPr>
        <w:t xml:space="preserve"> 8, </w:t>
      </w:r>
      <w:r w:rsidR="00AB5220" w:rsidRPr="008A3B86">
        <w:rPr>
          <w:rFonts w:ascii="Georgia" w:hAnsi="Georgia" w:cs="Arial"/>
          <w:sz w:val="24"/>
          <w:szCs w:val="24"/>
        </w:rPr>
        <w:t xml:space="preserve">further directions </w:t>
      </w:r>
      <w:r w:rsidR="00AB5220">
        <w:rPr>
          <w:rFonts w:ascii="Georgia" w:hAnsi="Georgia" w:cs="Arial"/>
          <w:sz w:val="24"/>
          <w:szCs w:val="24"/>
        </w:rPr>
        <w:t>of</w:t>
      </w:r>
      <w:r w:rsidR="0017331C" w:rsidRPr="008A3B86">
        <w:rPr>
          <w:rFonts w:ascii="Georgia" w:hAnsi="Georgia" w:cs="Arial"/>
          <w:sz w:val="24"/>
          <w:szCs w:val="24"/>
        </w:rPr>
        <w:t xml:space="preserve"> </w:t>
      </w:r>
      <w:r w:rsidR="004269BE" w:rsidRPr="008A3B86">
        <w:rPr>
          <w:rFonts w:ascii="Georgia" w:hAnsi="Georgia" w:cs="Arial"/>
          <w:sz w:val="24"/>
          <w:szCs w:val="24"/>
        </w:rPr>
        <w:t>24 April 2024)</w:t>
      </w:r>
      <w:r w:rsidRPr="008A3B86">
        <w:rPr>
          <w:rFonts w:ascii="Georgia" w:hAnsi="Georgia" w:cs="Arial"/>
          <w:sz w:val="24"/>
          <w:szCs w:val="24"/>
        </w:rPr>
        <w:t xml:space="preserve">. </w:t>
      </w:r>
      <w:r w:rsidR="0017331C" w:rsidRPr="008A3B86">
        <w:rPr>
          <w:rFonts w:ascii="Georgia" w:hAnsi="Georgia" w:cs="Arial"/>
          <w:sz w:val="24"/>
          <w:szCs w:val="24"/>
        </w:rPr>
        <w:t xml:space="preserve">The </w:t>
      </w:r>
      <w:proofErr w:type="gramStart"/>
      <w:r w:rsidR="00817159">
        <w:rPr>
          <w:rFonts w:ascii="Georgia" w:hAnsi="Georgia" w:cs="Arial"/>
          <w:sz w:val="24"/>
          <w:szCs w:val="24"/>
        </w:rPr>
        <w:t>Applicant</w:t>
      </w:r>
      <w:r w:rsidR="0017331C" w:rsidRPr="008A3B86">
        <w:rPr>
          <w:rFonts w:ascii="Georgia" w:hAnsi="Georgia" w:cs="Arial"/>
          <w:sz w:val="24"/>
          <w:szCs w:val="24"/>
        </w:rPr>
        <w:t xml:space="preserve"> </w:t>
      </w:r>
      <w:r w:rsidRPr="008A3B86">
        <w:rPr>
          <w:rFonts w:ascii="Georgia" w:hAnsi="Georgia" w:cs="Arial"/>
          <w:sz w:val="24"/>
          <w:szCs w:val="24"/>
        </w:rPr>
        <w:t xml:space="preserve"> also</w:t>
      </w:r>
      <w:proofErr w:type="gramEnd"/>
      <w:r w:rsidRPr="008A3B86">
        <w:rPr>
          <w:rFonts w:ascii="Georgia" w:hAnsi="Georgia" w:cs="Arial"/>
          <w:sz w:val="24"/>
          <w:szCs w:val="24"/>
        </w:rPr>
        <w:t xml:space="preserve"> applied for orders under section 20C of the 1985 Act and Para 5A Sch 11 of the 2002 Act. </w:t>
      </w:r>
    </w:p>
    <w:p w14:paraId="7FB7BFFB" w14:textId="77777777" w:rsidR="009F599A" w:rsidRPr="008A3B86" w:rsidRDefault="009F599A" w:rsidP="009F599A">
      <w:pPr>
        <w:rPr>
          <w:rFonts w:ascii="Georgia" w:hAnsi="Georgia" w:cs="Arial"/>
        </w:rPr>
      </w:pPr>
    </w:p>
    <w:p w14:paraId="677E19CA" w14:textId="5DBA73DD" w:rsidR="00495DC3" w:rsidRPr="0073162C" w:rsidRDefault="004269BE" w:rsidP="00E35DC5">
      <w:pPr>
        <w:pStyle w:val="ListParagraph"/>
        <w:numPr>
          <w:ilvl w:val="0"/>
          <w:numId w:val="27"/>
        </w:numPr>
        <w:jc w:val="both"/>
        <w:rPr>
          <w:rFonts w:ascii="Georgia" w:hAnsi="Georgia" w:cs="Arial"/>
          <w:sz w:val="24"/>
          <w:szCs w:val="24"/>
        </w:rPr>
      </w:pPr>
      <w:r w:rsidRPr="008A3B86">
        <w:rPr>
          <w:rFonts w:ascii="Georgia" w:hAnsi="Georgia" w:cs="Arial"/>
          <w:sz w:val="24"/>
          <w:szCs w:val="24"/>
        </w:rPr>
        <w:t xml:space="preserve">By directions of 10 November 2023 the tribunal </w:t>
      </w:r>
      <w:r w:rsidR="00126453" w:rsidRPr="008A3B86">
        <w:rPr>
          <w:rFonts w:ascii="Georgia" w:hAnsi="Georgia" w:cs="Arial"/>
          <w:sz w:val="24"/>
          <w:szCs w:val="24"/>
        </w:rPr>
        <w:t>ordered</w:t>
      </w:r>
      <w:r w:rsidRPr="008A3B86">
        <w:rPr>
          <w:rFonts w:ascii="Georgia" w:hAnsi="Georgia" w:cs="Arial"/>
          <w:sz w:val="24"/>
          <w:szCs w:val="24"/>
        </w:rPr>
        <w:t xml:space="preserve"> the matter to be determined on the papers by use of a Scott Schedule, without a hearing or inspection. By further directions of </w:t>
      </w:r>
      <w:proofErr w:type="gramStart"/>
      <w:r w:rsidRPr="008A3B86">
        <w:rPr>
          <w:rFonts w:ascii="Georgia" w:hAnsi="Georgia" w:cs="Arial"/>
          <w:sz w:val="24"/>
          <w:szCs w:val="24"/>
        </w:rPr>
        <w:t>2 April 2024</w:t>
      </w:r>
      <w:proofErr w:type="gramEnd"/>
      <w:r w:rsidRPr="008A3B86">
        <w:rPr>
          <w:rFonts w:ascii="Georgia" w:hAnsi="Georgia" w:cs="Arial"/>
          <w:sz w:val="24"/>
          <w:szCs w:val="24"/>
        </w:rPr>
        <w:t xml:space="preserve"> a hearing was ordered. </w:t>
      </w:r>
      <w:r w:rsidR="00495DC3" w:rsidRPr="008A3B86">
        <w:rPr>
          <w:rFonts w:ascii="Georgia" w:hAnsi="Georgia" w:cs="Arial"/>
          <w:sz w:val="24"/>
          <w:szCs w:val="24"/>
        </w:rPr>
        <w:t xml:space="preserve">Following a bundle review, further directions were given on 24 April 2024. Para 12 stated: </w:t>
      </w:r>
      <w:r w:rsidR="00495DC3" w:rsidRPr="008A3B86">
        <w:rPr>
          <w:rFonts w:ascii="Georgia" w:hAnsi="Georgia" w:cs="Arial"/>
          <w:i/>
          <w:iCs/>
          <w:sz w:val="24"/>
          <w:szCs w:val="24"/>
        </w:rPr>
        <w:t xml:space="preserve">“The Applicant shall consider the extent to which items are challenged and the amount of charge he accepts as reasonable for any given item that is found to be payable. The figure shall be added to the Scott Schedule. The Applicant shall highlight those figures that he accepts and is content for the Tribunal to apply, assuming anything is found payable. The Applicant shall </w:t>
      </w:r>
      <w:r w:rsidR="00495DC3" w:rsidRPr="008A3B86">
        <w:rPr>
          <w:rFonts w:ascii="Georgia" w:hAnsi="Georgia" w:cs="Arial"/>
          <w:i/>
          <w:iCs/>
          <w:sz w:val="24"/>
          <w:szCs w:val="24"/>
        </w:rPr>
        <w:lastRenderedPageBreak/>
        <w:t>provide un- highlighted those figures which are suggestions but which the Applicant does not firmly accept.”</w:t>
      </w:r>
    </w:p>
    <w:p w14:paraId="197AA8AC" w14:textId="77777777" w:rsidR="0073162C" w:rsidRDefault="0073162C" w:rsidP="00E35DC5">
      <w:pPr>
        <w:pStyle w:val="ListParagraph"/>
        <w:jc w:val="both"/>
        <w:rPr>
          <w:rFonts w:ascii="Georgia" w:hAnsi="Georgia" w:cs="Arial"/>
          <w:sz w:val="24"/>
          <w:szCs w:val="24"/>
        </w:rPr>
      </w:pPr>
    </w:p>
    <w:p w14:paraId="4FD0DA1E" w14:textId="77777777" w:rsidR="0073162C" w:rsidRDefault="0073162C" w:rsidP="00E35DC5">
      <w:pPr>
        <w:pStyle w:val="ListParagraph"/>
        <w:jc w:val="both"/>
        <w:rPr>
          <w:rFonts w:ascii="Georgia" w:hAnsi="Georgia" w:cs="Arial"/>
          <w:sz w:val="24"/>
          <w:szCs w:val="24"/>
        </w:rPr>
      </w:pPr>
      <w:r>
        <w:rPr>
          <w:rFonts w:ascii="Georgia" w:hAnsi="Georgia" w:cs="Arial"/>
          <w:sz w:val="24"/>
          <w:szCs w:val="24"/>
        </w:rPr>
        <w:t xml:space="preserve">A lengthy Scott Schedule was received, highlighted as set out above. </w:t>
      </w:r>
    </w:p>
    <w:p w14:paraId="2188D092" w14:textId="281F3213" w:rsidR="0073162C" w:rsidRPr="0073162C" w:rsidRDefault="0073162C" w:rsidP="00E35DC5">
      <w:pPr>
        <w:pStyle w:val="ListParagraph"/>
        <w:jc w:val="both"/>
        <w:rPr>
          <w:rFonts w:ascii="Georgia" w:hAnsi="Georgia" w:cs="Arial"/>
          <w:sz w:val="24"/>
          <w:szCs w:val="24"/>
        </w:rPr>
      </w:pPr>
      <w:r>
        <w:rPr>
          <w:rFonts w:ascii="Georgia" w:hAnsi="Georgia" w:cs="Arial"/>
          <w:sz w:val="24"/>
          <w:szCs w:val="24"/>
        </w:rPr>
        <w:t xml:space="preserve"> </w:t>
      </w:r>
    </w:p>
    <w:p w14:paraId="7E8D1473" w14:textId="6364FDE5" w:rsidR="00F130D2" w:rsidRPr="008A3B86" w:rsidRDefault="00F130D2" w:rsidP="00F130D2">
      <w:pPr>
        <w:spacing w:after="160" w:line="259" w:lineRule="auto"/>
        <w:rPr>
          <w:rFonts w:ascii="Georgia" w:hAnsi="Georgia" w:cs="Arial"/>
          <w:b/>
          <w:bCs/>
        </w:rPr>
      </w:pPr>
      <w:r w:rsidRPr="008A3B86">
        <w:rPr>
          <w:rFonts w:ascii="Georgia" w:hAnsi="Georgia" w:cs="Arial"/>
          <w:b/>
          <w:bCs/>
        </w:rPr>
        <w:t xml:space="preserve">The Hearing </w:t>
      </w:r>
    </w:p>
    <w:p w14:paraId="230BF699" w14:textId="1DC411E3" w:rsidR="00191EA2" w:rsidRDefault="00433B4C" w:rsidP="00E35DC5">
      <w:pPr>
        <w:pStyle w:val="ListParagraph"/>
        <w:numPr>
          <w:ilvl w:val="0"/>
          <w:numId w:val="27"/>
        </w:numPr>
        <w:jc w:val="both"/>
        <w:rPr>
          <w:rFonts w:ascii="Georgia" w:hAnsi="Georgia" w:cs="Arial"/>
          <w:sz w:val="24"/>
          <w:szCs w:val="24"/>
        </w:rPr>
      </w:pPr>
      <w:r w:rsidRPr="008A3B86">
        <w:rPr>
          <w:rFonts w:ascii="Georgia" w:hAnsi="Georgia" w:cs="Arial"/>
          <w:sz w:val="24"/>
          <w:szCs w:val="24"/>
        </w:rPr>
        <w:t xml:space="preserve">The hearing took place at the </w:t>
      </w:r>
      <w:r w:rsidR="00126453" w:rsidRPr="008A3B86">
        <w:rPr>
          <w:rFonts w:ascii="Georgia" w:hAnsi="Georgia" w:cs="Arial"/>
          <w:sz w:val="24"/>
          <w:szCs w:val="24"/>
        </w:rPr>
        <w:t>Tribunal</w:t>
      </w:r>
      <w:r w:rsidRPr="008A3B86">
        <w:rPr>
          <w:rFonts w:ascii="Georgia" w:hAnsi="Georgia" w:cs="Arial"/>
          <w:sz w:val="24"/>
          <w:szCs w:val="24"/>
        </w:rPr>
        <w:t xml:space="preserve"> Hearing Centre Brighton on 13 August 2024. The </w:t>
      </w:r>
      <w:r w:rsidR="00817159">
        <w:rPr>
          <w:rFonts w:ascii="Georgia" w:hAnsi="Georgia" w:cs="Arial"/>
          <w:sz w:val="24"/>
          <w:szCs w:val="24"/>
        </w:rPr>
        <w:t>Applicant</w:t>
      </w:r>
      <w:r w:rsidRPr="008A3B86">
        <w:rPr>
          <w:rFonts w:ascii="Georgia" w:hAnsi="Georgia" w:cs="Arial"/>
          <w:sz w:val="24"/>
          <w:szCs w:val="24"/>
        </w:rPr>
        <w:t xml:space="preserve"> appeared in person </w:t>
      </w:r>
      <w:r w:rsidR="00126453" w:rsidRPr="008A3B86">
        <w:rPr>
          <w:rFonts w:ascii="Georgia" w:hAnsi="Georgia" w:cs="Arial"/>
          <w:sz w:val="24"/>
          <w:szCs w:val="24"/>
        </w:rPr>
        <w:t>and</w:t>
      </w:r>
      <w:r w:rsidRPr="008A3B86">
        <w:rPr>
          <w:rFonts w:ascii="Georgia" w:hAnsi="Georgia" w:cs="Arial"/>
          <w:sz w:val="24"/>
          <w:szCs w:val="24"/>
        </w:rPr>
        <w:t xml:space="preserve"> called witnesses. The </w:t>
      </w:r>
      <w:r w:rsidR="00817159">
        <w:rPr>
          <w:rFonts w:ascii="Georgia" w:hAnsi="Georgia" w:cs="Arial"/>
          <w:sz w:val="24"/>
          <w:szCs w:val="24"/>
        </w:rPr>
        <w:t>Respondent</w:t>
      </w:r>
      <w:r w:rsidRPr="008A3B86">
        <w:rPr>
          <w:rFonts w:ascii="Georgia" w:hAnsi="Georgia" w:cs="Arial"/>
          <w:sz w:val="24"/>
          <w:szCs w:val="24"/>
        </w:rPr>
        <w:t xml:space="preserve"> did not appear and </w:t>
      </w:r>
      <w:r w:rsidR="0073162C">
        <w:rPr>
          <w:rFonts w:ascii="Georgia" w:hAnsi="Georgia" w:cs="Arial"/>
          <w:sz w:val="24"/>
          <w:szCs w:val="24"/>
        </w:rPr>
        <w:t>w</w:t>
      </w:r>
      <w:r w:rsidRPr="008A3B86">
        <w:rPr>
          <w:rFonts w:ascii="Georgia" w:hAnsi="Georgia" w:cs="Arial"/>
          <w:sz w:val="24"/>
          <w:szCs w:val="24"/>
        </w:rPr>
        <w:t>as not repr</w:t>
      </w:r>
      <w:r w:rsidR="009F599A" w:rsidRPr="008A3B86">
        <w:rPr>
          <w:rFonts w:ascii="Georgia" w:hAnsi="Georgia" w:cs="Arial"/>
          <w:sz w:val="24"/>
          <w:szCs w:val="24"/>
        </w:rPr>
        <w:t>e</w:t>
      </w:r>
      <w:r w:rsidRPr="008A3B86">
        <w:rPr>
          <w:rFonts w:ascii="Georgia" w:hAnsi="Georgia" w:cs="Arial"/>
          <w:sz w:val="24"/>
          <w:szCs w:val="24"/>
        </w:rPr>
        <w:t xml:space="preserve">sented. </w:t>
      </w:r>
      <w:r w:rsidR="00BE6668">
        <w:rPr>
          <w:rFonts w:ascii="Georgia" w:hAnsi="Georgia" w:cs="Arial"/>
          <w:sz w:val="24"/>
          <w:szCs w:val="24"/>
        </w:rPr>
        <w:t xml:space="preserve">The Tribunal received a bundle of 660 pages. </w:t>
      </w:r>
    </w:p>
    <w:p w14:paraId="26F970D1" w14:textId="0AC4E93E" w:rsidR="00191EA2" w:rsidRPr="00191EA2" w:rsidRDefault="00191EA2" w:rsidP="00E35DC5">
      <w:pPr>
        <w:spacing w:after="160" w:line="259" w:lineRule="auto"/>
        <w:jc w:val="both"/>
        <w:rPr>
          <w:rFonts w:ascii="Georgia" w:hAnsi="Georgia" w:cs="Arial"/>
          <w:b/>
          <w:bCs/>
        </w:rPr>
      </w:pPr>
      <w:r w:rsidRPr="00191EA2">
        <w:rPr>
          <w:rFonts w:ascii="Georgia" w:hAnsi="Georgia" w:cs="Arial"/>
          <w:b/>
          <w:bCs/>
        </w:rPr>
        <w:t xml:space="preserve">No inspection </w:t>
      </w:r>
    </w:p>
    <w:p w14:paraId="63A2AE8C" w14:textId="77777777" w:rsidR="00191EA2" w:rsidRPr="00191EA2" w:rsidRDefault="00191EA2" w:rsidP="00E35DC5">
      <w:pPr>
        <w:ind w:left="66"/>
        <w:jc w:val="both"/>
        <w:rPr>
          <w:rFonts w:ascii="Georgia" w:hAnsi="Georgia" w:cs="Arial"/>
        </w:rPr>
      </w:pPr>
    </w:p>
    <w:p w14:paraId="5BB3F9E4" w14:textId="00C0A489" w:rsidR="00F130D2" w:rsidRDefault="008E53EE" w:rsidP="00E35DC5">
      <w:pPr>
        <w:pStyle w:val="ListParagraph"/>
        <w:numPr>
          <w:ilvl w:val="0"/>
          <w:numId w:val="27"/>
        </w:numPr>
        <w:jc w:val="both"/>
        <w:rPr>
          <w:rFonts w:ascii="Georgia" w:hAnsi="Georgia" w:cs="Arial"/>
          <w:sz w:val="24"/>
          <w:szCs w:val="24"/>
        </w:rPr>
      </w:pPr>
      <w:r>
        <w:rPr>
          <w:rFonts w:ascii="Georgia" w:hAnsi="Georgia" w:cs="Arial"/>
          <w:sz w:val="24"/>
          <w:szCs w:val="24"/>
        </w:rPr>
        <w:t xml:space="preserve">The Tribunal did not carry out an inspection </w:t>
      </w:r>
      <w:r w:rsidR="00191EA2">
        <w:rPr>
          <w:rFonts w:ascii="Georgia" w:hAnsi="Georgia" w:cs="Arial"/>
          <w:sz w:val="24"/>
          <w:szCs w:val="24"/>
        </w:rPr>
        <w:t xml:space="preserve">as there was photographic evidence in the bundle and it would not have been </w:t>
      </w:r>
      <w:proofErr w:type="gramStart"/>
      <w:r w:rsidR="00191EA2">
        <w:rPr>
          <w:rFonts w:ascii="Georgia" w:hAnsi="Georgia" w:cs="Arial"/>
          <w:sz w:val="24"/>
          <w:szCs w:val="24"/>
        </w:rPr>
        <w:t>proportionate</w:t>
      </w:r>
      <w:proofErr w:type="gramEnd"/>
      <w:r w:rsidR="00191EA2">
        <w:rPr>
          <w:rFonts w:ascii="Georgia" w:hAnsi="Georgia" w:cs="Arial"/>
          <w:sz w:val="24"/>
          <w:szCs w:val="24"/>
        </w:rPr>
        <w:t>.</w:t>
      </w:r>
    </w:p>
    <w:p w14:paraId="36A4FACF" w14:textId="77777777" w:rsidR="00191EA2" w:rsidRPr="00191EA2" w:rsidRDefault="00191EA2" w:rsidP="00191EA2">
      <w:pPr>
        <w:ind w:left="66"/>
        <w:rPr>
          <w:rFonts w:ascii="Georgia" w:hAnsi="Georgia" w:cs="Arial"/>
        </w:rPr>
      </w:pPr>
    </w:p>
    <w:p w14:paraId="19EE45EA" w14:textId="19E35034" w:rsidR="00F130D2" w:rsidRPr="008A3B86" w:rsidRDefault="00F130D2" w:rsidP="00F130D2">
      <w:pPr>
        <w:spacing w:after="160" w:line="259" w:lineRule="auto"/>
        <w:rPr>
          <w:rFonts w:ascii="Georgia" w:hAnsi="Georgia" w:cs="Arial"/>
          <w:b/>
          <w:bCs/>
        </w:rPr>
      </w:pPr>
      <w:r w:rsidRPr="008A3B86">
        <w:rPr>
          <w:rFonts w:ascii="Georgia" w:hAnsi="Georgia" w:cs="Arial"/>
          <w:b/>
          <w:bCs/>
        </w:rPr>
        <w:t>The Applicant</w:t>
      </w:r>
      <w:r w:rsidR="0073162C">
        <w:rPr>
          <w:rFonts w:ascii="Georgia" w:hAnsi="Georgia" w:cs="Arial"/>
          <w:b/>
          <w:bCs/>
        </w:rPr>
        <w:t>’</w:t>
      </w:r>
      <w:r w:rsidRPr="008A3B86">
        <w:rPr>
          <w:rFonts w:ascii="Georgia" w:hAnsi="Georgia" w:cs="Arial"/>
          <w:b/>
          <w:bCs/>
        </w:rPr>
        <w:t xml:space="preserve">s Case </w:t>
      </w:r>
    </w:p>
    <w:p w14:paraId="072FD35C" w14:textId="38D1C339" w:rsidR="009F599A" w:rsidRPr="008A3B86" w:rsidRDefault="00433B4C" w:rsidP="00E35DC5">
      <w:pPr>
        <w:pStyle w:val="ListParagraph"/>
        <w:numPr>
          <w:ilvl w:val="0"/>
          <w:numId w:val="27"/>
        </w:numPr>
        <w:jc w:val="both"/>
        <w:rPr>
          <w:rFonts w:ascii="Georgia" w:hAnsi="Georgia" w:cs="Arial"/>
          <w:sz w:val="24"/>
          <w:szCs w:val="24"/>
        </w:rPr>
      </w:pPr>
      <w:r w:rsidRPr="008A3B86">
        <w:rPr>
          <w:rFonts w:ascii="Georgia" w:hAnsi="Georgia" w:cs="Arial"/>
          <w:sz w:val="24"/>
          <w:szCs w:val="24"/>
        </w:rPr>
        <w:t>The Priory</w:t>
      </w:r>
      <w:r w:rsidR="0073162C">
        <w:rPr>
          <w:rFonts w:ascii="Georgia" w:hAnsi="Georgia" w:cs="Arial"/>
          <w:sz w:val="24"/>
          <w:szCs w:val="24"/>
        </w:rPr>
        <w:t>,</w:t>
      </w:r>
      <w:r w:rsidRPr="008A3B86">
        <w:rPr>
          <w:rFonts w:ascii="Georgia" w:hAnsi="Georgia" w:cs="Arial"/>
          <w:sz w:val="24"/>
          <w:szCs w:val="24"/>
        </w:rPr>
        <w:t xml:space="preserve"> Haywards Heath is a grade II listed building, which from 2019 was subject to </w:t>
      </w:r>
      <w:r w:rsidR="00126453" w:rsidRPr="008A3B86">
        <w:rPr>
          <w:rFonts w:ascii="Georgia" w:hAnsi="Georgia" w:cs="Arial"/>
          <w:sz w:val="24"/>
          <w:szCs w:val="24"/>
        </w:rPr>
        <w:t>redevelopment</w:t>
      </w:r>
      <w:r w:rsidRPr="008A3B86">
        <w:rPr>
          <w:rFonts w:ascii="Georgia" w:hAnsi="Georgia" w:cs="Arial"/>
          <w:sz w:val="24"/>
          <w:szCs w:val="24"/>
        </w:rPr>
        <w:t>. The</w:t>
      </w:r>
      <w:r w:rsidR="009F599A" w:rsidRPr="008A3B86">
        <w:rPr>
          <w:rFonts w:ascii="Georgia" w:hAnsi="Georgia" w:cs="Arial"/>
          <w:sz w:val="24"/>
          <w:szCs w:val="24"/>
        </w:rPr>
        <w:t>r</w:t>
      </w:r>
      <w:r w:rsidRPr="008A3B86">
        <w:rPr>
          <w:rFonts w:ascii="Georgia" w:hAnsi="Georgia" w:cs="Arial"/>
          <w:sz w:val="24"/>
          <w:szCs w:val="24"/>
        </w:rPr>
        <w:t xml:space="preserve">e are 55 flats. The </w:t>
      </w:r>
      <w:r w:rsidR="00817159">
        <w:rPr>
          <w:rFonts w:ascii="Georgia" w:hAnsi="Georgia" w:cs="Arial"/>
          <w:sz w:val="24"/>
          <w:szCs w:val="24"/>
        </w:rPr>
        <w:t>Applicant</w:t>
      </w:r>
      <w:r w:rsidRPr="008A3B86">
        <w:rPr>
          <w:rFonts w:ascii="Georgia" w:hAnsi="Georgia" w:cs="Arial"/>
          <w:sz w:val="24"/>
          <w:szCs w:val="24"/>
        </w:rPr>
        <w:t xml:space="preserve"> purchased flat 29 on 3 February 2020. This is on the second storey of a three-storey block. The </w:t>
      </w:r>
      <w:r w:rsidR="00817159">
        <w:rPr>
          <w:rFonts w:ascii="Georgia" w:hAnsi="Georgia" w:cs="Arial"/>
          <w:sz w:val="24"/>
          <w:szCs w:val="24"/>
        </w:rPr>
        <w:t>Respondent</w:t>
      </w:r>
      <w:r w:rsidRPr="008A3B86">
        <w:rPr>
          <w:rFonts w:ascii="Georgia" w:hAnsi="Georgia" w:cs="Arial"/>
          <w:sz w:val="24"/>
          <w:szCs w:val="24"/>
        </w:rPr>
        <w:t xml:space="preserve"> instructed </w:t>
      </w:r>
      <w:proofErr w:type="spellStart"/>
      <w:r w:rsidRPr="008A3B86">
        <w:rPr>
          <w:rFonts w:ascii="Georgia" w:hAnsi="Georgia" w:cs="Arial"/>
          <w:sz w:val="24"/>
          <w:szCs w:val="24"/>
        </w:rPr>
        <w:t>Fountayne</w:t>
      </w:r>
      <w:proofErr w:type="spellEnd"/>
      <w:r w:rsidRPr="008A3B86">
        <w:rPr>
          <w:rFonts w:ascii="Georgia" w:hAnsi="Georgia" w:cs="Arial"/>
          <w:sz w:val="24"/>
          <w:szCs w:val="24"/>
        </w:rPr>
        <w:t xml:space="preserve"> Managing Ltd as managin</w:t>
      </w:r>
      <w:r w:rsidR="00DC3A03" w:rsidRPr="008A3B86">
        <w:rPr>
          <w:rFonts w:ascii="Georgia" w:hAnsi="Georgia" w:cs="Arial"/>
          <w:sz w:val="24"/>
          <w:szCs w:val="24"/>
        </w:rPr>
        <w:t>g</w:t>
      </w:r>
      <w:r w:rsidRPr="008A3B86">
        <w:rPr>
          <w:rFonts w:ascii="Georgia" w:hAnsi="Georgia" w:cs="Arial"/>
          <w:sz w:val="24"/>
          <w:szCs w:val="24"/>
        </w:rPr>
        <w:t xml:space="preserve"> agent. On 22 November 2022 </w:t>
      </w:r>
      <w:proofErr w:type="spellStart"/>
      <w:r w:rsidRPr="008A3B86">
        <w:rPr>
          <w:rFonts w:ascii="Georgia" w:hAnsi="Georgia" w:cs="Arial"/>
          <w:sz w:val="24"/>
          <w:szCs w:val="24"/>
        </w:rPr>
        <w:t>Fountayne</w:t>
      </w:r>
      <w:proofErr w:type="spellEnd"/>
      <w:r w:rsidRPr="008A3B86">
        <w:rPr>
          <w:rFonts w:ascii="Georgia" w:hAnsi="Georgia" w:cs="Arial"/>
          <w:sz w:val="24"/>
          <w:szCs w:val="24"/>
        </w:rPr>
        <w:t xml:space="preserve"> Managing Ltd was expelled from the Property Redress </w:t>
      </w:r>
      <w:r w:rsidR="00B10937" w:rsidRPr="008A3B86">
        <w:rPr>
          <w:rFonts w:ascii="Georgia" w:hAnsi="Georgia" w:cs="Arial"/>
          <w:sz w:val="24"/>
          <w:szCs w:val="24"/>
        </w:rPr>
        <w:t>Scheme</w:t>
      </w:r>
      <w:r w:rsidR="00B70D64">
        <w:rPr>
          <w:rFonts w:ascii="Georgia" w:hAnsi="Georgia" w:cs="Arial"/>
          <w:sz w:val="24"/>
          <w:szCs w:val="24"/>
        </w:rPr>
        <w:t xml:space="preserve"> (“PRS”)</w:t>
      </w:r>
      <w:r w:rsidR="00B10937" w:rsidRPr="008A3B86">
        <w:rPr>
          <w:rFonts w:ascii="Georgia" w:hAnsi="Georgia" w:cs="Arial"/>
          <w:sz w:val="24"/>
          <w:szCs w:val="24"/>
        </w:rPr>
        <w:t>. They</w:t>
      </w:r>
      <w:r w:rsidRPr="008A3B86">
        <w:rPr>
          <w:rFonts w:ascii="Georgia" w:hAnsi="Georgia" w:cs="Arial"/>
          <w:sz w:val="24"/>
          <w:szCs w:val="24"/>
        </w:rPr>
        <w:t xml:space="preserve"> were reinstated on 13 June 2023</w:t>
      </w:r>
      <w:r w:rsidR="00092660" w:rsidRPr="008A3B86">
        <w:rPr>
          <w:rFonts w:ascii="Georgia" w:hAnsi="Georgia" w:cs="Arial"/>
          <w:sz w:val="24"/>
          <w:szCs w:val="24"/>
        </w:rPr>
        <w:t xml:space="preserve">. </w:t>
      </w:r>
      <w:r w:rsidR="006A2D16">
        <w:rPr>
          <w:rFonts w:ascii="Georgia" w:hAnsi="Georgia" w:cs="Arial"/>
          <w:sz w:val="24"/>
          <w:szCs w:val="24"/>
        </w:rPr>
        <w:t xml:space="preserve">During that </w:t>
      </w:r>
      <w:proofErr w:type="gramStart"/>
      <w:r w:rsidR="006A2D16">
        <w:rPr>
          <w:rFonts w:ascii="Georgia" w:hAnsi="Georgia" w:cs="Arial"/>
          <w:sz w:val="24"/>
          <w:szCs w:val="24"/>
        </w:rPr>
        <w:t>period</w:t>
      </w:r>
      <w:proofErr w:type="gramEnd"/>
      <w:r w:rsidR="006A2D16">
        <w:rPr>
          <w:rFonts w:ascii="Georgia" w:hAnsi="Georgia" w:cs="Arial"/>
          <w:sz w:val="24"/>
          <w:szCs w:val="24"/>
        </w:rPr>
        <w:t xml:space="preserve"> they were not enti</w:t>
      </w:r>
      <w:r w:rsidR="00B65EF5">
        <w:rPr>
          <w:rFonts w:ascii="Georgia" w:hAnsi="Georgia" w:cs="Arial"/>
          <w:sz w:val="24"/>
          <w:szCs w:val="24"/>
        </w:rPr>
        <w:t>tled to operate as managing agents.</w:t>
      </w:r>
    </w:p>
    <w:p w14:paraId="409016FD" w14:textId="77777777" w:rsidR="009F599A" w:rsidRPr="008A3B86" w:rsidRDefault="009F599A" w:rsidP="00E35DC5">
      <w:pPr>
        <w:jc w:val="both"/>
        <w:rPr>
          <w:rFonts w:ascii="Georgia" w:hAnsi="Georgia" w:cs="Arial"/>
        </w:rPr>
      </w:pPr>
    </w:p>
    <w:p w14:paraId="049CB457" w14:textId="711520D2" w:rsidR="00433B4C" w:rsidRPr="008A3B86" w:rsidRDefault="00092660" w:rsidP="00E35DC5">
      <w:pPr>
        <w:pStyle w:val="ListParagraph"/>
        <w:numPr>
          <w:ilvl w:val="0"/>
          <w:numId w:val="27"/>
        </w:numPr>
        <w:jc w:val="both"/>
        <w:rPr>
          <w:rFonts w:ascii="Georgia" w:hAnsi="Georgia" w:cs="Arial"/>
          <w:sz w:val="24"/>
          <w:szCs w:val="24"/>
        </w:rPr>
      </w:pPr>
      <w:r w:rsidRPr="008A3B86">
        <w:rPr>
          <w:rFonts w:ascii="Georgia" w:hAnsi="Georgia" w:cs="Arial"/>
          <w:sz w:val="24"/>
          <w:szCs w:val="24"/>
        </w:rPr>
        <w:t xml:space="preserve">The lessees exercised their Right to Manage with effect from 31 October 2023. </w:t>
      </w:r>
      <w:r w:rsidR="00433B4C" w:rsidRPr="008A3B86">
        <w:rPr>
          <w:rFonts w:ascii="Georgia" w:hAnsi="Georgia" w:cs="Arial"/>
          <w:sz w:val="24"/>
          <w:szCs w:val="24"/>
        </w:rPr>
        <w:t xml:space="preserve"> </w:t>
      </w:r>
      <w:r w:rsidRPr="008A3B86">
        <w:rPr>
          <w:rFonts w:ascii="Georgia" w:hAnsi="Georgia" w:cs="Arial"/>
          <w:sz w:val="24"/>
          <w:szCs w:val="24"/>
        </w:rPr>
        <w:t xml:space="preserve">There was no evidence that work was carried out in compliance with Covid restrictions. Invoices were not conclusive evidence that work was carried out. The </w:t>
      </w:r>
      <w:r w:rsidR="00817159">
        <w:rPr>
          <w:rFonts w:ascii="Georgia" w:hAnsi="Georgia" w:cs="Arial"/>
          <w:sz w:val="24"/>
          <w:szCs w:val="24"/>
        </w:rPr>
        <w:t>Respondent</w:t>
      </w:r>
      <w:r w:rsidRPr="008A3B86">
        <w:rPr>
          <w:rFonts w:ascii="Georgia" w:hAnsi="Georgia" w:cs="Arial"/>
          <w:sz w:val="24"/>
          <w:szCs w:val="24"/>
        </w:rPr>
        <w:t xml:space="preserve"> admitted that utility companies had not been paid on time. Building work was incomplete. The managing agent and </w:t>
      </w:r>
      <w:r w:rsidR="00817159">
        <w:rPr>
          <w:rFonts w:ascii="Georgia" w:hAnsi="Georgia" w:cs="Arial"/>
          <w:sz w:val="24"/>
          <w:szCs w:val="24"/>
        </w:rPr>
        <w:t>Respondent</w:t>
      </w:r>
      <w:r w:rsidRPr="008A3B86">
        <w:rPr>
          <w:rFonts w:ascii="Georgia" w:hAnsi="Georgia" w:cs="Arial"/>
          <w:sz w:val="24"/>
          <w:szCs w:val="24"/>
        </w:rPr>
        <w:t xml:space="preserve"> have both admitted that building insurance was not paid in 2023. </w:t>
      </w:r>
      <w:r w:rsidR="00DC3A03" w:rsidRPr="008A3B86">
        <w:rPr>
          <w:rFonts w:ascii="Georgia" w:hAnsi="Georgia" w:cs="Arial"/>
          <w:sz w:val="24"/>
          <w:szCs w:val="24"/>
        </w:rPr>
        <w:t>There is no evidence of a Fire Risk Assessment (“FRA”) having been completed. The agents have sent estimated and actual accounts for 2020, 2021, 2022 and estimated accounts for 2023 [441-461]</w:t>
      </w:r>
      <w:r w:rsidR="00224797">
        <w:rPr>
          <w:rStyle w:val="FootnoteReference"/>
          <w:rFonts w:ascii="Georgia" w:hAnsi="Georgia" w:cs="Arial"/>
          <w:sz w:val="24"/>
          <w:szCs w:val="24"/>
        </w:rPr>
        <w:footnoteReference w:id="1"/>
      </w:r>
      <w:r w:rsidR="00DC3A03" w:rsidRPr="008A3B86">
        <w:rPr>
          <w:rFonts w:ascii="Georgia" w:hAnsi="Georgia" w:cs="Arial"/>
          <w:sz w:val="24"/>
          <w:szCs w:val="24"/>
        </w:rPr>
        <w:t xml:space="preserve">. </w:t>
      </w:r>
      <w:r w:rsidR="00BB74C1" w:rsidRPr="008A3B86">
        <w:rPr>
          <w:rFonts w:ascii="Georgia" w:hAnsi="Georgia" w:cs="Arial"/>
          <w:sz w:val="24"/>
          <w:szCs w:val="24"/>
        </w:rPr>
        <w:t xml:space="preserve">There is no evidence of a sinking fund. The accounts have not been verified by an independent accountant and their </w:t>
      </w:r>
      <w:r w:rsidR="00B10937" w:rsidRPr="008A3B86">
        <w:rPr>
          <w:rFonts w:ascii="Georgia" w:hAnsi="Georgia" w:cs="Arial"/>
          <w:sz w:val="24"/>
          <w:szCs w:val="24"/>
        </w:rPr>
        <w:t>legitimacy</w:t>
      </w:r>
      <w:r w:rsidR="00BB74C1" w:rsidRPr="008A3B86">
        <w:rPr>
          <w:rFonts w:ascii="Georgia" w:hAnsi="Georgia" w:cs="Arial"/>
          <w:sz w:val="24"/>
          <w:szCs w:val="24"/>
        </w:rPr>
        <w:t xml:space="preserve"> is challenged. </w:t>
      </w:r>
    </w:p>
    <w:p w14:paraId="7AE2DFBA" w14:textId="77777777" w:rsidR="00B10937" w:rsidRPr="008A3B86" w:rsidRDefault="00B10937" w:rsidP="00B10937">
      <w:pPr>
        <w:pStyle w:val="ListParagraph"/>
        <w:rPr>
          <w:rFonts w:ascii="Georgia" w:hAnsi="Georgia" w:cs="Arial"/>
          <w:sz w:val="24"/>
          <w:szCs w:val="24"/>
        </w:rPr>
      </w:pPr>
    </w:p>
    <w:p w14:paraId="51046BBE" w14:textId="1556FC4F" w:rsidR="00BB74C1" w:rsidRPr="008A3B86" w:rsidRDefault="00BB74C1" w:rsidP="00E35DC5">
      <w:pPr>
        <w:pStyle w:val="ListParagraph"/>
        <w:numPr>
          <w:ilvl w:val="0"/>
          <w:numId w:val="27"/>
        </w:numPr>
        <w:jc w:val="both"/>
        <w:rPr>
          <w:rFonts w:ascii="Georgia" w:hAnsi="Georgia" w:cs="Arial"/>
          <w:sz w:val="24"/>
          <w:szCs w:val="24"/>
        </w:rPr>
      </w:pPr>
      <w:r w:rsidRPr="008A3B86">
        <w:rPr>
          <w:rFonts w:ascii="Georgia" w:hAnsi="Georgia" w:cs="Arial"/>
          <w:sz w:val="24"/>
          <w:szCs w:val="24"/>
        </w:rPr>
        <w:t xml:space="preserve">The </w:t>
      </w:r>
      <w:r w:rsidR="00817159">
        <w:rPr>
          <w:rFonts w:ascii="Georgia" w:hAnsi="Georgia" w:cs="Arial"/>
          <w:sz w:val="24"/>
          <w:szCs w:val="24"/>
        </w:rPr>
        <w:t>Applicant</w:t>
      </w:r>
      <w:r w:rsidRPr="008A3B86">
        <w:rPr>
          <w:rFonts w:ascii="Georgia" w:hAnsi="Georgia" w:cs="Arial"/>
          <w:sz w:val="24"/>
          <w:szCs w:val="24"/>
        </w:rPr>
        <w:t xml:space="preserve"> challenges the apportionment of costs at 2.18% for Flat 29. There should be an equal apportionment per property </w:t>
      </w:r>
      <w:r w:rsidR="00743AEA">
        <w:rPr>
          <w:rFonts w:ascii="Georgia" w:hAnsi="Georgia" w:cs="Arial"/>
          <w:sz w:val="24"/>
          <w:szCs w:val="24"/>
        </w:rPr>
        <w:t>(</w:t>
      </w:r>
      <w:r w:rsidRPr="008A3B86">
        <w:rPr>
          <w:rFonts w:ascii="Georgia" w:hAnsi="Georgia" w:cs="Arial"/>
          <w:sz w:val="24"/>
          <w:szCs w:val="24"/>
        </w:rPr>
        <w:t>1.812%</w:t>
      </w:r>
      <w:r w:rsidR="00743AEA">
        <w:rPr>
          <w:rFonts w:ascii="Georgia" w:hAnsi="Georgia" w:cs="Arial"/>
          <w:sz w:val="24"/>
          <w:szCs w:val="24"/>
        </w:rPr>
        <w:t>)</w:t>
      </w:r>
      <w:r w:rsidRPr="008A3B86">
        <w:rPr>
          <w:rFonts w:ascii="Georgia" w:hAnsi="Georgia" w:cs="Arial"/>
          <w:sz w:val="24"/>
          <w:szCs w:val="24"/>
        </w:rPr>
        <w:t xml:space="preserve">. </w:t>
      </w:r>
    </w:p>
    <w:p w14:paraId="33A515D2" w14:textId="77777777" w:rsidR="00B10937" w:rsidRPr="008A3B86" w:rsidRDefault="00B10937" w:rsidP="00E35DC5">
      <w:pPr>
        <w:pStyle w:val="ListParagraph"/>
        <w:jc w:val="both"/>
        <w:rPr>
          <w:rFonts w:ascii="Georgia" w:hAnsi="Georgia" w:cs="Arial"/>
          <w:sz w:val="24"/>
          <w:szCs w:val="24"/>
        </w:rPr>
      </w:pPr>
    </w:p>
    <w:p w14:paraId="6025D21C" w14:textId="1874E41F" w:rsidR="00BB74C1" w:rsidRPr="008A3B86" w:rsidRDefault="00BB74C1" w:rsidP="00E35DC5">
      <w:pPr>
        <w:pStyle w:val="ListParagraph"/>
        <w:numPr>
          <w:ilvl w:val="0"/>
          <w:numId w:val="27"/>
        </w:numPr>
        <w:jc w:val="both"/>
        <w:rPr>
          <w:rFonts w:ascii="Georgia" w:hAnsi="Georgia" w:cs="Arial"/>
          <w:sz w:val="24"/>
          <w:szCs w:val="24"/>
        </w:rPr>
      </w:pPr>
      <w:r w:rsidRPr="008A3B86">
        <w:rPr>
          <w:rFonts w:ascii="Georgia" w:hAnsi="Georgia" w:cs="Arial"/>
          <w:sz w:val="24"/>
          <w:szCs w:val="24"/>
        </w:rPr>
        <w:lastRenderedPageBreak/>
        <w:t xml:space="preserve">The </w:t>
      </w:r>
      <w:r w:rsidR="00817159">
        <w:rPr>
          <w:rFonts w:ascii="Georgia" w:hAnsi="Georgia" w:cs="Arial"/>
          <w:sz w:val="24"/>
          <w:szCs w:val="24"/>
        </w:rPr>
        <w:t>Applicant</w:t>
      </w:r>
      <w:r w:rsidRPr="008A3B86">
        <w:rPr>
          <w:rFonts w:ascii="Georgia" w:hAnsi="Georgia" w:cs="Arial"/>
          <w:sz w:val="24"/>
          <w:szCs w:val="24"/>
        </w:rPr>
        <w:t xml:space="preserve"> was entitled to withhold </w:t>
      </w:r>
      <w:r w:rsidR="00B10937" w:rsidRPr="008A3B86">
        <w:rPr>
          <w:rFonts w:ascii="Georgia" w:hAnsi="Georgia" w:cs="Arial"/>
          <w:sz w:val="24"/>
          <w:szCs w:val="24"/>
        </w:rPr>
        <w:t>payment</w:t>
      </w:r>
      <w:r w:rsidRPr="008A3B86">
        <w:rPr>
          <w:rFonts w:ascii="Georgia" w:hAnsi="Georgia" w:cs="Arial"/>
          <w:sz w:val="24"/>
          <w:szCs w:val="24"/>
        </w:rPr>
        <w:t xml:space="preserve"> of services charges and </w:t>
      </w:r>
      <w:r w:rsidR="00B10937" w:rsidRPr="008A3B86">
        <w:rPr>
          <w:rFonts w:ascii="Georgia" w:hAnsi="Georgia" w:cs="Arial"/>
          <w:sz w:val="24"/>
          <w:szCs w:val="24"/>
        </w:rPr>
        <w:t>administration</w:t>
      </w:r>
      <w:r w:rsidRPr="008A3B86">
        <w:rPr>
          <w:rFonts w:ascii="Georgia" w:hAnsi="Georgia" w:cs="Arial"/>
          <w:sz w:val="24"/>
          <w:szCs w:val="24"/>
        </w:rPr>
        <w:t xml:space="preserve"> charges for late payment should be disallowed by the tribunal. </w:t>
      </w:r>
    </w:p>
    <w:p w14:paraId="4ECEB394" w14:textId="77777777" w:rsidR="00B10937" w:rsidRPr="008A3B86" w:rsidRDefault="00B10937" w:rsidP="00E35DC5">
      <w:pPr>
        <w:pStyle w:val="ListParagraph"/>
        <w:jc w:val="both"/>
        <w:rPr>
          <w:rFonts w:ascii="Georgia" w:hAnsi="Georgia" w:cs="Arial"/>
          <w:sz w:val="24"/>
          <w:szCs w:val="24"/>
        </w:rPr>
      </w:pPr>
    </w:p>
    <w:p w14:paraId="63E51832" w14:textId="20AF542D" w:rsidR="00FB5892" w:rsidRPr="008A3B86" w:rsidRDefault="00BB74C1" w:rsidP="00E35DC5">
      <w:pPr>
        <w:pStyle w:val="ListParagraph"/>
        <w:numPr>
          <w:ilvl w:val="0"/>
          <w:numId w:val="27"/>
        </w:numPr>
        <w:jc w:val="both"/>
        <w:rPr>
          <w:rFonts w:ascii="Georgia" w:hAnsi="Georgia" w:cs="Arial"/>
          <w:sz w:val="24"/>
          <w:szCs w:val="24"/>
        </w:rPr>
      </w:pPr>
      <w:r w:rsidRPr="008A3B86">
        <w:rPr>
          <w:rFonts w:ascii="Georgia" w:hAnsi="Georgia" w:cs="Arial"/>
          <w:sz w:val="24"/>
          <w:szCs w:val="24"/>
        </w:rPr>
        <w:t xml:space="preserve">The </w:t>
      </w:r>
      <w:r w:rsidR="00817159">
        <w:rPr>
          <w:rFonts w:ascii="Georgia" w:hAnsi="Georgia" w:cs="Arial"/>
          <w:sz w:val="24"/>
          <w:szCs w:val="24"/>
        </w:rPr>
        <w:t>Applicant</w:t>
      </w:r>
      <w:r w:rsidRPr="008A3B86">
        <w:rPr>
          <w:rFonts w:ascii="Georgia" w:hAnsi="Georgia" w:cs="Arial"/>
          <w:sz w:val="24"/>
          <w:szCs w:val="24"/>
        </w:rPr>
        <w:t xml:space="preserve"> provided a witness statement and gave evidence</w:t>
      </w:r>
      <w:r w:rsidR="00FB5892" w:rsidRPr="008A3B86">
        <w:rPr>
          <w:rFonts w:ascii="Georgia" w:hAnsi="Georgia" w:cs="Arial"/>
          <w:sz w:val="24"/>
          <w:szCs w:val="24"/>
        </w:rPr>
        <w:t>, confirming his position as set out above. He also confirmed to the Tribunal that the property comprised a variety of flat sizes fr</w:t>
      </w:r>
      <w:r w:rsidR="00743AEA">
        <w:rPr>
          <w:rFonts w:ascii="Georgia" w:hAnsi="Georgia" w:cs="Arial"/>
          <w:sz w:val="24"/>
          <w:szCs w:val="24"/>
        </w:rPr>
        <w:t>o</w:t>
      </w:r>
      <w:r w:rsidR="00FB5892" w:rsidRPr="008A3B86">
        <w:rPr>
          <w:rFonts w:ascii="Georgia" w:hAnsi="Georgia" w:cs="Arial"/>
          <w:sz w:val="24"/>
          <w:szCs w:val="24"/>
        </w:rPr>
        <w:t xml:space="preserve">m studios to </w:t>
      </w:r>
      <w:r w:rsidR="00B10937" w:rsidRPr="008A3B86">
        <w:rPr>
          <w:rFonts w:ascii="Georgia" w:hAnsi="Georgia" w:cs="Arial"/>
          <w:sz w:val="24"/>
          <w:szCs w:val="24"/>
        </w:rPr>
        <w:t>three</w:t>
      </w:r>
      <w:r w:rsidR="00FB5892" w:rsidRPr="008A3B86">
        <w:rPr>
          <w:rFonts w:ascii="Georgia" w:hAnsi="Georgia" w:cs="Arial"/>
          <w:sz w:val="24"/>
          <w:szCs w:val="24"/>
        </w:rPr>
        <w:t xml:space="preserve"> bedroomed</w:t>
      </w:r>
      <w:r w:rsidRPr="008A3B86">
        <w:rPr>
          <w:rFonts w:ascii="Georgia" w:hAnsi="Georgia" w:cs="Arial"/>
          <w:sz w:val="24"/>
          <w:szCs w:val="24"/>
        </w:rPr>
        <w:t xml:space="preserve">. </w:t>
      </w:r>
    </w:p>
    <w:p w14:paraId="22A47A6A" w14:textId="77777777" w:rsidR="00B10937" w:rsidRPr="008A3B86" w:rsidRDefault="00B10937" w:rsidP="00E35DC5">
      <w:pPr>
        <w:pStyle w:val="ListParagraph"/>
        <w:jc w:val="both"/>
        <w:rPr>
          <w:rFonts w:ascii="Georgia" w:hAnsi="Georgia" w:cs="Arial"/>
          <w:sz w:val="24"/>
          <w:szCs w:val="24"/>
        </w:rPr>
      </w:pPr>
    </w:p>
    <w:p w14:paraId="625584BE" w14:textId="2081F487" w:rsidR="00BB74C1" w:rsidRPr="008A3B86" w:rsidRDefault="008E53EE" w:rsidP="00E35DC5">
      <w:pPr>
        <w:pStyle w:val="ListParagraph"/>
        <w:numPr>
          <w:ilvl w:val="0"/>
          <w:numId w:val="27"/>
        </w:numPr>
        <w:jc w:val="both"/>
        <w:rPr>
          <w:rFonts w:ascii="Georgia" w:hAnsi="Georgia" w:cs="Arial"/>
          <w:sz w:val="24"/>
          <w:szCs w:val="24"/>
        </w:rPr>
      </w:pPr>
      <w:r>
        <w:rPr>
          <w:rFonts w:ascii="Georgia" w:hAnsi="Georgia" w:cs="Arial"/>
          <w:sz w:val="24"/>
          <w:szCs w:val="24"/>
        </w:rPr>
        <w:t xml:space="preserve">Mr </w:t>
      </w:r>
      <w:r w:rsidR="00F347F9">
        <w:rPr>
          <w:rFonts w:ascii="Georgia" w:hAnsi="Georgia" w:cs="Arial"/>
          <w:sz w:val="24"/>
          <w:szCs w:val="24"/>
        </w:rPr>
        <w:t>McNamara</w:t>
      </w:r>
      <w:r>
        <w:rPr>
          <w:rFonts w:ascii="Georgia" w:hAnsi="Georgia" w:cs="Arial"/>
          <w:sz w:val="24"/>
          <w:szCs w:val="24"/>
        </w:rPr>
        <w:t xml:space="preserve"> </w:t>
      </w:r>
      <w:r w:rsidR="00BB74C1" w:rsidRPr="008A3B86">
        <w:rPr>
          <w:rFonts w:ascii="Georgia" w:hAnsi="Georgia" w:cs="Arial"/>
          <w:sz w:val="24"/>
          <w:szCs w:val="24"/>
        </w:rPr>
        <w:t xml:space="preserve">called </w:t>
      </w:r>
      <w:r w:rsidR="00B10937" w:rsidRPr="008A3B86">
        <w:rPr>
          <w:rFonts w:ascii="Georgia" w:hAnsi="Georgia" w:cs="Arial"/>
          <w:sz w:val="24"/>
          <w:szCs w:val="24"/>
        </w:rPr>
        <w:t xml:space="preserve">Ms </w:t>
      </w:r>
      <w:r w:rsidR="00BB74C1" w:rsidRPr="008A3B86">
        <w:rPr>
          <w:rFonts w:ascii="Georgia" w:hAnsi="Georgia" w:cs="Arial"/>
          <w:sz w:val="24"/>
          <w:szCs w:val="24"/>
        </w:rPr>
        <w:t xml:space="preserve">Helen Ash, </w:t>
      </w:r>
      <w:r w:rsidR="00B10937" w:rsidRPr="008A3B86">
        <w:rPr>
          <w:rFonts w:ascii="Georgia" w:hAnsi="Georgia" w:cs="Arial"/>
          <w:sz w:val="24"/>
          <w:szCs w:val="24"/>
        </w:rPr>
        <w:t xml:space="preserve">Mr </w:t>
      </w:r>
      <w:r w:rsidR="00BB74C1" w:rsidRPr="008A3B86">
        <w:rPr>
          <w:rFonts w:ascii="Georgia" w:hAnsi="Georgia" w:cs="Arial"/>
          <w:sz w:val="24"/>
          <w:szCs w:val="24"/>
        </w:rPr>
        <w:t xml:space="preserve">Giles Panton </w:t>
      </w:r>
      <w:r w:rsidR="00B10937" w:rsidRPr="008A3B86">
        <w:rPr>
          <w:rFonts w:ascii="Georgia" w:hAnsi="Georgia" w:cs="Arial"/>
          <w:sz w:val="24"/>
          <w:szCs w:val="24"/>
        </w:rPr>
        <w:t>a</w:t>
      </w:r>
      <w:r w:rsidR="00BB74C1" w:rsidRPr="008A3B86">
        <w:rPr>
          <w:rFonts w:ascii="Georgia" w:hAnsi="Georgia" w:cs="Arial"/>
          <w:sz w:val="24"/>
          <w:szCs w:val="24"/>
        </w:rPr>
        <w:t xml:space="preserve">nd </w:t>
      </w:r>
      <w:r w:rsidR="00B10937" w:rsidRPr="008A3B86">
        <w:rPr>
          <w:rFonts w:ascii="Georgia" w:hAnsi="Georgia" w:cs="Arial"/>
          <w:sz w:val="24"/>
          <w:szCs w:val="24"/>
        </w:rPr>
        <w:t xml:space="preserve">Mr </w:t>
      </w:r>
      <w:r w:rsidR="00BB74C1" w:rsidRPr="008A3B86">
        <w:rPr>
          <w:rFonts w:ascii="Georgia" w:hAnsi="Georgia" w:cs="Arial"/>
          <w:sz w:val="24"/>
          <w:szCs w:val="24"/>
        </w:rPr>
        <w:t xml:space="preserve">Paul Fergusson as witnesses. </w:t>
      </w:r>
      <w:r>
        <w:rPr>
          <w:rFonts w:ascii="Georgia" w:hAnsi="Georgia" w:cs="Arial"/>
          <w:sz w:val="24"/>
          <w:szCs w:val="24"/>
        </w:rPr>
        <w:t xml:space="preserve">All had served witness statements. </w:t>
      </w:r>
      <w:r w:rsidR="00BB74C1" w:rsidRPr="008A3B86">
        <w:rPr>
          <w:rFonts w:ascii="Georgia" w:hAnsi="Georgia" w:cs="Arial"/>
          <w:sz w:val="24"/>
          <w:szCs w:val="24"/>
        </w:rPr>
        <w:t xml:space="preserve">Ms Ash </w:t>
      </w:r>
      <w:r w:rsidR="007A1CF0" w:rsidRPr="008A3B86">
        <w:rPr>
          <w:rFonts w:ascii="Georgia" w:hAnsi="Georgia" w:cs="Arial"/>
          <w:sz w:val="24"/>
          <w:szCs w:val="24"/>
        </w:rPr>
        <w:t xml:space="preserve">owned and let out </w:t>
      </w:r>
      <w:proofErr w:type="gramStart"/>
      <w:r w:rsidR="007A1CF0" w:rsidRPr="008A3B86">
        <w:rPr>
          <w:rFonts w:ascii="Georgia" w:hAnsi="Georgia" w:cs="Arial"/>
          <w:sz w:val="24"/>
          <w:szCs w:val="24"/>
        </w:rPr>
        <w:t>flats  32</w:t>
      </w:r>
      <w:proofErr w:type="gramEnd"/>
      <w:r w:rsidR="007A1CF0" w:rsidRPr="008A3B86">
        <w:rPr>
          <w:rFonts w:ascii="Georgia" w:hAnsi="Georgia" w:cs="Arial"/>
          <w:sz w:val="24"/>
          <w:szCs w:val="24"/>
        </w:rPr>
        <w:t xml:space="preserve"> and 40</w:t>
      </w:r>
      <w:r w:rsidR="007A1CF0">
        <w:rPr>
          <w:rFonts w:ascii="Georgia" w:hAnsi="Georgia" w:cs="Arial"/>
          <w:sz w:val="24"/>
          <w:szCs w:val="24"/>
        </w:rPr>
        <w:t xml:space="preserve">. Her </w:t>
      </w:r>
      <w:r w:rsidR="00BB74C1" w:rsidRPr="008A3B86">
        <w:rPr>
          <w:rFonts w:ascii="Georgia" w:hAnsi="Georgia" w:cs="Arial"/>
          <w:sz w:val="24"/>
          <w:szCs w:val="24"/>
        </w:rPr>
        <w:t>evidence was that cleaning and gardening was not being carried out. She followed up complaints from her tenants. Mr Panton</w:t>
      </w:r>
      <w:r w:rsidR="007A1CF0">
        <w:rPr>
          <w:rFonts w:ascii="Georgia" w:hAnsi="Georgia" w:cs="Arial"/>
          <w:sz w:val="24"/>
          <w:szCs w:val="24"/>
        </w:rPr>
        <w:t xml:space="preserve"> is the lessee of flat 44. His </w:t>
      </w:r>
      <w:r w:rsidR="00BB74C1" w:rsidRPr="008A3B86">
        <w:rPr>
          <w:rFonts w:ascii="Georgia" w:hAnsi="Georgia" w:cs="Arial"/>
          <w:sz w:val="24"/>
          <w:szCs w:val="24"/>
        </w:rPr>
        <w:t xml:space="preserve">evidence </w:t>
      </w:r>
      <w:r w:rsidR="00B10937" w:rsidRPr="008A3B86">
        <w:rPr>
          <w:rFonts w:ascii="Georgia" w:hAnsi="Georgia" w:cs="Arial"/>
          <w:sz w:val="24"/>
          <w:szCs w:val="24"/>
        </w:rPr>
        <w:t xml:space="preserve">was </w:t>
      </w:r>
      <w:r w:rsidR="00BB74C1" w:rsidRPr="008A3B86">
        <w:rPr>
          <w:rFonts w:ascii="Georgia" w:hAnsi="Georgia" w:cs="Arial"/>
          <w:sz w:val="24"/>
          <w:szCs w:val="24"/>
        </w:rPr>
        <w:t xml:space="preserve">that he had been living at the property </w:t>
      </w:r>
      <w:r w:rsidR="00B10937" w:rsidRPr="008A3B86">
        <w:rPr>
          <w:rFonts w:ascii="Georgia" w:hAnsi="Georgia" w:cs="Arial"/>
          <w:sz w:val="24"/>
          <w:szCs w:val="24"/>
        </w:rPr>
        <w:t>since</w:t>
      </w:r>
      <w:r w:rsidR="00BB74C1" w:rsidRPr="008A3B86">
        <w:rPr>
          <w:rFonts w:ascii="Georgia" w:hAnsi="Georgia" w:cs="Arial"/>
          <w:sz w:val="24"/>
          <w:szCs w:val="24"/>
        </w:rPr>
        <w:t xml:space="preserve"> December 2021 and had never seen a gardener or </w:t>
      </w:r>
      <w:r w:rsidR="00B10937" w:rsidRPr="008A3B86">
        <w:rPr>
          <w:rFonts w:ascii="Georgia" w:hAnsi="Georgia" w:cs="Arial"/>
          <w:sz w:val="24"/>
          <w:szCs w:val="24"/>
        </w:rPr>
        <w:t>window</w:t>
      </w:r>
      <w:r w:rsidR="00BB74C1" w:rsidRPr="008A3B86">
        <w:rPr>
          <w:rFonts w:ascii="Georgia" w:hAnsi="Georgia" w:cs="Arial"/>
          <w:sz w:val="24"/>
          <w:szCs w:val="24"/>
        </w:rPr>
        <w:t xml:space="preserve"> cleaner. The property was a mess. When he arrived, the property was still under construction which was not </w:t>
      </w:r>
      <w:r w:rsidR="00B10937" w:rsidRPr="008A3B86">
        <w:rPr>
          <w:rFonts w:ascii="Georgia" w:hAnsi="Georgia" w:cs="Arial"/>
          <w:sz w:val="24"/>
          <w:szCs w:val="24"/>
        </w:rPr>
        <w:t>completed</w:t>
      </w:r>
      <w:r w:rsidR="00BB74C1" w:rsidRPr="008A3B86">
        <w:rPr>
          <w:rFonts w:ascii="Georgia" w:hAnsi="Georgia" w:cs="Arial"/>
          <w:sz w:val="24"/>
          <w:szCs w:val="24"/>
        </w:rPr>
        <w:t xml:space="preserve"> until January 2023. There was no garden on the Chapel side until mid-2023. There was no cleaning on the Chapel side for eight months after he moved in. </w:t>
      </w:r>
      <w:r w:rsidR="00FF2DC5" w:rsidRPr="008A3B86">
        <w:rPr>
          <w:rFonts w:ascii="Georgia" w:hAnsi="Georgia" w:cs="Arial"/>
          <w:sz w:val="24"/>
          <w:szCs w:val="24"/>
        </w:rPr>
        <w:t>Mr Ferguson</w:t>
      </w:r>
      <w:r w:rsidR="00B518A9">
        <w:rPr>
          <w:rFonts w:ascii="Georgia" w:hAnsi="Georgia" w:cs="Arial"/>
          <w:sz w:val="24"/>
          <w:szCs w:val="24"/>
        </w:rPr>
        <w:t xml:space="preserve"> is the lessee of </w:t>
      </w:r>
      <w:r w:rsidR="00FA414D">
        <w:rPr>
          <w:rFonts w:ascii="Georgia" w:hAnsi="Georgia" w:cs="Arial"/>
          <w:sz w:val="24"/>
          <w:szCs w:val="24"/>
        </w:rPr>
        <w:t>Flat 31. Hi</w:t>
      </w:r>
      <w:r w:rsidR="007A1CF0">
        <w:rPr>
          <w:rFonts w:ascii="Georgia" w:hAnsi="Georgia" w:cs="Arial"/>
          <w:sz w:val="24"/>
          <w:szCs w:val="24"/>
        </w:rPr>
        <w:t>s</w:t>
      </w:r>
      <w:r w:rsidR="00FF2DC5" w:rsidRPr="008A3B86">
        <w:rPr>
          <w:rFonts w:ascii="Georgia" w:hAnsi="Georgia" w:cs="Arial"/>
          <w:sz w:val="24"/>
          <w:szCs w:val="24"/>
        </w:rPr>
        <w:t xml:space="preserve"> evidence </w:t>
      </w:r>
      <w:r w:rsidR="00FB5892" w:rsidRPr="008A3B86">
        <w:rPr>
          <w:rFonts w:ascii="Georgia" w:hAnsi="Georgia" w:cs="Arial"/>
          <w:sz w:val="24"/>
          <w:szCs w:val="24"/>
        </w:rPr>
        <w:t xml:space="preserve">was that communal cleaning was minimal with </w:t>
      </w:r>
      <w:r w:rsidR="00B10937" w:rsidRPr="008A3B86">
        <w:rPr>
          <w:rFonts w:ascii="Georgia" w:hAnsi="Georgia" w:cs="Arial"/>
          <w:sz w:val="24"/>
          <w:szCs w:val="24"/>
        </w:rPr>
        <w:t>biweekly</w:t>
      </w:r>
      <w:r w:rsidR="00FB5892" w:rsidRPr="008A3B86">
        <w:rPr>
          <w:rFonts w:ascii="Georgia" w:hAnsi="Georgia" w:cs="Arial"/>
          <w:sz w:val="24"/>
          <w:szCs w:val="24"/>
        </w:rPr>
        <w:t xml:space="preserve"> vacuum cleaning in his block. There was a rota </w:t>
      </w:r>
      <w:r w:rsidR="00B10937" w:rsidRPr="008A3B86">
        <w:rPr>
          <w:rFonts w:ascii="Georgia" w:hAnsi="Georgia" w:cs="Arial"/>
          <w:sz w:val="24"/>
          <w:szCs w:val="24"/>
        </w:rPr>
        <w:t>signing</w:t>
      </w:r>
      <w:r w:rsidR="00FB5892" w:rsidRPr="008A3B86">
        <w:rPr>
          <w:rFonts w:ascii="Georgia" w:hAnsi="Georgia" w:cs="Arial"/>
          <w:sz w:val="24"/>
          <w:szCs w:val="24"/>
        </w:rPr>
        <w:t xml:space="preserve"> </w:t>
      </w:r>
      <w:r w:rsidR="00350AF6" w:rsidRPr="008A3B86">
        <w:rPr>
          <w:rFonts w:ascii="Georgia" w:hAnsi="Georgia" w:cs="Arial"/>
          <w:sz w:val="24"/>
          <w:szCs w:val="24"/>
        </w:rPr>
        <w:t>sheet,</w:t>
      </w:r>
      <w:r w:rsidR="00FB5892" w:rsidRPr="008A3B86">
        <w:rPr>
          <w:rFonts w:ascii="Georgia" w:hAnsi="Georgia" w:cs="Arial"/>
          <w:sz w:val="24"/>
          <w:szCs w:val="24"/>
        </w:rPr>
        <w:t xml:space="preserve"> but work was superficial. In late summer 2020 the courtyard garden was completed. Unfinished sections of the Priory still required gardens to be constructed. Residents</w:t>
      </w:r>
      <w:r w:rsidR="00B10937" w:rsidRPr="008A3B86">
        <w:rPr>
          <w:rFonts w:ascii="Georgia" w:hAnsi="Georgia" w:cs="Arial"/>
          <w:sz w:val="24"/>
          <w:szCs w:val="24"/>
        </w:rPr>
        <w:t>’</w:t>
      </w:r>
      <w:r w:rsidR="00FB5892" w:rsidRPr="008A3B86">
        <w:rPr>
          <w:rFonts w:ascii="Georgia" w:hAnsi="Georgia" w:cs="Arial"/>
          <w:sz w:val="24"/>
          <w:szCs w:val="24"/>
        </w:rPr>
        <w:t xml:space="preserve"> service charges were then used to pay for these gardening costs. </w:t>
      </w:r>
      <w:r w:rsidR="00B10937" w:rsidRPr="008A3B86">
        <w:rPr>
          <w:rFonts w:ascii="Georgia" w:hAnsi="Georgia" w:cs="Arial"/>
          <w:sz w:val="24"/>
          <w:szCs w:val="24"/>
        </w:rPr>
        <w:t>Thereafter</w:t>
      </w:r>
      <w:r w:rsidR="00FB5892" w:rsidRPr="008A3B86">
        <w:rPr>
          <w:rFonts w:ascii="Georgia" w:hAnsi="Georgia" w:cs="Arial"/>
          <w:sz w:val="24"/>
          <w:szCs w:val="24"/>
        </w:rPr>
        <w:t xml:space="preserve"> there was only </w:t>
      </w:r>
      <w:r w:rsidR="00B10937" w:rsidRPr="008A3B86">
        <w:rPr>
          <w:rFonts w:ascii="Georgia" w:hAnsi="Georgia" w:cs="Arial"/>
          <w:sz w:val="24"/>
          <w:szCs w:val="24"/>
        </w:rPr>
        <w:t>sporadic</w:t>
      </w:r>
      <w:r w:rsidR="00FB5892" w:rsidRPr="008A3B86">
        <w:rPr>
          <w:rFonts w:ascii="Georgia" w:hAnsi="Georgia" w:cs="Arial"/>
          <w:sz w:val="24"/>
          <w:szCs w:val="24"/>
        </w:rPr>
        <w:t xml:space="preserve"> gardening. The gardening charges were excessive. </w:t>
      </w:r>
      <w:proofErr w:type="spellStart"/>
      <w:r w:rsidR="00FB5892" w:rsidRPr="008A3B86">
        <w:rPr>
          <w:rFonts w:ascii="Georgia" w:hAnsi="Georgia" w:cs="Arial"/>
          <w:sz w:val="24"/>
          <w:szCs w:val="24"/>
        </w:rPr>
        <w:t>Fountayne</w:t>
      </w:r>
      <w:proofErr w:type="spellEnd"/>
      <w:r w:rsidR="00FB5892" w:rsidRPr="008A3B86">
        <w:rPr>
          <w:rFonts w:ascii="Georgia" w:hAnsi="Georgia" w:cs="Arial"/>
          <w:sz w:val="24"/>
          <w:szCs w:val="24"/>
        </w:rPr>
        <w:t xml:space="preserve"> failed to provide evidence of visits. </w:t>
      </w:r>
      <w:r w:rsidR="00B10937" w:rsidRPr="008A3B86">
        <w:rPr>
          <w:rFonts w:ascii="Georgia" w:hAnsi="Georgia" w:cs="Arial"/>
          <w:sz w:val="24"/>
          <w:szCs w:val="24"/>
        </w:rPr>
        <w:t>There</w:t>
      </w:r>
      <w:r w:rsidR="00FB5892" w:rsidRPr="008A3B86">
        <w:rPr>
          <w:rFonts w:ascii="Georgia" w:hAnsi="Georgia" w:cs="Arial"/>
          <w:sz w:val="24"/>
          <w:szCs w:val="24"/>
        </w:rPr>
        <w:t xml:space="preserve"> was evidence of rodent infestation caused by </w:t>
      </w:r>
      <w:r w:rsidR="00B10937" w:rsidRPr="008A3B86">
        <w:rPr>
          <w:rFonts w:ascii="Georgia" w:hAnsi="Georgia" w:cs="Arial"/>
          <w:sz w:val="24"/>
          <w:szCs w:val="24"/>
        </w:rPr>
        <w:t>poor</w:t>
      </w:r>
      <w:r w:rsidR="00FB5892" w:rsidRPr="008A3B86">
        <w:rPr>
          <w:rFonts w:ascii="Georgia" w:hAnsi="Georgia" w:cs="Arial"/>
          <w:sz w:val="24"/>
          <w:szCs w:val="24"/>
        </w:rPr>
        <w:t xml:space="preserve"> construction of the development. Window cleaning was sporadic and carried out without notice</w:t>
      </w:r>
      <w:r w:rsidR="00B10937" w:rsidRPr="008A3B86">
        <w:rPr>
          <w:rFonts w:ascii="Georgia" w:hAnsi="Georgia" w:cs="Arial"/>
          <w:sz w:val="24"/>
          <w:szCs w:val="24"/>
        </w:rPr>
        <w:t>,</w:t>
      </w:r>
      <w:r w:rsidR="00FB5892" w:rsidRPr="008A3B86">
        <w:rPr>
          <w:rFonts w:ascii="Georgia" w:hAnsi="Georgia" w:cs="Arial"/>
          <w:sz w:val="24"/>
          <w:szCs w:val="24"/>
        </w:rPr>
        <w:t xml:space="preserve"> leading to water ingress via open window</w:t>
      </w:r>
      <w:r w:rsidR="00B10937" w:rsidRPr="008A3B86">
        <w:rPr>
          <w:rFonts w:ascii="Georgia" w:hAnsi="Georgia" w:cs="Arial"/>
          <w:sz w:val="24"/>
          <w:szCs w:val="24"/>
        </w:rPr>
        <w:t>s</w:t>
      </w:r>
      <w:r w:rsidR="00FB5892" w:rsidRPr="008A3B86">
        <w:rPr>
          <w:rFonts w:ascii="Georgia" w:hAnsi="Georgia" w:cs="Arial"/>
          <w:sz w:val="24"/>
          <w:szCs w:val="24"/>
        </w:rPr>
        <w:t>. As to general maintenance there was an unfinished small car park and a lack of recycling bins. There was no sinking fund provision.</w:t>
      </w:r>
    </w:p>
    <w:p w14:paraId="1035A04B" w14:textId="77777777" w:rsidR="00F130D2" w:rsidRPr="008A3B86" w:rsidRDefault="00F130D2" w:rsidP="00E35DC5">
      <w:pPr>
        <w:spacing w:after="160" w:line="259" w:lineRule="auto"/>
        <w:jc w:val="both"/>
        <w:rPr>
          <w:rFonts w:ascii="Georgia" w:hAnsi="Georgia" w:cs="Arial"/>
        </w:rPr>
      </w:pPr>
    </w:p>
    <w:p w14:paraId="349539C6" w14:textId="6EAA66B2" w:rsidR="00F130D2" w:rsidRPr="008A3B86" w:rsidRDefault="00F130D2" w:rsidP="00E35DC5">
      <w:pPr>
        <w:spacing w:after="160" w:line="259" w:lineRule="auto"/>
        <w:jc w:val="both"/>
        <w:rPr>
          <w:rFonts w:ascii="Georgia" w:hAnsi="Georgia" w:cs="Arial"/>
          <w:b/>
          <w:bCs/>
        </w:rPr>
      </w:pPr>
      <w:r w:rsidRPr="008A3B86">
        <w:rPr>
          <w:rFonts w:ascii="Georgia" w:hAnsi="Georgia" w:cs="Arial"/>
          <w:b/>
          <w:bCs/>
        </w:rPr>
        <w:t>The Respondent</w:t>
      </w:r>
      <w:r w:rsidR="00BE6668">
        <w:rPr>
          <w:rFonts w:ascii="Georgia" w:hAnsi="Georgia" w:cs="Arial"/>
          <w:b/>
          <w:bCs/>
        </w:rPr>
        <w:t>’</w:t>
      </w:r>
      <w:r w:rsidRPr="008A3B86">
        <w:rPr>
          <w:rFonts w:ascii="Georgia" w:hAnsi="Georgia" w:cs="Arial"/>
          <w:b/>
          <w:bCs/>
        </w:rPr>
        <w:t xml:space="preserve">s Case </w:t>
      </w:r>
    </w:p>
    <w:p w14:paraId="0B6A5C5F" w14:textId="5D42C8AF" w:rsidR="00B70D64" w:rsidRDefault="00B65EF5" w:rsidP="00E35DC5">
      <w:pPr>
        <w:pStyle w:val="ListParagraph"/>
        <w:numPr>
          <w:ilvl w:val="0"/>
          <w:numId w:val="27"/>
        </w:numPr>
        <w:jc w:val="both"/>
        <w:rPr>
          <w:rFonts w:ascii="Georgia" w:hAnsi="Georgia" w:cs="Arial"/>
          <w:sz w:val="24"/>
          <w:szCs w:val="24"/>
        </w:rPr>
      </w:pPr>
      <w:r>
        <w:rPr>
          <w:rFonts w:ascii="Georgia" w:hAnsi="Georgia" w:cs="Arial"/>
          <w:sz w:val="24"/>
          <w:szCs w:val="24"/>
        </w:rPr>
        <w:t>T</w:t>
      </w:r>
      <w:r w:rsidR="00EE5AE2" w:rsidRPr="008A3B86">
        <w:rPr>
          <w:rFonts w:ascii="Georgia" w:hAnsi="Georgia" w:cs="Arial"/>
          <w:sz w:val="24"/>
          <w:szCs w:val="24"/>
        </w:rPr>
        <w:t xml:space="preserve">he </w:t>
      </w:r>
      <w:r w:rsidR="00817159">
        <w:rPr>
          <w:rFonts w:ascii="Georgia" w:hAnsi="Georgia" w:cs="Arial"/>
          <w:sz w:val="24"/>
          <w:szCs w:val="24"/>
        </w:rPr>
        <w:t>Respondent</w:t>
      </w:r>
      <w:r w:rsidR="00EE5AE2" w:rsidRPr="008A3B86">
        <w:rPr>
          <w:rFonts w:ascii="Georgia" w:hAnsi="Georgia" w:cs="Arial"/>
          <w:sz w:val="24"/>
          <w:szCs w:val="24"/>
        </w:rPr>
        <w:t xml:space="preserve"> </w:t>
      </w:r>
      <w:r w:rsidR="008B279C">
        <w:rPr>
          <w:rFonts w:ascii="Georgia" w:hAnsi="Georgia" w:cs="Arial"/>
          <w:sz w:val="24"/>
          <w:szCs w:val="24"/>
        </w:rPr>
        <w:t xml:space="preserve">was represented by </w:t>
      </w:r>
      <w:proofErr w:type="spellStart"/>
      <w:r w:rsidR="008B279C">
        <w:rPr>
          <w:rFonts w:ascii="Georgia" w:hAnsi="Georgia" w:cs="Arial"/>
          <w:sz w:val="24"/>
          <w:szCs w:val="24"/>
        </w:rPr>
        <w:t>Fountayne</w:t>
      </w:r>
      <w:proofErr w:type="spellEnd"/>
      <w:r w:rsidR="008B279C">
        <w:rPr>
          <w:rFonts w:ascii="Georgia" w:hAnsi="Georgia" w:cs="Arial"/>
          <w:sz w:val="24"/>
          <w:szCs w:val="24"/>
        </w:rPr>
        <w:t xml:space="preserve"> Managing Limited </w:t>
      </w:r>
      <w:r w:rsidR="00B70D64">
        <w:rPr>
          <w:rFonts w:ascii="Georgia" w:hAnsi="Georgia" w:cs="Arial"/>
          <w:sz w:val="24"/>
          <w:szCs w:val="24"/>
        </w:rPr>
        <w:t>(“</w:t>
      </w:r>
      <w:proofErr w:type="spellStart"/>
      <w:r w:rsidR="00B70D64">
        <w:rPr>
          <w:rFonts w:ascii="Georgia" w:hAnsi="Georgia" w:cs="Arial"/>
          <w:sz w:val="24"/>
          <w:szCs w:val="24"/>
        </w:rPr>
        <w:t>Fountayne</w:t>
      </w:r>
      <w:proofErr w:type="spellEnd"/>
      <w:r w:rsidR="00B70D64">
        <w:rPr>
          <w:rFonts w:ascii="Georgia" w:hAnsi="Georgia" w:cs="Arial"/>
          <w:sz w:val="24"/>
          <w:szCs w:val="24"/>
        </w:rPr>
        <w:t xml:space="preserve">”) </w:t>
      </w:r>
      <w:r w:rsidR="008B279C">
        <w:rPr>
          <w:rFonts w:ascii="Georgia" w:hAnsi="Georgia" w:cs="Arial"/>
          <w:sz w:val="24"/>
          <w:szCs w:val="24"/>
        </w:rPr>
        <w:t>its agents</w:t>
      </w:r>
      <w:r w:rsidR="00B70D64">
        <w:rPr>
          <w:rFonts w:ascii="Georgia" w:hAnsi="Georgia" w:cs="Arial"/>
          <w:sz w:val="24"/>
          <w:szCs w:val="24"/>
        </w:rPr>
        <w:t xml:space="preserve">. </w:t>
      </w:r>
      <w:proofErr w:type="spellStart"/>
      <w:r w:rsidR="00B70D64">
        <w:rPr>
          <w:rFonts w:ascii="Georgia" w:hAnsi="Georgia" w:cs="Arial"/>
          <w:sz w:val="24"/>
          <w:szCs w:val="24"/>
        </w:rPr>
        <w:t>Fountayne</w:t>
      </w:r>
      <w:proofErr w:type="spellEnd"/>
      <w:r w:rsidR="00B70D64">
        <w:rPr>
          <w:rFonts w:ascii="Georgia" w:hAnsi="Georgia" w:cs="Arial"/>
          <w:sz w:val="24"/>
          <w:szCs w:val="24"/>
        </w:rPr>
        <w:t xml:space="preserve"> </w:t>
      </w:r>
      <w:r w:rsidR="00EE5AE2" w:rsidRPr="008A3B86">
        <w:rPr>
          <w:rFonts w:ascii="Georgia" w:hAnsi="Georgia" w:cs="Arial"/>
          <w:sz w:val="24"/>
          <w:szCs w:val="24"/>
        </w:rPr>
        <w:t xml:space="preserve">provided a position statement on </w:t>
      </w:r>
      <w:proofErr w:type="gramStart"/>
      <w:r w:rsidR="00B10937" w:rsidRPr="008A3B86">
        <w:rPr>
          <w:rFonts w:ascii="Georgia" w:hAnsi="Georgia" w:cs="Arial"/>
          <w:sz w:val="24"/>
          <w:szCs w:val="24"/>
        </w:rPr>
        <w:t xml:space="preserve">1 </w:t>
      </w:r>
      <w:r w:rsidR="00EE5AE2" w:rsidRPr="008A3B86">
        <w:rPr>
          <w:rFonts w:ascii="Georgia" w:hAnsi="Georgia" w:cs="Arial"/>
          <w:sz w:val="24"/>
          <w:szCs w:val="24"/>
        </w:rPr>
        <w:t xml:space="preserve"> November</w:t>
      </w:r>
      <w:proofErr w:type="gramEnd"/>
      <w:r w:rsidR="00EE5AE2" w:rsidRPr="008A3B86">
        <w:rPr>
          <w:rFonts w:ascii="Georgia" w:hAnsi="Georgia" w:cs="Arial"/>
          <w:sz w:val="24"/>
          <w:szCs w:val="24"/>
        </w:rPr>
        <w:t xml:space="preserve"> 2023 but did not provide a further statement of case save for completion of Scott schedule entries. </w:t>
      </w:r>
      <w:r w:rsidR="00B10937" w:rsidRPr="008A3B86">
        <w:rPr>
          <w:rFonts w:ascii="Georgia" w:hAnsi="Georgia" w:cs="Arial"/>
          <w:sz w:val="24"/>
          <w:szCs w:val="24"/>
        </w:rPr>
        <w:t xml:space="preserve">The </w:t>
      </w:r>
      <w:r w:rsidR="00EE5AE2" w:rsidRPr="008A3B86">
        <w:rPr>
          <w:rFonts w:ascii="Georgia" w:hAnsi="Georgia" w:cs="Arial"/>
          <w:sz w:val="24"/>
          <w:szCs w:val="24"/>
        </w:rPr>
        <w:t xml:space="preserve">Respondent’s position was that the </w:t>
      </w:r>
      <w:r w:rsidR="00817159">
        <w:rPr>
          <w:rFonts w:ascii="Georgia" w:hAnsi="Georgia" w:cs="Arial"/>
          <w:sz w:val="24"/>
          <w:szCs w:val="24"/>
        </w:rPr>
        <w:t>Applicant</w:t>
      </w:r>
      <w:r w:rsidR="00B10937" w:rsidRPr="008A3B86">
        <w:rPr>
          <w:rFonts w:ascii="Georgia" w:hAnsi="Georgia" w:cs="Arial"/>
          <w:sz w:val="24"/>
          <w:szCs w:val="24"/>
        </w:rPr>
        <w:t>’</w:t>
      </w:r>
      <w:r w:rsidR="00EE5AE2" w:rsidRPr="008A3B86">
        <w:rPr>
          <w:rFonts w:ascii="Georgia" w:hAnsi="Georgia" w:cs="Arial"/>
          <w:sz w:val="24"/>
          <w:szCs w:val="24"/>
        </w:rPr>
        <w:t xml:space="preserve">s complaint to the </w:t>
      </w:r>
      <w:r w:rsidR="00B70D64">
        <w:rPr>
          <w:rFonts w:ascii="Georgia" w:hAnsi="Georgia" w:cs="Arial"/>
          <w:sz w:val="24"/>
          <w:szCs w:val="24"/>
        </w:rPr>
        <w:t xml:space="preserve">PRS </w:t>
      </w:r>
      <w:r w:rsidR="00EE5AE2" w:rsidRPr="008A3B86">
        <w:rPr>
          <w:rFonts w:ascii="Georgia" w:hAnsi="Georgia" w:cs="Arial"/>
          <w:sz w:val="24"/>
          <w:szCs w:val="24"/>
        </w:rPr>
        <w:t xml:space="preserve">was struck out because the property manager had provided proof </w:t>
      </w:r>
      <w:r w:rsidR="00B10937" w:rsidRPr="008A3B86">
        <w:rPr>
          <w:rFonts w:ascii="Georgia" w:hAnsi="Georgia" w:cs="Arial"/>
          <w:sz w:val="24"/>
          <w:szCs w:val="24"/>
        </w:rPr>
        <w:t xml:space="preserve">of </w:t>
      </w:r>
      <w:r w:rsidR="00EE5AE2" w:rsidRPr="008A3B86">
        <w:rPr>
          <w:rFonts w:ascii="Georgia" w:hAnsi="Georgia" w:cs="Arial"/>
          <w:sz w:val="24"/>
          <w:szCs w:val="24"/>
        </w:rPr>
        <w:t xml:space="preserve">expenditure. The </w:t>
      </w:r>
      <w:r w:rsidR="00817159">
        <w:rPr>
          <w:rFonts w:ascii="Georgia" w:hAnsi="Georgia" w:cs="Arial"/>
          <w:sz w:val="24"/>
          <w:szCs w:val="24"/>
        </w:rPr>
        <w:t>Applicant</w:t>
      </w:r>
      <w:r w:rsidR="00EE5AE2" w:rsidRPr="008A3B86">
        <w:rPr>
          <w:rFonts w:ascii="Georgia" w:hAnsi="Georgia" w:cs="Arial"/>
          <w:sz w:val="24"/>
          <w:szCs w:val="24"/>
        </w:rPr>
        <w:t xml:space="preserve"> had not provided </w:t>
      </w:r>
      <w:r w:rsidR="00B10937" w:rsidRPr="008A3B86">
        <w:rPr>
          <w:rFonts w:ascii="Georgia" w:hAnsi="Georgia" w:cs="Arial"/>
          <w:sz w:val="24"/>
          <w:szCs w:val="24"/>
        </w:rPr>
        <w:t xml:space="preserve">any </w:t>
      </w:r>
      <w:r w:rsidR="00EE5AE2" w:rsidRPr="008A3B86">
        <w:rPr>
          <w:rFonts w:ascii="Georgia" w:hAnsi="Georgia" w:cs="Arial"/>
          <w:sz w:val="24"/>
          <w:szCs w:val="24"/>
        </w:rPr>
        <w:t>alternative quotes</w:t>
      </w:r>
      <w:r w:rsidR="00B10937" w:rsidRPr="008A3B86">
        <w:rPr>
          <w:rFonts w:ascii="Georgia" w:hAnsi="Georgia" w:cs="Arial"/>
          <w:sz w:val="24"/>
          <w:szCs w:val="24"/>
        </w:rPr>
        <w:t xml:space="preserve"> in the Scott Schedule</w:t>
      </w:r>
      <w:r w:rsidR="00EE5AE2" w:rsidRPr="008A3B86">
        <w:rPr>
          <w:rFonts w:ascii="Georgia" w:hAnsi="Georgia" w:cs="Arial"/>
          <w:sz w:val="24"/>
          <w:szCs w:val="24"/>
        </w:rPr>
        <w:t xml:space="preserve">. The </w:t>
      </w:r>
      <w:r w:rsidR="00817159">
        <w:rPr>
          <w:rFonts w:ascii="Georgia" w:hAnsi="Georgia" w:cs="Arial"/>
          <w:sz w:val="24"/>
          <w:szCs w:val="24"/>
        </w:rPr>
        <w:t>Respondent</w:t>
      </w:r>
      <w:r w:rsidR="00EE5AE2" w:rsidRPr="008A3B86">
        <w:rPr>
          <w:rFonts w:ascii="Georgia" w:hAnsi="Georgia" w:cs="Arial"/>
          <w:sz w:val="24"/>
          <w:szCs w:val="24"/>
        </w:rPr>
        <w:t>s had changed the contractors historically to improve standards of service.</w:t>
      </w:r>
    </w:p>
    <w:p w14:paraId="7ED196F2" w14:textId="77777777" w:rsidR="00B70D64" w:rsidRDefault="00B70D64">
      <w:pPr>
        <w:spacing w:after="160" w:line="259" w:lineRule="auto"/>
        <w:rPr>
          <w:rFonts w:ascii="Georgia" w:eastAsiaTheme="minorHAnsi" w:hAnsi="Georgia" w:cs="Arial"/>
          <w:lang w:eastAsia="en-US"/>
        </w:rPr>
      </w:pPr>
      <w:r>
        <w:rPr>
          <w:rFonts w:ascii="Georgia" w:hAnsi="Georgia" w:cs="Arial"/>
        </w:rPr>
        <w:br w:type="page"/>
      </w:r>
    </w:p>
    <w:p w14:paraId="01C31E3F" w14:textId="77777777" w:rsidR="00F130D2" w:rsidRPr="008A3B86" w:rsidRDefault="00F130D2" w:rsidP="00E35DC5">
      <w:pPr>
        <w:spacing w:after="160" w:line="259" w:lineRule="auto"/>
        <w:jc w:val="both"/>
        <w:rPr>
          <w:rFonts w:ascii="Georgia" w:hAnsi="Georgia" w:cs="Arial"/>
        </w:rPr>
      </w:pPr>
    </w:p>
    <w:p w14:paraId="0CA86588" w14:textId="6B145B2D" w:rsidR="00F130D2" w:rsidRPr="008A3B86" w:rsidRDefault="00F130D2" w:rsidP="00E35DC5">
      <w:pPr>
        <w:spacing w:after="160" w:line="259" w:lineRule="auto"/>
        <w:jc w:val="both"/>
        <w:rPr>
          <w:rFonts w:ascii="Georgia" w:hAnsi="Georgia" w:cs="Arial"/>
          <w:b/>
          <w:bCs/>
        </w:rPr>
      </w:pPr>
      <w:r w:rsidRPr="008A3B86">
        <w:rPr>
          <w:rFonts w:ascii="Georgia" w:hAnsi="Georgia" w:cs="Arial"/>
          <w:b/>
          <w:bCs/>
        </w:rPr>
        <w:t xml:space="preserve">The Lease </w:t>
      </w:r>
    </w:p>
    <w:p w14:paraId="545DAD26" w14:textId="0F861413" w:rsidR="00F11255" w:rsidRPr="00B70D64" w:rsidRDefault="000F4738" w:rsidP="00B70D64">
      <w:pPr>
        <w:pStyle w:val="ListParagraph"/>
        <w:numPr>
          <w:ilvl w:val="0"/>
          <w:numId w:val="27"/>
        </w:numPr>
        <w:jc w:val="both"/>
        <w:rPr>
          <w:rFonts w:ascii="Georgia" w:hAnsi="Georgia" w:cs="Arial"/>
          <w:sz w:val="24"/>
          <w:szCs w:val="24"/>
        </w:rPr>
      </w:pPr>
      <w:r w:rsidRPr="00B70D64">
        <w:rPr>
          <w:rFonts w:ascii="Georgia" w:hAnsi="Georgia" w:cs="Arial"/>
          <w:sz w:val="24"/>
          <w:szCs w:val="24"/>
        </w:rPr>
        <w:t xml:space="preserve">The application provided a copy of his lease which was </w:t>
      </w:r>
      <w:r w:rsidR="00C0209C" w:rsidRPr="00B70D64">
        <w:rPr>
          <w:rFonts w:ascii="Georgia" w:hAnsi="Georgia" w:cs="Arial"/>
          <w:sz w:val="24"/>
          <w:szCs w:val="24"/>
        </w:rPr>
        <w:t>not fully dated, (dated only 2019) but nothing turns on that in these proceedings</w:t>
      </w:r>
      <w:r w:rsidR="00800571" w:rsidRPr="00B70D64">
        <w:rPr>
          <w:rFonts w:ascii="Georgia" w:hAnsi="Georgia" w:cs="Arial"/>
          <w:sz w:val="24"/>
          <w:szCs w:val="24"/>
        </w:rPr>
        <w:t xml:space="preserve">. </w:t>
      </w:r>
      <w:r w:rsidR="00CF2337" w:rsidRPr="00B70D64">
        <w:rPr>
          <w:rFonts w:ascii="Georgia" w:hAnsi="Georgia" w:cs="Arial"/>
          <w:sz w:val="24"/>
          <w:szCs w:val="24"/>
        </w:rPr>
        <w:t xml:space="preserve">The lease grants a term of </w:t>
      </w:r>
      <w:r w:rsidR="001640DA" w:rsidRPr="00B70D64">
        <w:rPr>
          <w:rFonts w:ascii="Georgia" w:hAnsi="Georgia" w:cs="Arial"/>
          <w:sz w:val="24"/>
          <w:szCs w:val="24"/>
        </w:rPr>
        <w:t>1</w:t>
      </w:r>
      <w:r w:rsidR="00CF2337" w:rsidRPr="00B70D64">
        <w:rPr>
          <w:rFonts w:ascii="Georgia" w:hAnsi="Georgia" w:cs="Arial"/>
          <w:sz w:val="24"/>
          <w:szCs w:val="24"/>
        </w:rPr>
        <w:t xml:space="preserve">25 years from </w:t>
      </w:r>
      <w:r w:rsidR="00D84CEB" w:rsidRPr="00B70D64">
        <w:rPr>
          <w:rFonts w:ascii="Georgia" w:hAnsi="Georgia" w:cs="Arial"/>
          <w:sz w:val="24"/>
          <w:szCs w:val="24"/>
        </w:rPr>
        <w:t xml:space="preserve">1 January 2019. </w:t>
      </w:r>
      <w:r w:rsidR="00D6251C" w:rsidRPr="00B70D64">
        <w:rPr>
          <w:rFonts w:ascii="Georgia" w:hAnsi="Georgia" w:cs="Arial"/>
          <w:sz w:val="24"/>
          <w:szCs w:val="24"/>
        </w:rPr>
        <w:t xml:space="preserve">The grant includes a car parking space. </w:t>
      </w:r>
      <w:r w:rsidR="00B753D3" w:rsidRPr="00B70D64">
        <w:rPr>
          <w:rFonts w:ascii="Georgia" w:hAnsi="Georgia" w:cs="Arial"/>
          <w:sz w:val="24"/>
          <w:szCs w:val="24"/>
        </w:rPr>
        <w:t xml:space="preserve">The lease provides that the service charge will be a fair and reasonable proportion determined by the landlord of the </w:t>
      </w:r>
      <w:r w:rsidR="005F75F4" w:rsidRPr="00B70D64">
        <w:rPr>
          <w:rFonts w:ascii="Georgia" w:hAnsi="Georgia" w:cs="Arial"/>
          <w:sz w:val="24"/>
          <w:szCs w:val="24"/>
        </w:rPr>
        <w:t>Service Costs</w:t>
      </w:r>
      <w:r w:rsidR="00B753D3" w:rsidRPr="00B70D64">
        <w:rPr>
          <w:rFonts w:ascii="Georgia" w:hAnsi="Georgia" w:cs="Arial"/>
          <w:sz w:val="24"/>
          <w:szCs w:val="24"/>
        </w:rPr>
        <w:t xml:space="preserve"> [29].</w:t>
      </w:r>
      <w:r w:rsidR="00C0209C" w:rsidRPr="00B70D64">
        <w:rPr>
          <w:rFonts w:ascii="Georgia" w:hAnsi="Georgia" w:cs="Arial"/>
          <w:sz w:val="24"/>
          <w:szCs w:val="24"/>
        </w:rPr>
        <w:t xml:space="preserve"> </w:t>
      </w:r>
      <w:r w:rsidR="002612F1" w:rsidRPr="00B70D64">
        <w:rPr>
          <w:rFonts w:ascii="Georgia" w:hAnsi="Georgia" w:cs="Arial"/>
          <w:sz w:val="24"/>
          <w:szCs w:val="24"/>
        </w:rPr>
        <w:t xml:space="preserve">The service charge year runs from </w:t>
      </w:r>
      <w:r w:rsidR="00394F20" w:rsidRPr="00B70D64">
        <w:rPr>
          <w:rFonts w:ascii="Georgia" w:hAnsi="Georgia" w:cs="Arial"/>
          <w:sz w:val="24"/>
          <w:szCs w:val="24"/>
        </w:rPr>
        <w:t>1</w:t>
      </w:r>
      <w:r w:rsidR="002612F1" w:rsidRPr="00B70D64">
        <w:rPr>
          <w:rFonts w:ascii="Georgia" w:hAnsi="Georgia" w:cs="Arial"/>
          <w:sz w:val="24"/>
          <w:szCs w:val="24"/>
        </w:rPr>
        <w:t xml:space="preserve"> January </w:t>
      </w:r>
      <w:r w:rsidR="00DA5E67" w:rsidRPr="00B70D64">
        <w:rPr>
          <w:rFonts w:ascii="Georgia" w:hAnsi="Georgia" w:cs="Arial"/>
          <w:sz w:val="24"/>
          <w:szCs w:val="24"/>
        </w:rPr>
        <w:t>to</w:t>
      </w:r>
      <w:r w:rsidR="002612F1" w:rsidRPr="00B70D64">
        <w:rPr>
          <w:rFonts w:ascii="Georgia" w:hAnsi="Georgia" w:cs="Arial"/>
          <w:sz w:val="24"/>
          <w:szCs w:val="24"/>
        </w:rPr>
        <w:t xml:space="preserve"> 31 December.</w:t>
      </w:r>
      <w:r w:rsidR="00CF2337" w:rsidRPr="00B70D64">
        <w:rPr>
          <w:rFonts w:ascii="Georgia" w:hAnsi="Georgia" w:cs="Arial"/>
          <w:sz w:val="24"/>
          <w:szCs w:val="24"/>
        </w:rPr>
        <w:t xml:space="preserve"> </w:t>
      </w:r>
      <w:r w:rsidR="001B5D48" w:rsidRPr="00B70D64">
        <w:rPr>
          <w:rFonts w:ascii="Georgia" w:hAnsi="Georgia" w:cs="Arial"/>
          <w:sz w:val="24"/>
          <w:szCs w:val="24"/>
        </w:rPr>
        <w:t xml:space="preserve">By clause 5 the tenant covenants to perform the tenant covenants. By clause 6 the landlord covenants to perform the landlord covenants. By Schedule 4 paragraph 2 the tenant covenants to pay estimated service charges on account subject to balancing charges and credits. </w:t>
      </w:r>
      <w:r w:rsidR="00CF2337" w:rsidRPr="00B70D64">
        <w:rPr>
          <w:rFonts w:ascii="Georgia" w:hAnsi="Georgia" w:cs="Arial"/>
          <w:sz w:val="24"/>
          <w:szCs w:val="24"/>
        </w:rPr>
        <w:t xml:space="preserve">The services to be provided by the landlord are listed in </w:t>
      </w:r>
      <w:r w:rsidR="001640DA" w:rsidRPr="00B70D64">
        <w:rPr>
          <w:rFonts w:ascii="Georgia" w:hAnsi="Georgia" w:cs="Arial"/>
          <w:sz w:val="24"/>
          <w:szCs w:val="24"/>
        </w:rPr>
        <w:t>P</w:t>
      </w:r>
      <w:r w:rsidR="00CF2337" w:rsidRPr="00B70D64">
        <w:rPr>
          <w:rFonts w:ascii="Georgia" w:hAnsi="Georgia" w:cs="Arial"/>
          <w:sz w:val="24"/>
          <w:szCs w:val="24"/>
        </w:rPr>
        <w:t xml:space="preserve">art </w:t>
      </w:r>
      <w:r w:rsidR="001640DA" w:rsidRPr="00B70D64">
        <w:rPr>
          <w:rFonts w:ascii="Georgia" w:hAnsi="Georgia" w:cs="Arial"/>
          <w:sz w:val="24"/>
          <w:szCs w:val="24"/>
        </w:rPr>
        <w:t>1 of S</w:t>
      </w:r>
      <w:r w:rsidR="00CF2337" w:rsidRPr="00B70D64">
        <w:rPr>
          <w:rFonts w:ascii="Georgia" w:hAnsi="Georgia" w:cs="Arial"/>
          <w:sz w:val="24"/>
          <w:szCs w:val="24"/>
        </w:rPr>
        <w:t xml:space="preserve">chedule </w:t>
      </w:r>
      <w:r w:rsidR="00D84CEB" w:rsidRPr="00B70D64">
        <w:rPr>
          <w:rFonts w:ascii="Georgia" w:hAnsi="Georgia" w:cs="Arial"/>
          <w:sz w:val="24"/>
          <w:szCs w:val="24"/>
        </w:rPr>
        <w:t>7</w:t>
      </w:r>
      <w:r w:rsidR="00CF2337" w:rsidRPr="00B70D64">
        <w:rPr>
          <w:rFonts w:ascii="Georgia" w:hAnsi="Georgia" w:cs="Arial"/>
          <w:sz w:val="24"/>
          <w:szCs w:val="24"/>
        </w:rPr>
        <w:t>.</w:t>
      </w:r>
      <w:r w:rsidR="00704345" w:rsidRPr="00B70D64">
        <w:rPr>
          <w:rFonts w:ascii="Georgia" w:hAnsi="Georgia" w:cs="Arial"/>
          <w:sz w:val="24"/>
          <w:szCs w:val="24"/>
        </w:rPr>
        <w:t xml:space="preserve"> </w:t>
      </w:r>
      <w:r w:rsidR="004C4953" w:rsidRPr="00B70D64">
        <w:rPr>
          <w:rFonts w:ascii="Georgia" w:hAnsi="Georgia" w:cs="Arial"/>
          <w:sz w:val="24"/>
          <w:szCs w:val="24"/>
        </w:rPr>
        <w:t xml:space="preserve">The Service Costs are costs listed in Part 2 of Schedule 7. </w:t>
      </w:r>
    </w:p>
    <w:p w14:paraId="2ED790EE" w14:textId="77777777" w:rsidR="00F11255" w:rsidRPr="00F11255" w:rsidRDefault="00F11255" w:rsidP="00F11255">
      <w:pPr>
        <w:ind w:left="66"/>
        <w:jc w:val="both"/>
        <w:rPr>
          <w:rFonts w:ascii="Georgia" w:hAnsi="Georgia" w:cs="Arial"/>
        </w:rPr>
      </w:pPr>
    </w:p>
    <w:p w14:paraId="78E93CA4" w14:textId="051AB8F8" w:rsidR="004C4953" w:rsidRPr="00F03D2A" w:rsidRDefault="00745F49" w:rsidP="00B70D64">
      <w:pPr>
        <w:pStyle w:val="ListParagraph"/>
        <w:numPr>
          <w:ilvl w:val="0"/>
          <w:numId w:val="27"/>
        </w:numPr>
        <w:jc w:val="both"/>
        <w:rPr>
          <w:rFonts w:ascii="Georgia" w:hAnsi="Georgia" w:cs="Arial"/>
          <w:sz w:val="24"/>
          <w:szCs w:val="24"/>
        </w:rPr>
      </w:pPr>
      <w:r w:rsidRPr="00F03D2A">
        <w:rPr>
          <w:rFonts w:ascii="Georgia" w:hAnsi="Georgia" w:cs="Arial"/>
          <w:sz w:val="24"/>
          <w:szCs w:val="24"/>
        </w:rPr>
        <w:t xml:space="preserve">The </w:t>
      </w:r>
      <w:r w:rsidR="00817159">
        <w:rPr>
          <w:rFonts w:ascii="Georgia" w:hAnsi="Georgia" w:cs="Arial"/>
          <w:sz w:val="24"/>
          <w:szCs w:val="24"/>
        </w:rPr>
        <w:t>Applicant</w:t>
      </w:r>
      <w:r w:rsidRPr="00F03D2A">
        <w:rPr>
          <w:rFonts w:ascii="Georgia" w:hAnsi="Georgia" w:cs="Arial"/>
          <w:sz w:val="24"/>
          <w:szCs w:val="24"/>
        </w:rPr>
        <w:t xml:space="preserve"> </w:t>
      </w:r>
      <w:r w:rsidR="004C4953" w:rsidRPr="00F03D2A">
        <w:rPr>
          <w:rFonts w:ascii="Georgia" w:hAnsi="Georgia" w:cs="Arial"/>
          <w:sz w:val="24"/>
          <w:szCs w:val="24"/>
        </w:rPr>
        <w:t xml:space="preserve">also </w:t>
      </w:r>
      <w:r w:rsidRPr="00F03D2A">
        <w:rPr>
          <w:rFonts w:ascii="Georgia" w:hAnsi="Georgia" w:cs="Arial"/>
          <w:sz w:val="24"/>
          <w:szCs w:val="24"/>
        </w:rPr>
        <w:t xml:space="preserve">covenanted to pay the insurance rent under </w:t>
      </w:r>
      <w:r w:rsidR="001B5D48" w:rsidRPr="00F03D2A">
        <w:rPr>
          <w:rFonts w:ascii="Georgia" w:hAnsi="Georgia" w:cs="Arial"/>
          <w:sz w:val="24"/>
          <w:szCs w:val="24"/>
        </w:rPr>
        <w:t>Schedul</w:t>
      </w:r>
      <w:r w:rsidR="00F03D2A" w:rsidRPr="00F03D2A">
        <w:rPr>
          <w:rFonts w:ascii="Georgia" w:hAnsi="Georgia" w:cs="Arial"/>
          <w:sz w:val="24"/>
          <w:szCs w:val="24"/>
        </w:rPr>
        <w:t xml:space="preserve">e 4 </w:t>
      </w:r>
      <w:r w:rsidRPr="00F03D2A">
        <w:rPr>
          <w:rFonts w:ascii="Georgia" w:hAnsi="Georgia" w:cs="Arial"/>
          <w:sz w:val="24"/>
          <w:szCs w:val="24"/>
        </w:rPr>
        <w:t xml:space="preserve">paragraph 3.1. </w:t>
      </w:r>
      <w:r w:rsidR="005F75F4" w:rsidRPr="00F03D2A">
        <w:rPr>
          <w:rFonts w:ascii="Georgia" w:hAnsi="Georgia" w:cs="Arial"/>
          <w:sz w:val="24"/>
          <w:szCs w:val="24"/>
        </w:rPr>
        <w:t>The ins</w:t>
      </w:r>
      <w:r w:rsidR="00865B57" w:rsidRPr="00F03D2A">
        <w:rPr>
          <w:rFonts w:ascii="Georgia" w:hAnsi="Georgia" w:cs="Arial"/>
          <w:sz w:val="24"/>
          <w:szCs w:val="24"/>
        </w:rPr>
        <w:t>u</w:t>
      </w:r>
      <w:r w:rsidR="005F75F4" w:rsidRPr="00F03D2A">
        <w:rPr>
          <w:rFonts w:ascii="Georgia" w:hAnsi="Georgia" w:cs="Arial"/>
          <w:sz w:val="24"/>
          <w:szCs w:val="24"/>
        </w:rPr>
        <w:t xml:space="preserve">rance rent </w:t>
      </w:r>
      <w:r w:rsidR="00865B57" w:rsidRPr="00F03D2A">
        <w:rPr>
          <w:rFonts w:ascii="Georgia" w:hAnsi="Georgia" w:cs="Arial"/>
          <w:sz w:val="24"/>
          <w:szCs w:val="24"/>
        </w:rPr>
        <w:t>is d</w:t>
      </w:r>
      <w:r w:rsidR="00704345" w:rsidRPr="00F03D2A">
        <w:rPr>
          <w:rFonts w:ascii="Georgia" w:hAnsi="Georgia" w:cs="Arial"/>
          <w:sz w:val="24"/>
          <w:szCs w:val="24"/>
        </w:rPr>
        <w:t xml:space="preserve">efined </w:t>
      </w:r>
      <w:r w:rsidR="00F55C07" w:rsidRPr="00F03D2A">
        <w:rPr>
          <w:rFonts w:ascii="Georgia" w:hAnsi="Georgia" w:cs="Arial"/>
          <w:sz w:val="24"/>
          <w:szCs w:val="24"/>
        </w:rPr>
        <w:t xml:space="preserve">[27] </w:t>
      </w:r>
      <w:r w:rsidR="00704345" w:rsidRPr="00F03D2A">
        <w:rPr>
          <w:rFonts w:ascii="Georgia" w:hAnsi="Georgia" w:cs="Arial"/>
          <w:sz w:val="24"/>
          <w:szCs w:val="24"/>
        </w:rPr>
        <w:t xml:space="preserve">as </w:t>
      </w:r>
      <w:r w:rsidR="00865B57" w:rsidRPr="00F03D2A">
        <w:rPr>
          <w:rFonts w:ascii="Georgia" w:hAnsi="Georgia" w:cs="Arial"/>
          <w:sz w:val="24"/>
          <w:szCs w:val="24"/>
        </w:rPr>
        <w:t xml:space="preserve">a </w:t>
      </w:r>
      <w:r w:rsidR="00704345" w:rsidRPr="00F03D2A">
        <w:rPr>
          <w:rFonts w:ascii="Georgia" w:hAnsi="Georgia" w:cs="Arial"/>
          <w:sz w:val="24"/>
          <w:szCs w:val="24"/>
        </w:rPr>
        <w:t>fair and reasonable proportion determined by the landlord of the cost of any premiums that the landlord expends after any discount or commission is allowed or pa</w:t>
      </w:r>
      <w:r w:rsidR="00D61BD0" w:rsidRPr="00F03D2A">
        <w:rPr>
          <w:rFonts w:ascii="Georgia" w:hAnsi="Georgia" w:cs="Arial"/>
          <w:sz w:val="24"/>
          <w:szCs w:val="24"/>
        </w:rPr>
        <w:t xml:space="preserve">id </w:t>
      </w:r>
      <w:r w:rsidR="00704345" w:rsidRPr="00F03D2A">
        <w:rPr>
          <w:rFonts w:ascii="Georgia" w:hAnsi="Georgia" w:cs="Arial"/>
          <w:sz w:val="24"/>
          <w:szCs w:val="24"/>
        </w:rPr>
        <w:t>to the landlord</w:t>
      </w:r>
      <w:r w:rsidR="00933DF8" w:rsidRPr="00F03D2A">
        <w:rPr>
          <w:rFonts w:ascii="Georgia" w:hAnsi="Georgia" w:cs="Arial"/>
          <w:sz w:val="24"/>
          <w:szCs w:val="24"/>
        </w:rPr>
        <w:t xml:space="preserve"> and any fees and other expenses of the landlord reasonably incur</w:t>
      </w:r>
      <w:r w:rsidR="009D4787" w:rsidRPr="00F03D2A">
        <w:rPr>
          <w:rFonts w:ascii="Georgia" w:hAnsi="Georgia" w:cs="Arial"/>
          <w:sz w:val="24"/>
          <w:szCs w:val="24"/>
        </w:rPr>
        <w:t xml:space="preserve">s </w:t>
      </w:r>
      <w:r w:rsidR="00933DF8" w:rsidRPr="00F03D2A">
        <w:rPr>
          <w:rFonts w:ascii="Georgia" w:hAnsi="Georgia" w:cs="Arial"/>
          <w:sz w:val="24"/>
          <w:szCs w:val="24"/>
        </w:rPr>
        <w:t xml:space="preserve">in effecting and maintaining insurance </w:t>
      </w:r>
      <w:r w:rsidR="009D4787" w:rsidRPr="00F03D2A">
        <w:rPr>
          <w:rFonts w:ascii="Georgia" w:hAnsi="Georgia" w:cs="Arial"/>
          <w:sz w:val="24"/>
          <w:szCs w:val="24"/>
        </w:rPr>
        <w:t>of</w:t>
      </w:r>
      <w:r w:rsidR="00933DF8" w:rsidRPr="00F03D2A">
        <w:rPr>
          <w:rFonts w:ascii="Georgia" w:hAnsi="Georgia" w:cs="Arial"/>
          <w:sz w:val="24"/>
          <w:szCs w:val="24"/>
        </w:rPr>
        <w:t xml:space="preserve"> the building</w:t>
      </w:r>
      <w:r w:rsidR="00F03D2A">
        <w:rPr>
          <w:rFonts w:ascii="Georgia" w:hAnsi="Georgia" w:cs="Arial"/>
          <w:sz w:val="24"/>
          <w:szCs w:val="24"/>
        </w:rPr>
        <w:t>.</w:t>
      </w:r>
    </w:p>
    <w:p w14:paraId="096EC0DB" w14:textId="77777777" w:rsidR="004C4953" w:rsidRPr="00230139" w:rsidRDefault="004C4953" w:rsidP="00230139">
      <w:pPr>
        <w:ind w:left="66"/>
        <w:jc w:val="both"/>
        <w:rPr>
          <w:rFonts w:ascii="Georgia" w:hAnsi="Georgia" w:cs="Arial"/>
        </w:rPr>
      </w:pPr>
    </w:p>
    <w:p w14:paraId="11914747" w14:textId="148A03A1" w:rsidR="00DA5E67" w:rsidRPr="008A3B86" w:rsidRDefault="00A75C2C" w:rsidP="00B70D64">
      <w:pPr>
        <w:pStyle w:val="ListParagraph"/>
        <w:numPr>
          <w:ilvl w:val="0"/>
          <w:numId w:val="27"/>
        </w:numPr>
        <w:jc w:val="both"/>
        <w:rPr>
          <w:rFonts w:ascii="Georgia" w:hAnsi="Georgia" w:cs="Arial"/>
          <w:sz w:val="24"/>
          <w:szCs w:val="24"/>
        </w:rPr>
      </w:pPr>
      <w:r w:rsidRPr="008A3B86">
        <w:rPr>
          <w:rFonts w:ascii="Georgia" w:hAnsi="Georgia" w:cs="Arial"/>
          <w:sz w:val="24"/>
          <w:szCs w:val="24"/>
        </w:rPr>
        <w:t xml:space="preserve">Part </w:t>
      </w:r>
      <w:r w:rsidR="00F03D2A">
        <w:rPr>
          <w:rFonts w:ascii="Georgia" w:hAnsi="Georgia" w:cs="Arial"/>
          <w:sz w:val="24"/>
          <w:szCs w:val="24"/>
        </w:rPr>
        <w:t>1</w:t>
      </w:r>
      <w:r w:rsidRPr="008A3B86">
        <w:rPr>
          <w:rFonts w:ascii="Georgia" w:hAnsi="Georgia" w:cs="Arial"/>
          <w:sz w:val="24"/>
          <w:szCs w:val="24"/>
        </w:rPr>
        <w:t xml:space="preserve"> of </w:t>
      </w:r>
      <w:r w:rsidR="00F03D2A">
        <w:rPr>
          <w:rFonts w:ascii="Georgia" w:hAnsi="Georgia" w:cs="Arial"/>
          <w:sz w:val="24"/>
          <w:szCs w:val="24"/>
        </w:rPr>
        <w:t>S</w:t>
      </w:r>
      <w:r w:rsidR="006866E7" w:rsidRPr="008A3B86">
        <w:rPr>
          <w:rFonts w:ascii="Georgia" w:hAnsi="Georgia" w:cs="Arial"/>
          <w:sz w:val="24"/>
          <w:szCs w:val="24"/>
        </w:rPr>
        <w:t xml:space="preserve">chedule </w:t>
      </w:r>
      <w:r w:rsidR="00F03D2A">
        <w:rPr>
          <w:rFonts w:ascii="Georgia" w:hAnsi="Georgia" w:cs="Arial"/>
          <w:sz w:val="24"/>
          <w:szCs w:val="24"/>
        </w:rPr>
        <w:t xml:space="preserve">7 </w:t>
      </w:r>
      <w:r w:rsidR="006866E7" w:rsidRPr="008A3B86">
        <w:rPr>
          <w:rFonts w:ascii="Georgia" w:hAnsi="Georgia" w:cs="Arial"/>
          <w:sz w:val="24"/>
          <w:szCs w:val="24"/>
        </w:rPr>
        <w:t xml:space="preserve">defines </w:t>
      </w:r>
      <w:r w:rsidR="00EC1CDC" w:rsidRPr="008A3B86">
        <w:rPr>
          <w:rFonts w:ascii="Georgia" w:hAnsi="Georgia" w:cs="Arial"/>
          <w:sz w:val="24"/>
          <w:szCs w:val="24"/>
        </w:rPr>
        <w:t>“T</w:t>
      </w:r>
      <w:r w:rsidR="006866E7" w:rsidRPr="008A3B86">
        <w:rPr>
          <w:rFonts w:ascii="Georgia" w:hAnsi="Georgia" w:cs="Arial"/>
          <w:sz w:val="24"/>
          <w:szCs w:val="24"/>
        </w:rPr>
        <w:t>he service</w:t>
      </w:r>
      <w:r w:rsidR="00EC1CDC" w:rsidRPr="008A3B86">
        <w:rPr>
          <w:rFonts w:ascii="Georgia" w:hAnsi="Georgia" w:cs="Arial"/>
          <w:sz w:val="24"/>
          <w:szCs w:val="24"/>
        </w:rPr>
        <w:t>s</w:t>
      </w:r>
      <w:r w:rsidR="00F03D2A">
        <w:rPr>
          <w:rFonts w:ascii="Georgia" w:hAnsi="Georgia" w:cs="Arial"/>
          <w:sz w:val="24"/>
          <w:szCs w:val="24"/>
        </w:rPr>
        <w:t>”</w:t>
      </w:r>
      <w:r w:rsidRPr="008A3B86">
        <w:rPr>
          <w:rFonts w:ascii="Georgia" w:hAnsi="Georgia" w:cs="Arial"/>
          <w:sz w:val="24"/>
          <w:szCs w:val="24"/>
        </w:rPr>
        <w:t>. These may be summarised as</w:t>
      </w:r>
      <w:r w:rsidR="006866E7" w:rsidRPr="008A3B86">
        <w:rPr>
          <w:rFonts w:ascii="Georgia" w:hAnsi="Georgia" w:cs="Arial"/>
          <w:sz w:val="24"/>
          <w:szCs w:val="24"/>
        </w:rPr>
        <w:t xml:space="preserve"> including cleaning maintaining decorating repairing and replacing the retained parts and car parking space,</w:t>
      </w:r>
      <w:r w:rsidR="00A37AC3" w:rsidRPr="008A3B86">
        <w:rPr>
          <w:rFonts w:ascii="Georgia" w:hAnsi="Georgia" w:cs="Arial"/>
          <w:sz w:val="24"/>
          <w:szCs w:val="24"/>
        </w:rPr>
        <w:t xml:space="preserve"> providing heating </w:t>
      </w:r>
      <w:r w:rsidRPr="008A3B86">
        <w:rPr>
          <w:rFonts w:ascii="Georgia" w:hAnsi="Georgia" w:cs="Arial"/>
          <w:sz w:val="24"/>
          <w:szCs w:val="24"/>
        </w:rPr>
        <w:t xml:space="preserve">and lighting </w:t>
      </w:r>
      <w:r w:rsidR="00A37AC3" w:rsidRPr="008A3B86">
        <w:rPr>
          <w:rFonts w:ascii="Georgia" w:hAnsi="Georgia" w:cs="Arial"/>
          <w:sz w:val="24"/>
          <w:szCs w:val="24"/>
        </w:rPr>
        <w:t>to the internal areas of common parts</w:t>
      </w:r>
      <w:r w:rsidR="00EC1CDC" w:rsidRPr="008A3B86">
        <w:rPr>
          <w:rFonts w:ascii="Georgia" w:hAnsi="Georgia" w:cs="Arial"/>
          <w:sz w:val="24"/>
          <w:szCs w:val="24"/>
        </w:rPr>
        <w:t xml:space="preserve">, cleaning floor </w:t>
      </w:r>
      <w:r w:rsidRPr="008A3B86">
        <w:rPr>
          <w:rFonts w:ascii="Georgia" w:hAnsi="Georgia" w:cs="Arial"/>
          <w:sz w:val="24"/>
          <w:szCs w:val="24"/>
        </w:rPr>
        <w:t>coverings</w:t>
      </w:r>
      <w:r w:rsidR="00EC1CDC" w:rsidRPr="008A3B86">
        <w:rPr>
          <w:rFonts w:ascii="Georgia" w:hAnsi="Georgia" w:cs="Arial"/>
          <w:sz w:val="24"/>
          <w:szCs w:val="24"/>
        </w:rPr>
        <w:t xml:space="preserve"> of the common parts, </w:t>
      </w:r>
      <w:r w:rsidR="00F03D2A">
        <w:rPr>
          <w:rFonts w:ascii="Georgia" w:hAnsi="Georgia" w:cs="Arial"/>
          <w:sz w:val="24"/>
          <w:szCs w:val="24"/>
        </w:rPr>
        <w:t xml:space="preserve">and </w:t>
      </w:r>
      <w:r w:rsidR="00EC1CDC" w:rsidRPr="008A3B86">
        <w:rPr>
          <w:rFonts w:ascii="Georgia" w:hAnsi="Georgia" w:cs="Arial"/>
          <w:sz w:val="24"/>
          <w:szCs w:val="24"/>
        </w:rPr>
        <w:t xml:space="preserve">cleaning the outside </w:t>
      </w:r>
      <w:r w:rsidR="00017B4F" w:rsidRPr="008A3B86">
        <w:rPr>
          <w:rFonts w:ascii="Georgia" w:hAnsi="Georgia" w:cs="Arial"/>
          <w:sz w:val="24"/>
          <w:szCs w:val="24"/>
        </w:rPr>
        <w:t>of the windows of the building</w:t>
      </w:r>
      <w:r w:rsidRPr="008A3B86">
        <w:rPr>
          <w:rFonts w:ascii="Georgia" w:hAnsi="Georgia" w:cs="Arial"/>
          <w:sz w:val="24"/>
          <w:szCs w:val="24"/>
        </w:rPr>
        <w:t xml:space="preserve">. Service costs are then defined in </w:t>
      </w:r>
      <w:r w:rsidR="005B5CA7" w:rsidRPr="008A3B86">
        <w:rPr>
          <w:rFonts w:ascii="Georgia" w:hAnsi="Georgia" w:cs="Arial"/>
          <w:sz w:val="24"/>
          <w:szCs w:val="24"/>
        </w:rPr>
        <w:t xml:space="preserve">Part 2 of the seventh schedule. These may be </w:t>
      </w:r>
      <w:r w:rsidR="00FB4DA4" w:rsidRPr="008A3B86">
        <w:rPr>
          <w:rFonts w:ascii="Georgia" w:hAnsi="Georgia" w:cs="Arial"/>
          <w:sz w:val="24"/>
          <w:szCs w:val="24"/>
        </w:rPr>
        <w:t>summarised</w:t>
      </w:r>
      <w:r w:rsidR="005B5CA7" w:rsidRPr="008A3B86">
        <w:rPr>
          <w:rFonts w:ascii="Georgia" w:hAnsi="Georgia" w:cs="Arial"/>
          <w:sz w:val="24"/>
          <w:szCs w:val="24"/>
        </w:rPr>
        <w:t xml:space="preserve"> as </w:t>
      </w:r>
      <w:r w:rsidR="00A34A0F" w:rsidRPr="008A3B86">
        <w:rPr>
          <w:rFonts w:ascii="Georgia" w:hAnsi="Georgia" w:cs="Arial"/>
          <w:sz w:val="24"/>
          <w:szCs w:val="24"/>
        </w:rPr>
        <w:t>the costs of prov</w:t>
      </w:r>
      <w:r w:rsidR="00F03D2A">
        <w:rPr>
          <w:rFonts w:ascii="Georgia" w:hAnsi="Georgia" w:cs="Arial"/>
          <w:sz w:val="24"/>
          <w:szCs w:val="24"/>
        </w:rPr>
        <w:t>id</w:t>
      </w:r>
      <w:r w:rsidR="00A34A0F" w:rsidRPr="008A3B86">
        <w:rPr>
          <w:rFonts w:ascii="Georgia" w:hAnsi="Georgia" w:cs="Arial"/>
          <w:sz w:val="24"/>
          <w:szCs w:val="24"/>
        </w:rPr>
        <w:t xml:space="preserve">ing the Services, </w:t>
      </w:r>
      <w:r w:rsidR="00F03D2A">
        <w:rPr>
          <w:rFonts w:ascii="Georgia" w:hAnsi="Georgia" w:cs="Arial"/>
          <w:sz w:val="24"/>
          <w:szCs w:val="24"/>
        </w:rPr>
        <w:t xml:space="preserve">the </w:t>
      </w:r>
      <w:r w:rsidR="00A34A0F" w:rsidRPr="008A3B86">
        <w:rPr>
          <w:rFonts w:ascii="Georgia" w:hAnsi="Georgia" w:cs="Arial"/>
          <w:sz w:val="24"/>
          <w:szCs w:val="24"/>
        </w:rPr>
        <w:t xml:space="preserve">supply of electricity water and gas </w:t>
      </w:r>
      <w:r w:rsidR="004166AF" w:rsidRPr="008A3B86">
        <w:rPr>
          <w:rFonts w:ascii="Georgia" w:hAnsi="Georgia" w:cs="Arial"/>
          <w:sz w:val="24"/>
          <w:szCs w:val="24"/>
        </w:rPr>
        <w:t xml:space="preserve">to the </w:t>
      </w:r>
      <w:r w:rsidR="00FB4DA4" w:rsidRPr="008A3B86">
        <w:rPr>
          <w:rFonts w:ascii="Georgia" w:hAnsi="Georgia" w:cs="Arial"/>
          <w:sz w:val="24"/>
          <w:szCs w:val="24"/>
        </w:rPr>
        <w:t>retained</w:t>
      </w:r>
      <w:r w:rsidR="004166AF" w:rsidRPr="008A3B86">
        <w:rPr>
          <w:rFonts w:ascii="Georgia" w:hAnsi="Georgia" w:cs="Arial"/>
          <w:sz w:val="24"/>
          <w:szCs w:val="24"/>
        </w:rPr>
        <w:t xml:space="preserve"> parts, provision of a </w:t>
      </w:r>
      <w:r w:rsidR="00FB4DA4" w:rsidRPr="008A3B86">
        <w:rPr>
          <w:rFonts w:ascii="Georgia" w:hAnsi="Georgia" w:cs="Arial"/>
          <w:sz w:val="24"/>
          <w:szCs w:val="24"/>
        </w:rPr>
        <w:t>reserve</w:t>
      </w:r>
      <w:r w:rsidR="004166AF" w:rsidRPr="008A3B86">
        <w:rPr>
          <w:rFonts w:ascii="Georgia" w:hAnsi="Georgia" w:cs="Arial"/>
          <w:sz w:val="24"/>
          <w:szCs w:val="24"/>
        </w:rPr>
        <w:t xml:space="preserve"> fund for future expenditure</w:t>
      </w:r>
      <w:r w:rsidR="00E050AE" w:rsidRPr="008A3B86">
        <w:rPr>
          <w:rFonts w:ascii="Georgia" w:hAnsi="Georgia" w:cs="Arial"/>
          <w:sz w:val="24"/>
          <w:szCs w:val="24"/>
        </w:rPr>
        <w:t xml:space="preserve">, the fees of </w:t>
      </w:r>
      <w:r w:rsidR="00F03D2A">
        <w:rPr>
          <w:rFonts w:ascii="Georgia" w:hAnsi="Georgia" w:cs="Arial"/>
          <w:sz w:val="24"/>
          <w:szCs w:val="24"/>
        </w:rPr>
        <w:t xml:space="preserve">employing </w:t>
      </w:r>
      <w:r w:rsidR="00E050AE" w:rsidRPr="008A3B86">
        <w:rPr>
          <w:rFonts w:ascii="Georgia" w:hAnsi="Georgia" w:cs="Arial"/>
          <w:sz w:val="24"/>
          <w:szCs w:val="24"/>
        </w:rPr>
        <w:t xml:space="preserve">managing agents, </w:t>
      </w:r>
      <w:r w:rsidR="00EF3900" w:rsidRPr="008A3B86">
        <w:rPr>
          <w:rFonts w:ascii="Georgia" w:hAnsi="Georgia" w:cs="Arial"/>
          <w:sz w:val="24"/>
          <w:szCs w:val="24"/>
        </w:rPr>
        <w:t>accountants</w:t>
      </w:r>
      <w:r w:rsidR="00E050AE" w:rsidRPr="008A3B86">
        <w:rPr>
          <w:rFonts w:ascii="Georgia" w:hAnsi="Georgia" w:cs="Arial"/>
          <w:sz w:val="24"/>
          <w:szCs w:val="24"/>
        </w:rPr>
        <w:t xml:space="preserve"> </w:t>
      </w:r>
      <w:r w:rsidR="00F03D2A">
        <w:rPr>
          <w:rFonts w:ascii="Georgia" w:hAnsi="Georgia" w:cs="Arial"/>
          <w:sz w:val="24"/>
          <w:szCs w:val="24"/>
        </w:rPr>
        <w:t xml:space="preserve">and </w:t>
      </w:r>
      <w:r w:rsidR="006D015C" w:rsidRPr="008A3B86">
        <w:rPr>
          <w:rFonts w:ascii="Georgia" w:hAnsi="Georgia" w:cs="Arial"/>
          <w:sz w:val="24"/>
          <w:szCs w:val="24"/>
        </w:rPr>
        <w:t xml:space="preserve">any other person reasonably </w:t>
      </w:r>
      <w:r w:rsidR="00EF3900" w:rsidRPr="008A3B86">
        <w:rPr>
          <w:rFonts w:ascii="Georgia" w:hAnsi="Georgia" w:cs="Arial"/>
          <w:sz w:val="24"/>
          <w:szCs w:val="24"/>
        </w:rPr>
        <w:t>retained</w:t>
      </w:r>
      <w:r w:rsidR="006D015C" w:rsidRPr="008A3B86">
        <w:rPr>
          <w:rFonts w:ascii="Georgia" w:hAnsi="Georgia" w:cs="Arial"/>
          <w:sz w:val="24"/>
          <w:szCs w:val="24"/>
        </w:rPr>
        <w:t xml:space="preserve"> </w:t>
      </w:r>
      <w:r w:rsidR="00EF3900" w:rsidRPr="008A3B86">
        <w:rPr>
          <w:rFonts w:ascii="Georgia" w:hAnsi="Georgia" w:cs="Arial"/>
          <w:sz w:val="24"/>
          <w:szCs w:val="24"/>
        </w:rPr>
        <w:t xml:space="preserve">in connection with the provision of services. </w:t>
      </w:r>
      <w:r w:rsidR="00017B4F" w:rsidRPr="008A3B86">
        <w:rPr>
          <w:rFonts w:ascii="Georgia" w:hAnsi="Georgia" w:cs="Arial"/>
          <w:sz w:val="24"/>
          <w:szCs w:val="24"/>
        </w:rPr>
        <w:t xml:space="preserve"> </w:t>
      </w:r>
    </w:p>
    <w:p w14:paraId="560D5135" w14:textId="4E99C99D" w:rsidR="00F130D2" w:rsidRPr="00B65EF5" w:rsidRDefault="00F130D2" w:rsidP="00E35DC5">
      <w:pPr>
        <w:spacing w:after="160" w:line="259" w:lineRule="auto"/>
        <w:jc w:val="both"/>
        <w:rPr>
          <w:rFonts w:ascii="Georgia" w:hAnsi="Georgia" w:cs="Arial"/>
          <w:b/>
          <w:bCs/>
          <w:u w:val="single"/>
        </w:rPr>
      </w:pPr>
      <w:r w:rsidRPr="00B65EF5">
        <w:rPr>
          <w:rFonts w:ascii="Georgia" w:hAnsi="Georgia" w:cs="Arial"/>
          <w:b/>
          <w:bCs/>
          <w:u w:val="single"/>
        </w:rPr>
        <w:t>Findings</w:t>
      </w:r>
    </w:p>
    <w:p w14:paraId="1351BFA7" w14:textId="77777777" w:rsidR="00787748" w:rsidRPr="008A3B86" w:rsidRDefault="00884CF8" w:rsidP="009A5064">
      <w:pPr>
        <w:pStyle w:val="ListParagraph"/>
        <w:numPr>
          <w:ilvl w:val="0"/>
          <w:numId w:val="27"/>
        </w:numPr>
        <w:spacing w:after="0"/>
        <w:jc w:val="both"/>
        <w:rPr>
          <w:rFonts w:ascii="Georgia" w:hAnsi="Georgia" w:cs="Arial"/>
          <w:sz w:val="24"/>
          <w:szCs w:val="24"/>
        </w:rPr>
      </w:pPr>
      <w:r w:rsidRPr="008A3B86">
        <w:rPr>
          <w:rFonts w:ascii="Georgia" w:hAnsi="Georgia" w:cs="Arial"/>
          <w:sz w:val="24"/>
          <w:szCs w:val="24"/>
        </w:rPr>
        <w:t xml:space="preserve">The Tribunal found that each of the witnesses were </w:t>
      </w:r>
      <w:r w:rsidR="00244ED6" w:rsidRPr="008A3B86">
        <w:rPr>
          <w:rFonts w:ascii="Georgia" w:hAnsi="Georgia" w:cs="Arial"/>
          <w:sz w:val="24"/>
          <w:szCs w:val="24"/>
        </w:rPr>
        <w:t xml:space="preserve">credible, and it is unnecessary to address their evidence in detail. The Tribunal finds </w:t>
      </w:r>
      <w:r w:rsidR="00787748" w:rsidRPr="008A3B86">
        <w:rPr>
          <w:rFonts w:ascii="Georgia" w:hAnsi="Georgia" w:cs="Arial"/>
          <w:sz w:val="24"/>
          <w:szCs w:val="24"/>
        </w:rPr>
        <w:t xml:space="preserve">that the standard of property management has been poor. </w:t>
      </w:r>
    </w:p>
    <w:p w14:paraId="19247424" w14:textId="77777777" w:rsidR="00787748" w:rsidRPr="009A5064" w:rsidRDefault="00787748" w:rsidP="009A5064">
      <w:pPr>
        <w:ind w:left="66"/>
        <w:jc w:val="both"/>
        <w:rPr>
          <w:rFonts w:ascii="Georgia" w:hAnsi="Georgia" w:cs="Arial"/>
        </w:rPr>
      </w:pPr>
    </w:p>
    <w:p w14:paraId="1797CC0B" w14:textId="32F5FAB1" w:rsidR="00EE5AE2" w:rsidRPr="008A3B86" w:rsidRDefault="00EE5AE2" w:rsidP="009A5064">
      <w:pPr>
        <w:pStyle w:val="ListParagraph"/>
        <w:numPr>
          <w:ilvl w:val="0"/>
          <w:numId w:val="27"/>
        </w:numPr>
        <w:jc w:val="both"/>
        <w:rPr>
          <w:rFonts w:ascii="Georgia" w:hAnsi="Georgia" w:cs="Arial"/>
          <w:sz w:val="24"/>
          <w:szCs w:val="24"/>
        </w:rPr>
      </w:pPr>
      <w:r w:rsidRPr="008A3B86">
        <w:rPr>
          <w:rFonts w:ascii="Georgia" w:hAnsi="Georgia" w:cs="Arial"/>
          <w:sz w:val="24"/>
          <w:szCs w:val="24"/>
        </w:rPr>
        <w:t xml:space="preserve">The </w:t>
      </w:r>
      <w:r w:rsidR="00787748" w:rsidRPr="008A3B86">
        <w:rPr>
          <w:rFonts w:ascii="Georgia" w:hAnsi="Georgia" w:cs="Arial"/>
          <w:sz w:val="24"/>
          <w:szCs w:val="24"/>
        </w:rPr>
        <w:t xml:space="preserve">detailed </w:t>
      </w:r>
      <w:r w:rsidRPr="008A3B86">
        <w:rPr>
          <w:rFonts w:ascii="Georgia" w:hAnsi="Georgia" w:cs="Arial"/>
          <w:sz w:val="24"/>
          <w:szCs w:val="24"/>
        </w:rPr>
        <w:t xml:space="preserve">findings of the </w:t>
      </w:r>
      <w:r w:rsidR="00F03D2A">
        <w:rPr>
          <w:rFonts w:ascii="Georgia" w:hAnsi="Georgia" w:cs="Arial"/>
          <w:sz w:val="24"/>
          <w:szCs w:val="24"/>
        </w:rPr>
        <w:t>T</w:t>
      </w:r>
      <w:r w:rsidRPr="008A3B86">
        <w:rPr>
          <w:rFonts w:ascii="Georgia" w:hAnsi="Georgia" w:cs="Arial"/>
          <w:sz w:val="24"/>
          <w:szCs w:val="24"/>
        </w:rPr>
        <w:t>ribunal are recorded for the most part on the appended Scott schedule supplemented</w:t>
      </w:r>
      <w:r w:rsidR="00495DC3" w:rsidRPr="008A3B86">
        <w:rPr>
          <w:rFonts w:ascii="Georgia" w:hAnsi="Georgia" w:cs="Arial"/>
          <w:sz w:val="24"/>
          <w:szCs w:val="24"/>
        </w:rPr>
        <w:t>,</w:t>
      </w:r>
      <w:r w:rsidRPr="008A3B86">
        <w:rPr>
          <w:rFonts w:ascii="Georgia" w:hAnsi="Georgia" w:cs="Arial"/>
          <w:sz w:val="24"/>
          <w:szCs w:val="24"/>
        </w:rPr>
        <w:t xml:space="preserve"> where appropriate</w:t>
      </w:r>
      <w:r w:rsidR="00495DC3" w:rsidRPr="008A3B86">
        <w:rPr>
          <w:rFonts w:ascii="Georgia" w:hAnsi="Georgia" w:cs="Arial"/>
          <w:sz w:val="24"/>
          <w:szCs w:val="24"/>
        </w:rPr>
        <w:t>,</w:t>
      </w:r>
      <w:r w:rsidRPr="008A3B86">
        <w:rPr>
          <w:rFonts w:ascii="Georgia" w:hAnsi="Georgia" w:cs="Arial"/>
          <w:sz w:val="24"/>
          <w:szCs w:val="24"/>
        </w:rPr>
        <w:t xml:space="preserve"> below.</w:t>
      </w:r>
    </w:p>
    <w:p w14:paraId="476CA447" w14:textId="745FCB98" w:rsidR="009A5064" w:rsidRDefault="009A5064">
      <w:pPr>
        <w:spacing w:after="160" w:line="259" w:lineRule="auto"/>
        <w:rPr>
          <w:rFonts w:ascii="Georgia" w:eastAsiaTheme="minorHAnsi" w:hAnsi="Georgia" w:cs="Arial"/>
          <w:lang w:eastAsia="en-US"/>
        </w:rPr>
      </w:pPr>
      <w:r>
        <w:rPr>
          <w:rFonts w:ascii="Georgia" w:hAnsi="Georgia" w:cs="Arial"/>
        </w:rPr>
        <w:br w:type="page"/>
      </w:r>
    </w:p>
    <w:p w14:paraId="7939A17C" w14:textId="7058B9A4" w:rsidR="00787748" w:rsidRPr="008A3B86" w:rsidRDefault="00031975" w:rsidP="00E35DC5">
      <w:pPr>
        <w:spacing w:after="160" w:line="259" w:lineRule="auto"/>
        <w:jc w:val="both"/>
        <w:rPr>
          <w:rFonts w:ascii="Georgia" w:hAnsi="Georgia" w:cs="Arial"/>
          <w:b/>
          <w:bCs/>
        </w:rPr>
      </w:pPr>
      <w:r w:rsidRPr="008A3B86">
        <w:rPr>
          <w:rFonts w:ascii="Georgia" w:hAnsi="Georgia" w:cs="Arial"/>
          <w:b/>
          <w:bCs/>
        </w:rPr>
        <w:lastRenderedPageBreak/>
        <w:t xml:space="preserve">Apportionment </w:t>
      </w:r>
    </w:p>
    <w:p w14:paraId="2F7C7AF7" w14:textId="219F3789" w:rsidR="00EE17B3" w:rsidRPr="009A5064" w:rsidRDefault="001E17E3" w:rsidP="009A5064">
      <w:pPr>
        <w:pStyle w:val="ListParagraph"/>
        <w:numPr>
          <w:ilvl w:val="0"/>
          <w:numId w:val="27"/>
        </w:numPr>
        <w:jc w:val="both"/>
        <w:rPr>
          <w:rFonts w:ascii="Georgia" w:hAnsi="Georgia" w:cs="Arial"/>
          <w:sz w:val="24"/>
          <w:szCs w:val="24"/>
        </w:rPr>
      </w:pPr>
      <w:r w:rsidRPr="009A5064">
        <w:rPr>
          <w:rFonts w:ascii="Georgia" w:hAnsi="Georgia" w:cs="Arial"/>
          <w:sz w:val="24"/>
          <w:szCs w:val="24"/>
        </w:rPr>
        <w:t xml:space="preserve">The jurisdiction of the </w:t>
      </w:r>
      <w:r w:rsidR="00F336CB" w:rsidRPr="009A5064">
        <w:rPr>
          <w:rFonts w:ascii="Georgia" w:hAnsi="Georgia" w:cs="Arial"/>
          <w:sz w:val="24"/>
          <w:szCs w:val="24"/>
        </w:rPr>
        <w:t>Tribunal</w:t>
      </w:r>
      <w:r w:rsidRPr="009A5064">
        <w:rPr>
          <w:rFonts w:ascii="Georgia" w:hAnsi="Georgia" w:cs="Arial"/>
          <w:sz w:val="24"/>
          <w:szCs w:val="24"/>
        </w:rPr>
        <w:t xml:space="preserve"> </w:t>
      </w:r>
      <w:r w:rsidR="001C06C6" w:rsidRPr="009A5064">
        <w:rPr>
          <w:rFonts w:ascii="Georgia" w:hAnsi="Georgia" w:cs="Arial"/>
          <w:sz w:val="24"/>
          <w:szCs w:val="24"/>
        </w:rPr>
        <w:t xml:space="preserve">to </w:t>
      </w:r>
      <w:r w:rsidR="00FF7291" w:rsidRPr="009A5064">
        <w:rPr>
          <w:rFonts w:ascii="Georgia" w:hAnsi="Georgia" w:cs="Arial"/>
          <w:sz w:val="24"/>
          <w:szCs w:val="24"/>
        </w:rPr>
        <w:t xml:space="preserve">intervene in service charge apportionments </w:t>
      </w:r>
      <w:r w:rsidRPr="009A5064">
        <w:rPr>
          <w:rFonts w:ascii="Georgia" w:hAnsi="Georgia" w:cs="Arial"/>
          <w:sz w:val="24"/>
          <w:szCs w:val="24"/>
        </w:rPr>
        <w:t xml:space="preserve">was considered </w:t>
      </w:r>
      <w:r w:rsidR="00CC1455" w:rsidRPr="009A5064">
        <w:rPr>
          <w:rFonts w:ascii="Georgia" w:hAnsi="Georgia" w:cs="Arial"/>
          <w:sz w:val="24"/>
          <w:szCs w:val="24"/>
        </w:rPr>
        <w:t xml:space="preserve">by the Upper Tribunal Lands Chamber </w:t>
      </w:r>
      <w:r w:rsidRPr="009A5064">
        <w:rPr>
          <w:rFonts w:ascii="Georgia" w:hAnsi="Georgia" w:cs="Arial"/>
          <w:sz w:val="24"/>
          <w:szCs w:val="24"/>
        </w:rPr>
        <w:t xml:space="preserve">in </w:t>
      </w:r>
      <w:r w:rsidR="00EE17B3" w:rsidRPr="009A5064">
        <w:rPr>
          <w:rFonts w:ascii="Georgia" w:hAnsi="Georgia" w:cs="Arial"/>
          <w:sz w:val="24"/>
          <w:szCs w:val="24"/>
        </w:rPr>
        <w:t>Dr Lellis Francis Braganza v The Riverside Group Limited</w:t>
      </w:r>
      <w:r w:rsidR="00CC1455" w:rsidRPr="009A5064">
        <w:rPr>
          <w:rFonts w:ascii="Georgia" w:hAnsi="Georgia" w:cs="Arial"/>
          <w:sz w:val="24"/>
          <w:szCs w:val="24"/>
        </w:rPr>
        <w:t xml:space="preserve"> [2023] UKUT 243 (LC).</w:t>
      </w:r>
      <w:r w:rsidR="00F336CB" w:rsidRPr="009A5064">
        <w:rPr>
          <w:rFonts w:ascii="Georgia" w:hAnsi="Georgia" w:cs="Arial"/>
          <w:sz w:val="24"/>
          <w:szCs w:val="24"/>
        </w:rPr>
        <w:t xml:space="preserve"> There the Tribunal </w:t>
      </w:r>
      <w:r w:rsidR="001C06C6" w:rsidRPr="009A5064">
        <w:rPr>
          <w:rFonts w:ascii="Georgia" w:hAnsi="Georgia" w:cs="Arial"/>
          <w:sz w:val="24"/>
          <w:szCs w:val="24"/>
        </w:rPr>
        <w:t>said:</w:t>
      </w:r>
    </w:p>
    <w:p w14:paraId="2C9FA891" w14:textId="0530BDBF" w:rsidR="002552B3" w:rsidRPr="008A3B86" w:rsidRDefault="001C06C6" w:rsidP="00E35DC5">
      <w:pPr>
        <w:widowControl w:val="0"/>
        <w:autoSpaceDE w:val="0"/>
        <w:autoSpaceDN w:val="0"/>
        <w:adjustRightInd w:val="0"/>
        <w:spacing w:before="260" w:after="260"/>
        <w:ind w:left="1134" w:right="799"/>
        <w:jc w:val="both"/>
        <w:rPr>
          <w:rFonts w:ascii="Georgia" w:hAnsi="Georgia"/>
          <w:color w:val="000000"/>
        </w:rPr>
      </w:pPr>
      <w:r w:rsidRPr="008A3B86">
        <w:rPr>
          <w:rFonts w:ascii="Georgia" w:hAnsi="Georgia"/>
          <w:color w:val="000000"/>
        </w:rPr>
        <w:t>“</w:t>
      </w:r>
      <w:r w:rsidR="002552B3" w:rsidRPr="008A3B86">
        <w:rPr>
          <w:rFonts w:ascii="Georgia" w:hAnsi="Georgia"/>
          <w:color w:val="000000"/>
        </w:rPr>
        <w:t xml:space="preserve">45.  </w:t>
      </w:r>
      <w:r w:rsidRPr="008A3B86">
        <w:rPr>
          <w:rFonts w:ascii="Georgia" w:hAnsi="Georgia"/>
          <w:color w:val="000000"/>
        </w:rPr>
        <w:t>…</w:t>
      </w:r>
      <w:r w:rsidR="002552B3" w:rsidRPr="008A3B86">
        <w:rPr>
          <w:rFonts w:ascii="Georgia" w:hAnsi="Georgia"/>
          <w:color w:val="000000"/>
        </w:rPr>
        <w:t xml:space="preserve">the FTT’s only task when a leaseholder challenges a discretionary apportionment made by a landlord or its surveyor will be to consider whether the apportionment was “rational”, in the sense that it was made in good faith and not arbitrarily or </w:t>
      </w:r>
      <w:proofErr w:type="gramStart"/>
      <w:r w:rsidR="002552B3" w:rsidRPr="008A3B86">
        <w:rPr>
          <w:rFonts w:ascii="Georgia" w:hAnsi="Georgia"/>
          <w:color w:val="000000"/>
        </w:rPr>
        <w:t>capriciously,</w:t>
      </w:r>
      <w:r w:rsidR="004F0C2B">
        <w:rPr>
          <w:rFonts w:ascii="Georgia" w:hAnsi="Georgia"/>
          <w:color w:val="000000"/>
        </w:rPr>
        <w:t xml:space="preserve"> </w:t>
      </w:r>
      <w:r w:rsidR="002552B3" w:rsidRPr="008A3B86">
        <w:rPr>
          <w:rFonts w:ascii="Georgia" w:hAnsi="Georgia"/>
          <w:color w:val="000000"/>
        </w:rPr>
        <w:t>and</w:t>
      </w:r>
      <w:proofErr w:type="gramEnd"/>
      <w:r w:rsidR="002552B3" w:rsidRPr="008A3B86">
        <w:rPr>
          <w:rFonts w:ascii="Georgia" w:hAnsi="Georgia"/>
          <w:color w:val="000000"/>
        </w:rPr>
        <w:t xml:space="preserve"> was arrived at taking into consideration all relevant matters and disregarding irrelevant matters. Unless for one of those reasons the decision was not one which any reasonable landlord could make, the FTT must apply it, and may not substitute an alternative apportionment of its own.</w:t>
      </w:r>
      <w:r w:rsidRPr="008A3B86">
        <w:rPr>
          <w:rFonts w:ascii="Georgia" w:hAnsi="Georgia"/>
          <w:color w:val="000000"/>
        </w:rPr>
        <w:t>”</w:t>
      </w:r>
    </w:p>
    <w:p w14:paraId="32AC4F95" w14:textId="640374B0" w:rsidR="00D45036" w:rsidRDefault="00905E96" w:rsidP="009A5064">
      <w:pPr>
        <w:pStyle w:val="ListParagraph"/>
        <w:numPr>
          <w:ilvl w:val="0"/>
          <w:numId w:val="27"/>
        </w:numPr>
        <w:jc w:val="both"/>
        <w:rPr>
          <w:rFonts w:ascii="Georgia" w:hAnsi="Georgia" w:cs="Arial"/>
          <w:sz w:val="24"/>
          <w:szCs w:val="24"/>
        </w:rPr>
      </w:pPr>
      <w:r w:rsidRPr="008A3B86">
        <w:rPr>
          <w:rFonts w:ascii="Georgia" w:hAnsi="Georgia" w:cs="Arial"/>
          <w:sz w:val="24"/>
          <w:szCs w:val="24"/>
        </w:rPr>
        <w:t>In the present case</w:t>
      </w:r>
      <w:r w:rsidR="00FD1036" w:rsidRPr="008A3B86">
        <w:rPr>
          <w:rFonts w:ascii="Georgia" w:hAnsi="Georgia" w:cs="Arial"/>
          <w:sz w:val="24"/>
          <w:szCs w:val="24"/>
        </w:rPr>
        <w:t xml:space="preserve"> the </w:t>
      </w:r>
      <w:r w:rsidR="00817159">
        <w:rPr>
          <w:rFonts w:ascii="Georgia" w:hAnsi="Georgia" w:cs="Arial"/>
          <w:sz w:val="24"/>
          <w:szCs w:val="24"/>
        </w:rPr>
        <w:t>Applicant</w:t>
      </w:r>
      <w:r w:rsidR="00FD1036" w:rsidRPr="008A3B86">
        <w:rPr>
          <w:rFonts w:ascii="Georgia" w:hAnsi="Georgia" w:cs="Arial"/>
          <w:sz w:val="24"/>
          <w:szCs w:val="24"/>
        </w:rPr>
        <w:t xml:space="preserve"> in answer to the question posed by the </w:t>
      </w:r>
      <w:r w:rsidR="00B65EF5">
        <w:rPr>
          <w:rFonts w:ascii="Georgia" w:hAnsi="Georgia" w:cs="Arial"/>
          <w:sz w:val="24"/>
          <w:szCs w:val="24"/>
        </w:rPr>
        <w:t>T</w:t>
      </w:r>
      <w:r w:rsidR="00FD1036" w:rsidRPr="008A3B86">
        <w:rPr>
          <w:rFonts w:ascii="Georgia" w:hAnsi="Georgia" w:cs="Arial"/>
          <w:sz w:val="24"/>
          <w:szCs w:val="24"/>
        </w:rPr>
        <w:t>ribunal stated that there was a range of differing property sizes within the building ranging from studio to three-bedroom</w:t>
      </w:r>
      <w:r w:rsidR="00F03D2A">
        <w:rPr>
          <w:rFonts w:ascii="Georgia" w:hAnsi="Georgia" w:cs="Arial"/>
          <w:sz w:val="24"/>
          <w:szCs w:val="24"/>
        </w:rPr>
        <w:t xml:space="preserve"> (see above)</w:t>
      </w:r>
      <w:r w:rsidR="00FD1036" w:rsidRPr="008A3B86">
        <w:rPr>
          <w:rFonts w:ascii="Georgia" w:hAnsi="Georgia" w:cs="Arial"/>
          <w:sz w:val="24"/>
          <w:szCs w:val="24"/>
        </w:rPr>
        <w:t>.</w:t>
      </w:r>
      <w:r w:rsidR="00C95C1E" w:rsidRPr="008A3B86">
        <w:rPr>
          <w:rFonts w:ascii="Georgia" w:hAnsi="Georgia" w:cs="Arial"/>
          <w:sz w:val="24"/>
          <w:szCs w:val="24"/>
        </w:rPr>
        <w:t xml:space="preserve"> His </w:t>
      </w:r>
      <w:r w:rsidR="00F03D2A">
        <w:rPr>
          <w:rFonts w:ascii="Georgia" w:hAnsi="Georgia" w:cs="Arial"/>
          <w:sz w:val="24"/>
          <w:szCs w:val="24"/>
        </w:rPr>
        <w:t xml:space="preserve">position </w:t>
      </w:r>
      <w:r w:rsidR="00C95C1E" w:rsidRPr="008A3B86">
        <w:rPr>
          <w:rFonts w:ascii="Georgia" w:hAnsi="Georgia" w:cs="Arial"/>
          <w:sz w:val="24"/>
          <w:szCs w:val="24"/>
        </w:rPr>
        <w:t xml:space="preserve">was based on an equal apportionment of 54 flats. No expert evidence was </w:t>
      </w:r>
      <w:r w:rsidR="00B65EF5">
        <w:rPr>
          <w:rFonts w:ascii="Georgia" w:hAnsi="Georgia" w:cs="Arial"/>
          <w:sz w:val="24"/>
          <w:szCs w:val="24"/>
        </w:rPr>
        <w:t xml:space="preserve">called </w:t>
      </w:r>
      <w:r w:rsidR="00C95C1E" w:rsidRPr="008A3B86">
        <w:rPr>
          <w:rFonts w:ascii="Georgia" w:hAnsi="Georgia" w:cs="Arial"/>
          <w:sz w:val="24"/>
          <w:szCs w:val="24"/>
        </w:rPr>
        <w:t>on his behalf</w:t>
      </w:r>
      <w:r w:rsidR="0024768B" w:rsidRPr="008A3B86">
        <w:rPr>
          <w:rFonts w:ascii="Georgia" w:hAnsi="Georgia" w:cs="Arial"/>
          <w:sz w:val="24"/>
          <w:szCs w:val="24"/>
        </w:rPr>
        <w:t xml:space="preserve"> </w:t>
      </w:r>
      <w:r w:rsidR="008A3B86">
        <w:rPr>
          <w:rFonts w:ascii="Georgia" w:hAnsi="Georgia" w:cs="Arial"/>
          <w:sz w:val="24"/>
          <w:szCs w:val="24"/>
        </w:rPr>
        <w:t xml:space="preserve">to </w:t>
      </w:r>
      <w:r w:rsidR="0024768B" w:rsidRPr="008A3B86">
        <w:rPr>
          <w:rFonts w:ascii="Georgia" w:hAnsi="Georgia" w:cs="Arial"/>
          <w:sz w:val="24"/>
          <w:szCs w:val="24"/>
        </w:rPr>
        <w:t>further justify his case. In the absence of</w:t>
      </w:r>
      <w:r w:rsidR="00774B3B" w:rsidRPr="008A3B86">
        <w:rPr>
          <w:rFonts w:ascii="Georgia" w:hAnsi="Georgia" w:cs="Arial"/>
          <w:sz w:val="24"/>
          <w:szCs w:val="24"/>
        </w:rPr>
        <w:t xml:space="preserve"> such evidence</w:t>
      </w:r>
      <w:r w:rsidR="00F03D2A">
        <w:rPr>
          <w:rFonts w:ascii="Georgia" w:hAnsi="Georgia" w:cs="Arial"/>
          <w:sz w:val="24"/>
          <w:szCs w:val="24"/>
        </w:rPr>
        <w:t>, as the flats are of unequal size,</w:t>
      </w:r>
      <w:r w:rsidR="00774B3B" w:rsidRPr="008A3B86">
        <w:rPr>
          <w:rFonts w:ascii="Georgia" w:hAnsi="Georgia" w:cs="Arial"/>
          <w:sz w:val="24"/>
          <w:szCs w:val="24"/>
        </w:rPr>
        <w:t xml:space="preserve"> there is no basis upon which the </w:t>
      </w:r>
      <w:r w:rsidR="00F03D2A">
        <w:rPr>
          <w:rFonts w:ascii="Georgia" w:hAnsi="Georgia" w:cs="Arial"/>
          <w:sz w:val="24"/>
          <w:szCs w:val="24"/>
        </w:rPr>
        <w:t>T</w:t>
      </w:r>
      <w:r w:rsidR="00774B3B" w:rsidRPr="008A3B86">
        <w:rPr>
          <w:rFonts w:ascii="Georgia" w:hAnsi="Georgia" w:cs="Arial"/>
          <w:sz w:val="24"/>
          <w:szCs w:val="24"/>
        </w:rPr>
        <w:t xml:space="preserve">ribunal could find that the apportionment adopted by the landlord </w:t>
      </w:r>
      <w:r w:rsidR="00B674EB" w:rsidRPr="008A3B86">
        <w:rPr>
          <w:rFonts w:ascii="Georgia" w:hAnsi="Georgia" w:cs="Arial"/>
          <w:sz w:val="24"/>
          <w:szCs w:val="24"/>
        </w:rPr>
        <w:t>is arbitrary or</w:t>
      </w:r>
      <w:r w:rsidR="00E125B9" w:rsidRPr="008A3B86">
        <w:rPr>
          <w:rFonts w:ascii="Georgia" w:hAnsi="Georgia" w:cs="Arial"/>
          <w:sz w:val="24"/>
          <w:szCs w:val="24"/>
        </w:rPr>
        <w:t xml:space="preserve"> capricious. </w:t>
      </w:r>
      <w:proofErr w:type="gramStart"/>
      <w:r w:rsidR="00E125B9" w:rsidRPr="008A3B86">
        <w:rPr>
          <w:rFonts w:ascii="Georgia" w:hAnsi="Georgia" w:cs="Arial"/>
          <w:sz w:val="24"/>
          <w:szCs w:val="24"/>
        </w:rPr>
        <w:t>Accordingly</w:t>
      </w:r>
      <w:proofErr w:type="gramEnd"/>
      <w:r w:rsidR="00E125B9" w:rsidRPr="008A3B86">
        <w:rPr>
          <w:rFonts w:ascii="Georgia" w:hAnsi="Georgia" w:cs="Arial"/>
          <w:sz w:val="24"/>
          <w:szCs w:val="24"/>
        </w:rPr>
        <w:t xml:space="preserve"> this part of his</w:t>
      </w:r>
      <w:r w:rsidR="00473F62" w:rsidRPr="008A3B86">
        <w:rPr>
          <w:rFonts w:ascii="Georgia" w:hAnsi="Georgia" w:cs="Arial"/>
          <w:sz w:val="24"/>
          <w:szCs w:val="24"/>
        </w:rPr>
        <w:t xml:space="preserve"> application fails.</w:t>
      </w:r>
    </w:p>
    <w:p w14:paraId="6E6399AA" w14:textId="77777777" w:rsidR="00B65EF5" w:rsidRPr="00B65EF5" w:rsidRDefault="00B65EF5" w:rsidP="00E35DC5">
      <w:pPr>
        <w:ind w:left="66"/>
        <w:jc w:val="both"/>
        <w:rPr>
          <w:rFonts w:ascii="Georgia" w:hAnsi="Georgia" w:cs="Arial"/>
        </w:rPr>
      </w:pPr>
    </w:p>
    <w:p w14:paraId="233E2D1B" w14:textId="1AF61FE0" w:rsidR="00BE6668" w:rsidRDefault="00BE6668" w:rsidP="00E35DC5">
      <w:pPr>
        <w:jc w:val="both"/>
        <w:rPr>
          <w:rFonts w:ascii="Georgia" w:hAnsi="Georgia" w:cs="Arial"/>
          <w:b/>
        </w:rPr>
      </w:pPr>
      <w:r w:rsidRPr="00897D89">
        <w:rPr>
          <w:rFonts w:ascii="Georgia" w:hAnsi="Georgia" w:cs="Arial"/>
          <w:b/>
        </w:rPr>
        <w:t xml:space="preserve">Expulsion of </w:t>
      </w:r>
      <w:proofErr w:type="spellStart"/>
      <w:r w:rsidRPr="00897D89">
        <w:rPr>
          <w:rFonts w:ascii="Georgia" w:hAnsi="Georgia" w:cs="Arial"/>
          <w:b/>
        </w:rPr>
        <w:t>Fountayne</w:t>
      </w:r>
      <w:proofErr w:type="spellEnd"/>
      <w:r w:rsidRPr="00897D89">
        <w:rPr>
          <w:rFonts w:ascii="Georgia" w:hAnsi="Georgia" w:cs="Arial"/>
          <w:b/>
        </w:rPr>
        <w:t xml:space="preserve"> </w:t>
      </w:r>
      <w:r w:rsidR="00521635">
        <w:rPr>
          <w:rFonts w:ascii="Georgia" w:hAnsi="Georgia" w:cs="Arial"/>
          <w:b/>
        </w:rPr>
        <w:t xml:space="preserve">Managing Limited </w:t>
      </w:r>
      <w:r w:rsidR="00897D89" w:rsidRPr="00897D89">
        <w:rPr>
          <w:rFonts w:ascii="Georgia" w:hAnsi="Georgia" w:cs="Arial"/>
          <w:b/>
        </w:rPr>
        <w:t xml:space="preserve">from the Property Redress Scheme </w:t>
      </w:r>
      <w:r w:rsidR="00C81EE9">
        <w:rPr>
          <w:rFonts w:ascii="Georgia" w:hAnsi="Georgia" w:cs="Arial"/>
          <w:b/>
        </w:rPr>
        <w:t>(“PRS”)</w:t>
      </w:r>
    </w:p>
    <w:p w14:paraId="1B6E526E" w14:textId="77777777" w:rsidR="00897D89" w:rsidRDefault="00897D89" w:rsidP="00E35DC5">
      <w:pPr>
        <w:jc w:val="both"/>
        <w:rPr>
          <w:rFonts w:ascii="Georgia" w:hAnsi="Georgia" w:cs="Arial"/>
          <w:b/>
        </w:rPr>
      </w:pPr>
    </w:p>
    <w:p w14:paraId="75F3972C" w14:textId="7D4E2C50" w:rsidR="00897D89" w:rsidRPr="00C36D4D" w:rsidRDefault="00C36D4D" w:rsidP="009A5064">
      <w:pPr>
        <w:pStyle w:val="ListParagraph"/>
        <w:numPr>
          <w:ilvl w:val="0"/>
          <w:numId w:val="27"/>
        </w:numPr>
        <w:jc w:val="both"/>
        <w:rPr>
          <w:rFonts w:ascii="Georgia" w:hAnsi="Georgia" w:cs="Arial"/>
          <w:sz w:val="24"/>
          <w:szCs w:val="24"/>
        </w:rPr>
      </w:pPr>
      <w:r>
        <w:rPr>
          <w:rFonts w:ascii="Georgia" w:hAnsi="Georgia" w:cs="Arial"/>
          <w:sz w:val="24"/>
          <w:szCs w:val="24"/>
        </w:rPr>
        <w:t xml:space="preserve">The </w:t>
      </w:r>
      <w:r w:rsidR="00646464">
        <w:rPr>
          <w:rFonts w:ascii="Georgia" w:hAnsi="Georgia" w:cs="Arial"/>
          <w:sz w:val="24"/>
          <w:szCs w:val="24"/>
        </w:rPr>
        <w:t xml:space="preserve">submission </w:t>
      </w:r>
      <w:r>
        <w:rPr>
          <w:rFonts w:ascii="Georgia" w:hAnsi="Georgia" w:cs="Arial"/>
          <w:sz w:val="24"/>
          <w:szCs w:val="24"/>
        </w:rPr>
        <w:t xml:space="preserve">was that </w:t>
      </w:r>
      <w:proofErr w:type="spellStart"/>
      <w:r>
        <w:rPr>
          <w:rFonts w:ascii="Georgia" w:hAnsi="Georgia" w:cs="Arial"/>
          <w:sz w:val="24"/>
          <w:szCs w:val="24"/>
        </w:rPr>
        <w:t>Fountayne</w:t>
      </w:r>
      <w:proofErr w:type="spellEnd"/>
      <w:r>
        <w:rPr>
          <w:rFonts w:ascii="Georgia" w:hAnsi="Georgia" w:cs="Arial"/>
          <w:sz w:val="24"/>
          <w:szCs w:val="24"/>
        </w:rPr>
        <w:t xml:space="preserve"> was not </w:t>
      </w:r>
      <w:r w:rsidR="00781440">
        <w:rPr>
          <w:rFonts w:ascii="Georgia" w:hAnsi="Georgia" w:cs="Arial"/>
          <w:sz w:val="24"/>
          <w:szCs w:val="24"/>
        </w:rPr>
        <w:t xml:space="preserve">entitled to operate during its period of expulsion. </w:t>
      </w:r>
      <w:r w:rsidR="00081FB6" w:rsidRPr="00C36D4D">
        <w:rPr>
          <w:rFonts w:ascii="Georgia" w:hAnsi="Georgia" w:cs="Arial"/>
          <w:sz w:val="24"/>
          <w:szCs w:val="24"/>
        </w:rPr>
        <w:t>Th</w:t>
      </w:r>
      <w:r w:rsidR="00781440">
        <w:rPr>
          <w:rFonts w:ascii="Georgia" w:hAnsi="Georgia" w:cs="Arial"/>
          <w:sz w:val="24"/>
          <w:szCs w:val="24"/>
        </w:rPr>
        <w:t>at</w:t>
      </w:r>
      <w:r w:rsidR="00081FB6" w:rsidRPr="00C36D4D">
        <w:rPr>
          <w:rFonts w:ascii="Georgia" w:hAnsi="Georgia" w:cs="Arial"/>
          <w:sz w:val="24"/>
          <w:szCs w:val="24"/>
        </w:rPr>
        <w:t xml:space="preserve"> is not a matter </w:t>
      </w:r>
      <w:r w:rsidR="00A4489B" w:rsidRPr="00C36D4D">
        <w:rPr>
          <w:rFonts w:ascii="Georgia" w:hAnsi="Georgia" w:cs="Arial"/>
          <w:sz w:val="24"/>
          <w:szCs w:val="24"/>
        </w:rPr>
        <w:t>for which the Tribunal has jurisdiction</w:t>
      </w:r>
      <w:r w:rsidR="00646464">
        <w:rPr>
          <w:rFonts w:ascii="Georgia" w:hAnsi="Georgia" w:cs="Arial"/>
          <w:sz w:val="24"/>
          <w:szCs w:val="24"/>
        </w:rPr>
        <w:t xml:space="preserve"> to </w:t>
      </w:r>
      <w:r w:rsidR="00C81EE9">
        <w:rPr>
          <w:rFonts w:ascii="Georgia" w:hAnsi="Georgia" w:cs="Arial"/>
          <w:sz w:val="24"/>
          <w:szCs w:val="24"/>
        </w:rPr>
        <w:t>determine</w:t>
      </w:r>
      <w:r w:rsidRPr="00C36D4D">
        <w:rPr>
          <w:rFonts w:ascii="Georgia" w:hAnsi="Georgia" w:cs="Arial"/>
          <w:sz w:val="24"/>
          <w:szCs w:val="24"/>
        </w:rPr>
        <w:t>. The status of the managing agent within th</w:t>
      </w:r>
      <w:r w:rsidR="00C81EE9">
        <w:rPr>
          <w:rFonts w:ascii="Georgia" w:hAnsi="Georgia" w:cs="Arial"/>
          <w:sz w:val="24"/>
          <w:szCs w:val="24"/>
        </w:rPr>
        <w:t xml:space="preserve">e PRS </w:t>
      </w:r>
      <w:r w:rsidRPr="00C36D4D">
        <w:rPr>
          <w:rFonts w:ascii="Georgia" w:hAnsi="Georgia" w:cs="Arial"/>
          <w:sz w:val="24"/>
          <w:szCs w:val="24"/>
        </w:rPr>
        <w:t>scheme does not affect the jurisdiction of the Tribunal to make its findings</w:t>
      </w:r>
      <w:r w:rsidR="00781440">
        <w:rPr>
          <w:rFonts w:ascii="Georgia" w:hAnsi="Georgia" w:cs="Arial"/>
          <w:sz w:val="24"/>
          <w:szCs w:val="24"/>
        </w:rPr>
        <w:t xml:space="preserve"> under</w:t>
      </w:r>
      <w:r w:rsidR="00E84231">
        <w:rPr>
          <w:rFonts w:ascii="Georgia" w:hAnsi="Georgia" w:cs="Arial"/>
          <w:sz w:val="24"/>
          <w:szCs w:val="24"/>
        </w:rPr>
        <w:t xml:space="preserve"> the 1985 and 2002 Acts</w:t>
      </w:r>
      <w:r w:rsidRPr="00C36D4D">
        <w:rPr>
          <w:rFonts w:ascii="Georgia" w:hAnsi="Georgia" w:cs="Arial"/>
          <w:sz w:val="24"/>
          <w:szCs w:val="24"/>
        </w:rPr>
        <w:t xml:space="preserve">. </w:t>
      </w:r>
    </w:p>
    <w:p w14:paraId="251A5E49" w14:textId="77777777" w:rsidR="005269C6" w:rsidRPr="005269C6" w:rsidRDefault="005269C6" w:rsidP="00E35DC5">
      <w:pPr>
        <w:ind w:left="66"/>
        <w:jc w:val="both"/>
        <w:rPr>
          <w:rFonts w:ascii="Georgia" w:hAnsi="Georgia" w:cs="Arial"/>
        </w:rPr>
      </w:pPr>
    </w:p>
    <w:p w14:paraId="76D6B95F" w14:textId="3B06E5C9" w:rsidR="00473F62" w:rsidRPr="008A3B86" w:rsidRDefault="00473F62" w:rsidP="00E35DC5">
      <w:pPr>
        <w:jc w:val="both"/>
        <w:rPr>
          <w:rFonts w:ascii="Georgia" w:hAnsi="Georgia" w:cs="Arial"/>
          <w:b/>
        </w:rPr>
      </w:pPr>
      <w:r w:rsidRPr="008A3B86">
        <w:rPr>
          <w:rFonts w:ascii="Georgia" w:hAnsi="Georgia" w:cs="Arial"/>
          <w:b/>
        </w:rPr>
        <w:t>Orders under section 20C</w:t>
      </w:r>
      <w:r w:rsidR="003C3A7E" w:rsidRPr="008A3B86">
        <w:rPr>
          <w:rFonts w:ascii="Georgia" w:hAnsi="Georgia" w:cs="Arial"/>
          <w:b/>
        </w:rPr>
        <w:t xml:space="preserve"> of the 1985 Act and paragraph 5A schedule 11 of the 2002</w:t>
      </w:r>
      <w:r w:rsidR="0093664F" w:rsidRPr="008A3B86">
        <w:rPr>
          <w:rFonts w:ascii="Georgia" w:hAnsi="Georgia" w:cs="Arial"/>
          <w:b/>
        </w:rPr>
        <w:t xml:space="preserve"> Act.</w:t>
      </w:r>
    </w:p>
    <w:p w14:paraId="5E0422ED" w14:textId="77777777" w:rsidR="0093664F" w:rsidRPr="008A3B86" w:rsidRDefault="0093664F" w:rsidP="00E35DC5">
      <w:pPr>
        <w:jc w:val="both"/>
        <w:rPr>
          <w:rFonts w:ascii="Georgia" w:hAnsi="Georgia" w:cs="Arial"/>
          <w:b/>
        </w:rPr>
      </w:pPr>
    </w:p>
    <w:p w14:paraId="4863E3DD" w14:textId="6C6DD39D" w:rsidR="005269C6" w:rsidRDefault="004A4F80" w:rsidP="009A5064">
      <w:pPr>
        <w:pStyle w:val="ListParagraph"/>
        <w:numPr>
          <w:ilvl w:val="0"/>
          <w:numId w:val="27"/>
        </w:numPr>
        <w:jc w:val="both"/>
        <w:rPr>
          <w:rFonts w:ascii="Georgia" w:hAnsi="Georgia" w:cs="Arial"/>
          <w:sz w:val="24"/>
          <w:szCs w:val="24"/>
        </w:rPr>
      </w:pPr>
      <w:r w:rsidRPr="00280BEC">
        <w:rPr>
          <w:rFonts w:ascii="Georgia" w:hAnsi="Georgia" w:cs="Arial"/>
          <w:sz w:val="24"/>
          <w:szCs w:val="24"/>
        </w:rPr>
        <w:t xml:space="preserve">The </w:t>
      </w:r>
      <w:r w:rsidR="00817159">
        <w:rPr>
          <w:rFonts w:ascii="Georgia" w:hAnsi="Georgia" w:cs="Arial"/>
          <w:sz w:val="24"/>
          <w:szCs w:val="24"/>
        </w:rPr>
        <w:t>Applicant</w:t>
      </w:r>
      <w:r w:rsidR="0015276F" w:rsidRPr="00280BEC">
        <w:rPr>
          <w:rFonts w:ascii="Georgia" w:hAnsi="Georgia" w:cs="Arial"/>
          <w:sz w:val="24"/>
          <w:szCs w:val="24"/>
        </w:rPr>
        <w:t xml:space="preserve"> has been </w:t>
      </w:r>
      <w:r w:rsidR="0068230F" w:rsidRPr="00280BEC">
        <w:rPr>
          <w:rFonts w:ascii="Georgia" w:hAnsi="Georgia" w:cs="Arial"/>
          <w:sz w:val="24"/>
          <w:szCs w:val="24"/>
        </w:rPr>
        <w:t xml:space="preserve">partially </w:t>
      </w:r>
      <w:r w:rsidR="00141045" w:rsidRPr="00280BEC">
        <w:rPr>
          <w:rFonts w:ascii="Georgia" w:hAnsi="Georgia" w:cs="Arial"/>
          <w:sz w:val="24"/>
          <w:szCs w:val="24"/>
        </w:rPr>
        <w:t>successful,</w:t>
      </w:r>
      <w:r w:rsidR="0015276F" w:rsidRPr="00280BEC">
        <w:rPr>
          <w:rFonts w:ascii="Georgia" w:hAnsi="Georgia" w:cs="Arial"/>
          <w:sz w:val="24"/>
          <w:szCs w:val="24"/>
        </w:rPr>
        <w:t xml:space="preserve"> </w:t>
      </w:r>
      <w:r w:rsidR="00640D12" w:rsidRPr="00280BEC">
        <w:rPr>
          <w:rFonts w:ascii="Georgia" w:hAnsi="Georgia" w:cs="Arial"/>
          <w:sz w:val="24"/>
          <w:szCs w:val="24"/>
        </w:rPr>
        <w:t xml:space="preserve">and </w:t>
      </w:r>
      <w:r w:rsidR="0068230F" w:rsidRPr="00280BEC">
        <w:rPr>
          <w:rFonts w:ascii="Georgia" w:hAnsi="Georgia" w:cs="Arial"/>
          <w:sz w:val="24"/>
          <w:szCs w:val="24"/>
        </w:rPr>
        <w:t xml:space="preserve">it was clear to the Tribunal that this </w:t>
      </w:r>
      <w:r w:rsidR="00B65EF5">
        <w:rPr>
          <w:rFonts w:ascii="Georgia" w:hAnsi="Georgia" w:cs="Arial"/>
          <w:sz w:val="24"/>
          <w:szCs w:val="24"/>
        </w:rPr>
        <w:t xml:space="preserve">success </w:t>
      </w:r>
      <w:r w:rsidR="00640D12" w:rsidRPr="00280BEC">
        <w:rPr>
          <w:rFonts w:ascii="Georgia" w:hAnsi="Georgia" w:cs="Arial"/>
          <w:sz w:val="24"/>
          <w:szCs w:val="24"/>
        </w:rPr>
        <w:t xml:space="preserve">would not have been achieved without the application being made. The </w:t>
      </w:r>
      <w:r w:rsidR="00817159">
        <w:rPr>
          <w:rFonts w:ascii="Georgia" w:hAnsi="Georgia" w:cs="Arial"/>
          <w:sz w:val="24"/>
          <w:szCs w:val="24"/>
        </w:rPr>
        <w:t>Respondent</w:t>
      </w:r>
      <w:r w:rsidR="00640D12" w:rsidRPr="00280BEC">
        <w:rPr>
          <w:rFonts w:ascii="Georgia" w:hAnsi="Georgia" w:cs="Arial"/>
          <w:sz w:val="24"/>
          <w:szCs w:val="24"/>
        </w:rPr>
        <w:t xml:space="preserve"> was </w:t>
      </w:r>
      <w:r w:rsidR="00141045" w:rsidRPr="00280BEC">
        <w:rPr>
          <w:rFonts w:ascii="Georgia" w:hAnsi="Georgia" w:cs="Arial"/>
          <w:sz w:val="24"/>
          <w:szCs w:val="24"/>
        </w:rPr>
        <w:t xml:space="preserve">late </w:t>
      </w:r>
      <w:r w:rsidR="00B65EF5">
        <w:rPr>
          <w:rFonts w:ascii="Georgia" w:hAnsi="Georgia" w:cs="Arial"/>
          <w:sz w:val="24"/>
          <w:szCs w:val="24"/>
        </w:rPr>
        <w:t>in</w:t>
      </w:r>
      <w:r w:rsidR="00141045" w:rsidRPr="00280BEC">
        <w:rPr>
          <w:rFonts w:ascii="Georgia" w:hAnsi="Georgia" w:cs="Arial"/>
          <w:sz w:val="24"/>
          <w:szCs w:val="24"/>
        </w:rPr>
        <w:t xml:space="preserve"> compliance with </w:t>
      </w:r>
      <w:r w:rsidR="00A71DF5" w:rsidRPr="00280BEC">
        <w:rPr>
          <w:rFonts w:ascii="Georgia" w:hAnsi="Georgia" w:cs="Arial"/>
          <w:sz w:val="24"/>
          <w:szCs w:val="24"/>
        </w:rPr>
        <w:t xml:space="preserve">important </w:t>
      </w:r>
      <w:r w:rsidR="00141045" w:rsidRPr="00280BEC">
        <w:rPr>
          <w:rFonts w:ascii="Georgia" w:hAnsi="Georgia" w:cs="Arial"/>
          <w:sz w:val="24"/>
          <w:szCs w:val="24"/>
        </w:rPr>
        <w:t xml:space="preserve">directions </w:t>
      </w:r>
      <w:r w:rsidR="00A71DF5" w:rsidRPr="00280BEC">
        <w:rPr>
          <w:rFonts w:ascii="Georgia" w:hAnsi="Georgia" w:cs="Arial"/>
          <w:sz w:val="24"/>
          <w:szCs w:val="24"/>
        </w:rPr>
        <w:t xml:space="preserve">to complete the Scott Schedule. </w:t>
      </w:r>
    </w:p>
    <w:p w14:paraId="3ECFB95A" w14:textId="77777777" w:rsidR="005269C6" w:rsidRPr="009A5064" w:rsidRDefault="005269C6" w:rsidP="009A5064">
      <w:pPr>
        <w:ind w:left="66"/>
        <w:jc w:val="both"/>
        <w:rPr>
          <w:rFonts w:ascii="Georgia" w:hAnsi="Georgia" w:cs="Arial"/>
        </w:rPr>
      </w:pPr>
    </w:p>
    <w:p w14:paraId="0D4F7909" w14:textId="77777777" w:rsidR="005269C6" w:rsidRDefault="00A71DF5" w:rsidP="009A5064">
      <w:pPr>
        <w:pStyle w:val="ListParagraph"/>
        <w:numPr>
          <w:ilvl w:val="0"/>
          <w:numId w:val="27"/>
        </w:numPr>
        <w:jc w:val="both"/>
        <w:rPr>
          <w:rFonts w:ascii="Georgia" w:hAnsi="Georgia" w:cs="Arial"/>
          <w:sz w:val="24"/>
          <w:szCs w:val="24"/>
        </w:rPr>
      </w:pPr>
      <w:r w:rsidRPr="00280BEC">
        <w:rPr>
          <w:rFonts w:ascii="Georgia" w:hAnsi="Georgia" w:cs="Arial"/>
          <w:sz w:val="24"/>
          <w:szCs w:val="24"/>
        </w:rPr>
        <w:t xml:space="preserve">Having regard to those matters </w:t>
      </w:r>
      <w:r w:rsidR="00817044" w:rsidRPr="00280BEC">
        <w:rPr>
          <w:rFonts w:ascii="Georgia" w:hAnsi="Georgia" w:cs="Arial"/>
          <w:sz w:val="24"/>
          <w:szCs w:val="24"/>
        </w:rPr>
        <w:t xml:space="preserve">the Tribunal orders that no part of the </w:t>
      </w:r>
      <w:r w:rsidR="00280BEC" w:rsidRPr="00280BEC">
        <w:rPr>
          <w:rFonts w:ascii="Georgia" w:hAnsi="Georgia" w:cs="Arial"/>
          <w:sz w:val="24"/>
          <w:szCs w:val="24"/>
        </w:rPr>
        <w:t>landlords’</w:t>
      </w:r>
      <w:r w:rsidR="00817044" w:rsidRPr="00280BEC">
        <w:rPr>
          <w:rFonts w:ascii="Georgia" w:hAnsi="Georgia" w:cs="Arial"/>
          <w:sz w:val="24"/>
          <w:szCs w:val="24"/>
        </w:rPr>
        <w:t xml:space="preserve"> costs </w:t>
      </w:r>
      <w:r w:rsidR="007306BA" w:rsidRPr="00280BEC">
        <w:rPr>
          <w:rFonts w:ascii="Georgia" w:hAnsi="Georgia" w:cs="Arial"/>
          <w:sz w:val="24"/>
          <w:szCs w:val="24"/>
        </w:rPr>
        <w:t xml:space="preserve">in connection with </w:t>
      </w:r>
      <w:r w:rsidR="00904A0B" w:rsidRPr="00280BEC">
        <w:rPr>
          <w:rFonts w:ascii="Georgia" w:hAnsi="Georgia" w:cs="Arial"/>
          <w:sz w:val="24"/>
          <w:szCs w:val="24"/>
        </w:rPr>
        <w:t xml:space="preserve">these proceedings are to be regarded as </w:t>
      </w:r>
      <w:r w:rsidR="00C752C2" w:rsidRPr="00280BEC">
        <w:rPr>
          <w:rFonts w:ascii="Georgia" w:hAnsi="Georgia" w:cs="Arial"/>
          <w:sz w:val="24"/>
          <w:szCs w:val="24"/>
        </w:rPr>
        <w:t xml:space="preserve">relevant costs </w:t>
      </w:r>
      <w:r w:rsidR="00280BEC" w:rsidRPr="00280BEC">
        <w:rPr>
          <w:rFonts w:ascii="Georgia" w:hAnsi="Georgia" w:cs="Arial"/>
          <w:sz w:val="24"/>
          <w:szCs w:val="24"/>
        </w:rPr>
        <w:t>in determining the amount of any service charge payable</w:t>
      </w:r>
      <w:r w:rsidR="00280BEC">
        <w:rPr>
          <w:rFonts w:ascii="Georgia" w:hAnsi="Georgia" w:cs="Arial"/>
          <w:sz w:val="24"/>
          <w:szCs w:val="24"/>
        </w:rPr>
        <w:t xml:space="preserve">. </w:t>
      </w:r>
    </w:p>
    <w:p w14:paraId="6C1D0A2D" w14:textId="77777777" w:rsidR="005269C6" w:rsidRPr="005269C6" w:rsidRDefault="005269C6" w:rsidP="00E35DC5">
      <w:pPr>
        <w:ind w:left="66"/>
        <w:jc w:val="both"/>
        <w:rPr>
          <w:rFonts w:ascii="Georgia" w:hAnsi="Georgia" w:cs="Arial"/>
        </w:rPr>
      </w:pPr>
    </w:p>
    <w:p w14:paraId="33BC0AA0" w14:textId="070AB00D" w:rsidR="0093664F" w:rsidRDefault="00280BEC" w:rsidP="009A5064">
      <w:pPr>
        <w:pStyle w:val="ListParagraph"/>
        <w:numPr>
          <w:ilvl w:val="0"/>
          <w:numId w:val="27"/>
        </w:numPr>
        <w:jc w:val="both"/>
        <w:rPr>
          <w:rFonts w:ascii="Georgia" w:hAnsi="Georgia" w:cs="Arial"/>
          <w:sz w:val="24"/>
          <w:szCs w:val="24"/>
        </w:rPr>
      </w:pPr>
      <w:r>
        <w:rPr>
          <w:rFonts w:ascii="Georgia" w:hAnsi="Georgia" w:cs="Arial"/>
          <w:sz w:val="24"/>
          <w:szCs w:val="24"/>
        </w:rPr>
        <w:t xml:space="preserve">It </w:t>
      </w:r>
      <w:r w:rsidR="005269C6">
        <w:rPr>
          <w:rFonts w:ascii="Georgia" w:hAnsi="Georgia" w:cs="Arial"/>
          <w:sz w:val="24"/>
          <w:szCs w:val="24"/>
        </w:rPr>
        <w:t xml:space="preserve">further </w:t>
      </w:r>
      <w:r>
        <w:rPr>
          <w:rFonts w:ascii="Georgia" w:hAnsi="Georgia" w:cs="Arial"/>
          <w:sz w:val="24"/>
          <w:szCs w:val="24"/>
        </w:rPr>
        <w:t xml:space="preserve">orders that </w:t>
      </w:r>
      <w:r w:rsidR="0067003E">
        <w:rPr>
          <w:rFonts w:ascii="Georgia" w:hAnsi="Georgia" w:cs="Arial"/>
          <w:sz w:val="24"/>
          <w:szCs w:val="24"/>
        </w:rPr>
        <w:t xml:space="preserve">the </w:t>
      </w:r>
      <w:r w:rsidR="00817159">
        <w:rPr>
          <w:rFonts w:ascii="Georgia" w:hAnsi="Georgia" w:cs="Arial"/>
          <w:sz w:val="24"/>
          <w:szCs w:val="24"/>
        </w:rPr>
        <w:t>Applicant</w:t>
      </w:r>
      <w:r w:rsidR="00350AF6">
        <w:rPr>
          <w:rFonts w:ascii="Georgia" w:hAnsi="Georgia" w:cs="Arial"/>
          <w:sz w:val="24"/>
          <w:szCs w:val="24"/>
        </w:rPr>
        <w:t>’s</w:t>
      </w:r>
      <w:r w:rsidR="0067003E">
        <w:rPr>
          <w:rFonts w:ascii="Georgia" w:hAnsi="Georgia" w:cs="Arial"/>
          <w:sz w:val="24"/>
          <w:szCs w:val="24"/>
        </w:rPr>
        <w:t xml:space="preserve"> liability to pay any administration </w:t>
      </w:r>
      <w:r w:rsidR="005269C6">
        <w:rPr>
          <w:rFonts w:ascii="Georgia" w:hAnsi="Georgia" w:cs="Arial"/>
          <w:sz w:val="24"/>
          <w:szCs w:val="24"/>
        </w:rPr>
        <w:t xml:space="preserve">charge in respect of litigation costs in connection with these proceedings is extinguished. </w:t>
      </w:r>
      <w:r w:rsidRPr="00280BEC">
        <w:rPr>
          <w:rFonts w:ascii="Georgia" w:hAnsi="Georgia" w:cs="Arial"/>
          <w:sz w:val="24"/>
          <w:szCs w:val="24"/>
        </w:rPr>
        <w:t xml:space="preserve"> </w:t>
      </w:r>
    </w:p>
    <w:p w14:paraId="38287099" w14:textId="77777777" w:rsidR="00BB73B2" w:rsidRPr="00BB73B2" w:rsidRDefault="00BB73B2" w:rsidP="00BB73B2">
      <w:pPr>
        <w:pStyle w:val="ListParagraph"/>
        <w:rPr>
          <w:rFonts w:ascii="Georgia" w:hAnsi="Georgia" w:cs="Arial"/>
          <w:sz w:val="24"/>
          <w:szCs w:val="24"/>
        </w:rPr>
      </w:pPr>
    </w:p>
    <w:p w14:paraId="03539283" w14:textId="42A0FDC5" w:rsidR="00BB73B2" w:rsidRDefault="00C55D12" w:rsidP="00C55D12">
      <w:pPr>
        <w:spacing w:after="160" w:line="259" w:lineRule="auto"/>
        <w:jc w:val="both"/>
        <w:rPr>
          <w:rFonts w:ascii="Georgia" w:hAnsi="Georgia" w:cs="Arial"/>
          <w:b/>
          <w:bCs/>
        </w:rPr>
      </w:pPr>
      <w:r w:rsidRPr="00C55D12">
        <w:rPr>
          <w:rFonts w:ascii="Georgia" w:hAnsi="Georgia" w:cs="Arial"/>
          <w:b/>
          <w:bCs/>
        </w:rPr>
        <w:t xml:space="preserve">Reimbursement of Application and Hearing Fees </w:t>
      </w:r>
    </w:p>
    <w:p w14:paraId="2FAB47E6" w14:textId="77777777" w:rsidR="00C55D12" w:rsidRDefault="00C55D12" w:rsidP="00C55D12">
      <w:pPr>
        <w:spacing w:after="160" w:line="259" w:lineRule="auto"/>
        <w:jc w:val="both"/>
        <w:rPr>
          <w:rFonts w:ascii="Georgia" w:hAnsi="Georgia" w:cs="Arial"/>
          <w:b/>
          <w:bCs/>
        </w:rPr>
      </w:pPr>
    </w:p>
    <w:p w14:paraId="5724AF4F" w14:textId="1CD19149" w:rsidR="00C55D12" w:rsidRPr="00D16105" w:rsidRDefault="00D16105" w:rsidP="00D16105">
      <w:pPr>
        <w:pStyle w:val="ListParagraph"/>
        <w:numPr>
          <w:ilvl w:val="0"/>
          <w:numId w:val="27"/>
        </w:numPr>
        <w:jc w:val="both"/>
        <w:rPr>
          <w:rFonts w:ascii="Georgia" w:hAnsi="Georgia" w:cs="Arial"/>
          <w:sz w:val="24"/>
          <w:szCs w:val="24"/>
        </w:rPr>
      </w:pPr>
      <w:r w:rsidRPr="00D16105">
        <w:rPr>
          <w:rFonts w:ascii="Georgia" w:hAnsi="Georgia" w:cs="Arial"/>
          <w:sz w:val="24"/>
          <w:szCs w:val="24"/>
        </w:rPr>
        <w:t>The</w:t>
      </w:r>
      <w:r w:rsidR="00C55D12" w:rsidRPr="00D16105">
        <w:rPr>
          <w:rFonts w:ascii="Georgia" w:hAnsi="Georgia" w:cs="Arial"/>
          <w:sz w:val="24"/>
          <w:szCs w:val="24"/>
        </w:rPr>
        <w:t xml:space="preserve"> </w:t>
      </w:r>
      <w:r w:rsidR="00C21C4D">
        <w:rPr>
          <w:rFonts w:ascii="Georgia" w:hAnsi="Georgia" w:cs="Arial"/>
          <w:sz w:val="24"/>
          <w:szCs w:val="24"/>
        </w:rPr>
        <w:t xml:space="preserve">Applicant </w:t>
      </w:r>
      <w:r>
        <w:rPr>
          <w:rFonts w:ascii="Georgia" w:hAnsi="Georgia" w:cs="Arial"/>
          <w:sz w:val="24"/>
          <w:szCs w:val="24"/>
        </w:rPr>
        <w:t xml:space="preserve">seeks an order that </w:t>
      </w:r>
      <w:r w:rsidR="00407C3D" w:rsidRPr="00D16105">
        <w:rPr>
          <w:rFonts w:ascii="Georgia" w:hAnsi="Georgia" w:cs="Arial"/>
          <w:sz w:val="24"/>
          <w:szCs w:val="24"/>
        </w:rPr>
        <w:t xml:space="preserve">the </w:t>
      </w:r>
      <w:r w:rsidR="00817159">
        <w:rPr>
          <w:rFonts w:ascii="Georgia" w:hAnsi="Georgia" w:cs="Arial"/>
          <w:sz w:val="24"/>
          <w:szCs w:val="24"/>
        </w:rPr>
        <w:t>Respondent</w:t>
      </w:r>
      <w:r w:rsidR="00407C3D" w:rsidRPr="00D16105">
        <w:rPr>
          <w:rFonts w:ascii="Georgia" w:hAnsi="Georgia" w:cs="Arial"/>
          <w:sz w:val="24"/>
          <w:szCs w:val="24"/>
        </w:rPr>
        <w:t xml:space="preserve"> </w:t>
      </w:r>
      <w:r w:rsidRPr="00D16105">
        <w:rPr>
          <w:rFonts w:ascii="Georgia" w:hAnsi="Georgia" w:cs="Arial"/>
          <w:sz w:val="24"/>
          <w:szCs w:val="24"/>
        </w:rPr>
        <w:t>reimburse</w:t>
      </w:r>
      <w:r w:rsidR="00407C3D" w:rsidRPr="00D16105">
        <w:rPr>
          <w:rFonts w:ascii="Georgia" w:hAnsi="Georgia" w:cs="Arial"/>
          <w:sz w:val="24"/>
          <w:szCs w:val="24"/>
        </w:rPr>
        <w:t xml:space="preserve"> his application </w:t>
      </w:r>
      <w:r w:rsidRPr="00D16105">
        <w:rPr>
          <w:rFonts w:ascii="Georgia" w:hAnsi="Georgia" w:cs="Arial"/>
          <w:sz w:val="24"/>
          <w:szCs w:val="24"/>
        </w:rPr>
        <w:t>and</w:t>
      </w:r>
      <w:r w:rsidR="00407C3D" w:rsidRPr="00D16105">
        <w:rPr>
          <w:rFonts w:ascii="Georgia" w:hAnsi="Georgia" w:cs="Arial"/>
          <w:sz w:val="24"/>
          <w:szCs w:val="24"/>
        </w:rPr>
        <w:t xml:space="preserve"> hearing fees. The Tribunal </w:t>
      </w:r>
      <w:r w:rsidR="002F400D" w:rsidRPr="00D16105">
        <w:rPr>
          <w:rFonts w:ascii="Georgia" w:hAnsi="Georgia" w:cs="Arial"/>
          <w:sz w:val="24"/>
          <w:szCs w:val="24"/>
        </w:rPr>
        <w:t xml:space="preserve">found that the application and </w:t>
      </w:r>
      <w:r w:rsidRPr="00D16105">
        <w:rPr>
          <w:rFonts w:ascii="Georgia" w:hAnsi="Georgia" w:cs="Arial"/>
          <w:sz w:val="24"/>
          <w:szCs w:val="24"/>
        </w:rPr>
        <w:t>hearing</w:t>
      </w:r>
      <w:r w:rsidR="002F400D" w:rsidRPr="00D16105">
        <w:rPr>
          <w:rFonts w:ascii="Georgia" w:hAnsi="Georgia" w:cs="Arial"/>
          <w:sz w:val="24"/>
          <w:szCs w:val="24"/>
        </w:rPr>
        <w:t xml:space="preserve"> was </w:t>
      </w:r>
      <w:r w:rsidRPr="00D16105">
        <w:rPr>
          <w:rFonts w:ascii="Georgia" w:hAnsi="Georgia" w:cs="Arial"/>
          <w:sz w:val="24"/>
          <w:szCs w:val="24"/>
        </w:rPr>
        <w:t>necessary</w:t>
      </w:r>
      <w:r w:rsidR="002F400D" w:rsidRPr="00D16105">
        <w:rPr>
          <w:rFonts w:ascii="Georgia" w:hAnsi="Georgia" w:cs="Arial"/>
          <w:sz w:val="24"/>
          <w:szCs w:val="24"/>
        </w:rPr>
        <w:t xml:space="preserve"> for the </w:t>
      </w:r>
      <w:r w:rsidR="00817159">
        <w:rPr>
          <w:rFonts w:ascii="Georgia" w:hAnsi="Georgia" w:cs="Arial"/>
          <w:sz w:val="24"/>
          <w:szCs w:val="24"/>
        </w:rPr>
        <w:t>Applicant</w:t>
      </w:r>
      <w:r w:rsidR="002F400D" w:rsidRPr="00D16105">
        <w:rPr>
          <w:rFonts w:ascii="Georgia" w:hAnsi="Georgia" w:cs="Arial"/>
          <w:sz w:val="24"/>
          <w:szCs w:val="24"/>
        </w:rPr>
        <w:t xml:space="preserve"> to </w:t>
      </w:r>
      <w:r w:rsidRPr="00D16105">
        <w:rPr>
          <w:rFonts w:ascii="Georgia" w:hAnsi="Georgia" w:cs="Arial"/>
          <w:sz w:val="24"/>
          <w:szCs w:val="24"/>
        </w:rPr>
        <w:t xml:space="preserve">achieve the partial success he has. </w:t>
      </w:r>
      <w:proofErr w:type="gramStart"/>
      <w:r w:rsidRPr="00D16105">
        <w:rPr>
          <w:rFonts w:ascii="Georgia" w:hAnsi="Georgia" w:cs="Arial"/>
          <w:sz w:val="24"/>
          <w:szCs w:val="24"/>
        </w:rPr>
        <w:t>Therefore</w:t>
      </w:r>
      <w:proofErr w:type="gramEnd"/>
      <w:r w:rsidRPr="00D16105">
        <w:rPr>
          <w:rFonts w:ascii="Georgia" w:hAnsi="Georgia" w:cs="Arial"/>
          <w:sz w:val="24"/>
          <w:szCs w:val="24"/>
        </w:rPr>
        <w:t xml:space="preserve"> the Tribunal Orders that such fees of £300 be reimbursed </w:t>
      </w:r>
      <w:r>
        <w:rPr>
          <w:rFonts w:ascii="Georgia" w:hAnsi="Georgia" w:cs="Arial"/>
          <w:sz w:val="24"/>
          <w:szCs w:val="24"/>
        </w:rPr>
        <w:t xml:space="preserve">by the </w:t>
      </w:r>
      <w:r w:rsidR="00817159">
        <w:rPr>
          <w:rFonts w:ascii="Georgia" w:hAnsi="Georgia" w:cs="Arial"/>
          <w:sz w:val="24"/>
          <w:szCs w:val="24"/>
        </w:rPr>
        <w:t>Respondent</w:t>
      </w:r>
      <w:r>
        <w:rPr>
          <w:rFonts w:ascii="Georgia" w:hAnsi="Georgia" w:cs="Arial"/>
          <w:sz w:val="24"/>
          <w:szCs w:val="24"/>
        </w:rPr>
        <w:t xml:space="preserve"> </w:t>
      </w:r>
      <w:r w:rsidRPr="00D16105">
        <w:rPr>
          <w:rFonts w:ascii="Georgia" w:hAnsi="Georgia" w:cs="Arial"/>
          <w:sz w:val="24"/>
          <w:szCs w:val="24"/>
        </w:rPr>
        <w:t xml:space="preserve">within 28 days of the date of this decision. </w:t>
      </w:r>
    </w:p>
    <w:p w14:paraId="43371C3A" w14:textId="77777777" w:rsidR="00C55D12" w:rsidRPr="00C55D12" w:rsidRDefault="00C55D12" w:rsidP="00C55D12">
      <w:pPr>
        <w:pStyle w:val="ListParagraph"/>
        <w:rPr>
          <w:rFonts w:ascii="Georgia" w:hAnsi="Georgia" w:cs="Arial"/>
          <w:sz w:val="24"/>
          <w:szCs w:val="24"/>
        </w:rPr>
      </w:pPr>
    </w:p>
    <w:p w14:paraId="525FE092" w14:textId="2F2F29FF" w:rsidR="00C55D12" w:rsidRDefault="00D16105" w:rsidP="009B399D">
      <w:pPr>
        <w:spacing w:after="160" w:line="259" w:lineRule="auto"/>
        <w:jc w:val="both"/>
        <w:rPr>
          <w:rFonts w:ascii="Georgia" w:hAnsi="Georgia" w:cs="Arial"/>
          <w:b/>
          <w:bCs/>
        </w:rPr>
      </w:pPr>
      <w:r w:rsidRPr="009B399D">
        <w:rPr>
          <w:rFonts w:ascii="Georgia" w:hAnsi="Georgia" w:cs="Arial"/>
          <w:b/>
          <w:bCs/>
        </w:rPr>
        <w:t xml:space="preserve">Application for a Wasted Costs Order under </w:t>
      </w:r>
      <w:r w:rsidR="009B399D">
        <w:rPr>
          <w:rFonts w:ascii="Georgia" w:hAnsi="Georgia" w:cs="Arial"/>
          <w:b/>
          <w:bCs/>
        </w:rPr>
        <w:t xml:space="preserve">Rule 13 </w:t>
      </w:r>
      <w:r w:rsidR="009B399D">
        <w:rPr>
          <w:rStyle w:val="FootnoteReference"/>
          <w:rFonts w:ascii="Georgia" w:hAnsi="Georgia" w:cs="Arial"/>
          <w:b/>
          <w:bCs/>
        </w:rPr>
        <w:footnoteReference w:id="2"/>
      </w:r>
    </w:p>
    <w:p w14:paraId="4BBC08F8" w14:textId="77777777" w:rsidR="00FD0780" w:rsidRDefault="00FD0780" w:rsidP="009B399D">
      <w:pPr>
        <w:spacing w:after="160" w:line="259" w:lineRule="auto"/>
        <w:jc w:val="both"/>
        <w:rPr>
          <w:rFonts w:ascii="Georgia" w:hAnsi="Georgia" w:cs="Arial"/>
          <w:b/>
          <w:bCs/>
        </w:rPr>
      </w:pPr>
    </w:p>
    <w:p w14:paraId="522C4D4D" w14:textId="24F609D8" w:rsidR="00E1709B" w:rsidRPr="00E1709B" w:rsidRDefault="00E1709B" w:rsidP="00E1709B">
      <w:pPr>
        <w:pStyle w:val="ListParagraph"/>
        <w:numPr>
          <w:ilvl w:val="0"/>
          <w:numId w:val="27"/>
        </w:numPr>
        <w:jc w:val="both"/>
        <w:rPr>
          <w:rFonts w:ascii="Georgia" w:hAnsi="Georgia" w:cs="Arial"/>
          <w:sz w:val="24"/>
          <w:szCs w:val="24"/>
        </w:rPr>
      </w:pPr>
      <w:r w:rsidRPr="00E1709B">
        <w:rPr>
          <w:rFonts w:ascii="Georgia" w:hAnsi="Georgia" w:cs="Arial"/>
          <w:sz w:val="24"/>
          <w:szCs w:val="24"/>
        </w:rPr>
        <w:t xml:space="preserve">In his bundle at [654] the </w:t>
      </w:r>
      <w:r w:rsidR="00817159">
        <w:rPr>
          <w:rFonts w:ascii="Georgia" w:hAnsi="Georgia" w:cs="Arial"/>
          <w:sz w:val="24"/>
          <w:szCs w:val="24"/>
        </w:rPr>
        <w:t>Applicant</w:t>
      </w:r>
      <w:r w:rsidRPr="00E1709B">
        <w:rPr>
          <w:rFonts w:ascii="Georgia" w:hAnsi="Georgia" w:cs="Arial"/>
          <w:sz w:val="24"/>
          <w:szCs w:val="24"/>
        </w:rPr>
        <w:t xml:space="preserve"> applied for a wasted costs order against the </w:t>
      </w:r>
      <w:r w:rsidR="00817159">
        <w:rPr>
          <w:rFonts w:ascii="Georgia" w:hAnsi="Georgia" w:cs="Arial"/>
          <w:sz w:val="24"/>
          <w:szCs w:val="24"/>
        </w:rPr>
        <w:t>Respondent</w:t>
      </w:r>
      <w:r w:rsidRPr="00E1709B">
        <w:rPr>
          <w:rFonts w:ascii="Georgia" w:hAnsi="Georgia" w:cs="Arial"/>
          <w:sz w:val="24"/>
          <w:szCs w:val="24"/>
        </w:rPr>
        <w:t xml:space="preserve">’s representative. Although the grounds are set out in the application, before making any such order, the Tribunal will seek representations from the </w:t>
      </w:r>
      <w:r w:rsidR="00817159">
        <w:rPr>
          <w:rFonts w:ascii="Georgia" w:hAnsi="Georgia" w:cs="Arial"/>
          <w:sz w:val="24"/>
          <w:szCs w:val="24"/>
        </w:rPr>
        <w:t>Respondent</w:t>
      </w:r>
      <w:r w:rsidRPr="00E1709B">
        <w:rPr>
          <w:rFonts w:ascii="Georgia" w:hAnsi="Georgia" w:cs="Arial"/>
          <w:sz w:val="24"/>
          <w:szCs w:val="24"/>
        </w:rPr>
        <w:t xml:space="preserve">'s representative. As the </w:t>
      </w:r>
      <w:r w:rsidR="00817159">
        <w:rPr>
          <w:rFonts w:ascii="Georgia" w:hAnsi="Georgia" w:cs="Arial"/>
          <w:sz w:val="24"/>
          <w:szCs w:val="24"/>
        </w:rPr>
        <w:t>Respondent</w:t>
      </w:r>
      <w:r w:rsidRPr="00E1709B">
        <w:rPr>
          <w:rFonts w:ascii="Georgia" w:hAnsi="Georgia" w:cs="Arial"/>
          <w:sz w:val="24"/>
          <w:szCs w:val="24"/>
        </w:rPr>
        <w:t xml:space="preserve"> was not represented at the hearing, the Tribunal directs the </w:t>
      </w:r>
      <w:r w:rsidR="00817159">
        <w:rPr>
          <w:rFonts w:ascii="Georgia" w:hAnsi="Georgia" w:cs="Arial"/>
          <w:sz w:val="24"/>
          <w:szCs w:val="24"/>
        </w:rPr>
        <w:t>Applicant</w:t>
      </w:r>
      <w:r w:rsidRPr="00E1709B">
        <w:rPr>
          <w:rFonts w:ascii="Georgia" w:hAnsi="Georgia" w:cs="Arial"/>
          <w:sz w:val="24"/>
          <w:szCs w:val="24"/>
        </w:rPr>
        <w:t xml:space="preserve"> to re-state his grounds with a schedule of costs, in a written submission to the Tribunal by 26 November 2024, which must be copied to the Respondent's representative. The </w:t>
      </w:r>
      <w:r w:rsidR="00817159">
        <w:rPr>
          <w:rFonts w:ascii="Georgia" w:hAnsi="Georgia" w:cs="Arial"/>
          <w:sz w:val="24"/>
          <w:szCs w:val="24"/>
        </w:rPr>
        <w:t>Respondent</w:t>
      </w:r>
      <w:r w:rsidRPr="00E1709B">
        <w:rPr>
          <w:rFonts w:ascii="Georgia" w:hAnsi="Georgia" w:cs="Arial"/>
          <w:sz w:val="24"/>
          <w:szCs w:val="24"/>
        </w:rPr>
        <w:t xml:space="preserve">'s representative may send a reply to the </w:t>
      </w:r>
      <w:r w:rsidR="00817159">
        <w:rPr>
          <w:rFonts w:ascii="Georgia" w:hAnsi="Georgia" w:cs="Arial"/>
          <w:sz w:val="24"/>
          <w:szCs w:val="24"/>
        </w:rPr>
        <w:t>Applicant</w:t>
      </w:r>
      <w:r w:rsidRPr="00E1709B">
        <w:rPr>
          <w:rFonts w:ascii="Georgia" w:hAnsi="Georgia" w:cs="Arial"/>
          <w:sz w:val="24"/>
          <w:szCs w:val="24"/>
        </w:rPr>
        <w:t xml:space="preserve"> by 10 December 2024, copying in the Tribunal. The Tribunal will then further consider the application.</w:t>
      </w:r>
    </w:p>
    <w:tbl>
      <w:tblPr>
        <w:tblW w:w="8595" w:type="dxa"/>
        <w:tblLook w:val="01E0" w:firstRow="1" w:lastRow="1" w:firstColumn="1" w:lastColumn="1" w:noHBand="0" w:noVBand="0"/>
      </w:tblPr>
      <w:tblGrid>
        <w:gridCol w:w="1214"/>
        <w:gridCol w:w="3358"/>
        <w:gridCol w:w="1110"/>
        <w:gridCol w:w="2913"/>
      </w:tblGrid>
      <w:tr w:rsidR="009C0884" w:rsidRPr="009C0884" w14:paraId="2AB69E6B" w14:textId="77777777" w:rsidTr="009C0884">
        <w:trPr>
          <w:trHeight w:val="587"/>
        </w:trPr>
        <w:tc>
          <w:tcPr>
            <w:tcW w:w="1214" w:type="dxa"/>
            <w:shd w:val="clear" w:color="auto" w:fill="auto"/>
            <w:vAlign w:val="center"/>
          </w:tcPr>
          <w:p w14:paraId="1F4595A0" w14:textId="2CAF52E8" w:rsidR="009C0884" w:rsidRPr="009C0884" w:rsidRDefault="009C0884" w:rsidP="009C0884">
            <w:pPr>
              <w:widowControl w:val="0"/>
              <w:autoSpaceDE w:val="0"/>
              <w:autoSpaceDN w:val="0"/>
              <w:adjustRightInd w:val="0"/>
              <w:spacing w:before="260" w:after="260"/>
              <w:ind w:left="260"/>
              <w:jc w:val="both"/>
              <w:rPr>
                <w:b/>
                <w:color w:val="000000"/>
                <w:sz w:val="26"/>
                <w:szCs w:val="26"/>
              </w:rPr>
            </w:pPr>
          </w:p>
        </w:tc>
        <w:tc>
          <w:tcPr>
            <w:tcW w:w="3358" w:type="dxa"/>
            <w:shd w:val="clear" w:color="auto" w:fill="auto"/>
            <w:vAlign w:val="center"/>
          </w:tcPr>
          <w:p w14:paraId="4B89E9E0" w14:textId="0F4D89E2" w:rsidR="009C0884" w:rsidRPr="009C0884" w:rsidRDefault="009C0884" w:rsidP="009C0884">
            <w:pPr>
              <w:widowControl w:val="0"/>
              <w:autoSpaceDE w:val="0"/>
              <w:autoSpaceDN w:val="0"/>
              <w:adjustRightInd w:val="0"/>
              <w:spacing w:before="260" w:after="260"/>
              <w:ind w:left="260"/>
              <w:jc w:val="both"/>
              <w:rPr>
                <w:color w:val="000000"/>
                <w:sz w:val="26"/>
                <w:szCs w:val="26"/>
              </w:rPr>
            </w:pPr>
          </w:p>
        </w:tc>
        <w:tc>
          <w:tcPr>
            <w:tcW w:w="1110" w:type="dxa"/>
            <w:shd w:val="clear" w:color="auto" w:fill="auto"/>
            <w:vAlign w:val="center"/>
          </w:tcPr>
          <w:p w14:paraId="04DE0C8C" w14:textId="4E7F9395" w:rsidR="009C0884" w:rsidRPr="009C0884" w:rsidRDefault="009C0884" w:rsidP="009C0884">
            <w:pPr>
              <w:widowControl w:val="0"/>
              <w:autoSpaceDE w:val="0"/>
              <w:autoSpaceDN w:val="0"/>
              <w:adjustRightInd w:val="0"/>
              <w:spacing w:before="260" w:after="260"/>
              <w:ind w:left="260"/>
              <w:jc w:val="both"/>
              <w:rPr>
                <w:b/>
                <w:color w:val="000000"/>
                <w:sz w:val="26"/>
                <w:szCs w:val="26"/>
              </w:rPr>
            </w:pPr>
          </w:p>
        </w:tc>
        <w:tc>
          <w:tcPr>
            <w:tcW w:w="2913" w:type="dxa"/>
            <w:shd w:val="clear" w:color="auto" w:fill="auto"/>
            <w:vAlign w:val="center"/>
          </w:tcPr>
          <w:p w14:paraId="559405FD" w14:textId="7F6B328F" w:rsidR="009C0884" w:rsidRPr="009C0884" w:rsidRDefault="009C0884" w:rsidP="009C0884">
            <w:pPr>
              <w:widowControl w:val="0"/>
              <w:autoSpaceDE w:val="0"/>
              <w:autoSpaceDN w:val="0"/>
              <w:adjustRightInd w:val="0"/>
              <w:spacing w:before="260" w:after="260"/>
              <w:ind w:left="260"/>
              <w:jc w:val="both"/>
              <w:rPr>
                <w:color w:val="000000"/>
                <w:sz w:val="26"/>
                <w:szCs w:val="26"/>
              </w:rPr>
            </w:pPr>
          </w:p>
        </w:tc>
      </w:tr>
    </w:tbl>
    <w:p w14:paraId="1393E18C" w14:textId="724216E2" w:rsidR="009C0884" w:rsidRDefault="009C0884" w:rsidP="002552B3">
      <w:pPr>
        <w:widowControl w:val="0"/>
        <w:autoSpaceDE w:val="0"/>
        <w:autoSpaceDN w:val="0"/>
        <w:adjustRightInd w:val="0"/>
        <w:spacing w:before="260" w:after="260"/>
        <w:ind w:left="260"/>
        <w:jc w:val="both"/>
        <w:rPr>
          <w:color w:val="000000"/>
          <w:sz w:val="26"/>
          <w:szCs w:val="26"/>
        </w:rPr>
      </w:pPr>
    </w:p>
    <w:p w14:paraId="383CF701" w14:textId="274A6613" w:rsidR="00E35DC5" w:rsidRPr="00E35DC5" w:rsidRDefault="00E35DC5" w:rsidP="00E35DC5">
      <w:pPr>
        <w:spacing w:after="160" w:line="259" w:lineRule="auto"/>
        <w:jc w:val="center"/>
        <w:rPr>
          <w:b/>
          <w:color w:val="000000"/>
          <w:sz w:val="26"/>
          <w:szCs w:val="26"/>
          <w:u w:val="single"/>
        </w:rPr>
      </w:pPr>
      <w:r w:rsidRPr="00E35DC5">
        <w:rPr>
          <w:b/>
          <w:color w:val="000000"/>
          <w:sz w:val="26"/>
          <w:szCs w:val="26"/>
          <w:u w:val="single"/>
        </w:rPr>
        <w:t>Rights of appeal</w:t>
      </w:r>
    </w:p>
    <w:p w14:paraId="15DCC4CC" w14:textId="77777777" w:rsidR="00E35DC5" w:rsidRPr="00E35DC5" w:rsidRDefault="00E35DC5" w:rsidP="00E35DC5">
      <w:pPr>
        <w:spacing w:after="160" w:line="259" w:lineRule="auto"/>
        <w:rPr>
          <w:color w:val="000000"/>
          <w:sz w:val="26"/>
          <w:szCs w:val="26"/>
        </w:rPr>
      </w:pPr>
      <w:r w:rsidRPr="00E35DC5">
        <w:rPr>
          <w:color w:val="000000"/>
          <w:sz w:val="26"/>
          <w:szCs w:val="26"/>
        </w:rPr>
        <w:t>By rule 36(2) of the Tribunal Procedure (First-tier Tribunal) (Property Chamber) Rules 2013, the tribunal is required to notify the parties about any right of appeal they may have.</w:t>
      </w:r>
    </w:p>
    <w:p w14:paraId="51767B02" w14:textId="77777777" w:rsidR="00E35DC5" w:rsidRPr="00E35DC5" w:rsidRDefault="00E35DC5" w:rsidP="00E35DC5">
      <w:pPr>
        <w:spacing w:after="160" w:line="259" w:lineRule="auto"/>
        <w:rPr>
          <w:color w:val="000000"/>
          <w:sz w:val="26"/>
          <w:szCs w:val="26"/>
        </w:rPr>
      </w:pPr>
      <w:r w:rsidRPr="00E35DC5">
        <w:rPr>
          <w:color w:val="000000"/>
          <w:sz w:val="26"/>
          <w:szCs w:val="26"/>
        </w:rPr>
        <w:t>If a party wishes to appeal this decision to the Upper Tribunal (Lands Chamber), then a written application for permission must be made to the First-tier Tribunal at the regional office which has been dealing with the case.</w:t>
      </w:r>
    </w:p>
    <w:p w14:paraId="4959DEB5" w14:textId="77777777" w:rsidR="00E35DC5" w:rsidRPr="00E35DC5" w:rsidRDefault="00E35DC5" w:rsidP="00E35DC5">
      <w:pPr>
        <w:spacing w:after="160" w:line="259" w:lineRule="auto"/>
        <w:rPr>
          <w:color w:val="000000"/>
          <w:sz w:val="26"/>
          <w:szCs w:val="26"/>
        </w:rPr>
      </w:pPr>
      <w:r w:rsidRPr="00E35DC5">
        <w:rPr>
          <w:color w:val="000000"/>
          <w:sz w:val="26"/>
          <w:szCs w:val="26"/>
        </w:rPr>
        <w:lastRenderedPageBreak/>
        <w:t>The application for permission to appeal must arrive at the regional office within 28 days after the tribunal sends written reasons for the decision to the person making the application.</w:t>
      </w:r>
    </w:p>
    <w:p w14:paraId="17C19D93" w14:textId="77777777" w:rsidR="00E35DC5" w:rsidRPr="00E35DC5" w:rsidRDefault="00E35DC5" w:rsidP="00E35DC5">
      <w:pPr>
        <w:spacing w:after="160" w:line="259" w:lineRule="auto"/>
        <w:rPr>
          <w:color w:val="000000"/>
          <w:sz w:val="26"/>
          <w:szCs w:val="26"/>
        </w:rPr>
      </w:pPr>
      <w:r w:rsidRPr="00E35DC5">
        <w:rPr>
          <w:color w:val="000000"/>
          <w:sz w:val="26"/>
          <w:szCs w:val="26"/>
        </w:rPr>
        <w:t>If the application is not made within the 28-day time limit, such application must include a request for an extension of time and the reason for not complying with the 28-day time limit; the tribunal will then look at such reason(s) and decide whether to allow the application for permission to appeal to proceed, despite not being within the time limit.</w:t>
      </w:r>
    </w:p>
    <w:p w14:paraId="79C6BF61" w14:textId="77777777" w:rsidR="00E35DC5" w:rsidRPr="00E35DC5" w:rsidRDefault="00E35DC5" w:rsidP="00E35DC5">
      <w:pPr>
        <w:spacing w:after="160" w:line="259" w:lineRule="auto"/>
        <w:rPr>
          <w:color w:val="000000"/>
          <w:sz w:val="26"/>
          <w:szCs w:val="26"/>
        </w:rPr>
      </w:pPr>
      <w:r w:rsidRPr="00E35DC5">
        <w:rPr>
          <w:color w:val="000000"/>
          <w:sz w:val="26"/>
          <w:szCs w:val="26"/>
        </w:rPr>
        <w:t>The application for permission to appeal must identify the decision of the tribunal to which it relates (i.e. give the date, the property and the case number), state the grounds of appeal and state the result the party making the application is seeking.</w:t>
      </w:r>
    </w:p>
    <w:p w14:paraId="58A8E82B" w14:textId="77777777" w:rsidR="00E35DC5" w:rsidRPr="00E35DC5" w:rsidRDefault="00E35DC5" w:rsidP="00E35DC5">
      <w:pPr>
        <w:spacing w:after="160" w:line="259" w:lineRule="auto"/>
        <w:rPr>
          <w:color w:val="000000"/>
          <w:sz w:val="26"/>
          <w:szCs w:val="26"/>
        </w:rPr>
      </w:pPr>
      <w:r w:rsidRPr="00E35DC5">
        <w:rPr>
          <w:color w:val="000000"/>
          <w:sz w:val="26"/>
          <w:szCs w:val="26"/>
        </w:rPr>
        <w:t>If the tribunal refuses to grant permission to appeal, a further application for permission may be made to the Upper Tribunal (Lands Chamber).</w:t>
      </w:r>
    </w:p>
    <w:p w14:paraId="6C74C752" w14:textId="62DFA43E" w:rsidR="009C0884" w:rsidRDefault="009C0884">
      <w:pPr>
        <w:spacing w:after="160" w:line="259" w:lineRule="auto"/>
        <w:rPr>
          <w:color w:val="000000"/>
          <w:sz w:val="26"/>
          <w:szCs w:val="26"/>
        </w:rPr>
      </w:pPr>
    </w:p>
    <w:p w14:paraId="7A2ED8DA" w14:textId="77777777" w:rsidR="00FF7291" w:rsidRDefault="00FF7291" w:rsidP="002552B3">
      <w:pPr>
        <w:widowControl w:val="0"/>
        <w:autoSpaceDE w:val="0"/>
        <w:autoSpaceDN w:val="0"/>
        <w:adjustRightInd w:val="0"/>
        <w:spacing w:before="260" w:after="260"/>
        <w:ind w:left="260"/>
        <w:jc w:val="both"/>
        <w:rPr>
          <w:color w:val="000000"/>
          <w:sz w:val="26"/>
          <w:szCs w:val="26"/>
        </w:rPr>
      </w:pPr>
    </w:p>
    <w:sectPr w:rsidR="00FF7291">
      <w:footerReference w:type="even" r:id="rId12"/>
      <w:footerReference w:type="default" r:id="rId13"/>
      <w:pgSz w:w="11906" w:h="16838" w:code="9"/>
      <w:pgMar w:top="1078" w:right="1797"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E1989" w14:textId="77777777" w:rsidR="00EF7EE8" w:rsidRDefault="00EF7EE8">
      <w:r>
        <w:separator/>
      </w:r>
    </w:p>
  </w:endnote>
  <w:endnote w:type="continuationSeparator" w:id="0">
    <w:p w14:paraId="1958B120" w14:textId="77777777" w:rsidR="00EF7EE8" w:rsidRDefault="00EF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2D42" w14:textId="77777777" w:rsidR="00CC3E9D" w:rsidRDefault="00D50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EF4233" w14:textId="77777777" w:rsidR="00CC3E9D" w:rsidRDefault="00CC3E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924108"/>
      <w:docPartObj>
        <w:docPartGallery w:val="Page Numbers (Bottom of Page)"/>
        <w:docPartUnique/>
      </w:docPartObj>
    </w:sdtPr>
    <w:sdtEndPr>
      <w:rPr>
        <w:noProof/>
      </w:rPr>
    </w:sdtEndPr>
    <w:sdtContent>
      <w:p w14:paraId="1E9C0269" w14:textId="77777777" w:rsidR="00CC3E9D" w:rsidRDefault="00D50A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52EDD" w14:textId="77777777" w:rsidR="00CC3E9D" w:rsidRDefault="00CC3E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7CD2C" w14:textId="77777777" w:rsidR="00EF7EE8" w:rsidRDefault="00EF7EE8">
      <w:r>
        <w:separator/>
      </w:r>
    </w:p>
  </w:footnote>
  <w:footnote w:type="continuationSeparator" w:id="0">
    <w:p w14:paraId="43DBA83D" w14:textId="77777777" w:rsidR="00EF7EE8" w:rsidRDefault="00EF7EE8">
      <w:r>
        <w:continuationSeparator/>
      </w:r>
    </w:p>
  </w:footnote>
  <w:footnote w:id="1">
    <w:p w14:paraId="0926D144" w14:textId="109F8D77" w:rsidR="00224797" w:rsidRDefault="00224797">
      <w:pPr>
        <w:pStyle w:val="FootnoteText"/>
      </w:pPr>
      <w:r>
        <w:rPr>
          <w:rStyle w:val="FootnoteReference"/>
        </w:rPr>
        <w:footnoteRef/>
      </w:r>
      <w:r>
        <w:t xml:space="preserve"> Square brackets denote bundle page references</w:t>
      </w:r>
    </w:p>
  </w:footnote>
  <w:footnote w:id="2">
    <w:p w14:paraId="692C336F" w14:textId="77777777" w:rsidR="00FD0780" w:rsidRPr="00FD0780" w:rsidRDefault="009B399D" w:rsidP="00FD0780">
      <w:pPr>
        <w:pStyle w:val="FootnoteText"/>
      </w:pPr>
      <w:r>
        <w:rPr>
          <w:rStyle w:val="FootnoteReference"/>
        </w:rPr>
        <w:footnoteRef/>
      </w:r>
      <w:r>
        <w:t xml:space="preserve"> </w:t>
      </w:r>
      <w:r w:rsidR="00FD0780" w:rsidRPr="00FD0780">
        <w:t>The Tribunal Procedure (First tier Tribunal) (Property Chamber) Rules 2013</w:t>
      </w:r>
    </w:p>
    <w:p w14:paraId="3F6AF2B4" w14:textId="5FBE1CA3" w:rsidR="009B399D" w:rsidRDefault="009B399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63B5"/>
    <w:multiLevelType w:val="hybridMultilevel"/>
    <w:tmpl w:val="66182B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624D3"/>
    <w:multiLevelType w:val="multilevel"/>
    <w:tmpl w:val="F564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631C1"/>
    <w:multiLevelType w:val="hybridMultilevel"/>
    <w:tmpl w:val="7E18C7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685A1A"/>
    <w:multiLevelType w:val="hybridMultilevel"/>
    <w:tmpl w:val="08A04946"/>
    <w:lvl w:ilvl="0" w:tplc="5166393E">
      <w:start w:val="1"/>
      <w:numFmt w:val="decimal"/>
      <w:lvlText w:val="%1."/>
      <w:lvlJc w:val="left"/>
      <w:pPr>
        <w:ind w:left="786"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66516"/>
    <w:multiLevelType w:val="hybridMultilevel"/>
    <w:tmpl w:val="6EE85776"/>
    <w:lvl w:ilvl="0" w:tplc="77743592">
      <w:start w:val="13"/>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1272C"/>
    <w:multiLevelType w:val="hybridMultilevel"/>
    <w:tmpl w:val="0388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C4EE3"/>
    <w:multiLevelType w:val="hybridMultilevel"/>
    <w:tmpl w:val="5270F8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737AB9"/>
    <w:multiLevelType w:val="hybridMultilevel"/>
    <w:tmpl w:val="95DA4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E330CBA"/>
    <w:multiLevelType w:val="multilevel"/>
    <w:tmpl w:val="FAE85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2107B"/>
    <w:multiLevelType w:val="hybridMultilevel"/>
    <w:tmpl w:val="AF2A49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1C0F3B"/>
    <w:multiLevelType w:val="hybridMultilevel"/>
    <w:tmpl w:val="08A04946"/>
    <w:lvl w:ilvl="0" w:tplc="FFFFFFFF">
      <w:start w:val="1"/>
      <w:numFmt w:val="decimal"/>
      <w:lvlText w:val="%1."/>
      <w:lvlJc w:val="left"/>
      <w:pPr>
        <w:ind w:left="786"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E613E3"/>
    <w:multiLevelType w:val="hybridMultilevel"/>
    <w:tmpl w:val="482647E2"/>
    <w:lvl w:ilvl="0" w:tplc="77743592">
      <w:start w:val="13"/>
      <w:numFmt w:val="decimal"/>
      <w:lvlText w:val="%1."/>
      <w:lvlJc w:val="left"/>
      <w:pPr>
        <w:ind w:left="1146" w:hanging="360"/>
      </w:pPr>
      <w:rPr>
        <w:rFonts w:hint="default"/>
        <w:i w:val="0"/>
        <w:i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32843436"/>
    <w:multiLevelType w:val="multilevel"/>
    <w:tmpl w:val="5E4E6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B04E69"/>
    <w:multiLevelType w:val="hybridMultilevel"/>
    <w:tmpl w:val="CA8A8C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A7C09"/>
    <w:multiLevelType w:val="multilevel"/>
    <w:tmpl w:val="82765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F112E"/>
    <w:multiLevelType w:val="hybridMultilevel"/>
    <w:tmpl w:val="72BC2A2E"/>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E8538A"/>
    <w:multiLevelType w:val="multilevel"/>
    <w:tmpl w:val="5B0C6C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7E69A6"/>
    <w:multiLevelType w:val="multilevel"/>
    <w:tmpl w:val="90AED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C932F5"/>
    <w:multiLevelType w:val="hybridMultilevel"/>
    <w:tmpl w:val="24E8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43598"/>
    <w:multiLevelType w:val="multilevel"/>
    <w:tmpl w:val="AA62E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AE5BC4"/>
    <w:multiLevelType w:val="hybridMultilevel"/>
    <w:tmpl w:val="68DC4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2310D"/>
    <w:multiLevelType w:val="hybridMultilevel"/>
    <w:tmpl w:val="ED26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07629"/>
    <w:multiLevelType w:val="hybridMultilevel"/>
    <w:tmpl w:val="1592F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89325E"/>
    <w:multiLevelType w:val="hybridMultilevel"/>
    <w:tmpl w:val="2E6E8C6C"/>
    <w:lvl w:ilvl="0" w:tplc="7C16CB5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70023998"/>
    <w:multiLevelType w:val="multilevel"/>
    <w:tmpl w:val="8556C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DB58FA"/>
    <w:multiLevelType w:val="hybridMultilevel"/>
    <w:tmpl w:val="6DCEE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472059"/>
    <w:multiLevelType w:val="hybridMultilevel"/>
    <w:tmpl w:val="6D12E31C"/>
    <w:lvl w:ilvl="0" w:tplc="FFFFFFFF">
      <w:start w:val="1"/>
      <w:numFmt w:val="decimal"/>
      <w:lvlText w:val="%1."/>
      <w:lvlJc w:val="left"/>
      <w:pPr>
        <w:ind w:left="852" w:hanging="360"/>
      </w:pPr>
      <w:rPr>
        <w:i w:val="0"/>
        <w:i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754767B1"/>
    <w:multiLevelType w:val="hybridMultilevel"/>
    <w:tmpl w:val="88B4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E870EB"/>
    <w:multiLevelType w:val="hybridMultilevel"/>
    <w:tmpl w:val="329E65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C3688C"/>
    <w:multiLevelType w:val="multilevel"/>
    <w:tmpl w:val="6152E14C"/>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CF2533"/>
    <w:multiLevelType w:val="hybridMultilevel"/>
    <w:tmpl w:val="D2823AAC"/>
    <w:lvl w:ilvl="0" w:tplc="831AF6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E44E0F"/>
    <w:multiLevelType w:val="multilevel"/>
    <w:tmpl w:val="97EA6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906245">
    <w:abstractNumId w:val="24"/>
  </w:num>
  <w:num w:numId="2" w16cid:durableId="1924409996">
    <w:abstractNumId w:val="29"/>
  </w:num>
  <w:num w:numId="3" w16cid:durableId="1828595862">
    <w:abstractNumId w:val="21"/>
  </w:num>
  <w:num w:numId="4" w16cid:durableId="1287152453">
    <w:abstractNumId w:val="27"/>
  </w:num>
  <w:num w:numId="5" w16cid:durableId="1389066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3417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371466">
    <w:abstractNumId w:val="13"/>
  </w:num>
  <w:num w:numId="8" w16cid:durableId="4475931">
    <w:abstractNumId w:val="25"/>
  </w:num>
  <w:num w:numId="9" w16cid:durableId="914707956">
    <w:abstractNumId w:val="30"/>
  </w:num>
  <w:num w:numId="10" w16cid:durableId="142697628">
    <w:abstractNumId w:val="5"/>
  </w:num>
  <w:num w:numId="11" w16cid:durableId="925572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3680706">
    <w:abstractNumId w:val="18"/>
  </w:num>
  <w:num w:numId="13" w16cid:durableId="964895463">
    <w:abstractNumId w:val="22"/>
  </w:num>
  <w:num w:numId="14" w16cid:durableId="546071781">
    <w:abstractNumId w:val="0"/>
  </w:num>
  <w:num w:numId="15" w16cid:durableId="1615358308">
    <w:abstractNumId w:val="9"/>
  </w:num>
  <w:num w:numId="16" w16cid:durableId="2001613787">
    <w:abstractNumId w:val="6"/>
  </w:num>
  <w:num w:numId="17" w16cid:durableId="1554387115">
    <w:abstractNumId w:val="28"/>
  </w:num>
  <w:num w:numId="18" w16cid:durableId="2125997788">
    <w:abstractNumId w:val="1"/>
  </w:num>
  <w:num w:numId="19" w16cid:durableId="407465016">
    <w:abstractNumId w:val="8"/>
  </w:num>
  <w:num w:numId="20" w16cid:durableId="1755398989">
    <w:abstractNumId w:val="19"/>
  </w:num>
  <w:num w:numId="21" w16cid:durableId="1512260794">
    <w:abstractNumId w:val="16"/>
  </w:num>
  <w:num w:numId="22" w16cid:durableId="183054398">
    <w:abstractNumId w:val="14"/>
  </w:num>
  <w:num w:numId="23" w16cid:durableId="2025088582">
    <w:abstractNumId w:val="31"/>
  </w:num>
  <w:num w:numId="24" w16cid:durableId="2097315616">
    <w:abstractNumId w:val="17"/>
  </w:num>
  <w:num w:numId="25" w16cid:durableId="268895624">
    <w:abstractNumId w:val="12"/>
  </w:num>
  <w:num w:numId="26" w16cid:durableId="681589451">
    <w:abstractNumId w:val="15"/>
  </w:num>
  <w:num w:numId="27" w16cid:durableId="355205153">
    <w:abstractNumId w:val="3"/>
  </w:num>
  <w:num w:numId="28" w16cid:durableId="1563952236">
    <w:abstractNumId w:val="20"/>
  </w:num>
  <w:num w:numId="29" w16cid:durableId="1813136787">
    <w:abstractNumId w:val="10"/>
  </w:num>
  <w:num w:numId="30" w16cid:durableId="1649089583">
    <w:abstractNumId w:val="26"/>
  </w:num>
  <w:num w:numId="31" w16cid:durableId="933512464">
    <w:abstractNumId w:val="4"/>
  </w:num>
  <w:num w:numId="32" w16cid:durableId="1417630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E0"/>
    <w:rsid w:val="0000311E"/>
    <w:rsid w:val="00017764"/>
    <w:rsid w:val="00017B4F"/>
    <w:rsid w:val="00031975"/>
    <w:rsid w:val="00033F11"/>
    <w:rsid w:val="00051048"/>
    <w:rsid w:val="000556E9"/>
    <w:rsid w:val="00066A64"/>
    <w:rsid w:val="00071377"/>
    <w:rsid w:val="00071A9A"/>
    <w:rsid w:val="000727A9"/>
    <w:rsid w:val="00081FB6"/>
    <w:rsid w:val="00082E09"/>
    <w:rsid w:val="00090043"/>
    <w:rsid w:val="00092660"/>
    <w:rsid w:val="00097804"/>
    <w:rsid w:val="000A086D"/>
    <w:rsid w:val="000B4B12"/>
    <w:rsid w:val="000C71B5"/>
    <w:rsid w:val="000F4738"/>
    <w:rsid w:val="000F5894"/>
    <w:rsid w:val="00114354"/>
    <w:rsid w:val="00120519"/>
    <w:rsid w:val="00126453"/>
    <w:rsid w:val="00127963"/>
    <w:rsid w:val="00141045"/>
    <w:rsid w:val="0015276F"/>
    <w:rsid w:val="001640DA"/>
    <w:rsid w:val="0017331C"/>
    <w:rsid w:val="001842E7"/>
    <w:rsid w:val="00191EA2"/>
    <w:rsid w:val="001A6FE1"/>
    <w:rsid w:val="001B5D48"/>
    <w:rsid w:val="001C06C6"/>
    <w:rsid w:val="001D70A6"/>
    <w:rsid w:val="001E17E3"/>
    <w:rsid w:val="00201610"/>
    <w:rsid w:val="00224797"/>
    <w:rsid w:val="00230139"/>
    <w:rsid w:val="00244ED6"/>
    <w:rsid w:val="0024768B"/>
    <w:rsid w:val="002552B3"/>
    <w:rsid w:val="002612F1"/>
    <w:rsid w:val="00266D41"/>
    <w:rsid w:val="0027451D"/>
    <w:rsid w:val="002773E7"/>
    <w:rsid w:val="00280BEC"/>
    <w:rsid w:val="002B4008"/>
    <w:rsid w:val="002C7080"/>
    <w:rsid w:val="002E7622"/>
    <w:rsid w:val="002F400D"/>
    <w:rsid w:val="0032156B"/>
    <w:rsid w:val="003248B5"/>
    <w:rsid w:val="00350AF6"/>
    <w:rsid w:val="00350FB5"/>
    <w:rsid w:val="00355780"/>
    <w:rsid w:val="0036390D"/>
    <w:rsid w:val="00373A2A"/>
    <w:rsid w:val="0038390F"/>
    <w:rsid w:val="00394F20"/>
    <w:rsid w:val="003C3A7E"/>
    <w:rsid w:val="003D5A77"/>
    <w:rsid w:val="003E1FE7"/>
    <w:rsid w:val="003E7029"/>
    <w:rsid w:val="00403ADB"/>
    <w:rsid w:val="004060A5"/>
    <w:rsid w:val="00406951"/>
    <w:rsid w:val="00407C3D"/>
    <w:rsid w:val="004166AF"/>
    <w:rsid w:val="004269BE"/>
    <w:rsid w:val="004306E5"/>
    <w:rsid w:val="00433B4C"/>
    <w:rsid w:val="00461FD7"/>
    <w:rsid w:val="00462616"/>
    <w:rsid w:val="00473F62"/>
    <w:rsid w:val="00490DD6"/>
    <w:rsid w:val="00495DC3"/>
    <w:rsid w:val="004A4F80"/>
    <w:rsid w:val="004C4953"/>
    <w:rsid w:val="004C7FD8"/>
    <w:rsid w:val="004E7A61"/>
    <w:rsid w:val="004F0C2B"/>
    <w:rsid w:val="004F6E5D"/>
    <w:rsid w:val="00503FA2"/>
    <w:rsid w:val="00521635"/>
    <w:rsid w:val="005269C6"/>
    <w:rsid w:val="00563A90"/>
    <w:rsid w:val="005A05B1"/>
    <w:rsid w:val="005B5CA7"/>
    <w:rsid w:val="005C2212"/>
    <w:rsid w:val="005C3199"/>
    <w:rsid w:val="005D0457"/>
    <w:rsid w:val="005F75F4"/>
    <w:rsid w:val="0062188F"/>
    <w:rsid w:val="00633302"/>
    <w:rsid w:val="00640D12"/>
    <w:rsid w:val="00644B99"/>
    <w:rsid w:val="006453C1"/>
    <w:rsid w:val="00646464"/>
    <w:rsid w:val="00651D75"/>
    <w:rsid w:val="006570DD"/>
    <w:rsid w:val="00665614"/>
    <w:rsid w:val="0067003E"/>
    <w:rsid w:val="0068230F"/>
    <w:rsid w:val="00685F1D"/>
    <w:rsid w:val="006866E7"/>
    <w:rsid w:val="006A2D16"/>
    <w:rsid w:val="006B5F66"/>
    <w:rsid w:val="006D015C"/>
    <w:rsid w:val="006D76D0"/>
    <w:rsid w:val="006E59EE"/>
    <w:rsid w:val="00704345"/>
    <w:rsid w:val="007207D8"/>
    <w:rsid w:val="007306BA"/>
    <w:rsid w:val="0073162C"/>
    <w:rsid w:val="00743AEA"/>
    <w:rsid w:val="00745F49"/>
    <w:rsid w:val="00764CD1"/>
    <w:rsid w:val="00774B3B"/>
    <w:rsid w:val="00781440"/>
    <w:rsid w:val="00787748"/>
    <w:rsid w:val="007A0FD9"/>
    <w:rsid w:val="007A1CF0"/>
    <w:rsid w:val="007A680A"/>
    <w:rsid w:val="007C79CC"/>
    <w:rsid w:val="007D5373"/>
    <w:rsid w:val="007E0E9E"/>
    <w:rsid w:val="007F6158"/>
    <w:rsid w:val="00800571"/>
    <w:rsid w:val="00810BE9"/>
    <w:rsid w:val="008153A3"/>
    <w:rsid w:val="00817044"/>
    <w:rsid w:val="00817159"/>
    <w:rsid w:val="008338FD"/>
    <w:rsid w:val="0084246B"/>
    <w:rsid w:val="00844299"/>
    <w:rsid w:val="008615F7"/>
    <w:rsid w:val="00865B57"/>
    <w:rsid w:val="00884CF8"/>
    <w:rsid w:val="00892274"/>
    <w:rsid w:val="00897D89"/>
    <w:rsid w:val="008A3B86"/>
    <w:rsid w:val="008B279C"/>
    <w:rsid w:val="008B6EE4"/>
    <w:rsid w:val="008C6FD3"/>
    <w:rsid w:val="008D436D"/>
    <w:rsid w:val="008D628E"/>
    <w:rsid w:val="008D69F4"/>
    <w:rsid w:val="008D718C"/>
    <w:rsid w:val="008E53EE"/>
    <w:rsid w:val="00904A0B"/>
    <w:rsid w:val="00905E96"/>
    <w:rsid w:val="00906411"/>
    <w:rsid w:val="00911EAA"/>
    <w:rsid w:val="00917685"/>
    <w:rsid w:val="00933DF8"/>
    <w:rsid w:val="0093664F"/>
    <w:rsid w:val="0096361F"/>
    <w:rsid w:val="0099253C"/>
    <w:rsid w:val="009A5064"/>
    <w:rsid w:val="009B399D"/>
    <w:rsid w:val="009C0884"/>
    <w:rsid w:val="009C6DB6"/>
    <w:rsid w:val="009D4787"/>
    <w:rsid w:val="009E092D"/>
    <w:rsid w:val="009F599A"/>
    <w:rsid w:val="00A2002C"/>
    <w:rsid w:val="00A26CA6"/>
    <w:rsid w:val="00A34A0F"/>
    <w:rsid w:val="00A37AC3"/>
    <w:rsid w:val="00A4489B"/>
    <w:rsid w:val="00A5595F"/>
    <w:rsid w:val="00A71DF5"/>
    <w:rsid w:val="00A75C2C"/>
    <w:rsid w:val="00A876D3"/>
    <w:rsid w:val="00A91D87"/>
    <w:rsid w:val="00AA0005"/>
    <w:rsid w:val="00AB5220"/>
    <w:rsid w:val="00AB57C0"/>
    <w:rsid w:val="00AE1CC1"/>
    <w:rsid w:val="00B10937"/>
    <w:rsid w:val="00B14283"/>
    <w:rsid w:val="00B15895"/>
    <w:rsid w:val="00B35B2A"/>
    <w:rsid w:val="00B40018"/>
    <w:rsid w:val="00B518A9"/>
    <w:rsid w:val="00B618D0"/>
    <w:rsid w:val="00B65EF5"/>
    <w:rsid w:val="00B66B91"/>
    <w:rsid w:val="00B674EB"/>
    <w:rsid w:val="00B67BB6"/>
    <w:rsid w:val="00B70D64"/>
    <w:rsid w:val="00B753D3"/>
    <w:rsid w:val="00BB73B2"/>
    <w:rsid w:val="00BB74C1"/>
    <w:rsid w:val="00BE3151"/>
    <w:rsid w:val="00BE6668"/>
    <w:rsid w:val="00BF736B"/>
    <w:rsid w:val="00C0209C"/>
    <w:rsid w:val="00C10892"/>
    <w:rsid w:val="00C20DE6"/>
    <w:rsid w:val="00C21C4D"/>
    <w:rsid w:val="00C2537E"/>
    <w:rsid w:val="00C36D4D"/>
    <w:rsid w:val="00C55D12"/>
    <w:rsid w:val="00C752C2"/>
    <w:rsid w:val="00C81EE9"/>
    <w:rsid w:val="00C852A6"/>
    <w:rsid w:val="00C87BCD"/>
    <w:rsid w:val="00C904A2"/>
    <w:rsid w:val="00C95C1E"/>
    <w:rsid w:val="00CB1162"/>
    <w:rsid w:val="00CC1455"/>
    <w:rsid w:val="00CC3E9D"/>
    <w:rsid w:val="00CC6EA9"/>
    <w:rsid w:val="00CF2337"/>
    <w:rsid w:val="00CF4634"/>
    <w:rsid w:val="00CF5EC0"/>
    <w:rsid w:val="00D13630"/>
    <w:rsid w:val="00D16105"/>
    <w:rsid w:val="00D42E16"/>
    <w:rsid w:val="00D45036"/>
    <w:rsid w:val="00D467FB"/>
    <w:rsid w:val="00D50AE0"/>
    <w:rsid w:val="00D61BD0"/>
    <w:rsid w:val="00D6251C"/>
    <w:rsid w:val="00D84CEB"/>
    <w:rsid w:val="00DA5E67"/>
    <w:rsid w:val="00DB6CDD"/>
    <w:rsid w:val="00DC3A03"/>
    <w:rsid w:val="00E050AE"/>
    <w:rsid w:val="00E125B9"/>
    <w:rsid w:val="00E1709B"/>
    <w:rsid w:val="00E35DC5"/>
    <w:rsid w:val="00E7148C"/>
    <w:rsid w:val="00E77192"/>
    <w:rsid w:val="00E84231"/>
    <w:rsid w:val="00E97489"/>
    <w:rsid w:val="00EA40DE"/>
    <w:rsid w:val="00EA61DB"/>
    <w:rsid w:val="00EB751E"/>
    <w:rsid w:val="00EC1CDC"/>
    <w:rsid w:val="00EC2BED"/>
    <w:rsid w:val="00EC49AF"/>
    <w:rsid w:val="00EE17B3"/>
    <w:rsid w:val="00EE5AE2"/>
    <w:rsid w:val="00EF3900"/>
    <w:rsid w:val="00EF7EE8"/>
    <w:rsid w:val="00F03D2A"/>
    <w:rsid w:val="00F11255"/>
    <w:rsid w:val="00F130D2"/>
    <w:rsid w:val="00F13271"/>
    <w:rsid w:val="00F336CB"/>
    <w:rsid w:val="00F347F9"/>
    <w:rsid w:val="00F46F1D"/>
    <w:rsid w:val="00F55C07"/>
    <w:rsid w:val="00F81A43"/>
    <w:rsid w:val="00F8303F"/>
    <w:rsid w:val="00FA1882"/>
    <w:rsid w:val="00FA34EF"/>
    <w:rsid w:val="00FA414D"/>
    <w:rsid w:val="00FB4883"/>
    <w:rsid w:val="00FB4DA4"/>
    <w:rsid w:val="00FB5892"/>
    <w:rsid w:val="00FD0780"/>
    <w:rsid w:val="00FD1036"/>
    <w:rsid w:val="00FF2DC5"/>
    <w:rsid w:val="00FF7291"/>
    <w:rsid w:val="1A3F4ED3"/>
    <w:rsid w:val="1E312B4A"/>
    <w:rsid w:val="476E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F475"/>
  <w15:chartTrackingRefBased/>
  <w15:docId w15:val="{B9E4CDC1-1258-47FA-8580-1A0517A9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A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0AE0"/>
    <w:rPr>
      <w:color w:val="0000FF"/>
      <w:u w:val="single"/>
    </w:rPr>
  </w:style>
  <w:style w:type="paragraph" w:styleId="NormalWeb">
    <w:name w:val="Normal (Web)"/>
    <w:basedOn w:val="Normal"/>
    <w:uiPriority w:val="99"/>
    <w:rsid w:val="00D50AE0"/>
    <w:pPr>
      <w:spacing w:before="100" w:beforeAutospacing="1" w:after="100" w:afterAutospacing="1"/>
    </w:pPr>
  </w:style>
  <w:style w:type="paragraph" w:styleId="Footer">
    <w:name w:val="footer"/>
    <w:basedOn w:val="Normal"/>
    <w:link w:val="FooterChar"/>
    <w:uiPriority w:val="99"/>
    <w:rsid w:val="00D50AE0"/>
    <w:pPr>
      <w:tabs>
        <w:tab w:val="center" w:pos="4153"/>
        <w:tab w:val="right" w:pos="8306"/>
      </w:tabs>
    </w:pPr>
  </w:style>
  <w:style w:type="character" w:customStyle="1" w:styleId="FooterChar">
    <w:name w:val="Footer Char"/>
    <w:basedOn w:val="DefaultParagraphFont"/>
    <w:link w:val="Footer"/>
    <w:uiPriority w:val="99"/>
    <w:rsid w:val="00D50AE0"/>
    <w:rPr>
      <w:rFonts w:ascii="Times New Roman" w:eastAsia="Times New Roman" w:hAnsi="Times New Roman" w:cs="Times New Roman"/>
      <w:sz w:val="24"/>
      <w:szCs w:val="24"/>
      <w:lang w:eastAsia="en-GB"/>
    </w:rPr>
  </w:style>
  <w:style w:type="character" w:styleId="PageNumber">
    <w:name w:val="page number"/>
    <w:basedOn w:val="DefaultParagraphFont"/>
    <w:rsid w:val="00D50AE0"/>
  </w:style>
  <w:style w:type="paragraph" w:styleId="ListParagraph">
    <w:name w:val="List Paragraph"/>
    <w:basedOn w:val="Normal"/>
    <w:uiPriority w:val="34"/>
    <w:qFormat/>
    <w:rsid w:val="00D50AE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srcss-1q0x1qg-paragraph">
    <w:name w:val="ssrcss-1q0x1qg-paragraph"/>
    <w:basedOn w:val="Normal"/>
    <w:rsid w:val="00D50AE0"/>
    <w:pPr>
      <w:spacing w:before="100" w:beforeAutospacing="1" w:after="100" w:afterAutospacing="1"/>
    </w:pPr>
  </w:style>
  <w:style w:type="character" w:styleId="SmartLink">
    <w:name w:val="Smart Link"/>
    <w:basedOn w:val="DefaultParagraphFont"/>
    <w:uiPriority w:val="99"/>
    <w:semiHidden/>
    <w:unhideWhenUsed/>
    <w:rsid w:val="000A086D"/>
    <w:rPr>
      <w:color w:val="0000FF"/>
      <w:u w:val="single"/>
      <w:shd w:val="clear" w:color="auto" w:fill="F3F2F1"/>
    </w:rPr>
  </w:style>
  <w:style w:type="character" w:customStyle="1" w:styleId="normaltextrun">
    <w:name w:val="normaltextrun"/>
    <w:basedOn w:val="DefaultParagraphFont"/>
    <w:rsid w:val="00CB1162"/>
  </w:style>
  <w:style w:type="paragraph" w:styleId="FootnoteText">
    <w:name w:val="footnote text"/>
    <w:basedOn w:val="Normal"/>
    <w:link w:val="FootnoteTextChar"/>
    <w:uiPriority w:val="99"/>
    <w:semiHidden/>
    <w:unhideWhenUsed/>
    <w:rsid w:val="00224797"/>
    <w:rPr>
      <w:sz w:val="20"/>
      <w:szCs w:val="20"/>
    </w:rPr>
  </w:style>
  <w:style w:type="character" w:customStyle="1" w:styleId="FootnoteTextChar">
    <w:name w:val="Footnote Text Char"/>
    <w:basedOn w:val="DefaultParagraphFont"/>
    <w:link w:val="FootnoteText"/>
    <w:uiPriority w:val="99"/>
    <w:semiHidden/>
    <w:rsid w:val="0022479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247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1869">
      <w:bodyDiv w:val="1"/>
      <w:marLeft w:val="0"/>
      <w:marRight w:val="0"/>
      <w:marTop w:val="0"/>
      <w:marBottom w:val="0"/>
      <w:divBdr>
        <w:top w:val="none" w:sz="0" w:space="0" w:color="auto"/>
        <w:left w:val="none" w:sz="0" w:space="0" w:color="auto"/>
        <w:bottom w:val="none" w:sz="0" w:space="0" w:color="auto"/>
        <w:right w:val="none" w:sz="0" w:space="0" w:color="auto"/>
      </w:divBdr>
      <w:divsChild>
        <w:div w:id="1853569115">
          <w:marLeft w:val="0"/>
          <w:marRight w:val="0"/>
          <w:marTop w:val="0"/>
          <w:marBottom w:val="0"/>
          <w:divBdr>
            <w:top w:val="none" w:sz="0" w:space="0" w:color="auto"/>
            <w:left w:val="none" w:sz="0" w:space="0" w:color="auto"/>
            <w:bottom w:val="none" w:sz="0" w:space="0" w:color="auto"/>
            <w:right w:val="none" w:sz="0" w:space="0" w:color="auto"/>
          </w:divBdr>
          <w:divsChild>
            <w:div w:id="23791165">
              <w:marLeft w:val="0"/>
              <w:marRight w:val="0"/>
              <w:marTop w:val="0"/>
              <w:marBottom w:val="0"/>
              <w:divBdr>
                <w:top w:val="none" w:sz="0" w:space="0" w:color="auto"/>
                <w:left w:val="none" w:sz="0" w:space="0" w:color="auto"/>
                <w:bottom w:val="none" w:sz="0" w:space="0" w:color="auto"/>
                <w:right w:val="none" w:sz="0" w:space="0" w:color="auto"/>
              </w:divBdr>
              <w:divsChild>
                <w:div w:id="30963596">
                  <w:marLeft w:val="0"/>
                  <w:marRight w:val="0"/>
                  <w:marTop w:val="0"/>
                  <w:marBottom w:val="0"/>
                  <w:divBdr>
                    <w:top w:val="none" w:sz="0" w:space="0" w:color="auto"/>
                    <w:left w:val="none" w:sz="0" w:space="0" w:color="auto"/>
                    <w:bottom w:val="none" w:sz="0" w:space="0" w:color="auto"/>
                    <w:right w:val="none" w:sz="0" w:space="0" w:color="auto"/>
                  </w:divBdr>
                </w:div>
                <w:div w:id="293827320">
                  <w:marLeft w:val="0"/>
                  <w:marRight w:val="0"/>
                  <w:marTop w:val="0"/>
                  <w:marBottom w:val="0"/>
                  <w:divBdr>
                    <w:top w:val="none" w:sz="0" w:space="0" w:color="auto"/>
                    <w:left w:val="none" w:sz="0" w:space="0" w:color="auto"/>
                    <w:bottom w:val="none" w:sz="0" w:space="0" w:color="auto"/>
                    <w:right w:val="none" w:sz="0" w:space="0" w:color="auto"/>
                  </w:divBdr>
                </w:div>
                <w:div w:id="674574154">
                  <w:marLeft w:val="0"/>
                  <w:marRight w:val="0"/>
                  <w:marTop w:val="0"/>
                  <w:marBottom w:val="0"/>
                  <w:divBdr>
                    <w:top w:val="none" w:sz="0" w:space="0" w:color="auto"/>
                    <w:left w:val="none" w:sz="0" w:space="0" w:color="auto"/>
                    <w:bottom w:val="none" w:sz="0" w:space="0" w:color="auto"/>
                    <w:right w:val="none" w:sz="0" w:space="0" w:color="auto"/>
                  </w:divBdr>
                </w:div>
                <w:div w:id="1190296261">
                  <w:marLeft w:val="0"/>
                  <w:marRight w:val="0"/>
                  <w:marTop w:val="0"/>
                  <w:marBottom w:val="0"/>
                  <w:divBdr>
                    <w:top w:val="none" w:sz="0" w:space="0" w:color="auto"/>
                    <w:left w:val="none" w:sz="0" w:space="0" w:color="auto"/>
                    <w:bottom w:val="none" w:sz="0" w:space="0" w:color="auto"/>
                    <w:right w:val="none" w:sz="0" w:space="0" w:color="auto"/>
                  </w:divBdr>
                </w:div>
                <w:div w:id="17565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1783">
      <w:bodyDiv w:val="1"/>
      <w:marLeft w:val="0"/>
      <w:marRight w:val="0"/>
      <w:marTop w:val="0"/>
      <w:marBottom w:val="0"/>
      <w:divBdr>
        <w:top w:val="none" w:sz="0" w:space="0" w:color="auto"/>
        <w:left w:val="none" w:sz="0" w:space="0" w:color="auto"/>
        <w:bottom w:val="none" w:sz="0" w:space="0" w:color="auto"/>
        <w:right w:val="none" w:sz="0" w:space="0" w:color="auto"/>
      </w:divBdr>
      <w:divsChild>
        <w:div w:id="82000654">
          <w:marLeft w:val="0"/>
          <w:marRight w:val="0"/>
          <w:marTop w:val="0"/>
          <w:marBottom w:val="0"/>
          <w:divBdr>
            <w:top w:val="none" w:sz="0" w:space="0" w:color="auto"/>
            <w:left w:val="none" w:sz="0" w:space="0" w:color="auto"/>
            <w:bottom w:val="none" w:sz="0" w:space="0" w:color="auto"/>
            <w:right w:val="none" w:sz="0" w:space="0" w:color="auto"/>
          </w:divBdr>
          <w:divsChild>
            <w:div w:id="1991211567">
              <w:marLeft w:val="0"/>
              <w:marRight w:val="0"/>
              <w:marTop w:val="0"/>
              <w:marBottom w:val="0"/>
              <w:divBdr>
                <w:top w:val="none" w:sz="0" w:space="0" w:color="auto"/>
                <w:left w:val="none" w:sz="0" w:space="0" w:color="auto"/>
                <w:bottom w:val="none" w:sz="0" w:space="0" w:color="auto"/>
                <w:right w:val="none" w:sz="0" w:space="0" w:color="auto"/>
              </w:divBdr>
              <w:divsChild>
                <w:div w:id="1327516595">
                  <w:marLeft w:val="0"/>
                  <w:marRight w:val="0"/>
                  <w:marTop w:val="0"/>
                  <w:marBottom w:val="0"/>
                  <w:divBdr>
                    <w:top w:val="none" w:sz="0" w:space="0" w:color="auto"/>
                    <w:left w:val="none" w:sz="0" w:space="0" w:color="auto"/>
                    <w:bottom w:val="none" w:sz="0" w:space="0" w:color="auto"/>
                    <w:right w:val="none" w:sz="0" w:space="0" w:color="auto"/>
                  </w:divBdr>
                </w:div>
                <w:div w:id="1384256989">
                  <w:marLeft w:val="0"/>
                  <w:marRight w:val="0"/>
                  <w:marTop w:val="0"/>
                  <w:marBottom w:val="0"/>
                  <w:divBdr>
                    <w:top w:val="none" w:sz="0" w:space="0" w:color="auto"/>
                    <w:left w:val="none" w:sz="0" w:space="0" w:color="auto"/>
                    <w:bottom w:val="none" w:sz="0" w:space="0" w:color="auto"/>
                    <w:right w:val="none" w:sz="0" w:space="0" w:color="auto"/>
                  </w:divBdr>
                </w:div>
                <w:div w:id="1536893617">
                  <w:marLeft w:val="0"/>
                  <w:marRight w:val="0"/>
                  <w:marTop w:val="0"/>
                  <w:marBottom w:val="0"/>
                  <w:divBdr>
                    <w:top w:val="none" w:sz="0" w:space="0" w:color="auto"/>
                    <w:left w:val="none" w:sz="0" w:space="0" w:color="auto"/>
                    <w:bottom w:val="none" w:sz="0" w:space="0" w:color="auto"/>
                    <w:right w:val="none" w:sz="0" w:space="0" w:color="auto"/>
                  </w:divBdr>
                </w:div>
                <w:div w:id="1722554967">
                  <w:marLeft w:val="0"/>
                  <w:marRight w:val="0"/>
                  <w:marTop w:val="0"/>
                  <w:marBottom w:val="0"/>
                  <w:divBdr>
                    <w:top w:val="none" w:sz="0" w:space="0" w:color="auto"/>
                    <w:left w:val="none" w:sz="0" w:space="0" w:color="auto"/>
                    <w:bottom w:val="none" w:sz="0" w:space="0" w:color="auto"/>
                    <w:right w:val="none" w:sz="0" w:space="0" w:color="auto"/>
                  </w:divBdr>
                </w:div>
                <w:div w:id="17834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72798">
      <w:bodyDiv w:val="1"/>
      <w:marLeft w:val="0"/>
      <w:marRight w:val="0"/>
      <w:marTop w:val="0"/>
      <w:marBottom w:val="0"/>
      <w:divBdr>
        <w:top w:val="none" w:sz="0" w:space="0" w:color="auto"/>
        <w:left w:val="none" w:sz="0" w:space="0" w:color="auto"/>
        <w:bottom w:val="none" w:sz="0" w:space="0" w:color="auto"/>
        <w:right w:val="none" w:sz="0" w:space="0" w:color="auto"/>
      </w:divBdr>
    </w:div>
    <w:div w:id="1335256386">
      <w:bodyDiv w:val="1"/>
      <w:marLeft w:val="0"/>
      <w:marRight w:val="0"/>
      <w:marTop w:val="0"/>
      <w:marBottom w:val="0"/>
      <w:divBdr>
        <w:top w:val="none" w:sz="0" w:space="0" w:color="auto"/>
        <w:left w:val="none" w:sz="0" w:space="0" w:color="auto"/>
        <w:bottom w:val="none" w:sz="0" w:space="0" w:color="auto"/>
        <w:right w:val="none" w:sz="0" w:space="0" w:color="auto"/>
      </w:divBdr>
    </w:div>
    <w:div w:id="19330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7B4AF99DB0942B713A35E41D106AE" ma:contentTypeVersion="16" ma:contentTypeDescription="Create a new document." ma:contentTypeScope="" ma:versionID="2a73f20b275b64d92cb9a180ef209c0d">
  <xsd:schema xmlns:xsd="http://www.w3.org/2001/XMLSchema" xmlns:xs="http://www.w3.org/2001/XMLSchema" xmlns:p="http://schemas.microsoft.com/office/2006/metadata/properties" xmlns:ns3="077fc601-16d7-40e5-bd47-afeb4f84a194" xmlns:ns4="99bdf527-5e1f-4744-8e3e-fb3d6b6d3fca" targetNamespace="http://schemas.microsoft.com/office/2006/metadata/properties" ma:root="true" ma:fieldsID="72c23857b1434f1d1fea3450724ea0d9" ns3:_="" ns4:_="">
    <xsd:import namespace="077fc601-16d7-40e5-bd47-afeb4f84a194"/>
    <xsd:import namespace="99bdf527-5e1f-4744-8e3e-fb3d6b6d3f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fc601-16d7-40e5-bd47-afeb4f84a1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df527-5e1f-4744-8e3e-fb3d6b6d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9bdf527-5e1f-4744-8e3e-fb3d6b6d3f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6DFEE-9ADB-4689-B6CC-A246A95E4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fc601-16d7-40e5-bd47-afeb4f84a194"/>
    <ds:schemaRef ds:uri="99bdf527-5e1f-4744-8e3e-fb3d6b6d3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543A1-C805-4A14-8B7F-5104182457D2}">
  <ds:schemaRefs>
    <ds:schemaRef ds:uri="http://schemas.openxmlformats.org/officeDocument/2006/bibliography"/>
  </ds:schemaRefs>
</ds:datastoreItem>
</file>

<file path=customXml/itemProps3.xml><?xml version="1.0" encoding="utf-8"?>
<ds:datastoreItem xmlns:ds="http://schemas.openxmlformats.org/officeDocument/2006/customXml" ds:itemID="{4360E106-358C-4BCE-A194-8EF6A4C4D8DA}">
  <ds:schemaRefs>
    <ds:schemaRef ds:uri="http://purl.org/dc/dcmitype/"/>
    <ds:schemaRef ds:uri="http://www.w3.org/XML/1998/namespace"/>
    <ds:schemaRef ds:uri="99bdf527-5e1f-4744-8e3e-fb3d6b6d3fca"/>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77fc601-16d7-40e5-bd47-afeb4f84a194"/>
    <ds:schemaRef ds:uri="http://schemas.microsoft.com/office/2006/metadata/properties"/>
  </ds:schemaRefs>
</ds:datastoreItem>
</file>

<file path=customXml/itemProps4.xml><?xml version="1.0" encoding="utf-8"?>
<ds:datastoreItem xmlns:ds="http://schemas.openxmlformats.org/officeDocument/2006/customXml" ds:itemID="{0A0F2842-B3BA-4222-AC41-D943CC347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Martynski, DeputyRegTribunalJudge</dc:creator>
  <cp:keywords/>
  <dc:description/>
  <cp:lastModifiedBy>Norman, Tribunal Member Charles</cp:lastModifiedBy>
  <cp:revision>2</cp:revision>
  <cp:lastPrinted>2024-11-03T13:12:00Z</cp:lastPrinted>
  <dcterms:created xsi:type="dcterms:W3CDTF">2024-11-11T11:33:00Z</dcterms:created>
  <dcterms:modified xsi:type="dcterms:W3CDTF">2024-11-11T11:33:00Z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0x0101003857B4AF99DB0942B713A35E41D106AE</vt:lpwstr>
  </property>
</Properties>
</file>