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364" w:type="dxa"/>
        <w:tblLook w:val="01E0" w:firstRow="1" w:lastRow="1" w:firstColumn="1" w:lastColumn="1" w:noHBand="0" w:noVBand="0"/>
      </w:tblPr>
      <w:tblGrid>
        <w:gridCol w:w="2692"/>
        <w:gridCol w:w="463"/>
        <w:gridCol w:w="5209"/>
      </w:tblGrid>
      <w:tr w:rsidR="00724F05" w:rsidRPr="007F1C70" w14:paraId="10042309" w14:textId="77777777" w:rsidTr="009B01F3">
        <w:trPr>
          <w:trHeight w:val="1008"/>
        </w:trPr>
        <w:tc>
          <w:tcPr>
            <w:tcW w:w="2692" w:type="dxa"/>
            <w:shd w:val="clear" w:color="auto" w:fill="auto"/>
            <w:vAlign w:val="center"/>
          </w:tcPr>
          <w:p w14:paraId="41CD49F9" w14:textId="66015545" w:rsidR="00724F05" w:rsidRPr="007F1C70" w:rsidRDefault="00636135" w:rsidP="007F1C70">
            <w:pPr>
              <w:tabs>
                <w:tab w:val="left" w:pos="2880"/>
              </w:tabs>
              <w:spacing w:before="240" w:after="240"/>
              <w:rPr>
                <w:rFonts w:ascii="Georgia" w:hAnsi="Georgia" w:cs="Arial"/>
                <w:b/>
                <w:bCs/>
              </w:rPr>
            </w:pPr>
            <w:r w:rsidRPr="007F1C70">
              <w:rPr>
                <w:rFonts w:ascii="Georgia" w:hAnsi="Georgia"/>
                <w:noProof/>
              </w:rPr>
              <w:drawing>
                <wp:inline distT="0" distB="0" distL="0" distR="0" wp14:anchorId="1CD27019" wp14:editId="3EDAABE5">
                  <wp:extent cx="914400" cy="771525"/>
                  <wp:effectExtent l="0" t="0" r="0"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771525"/>
                          </a:xfrm>
                          <a:prstGeom prst="rect">
                            <a:avLst/>
                          </a:prstGeom>
                          <a:noFill/>
                          <a:ln>
                            <a:noFill/>
                          </a:ln>
                        </pic:spPr>
                      </pic:pic>
                    </a:graphicData>
                  </a:graphic>
                </wp:inline>
              </w:drawing>
            </w:r>
          </w:p>
        </w:tc>
        <w:tc>
          <w:tcPr>
            <w:tcW w:w="463" w:type="dxa"/>
            <w:shd w:val="clear" w:color="auto" w:fill="auto"/>
            <w:vAlign w:val="center"/>
          </w:tcPr>
          <w:p w14:paraId="7B9B9BBD" w14:textId="77777777" w:rsidR="00724F05" w:rsidRPr="007F1C70" w:rsidRDefault="00724F05" w:rsidP="007F1C70">
            <w:pPr>
              <w:tabs>
                <w:tab w:val="left" w:pos="2880"/>
              </w:tabs>
              <w:spacing w:before="240" w:after="240"/>
              <w:rPr>
                <w:rFonts w:ascii="Georgia" w:hAnsi="Georgia" w:cs="Arial"/>
                <w:b/>
                <w:bCs/>
              </w:rPr>
            </w:pPr>
          </w:p>
        </w:tc>
        <w:tc>
          <w:tcPr>
            <w:tcW w:w="5209" w:type="dxa"/>
            <w:shd w:val="clear" w:color="auto" w:fill="auto"/>
            <w:vAlign w:val="center"/>
          </w:tcPr>
          <w:p w14:paraId="1BB28A0A" w14:textId="77777777" w:rsidR="00724F05" w:rsidRPr="007F1C70" w:rsidRDefault="00724F05" w:rsidP="007F1C70">
            <w:pPr>
              <w:pStyle w:val="Title"/>
              <w:ind w:left="3600" w:hanging="3600"/>
              <w:jc w:val="left"/>
              <w:rPr>
                <w:rFonts w:ascii="Georgia" w:hAnsi="Georgia"/>
              </w:rPr>
            </w:pPr>
            <w:r w:rsidRPr="007F1C70">
              <w:rPr>
                <w:rFonts w:ascii="Georgia" w:hAnsi="Georgia"/>
                <w:sz w:val="24"/>
              </w:rPr>
              <w:t>FIRST-TIER TRIBUNAL</w:t>
            </w:r>
          </w:p>
          <w:p w14:paraId="2FA0430F" w14:textId="77777777" w:rsidR="0050502C" w:rsidRDefault="00724F05" w:rsidP="007F1C70">
            <w:pPr>
              <w:tabs>
                <w:tab w:val="left" w:pos="2880"/>
              </w:tabs>
              <w:rPr>
                <w:rFonts w:ascii="Georgia" w:hAnsi="Georgia"/>
                <w:b/>
              </w:rPr>
            </w:pPr>
            <w:r w:rsidRPr="007F1C70">
              <w:rPr>
                <w:rFonts w:ascii="Georgia" w:hAnsi="Georgia"/>
                <w:b/>
              </w:rPr>
              <w:t xml:space="preserve">PROPERTY CHAMBER </w:t>
            </w:r>
          </w:p>
          <w:p w14:paraId="2B665629" w14:textId="13DD660A" w:rsidR="00724F05" w:rsidRPr="007F1C70" w:rsidRDefault="00724F05" w:rsidP="007F1C70">
            <w:pPr>
              <w:tabs>
                <w:tab w:val="left" w:pos="2880"/>
              </w:tabs>
              <w:rPr>
                <w:rFonts w:ascii="Georgia" w:hAnsi="Georgia" w:cs="Arial"/>
                <w:b/>
                <w:bCs/>
              </w:rPr>
            </w:pPr>
            <w:r w:rsidRPr="007F1C70">
              <w:rPr>
                <w:rFonts w:ascii="Georgia" w:hAnsi="Georgia"/>
                <w:b/>
              </w:rPr>
              <w:t>(RESIDENTIAL PROPERTY)</w:t>
            </w:r>
          </w:p>
        </w:tc>
      </w:tr>
      <w:tr w:rsidR="00724F05" w:rsidRPr="007F1C70" w14:paraId="1C38F89F" w14:textId="77777777" w:rsidTr="009B01F3">
        <w:tc>
          <w:tcPr>
            <w:tcW w:w="2692" w:type="dxa"/>
            <w:shd w:val="clear" w:color="auto" w:fill="auto"/>
            <w:vAlign w:val="center"/>
          </w:tcPr>
          <w:p w14:paraId="09C0D655" w14:textId="77777777" w:rsidR="00724F05" w:rsidRPr="007F1C70" w:rsidRDefault="00724F05" w:rsidP="007F1C70">
            <w:pPr>
              <w:tabs>
                <w:tab w:val="left" w:pos="2880"/>
              </w:tabs>
              <w:rPr>
                <w:rFonts w:ascii="Georgia" w:hAnsi="Georgia" w:cs="Arial"/>
                <w:b/>
                <w:bCs/>
              </w:rPr>
            </w:pPr>
            <w:r w:rsidRPr="007F1C70">
              <w:rPr>
                <w:rFonts w:ascii="Georgia" w:hAnsi="Georgia" w:cs="Arial"/>
                <w:b/>
                <w:bCs/>
              </w:rPr>
              <w:t xml:space="preserve">Case </w:t>
            </w:r>
            <w:r w:rsidR="00DE413A" w:rsidRPr="007F1C70">
              <w:rPr>
                <w:rFonts w:ascii="Georgia" w:hAnsi="Georgia" w:cs="Arial"/>
                <w:b/>
                <w:bCs/>
              </w:rPr>
              <w:t>r</w:t>
            </w:r>
            <w:r w:rsidRPr="007F1C70">
              <w:rPr>
                <w:rFonts w:ascii="Georgia" w:hAnsi="Georgia" w:cs="Arial"/>
                <w:b/>
                <w:bCs/>
              </w:rPr>
              <w:t>eference</w:t>
            </w:r>
          </w:p>
        </w:tc>
        <w:tc>
          <w:tcPr>
            <w:tcW w:w="463" w:type="dxa"/>
            <w:shd w:val="clear" w:color="auto" w:fill="auto"/>
            <w:vAlign w:val="center"/>
          </w:tcPr>
          <w:p w14:paraId="45EB27FC" w14:textId="77777777" w:rsidR="00724F05" w:rsidRPr="007F1C70" w:rsidRDefault="00724F05" w:rsidP="007F1C70">
            <w:pPr>
              <w:tabs>
                <w:tab w:val="left" w:pos="2880"/>
              </w:tabs>
              <w:spacing w:before="240" w:after="240"/>
              <w:rPr>
                <w:rFonts w:ascii="Georgia" w:hAnsi="Georgia" w:cs="Arial"/>
                <w:b/>
                <w:bCs/>
              </w:rPr>
            </w:pPr>
            <w:r w:rsidRPr="007F1C70">
              <w:rPr>
                <w:rFonts w:ascii="Georgia" w:hAnsi="Georgia" w:cs="Arial"/>
                <w:b/>
                <w:bCs/>
              </w:rPr>
              <w:t>:</w:t>
            </w:r>
          </w:p>
        </w:tc>
        <w:tc>
          <w:tcPr>
            <w:tcW w:w="5209" w:type="dxa"/>
            <w:shd w:val="clear" w:color="auto" w:fill="auto"/>
            <w:vAlign w:val="center"/>
          </w:tcPr>
          <w:p w14:paraId="6969D5B9" w14:textId="3164893C" w:rsidR="00724F05" w:rsidRPr="007F1C70" w:rsidRDefault="00BF169D" w:rsidP="76040189">
            <w:pPr>
              <w:tabs>
                <w:tab w:val="left" w:pos="2880"/>
              </w:tabs>
              <w:rPr>
                <w:rFonts w:ascii="Georgia" w:eastAsia="Georgia" w:hAnsi="Georgia" w:cs="Georgia"/>
                <w:b/>
                <w:bCs/>
              </w:rPr>
            </w:pPr>
            <w:r>
              <w:rPr>
                <w:rFonts w:ascii="Georgia" w:hAnsi="Georgia"/>
              </w:rPr>
              <w:t>CHI/43UC/LSC/2023/0148</w:t>
            </w:r>
          </w:p>
        </w:tc>
      </w:tr>
      <w:tr w:rsidR="00724F05" w:rsidRPr="007F1C70" w14:paraId="50D7B201" w14:textId="77777777" w:rsidTr="009B01F3">
        <w:tc>
          <w:tcPr>
            <w:tcW w:w="2692" w:type="dxa"/>
            <w:shd w:val="clear" w:color="auto" w:fill="auto"/>
            <w:vAlign w:val="center"/>
          </w:tcPr>
          <w:p w14:paraId="50A69A24" w14:textId="77777777" w:rsidR="00724F05" w:rsidRPr="007F1C70" w:rsidRDefault="00724F05" w:rsidP="007F1C70">
            <w:pPr>
              <w:tabs>
                <w:tab w:val="left" w:pos="2880"/>
              </w:tabs>
              <w:rPr>
                <w:rFonts w:ascii="Georgia" w:hAnsi="Georgia" w:cs="Arial"/>
                <w:b/>
                <w:bCs/>
              </w:rPr>
            </w:pPr>
            <w:r w:rsidRPr="007F1C70">
              <w:rPr>
                <w:rFonts w:ascii="Georgia" w:hAnsi="Georgia" w:cs="Arial"/>
                <w:b/>
                <w:bCs/>
              </w:rPr>
              <w:t>Property</w:t>
            </w:r>
          </w:p>
        </w:tc>
        <w:tc>
          <w:tcPr>
            <w:tcW w:w="463" w:type="dxa"/>
            <w:shd w:val="clear" w:color="auto" w:fill="auto"/>
            <w:vAlign w:val="center"/>
          </w:tcPr>
          <w:p w14:paraId="227441A1" w14:textId="77777777" w:rsidR="00724F05" w:rsidRPr="007F1C70" w:rsidRDefault="00724F05" w:rsidP="007F1C70">
            <w:pPr>
              <w:tabs>
                <w:tab w:val="left" w:pos="2880"/>
              </w:tabs>
              <w:spacing w:before="240" w:after="240"/>
              <w:rPr>
                <w:rFonts w:ascii="Georgia" w:hAnsi="Georgia" w:cs="Arial"/>
                <w:b/>
                <w:bCs/>
              </w:rPr>
            </w:pPr>
            <w:r w:rsidRPr="007F1C70">
              <w:rPr>
                <w:rFonts w:ascii="Georgia" w:hAnsi="Georgia" w:cs="Arial"/>
                <w:b/>
                <w:bCs/>
              </w:rPr>
              <w:t>:</w:t>
            </w:r>
          </w:p>
        </w:tc>
        <w:tc>
          <w:tcPr>
            <w:tcW w:w="5209" w:type="dxa"/>
            <w:shd w:val="clear" w:color="auto" w:fill="auto"/>
            <w:vAlign w:val="center"/>
          </w:tcPr>
          <w:p w14:paraId="61067C34" w14:textId="06CC93D1" w:rsidR="00724F05" w:rsidRPr="007F1C70" w:rsidRDefault="00EA5B08" w:rsidP="007F1C70">
            <w:pPr>
              <w:tabs>
                <w:tab w:val="left" w:pos="2880"/>
              </w:tabs>
              <w:rPr>
                <w:rFonts w:ascii="Georgia" w:hAnsi="Georgia" w:cs="Arial"/>
                <w:b/>
                <w:bCs/>
              </w:rPr>
            </w:pPr>
            <w:r>
              <w:rPr>
                <w:rFonts w:ascii="Georgia" w:hAnsi="Georgia"/>
              </w:rPr>
              <w:t>100 East Street, Epsom, Surrey KT17 1EB</w:t>
            </w:r>
          </w:p>
        </w:tc>
      </w:tr>
      <w:tr w:rsidR="00724F05" w:rsidRPr="007F1C70" w14:paraId="561AE161" w14:textId="77777777" w:rsidTr="009B01F3">
        <w:tc>
          <w:tcPr>
            <w:tcW w:w="2692" w:type="dxa"/>
            <w:shd w:val="clear" w:color="auto" w:fill="auto"/>
            <w:vAlign w:val="center"/>
          </w:tcPr>
          <w:p w14:paraId="7DD4A567" w14:textId="48E3DD14" w:rsidR="00724F05" w:rsidRPr="007F1C70" w:rsidRDefault="00E01859" w:rsidP="007F1C70">
            <w:pPr>
              <w:tabs>
                <w:tab w:val="left" w:pos="2880"/>
              </w:tabs>
              <w:rPr>
                <w:rFonts w:ascii="Georgia" w:hAnsi="Georgia" w:cs="Arial"/>
                <w:b/>
                <w:bCs/>
              </w:rPr>
            </w:pPr>
            <w:r>
              <w:rPr>
                <w:rFonts w:ascii="Georgia" w:hAnsi="Georgia" w:cs="Arial"/>
                <w:b/>
                <w:bCs/>
              </w:rPr>
              <w:t>Applicant</w:t>
            </w:r>
          </w:p>
        </w:tc>
        <w:tc>
          <w:tcPr>
            <w:tcW w:w="463" w:type="dxa"/>
            <w:shd w:val="clear" w:color="auto" w:fill="auto"/>
            <w:vAlign w:val="center"/>
          </w:tcPr>
          <w:p w14:paraId="61DA66D6" w14:textId="77777777" w:rsidR="00724F05" w:rsidRPr="007F1C70" w:rsidRDefault="00724F05" w:rsidP="007F1C70">
            <w:pPr>
              <w:tabs>
                <w:tab w:val="left" w:pos="2880"/>
              </w:tabs>
              <w:spacing w:before="240" w:after="240"/>
              <w:rPr>
                <w:rFonts w:ascii="Georgia" w:hAnsi="Georgia" w:cs="Arial"/>
                <w:b/>
                <w:bCs/>
              </w:rPr>
            </w:pPr>
            <w:r w:rsidRPr="007F1C70">
              <w:rPr>
                <w:rFonts w:ascii="Georgia" w:hAnsi="Georgia" w:cs="Arial"/>
                <w:b/>
                <w:bCs/>
              </w:rPr>
              <w:t>:</w:t>
            </w:r>
          </w:p>
        </w:tc>
        <w:tc>
          <w:tcPr>
            <w:tcW w:w="5209" w:type="dxa"/>
            <w:shd w:val="clear" w:color="auto" w:fill="auto"/>
            <w:vAlign w:val="center"/>
          </w:tcPr>
          <w:p w14:paraId="6E72D32B" w14:textId="77777777" w:rsidR="00F621F3" w:rsidRDefault="00F621F3" w:rsidP="00F621F3">
            <w:pPr>
              <w:rPr>
                <w:rFonts w:ascii="Georgia" w:hAnsi="Georgia"/>
              </w:rPr>
            </w:pPr>
            <w:r>
              <w:rPr>
                <w:rFonts w:ascii="Georgia" w:hAnsi="Georgia"/>
              </w:rPr>
              <w:t>Maria D R Huerta Del Rio (Flat 1)</w:t>
            </w:r>
          </w:p>
          <w:p w14:paraId="461C0DF5" w14:textId="77777777" w:rsidR="00F621F3" w:rsidRDefault="00F621F3" w:rsidP="00F621F3">
            <w:pPr>
              <w:rPr>
                <w:rFonts w:ascii="Georgia" w:hAnsi="Georgia"/>
              </w:rPr>
            </w:pPr>
            <w:r>
              <w:rPr>
                <w:rFonts w:ascii="Georgia" w:hAnsi="Georgia"/>
              </w:rPr>
              <w:t>Joseph Thompson &amp; Charlotte Buttery (Flat 2)</w:t>
            </w:r>
          </w:p>
          <w:p w14:paraId="3D505B3A" w14:textId="77777777" w:rsidR="00F621F3" w:rsidRDefault="00F621F3" w:rsidP="00F621F3">
            <w:pPr>
              <w:rPr>
                <w:rFonts w:ascii="Georgia" w:hAnsi="Georgia"/>
              </w:rPr>
            </w:pPr>
            <w:r>
              <w:rPr>
                <w:rFonts w:ascii="Georgia" w:hAnsi="Georgia"/>
              </w:rPr>
              <w:t>William Hayden (Flat3)</w:t>
            </w:r>
          </w:p>
          <w:p w14:paraId="4EC89723" w14:textId="77777777" w:rsidR="00F621F3" w:rsidRDefault="00F621F3" w:rsidP="00F621F3">
            <w:pPr>
              <w:rPr>
                <w:rFonts w:ascii="Georgia" w:hAnsi="Georgia"/>
              </w:rPr>
            </w:pPr>
            <w:r>
              <w:rPr>
                <w:rFonts w:ascii="Georgia" w:hAnsi="Georgia"/>
              </w:rPr>
              <w:t>Ross Dearman (Flat 4)</w:t>
            </w:r>
          </w:p>
          <w:p w14:paraId="005AF61B" w14:textId="77777777" w:rsidR="00F621F3" w:rsidRDefault="00F621F3" w:rsidP="00F621F3">
            <w:pPr>
              <w:rPr>
                <w:rFonts w:ascii="Georgia" w:hAnsi="Georgia"/>
              </w:rPr>
            </w:pPr>
            <w:r>
              <w:rPr>
                <w:rFonts w:ascii="Georgia" w:hAnsi="Georgia"/>
              </w:rPr>
              <w:t>Ariana Soheili (Flat 5)</w:t>
            </w:r>
          </w:p>
          <w:p w14:paraId="12A81ADA" w14:textId="3CA01BDC" w:rsidR="00724F05" w:rsidRPr="007F1C70" w:rsidRDefault="00F621F3" w:rsidP="00F621F3">
            <w:pPr>
              <w:tabs>
                <w:tab w:val="left" w:pos="2880"/>
              </w:tabs>
              <w:rPr>
                <w:rFonts w:ascii="Georgia" w:hAnsi="Georgia" w:cs="Arial"/>
                <w:b/>
                <w:bCs/>
              </w:rPr>
            </w:pPr>
            <w:r>
              <w:rPr>
                <w:rFonts w:ascii="Georgia" w:hAnsi="Georgia"/>
                <w:lang w:val="it-IT"/>
              </w:rPr>
              <w:t>Kate Landowska (Flat 6)</w:t>
            </w:r>
          </w:p>
        </w:tc>
      </w:tr>
      <w:tr w:rsidR="00BB4665" w:rsidRPr="007F1C70" w14:paraId="054AC5E4" w14:textId="77777777" w:rsidTr="009B01F3">
        <w:tc>
          <w:tcPr>
            <w:tcW w:w="2692" w:type="dxa"/>
            <w:shd w:val="clear" w:color="auto" w:fill="auto"/>
            <w:vAlign w:val="center"/>
          </w:tcPr>
          <w:p w14:paraId="6EF444E4" w14:textId="37DAC68B" w:rsidR="00BB4665" w:rsidRDefault="00BB4665" w:rsidP="007F1C70">
            <w:pPr>
              <w:tabs>
                <w:tab w:val="left" w:pos="2880"/>
              </w:tabs>
              <w:rPr>
                <w:rFonts w:ascii="Georgia" w:hAnsi="Georgia" w:cs="Arial"/>
                <w:b/>
                <w:bCs/>
              </w:rPr>
            </w:pPr>
            <w:r>
              <w:rPr>
                <w:rFonts w:ascii="Georgia" w:hAnsi="Georgia" w:cs="Arial"/>
                <w:b/>
                <w:bCs/>
              </w:rPr>
              <w:t>Represent</w:t>
            </w:r>
            <w:r w:rsidR="00CA5BD3">
              <w:rPr>
                <w:rFonts w:ascii="Georgia" w:hAnsi="Georgia" w:cs="Arial"/>
                <w:b/>
                <w:bCs/>
              </w:rPr>
              <w:t>ative</w:t>
            </w:r>
          </w:p>
        </w:tc>
        <w:tc>
          <w:tcPr>
            <w:tcW w:w="463" w:type="dxa"/>
            <w:shd w:val="clear" w:color="auto" w:fill="auto"/>
            <w:vAlign w:val="center"/>
          </w:tcPr>
          <w:p w14:paraId="2C03C675" w14:textId="45E4BEAB" w:rsidR="00BB4665" w:rsidRPr="007F1C70" w:rsidRDefault="00CA5BD3" w:rsidP="007F1C70">
            <w:pPr>
              <w:tabs>
                <w:tab w:val="left" w:pos="2880"/>
              </w:tabs>
              <w:spacing w:before="240" w:after="240"/>
              <w:rPr>
                <w:rFonts w:ascii="Georgia" w:hAnsi="Georgia" w:cs="Arial"/>
                <w:b/>
                <w:bCs/>
              </w:rPr>
            </w:pPr>
            <w:r>
              <w:rPr>
                <w:rFonts w:ascii="Georgia" w:hAnsi="Georgia" w:cs="Arial"/>
                <w:b/>
                <w:bCs/>
              </w:rPr>
              <w:t>:</w:t>
            </w:r>
          </w:p>
        </w:tc>
        <w:tc>
          <w:tcPr>
            <w:tcW w:w="5209" w:type="dxa"/>
            <w:shd w:val="clear" w:color="auto" w:fill="auto"/>
            <w:vAlign w:val="center"/>
          </w:tcPr>
          <w:p w14:paraId="0C113E9D" w14:textId="77777777" w:rsidR="004E161D" w:rsidRPr="00653F97" w:rsidRDefault="004E161D" w:rsidP="004E161D">
            <w:pPr>
              <w:rPr>
                <w:rFonts w:ascii="Georgia" w:hAnsi="Georgia"/>
                <w:lang w:val="it-IT"/>
              </w:rPr>
            </w:pPr>
            <w:r w:rsidRPr="00653F97">
              <w:rPr>
                <w:rFonts w:ascii="Georgia" w:hAnsi="Georgia"/>
                <w:lang w:val="it-IT"/>
              </w:rPr>
              <w:t>Ariana Soheili</w:t>
            </w:r>
          </w:p>
          <w:p w14:paraId="27E13213" w14:textId="11069B56" w:rsidR="00BB4665" w:rsidRPr="004E161D" w:rsidRDefault="007B7FBE" w:rsidP="004E161D">
            <w:pPr>
              <w:rPr>
                <w:rFonts w:ascii="Georgia" w:hAnsi="Georgia"/>
              </w:rPr>
            </w:pPr>
            <w:hyperlink r:id="rId12" w:history="1">
              <w:r w:rsidR="004E161D" w:rsidRPr="00653F97">
                <w:rPr>
                  <w:rStyle w:val="Hyperlink"/>
                  <w:rFonts w:ascii="Georgia" w:hAnsi="Georgia"/>
                  <w:lang w:val="it-IT"/>
                </w:rPr>
                <w:t>arianasoheili@hotmail.co.uk</w:t>
              </w:r>
            </w:hyperlink>
          </w:p>
        </w:tc>
      </w:tr>
      <w:tr w:rsidR="00724F05" w:rsidRPr="007F1C70" w14:paraId="4DB14D83" w14:textId="77777777" w:rsidTr="009B01F3">
        <w:tc>
          <w:tcPr>
            <w:tcW w:w="2692" w:type="dxa"/>
            <w:shd w:val="clear" w:color="auto" w:fill="auto"/>
            <w:vAlign w:val="center"/>
          </w:tcPr>
          <w:p w14:paraId="5769BC60" w14:textId="77777777" w:rsidR="00724F05" w:rsidRPr="007F1C70" w:rsidRDefault="00724F05" w:rsidP="007F1C70">
            <w:pPr>
              <w:tabs>
                <w:tab w:val="left" w:pos="2880"/>
              </w:tabs>
              <w:rPr>
                <w:rFonts w:ascii="Georgia" w:hAnsi="Georgia" w:cs="Arial"/>
                <w:b/>
                <w:bCs/>
              </w:rPr>
            </w:pPr>
            <w:r w:rsidRPr="007F1C70">
              <w:rPr>
                <w:rFonts w:ascii="Georgia" w:hAnsi="Georgia" w:cs="Arial"/>
                <w:b/>
                <w:bCs/>
              </w:rPr>
              <w:t>Respondent</w:t>
            </w:r>
          </w:p>
        </w:tc>
        <w:tc>
          <w:tcPr>
            <w:tcW w:w="463" w:type="dxa"/>
            <w:shd w:val="clear" w:color="auto" w:fill="auto"/>
            <w:vAlign w:val="center"/>
          </w:tcPr>
          <w:p w14:paraId="0E6C8B7D" w14:textId="77777777" w:rsidR="00724F05" w:rsidRPr="007F1C70" w:rsidRDefault="00724F05" w:rsidP="007F1C70">
            <w:pPr>
              <w:tabs>
                <w:tab w:val="left" w:pos="2880"/>
              </w:tabs>
              <w:spacing w:before="240" w:after="240"/>
              <w:rPr>
                <w:rFonts w:ascii="Georgia" w:hAnsi="Georgia" w:cs="Arial"/>
                <w:b/>
                <w:bCs/>
              </w:rPr>
            </w:pPr>
            <w:r w:rsidRPr="007F1C70">
              <w:rPr>
                <w:rFonts w:ascii="Georgia" w:hAnsi="Georgia" w:cs="Arial"/>
                <w:b/>
                <w:bCs/>
              </w:rPr>
              <w:t>:</w:t>
            </w:r>
          </w:p>
        </w:tc>
        <w:tc>
          <w:tcPr>
            <w:tcW w:w="5209" w:type="dxa"/>
            <w:shd w:val="clear" w:color="auto" w:fill="auto"/>
            <w:vAlign w:val="center"/>
          </w:tcPr>
          <w:p w14:paraId="7530015D" w14:textId="0C744E0A" w:rsidR="00724F05" w:rsidRPr="004E161D" w:rsidRDefault="004E161D" w:rsidP="007F1C70">
            <w:pPr>
              <w:tabs>
                <w:tab w:val="left" w:pos="2880"/>
              </w:tabs>
              <w:rPr>
                <w:rFonts w:ascii="Georgia" w:hAnsi="Georgia" w:cs="Arial"/>
              </w:rPr>
            </w:pPr>
            <w:proofErr w:type="spellStart"/>
            <w:r w:rsidRPr="004E161D">
              <w:rPr>
                <w:rFonts w:ascii="Georgia" w:hAnsi="Georgia" w:cs="Arial"/>
              </w:rPr>
              <w:t>Blueplan</w:t>
            </w:r>
            <w:proofErr w:type="spellEnd"/>
            <w:r w:rsidRPr="004E161D">
              <w:rPr>
                <w:rFonts w:ascii="Georgia" w:hAnsi="Georgia" w:cs="Arial"/>
              </w:rPr>
              <w:t xml:space="preserve"> Limited</w:t>
            </w:r>
          </w:p>
        </w:tc>
      </w:tr>
      <w:tr w:rsidR="00724F05" w:rsidRPr="007F1C70" w14:paraId="7966B3DB" w14:textId="77777777" w:rsidTr="009B01F3">
        <w:tc>
          <w:tcPr>
            <w:tcW w:w="2692" w:type="dxa"/>
            <w:shd w:val="clear" w:color="auto" w:fill="auto"/>
            <w:vAlign w:val="center"/>
          </w:tcPr>
          <w:p w14:paraId="180D8A50" w14:textId="77777777" w:rsidR="00724F05" w:rsidRPr="007F1C70" w:rsidRDefault="00724F05" w:rsidP="007F1C70">
            <w:pPr>
              <w:tabs>
                <w:tab w:val="left" w:pos="2880"/>
              </w:tabs>
              <w:rPr>
                <w:rFonts w:ascii="Georgia" w:hAnsi="Georgia" w:cs="Arial"/>
                <w:b/>
                <w:bCs/>
              </w:rPr>
            </w:pPr>
            <w:r w:rsidRPr="007F1C70">
              <w:rPr>
                <w:rFonts w:ascii="Georgia" w:hAnsi="Georgia" w:cs="Arial"/>
                <w:b/>
                <w:bCs/>
              </w:rPr>
              <w:t xml:space="preserve">Type of </w:t>
            </w:r>
            <w:r w:rsidR="00DE413A" w:rsidRPr="007F1C70">
              <w:rPr>
                <w:rFonts w:ascii="Georgia" w:hAnsi="Georgia" w:cs="Arial"/>
                <w:b/>
                <w:bCs/>
              </w:rPr>
              <w:t>a</w:t>
            </w:r>
            <w:r w:rsidRPr="007F1C70">
              <w:rPr>
                <w:rFonts w:ascii="Georgia" w:hAnsi="Georgia" w:cs="Arial"/>
                <w:b/>
                <w:bCs/>
              </w:rPr>
              <w:t>pplication</w:t>
            </w:r>
          </w:p>
        </w:tc>
        <w:tc>
          <w:tcPr>
            <w:tcW w:w="463" w:type="dxa"/>
            <w:shd w:val="clear" w:color="auto" w:fill="auto"/>
            <w:vAlign w:val="center"/>
          </w:tcPr>
          <w:p w14:paraId="5A7FE3EC" w14:textId="77777777" w:rsidR="00724F05" w:rsidRPr="007F1C70" w:rsidRDefault="00724F05" w:rsidP="007F1C70">
            <w:pPr>
              <w:tabs>
                <w:tab w:val="left" w:pos="2880"/>
              </w:tabs>
              <w:spacing w:before="240" w:after="240"/>
              <w:rPr>
                <w:rFonts w:ascii="Georgia" w:hAnsi="Georgia" w:cs="Arial"/>
                <w:b/>
                <w:bCs/>
              </w:rPr>
            </w:pPr>
            <w:r w:rsidRPr="007F1C70">
              <w:rPr>
                <w:rFonts w:ascii="Georgia" w:hAnsi="Georgia" w:cs="Arial"/>
                <w:b/>
                <w:bCs/>
              </w:rPr>
              <w:t>:</w:t>
            </w:r>
          </w:p>
        </w:tc>
        <w:tc>
          <w:tcPr>
            <w:tcW w:w="5209" w:type="dxa"/>
            <w:shd w:val="clear" w:color="auto" w:fill="auto"/>
            <w:vAlign w:val="center"/>
          </w:tcPr>
          <w:p w14:paraId="7757ABCC" w14:textId="14E5DDEC" w:rsidR="00724F05" w:rsidRPr="00EB39B4" w:rsidRDefault="000927B4" w:rsidP="007F1C70">
            <w:pPr>
              <w:tabs>
                <w:tab w:val="left" w:pos="2880"/>
              </w:tabs>
              <w:spacing w:before="120" w:after="120"/>
              <w:rPr>
                <w:rFonts w:ascii="Georgia" w:hAnsi="Georgia" w:cs="Arial"/>
              </w:rPr>
            </w:pPr>
            <w:r w:rsidRPr="00EB39B4">
              <w:rPr>
                <w:rFonts w:ascii="Georgia" w:hAnsi="Georgia" w:cs="Arial"/>
              </w:rPr>
              <w:t xml:space="preserve">For the determination of the </w:t>
            </w:r>
            <w:r w:rsidR="008B4ADF" w:rsidRPr="00EB39B4">
              <w:rPr>
                <w:rFonts w:ascii="Georgia" w:hAnsi="Georgia" w:cs="Arial"/>
              </w:rPr>
              <w:t>payability and reasonableness of service charges</w:t>
            </w:r>
            <w:r w:rsidR="7D4ED811" w:rsidRPr="00EB39B4">
              <w:rPr>
                <w:rFonts w:ascii="Georgia" w:hAnsi="Georgia" w:cs="Arial"/>
              </w:rPr>
              <w:t xml:space="preserve"> under </w:t>
            </w:r>
            <w:r w:rsidR="00D84341" w:rsidRPr="00EB39B4">
              <w:rPr>
                <w:rFonts w:ascii="Georgia" w:hAnsi="Georgia" w:cs="Arial"/>
              </w:rPr>
              <w:t xml:space="preserve">section </w:t>
            </w:r>
            <w:r w:rsidR="7D4ED811" w:rsidRPr="00EB39B4">
              <w:rPr>
                <w:rFonts w:ascii="Georgia" w:hAnsi="Georgia" w:cs="Arial"/>
              </w:rPr>
              <w:t xml:space="preserve">27A </w:t>
            </w:r>
            <w:r w:rsidR="00D84341" w:rsidRPr="00EB39B4">
              <w:rPr>
                <w:rFonts w:ascii="Georgia" w:hAnsi="Georgia" w:cs="Arial"/>
              </w:rPr>
              <w:t xml:space="preserve">of the </w:t>
            </w:r>
            <w:r w:rsidR="7D4ED811" w:rsidRPr="00EB39B4">
              <w:rPr>
                <w:rFonts w:ascii="Georgia" w:hAnsi="Georgia" w:cs="Arial"/>
              </w:rPr>
              <w:t>Landlord and Tenant Act 1985</w:t>
            </w:r>
          </w:p>
        </w:tc>
      </w:tr>
      <w:tr w:rsidR="00964F35" w:rsidRPr="007F1C70" w14:paraId="33747599" w14:textId="77777777" w:rsidTr="009B01F3">
        <w:tc>
          <w:tcPr>
            <w:tcW w:w="2692" w:type="dxa"/>
            <w:shd w:val="clear" w:color="auto" w:fill="auto"/>
            <w:vAlign w:val="center"/>
          </w:tcPr>
          <w:p w14:paraId="740ED769" w14:textId="3AF8F3D0" w:rsidR="00964F35" w:rsidRPr="007F1C70" w:rsidRDefault="00964F35" w:rsidP="007F1C70">
            <w:pPr>
              <w:tabs>
                <w:tab w:val="left" w:pos="2880"/>
              </w:tabs>
              <w:rPr>
                <w:rFonts w:ascii="Georgia" w:hAnsi="Georgia" w:cs="Arial"/>
                <w:b/>
                <w:bCs/>
              </w:rPr>
            </w:pPr>
            <w:r w:rsidRPr="007F1C70">
              <w:rPr>
                <w:rFonts w:ascii="Georgia" w:hAnsi="Georgia" w:cs="Arial"/>
                <w:b/>
                <w:bCs/>
              </w:rPr>
              <w:t>Tribunal member</w:t>
            </w:r>
            <w:r w:rsidR="004215C2">
              <w:rPr>
                <w:rFonts w:ascii="Georgia" w:hAnsi="Georgia" w:cs="Arial"/>
                <w:b/>
                <w:bCs/>
              </w:rPr>
              <w:t>s</w:t>
            </w:r>
          </w:p>
        </w:tc>
        <w:tc>
          <w:tcPr>
            <w:tcW w:w="463" w:type="dxa"/>
            <w:shd w:val="clear" w:color="auto" w:fill="auto"/>
            <w:vAlign w:val="center"/>
          </w:tcPr>
          <w:p w14:paraId="786AC4E9" w14:textId="77777777" w:rsidR="00964F35" w:rsidRPr="007F1C70" w:rsidRDefault="00964F35" w:rsidP="007F1C70">
            <w:pPr>
              <w:tabs>
                <w:tab w:val="left" w:pos="2880"/>
              </w:tabs>
              <w:spacing w:before="240" w:after="240"/>
              <w:rPr>
                <w:rFonts w:ascii="Georgia" w:hAnsi="Georgia" w:cs="Arial"/>
                <w:b/>
                <w:bCs/>
              </w:rPr>
            </w:pPr>
            <w:r w:rsidRPr="007F1C70">
              <w:rPr>
                <w:rFonts w:ascii="Georgia" w:hAnsi="Georgia" w:cs="Arial"/>
                <w:b/>
                <w:bCs/>
              </w:rPr>
              <w:t>:</w:t>
            </w:r>
          </w:p>
        </w:tc>
        <w:tc>
          <w:tcPr>
            <w:tcW w:w="5209" w:type="dxa"/>
            <w:shd w:val="clear" w:color="auto" w:fill="auto"/>
            <w:vAlign w:val="center"/>
          </w:tcPr>
          <w:p w14:paraId="38D47564" w14:textId="77777777" w:rsidR="00842646" w:rsidRDefault="00842646" w:rsidP="00842646">
            <w:pPr>
              <w:rPr>
                <w:rFonts w:ascii="Georgia" w:hAnsi="Georgia"/>
              </w:rPr>
            </w:pPr>
            <w:r>
              <w:rPr>
                <w:rFonts w:ascii="Georgia" w:hAnsi="Georgia"/>
              </w:rPr>
              <w:t>Tribunal Judge H Lumby</w:t>
            </w:r>
          </w:p>
          <w:p w14:paraId="691F5100" w14:textId="77777777" w:rsidR="009D292E" w:rsidRDefault="00842646" w:rsidP="009D292E">
            <w:pPr>
              <w:rPr>
                <w:rFonts w:ascii="Georgia" w:hAnsi="Georgia"/>
              </w:rPr>
            </w:pPr>
            <w:r>
              <w:rPr>
                <w:rFonts w:ascii="Georgia" w:hAnsi="Georgia"/>
              </w:rPr>
              <w:t>Mr P Smith FRICS</w:t>
            </w:r>
          </w:p>
          <w:p w14:paraId="331122E5" w14:textId="63B9C74A" w:rsidR="009D54EE" w:rsidRPr="009D292E" w:rsidRDefault="00842646" w:rsidP="009D292E">
            <w:pPr>
              <w:rPr>
                <w:rFonts w:ascii="Georgia" w:hAnsi="Georgia"/>
              </w:rPr>
            </w:pPr>
            <w:r>
              <w:rPr>
                <w:rFonts w:ascii="Georgia" w:hAnsi="Georgia"/>
              </w:rPr>
              <w:t>Mr E Shaylor MCIEH</w:t>
            </w:r>
          </w:p>
        </w:tc>
      </w:tr>
      <w:tr w:rsidR="00724F05" w:rsidRPr="007F1C70" w14:paraId="138DD45E" w14:textId="77777777" w:rsidTr="009B01F3">
        <w:tc>
          <w:tcPr>
            <w:tcW w:w="2692" w:type="dxa"/>
            <w:shd w:val="clear" w:color="auto" w:fill="auto"/>
            <w:vAlign w:val="center"/>
          </w:tcPr>
          <w:p w14:paraId="15D03039" w14:textId="77777777" w:rsidR="00724F05" w:rsidRPr="007F1C70" w:rsidRDefault="00964F35" w:rsidP="007F1C70">
            <w:pPr>
              <w:tabs>
                <w:tab w:val="left" w:pos="2880"/>
              </w:tabs>
              <w:rPr>
                <w:rFonts w:ascii="Georgia" w:hAnsi="Georgia" w:cs="Arial"/>
                <w:b/>
                <w:bCs/>
              </w:rPr>
            </w:pPr>
            <w:r w:rsidRPr="007F1C70">
              <w:rPr>
                <w:rFonts w:ascii="Georgia" w:hAnsi="Georgia" w:cs="Arial"/>
                <w:b/>
                <w:bCs/>
              </w:rPr>
              <w:t>V</w:t>
            </w:r>
            <w:r w:rsidR="00724F05" w:rsidRPr="007F1C70">
              <w:rPr>
                <w:rFonts w:ascii="Georgia" w:hAnsi="Georgia" w:cs="Arial"/>
                <w:b/>
                <w:bCs/>
              </w:rPr>
              <w:t>enue</w:t>
            </w:r>
          </w:p>
        </w:tc>
        <w:tc>
          <w:tcPr>
            <w:tcW w:w="463" w:type="dxa"/>
            <w:shd w:val="clear" w:color="auto" w:fill="auto"/>
            <w:vAlign w:val="center"/>
          </w:tcPr>
          <w:p w14:paraId="6ED6B2AD" w14:textId="77777777" w:rsidR="00724F05" w:rsidRPr="007F1C70" w:rsidRDefault="00724F05" w:rsidP="007F1C70">
            <w:pPr>
              <w:tabs>
                <w:tab w:val="left" w:pos="2880"/>
              </w:tabs>
              <w:spacing w:before="240" w:after="240"/>
              <w:rPr>
                <w:rFonts w:ascii="Georgia" w:hAnsi="Georgia" w:cs="Arial"/>
                <w:b/>
                <w:bCs/>
              </w:rPr>
            </w:pPr>
            <w:r w:rsidRPr="007F1C70">
              <w:rPr>
                <w:rFonts w:ascii="Georgia" w:hAnsi="Georgia" w:cs="Arial"/>
                <w:b/>
                <w:bCs/>
              </w:rPr>
              <w:t>:</w:t>
            </w:r>
          </w:p>
        </w:tc>
        <w:tc>
          <w:tcPr>
            <w:tcW w:w="5209" w:type="dxa"/>
            <w:shd w:val="clear" w:color="auto" w:fill="auto"/>
            <w:vAlign w:val="center"/>
          </w:tcPr>
          <w:p w14:paraId="3D918AFD" w14:textId="049843A5" w:rsidR="00724F05" w:rsidRPr="00842646" w:rsidRDefault="009D54EE" w:rsidP="007F1C70">
            <w:pPr>
              <w:tabs>
                <w:tab w:val="left" w:pos="2880"/>
              </w:tabs>
              <w:rPr>
                <w:rFonts w:ascii="Georgia" w:hAnsi="Georgia" w:cs="Arial"/>
              </w:rPr>
            </w:pPr>
            <w:r w:rsidRPr="00842646">
              <w:rPr>
                <w:rFonts w:ascii="Georgia" w:hAnsi="Georgia" w:cs="Arial"/>
              </w:rPr>
              <w:t>Havant Justice Centre</w:t>
            </w:r>
          </w:p>
        </w:tc>
      </w:tr>
      <w:tr w:rsidR="00542E1C" w:rsidRPr="007F1C70" w14:paraId="479AB3B2" w14:textId="77777777" w:rsidTr="009B01F3">
        <w:tc>
          <w:tcPr>
            <w:tcW w:w="2692" w:type="dxa"/>
            <w:shd w:val="clear" w:color="auto" w:fill="auto"/>
            <w:vAlign w:val="center"/>
          </w:tcPr>
          <w:p w14:paraId="6C3881AA" w14:textId="5E8499F1" w:rsidR="00542E1C" w:rsidRPr="007F1C70" w:rsidRDefault="00542E1C" w:rsidP="007F1C70">
            <w:pPr>
              <w:tabs>
                <w:tab w:val="left" w:pos="2880"/>
              </w:tabs>
              <w:rPr>
                <w:rFonts w:ascii="Georgia" w:hAnsi="Georgia" w:cs="Arial"/>
                <w:b/>
                <w:bCs/>
              </w:rPr>
            </w:pPr>
            <w:r>
              <w:rPr>
                <w:rFonts w:ascii="Georgia" w:hAnsi="Georgia" w:cs="Arial"/>
                <w:b/>
                <w:bCs/>
              </w:rPr>
              <w:t>Date of hearing</w:t>
            </w:r>
          </w:p>
        </w:tc>
        <w:tc>
          <w:tcPr>
            <w:tcW w:w="463" w:type="dxa"/>
            <w:shd w:val="clear" w:color="auto" w:fill="auto"/>
            <w:vAlign w:val="center"/>
          </w:tcPr>
          <w:p w14:paraId="4ED34547" w14:textId="2012911D" w:rsidR="00542E1C" w:rsidRPr="007F1C70" w:rsidRDefault="00542E1C" w:rsidP="007F1C70">
            <w:pPr>
              <w:tabs>
                <w:tab w:val="left" w:pos="2880"/>
              </w:tabs>
              <w:spacing w:before="240" w:after="240"/>
              <w:rPr>
                <w:rFonts w:ascii="Georgia" w:hAnsi="Georgia" w:cs="Arial"/>
                <w:b/>
                <w:bCs/>
              </w:rPr>
            </w:pPr>
            <w:r>
              <w:rPr>
                <w:rFonts w:ascii="Georgia" w:hAnsi="Georgia" w:cs="Arial"/>
                <w:b/>
                <w:bCs/>
              </w:rPr>
              <w:t>:</w:t>
            </w:r>
          </w:p>
        </w:tc>
        <w:tc>
          <w:tcPr>
            <w:tcW w:w="5209" w:type="dxa"/>
            <w:shd w:val="clear" w:color="auto" w:fill="auto"/>
            <w:vAlign w:val="center"/>
          </w:tcPr>
          <w:p w14:paraId="1A158BA3" w14:textId="35E8C24A" w:rsidR="00542E1C" w:rsidRPr="00842646" w:rsidRDefault="00957405" w:rsidP="007F1C70">
            <w:pPr>
              <w:tabs>
                <w:tab w:val="left" w:pos="2880"/>
              </w:tabs>
              <w:rPr>
                <w:rFonts w:ascii="Georgia" w:hAnsi="Georgia" w:cs="Arial"/>
              </w:rPr>
            </w:pPr>
            <w:r w:rsidRPr="00842646">
              <w:rPr>
                <w:rFonts w:ascii="Georgia" w:hAnsi="Georgia" w:cs="Arial"/>
              </w:rPr>
              <w:t>1</w:t>
            </w:r>
            <w:r w:rsidR="00842646" w:rsidRPr="00842646">
              <w:rPr>
                <w:rFonts w:ascii="Georgia" w:hAnsi="Georgia" w:cs="Arial"/>
              </w:rPr>
              <w:t>8</w:t>
            </w:r>
            <w:r w:rsidRPr="00842646">
              <w:rPr>
                <w:rFonts w:ascii="Georgia" w:hAnsi="Georgia" w:cs="Arial"/>
              </w:rPr>
              <w:t xml:space="preserve"> </w:t>
            </w:r>
            <w:r w:rsidR="00842646" w:rsidRPr="00842646">
              <w:rPr>
                <w:rFonts w:ascii="Georgia" w:hAnsi="Georgia" w:cs="Arial"/>
              </w:rPr>
              <w:t>September</w:t>
            </w:r>
            <w:r w:rsidRPr="00842646">
              <w:rPr>
                <w:rFonts w:ascii="Georgia" w:hAnsi="Georgia" w:cs="Arial"/>
              </w:rPr>
              <w:t xml:space="preserve"> 202</w:t>
            </w:r>
            <w:r w:rsidR="00842646" w:rsidRPr="00842646">
              <w:rPr>
                <w:rFonts w:ascii="Georgia" w:hAnsi="Georgia" w:cs="Arial"/>
              </w:rPr>
              <w:t>4</w:t>
            </w:r>
          </w:p>
        </w:tc>
      </w:tr>
      <w:tr w:rsidR="00724F05" w:rsidRPr="007F1C70" w14:paraId="44D9F2D7" w14:textId="77777777" w:rsidTr="009B01F3">
        <w:tc>
          <w:tcPr>
            <w:tcW w:w="2692" w:type="dxa"/>
            <w:shd w:val="clear" w:color="auto" w:fill="auto"/>
            <w:vAlign w:val="center"/>
          </w:tcPr>
          <w:p w14:paraId="4318E66D" w14:textId="77777777" w:rsidR="00724F05" w:rsidRPr="007F1C70" w:rsidRDefault="00724F05" w:rsidP="007F1C70">
            <w:pPr>
              <w:tabs>
                <w:tab w:val="left" w:pos="2880"/>
              </w:tabs>
              <w:rPr>
                <w:rFonts w:ascii="Georgia" w:hAnsi="Georgia" w:cs="Arial"/>
                <w:b/>
                <w:bCs/>
              </w:rPr>
            </w:pPr>
            <w:r w:rsidRPr="007F1C70">
              <w:rPr>
                <w:rFonts w:ascii="Georgia" w:hAnsi="Georgia" w:cs="Arial"/>
                <w:b/>
                <w:bCs/>
              </w:rPr>
              <w:t xml:space="preserve">Date of </w:t>
            </w:r>
            <w:r w:rsidR="00DE413A" w:rsidRPr="007F1C70">
              <w:rPr>
                <w:rFonts w:ascii="Georgia" w:hAnsi="Georgia" w:cs="Arial"/>
                <w:b/>
                <w:bCs/>
              </w:rPr>
              <w:t>d</w:t>
            </w:r>
            <w:r w:rsidRPr="007F1C70">
              <w:rPr>
                <w:rFonts w:ascii="Georgia" w:hAnsi="Georgia" w:cs="Arial"/>
                <w:b/>
                <w:bCs/>
              </w:rPr>
              <w:t>ecision</w:t>
            </w:r>
          </w:p>
        </w:tc>
        <w:tc>
          <w:tcPr>
            <w:tcW w:w="463" w:type="dxa"/>
            <w:shd w:val="clear" w:color="auto" w:fill="auto"/>
            <w:vAlign w:val="center"/>
          </w:tcPr>
          <w:p w14:paraId="2D4CB9FE" w14:textId="77777777" w:rsidR="00724F05" w:rsidRPr="007F1C70" w:rsidRDefault="00724F05" w:rsidP="007F1C70">
            <w:pPr>
              <w:tabs>
                <w:tab w:val="left" w:pos="2880"/>
              </w:tabs>
              <w:spacing w:before="240" w:after="240"/>
              <w:rPr>
                <w:rFonts w:ascii="Georgia" w:hAnsi="Georgia" w:cs="Arial"/>
                <w:b/>
                <w:bCs/>
              </w:rPr>
            </w:pPr>
            <w:r w:rsidRPr="007F1C70">
              <w:rPr>
                <w:rFonts w:ascii="Georgia" w:hAnsi="Georgia" w:cs="Arial"/>
                <w:b/>
                <w:bCs/>
              </w:rPr>
              <w:t>:</w:t>
            </w:r>
          </w:p>
        </w:tc>
        <w:tc>
          <w:tcPr>
            <w:tcW w:w="5209" w:type="dxa"/>
            <w:shd w:val="clear" w:color="auto" w:fill="auto"/>
            <w:vAlign w:val="center"/>
          </w:tcPr>
          <w:p w14:paraId="7388094E" w14:textId="37555DEF" w:rsidR="00724F05" w:rsidRPr="00842646" w:rsidRDefault="00765171" w:rsidP="007F1C70">
            <w:pPr>
              <w:tabs>
                <w:tab w:val="left" w:pos="2880"/>
              </w:tabs>
              <w:rPr>
                <w:rFonts w:ascii="Georgia" w:hAnsi="Georgia" w:cs="Arial"/>
              </w:rPr>
            </w:pPr>
            <w:r w:rsidRPr="00842646">
              <w:rPr>
                <w:rFonts w:ascii="Georgia" w:hAnsi="Georgia" w:cs="Arial"/>
              </w:rPr>
              <w:t>1</w:t>
            </w:r>
            <w:r>
              <w:rPr>
                <w:rFonts w:ascii="Georgia" w:hAnsi="Georgia" w:cs="Arial"/>
              </w:rPr>
              <w:t>9</w:t>
            </w:r>
            <w:r w:rsidRPr="00842646">
              <w:rPr>
                <w:rFonts w:ascii="Georgia" w:hAnsi="Georgia" w:cs="Arial"/>
              </w:rPr>
              <w:t xml:space="preserve"> </w:t>
            </w:r>
            <w:r w:rsidR="00842646" w:rsidRPr="00842646">
              <w:rPr>
                <w:rFonts w:ascii="Georgia" w:hAnsi="Georgia" w:cs="Arial"/>
              </w:rPr>
              <w:t>November</w:t>
            </w:r>
            <w:r w:rsidR="00FD0274" w:rsidRPr="00842646">
              <w:rPr>
                <w:rFonts w:ascii="Georgia" w:hAnsi="Georgia" w:cs="Arial"/>
              </w:rPr>
              <w:t xml:space="preserve"> </w:t>
            </w:r>
            <w:r w:rsidR="00D51D0B" w:rsidRPr="00842646">
              <w:rPr>
                <w:rFonts w:ascii="Georgia" w:hAnsi="Georgia" w:cs="Arial"/>
              </w:rPr>
              <w:t>202</w:t>
            </w:r>
            <w:r w:rsidR="00842646" w:rsidRPr="00842646">
              <w:rPr>
                <w:rFonts w:ascii="Georgia" w:hAnsi="Georgia" w:cs="Arial"/>
              </w:rPr>
              <w:t>4</w:t>
            </w:r>
          </w:p>
        </w:tc>
      </w:tr>
    </w:tbl>
    <w:p w14:paraId="314F3409" w14:textId="77777777" w:rsidR="00C27ECE" w:rsidRDefault="00C27ECE" w:rsidP="00724F05">
      <w:pPr>
        <w:jc w:val="both"/>
        <w:rPr>
          <w:szCs w:val="20"/>
        </w:rPr>
      </w:pPr>
    </w:p>
    <w:tbl>
      <w:tblP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tblGrid>
      <w:tr w:rsidR="00C27ECE" w:rsidRPr="007F1C70" w14:paraId="03041107" w14:textId="77777777" w:rsidTr="00F109B2">
        <w:trPr>
          <w:trHeight w:val="811"/>
        </w:trPr>
        <w:tc>
          <w:tcPr>
            <w:tcW w:w="8364" w:type="dxa"/>
            <w:tcBorders>
              <w:left w:val="nil"/>
              <w:right w:val="nil"/>
            </w:tcBorders>
            <w:shd w:val="clear" w:color="auto" w:fill="auto"/>
            <w:vAlign w:val="center"/>
          </w:tcPr>
          <w:p w14:paraId="468BFA09" w14:textId="77777777" w:rsidR="00C27ECE" w:rsidRPr="007F1C70" w:rsidRDefault="00C27ECE" w:rsidP="007F1C70">
            <w:pPr>
              <w:jc w:val="center"/>
              <w:rPr>
                <w:szCs w:val="20"/>
              </w:rPr>
            </w:pPr>
            <w:r w:rsidRPr="007F1C70">
              <w:rPr>
                <w:rFonts w:ascii="Georgia" w:hAnsi="Georgia" w:cs="Arial"/>
                <w:b/>
                <w:bCs/>
              </w:rPr>
              <w:t>DECISION</w:t>
            </w:r>
          </w:p>
        </w:tc>
      </w:tr>
    </w:tbl>
    <w:p w14:paraId="4E0DE048" w14:textId="77777777" w:rsidR="00C27ECE" w:rsidRPr="00092C14" w:rsidRDefault="00C27ECE" w:rsidP="00724F05">
      <w:pPr>
        <w:jc w:val="both"/>
        <w:rPr>
          <w:rFonts w:ascii="Georgia" w:hAnsi="Georgia"/>
          <w:szCs w:val="20"/>
        </w:rPr>
      </w:pPr>
    </w:p>
    <w:p w14:paraId="0562007B" w14:textId="77777777" w:rsidR="00C27ECE" w:rsidRPr="00092C14" w:rsidRDefault="00C27ECE" w:rsidP="00724F05">
      <w:pPr>
        <w:jc w:val="both"/>
        <w:rPr>
          <w:rFonts w:ascii="Georgia" w:hAnsi="Georgia"/>
          <w:szCs w:val="20"/>
        </w:rPr>
      </w:pPr>
    </w:p>
    <w:p w14:paraId="3C301FD1" w14:textId="77777777" w:rsidR="0046328F" w:rsidRDefault="0046328F">
      <w:pPr>
        <w:rPr>
          <w:rFonts w:ascii="Calibri" w:eastAsia="Calibri" w:hAnsi="Calibri" w:cs="Calibri"/>
          <w:color w:val="000000" w:themeColor="text1"/>
        </w:rPr>
      </w:pPr>
      <w:r>
        <w:rPr>
          <w:rFonts w:ascii="Calibri" w:eastAsia="Calibri" w:hAnsi="Calibri" w:cs="Calibri"/>
          <w:color w:val="000000" w:themeColor="text1"/>
        </w:rPr>
        <w:br w:type="page"/>
      </w:r>
    </w:p>
    <w:p w14:paraId="2782FA87" w14:textId="77777777" w:rsidR="000927B4" w:rsidRPr="006F7594" w:rsidRDefault="000927B4" w:rsidP="00C663E1">
      <w:pPr>
        <w:autoSpaceDE w:val="0"/>
        <w:autoSpaceDN w:val="0"/>
        <w:adjustRightInd w:val="0"/>
        <w:spacing w:after="360"/>
        <w:jc w:val="both"/>
        <w:rPr>
          <w:rFonts w:ascii="Georgia" w:hAnsi="Georgia" w:cs="Arial"/>
        </w:rPr>
      </w:pPr>
      <w:bookmarkStart w:id="0" w:name="_Hlk50729776"/>
      <w:r w:rsidRPr="006F7594">
        <w:rPr>
          <w:rFonts w:ascii="Georgia" w:hAnsi="Georgia" w:cs="Arial"/>
          <w:b/>
          <w:u w:val="single"/>
        </w:rPr>
        <w:lastRenderedPageBreak/>
        <w:t>Decisions of the tribunal</w:t>
      </w:r>
    </w:p>
    <w:bookmarkEnd w:id="0"/>
    <w:p w14:paraId="13B6FCD2" w14:textId="0550E204" w:rsidR="006052CB" w:rsidRPr="002A6D53" w:rsidRDefault="006052CB" w:rsidP="00222A15">
      <w:pPr>
        <w:numPr>
          <w:ilvl w:val="0"/>
          <w:numId w:val="9"/>
        </w:numPr>
        <w:tabs>
          <w:tab w:val="clear" w:pos="170"/>
          <w:tab w:val="num" w:pos="851"/>
        </w:tabs>
        <w:autoSpaceDE w:val="0"/>
        <w:autoSpaceDN w:val="0"/>
        <w:adjustRightInd w:val="0"/>
        <w:spacing w:after="360"/>
        <w:ind w:left="851" w:hanging="851"/>
        <w:jc w:val="both"/>
        <w:rPr>
          <w:rFonts w:ascii="Georgia" w:hAnsi="Georgia" w:cs="Arial"/>
        </w:rPr>
      </w:pPr>
      <w:r w:rsidRPr="002A6D53">
        <w:rPr>
          <w:rFonts w:ascii="Georgia" w:hAnsi="Georgia" w:cs="Arial"/>
        </w:rPr>
        <w:t xml:space="preserve">The </w:t>
      </w:r>
      <w:r w:rsidR="005A71F2" w:rsidRPr="002A6D53">
        <w:rPr>
          <w:rFonts w:ascii="Georgia" w:hAnsi="Georgia" w:cs="Arial"/>
        </w:rPr>
        <w:t>T</w:t>
      </w:r>
      <w:r w:rsidR="00173CBF" w:rsidRPr="002A6D53">
        <w:rPr>
          <w:rFonts w:ascii="Georgia" w:hAnsi="Georgia" w:cs="Arial"/>
        </w:rPr>
        <w:t xml:space="preserve">ribunal determines that </w:t>
      </w:r>
      <w:r w:rsidR="005A71F2" w:rsidRPr="002A6D53">
        <w:rPr>
          <w:rFonts w:ascii="Georgia" w:hAnsi="Georgia" w:cs="Arial"/>
        </w:rPr>
        <w:t>no service charge is payable by the Applicants in respect of the 2022 service charge year</w:t>
      </w:r>
      <w:r w:rsidR="00173CBF" w:rsidRPr="002A6D53">
        <w:rPr>
          <w:rFonts w:ascii="Georgia" w:hAnsi="Georgia" w:cs="Arial"/>
        </w:rPr>
        <w:t>.</w:t>
      </w:r>
    </w:p>
    <w:p w14:paraId="484F25AB" w14:textId="77777777" w:rsidR="00B731F1" w:rsidRDefault="00603039" w:rsidP="00B731F1">
      <w:pPr>
        <w:numPr>
          <w:ilvl w:val="0"/>
          <w:numId w:val="9"/>
        </w:numPr>
        <w:tabs>
          <w:tab w:val="clear" w:pos="170"/>
          <w:tab w:val="num" w:pos="851"/>
        </w:tabs>
        <w:autoSpaceDE w:val="0"/>
        <w:autoSpaceDN w:val="0"/>
        <w:adjustRightInd w:val="0"/>
        <w:spacing w:after="360"/>
        <w:ind w:left="851" w:hanging="851"/>
        <w:jc w:val="both"/>
        <w:rPr>
          <w:rFonts w:ascii="Georgia" w:hAnsi="Georgia" w:cs="Arial"/>
        </w:rPr>
      </w:pPr>
      <w:r w:rsidRPr="002A6D53">
        <w:rPr>
          <w:rFonts w:ascii="Georgia" w:hAnsi="Georgia" w:cs="Arial"/>
        </w:rPr>
        <w:t>The Tribunal determines that the aggregate management fee payable by the Applicants for the 2021 service charge year is £375 plus VAT and that no amount is payable in respect of Sundries.</w:t>
      </w:r>
    </w:p>
    <w:p w14:paraId="7E7CA6B1" w14:textId="77777777" w:rsidR="00B731F1" w:rsidRPr="00B731F1" w:rsidRDefault="007E3A07" w:rsidP="00B731F1">
      <w:pPr>
        <w:numPr>
          <w:ilvl w:val="0"/>
          <w:numId w:val="9"/>
        </w:numPr>
        <w:tabs>
          <w:tab w:val="clear" w:pos="170"/>
          <w:tab w:val="num" w:pos="851"/>
        </w:tabs>
        <w:autoSpaceDE w:val="0"/>
        <w:autoSpaceDN w:val="0"/>
        <w:adjustRightInd w:val="0"/>
        <w:spacing w:after="360"/>
        <w:ind w:left="851" w:hanging="851"/>
        <w:jc w:val="both"/>
        <w:rPr>
          <w:rFonts w:ascii="Georgia" w:hAnsi="Georgia" w:cs="Arial"/>
        </w:rPr>
      </w:pPr>
      <w:r w:rsidRPr="00B731F1">
        <w:rPr>
          <w:rFonts w:ascii="Georgia" w:hAnsi="Georgia" w:cs="Arial"/>
        </w:rPr>
        <w:t>The Tribunal determines that no amount is payable by the Applicants in the 2021 service charge year in relation to accounting fees – annual certification</w:t>
      </w:r>
      <w:r w:rsidR="002A6D53" w:rsidRPr="00B731F1">
        <w:rPr>
          <w:rFonts w:ascii="Georgia" w:hAnsi="Georgia" w:cs="Arial"/>
        </w:rPr>
        <w:t>.</w:t>
      </w:r>
      <w:r w:rsidR="00B731F1" w:rsidRPr="00B731F1">
        <w:rPr>
          <w:rFonts w:ascii="Georgia" w:hAnsi="Georgia" w:cs="Arial"/>
          <w:i/>
          <w:iCs/>
        </w:rPr>
        <w:t xml:space="preserve"> </w:t>
      </w:r>
    </w:p>
    <w:p w14:paraId="53D128C0" w14:textId="4254C38F" w:rsidR="002B1BB4" w:rsidRDefault="00B731F1" w:rsidP="002B1BB4">
      <w:pPr>
        <w:numPr>
          <w:ilvl w:val="0"/>
          <w:numId w:val="9"/>
        </w:numPr>
        <w:tabs>
          <w:tab w:val="clear" w:pos="170"/>
          <w:tab w:val="num" w:pos="851"/>
        </w:tabs>
        <w:autoSpaceDE w:val="0"/>
        <w:autoSpaceDN w:val="0"/>
        <w:adjustRightInd w:val="0"/>
        <w:spacing w:after="360"/>
        <w:ind w:left="851" w:hanging="851"/>
        <w:jc w:val="both"/>
        <w:rPr>
          <w:rFonts w:ascii="Georgia" w:hAnsi="Georgia" w:cs="Arial"/>
        </w:rPr>
      </w:pPr>
      <w:r w:rsidRPr="00B731F1">
        <w:rPr>
          <w:rFonts w:ascii="Georgia" w:hAnsi="Georgia" w:cs="Arial"/>
        </w:rPr>
        <w:t xml:space="preserve">The Tribunal determines that </w:t>
      </w:r>
      <w:r w:rsidR="00765171">
        <w:rPr>
          <w:rFonts w:ascii="Georgia" w:hAnsi="Georgia" w:cs="Arial"/>
        </w:rPr>
        <w:t>the appropriate aggregate level</w:t>
      </w:r>
      <w:r w:rsidRPr="00B731F1">
        <w:rPr>
          <w:rFonts w:ascii="Georgia" w:hAnsi="Georgia" w:cs="Arial"/>
        </w:rPr>
        <w:t xml:space="preserve"> of the Applicants’ contribution towards communal electricity for the 2021 service charge year is £220 plus VAT.</w:t>
      </w:r>
    </w:p>
    <w:p w14:paraId="79FA7522" w14:textId="03CBCA01" w:rsidR="002B1BB4" w:rsidRPr="002B1BB4" w:rsidRDefault="002B1BB4" w:rsidP="002B1BB4">
      <w:pPr>
        <w:numPr>
          <w:ilvl w:val="0"/>
          <w:numId w:val="9"/>
        </w:numPr>
        <w:tabs>
          <w:tab w:val="clear" w:pos="170"/>
          <w:tab w:val="num" w:pos="851"/>
        </w:tabs>
        <w:autoSpaceDE w:val="0"/>
        <w:autoSpaceDN w:val="0"/>
        <w:adjustRightInd w:val="0"/>
        <w:spacing w:after="360"/>
        <w:ind w:left="851" w:hanging="851"/>
        <w:jc w:val="both"/>
        <w:rPr>
          <w:rFonts w:ascii="Georgia" w:hAnsi="Georgia" w:cs="Arial"/>
        </w:rPr>
      </w:pPr>
      <w:r w:rsidRPr="002B1BB4">
        <w:rPr>
          <w:rFonts w:ascii="Georgia" w:hAnsi="Georgia" w:cs="Arial"/>
        </w:rPr>
        <w:t xml:space="preserve">The Tribunal determines that </w:t>
      </w:r>
      <w:r w:rsidR="00765171">
        <w:rPr>
          <w:rFonts w:ascii="Georgia" w:hAnsi="Georgia" w:cs="Arial"/>
        </w:rPr>
        <w:t>the appropriate aggregate level</w:t>
      </w:r>
      <w:r w:rsidR="00765171" w:rsidRPr="00B731F1">
        <w:rPr>
          <w:rFonts w:ascii="Georgia" w:hAnsi="Georgia" w:cs="Arial"/>
        </w:rPr>
        <w:t xml:space="preserve"> of the Applicants’ contribution</w:t>
      </w:r>
      <w:r w:rsidRPr="002B1BB4">
        <w:rPr>
          <w:rFonts w:ascii="Georgia" w:hAnsi="Georgia" w:cs="Arial"/>
        </w:rPr>
        <w:t xml:space="preserve"> towards communal cleaning for the 2021 service charge year </w:t>
      </w:r>
      <w:r w:rsidR="00765171">
        <w:rPr>
          <w:rFonts w:ascii="Georgia" w:hAnsi="Georgia" w:cs="Arial"/>
        </w:rPr>
        <w:t>is</w:t>
      </w:r>
      <w:r w:rsidRPr="002B1BB4">
        <w:rPr>
          <w:rFonts w:ascii="Georgia" w:hAnsi="Georgia" w:cs="Arial"/>
        </w:rPr>
        <w:t xml:space="preserve"> £300 plus VAT.</w:t>
      </w:r>
    </w:p>
    <w:p w14:paraId="00515D85" w14:textId="050E35A9" w:rsidR="00D11544" w:rsidRPr="002A6D53" w:rsidRDefault="003A58EF" w:rsidP="005A71F2">
      <w:pPr>
        <w:numPr>
          <w:ilvl w:val="0"/>
          <w:numId w:val="9"/>
        </w:numPr>
        <w:tabs>
          <w:tab w:val="clear" w:pos="170"/>
          <w:tab w:val="num" w:pos="851"/>
        </w:tabs>
        <w:autoSpaceDE w:val="0"/>
        <w:autoSpaceDN w:val="0"/>
        <w:adjustRightInd w:val="0"/>
        <w:spacing w:after="360"/>
        <w:ind w:left="851" w:hanging="851"/>
        <w:jc w:val="both"/>
        <w:rPr>
          <w:rFonts w:ascii="Georgia" w:hAnsi="Georgia" w:cs="Arial"/>
        </w:rPr>
      </w:pPr>
      <w:r w:rsidRPr="007E3A07">
        <w:rPr>
          <w:rFonts w:ascii="Georgia" w:hAnsi="Georgia" w:cs="Arial"/>
        </w:rPr>
        <w:t xml:space="preserve">The Tribunal determines that no amount is payable by the Applicants in the 2021 service charge year in relation to </w:t>
      </w:r>
      <w:r>
        <w:rPr>
          <w:rFonts w:ascii="Georgia" w:hAnsi="Georgia" w:cs="Arial"/>
        </w:rPr>
        <w:t>landscaping and grounds maintenance.</w:t>
      </w:r>
    </w:p>
    <w:p w14:paraId="26C08F6E" w14:textId="3E0C7807" w:rsidR="005D2101" w:rsidRDefault="002B59AC" w:rsidP="00222A15">
      <w:pPr>
        <w:numPr>
          <w:ilvl w:val="0"/>
          <w:numId w:val="9"/>
        </w:numPr>
        <w:tabs>
          <w:tab w:val="clear" w:pos="170"/>
          <w:tab w:val="num" w:pos="851"/>
        </w:tabs>
        <w:autoSpaceDE w:val="0"/>
        <w:autoSpaceDN w:val="0"/>
        <w:adjustRightInd w:val="0"/>
        <w:spacing w:after="360"/>
        <w:ind w:left="851" w:hanging="851"/>
        <w:jc w:val="both"/>
        <w:rPr>
          <w:rFonts w:ascii="Georgia" w:hAnsi="Georgia" w:cs="Arial"/>
        </w:rPr>
      </w:pPr>
      <w:r w:rsidRPr="007E3A07">
        <w:rPr>
          <w:rFonts w:ascii="Georgia" w:hAnsi="Georgia" w:cs="Arial"/>
        </w:rPr>
        <w:t xml:space="preserve">The Tribunal determines that no amount is payable by the Applicants in the 2021 service charge year in relation to </w:t>
      </w:r>
      <w:r>
        <w:rPr>
          <w:rFonts w:ascii="Georgia" w:hAnsi="Georgia" w:cs="Arial"/>
        </w:rPr>
        <w:t>window cleaning</w:t>
      </w:r>
      <w:r w:rsidR="00CE0702" w:rsidRPr="002A6D53">
        <w:rPr>
          <w:rFonts w:ascii="Georgia" w:hAnsi="Georgia" w:cs="Arial"/>
        </w:rPr>
        <w:t>.</w:t>
      </w:r>
    </w:p>
    <w:p w14:paraId="7201FA8A" w14:textId="4118D381" w:rsidR="002B59AC" w:rsidRDefault="00AC32D1" w:rsidP="00222A15">
      <w:pPr>
        <w:numPr>
          <w:ilvl w:val="0"/>
          <w:numId w:val="9"/>
        </w:numPr>
        <w:tabs>
          <w:tab w:val="clear" w:pos="170"/>
          <w:tab w:val="num" w:pos="851"/>
        </w:tabs>
        <w:autoSpaceDE w:val="0"/>
        <w:autoSpaceDN w:val="0"/>
        <w:adjustRightInd w:val="0"/>
        <w:spacing w:after="360"/>
        <w:ind w:left="851" w:hanging="851"/>
        <w:jc w:val="both"/>
        <w:rPr>
          <w:rFonts w:ascii="Georgia" w:hAnsi="Georgia" w:cs="Arial"/>
        </w:rPr>
      </w:pPr>
      <w:r w:rsidRPr="007E3A07">
        <w:rPr>
          <w:rFonts w:ascii="Georgia" w:hAnsi="Georgia" w:cs="Arial"/>
        </w:rPr>
        <w:t xml:space="preserve">The Tribunal determines that no amount is payable by the Applicants in the 2021 service charge year in relation to </w:t>
      </w:r>
      <w:r>
        <w:rPr>
          <w:rFonts w:ascii="Georgia" w:hAnsi="Georgia" w:cs="Arial"/>
        </w:rPr>
        <w:t>the emergency lighting system, fire alarm testing and risk assessments and audits</w:t>
      </w:r>
      <w:r w:rsidR="002B59AC">
        <w:rPr>
          <w:rFonts w:ascii="Georgia" w:hAnsi="Georgia" w:cs="Arial"/>
        </w:rPr>
        <w:t>.</w:t>
      </w:r>
    </w:p>
    <w:p w14:paraId="3CF846F9" w14:textId="3B18BB9B" w:rsidR="002102C9" w:rsidRDefault="00C77BEC" w:rsidP="002102C9">
      <w:pPr>
        <w:numPr>
          <w:ilvl w:val="0"/>
          <w:numId w:val="9"/>
        </w:numPr>
        <w:tabs>
          <w:tab w:val="clear" w:pos="170"/>
          <w:tab w:val="num" w:pos="851"/>
        </w:tabs>
        <w:autoSpaceDE w:val="0"/>
        <w:autoSpaceDN w:val="0"/>
        <w:adjustRightInd w:val="0"/>
        <w:spacing w:after="360"/>
        <w:ind w:left="851" w:hanging="851"/>
        <w:jc w:val="both"/>
        <w:rPr>
          <w:rFonts w:ascii="Georgia" w:hAnsi="Georgia" w:cs="Arial"/>
        </w:rPr>
      </w:pPr>
      <w:r w:rsidRPr="002342B0">
        <w:rPr>
          <w:rFonts w:ascii="Georgia" w:hAnsi="Georgia" w:cs="Arial"/>
        </w:rPr>
        <w:t xml:space="preserve">The </w:t>
      </w:r>
      <w:r w:rsidR="00765171" w:rsidRPr="002342B0">
        <w:rPr>
          <w:rFonts w:ascii="Georgia" w:hAnsi="Georgia" w:cs="Arial"/>
        </w:rPr>
        <w:t xml:space="preserve">Tribunal determines that the </w:t>
      </w:r>
      <w:r w:rsidR="00765171">
        <w:rPr>
          <w:rFonts w:ascii="Georgia" w:hAnsi="Georgia" w:cs="Arial"/>
        </w:rPr>
        <w:t xml:space="preserve">appropriate aggregate level of the </w:t>
      </w:r>
      <w:r w:rsidR="00765171" w:rsidRPr="002342B0">
        <w:rPr>
          <w:rFonts w:ascii="Georgia" w:hAnsi="Georgia" w:cs="Arial"/>
        </w:rPr>
        <w:t xml:space="preserve">Applicants’ contribution towards </w:t>
      </w:r>
      <w:r w:rsidR="00765171">
        <w:rPr>
          <w:rFonts w:ascii="Georgia" w:hAnsi="Georgia" w:cs="Arial"/>
        </w:rPr>
        <w:t>general maintenance</w:t>
      </w:r>
      <w:r w:rsidR="00765171" w:rsidRPr="002342B0">
        <w:rPr>
          <w:rFonts w:ascii="Georgia" w:hAnsi="Georgia" w:cs="Arial"/>
        </w:rPr>
        <w:t xml:space="preserve"> for the 2021 service charge year </w:t>
      </w:r>
      <w:r w:rsidR="00765171">
        <w:rPr>
          <w:rFonts w:ascii="Georgia" w:hAnsi="Georgia" w:cs="Arial"/>
        </w:rPr>
        <w:t xml:space="preserve">is </w:t>
      </w:r>
      <w:r w:rsidR="00765171" w:rsidRPr="002342B0">
        <w:rPr>
          <w:rFonts w:ascii="Georgia" w:hAnsi="Georgia" w:cs="Arial"/>
        </w:rPr>
        <w:t>£</w:t>
      </w:r>
      <w:r w:rsidR="00765171">
        <w:rPr>
          <w:rFonts w:ascii="Georgia" w:hAnsi="Georgia" w:cs="Arial"/>
        </w:rPr>
        <w:t>40</w:t>
      </w:r>
      <w:r w:rsidR="00765171" w:rsidRPr="002342B0">
        <w:rPr>
          <w:rFonts w:ascii="Georgia" w:hAnsi="Georgia" w:cs="Arial"/>
        </w:rPr>
        <w:t>0</w:t>
      </w:r>
      <w:r w:rsidRPr="002342B0">
        <w:rPr>
          <w:rFonts w:ascii="Georgia" w:hAnsi="Georgia" w:cs="Arial"/>
        </w:rPr>
        <w:t xml:space="preserve"> VAT</w:t>
      </w:r>
      <w:r>
        <w:rPr>
          <w:rFonts w:ascii="Georgia" w:hAnsi="Georgia" w:cs="Arial"/>
        </w:rPr>
        <w:t>.</w:t>
      </w:r>
    </w:p>
    <w:p w14:paraId="5CB3DDC6" w14:textId="3F83FA14" w:rsidR="003D5A02" w:rsidRDefault="002102C9" w:rsidP="003D5A02">
      <w:pPr>
        <w:numPr>
          <w:ilvl w:val="0"/>
          <w:numId w:val="9"/>
        </w:numPr>
        <w:tabs>
          <w:tab w:val="clear" w:pos="170"/>
          <w:tab w:val="num" w:pos="851"/>
        </w:tabs>
        <w:autoSpaceDE w:val="0"/>
        <w:autoSpaceDN w:val="0"/>
        <w:adjustRightInd w:val="0"/>
        <w:spacing w:after="360"/>
        <w:ind w:left="851" w:hanging="851"/>
        <w:jc w:val="both"/>
        <w:rPr>
          <w:rFonts w:ascii="Georgia" w:hAnsi="Georgia" w:cs="Arial"/>
        </w:rPr>
      </w:pPr>
      <w:r w:rsidRPr="002102C9">
        <w:rPr>
          <w:rFonts w:ascii="Georgia" w:hAnsi="Georgia" w:cs="Arial"/>
        </w:rPr>
        <w:t xml:space="preserve">The Tribunal determines that the </w:t>
      </w:r>
      <w:r w:rsidR="00765171">
        <w:rPr>
          <w:rFonts w:ascii="Georgia" w:hAnsi="Georgia" w:cs="Arial"/>
        </w:rPr>
        <w:t xml:space="preserve">aggregate </w:t>
      </w:r>
      <w:r w:rsidRPr="002102C9">
        <w:rPr>
          <w:rFonts w:ascii="Georgia" w:hAnsi="Georgia" w:cs="Arial"/>
        </w:rPr>
        <w:t>amount of £1,055 demanded in respect of insurance for the 2021 service charge year is reasonable and payable</w:t>
      </w:r>
      <w:r w:rsidRPr="002102C9">
        <w:rPr>
          <w:rFonts w:ascii="Georgia" w:hAnsi="Georgia"/>
        </w:rPr>
        <w:t>.</w:t>
      </w:r>
    </w:p>
    <w:p w14:paraId="6E711AFD" w14:textId="0EC47900" w:rsidR="00C77BEC" w:rsidRPr="00763794" w:rsidRDefault="003D5A02" w:rsidP="003D5A02">
      <w:pPr>
        <w:numPr>
          <w:ilvl w:val="0"/>
          <w:numId w:val="9"/>
        </w:numPr>
        <w:tabs>
          <w:tab w:val="clear" w:pos="170"/>
          <w:tab w:val="num" w:pos="851"/>
        </w:tabs>
        <w:autoSpaceDE w:val="0"/>
        <w:autoSpaceDN w:val="0"/>
        <w:adjustRightInd w:val="0"/>
        <w:spacing w:after="360"/>
        <w:ind w:left="851" w:hanging="851"/>
        <w:jc w:val="both"/>
        <w:rPr>
          <w:rFonts w:ascii="Georgia" w:hAnsi="Georgia" w:cs="Arial"/>
        </w:rPr>
      </w:pPr>
      <w:r w:rsidRPr="003D5A02">
        <w:rPr>
          <w:rFonts w:ascii="Georgia" w:hAnsi="Georgia" w:cs="Arial"/>
        </w:rPr>
        <w:t xml:space="preserve">The Tribunal determines that the </w:t>
      </w:r>
      <w:r w:rsidR="00765171">
        <w:rPr>
          <w:rFonts w:ascii="Georgia" w:hAnsi="Georgia" w:cs="Arial"/>
        </w:rPr>
        <w:t xml:space="preserve">aggregate </w:t>
      </w:r>
      <w:r w:rsidRPr="003D5A02">
        <w:rPr>
          <w:rFonts w:ascii="Georgia" w:hAnsi="Georgia" w:cs="Arial"/>
        </w:rPr>
        <w:t>amount of £1,0</w:t>
      </w:r>
      <w:r>
        <w:rPr>
          <w:rFonts w:ascii="Georgia" w:hAnsi="Georgia" w:cs="Arial"/>
        </w:rPr>
        <w:t>00</w:t>
      </w:r>
      <w:r w:rsidRPr="003D5A02">
        <w:rPr>
          <w:rFonts w:ascii="Georgia" w:hAnsi="Georgia" w:cs="Arial"/>
        </w:rPr>
        <w:t xml:space="preserve"> demanded in respect of </w:t>
      </w:r>
      <w:r>
        <w:rPr>
          <w:rFonts w:ascii="Georgia" w:hAnsi="Georgia" w:cs="Arial"/>
        </w:rPr>
        <w:t>the reserve fund</w:t>
      </w:r>
      <w:r w:rsidRPr="003D5A02">
        <w:rPr>
          <w:rFonts w:ascii="Georgia" w:hAnsi="Georgia" w:cs="Arial"/>
        </w:rPr>
        <w:t xml:space="preserve"> for the 2021 service charge year is reasonable and payable</w:t>
      </w:r>
      <w:r w:rsidRPr="003D5A02">
        <w:rPr>
          <w:rFonts w:ascii="Georgia" w:hAnsi="Georgia"/>
        </w:rPr>
        <w:t>.</w:t>
      </w:r>
    </w:p>
    <w:p w14:paraId="438FDC40" w14:textId="283A3F69" w:rsidR="00763794" w:rsidRPr="003D5A02" w:rsidRDefault="00763794" w:rsidP="003D5A02">
      <w:pPr>
        <w:numPr>
          <w:ilvl w:val="0"/>
          <w:numId w:val="9"/>
        </w:numPr>
        <w:tabs>
          <w:tab w:val="clear" w:pos="170"/>
          <w:tab w:val="num" w:pos="851"/>
        </w:tabs>
        <w:autoSpaceDE w:val="0"/>
        <w:autoSpaceDN w:val="0"/>
        <w:adjustRightInd w:val="0"/>
        <w:spacing w:after="360"/>
        <w:ind w:left="851" w:hanging="851"/>
        <w:jc w:val="both"/>
        <w:rPr>
          <w:rFonts w:ascii="Georgia" w:hAnsi="Georgia" w:cs="Arial"/>
        </w:rPr>
      </w:pPr>
      <w:r>
        <w:rPr>
          <w:rFonts w:ascii="Georgia" w:hAnsi="Georgia"/>
        </w:rPr>
        <w:t xml:space="preserve">The Tribunal accordingly determines that the total aggregate service charge payable by the Applicants for the 2021 service charge year is </w:t>
      </w:r>
      <w:r>
        <w:rPr>
          <w:rFonts w:ascii="Georgia" w:hAnsi="Georgia"/>
        </w:rPr>
        <w:lastRenderedPageBreak/>
        <w:t>£3,050 plus VAT where applicable and that nothing is payable by them in respect of the 2022 service charge year.</w:t>
      </w:r>
    </w:p>
    <w:p w14:paraId="7276E9C1" w14:textId="71DD5203" w:rsidR="000927B4" w:rsidRPr="009D292E" w:rsidRDefault="000927B4" w:rsidP="00C663E1">
      <w:pPr>
        <w:numPr>
          <w:ilvl w:val="0"/>
          <w:numId w:val="9"/>
        </w:numPr>
        <w:tabs>
          <w:tab w:val="clear" w:pos="170"/>
          <w:tab w:val="num" w:pos="851"/>
        </w:tabs>
        <w:autoSpaceDE w:val="0"/>
        <w:autoSpaceDN w:val="0"/>
        <w:adjustRightInd w:val="0"/>
        <w:spacing w:after="360"/>
        <w:ind w:left="851" w:hanging="851"/>
        <w:jc w:val="both"/>
        <w:rPr>
          <w:rFonts w:ascii="Georgia" w:hAnsi="Georgia" w:cs="Arial"/>
        </w:rPr>
      </w:pPr>
      <w:r w:rsidRPr="009D292E">
        <w:rPr>
          <w:rFonts w:ascii="Georgia" w:hAnsi="Georgia" w:cs="Arial"/>
        </w:rPr>
        <w:t xml:space="preserve">The </w:t>
      </w:r>
      <w:r w:rsidR="00603039">
        <w:rPr>
          <w:rFonts w:ascii="Georgia" w:hAnsi="Georgia" w:cs="Arial"/>
        </w:rPr>
        <w:t>T</w:t>
      </w:r>
      <w:r w:rsidRPr="009D292E">
        <w:rPr>
          <w:rFonts w:ascii="Georgia" w:hAnsi="Georgia" w:cs="Arial"/>
        </w:rPr>
        <w:t>ribunal makes an order under section 20C of the Landlord and Tenant Act 1985</w:t>
      </w:r>
      <w:r w:rsidR="00ED0133" w:rsidRPr="009D292E">
        <w:rPr>
          <w:rFonts w:ascii="Georgia" w:hAnsi="Georgia" w:cs="Arial"/>
        </w:rPr>
        <w:t xml:space="preserve"> </w:t>
      </w:r>
      <w:r w:rsidRPr="009D292E">
        <w:rPr>
          <w:rFonts w:ascii="Georgia" w:hAnsi="Georgia" w:cs="Arial"/>
        </w:rPr>
        <w:t xml:space="preserve">so that none of the landlord’s costs of the tribunal proceedings may be passed to the </w:t>
      </w:r>
      <w:r w:rsidR="00E01859" w:rsidRPr="009D292E">
        <w:rPr>
          <w:rFonts w:ascii="Georgia" w:hAnsi="Georgia" w:cs="Arial"/>
        </w:rPr>
        <w:t>Applicant</w:t>
      </w:r>
      <w:r w:rsidR="009D292E" w:rsidRPr="009D292E">
        <w:rPr>
          <w:rFonts w:ascii="Georgia" w:hAnsi="Georgia" w:cs="Arial"/>
        </w:rPr>
        <w:t>s</w:t>
      </w:r>
      <w:r w:rsidR="007453D0" w:rsidRPr="009D292E">
        <w:rPr>
          <w:rFonts w:ascii="Georgia" w:hAnsi="Georgia" w:cs="Arial"/>
        </w:rPr>
        <w:t xml:space="preserve"> as </w:t>
      </w:r>
      <w:r w:rsidRPr="009D292E">
        <w:rPr>
          <w:rFonts w:ascii="Georgia" w:hAnsi="Georgia" w:cs="Arial"/>
        </w:rPr>
        <w:t>lessee</w:t>
      </w:r>
      <w:r w:rsidR="009D292E" w:rsidRPr="009D292E">
        <w:rPr>
          <w:rFonts w:ascii="Georgia" w:hAnsi="Georgia" w:cs="Arial"/>
        </w:rPr>
        <w:t>s</w:t>
      </w:r>
      <w:r w:rsidRPr="009D292E">
        <w:rPr>
          <w:rFonts w:ascii="Georgia" w:hAnsi="Georgia" w:cs="Arial"/>
        </w:rPr>
        <w:t xml:space="preserve"> through any service charge</w:t>
      </w:r>
      <w:r w:rsidR="00D40296" w:rsidRPr="009D292E">
        <w:rPr>
          <w:rFonts w:ascii="Georgia" w:hAnsi="Georgia" w:cs="Arial"/>
        </w:rPr>
        <w:t>.</w:t>
      </w:r>
      <w:r w:rsidR="00AB3673" w:rsidRPr="009D292E">
        <w:rPr>
          <w:rFonts w:ascii="Georgia" w:hAnsi="Georgia" w:cs="Arial"/>
        </w:rPr>
        <w:t xml:space="preserve"> </w:t>
      </w:r>
    </w:p>
    <w:p w14:paraId="394DD4BD" w14:textId="68FA50F4" w:rsidR="00D40296" w:rsidRPr="009D292E" w:rsidRDefault="00D40296" w:rsidP="00C663E1">
      <w:pPr>
        <w:numPr>
          <w:ilvl w:val="0"/>
          <w:numId w:val="9"/>
        </w:numPr>
        <w:tabs>
          <w:tab w:val="clear" w:pos="170"/>
          <w:tab w:val="num" w:pos="851"/>
        </w:tabs>
        <w:autoSpaceDE w:val="0"/>
        <w:autoSpaceDN w:val="0"/>
        <w:adjustRightInd w:val="0"/>
        <w:spacing w:after="360"/>
        <w:ind w:left="851" w:hanging="851"/>
        <w:jc w:val="both"/>
        <w:rPr>
          <w:rFonts w:ascii="Georgia" w:hAnsi="Georgia" w:cs="Arial"/>
        </w:rPr>
      </w:pPr>
      <w:r w:rsidRPr="009D292E">
        <w:rPr>
          <w:rFonts w:ascii="Georgia" w:hAnsi="Georgia" w:cs="Arial"/>
        </w:rPr>
        <w:t xml:space="preserve">The </w:t>
      </w:r>
      <w:r w:rsidR="00603039">
        <w:rPr>
          <w:rFonts w:ascii="Georgia" w:hAnsi="Georgia" w:cs="Arial"/>
        </w:rPr>
        <w:t>T</w:t>
      </w:r>
      <w:r w:rsidRPr="009D292E">
        <w:rPr>
          <w:rFonts w:ascii="Georgia" w:hAnsi="Georgia" w:cs="Arial"/>
        </w:rPr>
        <w:t>ribunal make</w:t>
      </w:r>
      <w:r w:rsidR="002F672B" w:rsidRPr="009D292E">
        <w:rPr>
          <w:rFonts w:ascii="Georgia" w:hAnsi="Georgia" w:cs="Arial"/>
        </w:rPr>
        <w:t>s</w:t>
      </w:r>
      <w:r w:rsidRPr="009D292E">
        <w:rPr>
          <w:rFonts w:ascii="Georgia" w:hAnsi="Georgia" w:cs="Arial"/>
        </w:rPr>
        <w:t xml:space="preserve"> </w:t>
      </w:r>
      <w:r w:rsidR="0095244D" w:rsidRPr="009D292E">
        <w:rPr>
          <w:rFonts w:ascii="Georgia" w:hAnsi="Georgia" w:cs="Arial"/>
        </w:rPr>
        <w:t xml:space="preserve">an order </w:t>
      </w:r>
      <w:r w:rsidR="002F672B" w:rsidRPr="009D292E">
        <w:rPr>
          <w:rFonts w:ascii="Georgia" w:hAnsi="Georgia" w:cs="Arial"/>
        </w:rPr>
        <w:t xml:space="preserve">under paragraph 5A </w:t>
      </w:r>
      <w:r w:rsidR="0095244D" w:rsidRPr="009D292E">
        <w:rPr>
          <w:rFonts w:ascii="Georgia" w:hAnsi="Georgia" w:cs="Arial"/>
        </w:rPr>
        <w:t xml:space="preserve">of </w:t>
      </w:r>
      <w:r w:rsidR="009A5881" w:rsidRPr="009D292E">
        <w:rPr>
          <w:rFonts w:ascii="Georgia" w:hAnsi="Georgia" w:cs="Arial"/>
        </w:rPr>
        <w:t>S</w:t>
      </w:r>
      <w:r w:rsidR="0095244D" w:rsidRPr="009D292E">
        <w:rPr>
          <w:rFonts w:ascii="Georgia" w:hAnsi="Georgia"/>
          <w:color w:val="000000"/>
        </w:rPr>
        <w:t xml:space="preserve">chedule 11 to the Commonhold and Leasehold Reform Act 2002 </w:t>
      </w:r>
      <w:r w:rsidRPr="009D292E">
        <w:rPr>
          <w:rFonts w:ascii="Georgia" w:hAnsi="Georgia" w:cs="Arial"/>
        </w:rPr>
        <w:t xml:space="preserve">in favour of the </w:t>
      </w:r>
      <w:r w:rsidR="00E01859" w:rsidRPr="009D292E">
        <w:rPr>
          <w:rFonts w:ascii="Georgia" w:hAnsi="Georgia" w:cs="Arial"/>
        </w:rPr>
        <w:t>Applicants</w:t>
      </w:r>
      <w:r w:rsidRPr="009D292E">
        <w:rPr>
          <w:rFonts w:ascii="Georgia" w:hAnsi="Georgia" w:cs="Arial"/>
        </w:rPr>
        <w:t xml:space="preserve"> that none of the costs incurred by the Respondent in connection with these proceedings can be charged direct to the </w:t>
      </w:r>
      <w:r w:rsidR="00E01859" w:rsidRPr="009D292E">
        <w:rPr>
          <w:rFonts w:ascii="Georgia" w:hAnsi="Georgia" w:cs="Arial"/>
        </w:rPr>
        <w:t>Applicant</w:t>
      </w:r>
      <w:r w:rsidR="009D292E" w:rsidRPr="009D292E">
        <w:rPr>
          <w:rFonts w:ascii="Georgia" w:hAnsi="Georgia" w:cs="Arial"/>
        </w:rPr>
        <w:t>s</w:t>
      </w:r>
      <w:r w:rsidRPr="009D292E">
        <w:rPr>
          <w:rFonts w:ascii="Georgia" w:hAnsi="Georgia" w:cs="Arial"/>
        </w:rPr>
        <w:t xml:space="preserve"> as an administration charge under the</w:t>
      </w:r>
      <w:r w:rsidR="00420025" w:rsidRPr="009D292E">
        <w:rPr>
          <w:rFonts w:ascii="Georgia" w:hAnsi="Georgia" w:cs="Arial"/>
        </w:rPr>
        <w:t xml:space="preserve"> </w:t>
      </w:r>
      <w:r w:rsidR="00E01859" w:rsidRPr="009D292E">
        <w:rPr>
          <w:rFonts w:ascii="Georgia" w:hAnsi="Georgia" w:cs="Arial"/>
        </w:rPr>
        <w:t>Applican</w:t>
      </w:r>
      <w:r w:rsidR="003E4158" w:rsidRPr="009D292E">
        <w:rPr>
          <w:rFonts w:ascii="Georgia" w:hAnsi="Georgia" w:cs="Arial"/>
        </w:rPr>
        <w:t>ts</w:t>
      </w:r>
      <w:r w:rsidR="009D292E" w:rsidRPr="009D292E">
        <w:rPr>
          <w:rFonts w:ascii="Georgia" w:hAnsi="Georgia" w:cs="Arial"/>
        </w:rPr>
        <w:t>’</w:t>
      </w:r>
      <w:r w:rsidRPr="009D292E">
        <w:rPr>
          <w:rFonts w:ascii="Georgia" w:hAnsi="Georgia" w:cs="Arial"/>
        </w:rPr>
        <w:t xml:space="preserve"> </w:t>
      </w:r>
      <w:r w:rsidR="009D292E" w:rsidRPr="009D292E">
        <w:rPr>
          <w:rFonts w:ascii="Georgia" w:hAnsi="Georgia" w:cs="Arial"/>
        </w:rPr>
        <w:t>l</w:t>
      </w:r>
      <w:r w:rsidRPr="009D292E">
        <w:rPr>
          <w:rFonts w:ascii="Georgia" w:hAnsi="Georgia" w:cs="Arial"/>
        </w:rPr>
        <w:t>ease</w:t>
      </w:r>
      <w:r w:rsidR="009D292E" w:rsidRPr="009D292E">
        <w:rPr>
          <w:rFonts w:ascii="Georgia" w:hAnsi="Georgia" w:cs="Arial"/>
        </w:rPr>
        <w:t>s</w:t>
      </w:r>
      <w:r w:rsidR="00420025" w:rsidRPr="009D292E">
        <w:rPr>
          <w:rFonts w:ascii="Georgia" w:hAnsi="Georgia" w:cs="Arial"/>
        </w:rPr>
        <w:t>.</w:t>
      </w:r>
    </w:p>
    <w:p w14:paraId="53767E8F" w14:textId="77777777" w:rsidR="000927B4" w:rsidRPr="007548FA" w:rsidRDefault="000927B4" w:rsidP="00C663E1">
      <w:pPr>
        <w:autoSpaceDE w:val="0"/>
        <w:autoSpaceDN w:val="0"/>
        <w:adjustRightInd w:val="0"/>
        <w:spacing w:after="360"/>
        <w:jc w:val="both"/>
        <w:rPr>
          <w:rFonts w:ascii="Georgia" w:hAnsi="Georgia" w:cs="Arial"/>
          <w:b/>
          <w:u w:val="single"/>
        </w:rPr>
      </w:pPr>
      <w:r w:rsidRPr="007548FA">
        <w:rPr>
          <w:rFonts w:ascii="Georgia" w:hAnsi="Georgia" w:cs="Arial"/>
          <w:b/>
          <w:u w:val="single"/>
        </w:rPr>
        <w:t>The application</w:t>
      </w:r>
    </w:p>
    <w:p w14:paraId="1F2B2E13" w14:textId="610165E0" w:rsidR="00B62C97" w:rsidRDefault="000927B4" w:rsidP="00B62C97">
      <w:pPr>
        <w:numPr>
          <w:ilvl w:val="0"/>
          <w:numId w:val="34"/>
        </w:numPr>
        <w:tabs>
          <w:tab w:val="clear" w:pos="1134"/>
          <w:tab w:val="num" w:pos="709"/>
        </w:tabs>
        <w:ind w:left="709" w:hanging="709"/>
        <w:jc w:val="both"/>
        <w:rPr>
          <w:rFonts w:ascii="Georgia" w:hAnsi="Georgia"/>
        </w:rPr>
      </w:pPr>
      <w:r w:rsidRPr="00600384">
        <w:rPr>
          <w:rFonts w:ascii="Georgia" w:hAnsi="Georgia" w:cs="Arial"/>
        </w:rPr>
        <w:t xml:space="preserve">The </w:t>
      </w:r>
      <w:r w:rsidR="00E01859" w:rsidRPr="00600384">
        <w:rPr>
          <w:rFonts w:ascii="Georgia" w:hAnsi="Georgia" w:cs="Arial"/>
        </w:rPr>
        <w:t>Applicant</w:t>
      </w:r>
      <w:r w:rsidR="00CB394E" w:rsidRPr="00600384">
        <w:rPr>
          <w:rFonts w:ascii="Georgia" w:hAnsi="Georgia" w:cs="Arial"/>
        </w:rPr>
        <w:t>s</w:t>
      </w:r>
      <w:r w:rsidRPr="00600384">
        <w:rPr>
          <w:rFonts w:ascii="Georgia" w:hAnsi="Georgia" w:cs="Arial"/>
        </w:rPr>
        <w:t xml:space="preserve"> seek a determination pursuant to s.27A of the Landlord and Tenant Act 1985 (“the 1985 Act”) as to the amount of service charges payable by the </w:t>
      </w:r>
      <w:r w:rsidR="00E01859" w:rsidRPr="00600384">
        <w:rPr>
          <w:rFonts w:ascii="Georgia" w:hAnsi="Georgia" w:cs="Arial"/>
        </w:rPr>
        <w:t>Applicant</w:t>
      </w:r>
      <w:r w:rsidR="00600384" w:rsidRPr="00600384">
        <w:rPr>
          <w:rFonts w:ascii="Georgia" w:hAnsi="Georgia" w:cs="Arial"/>
        </w:rPr>
        <w:t>s</w:t>
      </w:r>
      <w:r w:rsidR="00A64071" w:rsidRPr="00600384">
        <w:rPr>
          <w:rFonts w:ascii="Georgia" w:hAnsi="Georgia" w:cs="Arial"/>
        </w:rPr>
        <w:t xml:space="preserve"> </w:t>
      </w:r>
      <w:r w:rsidRPr="00600384">
        <w:rPr>
          <w:rFonts w:ascii="Georgia" w:hAnsi="Georgia" w:cs="Arial"/>
        </w:rPr>
        <w:t xml:space="preserve">in respect of the </w:t>
      </w:r>
      <w:r w:rsidR="00600384" w:rsidRPr="00600384">
        <w:rPr>
          <w:rFonts w:ascii="Georgia" w:hAnsi="Georgia" w:cs="Arial"/>
        </w:rPr>
        <w:t xml:space="preserve">2021 and 2022 </w:t>
      </w:r>
      <w:r w:rsidR="000C209F">
        <w:rPr>
          <w:rFonts w:ascii="Georgia" w:hAnsi="Georgia" w:cs="Arial"/>
        </w:rPr>
        <w:t>service charge years,</w:t>
      </w:r>
      <w:r w:rsidR="00970C7B" w:rsidRPr="00970C7B">
        <w:rPr>
          <w:rFonts w:ascii="Georgia" w:hAnsi="Georgia"/>
        </w:rPr>
        <w:t xml:space="preserve"> </w:t>
      </w:r>
      <w:r w:rsidR="00970C7B">
        <w:rPr>
          <w:rFonts w:ascii="Georgia" w:hAnsi="Georgia"/>
        </w:rPr>
        <w:t xml:space="preserve">with the total value of the dispute amounting to £21,650.00. </w:t>
      </w:r>
    </w:p>
    <w:p w14:paraId="6A779422" w14:textId="77777777" w:rsidR="00B62C97" w:rsidRDefault="00B62C97" w:rsidP="00B62C97">
      <w:pPr>
        <w:ind w:left="709"/>
        <w:jc w:val="both"/>
        <w:rPr>
          <w:rFonts w:ascii="Georgia" w:hAnsi="Georgia"/>
        </w:rPr>
      </w:pPr>
    </w:p>
    <w:p w14:paraId="03E223AC" w14:textId="146FC6D2" w:rsidR="000927B4" w:rsidRPr="00B62C97" w:rsidRDefault="00970C7B" w:rsidP="00B62C97">
      <w:pPr>
        <w:numPr>
          <w:ilvl w:val="0"/>
          <w:numId w:val="34"/>
        </w:numPr>
        <w:tabs>
          <w:tab w:val="clear" w:pos="1134"/>
          <w:tab w:val="num" w:pos="709"/>
        </w:tabs>
        <w:ind w:left="709" w:hanging="709"/>
        <w:jc w:val="both"/>
        <w:rPr>
          <w:rFonts w:ascii="Georgia" w:hAnsi="Georgia"/>
        </w:rPr>
      </w:pPr>
      <w:r w:rsidRPr="00B62C97">
        <w:rPr>
          <w:rFonts w:ascii="Georgia" w:hAnsi="Georgia"/>
        </w:rPr>
        <w:t>The Applicants further seek orders pursuant to Section 20C of the Landlord and Tenant Act 1985 and paragraph 5A of Schedule 11 of the Commonhold and Leasehold Reform Act 2002</w:t>
      </w:r>
      <w:r w:rsidR="00B62C97" w:rsidRPr="00B62C97">
        <w:rPr>
          <w:rFonts w:ascii="Georgia" w:hAnsi="Georgia"/>
        </w:rPr>
        <w:t>.</w:t>
      </w:r>
      <w:r w:rsidR="00B5118D" w:rsidRPr="00B62C97">
        <w:rPr>
          <w:rFonts w:ascii="Georgia" w:hAnsi="Georgia" w:cs="Arial"/>
        </w:rPr>
        <w:t xml:space="preserve"> </w:t>
      </w:r>
    </w:p>
    <w:p w14:paraId="4EC9607D" w14:textId="77777777" w:rsidR="00B62C97" w:rsidRDefault="00B62C97" w:rsidP="00B62C97">
      <w:pPr>
        <w:pStyle w:val="ListParagraph"/>
        <w:rPr>
          <w:rFonts w:ascii="Georgia" w:hAnsi="Georgia"/>
        </w:rPr>
      </w:pPr>
    </w:p>
    <w:p w14:paraId="3F021AC2" w14:textId="656693A0" w:rsidR="00B62C97" w:rsidRDefault="00EA752C" w:rsidP="00B62C97">
      <w:pPr>
        <w:numPr>
          <w:ilvl w:val="0"/>
          <w:numId w:val="34"/>
        </w:numPr>
        <w:tabs>
          <w:tab w:val="clear" w:pos="1134"/>
          <w:tab w:val="num" w:pos="709"/>
        </w:tabs>
        <w:ind w:left="709" w:hanging="709"/>
        <w:jc w:val="both"/>
        <w:rPr>
          <w:rFonts w:ascii="Georgia" w:hAnsi="Georgia"/>
        </w:rPr>
      </w:pPr>
      <w:r>
        <w:rPr>
          <w:rFonts w:ascii="Georgia" w:hAnsi="Georgia"/>
        </w:rPr>
        <w:t>No service charge accounts had been received from the Respondent or its managing agents for the years in question</w:t>
      </w:r>
      <w:r w:rsidR="001D24BA">
        <w:rPr>
          <w:rFonts w:ascii="Georgia" w:hAnsi="Georgia"/>
        </w:rPr>
        <w:t xml:space="preserve">, instead </w:t>
      </w:r>
      <w:r w:rsidR="00D84536">
        <w:rPr>
          <w:rFonts w:ascii="Georgia" w:hAnsi="Georgia"/>
        </w:rPr>
        <w:t>the managing agents</w:t>
      </w:r>
      <w:r w:rsidR="001D24BA">
        <w:rPr>
          <w:rFonts w:ascii="Georgia" w:hAnsi="Georgia"/>
        </w:rPr>
        <w:t xml:space="preserve"> had provided a budget for 2021 and an identical budget for 2022.</w:t>
      </w:r>
      <w:r w:rsidR="005D6FCC">
        <w:rPr>
          <w:rFonts w:ascii="Georgia" w:hAnsi="Georgia"/>
        </w:rPr>
        <w:t xml:space="preserve"> The Applicants question all the sums on both budgets.</w:t>
      </w:r>
      <w:r w:rsidR="004F7449">
        <w:rPr>
          <w:rFonts w:ascii="Georgia" w:hAnsi="Georgia"/>
        </w:rPr>
        <w:t xml:space="preserve"> They also question whether the application of Section 20B of the 1985 Act </w:t>
      </w:r>
      <w:r w:rsidR="00DC50B5">
        <w:rPr>
          <w:rFonts w:ascii="Georgia" w:hAnsi="Georgia"/>
        </w:rPr>
        <w:t>absolves from any liability for service charge for these years.</w:t>
      </w:r>
      <w:r w:rsidR="004F7449">
        <w:rPr>
          <w:rFonts w:ascii="Georgia" w:hAnsi="Georgia"/>
        </w:rPr>
        <w:t xml:space="preserve"> </w:t>
      </w:r>
    </w:p>
    <w:p w14:paraId="3DA2C60E" w14:textId="77777777" w:rsidR="005D6FCC" w:rsidRDefault="005D6FCC" w:rsidP="005D6FCC">
      <w:pPr>
        <w:pStyle w:val="ListParagraph"/>
        <w:rPr>
          <w:rFonts w:ascii="Georgia" w:hAnsi="Georgia"/>
        </w:rPr>
      </w:pPr>
    </w:p>
    <w:p w14:paraId="4ECA3010" w14:textId="68A2B7E0" w:rsidR="005D6FCC" w:rsidRDefault="005D6FCC" w:rsidP="00B62C97">
      <w:pPr>
        <w:numPr>
          <w:ilvl w:val="0"/>
          <w:numId w:val="34"/>
        </w:numPr>
        <w:tabs>
          <w:tab w:val="clear" w:pos="1134"/>
          <w:tab w:val="num" w:pos="709"/>
        </w:tabs>
        <w:ind w:left="709" w:hanging="709"/>
        <w:jc w:val="both"/>
        <w:rPr>
          <w:rFonts w:ascii="Georgia" w:hAnsi="Georgia"/>
        </w:rPr>
      </w:pPr>
      <w:r>
        <w:rPr>
          <w:rFonts w:ascii="Georgia" w:hAnsi="Georgia"/>
        </w:rPr>
        <w:t xml:space="preserve">The sums in dispute are </w:t>
      </w:r>
      <w:r w:rsidR="0039603C">
        <w:rPr>
          <w:rFonts w:ascii="Georgia" w:hAnsi="Georgia"/>
        </w:rPr>
        <w:t xml:space="preserve">therefore in respect of both years </w:t>
      </w:r>
      <w:r w:rsidR="00FC5555">
        <w:rPr>
          <w:rFonts w:ascii="Georgia" w:hAnsi="Georgia"/>
        </w:rPr>
        <w:t xml:space="preserve">and are </w:t>
      </w:r>
      <w:r w:rsidR="0039603C">
        <w:rPr>
          <w:rFonts w:ascii="Georgia" w:hAnsi="Georgia"/>
        </w:rPr>
        <w:t>as follows</w:t>
      </w:r>
      <w:r w:rsidR="00FC5555">
        <w:rPr>
          <w:rFonts w:ascii="Georgia" w:hAnsi="Georgia"/>
        </w:rPr>
        <w:t xml:space="preserve"> for each year</w:t>
      </w:r>
      <w:r w:rsidR="0039603C">
        <w:rPr>
          <w:rFonts w:ascii="Georgia" w:hAnsi="Georgia"/>
        </w:rPr>
        <w:t>:</w:t>
      </w:r>
    </w:p>
    <w:p w14:paraId="0E31A072" w14:textId="77777777" w:rsidR="00371573" w:rsidRDefault="00371573" w:rsidP="00371573">
      <w:pPr>
        <w:pStyle w:val="ListParagraph"/>
        <w:rPr>
          <w:rFonts w:ascii="Georgia" w:hAnsi="Georgia"/>
        </w:rPr>
      </w:pPr>
    </w:p>
    <w:p w14:paraId="722E2690" w14:textId="77777777" w:rsidR="00371573" w:rsidRDefault="00371573" w:rsidP="00371573">
      <w:pPr>
        <w:pStyle w:val="ListParagraph"/>
        <w:numPr>
          <w:ilvl w:val="0"/>
          <w:numId w:val="36"/>
        </w:numPr>
        <w:rPr>
          <w:rFonts w:ascii="Georgia" w:hAnsi="Georgia"/>
        </w:rPr>
      </w:pPr>
      <w:r w:rsidRPr="00EC2D36">
        <w:rPr>
          <w:rFonts w:ascii="Georgia" w:hAnsi="Georgia"/>
        </w:rPr>
        <w:t>Management Fees £1,500.00</w:t>
      </w:r>
    </w:p>
    <w:p w14:paraId="6F8A582C" w14:textId="77777777" w:rsidR="00371573" w:rsidRDefault="00371573" w:rsidP="00371573">
      <w:pPr>
        <w:pStyle w:val="ListParagraph"/>
        <w:numPr>
          <w:ilvl w:val="0"/>
          <w:numId w:val="36"/>
        </w:numPr>
        <w:rPr>
          <w:rFonts w:ascii="Georgia" w:hAnsi="Georgia"/>
        </w:rPr>
      </w:pPr>
      <w:r w:rsidRPr="00EC2D36">
        <w:rPr>
          <w:rFonts w:ascii="Georgia" w:hAnsi="Georgia"/>
        </w:rPr>
        <w:t>Accounting fees - Annual Certification £600</w:t>
      </w:r>
    </w:p>
    <w:p w14:paraId="2965858C" w14:textId="77777777" w:rsidR="00371573" w:rsidRDefault="00371573" w:rsidP="00371573">
      <w:pPr>
        <w:pStyle w:val="ListParagraph"/>
        <w:numPr>
          <w:ilvl w:val="0"/>
          <w:numId w:val="36"/>
        </w:numPr>
        <w:rPr>
          <w:rFonts w:ascii="Georgia" w:hAnsi="Georgia"/>
        </w:rPr>
      </w:pPr>
      <w:r w:rsidRPr="00EC2D36">
        <w:rPr>
          <w:rFonts w:ascii="Georgia" w:hAnsi="Georgia"/>
        </w:rPr>
        <w:t>Sundries £100</w:t>
      </w:r>
    </w:p>
    <w:p w14:paraId="36C1258D" w14:textId="77777777" w:rsidR="00371573" w:rsidRDefault="00371573" w:rsidP="00371573">
      <w:pPr>
        <w:pStyle w:val="ListParagraph"/>
        <w:numPr>
          <w:ilvl w:val="0"/>
          <w:numId w:val="36"/>
        </w:numPr>
        <w:rPr>
          <w:rFonts w:ascii="Georgia" w:hAnsi="Georgia"/>
        </w:rPr>
      </w:pPr>
      <w:r w:rsidRPr="00EC2D36">
        <w:rPr>
          <w:rFonts w:ascii="Georgia" w:hAnsi="Georgia"/>
        </w:rPr>
        <w:t>Communal Electricity £370</w:t>
      </w:r>
    </w:p>
    <w:p w14:paraId="2ACA55F6" w14:textId="77777777" w:rsidR="00371573" w:rsidRDefault="00371573" w:rsidP="00371573">
      <w:pPr>
        <w:pStyle w:val="ListParagraph"/>
        <w:numPr>
          <w:ilvl w:val="0"/>
          <w:numId w:val="36"/>
        </w:numPr>
        <w:rPr>
          <w:rFonts w:ascii="Georgia" w:hAnsi="Georgia"/>
        </w:rPr>
      </w:pPr>
      <w:r w:rsidRPr="00EC2D36">
        <w:rPr>
          <w:rFonts w:ascii="Georgia" w:hAnsi="Georgia"/>
        </w:rPr>
        <w:t xml:space="preserve">Communal Cleaning £2,000 </w:t>
      </w:r>
    </w:p>
    <w:p w14:paraId="2F5079A3" w14:textId="77777777" w:rsidR="00371573" w:rsidRDefault="00371573" w:rsidP="00371573">
      <w:pPr>
        <w:pStyle w:val="ListParagraph"/>
        <w:numPr>
          <w:ilvl w:val="0"/>
          <w:numId w:val="36"/>
        </w:numPr>
        <w:rPr>
          <w:rFonts w:ascii="Georgia" w:hAnsi="Georgia"/>
        </w:rPr>
      </w:pPr>
      <w:r w:rsidRPr="008364D0">
        <w:rPr>
          <w:rFonts w:ascii="Georgia" w:hAnsi="Georgia"/>
        </w:rPr>
        <w:t>Landscaping / Grounds Maintenance £800</w:t>
      </w:r>
    </w:p>
    <w:p w14:paraId="3D572FB1" w14:textId="77777777" w:rsidR="00371573" w:rsidRDefault="00371573" w:rsidP="00371573">
      <w:pPr>
        <w:pStyle w:val="ListParagraph"/>
        <w:numPr>
          <w:ilvl w:val="0"/>
          <w:numId w:val="36"/>
        </w:numPr>
        <w:rPr>
          <w:rFonts w:ascii="Georgia" w:hAnsi="Georgia"/>
        </w:rPr>
      </w:pPr>
      <w:r w:rsidRPr="008364D0">
        <w:rPr>
          <w:rFonts w:ascii="Georgia" w:hAnsi="Georgia"/>
        </w:rPr>
        <w:t>Window Cleaning £500</w:t>
      </w:r>
    </w:p>
    <w:p w14:paraId="54CD6C18" w14:textId="77777777" w:rsidR="00371573" w:rsidRDefault="00371573" w:rsidP="00371573">
      <w:pPr>
        <w:pStyle w:val="ListParagraph"/>
        <w:numPr>
          <w:ilvl w:val="0"/>
          <w:numId w:val="36"/>
        </w:numPr>
        <w:rPr>
          <w:rFonts w:ascii="Georgia" w:hAnsi="Georgia"/>
        </w:rPr>
      </w:pPr>
      <w:r w:rsidRPr="008364D0">
        <w:rPr>
          <w:rFonts w:ascii="Georgia" w:hAnsi="Georgia"/>
        </w:rPr>
        <w:t>Emergency Lighting System £500</w:t>
      </w:r>
    </w:p>
    <w:p w14:paraId="67B8C9E8" w14:textId="77777777" w:rsidR="00371573" w:rsidRDefault="00371573" w:rsidP="00371573">
      <w:pPr>
        <w:pStyle w:val="ListParagraph"/>
        <w:numPr>
          <w:ilvl w:val="0"/>
          <w:numId w:val="36"/>
        </w:numPr>
        <w:rPr>
          <w:rFonts w:ascii="Georgia" w:hAnsi="Georgia"/>
        </w:rPr>
      </w:pPr>
      <w:r w:rsidRPr="008364D0">
        <w:rPr>
          <w:rFonts w:ascii="Georgia" w:hAnsi="Georgia"/>
        </w:rPr>
        <w:t>Fire Alarm Testing £ 500</w:t>
      </w:r>
    </w:p>
    <w:p w14:paraId="3726A66B" w14:textId="77777777" w:rsidR="00371573" w:rsidRDefault="00371573" w:rsidP="00371573">
      <w:pPr>
        <w:pStyle w:val="ListParagraph"/>
        <w:numPr>
          <w:ilvl w:val="0"/>
          <w:numId w:val="36"/>
        </w:numPr>
        <w:rPr>
          <w:rFonts w:ascii="Georgia" w:hAnsi="Georgia"/>
        </w:rPr>
      </w:pPr>
      <w:r w:rsidRPr="008364D0">
        <w:rPr>
          <w:rFonts w:ascii="Georgia" w:hAnsi="Georgia"/>
        </w:rPr>
        <w:t>Risk Assessments &amp; Audits £500</w:t>
      </w:r>
    </w:p>
    <w:p w14:paraId="60CB283E" w14:textId="77777777" w:rsidR="00371573" w:rsidRDefault="00371573" w:rsidP="00371573">
      <w:pPr>
        <w:pStyle w:val="ListParagraph"/>
        <w:numPr>
          <w:ilvl w:val="0"/>
          <w:numId w:val="36"/>
        </w:numPr>
        <w:rPr>
          <w:rFonts w:ascii="Georgia" w:hAnsi="Georgia"/>
        </w:rPr>
      </w:pPr>
      <w:r w:rsidRPr="008364D0">
        <w:rPr>
          <w:rFonts w:ascii="Georgia" w:hAnsi="Georgia"/>
        </w:rPr>
        <w:t>General Maintenance £1,400</w:t>
      </w:r>
    </w:p>
    <w:p w14:paraId="6CD3B667" w14:textId="40CC4A6D" w:rsidR="00371573" w:rsidRDefault="00371573" w:rsidP="00371573">
      <w:pPr>
        <w:pStyle w:val="ListParagraph"/>
        <w:numPr>
          <w:ilvl w:val="0"/>
          <w:numId w:val="36"/>
        </w:numPr>
        <w:rPr>
          <w:rFonts w:ascii="Georgia" w:hAnsi="Georgia"/>
        </w:rPr>
      </w:pPr>
      <w:r w:rsidRPr="008364D0">
        <w:rPr>
          <w:rFonts w:ascii="Georgia" w:hAnsi="Georgia"/>
        </w:rPr>
        <w:t>Building Insurance £1,055</w:t>
      </w:r>
    </w:p>
    <w:p w14:paraId="11096C21" w14:textId="77777777" w:rsidR="00371573" w:rsidRDefault="00371573" w:rsidP="00371573">
      <w:pPr>
        <w:pStyle w:val="ListParagraph"/>
        <w:numPr>
          <w:ilvl w:val="0"/>
          <w:numId w:val="36"/>
        </w:numPr>
        <w:rPr>
          <w:rFonts w:ascii="Georgia" w:hAnsi="Georgia"/>
        </w:rPr>
      </w:pPr>
      <w:r w:rsidRPr="008364D0">
        <w:rPr>
          <w:rFonts w:ascii="Georgia" w:hAnsi="Georgia"/>
        </w:rPr>
        <w:t xml:space="preserve">Reserve Fund £ 1,000 </w:t>
      </w:r>
    </w:p>
    <w:p w14:paraId="31C92F8A" w14:textId="77777777" w:rsidR="00371573" w:rsidRDefault="00371573" w:rsidP="00371573">
      <w:pPr>
        <w:ind w:left="709"/>
        <w:jc w:val="both"/>
        <w:rPr>
          <w:rFonts w:ascii="Georgia" w:hAnsi="Georgia"/>
        </w:rPr>
      </w:pPr>
    </w:p>
    <w:p w14:paraId="16DA2B8B" w14:textId="0B0A2E7C" w:rsidR="00371573" w:rsidRDefault="00371573" w:rsidP="00371573">
      <w:pPr>
        <w:jc w:val="both"/>
        <w:rPr>
          <w:rFonts w:ascii="Georgia" w:hAnsi="Georgia"/>
        </w:rPr>
      </w:pPr>
      <w:r w:rsidRPr="002871C7">
        <w:rPr>
          <w:rFonts w:ascii="Georgia" w:hAnsi="Georgia" w:cs="Arial"/>
          <w:b/>
          <w:u w:val="single"/>
        </w:rPr>
        <w:lastRenderedPageBreak/>
        <w:t>The background</w:t>
      </w:r>
    </w:p>
    <w:p w14:paraId="29F5D56E" w14:textId="77777777" w:rsidR="00371573" w:rsidRDefault="00371573" w:rsidP="00371573">
      <w:pPr>
        <w:pStyle w:val="ListParagraph"/>
        <w:rPr>
          <w:rFonts w:ascii="Georgia" w:hAnsi="Georgia"/>
        </w:rPr>
      </w:pPr>
    </w:p>
    <w:p w14:paraId="48AB316A" w14:textId="4F5BA2D7" w:rsidR="00AC14CE" w:rsidRDefault="00ED0839" w:rsidP="001853AE">
      <w:pPr>
        <w:numPr>
          <w:ilvl w:val="0"/>
          <w:numId w:val="34"/>
        </w:numPr>
        <w:tabs>
          <w:tab w:val="clear" w:pos="1134"/>
          <w:tab w:val="num" w:pos="709"/>
        </w:tabs>
        <w:ind w:left="709" w:hanging="709"/>
        <w:jc w:val="both"/>
        <w:rPr>
          <w:rFonts w:ascii="Georgia" w:hAnsi="Georgia"/>
        </w:rPr>
      </w:pPr>
      <w:r w:rsidRPr="001853AE">
        <w:rPr>
          <w:rFonts w:ascii="Georgia" w:hAnsi="Georgia" w:cs="Arial"/>
        </w:rPr>
        <w:t xml:space="preserve">The </w:t>
      </w:r>
      <w:r w:rsidR="000C7536" w:rsidRPr="001853AE">
        <w:rPr>
          <w:rFonts w:ascii="Georgia" w:hAnsi="Georgia" w:cs="Arial"/>
        </w:rPr>
        <w:t>P</w:t>
      </w:r>
      <w:r w:rsidRPr="001853AE">
        <w:rPr>
          <w:rFonts w:ascii="Georgia" w:hAnsi="Georgia" w:cs="Arial"/>
        </w:rPr>
        <w:t xml:space="preserve">roperty </w:t>
      </w:r>
      <w:r w:rsidR="00FD01DD" w:rsidRPr="001853AE">
        <w:rPr>
          <w:rFonts w:ascii="Georgia" w:hAnsi="Georgia" w:cs="Arial"/>
        </w:rPr>
        <w:t xml:space="preserve">is </w:t>
      </w:r>
      <w:r w:rsidR="000C7536" w:rsidRPr="001853AE">
        <w:rPr>
          <w:rFonts w:ascii="Georgia" w:hAnsi="Georgia" w:cs="Arial"/>
        </w:rPr>
        <w:t>a building</w:t>
      </w:r>
      <w:r w:rsidR="004522C6" w:rsidRPr="001853AE">
        <w:rPr>
          <w:rFonts w:ascii="Georgia" w:hAnsi="Georgia" w:cs="Arial"/>
        </w:rPr>
        <w:t xml:space="preserve"> </w:t>
      </w:r>
      <w:r w:rsidR="000C7536" w:rsidRPr="001853AE">
        <w:rPr>
          <w:rFonts w:ascii="Georgia" w:hAnsi="Georgia" w:cs="Arial"/>
        </w:rPr>
        <w:t xml:space="preserve">comprising six </w:t>
      </w:r>
      <w:r w:rsidR="00110F77" w:rsidRPr="001853AE">
        <w:rPr>
          <w:rFonts w:ascii="Georgia" w:hAnsi="Georgia" w:cs="Arial"/>
        </w:rPr>
        <w:t xml:space="preserve">one bedroom </w:t>
      </w:r>
      <w:r w:rsidR="00FD01DD" w:rsidRPr="001853AE">
        <w:rPr>
          <w:rFonts w:ascii="Georgia" w:hAnsi="Georgia" w:cs="Arial"/>
        </w:rPr>
        <w:t>flat</w:t>
      </w:r>
      <w:r w:rsidR="007B1369" w:rsidRPr="001853AE">
        <w:rPr>
          <w:rFonts w:ascii="Georgia" w:hAnsi="Georgia" w:cs="Arial"/>
        </w:rPr>
        <w:t>s</w:t>
      </w:r>
      <w:r w:rsidR="00480FC0" w:rsidRPr="001853AE">
        <w:rPr>
          <w:rFonts w:ascii="Georgia" w:hAnsi="Georgia" w:cs="Arial"/>
        </w:rPr>
        <w:t xml:space="preserve">. The building </w:t>
      </w:r>
      <w:r w:rsidR="00B86467" w:rsidRPr="001853AE">
        <w:rPr>
          <w:rFonts w:ascii="Georgia" w:hAnsi="Georgia" w:cs="Arial"/>
        </w:rPr>
        <w:t xml:space="preserve"> </w:t>
      </w:r>
      <w:r w:rsidR="00480FC0" w:rsidRPr="001853AE">
        <w:rPr>
          <w:rFonts w:ascii="Georgia" w:hAnsi="Georgia" w:cs="Arial"/>
        </w:rPr>
        <w:t>was</w:t>
      </w:r>
      <w:r w:rsidR="0068024B" w:rsidRPr="001853AE">
        <w:rPr>
          <w:rFonts w:ascii="Georgia" w:hAnsi="Georgia" w:cs="Arial"/>
        </w:rPr>
        <w:t xml:space="preserve"> converted from </w:t>
      </w:r>
      <w:r w:rsidR="00480FC0" w:rsidRPr="001853AE">
        <w:rPr>
          <w:rFonts w:ascii="Georgia" w:hAnsi="Georgia" w:cs="Arial"/>
        </w:rPr>
        <w:t xml:space="preserve">a former office </w:t>
      </w:r>
      <w:r w:rsidR="0068024B" w:rsidRPr="001853AE">
        <w:rPr>
          <w:rFonts w:ascii="Georgia" w:hAnsi="Georgia" w:cs="Arial"/>
        </w:rPr>
        <w:t>building</w:t>
      </w:r>
      <w:r w:rsidR="00070019" w:rsidRPr="001853AE">
        <w:rPr>
          <w:rFonts w:ascii="Georgia" w:hAnsi="Georgia" w:cs="Arial"/>
        </w:rPr>
        <w:t xml:space="preserve">, with the </w:t>
      </w:r>
      <w:r w:rsidR="00CE7FFD" w:rsidRPr="001853AE">
        <w:rPr>
          <w:rFonts w:ascii="Georgia" w:hAnsi="Georgia" w:cs="Arial"/>
        </w:rPr>
        <w:t>leases being granted and occupation given in late 2020</w:t>
      </w:r>
      <w:r w:rsidR="00413A5E" w:rsidRPr="001853AE">
        <w:rPr>
          <w:rFonts w:ascii="Georgia" w:hAnsi="Georgia"/>
        </w:rPr>
        <w:t>.</w:t>
      </w:r>
      <w:r w:rsidR="007B1369" w:rsidRPr="001853AE">
        <w:rPr>
          <w:rFonts w:ascii="Georgia" w:hAnsi="Georgia"/>
        </w:rPr>
        <w:t xml:space="preserve"> The Property forms part of a wider estate</w:t>
      </w:r>
      <w:r w:rsidR="00B36739" w:rsidRPr="001853AE">
        <w:rPr>
          <w:rFonts w:ascii="Georgia" w:hAnsi="Georgia"/>
        </w:rPr>
        <w:t xml:space="preserve"> shared with another building. </w:t>
      </w:r>
    </w:p>
    <w:p w14:paraId="3DE171B7" w14:textId="77777777" w:rsidR="007F2970" w:rsidRDefault="007F2970" w:rsidP="007F2970">
      <w:pPr>
        <w:ind w:left="709"/>
        <w:jc w:val="both"/>
        <w:rPr>
          <w:rFonts w:ascii="Georgia" w:hAnsi="Georgia"/>
        </w:rPr>
      </w:pPr>
    </w:p>
    <w:p w14:paraId="3EE2B2B6" w14:textId="1A53437B" w:rsidR="00B36739" w:rsidRDefault="00B36739" w:rsidP="007F2970">
      <w:pPr>
        <w:numPr>
          <w:ilvl w:val="0"/>
          <w:numId w:val="34"/>
        </w:numPr>
        <w:tabs>
          <w:tab w:val="clear" w:pos="1134"/>
          <w:tab w:val="num" w:pos="709"/>
        </w:tabs>
        <w:ind w:left="709" w:hanging="709"/>
        <w:jc w:val="both"/>
        <w:rPr>
          <w:rFonts w:ascii="Georgia" w:hAnsi="Georgia"/>
        </w:rPr>
      </w:pPr>
      <w:r w:rsidRPr="007F2970">
        <w:rPr>
          <w:rFonts w:ascii="Georgia" w:hAnsi="Georgia"/>
        </w:rPr>
        <w:t>The Applicants are the six leaseholders of the Property and the Respondent is the landlord.</w:t>
      </w:r>
    </w:p>
    <w:p w14:paraId="1DF705A3" w14:textId="77777777" w:rsidR="007F2970" w:rsidRDefault="007F2970" w:rsidP="007F2970">
      <w:pPr>
        <w:pStyle w:val="ListParagraph"/>
        <w:rPr>
          <w:rFonts w:ascii="Georgia" w:hAnsi="Georgia"/>
        </w:rPr>
      </w:pPr>
    </w:p>
    <w:p w14:paraId="5552B90A" w14:textId="46C41B71" w:rsidR="00D679B8" w:rsidRDefault="006375F9" w:rsidP="007F2970">
      <w:pPr>
        <w:numPr>
          <w:ilvl w:val="0"/>
          <w:numId w:val="34"/>
        </w:numPr>
        <w:tabs>
          <w:tab w:val="clear" w:pos="1134"/>
          <w:tab w:val="num" w:pos="709"/>
        </w:tabs>
        <w:ind w:left="709" w:hanging="709"/>
        <w:jc w:val="both"/>
        <w:rPr>
          <w:rFonts w:ascii="Georgia" w:hAnsi="Georgia"/>
        </w:rPr>
      </w:pPr>
      <w:r w:rsidRPr="007F2970">
        <w:rPr>
          <w:rFonts w:ascii="Georgia" w:hAnsi="Georgia"/>
        </w:rPr>
        <w:t xml:space="preserve">The Respondent’s managing agents were initially </w:t>
      </w:r>
      <w:r w:rsidR="00ED6F0B" w:rsidRPr="007F2970">
        <w:rPr>
          <w:rFonts w:ascii="Georgia" w:hAnsi="Georgia"/>
        </w:rPr>
        <w:t>Landside Property Management Limited</w:t>
      </w:r>
      <w:r w:rsidR="00FC0456" w:rsidRPr="007F2970">
        <w:rPr>
          <w:rFonts w:ascii="Georgia" w:hAnsi="Georgia"/>
        </w:rPr>
        <w:t xml:space="preserve"> but </w:t>
      </w:r>
      <w:r w:rsidR="00F63B2A" w:rsidRPr="007F2970">
        <w:rPr>
          <w:rFonts w:ascii="Georgia" w:hAnsi="Georgia"/>
        </w:rPr>
        <w:t xml:space="preserve">they </w:t>
      </w:r>
      <w:r w:rsidR="00FC0456" w:rsidRPr="007F2970">
        <w:rPr>
          <w:rFonts w:ascii="Georgia" w:hAnsi="Georgia"/>
        </w:rPr>
        <w:t xml:space="preserve">were replaced </w:t>
      </w:r>
      <w:r w:rsidR="0029278C" w:rsidRPr="007F2970">
        <w:rPr>
          <w:rFonts w:ascii="Georgia" w:hAnsi="Georgia"/>
        </w:rPr>
        <w:t xml:space="preserve">by </w:t>
      </w:r>
      <w:r w:rsidR="00845D84" w:rsidRPr="007F2970">
        <w:rPr>
          <w:rFonts w:ascii="Georgia" w:hAnsi="Georgia"/>
        </w:rPr>
        <w:t xml:space="preserve">The </w:t>
      </w:r>
      <w:proofErr w:type="spellStart"/>
      <w:r w:rsidR="00845D84" w:rsidRPr="007F2970">
        <w:rPr>
          <w:rFonts w:ascii="Georgia" w:hAnsi="Georgia"/>
        </w:rPr>
        <w:t>Larksworth</w:t>
      </w:r>
      <w:proofErr w:type="spellEnd"/>
      <w:r w:rsidR="00845D84" w:rsidRPr="007F2970">
        <w:rPr>
          <w:rFonts w:ascii="Georgia" w:hAnsi="Georgia"/>
        </w:rPr>
        <w:t xml:space="preserve"> Group</w:t>
      </w:r>
      <w:r w:rsidR="0029278C" w:rsidRPr="007F2970">
        <w:rPr>
          <w:rFonts w:ascii="Georgia" w:hAnsi="Georgia"/>
        </w:rPr>
        <w:t xml:space="preserve"> in January 2023. The dispute in this case relates solely to the tenure </w:t>
      </w:r>
      <w:r w:rsidR="00003B71" w:rsidRPr="007F2970">
        <w:rPr>
          <w:rFonts w:ascii="Georgia" w:hAnsi="Georgia"/>
        </w:rPr>
        <w:t>of Landside Property Management Limited</w:t>
      </w:r>
      <w:r w:rsidR="00F63B2A" w:rsidRPr="007F2970">
        <w:rPr>
          <w:rFonts w:ascii="Georgia" w:hAnsi="Georgia"/>
        </w:rPr>
        <w:t xml:space="preserve"> as managing agents</w:t>
      </w:r>
      <w:r w:rsidR="00003B71" w:rsidRPr="007F2970">
        <w:rPr>
          <w:rFonts w:ascii="Georgia" w:hAnsi="Georgia"/>
        </w:rPr>
        <w:t>.</w:t>
      </w:r>
    </w:p>
    <w:p w14:paraId="31D4657B" w14:textId="77777777" w:rsidR="00D84536" w:rsidRDefault="00D84536" w:rsidP="00D84536">
      <w:pPr>
        <w:pStyle w:val="ListParagraph"/>
        <w:rPr>
          <w:rFonts w:ascii="Georgia" w:hAnsi="Georgia"/>
        </w:rPr>
      </w:pPr>
    </w:p>
    <w:p w14:paraId="34E2900D" w14:textId="3C45E5F8" w:rsidR="00C17E10" w:rsidRDefault="00A8035B" w:rsidP="00D84536">
      <w:pPr>
        <w:numPr>
          <w:ilvl w:val="0"/>
          <w:numId w:val="34"/>
        </w:numPr>
        <w:tabs>
          <w:tab w:val="clear" w:pos="1134"/>
          <w:tab w:val="num" w:pos="709"/>
        </w:tabs>
        <w:ind w:left="709" w:hanging="709"/>
        <w:jc w:val="both"/>
        <w:rPr>
          <w:rFonts w:ascii="Georgia" w:hAnsi="Georgia"/>
        </w:rPr>
      </w:pPr>
      <w:r w:rsidRPr="00D84536">
        <w:rPr>
          <w:rFonts w:ascii="Georgia" w:hAnsi="Georgia"/>
        </w:rPr>
        <w:t xml:space="preserve">The Respondent carried out an extension of the Property from </w:t>
      </w:r>
      <w:r w:rsidR="00063045" w:rsidRPr="00D84536">
        <w:rPr>
          <w:rFonts w:ascii="Georgia" w:hAnsi="Georgia"/>
        </w:rPr>
        <w:t xml:space="preserve">October 2021, to create a further three flats. As part of these works, </w:t>
      </w:r>
      <w:r w:rsidR="007A005A" w:rsidRPr="00D84536">
        <w:rPr>
          <w:rFonts w:ascii="Georgia" w:hAnsi="Georgia"/>
        </w:rPr>
        <w:t xml:space="preserve">openings were created from </w:t>
      </w:r>
      <w:r w:rsidR="00063045" w:rsidRPr="00D84536">
        <w:rPr>
          <w:rFonts w:ascii="Georgia" w:hAnsi="Georgia"/>
        </w:rPr>
        <w:t xml:space="preserve">the </w:t>
      </w:r>
      <w:r w:rsidR="007A005A" w:rsidRPr="00D84536">
        <w:rPr>
          <w:rFonts w:ascii="Georgia" w:hAnsi="Georgia"/>
        </w:rPr>
        <w:t>extension into the Property and a new front door was added.</w:t>
      </w:r>
      <w:r w:rsidR="00780A39" w:rsidRPr="00D84536">
        <w:rPr>
          <w:rFonts w:ascii="Georgia" w:hAnsi="Georgia"/>
        </w:rPr>
        <w:t xml:space="preserve"> The</w:t>
      </w:r>
      <w:r w:rsidR="00B65F20" w:rsidRPr="00D84536">
        <w:rPr>
          <w:rFonts w:ascii="Georgia" w:hAnsi="Georgia"/>
        </w:rPr>
        <w:t xml:space="preserve"> erection of the extension made the interior and the windows of the Property dirty and caused substantial </w:t>
      </w:r>
      <w:r w:rsidR="004E29EF" w:rsidRPr="00D84536">
        <w:rPr>
          <w:rFonts w:ascii="Georgia" w:hAnsi="Georgia"/>
        </w:rPr>
        <w:t>change and disruption to the external areas. The Applicants say that the works are still not fully completed.</w:t>
      </w:r>
    </w:p>
    <w:p w14:paraId="3CCB4DE9" w14:textId="77777777" w:rsidR="00D84536" w:rsidRDefault="00D84536" w:rsidP="00D84536">
      <w:pPr>
        <w:pStyle w:val="ListParagraph"/>
        <w:rPr>
          <w:rFonts w:ascii="Georgia" w:hAnsi="Georgia"/>
        </w:rPr>
      </w:pPr>
    </w:p>
    <w:p w14:paraId="5C5E5B4F" w14:textId="342210B6" w:rsidR="003E729A" w:rsidRDefault="00C17E10" w:rsidP="00D84536">
      <w:pPr>
        <w:numPr>
          <w:ilvl w:val="0"/>
          <w:numId w:val="34"/>
        </w:numPr>
        <w:tabs>
          <w:tab w:val="clear" w:pos="1134"/>
          <w:tab w:val="num" w:pos="709"/>
        </w:tabs>
        <w:ind w:left="709" w:hanging="709"/>
        <w:jc w:val="both"/>
        <w:rPr>
          <w:rFonts w:ascii="Georgia" w:hAnsi="Georgia"/>
        </w:rPr>
      </w:pPr>
      <w:r w:rsidRPr="00D84536">
        <w:rPr>
          <w:rFonts w:ascii="Georgia" w:hAnsi="Georgia"/>
        </w:rPr>
        <w:t>In addition, there was a leak in the roof of the Property</w:t>
      </w:r>
      <w:r w:rsidR="00F7681B" w:rsidRPr="00D84536">
        <w:rPr>
          <w:rFonts w:ascii="Georgia" w:hAnsi="Georgia"/>
        </w:rPr>
        <w:t xml:space="preserve"> which was reported on 14 October 2022 but not addressed</w:t>
      </w:r>
      <w:r w:rsidR="000926C7" w:rsidRPr="00D84536">
        <w:rPr>
          <w:rFonts w:ascii="Georgia" w:hAnsi="Georgia"/>
        </w:rPr>
        <w:t xml:space="preserve"> during the tenure of Landside Property Management Limited</w:t>
      </w:r>
      <w:r w:rsidR="003E729A" w:rsidRPr="00D84536">
        <w:rPr>
          <w:rFonts w:ascii="Georgia" w:hAnsi="Georgia"/>
        </w:rPr>
        <w:t>, exacerbating the issue</w:t>
      </w:r>
      <w:r w:rsidR="00106987">
        <w:rPr>
          <w:rFonts w:ascii="Georgia" w:hAnsi="Georgia"/>
        </w:rPr>
        <w:t xml:space="preserve"> and leading to the communal ceiling collapsing in December 2022</w:t>
      </w:r>
      <w:r w:rsidR="003E729A" w:rsidRPr="00D84536">
        <w:rPr>
          <w:rFonts w:ascii="Georgia" w:hAnsi="Georgia"/>
        </w:rPr>
        <w:t>.</w:t>
      </w:r>
    </w:p>
    <w:p w14:paraId="574C4F63" w14:textId="77777777" w:rsidR="00D84536" w:rsidRDefault="00D84536" w:rsidP="00D84536">
      <w:pPr>
        <w:pStyle w:val="ListParagraph"/>
        <w:rPr>
          <w:rFonts w:ascii="Georgia" w:hAnsi="Georgia"/>
        </w:rPr>
      </w:pPr>
    </w:p>
    <w:p w14:paraId="04985DAD" w14:textId="71C85D87" w:rsidR="006375F9" w:rsidRDefault="003E729A" w:rsidP="00D84536">
      <w:pPr>
        <w:numPr>
          <w:ilvl w:val="0"/>
          <w:numId w:val="34"/>
        </w:numPr>
        <w:tabs>
          <w:tab w:val="clear" w:pos="1134"/>
          <w:tab w:val="num" w:pos="709"/>
        </w:tabs>
        <w:ind w:left="709" w:hanging="709"/>
        <w:jc w:val="both"/>
        <w:rPr>
          <w:rFonts w:ascii="Georgia" w:hAnsi="Georgia"/>
        </w:rPr>
      </w:pPr>
      <w:r w:rsidRPr="00D84536">
        <w:rPr>
          <w:rFonts w:ascii="Georgia" w:hAnsi="Georgia"/>
        </w:rPr>
        <w:t>The Applicants</w:t>
      </w:r>
      <w:r w:rsidR="009755D3" w:rsidRPr="00D84536">
        <w:rPr>
          <w:rFonts w:ascii="Georgia" w:hAnsi="Georgia"/>
        </w:rPr>
        <w:t>’</w:t>
      </w:r>
      <w:r w:rsidRPr="00D84536">
        <w:rPr>
          <w:rFonts w:ascii="Georgia" w:hAnsi="Georgia"/>
        </w:rPr>
        <w:t xml:space="preserve"> application was initially served on </w:t>
      </w:r>
      <w:r w:rsidR="007A005A" w:rsidRPr="00D84536">
        <w:rPr>
          <w:rFonts w:ascii="Georgia" w:hAnsi="Georgia"/>
        </w:rPr>
        <w:t xml:space="preserve"> </w:t>
      </w:r>
      <w:r w:rsidRPr="00D84536">
        <w:rPr>
          <w:rFonts w:ascii="Georgia" w:hAnsi="Georgia"/>
        </w:rPr>
        <w:t>Landside Property Management Limited</w:t>
      </w:r>
      <w:r w:rsidR="006E512F" w:rsidRPr="00D84536">
        <w:rPr>
          <w:rFonts w:ascii="Georgia" w:hAnsi="Georgia"/>
        </w:rPr>
        <w:t xml:space="preserve">. </w:t>
      </w:r>
      <w:r w:rsidR="00AF484F" w:rsidRPr="00D84536">
        <w:rPr>
          <w:rFonts w:ascii="Georgia" w:hAnsi="Georgia"/>
        </w:rPr>
        <w:t xml:space="preserve">Directions were </w:t>
      </w:r>
      <w:r w:rsidR="00175CCA" w:rsidRPr="00D84536">
        <w:rPr>
          <w:rFonts w:ascii="Georgia" w:hAnsi="Georgia"/>
        </w:rPr>
        <w:t xml:space="preserve">issued by the Tribunal on 20 February 2024 and 22 March 2024. The Directions issued on 22 March 2024 set the date for the hearing of the case as 12 June 2024. The Applicants provided a bundle for the hearing and three of the Applicants attended </w:t>
      </w:r>
      <w:r w:rsidR="00CC608D">
        <w:rPr>
          <w:rFonts w:ascii="Georgia" w:hAnsi="Georgia"/>
        </w:rPr>
        <w:t>in person</w:t>
      </w:r>
      <w:r w:rsidR="00175CCA" w:rsidRPr="00D84536">
        <w:rPr>
          <w:rFonts w:ascii="Georgia" w:hAnsi="Georgia"/>
        </w:rPr>
        <w:t>. However</w:t>
      </w:r>
      <w:r w:rsidR="00372AFC" w:rsidRPr="00D84536">
        <w:rPr>
          <w:rFonts w:ascii="Georgia" w:hAnsi="Georgia"/>
        </w:rPr>
        <w:t xml:space="preserve">, no </w:t>
      </w:r>
      <w:r w:rsidR="00770203" w:rsidRPr="00D84536">
        <w:rPr>
          <w:rFonts w:ascii="Georgia" w:hAnsi="Georgia"/>
        </w:rPr>
        <w:t>responses to any communications were received by the Tribunal from either the Respondent or Landside Property Management Limited and no one from the Respondent or anyone representing it attended th</w:t>
      </w:r>
      <w:r w:rsidR="00F30FD6">
        <w:rPr>
          <w:rFonts w:ascii="Georgia" w:hAnsi="Georgia"/>
        </w:rPr>
        <w:t>at</w:t>
      </w:r>
      <w:r w:rsidR="00770203" w:rsidRPr="00D84536">
        <w:rPr>
          <w:rFonts w:ascii="Georgia" w:hAnsi="Georgia"/>
        </w:rPr>
        <w:t xml:space="preserve"> hearing.</w:t>
      </w:r>
    </w:p>
    <w:p w14:paraId="537CE521" w14:textId="77777777" w:rsidR="00885BD7" w:rsidRDefault="00885BD7" w:rsidP="00885BD7">
      <w:pPr>
        <w:pStyle w:val="ListParagraph"/>
        <w:rPr>
          <w:rFonts w:ascii="Georgia" w:hAnsi="Georgia"/>
        </w:rPr>
      </w:pPr>
    </w:p>
    <w:p w14:paraId="0C198F76" w14:textId="25AD961E" w:rsidR="007748A1" w:rsidRDefault="007748A1" w:rsidP="00885BD7">
      <w:pPr>
        <w:numPr>
          <w:ilvl w:val="0"/>
          <w:numId w:val="34"/>
        </w:numPr>
        <w:tabs>
          <w:tab w:val="clear" w:pos="1134"/>
          <w:tab w:val="num" w:pos="709"/>
        </w:tabs>
        <w:ind w:left="709" w:hanging="709"/>
        <w:jc w:val="both"/>
        <w:rPr>
          <w:rFonts w:ascii="Georgia" w:hAnsi="Georgia"/>
        </w:rPr>
      </w:pPr>
      <w:r w:rsidRPr="00885BD7">
        <w:rPr>
          <w:rFonts w:ascii="Georgia" w:hAnsi="Georgia"/>
        </w:rPr>
        <w:t xml:space="preserve">The Tribunal could not be sure that the Respondent </w:t>
      </w:r>
      <w:r w:rsidR="00F7082E" w:rsidRPr="00885BD7">
        <w:rPr>
          <w:rFonts w:ascii="Georgia" w:hAnsi="Georgia"/>
        </w:rPr>
        <w:t xml:space="preserve">had been notified of the existence of the case or the occurrence of the hearing on 12 June 2024 and so </w:t>
      </w:r>
      <w:r w:rsidR="00A540AE" w:rsidRPr="00885BD7">
        <w:rPr>
          <w:rFonts w:ascii="Georgia" w:hAnsi="Georgia"/>
        </w:rPr>
        <w:t xml:space="preserve">the hearing was adjourned </w:t>
      </w:r>
      <w:r w:rsidR="00DA6B71" w:rsidRPr="00885BD7">
        <w:rPr>
          <w:rFonts w:ascii="Georgia" w:hAnsi="Georgia"/>
        </w:rPr>
        <w:t xml:space="preserve">until 18 </w:t>
      </w:r>
      <w:r w:rsidR="00283A0F" w:rsidRPr="00885BD7">
        <w:rPr>
          <w:rFonts w:ascii="Georgia" w:hAnsi="Georgia"/>
        </w:rPr>
        <w:t xml:space="preserve">September 2024 with the application and the directions all served directly on the Respondent at its registered office. </w:t>
      </w:r>
      <w:r w:rsidR="003B0422" w:rsidRPr="00885BD7">
        <w:rPr>
          <w:rFonts w:ascii="Georgia" w:hAnsi="Georgia"/>
        </w:rPr>
        <w:t xml:space="preserve">A response was received from the Respondent which appeared to be a completed County Court questionnaire. </w:t>
      </w:r>
      <w:r w:rsidR="009755D3" w:rsidRPr="00885BD7">
        <w:rPr>
          <w:rFonts w:ascii="Georgia" w:hAnsi="Georgia"/>
        </w:rPr>
        <w:t xml:space="preserve">The Tribunal is satisfied that </w:t>
      </w:r>
      <w:r w:rsidR="00D96BAA" w:rsidRPr="00885BD7">
        <w:rPr>
          <w:rFonts w:ascii="Georgia" w:hAnsi="Georgia"/>
        </w:rPr>
        <w:t xml:space="preserve">the Respondent had notice of the hearing. </w:t>
      </w:r>
      <w:r w:rsidR="00BF60D2" w:rsidRPr="00885BD7">
        <w:rPr>
          <w:rFonts w:ascii="Georgia" w:hAnsi="Georgia"/>
        </w:rPr>
        <w:t xml:space="preserve">No further responses were received from the Respondent and no one </w:t>
      </w:r>
      <w:r w:rsidR="00E40C03" w:rsidRPr="00885BD7">
        <w:rPr>
          <w:rFonts w:ascii="Georgia" w:hAnsi="Georgia"/>
        </w:rPr>
        <w:t xml:space="preserve">attended the </w:t>
      </w:r>
      <w:r w:rsidR="008B36B3">
        <w:rPr>
          <w:rFonts w:ascii="Georgia" w:hAnsi="Georgia"/>
        </w:rPr>
        <w:t xml:space="preserve">September </w:t>
      </w:r>
      <w:r w:rsidR="00E40C03" w:rsidRPr="00885BD7">
        <w:rPr>
          <w:rFonts w:ascii="Georgia" w:hAnsi="Georgia"/>
        </w:rPr>
        <w:t>hearing on its behalf.</w:t>
      </w:r>
    </w:p>
    <w:p w14:paraId="4EDBF3E8" w14:textId="77777777" w:rsidR="00763794" w:rsidRDefault="00763794" w:rsidP="00763794">
      <w:pPr>
        <w:pStyle w:val="ListParagraph"/>
        <w:rPr>
          <w:rFonts w:ascii="Georgia" w:hAnsi="Georgia"/>
        </w:rPr>
      </w:pPr>
    </w:p>
    <w:p w14:paraId="461FD931" w14:textId="77777777" w:rsidR="00763794" w:rsidRDefault="00763794" w:rsidP="00763794">
      <w:pPr>
        <w:ind w:left="709"/>
        <w:jc w:val="both"/>
        <w:rPr>
          <w:rFonts w:ascii="Georgia" w:hAnsi="Georgia"/>
        </w:rPr>
      </w:pPr>
    </w:p>
    <w:p w14:paraId="29156EFA" w14:textId="77777777" w:rsidR="00763794" w:rsidRDefault="00763794" w:rsidP="00763794">
      <w:pPr>
        <w:ind w:left="709"/>
        <w:jc w:val="both"/>
        <w:rPr>
          <w:rFonts w:ascii="Georgia" w:hAnsi="Georgia"/>
        </w:rPr>
      </w:pPr>
    </w:p>
    <w:p w14:paraId="4E4FF2A1" w14:textId="77777777" w:rsidR="00885BD7" w:rsidRDefault="00885BD7" w:rsidP="00885BD7">
      <w:pPr>
        <w:pStyle w:val="ListParagraph"/>
        <w:rPr>
          <w:rFonts w:ascii="Georgia" w:hAnsi="Georgia"/>
        </w:rPr>
      </w:pPr>
    </w:p>
    <w:p w14:paraId="1F9FBE30" w14:textId="6F913189" w:rsidR="00885BD7" w:rsidRDefault="00CE72CA" w:rsidP="00CE72CA">
      <w:pPr>
        <w:jc w:val="both"/>
        <w:rPr>
          <w:rFonts w:ascii="Georgia" w:hAnsi="Georgia"/>
        </w:rPr>
      </w:pPr>
      <w:r w:rsidRPr="00070ED0">
        <w:rPr>
          <w:rFonts w:ascii="Georgia" w:hAnsi="Georgia"/>
          <w:b/>
          <w:bCs/>
          <w:u w:val="single"/>
        </w:rPr>
        <w:lastRenderedPageBreak/>
        <w:t>The lease</w:t>
      </w:r>
    </w:p>
    <w:p w14:paraId="2569EBBF" w14:textId="77777777" w:rsidR="00885BD7" w:rsidRDefault="00885BD7" w:rsidP="00885BD7">
      <w:pPr>
        <w:pStyle w:val="ListParagraph"/>
        <w:rPr>
          <w:rFonts w:ascii="Georgia" w:hAnsi="Georgia"/>
        </w:rPr>
      </w:pPr>
    </w:p>
    <w:p w14:paraId="77B63DB3" w14:textId="2C424E57" w:rsidR="00885BD7" w:rsidRDefault="00CE72CA" w:rsidP="00885BD7">
      <w:pPr>
        <w:numPr>
          <w:ilvl w:val="0"/>
          <w:numId w:val="34"/>
        </w:numPr>
        <w:tabs>
          <w:tab w:val="clear" w:pos="1134"/>
          <w:tab w:val="num" w:pos="709"/>
        </w:tabs>
        <w:ind w:left="709" w:hanging="709"/>
        <w:jc w:val="both"/>
        <w:rPr>
          <w:rFonts w:ascii="Georgia" w:hAnsi="Georgia"/>
        </w:rPr>
      </w:pPr>
      <w:r>
        <w:rPr>
          <w:rFonts w:ascii="Georgia" w:hAnsi="Georgia"/>
        </w:rPr>
        <w:t>A specimen lease was provided by the Applicants</w:t>
      </w:r>
      <w:r w:rsidR="00670C1B">
        <w:rPr>
          <w:rFonts w:ascii="Georgia" w:hAnsi="Georgia"/>
        </w:rPr>
        <w:t xml:space="preserve"> and confirmation received that the other leases were all in the same form</w:t>
      </w:r>
      <w:r w:rsidR="00885BD7">
        <w:rPr>
          <w:rFonts w:ascii="Georgia" w:hAnsi="Georgia"/>
        </w:rPr>
        <w:t>.</w:t>
      </w:r>
    </w:p>
    <w:p w14:paraId="2DEA2101" w14:textId="77777777" w:rsidR="00AC4F5A" w:rsidRDefault="00AC4F5A" w:rsidP="00AC4F5A">
      <w:pPr>
        <w:ind w:left="709"/>
        <w:jc w:val="both"/>
        <w:rPr>
          <w:rFonts w:ascii="Georgia" w:hAnsi="Georgia"/>
        </w:rPr>
      </w:pPr>
    </w:p>
    <w:p w14:paraId="3FAD5B55" w14:textId="1AFEC073" w:rsidR="005F1067" w:rsidRPr="003E6FAF" w:rsidRDefault="008E6DC5" w:rsidP="0051302A">
      <w:pPr>
        <w:numPr>
          <w:ilvl w:val="0"/>
          <w:numId w:val="34"/>
        </w:numPr>
        <w:tabs>
          <w:tab w:val="clear" w:pos="1134"/>
          <w:tab w:val="num" w:pos="709"/>
        </w:tabs>
        <w:ind w:left="709" w:hanging="709"/>
        <w:jc w:val="both"/>
        <w:rPr>
          <w:rFonts w:ascii="Georgia" w:hAnsi="Georgia"/>
        </w:rPr>
      </w:pPr>
      <w:r w:rsidRPr="00A87857">
        <w:rPr>
          <w:rFonts w:ascii="Georgia" w:hAnsi="Georgia" w:cs="Arial"/>
        </w:rPr>
        <w:t>The lease provi</w:t>
      </w:r>
      <w:r w:rsidR="00D57874" w:rsidRPr="00A87857">
        <w:rPr>
          <w:rFonts w:ascii="Georgia" w:hAnsi="Georgia" w:cs="Arial"/>
        </w:rPr>
        <w:t xml:space="preserve">des </w:t>
      </w:r>
      <w:r w:rsidR="00FB65C5">
        <w:rPr>
          <w:rFonts w:ascii="Georgia" w:hAnsi="Georgia" w:cs="Arial"/>
        </w:rPr>
        <w:t xml:space="preserve">for five different categories of service charge (being </w:t>
      </w:r>
      <w:r w:rsidR="007C33DA">
        <w:rPr>
          <w:rFonts w:ascii="Georgia" w:hAnsi="Georgia" w:cs="Arial"/>
        </w:rPr>
        <w:t>an apartment service charge, a residential service charge</w:t>
      </w:r>
      <w:r w:rsidR="009F5805">
        <w:rPr>
          <w:rFonts w:ascii="Georgia" w:hAnsi="Georgia" w:cs="Arial"/>
        </w:rPr>
        <w:t>, a building service charge, an estate service charge and a parking service charge). The budgets provided for 2021 and 2022 did not dis</w:t>
      </w:r>
      <w:r w:rsidR="0049145D">
        <w:rPr>
          <w:rFonts w:ascii="Georgia" w:hAnsi="Georgia" w:cs="Arial"/>
        </w:rPr>
        <w:t>tin</w:t>
      </w:r>
      <w:r w:rsidR="009F5805">
        <w:rPr>
          <w:rFonts w:ascii="Georgia" w:hAnsi="Georgia" w:cs="Arial"/>
        </w:rPr>
        <w:t>guish between these charges</w:t>
      </w:r>
      <w:r w:rsidR="0049145D">
        <w:rPr>
          <w:rFonts w:ascii="Georgia" w:hAnsi="Georgia" w:cs="Arial"/>
        </w:rPr>
        <w:t xml:space="preserve">, simply reciting global sums against items of charge. </w:t>
      </w:r>
      <w:r w:rsidR="005F1067">
        <w:rPr>
          <w:rFonts w:ascii="Georgia" w:hAnsi="Georgia" w:cs="Arial"/>
        </w:rPr>
        <w:t xml:space="preserve">In each case, the tenant is to pay a fair and reasonable </w:t>
      </w:r>
      <w:r w:rsidR="00627543">
        <w:rPr>
          <w:rFonts w:ascii="Georgia" w:hAnsi="Georgia" w:cs="Arial"/>
        </w:rPr>
        <w:t xml:space="preserve">proportion </w:t>
      </w:r>
      <w:r w:rsidR="005F1067">
        <w:rPr>
          <w:rFonts w:ascii="Georgia" w:hAnsi="Georgia" w:cs="Arial"/>
        </w:rPr>
        <w:t xml:space="preserve">of the costs </w:t>
      </w:r>
      <w:r w:rsidR="0071614D">
        <w:rPr>
          <w:rFonts w:ascii="Georgia" w:hAnsi="Georgia" w:cs="Arial"/>
        </w:rPr>
        <w:t>properly incurred by the landlord.</w:t>
      </w:r>
    </w:p>
    <w:p w14:paraId="59457700" w14:textId="77777777" w:rsidR="003E6FAF" w:rsidRDefault="003E6FAF" w:rsidP="003E6FAF">
      <w:pPr>
        <w:pStyle w:val="ListParagraph"/>
        <w:rPr>
          <w:rFonts w:ascii="Georgia" w:hAnsi="Georgia"/>
        </w:rPr>
      </w:pPr>
    </w:p>
    <w:p w14:paraId="199A8DFA" w14:textId="1B712716" w:rsidR="003E6FAF" w:rsidRPr="005F1067" w:rsidRDefault="00710D5E" w:rsidP="0051302A">
      <w:pPr>
        <w:numPr>
          <w:ilvl w:val="0"/>
          <w:numId w:val="34"/>
        </w:numPr>
        <w:tabs>
          <w:tab w:val="clear" w:pos="1134"/>
          <w:tab w:val="num" w:pos="709"/>
        </w:tabs>
        <w:ind w:left="709" w:hanging="709"/>
        <w:jc w:val="both"/>
        <w:rPr>
          <w:rFonts w:ascii="Georgia" w:hAnsi="Georgia"/>
        </w:rPr>
      </w:pPr>
      <w:r>
        <w:rPr>
          <w:rFonts w:ascii="Georgia" w:hAnsi="Georgia"/>
        </w:rPr>
        <w:t xml:space="preserve">The tenant is to make half yearly payments of service charge on account </w:t>
      </w:r>
      <w:r w:rsidR="0029338A">
        <w:rPr>
          <w:rFonts w:ascii="Georgia" w:hAnsi="Georgia"/>
        </w:rPr>
        <w:t xml:space="preserve">by reference to the landlord’s </w:t>
      </w:r>
      <w:r w:rsidR="00F54017">
        <w:rPr>
          <w:rFonts w:ascii="Georgia" w:hAnsi="Georgia"/>
        </w:rPr>
        <w:t>proper estimate of the likely charges for the service charge year ahead. A</w:t>
      </w:r>
      <w:r w:rsidR="00C87FF2">
        <w:rPr>
          <w:rFonts w:ascii="Georgia" w:hAnsi="Georgia"/>
        </w:rPr>
        <w:t xml:space="preserve">ny excess over the estimate </w:t>
      </w:r>
      <w:r w:rsidR="00F54017">
        <w:rPr>
          <w:rFonts w:ascii="Georgia" w:hAnsi="Georgia"/>
        </w:rPr>
        <w:t>is payable within 14 days of demand.</w:t>
      </w:r>
      <w:r w:rsidR="0046391D">
        <w:rPr>
          <w:rFonts w:ascii="Georgia" w:hAnsi="Georgia"/>
        </w:rPr>
        <w:t xml:space="preserve"> Any excess paid by the tenant is credited against future service charges.</w:t>
      </w:r>
    </w:p>
    <w:p w14:paraId="7895B440" w14:textId="77777777" w:rsidR="005F1067" w:rsidRDefault="005F1067" w:rsidP="005F1067">
      <w:pPr>
        <w:pStyle w:val="ListParagraph"/>
        <w:rPr>
          <w:rFonts w:ascii="Georgia" w:hAnsi="Georgia" w:cs="Arial"/>
        </w:rPr>
      </w:pPr>
    </w:p>
    <w:p w14:paraId="17513F0D" w14:textId="365ADB1F" w:rsidR="00335499" w:rsidRPr="008C423C" w:rsidRDefault="00663B48" w:rsidP="0051302A">
      <w:pPr>
        <w:numPr>
          <w:ilvl w:val="0"/>
          <w:numId w:val="34"/>
        </w:numPr>
        <w:tabs>
          <w:tab w:val="clear" w:pos="1134"/>
          <w:tab w:val="num" w:pos="709"/>
        </w:tabs>
        <w:ind w:left="709" w:hanging="709"/>
        <w:jc w:val="both"/>
        <w:rPr>
          <w:rFonts w:ascii="Georgia" w:hAnsi="Georgia"/>
        </w:rPr>
      </w:pPr>
      <w:r>
        <w:rPr>
          <w:rFonts w:ascii="Georgia" w:hAnsi="Georgia" w:cs="Arial"/>
        </w:rPr>
        <w:t xml:space="preserve">The recoverable costs are broadly drawn and cover the </w:t>
      </w:r>
      <w:r w:rsidR="009E587B">
        <w:rPr>
          <w:rFonts w:ascii="Georgia" w:hAnsi="Georgia" w:cs="Arial"/>
        </w:rPr>
        <w:t>categories referred to in the budgets provided. This includes payments towards a reserve fund</w:t>
      </w:r>
      <w:r w:rsidR="00D124D8" w:rsidRPr="00A87857">
        <w:rPr>
          <w:rFonts w:ascii="Georgia" w:hAnsi="Georgia" w:cs="Arial"/>
        </w:rPr>
        <w:t xml:space="preserve">. </w:t>
      </w:r>
    </w:p>
    <w:p w14:paraId="22C89F94" w14:textId="77777777" w:rsidR="008C423C" w:rsidRDefault="008C423C" w:rsidP="008C423C">
      <w:pPr>
        <w:pStyle w:val="ListParagraph"/>
        <w:rPr>
          <w:rFonts w:ascii="Georgia" w:hAnsi="Georgia"/>
        </w:rPr>
      </w:pPr>
    </w:p>
    <w:p w14:paraId="1C48754C" w14:textId="48101C3A" w:rsidR="008C423C" w:rsidRPr="008C423C" w:rsidRDefault="008C423C" w:rsidP="008C423C">
      <w:pPr>
        <w:jc w:val="both"/>
        <w:rPr>
          <w:rFonts w:ascii="Georgia" w:hAnsi="Georgia"/>
        </w:rPr>
      </w:pPr>
      <w:r w:rsidRPr="00CC68F7">
        <w:rPr>
          <w:rFonts w:ascii="Georgia" w:hAnsi="Georgia" w:cs="Arial"/>
          <w:b/>
          <w:bCs/>
          <w:u w:val="single"/>
        </w:rPr>
        <w:t>Tribunal determination</w:t>
      </w:r>
    </w:p>
    <w:p w14:paraId="69CEB570" w14:textId="77777777" w:rsidR="008C423C" w:rsidRDefault="008C423C" w:rsidP="008C423C">
      <w:pPr>
        <w:pStyle w:val="ListParagraph"/>
        <w:rPr>
          <w:rFonts w:ascii="Georgia" w:hAnsi="Georgia"/>
        </w:rPr>
      </w:pPr>
    </w:p>
    <w:p w14:paraId="45928147" w14:textId="11D461E7" w:rsidR="008B7672" w:rsidRPr="008C423C" w:rsidRDefault="00183454" w:rsidP="008C423C">
      <w:pPr>
        <w:numPr>
          <w:ilvl w:val="0"/>
          <w:numId w:val="34"/>
        </w:numPr>
        <w:tabs>
          <w:tab w:val="clear" w:pos="1134"/>
          <w:tab w:val="num" w:pos="709"/>
        </w:tabs>
        <w:ind w:left="709" w:hanging="709"/>
        <w:jc w:val="both"/>
        <w:rPr>
          <w:rFonts w:ascii="Georgia" w:hAnsi="Georgia"/>
        </w:rPr>
      </w:pPr>
      <w:r w:rsidRPr="008C423C">
        <w:rPr>
          <w:rFonts w:ascii="Georgia" w:hAnsi="Georgia" w:cs="Arial"/>
        </w:rPr>
        <w:t>As referred to above, the Respondent did not attend the hearing</w:t>
      </w:r>
      <w:r w:rsidR="008B7672" w:rsidRPr="008C423C">
        <w:rPr>
          <w:rFonts w:ascii="Georgia" w:hAnsi="Georgia" w:cs="Arial"/>
        </w:rPr>
        <w:t>.</w:t>
      </w:r>
      <w:r w:rsidR="006B217F" w:rsidRPr="008C423C">
        <w:rPr>
          <w:rFonts w:ascii="Georgia" w:hAnsi="Georgia" w:cs="Arial"/>
        </w:rPr>
        <w:t xml:space="preserve"> Th</w:t>
      </w:r>
      <w:r w:rsidR="00E14D06">
        <w:rPr>
          <w:rFonts w:ascii="Georgia" w:hAnsi="Georgia" w:cs="Arial"/>
        </w:rPr>
        <w:t>ree of the</w:t>
      </w:r>
      <w:r w:rsidR="006B217F" w:rsidRPr="008C423C">
        <w:rPr>
          <w:rFonts w:ascii="Georgia" w:hAnsi="Georgia" w:cs="Arial"/>
        </w:rPr>
        <w:t xml:space="preserve"> Applicant</w:t>
      </w:r>
      <w:r w:rsidR="00E14D06">
        <w:rPr>
          <w:rFonts w:ascii="Georgia" w:hAnsi="Georgia" w:cs="Arial"/>
        </w:rPr>
        <w:t>s</w:t>
      </w:r>
      <w:r w:rsidR="006B217F" w:rsidRPr="008C423C">
        <w:rPr>
          <w:rFonts w:ascii="Georgia" w:hAnsi="Georgia" w:cs="Arial"/>
        </w:rPr>
        <w:t xml:space="preserve"> appeared in person</w:t>
      </w:r>
      <w:r w:rsidR="00E14D06">
        <w:rPr>
          <w:rFonts w:ascii="Georgia" w:hAnsi="Georgia" w:cs="Arial"/>
        </w:rPr>
        <w:t xml:space="preserve">, being </w:t>
      </w:r>
      <w:r w:rsidR="00044077">
        <w:rPr>
          <w:rFonts w:ascii="Georgia" w:hAnsi="Georgia" w:cs="Arial"/>
        </w:rPr>
        <w:t xml:space="preserve">Ms </w:t>
      </w:r>
      <w:r w:rsidR="0090098B">
        <w:rPr>
          <w:rFonts w:ascii="Georgia" w:hAnsi="Georgia" w:cs="Arial"/>
        </w:rPr>
        <w:t>Landowska</w:t>
      </w:r>
      <w:r w:rsidR="00044077">
        <w:rPr>
          <w:rFonts w:ascii="Georgia" w:hAnsi="Georgia" w:cs="Arial"/>
        </w:rPr>
        <w:t>, Ms Soh</w:t>
      </w:r>
      <w:r w:rsidR="0090098B">
        <w:rPr>
          <w:rFonts w:ascii="Georgia" w:hAnsi="Georgia" w:cs="Arial"/>
        </w:rPr>
        <w:t>ei</w:t>
      </w:r>
      <w:r w:rsidR="00044077">
        <w:rPr>
          <w:rFonts w:ascii="Georgia" w:hAnsi="Georgia" w:cs="Arial"/>
        </w:rPr>
        <w:t xml:space="preserve">li and </w:t>
      </w:r>
      <w:r w:rsidR="00914A16">
        <w:rPr>
          <w:rFonts w:ascii="Georgia" w:hAnsi="Georgia" w:cs="Arial"/>
        </w:rPr>
        <w:t>Mr</w:t>
      </w:r>
      <w:r w:rsidR="00044077">
        <w:rPr>
          <w:rFonts w:ascii="Georgia" w:hAnsi="Georgia" w:cs="Arial"/>
        </w:rPr>
        <w:t xml:space="preserve"> Dearman</w:t>
      </w:r>
      <w:r w:rsidR="006B217F" w:rsidRPr="008C423C">
        <w:rPr>
          <w:rFonts w:ascii="Georgia" w:hAnsi="Georgia" w:cs="Arial"/>
        </w:rPr>
        <w:t xml:space="preserve">. </w:t>
      </w:r>
      <w:r w:rsidR="008B7672" w:rsidRPr="008C423C">
        <w:rPr>
          <w:rFonts w:ascii="Georgia" w:hAnsi="Georgia" w:cs="Arial"/>
        </w:rPr>
        <w:t xml:space="preserve"> </w:t>
      </w:r>
      <w:r w:rsidR="009C388F">
        <w:rPr>
          <w:rFonts w:ascii="Georgia" w:hAnsi="Georgia" w:cs="Arial"/>
        </w:rPr>
        <w:t xml:space="preserve">Ms Soheili acted as representative </w:t>
      </w:r>
      <w:r w:rsidR="00AC520E">
        <w:rPr>
          <w:rFonts w:ascii="Georgia" w:hAnsi="Georgia" w:cs="Arial"/>
        </w:rPr>
        <w:t>but all three participated, answering questions in a credible</w:t>
      </w:r>
      <w:r w:rsidR="00053F62">
        <w:rPr>
          <w:rFonts w:ascii="Georgia" w:hAnsi="Georgia" w:cs="Arial"/>
        </w:rPr>
        <w:t xml:space="preserve">, </w:t>
      </w:r>
      <w:r w:rsidR="00AC520E">
        <w:rPr>
          <w:rFonts w:ascii="Georgia" w:hAnsi="Georgia" w:cs="Arial"/>
        </w:rPr>
        <w:t xml:space="preserve">coherent </w:t>
      </w:r>
      <w:r w:rsidR="00053F62">
        <w:rPr>
          <w:rFonts w:ascii="Georgia" w:hAnsi="Georgia" w:cs="Arial"/>
        </w:rPr>
        <w:t xml:space="preserve">and open manner. </w:t>
      </w:r>
      <w:r w:rsidR="008B7672" w:rsidRPr="008C423C">
        <w:rPr>
          <w:rFonts w:ascii="Georgia" w:hAnsi="Georgia" w:cs="Arial"/>
        </w:rPr>
        <w:t xml:space="preserve">The documents that the </w:t>
      </w:r>
      <w:r w:rsidR="009E0CED">
        <w:rPr>
          <w:rFonts w:ascii="Georgia" w:hAnsi="Georgia" w:cs="Arial"/>
        </w:rPr>
        <w:t>T</w:t>
      </w:r>
      <w:r w:rsidR="008B7672" w:rsidRPr="008C423C">
        <w:rPr>
          <w:rFonts w:ascii="Georgia" w:hAnsi="Georgia" w:cs="Arial"/>
        </w:rPr>
        <w:t>ribunal w</w:t>
      </w:r>
      <w:r w:rsidR="00B6512E">
        <w:rPr>
          <w:rFonts w:ascii="Georgia" w:hAnsi="Georgia" w:cs="Arial"/>
        </w:rPr>
        <w:t>ere</w:t>
      </w:r>
      <w:r w:rsidR="008B7672" w:rsidRPr="008C423C">
        <w:rPr>
          <w:rFonts w:ascii="Georgia" w:hAnsi="Georgia" w:cs="Arial"/>
        </w:rPr>
        <w:t xml:space="preserve"> referred to are in a bundle of </w:t>
      </w:r>
      <w:r w:rsidR="009E0CED">
        <w:rPr>
          <w:rFonts w:ascii="Georgia" w:hAnsi="Georgia" w:cs="Arial"/>
        </w:rPr>
        <w:t>16</w:t>
      </w:r>
      <w:r w:rsidR="00566518" w:rsidRPr="008C423C">
        <w:rPr>
          <w:rFonts w:ascii="Georgia" w:hAnsi="Georgia" w:cs="Arial"/>
        </w:rPr>
        <w:t>5</w:t>
      </w:r>
      <w:r w:rsidR="008B7672" w:rsidRPr="008C423C">
        <w:rPr>
          <w:rFonts w:ascii="Georgia" w:hAnsi="Georgia" w:cs="Arial"/>
        </w:rPr>
        <w:t xml:space="preserve"> pages, the contents of which the </w:t>
      </w:r>
      <w:r w:rsidR="009E0CED">
        <w:rPr>
          <w:rFonts w:ascii="Georgia" w:hAnsi="Georgia" w:cs="Arial"/>
        </w:rPr>
        <w:t>T</w:t>
      </w:r>
      <w:r w:rsidR="008B7672" w:rsidRPr="008C423C">
        <w:rPr>
          <w:rFonts w:ascii="Georgia" w:hAnsi="Georgia" w:cs="Arial"/>
        </w:rPr>
        <w:t xml:space="preserve">ribunal have noted. </w:t>
      </w:r>
      <w:r w:rsidR="009D7D64" w:rsidRPr="008C423C">
        <w:rPr>
          <w:rFonts w:ascii="Georgia" w:hAnsi="Georgia" w:cs="Arial"/>
        </w:rPr>
        <w:t xml:space="preserve">The bundle included the </w:t>
      </w:r>
      <w:r w:rsidR="005B383E" w:rsidRPr="008C423C">
        <w:rPr>
          <w:rFonts w:ascii="Georgia" w:hAnsi="Georgia" w:cs="Arial"/>
        </w:rPr>
        <w:t>Applicant</w:t>
      </w:r>
      <w:r w:rsidR="007D0E03">
        <w:rPr>
          <w:rFonts w:ascii="Georgia" w:hAnsi="Georgia" w:cs="Arial"/>
        </w:rPr>
        <w:t>s’</w:t>
      </w:r>
      <w:r w:rsidR="005B383E" w:rsidRPr="008C423C">
        <w:rPr>
          <w:rFonts w:ascii="Georgia" w:hAnsi="Georgia" w:cs="Arial"/>
        </w:rPr>
        <w:t xml:space="preserve"> statement of case</w:t>
      </w:r>
      <w:r w:rsidR="007D0E03">
        <w:rPr>
          <w:rFonts w:ascii="Georgia" w:hAnsi="Georgia" w:cs="Arial"/>
        </w:rPr>
        <w:t xml:space="preserve"> (including extensive email correspondence between the Applicants and </w:t>
      </w:r>
      <w:r w:rsidR="0016028C">
        <w:rPr>
          <w:rFonts w:ascii="Georgia" w:hAnsi="Georgia" w:cs="Arial"/>
        </w:rPr>
        <w:t>the managing agents and site photographs showing its condition during the extension works</w:t>
      </w:r>
      <w:r w:rsidR="00065305">
        <w:rPr>
          <w:rFonts w:ascii="Georgia" w:hAnsi="Georgia" w:cs="Arial"/>
        </w:rPr>
        <w:t>)</w:t>
      </w:r>
      <w:r w:rsidR="005B383E" w:rsidRPr="008C423C">
        <w:rPr>
          <w:rFonts w:ascii="Georgia" w:hAnsi="Georgia" w:cs="Arial"/>
        </w:rPr>
        <w:t xml:space="preserve">, the </w:t>
      </w:r>
      <w:r w:rsidR="00065305">
        <w:rPr>
          <w:rFonts w:ascii="Georgia" w:hAnsi="Georgia" w:cs="Arial"/>
        </w:rPr>
        <w:t>specimen lease</w:t>
      </w:r>
      <w:r w:rsidR="00BE6D7B">
        <w:rPr>
          <w:rFonts w:ascii="Georgia" w:hAnsi="Georgia" w:cs="Arial"/>
        </w:rPr>
        <w:t xml:space="preserve"> and the Tribunal’s directions.</w:t>
      </w:r>
      <w:r w:rsidR="009D7D64" w:rsidRPr="008C423C">
        <w:rPr>
          <w:rFonts w:ascii="Georgia" w:hAnsi="Georgia" w:cs="Arial"/>
        </w:rPr>
        <w:t xml:space="preserve"> </w:t>
      </w:r>
    </w:p>
    <w:p w14:paraId="4ABA293E" w14:textId="77777777" w:rsidR="008C423C" w:rsidRPr="008C423C" w:rsidRDefault="008C423C" w:rsidP="008C423C">
      <w:pPr>
        <w:ind w:left="709"/>
        <w:jc w:val="both"/>
        <w:rPr>
          <w:rFonts w:ascii="Georgia" w:hAnsi="Georgia"/>
        </w:rPr>
      </w:pPr>
    </w:p>
    <w:p w14:paraId="17B5AA08" w14:textId="1CF8BDA8" w:rsidR="008E3577" w:rsidRPr="00F27040" w:rsidRDefault="000927B4" w:rsidP="00D539F0">
      <w:pPr>
        <w:numPr>
          <w:ilvl w:val="0"/>
          <w:numId w:val="34"/>
        </w:numPr>
        <w:tabs>
          <w:tab w:val="clear" w:pos="1134"/>
          <w:tab w:val="num" w:pos="709"/>
        </w:tabs>
        <w:ind w:left="709" w:hanging="709"/>
        <w:jc w:val="both"/>
        <w:rPr>
          <w:rFonts w:ascii="Georgia" w:hAnsi="Georgia"/>
        </w:rPr>
      </w:pPr>
      <w:r w:rsidRPr="00D539F0">
        <w:rPr>
          <w:rFonts w:ascii="Georgia" w:hAnsi="Georgia" w:cs="Arial"/>
        </w:rPr>
        <w:t>Having considered all of the documents provided</w:t>
      </w:r>
      <w:r w:rsidR="00CC68F7" w:rsidRPr="00D539F0">
        <w:rPr>
          <w:rFonts w:ascii="Georgia" w:hAnsi="Georgia" w:cs="Arial"/>
        </w:rPr>
        <w:t xml:space="preserve"> and heard the submissions made by the Applicant</w:t>
      </w:r>
      <w:r w:rsidR="00D539F0">
        <w:rPr>
          <w:rFonts w:ascii="Georgia" w:hAnsi="Georgia" w:cs="Arial"/>
        </w:rPr>
        <w:t>s</w:t>
      </w:r>
      <w:r w:rsidRPr="00D539F0">
        <w:rPr>
          <w:rFonts w:ascii="Georgia" w:hAnsi="Georgia" w:cs="Arial"/>
        </w:rPr>
        <w:t xml:space="preserve">, the </w:t>
      </w:r>
      <w:r w:rsidR="00D539F0">
        <w:rPr>
          <w:rFonts w:ascii="Georgia" w:hAnsi="Georgia" w:cs="Arial"/>
        </w:rPr>
        <w:t>T</w:t>
      </w:r>
      <w:r w:rsidRPr="00D539F0">
        <w:rPr>
          <w:rFonts w:ascii="Georgia" w:hAnsi="Georgia" w:cs="Arial"/>
        </w:rPr>
        <w:t>ribunal has made determinations on the issues as follows.</w:t>
      </w:r>
    </w:p>
    <w:p w14:paraId="4E978825" w14:textId="77777777" w:rsidR="00F27040" w:rsidRDefault="00F27040" w:rsidP="00F27040">
      <w:pPr>
        <w:pStyle w:val="ListParagraph"/>
        <w:rPr>
          <w:rFonts w:ascii="Georgia" w:hAnsi="Georgia"/>
        </w:rPr>
      </w:pPr>
    </w:p>
    <w:p w14:paraId="002961BF" w14:textId="4D30B227" w:rsidR="00F27040" w:rsidRPr="00F27040" w:rsidRDefault="00F27040" w:rsidP="00F27040">
      <w:pPr>
        <w:jc w:val="both"/>
        <w:rPr>
          <w:rFonts w:ascii="Georgia" w:hAnsi="Georgia"/>
        </w:rPr>
      </w:pPr>
      <w:r w:rsidRPr="00A60B1C">
        <w:rPr>
          <w:rFonts w:ascii="Georgia" w:hAnsi="Georgia" w:cs="Arial"/>
          <w:b/>
          <w:u w:val="single"/>
        </w:rPr>
        <w:t>Issue of demands</w:t>
      </w:r>
    </w:p>
    <w:p w14:paraId="1B530600" w14:textId="77777777" w:rsidR="00F27040" w:rsidRDefault="00F27040" w:rsidP="00F27040">
      <w:pPr>
        <w:pStyle w:val="ListParagraph"/>
        <w:rPr>
          <w:rFonts w:ascii="Georgia" w:hAnsi="Georgia"/>
        </w:rPr>
      </w:pPr>
    </w:p>
    <w:p w14:paraId="5F428A1A" w14:textId="5FCF33B9" w:rsidR="00335050" w:rsidRPr="00D03DA2" w:rsidRDefault="00335050" w:rsidP="00533870">
      <w:pPr>
        <w:numPr>
          <w:ilvl w:val="0"/>
          <w:numId w:val="34"/>
        </w:numPr>
        <w:tabs>
          <w:tab w:val="clear" w:pos="1134"/>
          <w:tab w:val="num" w:pos="709"/>
        </w:tabs>
        <w:ind w:left="709" w:hanging="709"/>
        <w:jc w:val="both"/>
        <w:rPr>
          <w:rFonts w:ascii="Georgia" w:hAnsi="Georgia"/>
        </w:rPr>
      </w:pPr>
      <w:r>
        <w:rPr>
          <w:rFonts w:ascii="Georgia" w:hAnsi="Georgia"/>
        </w:rPr>
        <w:t>Invoices were provided by the managing agents for the 2021 service charge year.</w:t>
      </w:r>
      <w:r w:rsidR="009650C0">
        <w:rPr>
          <w:rFonts w:ascii="Georgia" w:hAnsi="Georgia"/>
        </w:rPr>
        <w:t xml:space="preserve"> The Applicants accept that these were properly served</w:t>
      </w:r>
      <w:r w:rsidR="00546B51">
        <w:rPr>
          <w:rFonts w:ascii="Georgia" w:hAnsi="Georgia"/>
        </w:rPr>
        <w:t xml:space="preserve">. The Tribunal found these in compliance with the </w:t>
      </w:r>
      <w:r w:rsidR="002E60AB">
        <w:rPr>
          <w:rFonts w:ascii="Georgia" w:hAnsi="Georgia"/>
        </w:rPr>
        <w:t xml:space="preserve">section 47 </w:t>
      </w:r>
      <w:r w:rsidR="002E60AB" w:rsidRPr="00533870">
        <w:rPr>
          <w:rFonts w:ascii="Georgia" w:hAnsi="Georgia" w:cs="Arial"/>
        </w:rPr>
        <w:t>of the Landlord and Tenant Act 1987</w:t>
      </w:r>
      <w:r w:rsidR="002E60AB">
        <w:rPr>
          <w:rFonts w:ascii="Georgia" w:hAnsi="Georgia" w:cs="Arial"/>
        </w:rPr>
        <w:t>. The Applicants state</w:t>
      </w:r>
      <w:r w:rsidR="0026458B">
        <w:rPr>
          <w:rFonts w:ascii="Georgia" w:hAnsi="Georgia" w:cs="Arial"/>
        </w:rPr>
        <w:t>d that no invoices were provided for the 2022 service charge year, d</w:t>
      </w:r>
      <w:r w:rsidR="00E67D4E">
        <w:rPr>
          <w:rFonts w:ascii="Georgia" w:hAnsi="Georgia" w:cs="Arial"/>
        </w:rPr>
        <w:t>espite these being requested</w:t>
      </w:r>
      <w:r w:rsidR="005E46D1">
        <w:rPr>
          <w:rFonts w:ascii="Georgia" w:hAnsi="Georgia" w:cs="Arial"/>
        </w:rPr>
        <w:t xml:space="preserve">. </w:t>
      </w:r>
      <w:r w:rsidR="00B34CBB">
        <w:rPr>
          <w:rFonts w:ascii="Georgia" w:hAnsi="Georgia" w:cs="Arial"/>
        </w:rPr>
        <w:t xml:space="preserve">They </w:t>
      </w:r>
      <w:r w:rsidR="0032451C">
        <w:rPr>
          <w:rFonts w:ascii="Georgia" w:hAnsi="Georgia" w:cs="Arial"/>
        </w:rPr>
        <w:t>say that all they</w:t>
      </w:r>
      <w:r w:rsidR="00DE20C9">
        <w:rPr>
          <w:rFonts w:ascii="Georgia" w:hAnsi="Georgia" w:cs="Arial"/>
        </w:rPr>
        <w:t xml:space="preserve"> received </w:t>
      </w:r>
      <w:r w:rsidR="007B1BE8">
        <w:rPr>
          <w:rFonts w:ascii="Georgia" w:hAnsi="Georgia" w:cs="Arial"/>
        </w:rPr>
        <w:t xml:space="preserve">was </w:t>
      </w:r>
      <w:r w:rsidR="00DE20C9">
        <w:rPr>
          <w:rFonts w:ascii="Georgia" w:hAnsi="Georgia" w:cs="Arial"/>
        </w:rPr>
        <w:t xml:space="preserve">an email dated </w:t>
      </w:r>
      <w:r w:rsidR="00EA55CF">
        <w:rPr>
          <w:rFonts w:ascii="Georgia" w:hAnsi="Georgia" w:cs="Arial"/>
        </w:rPr>
        <w:t xml:space="preserve">19 September 2023 </w:t>
      </w:r>
      <w:r w:rsidR="009E1BDD">
        <w:rPr>
          <w:rFonts w:ascii="Georgia" w:hAnsi="Georgia" w:cs="Arial"/>
        </w:rPr>
        <w:t xml:space="preserve">from Landside Property Management </w:t>
      </w:r>
      <w:r w:rsidR="007B1BE8">
        <w:rPr>
          <w:rFonts w:ascii="Georgia" w:hAnsi="Georgia" w:cs="Arial"/>
        </w:rPr>
        <w:t xml:space="preserve">Limited with what purported to be </w:t>
      </w:r>
      <w:r w:rsidR="00FE5300">
        <w:rPr>
          <w:rFonts w:ascii="Georgia" w:hAnsi="Georgia" w:cs="Arial"/>
        </w:rPr>
        <w:t xml:space="preserve">the 2022 </w:t>
      </w:r>
      <w:r w:rsidR="009E1BDD">
        <w:rPr>
          <w:rFonts w:ascii="Georgia" w:hAnsi="Georgia" w:cs="Arial"/>
        </w:rPr>
        <w:t xml:space="preserve">service charge </w:t>
      </w:r>
      <w:r w:rsidR="00D03DA2">
        <w:rPr>
          <w:rFonts w:ascii="Georgia" w:hAnsi="Georgia" w:cs="Arial"/>
        </w:rPr>
        <w:t>budget</w:t>
      </w:r>
      <w:r w:rsidR="007B1BE8">
        <w:rPr>
          <w:rFonts w:ascii="Georgia" w:hAnsi="Georgia" w:cs="Arial"/>
        </w:rPr>
        <w:t xml:space="preserve"> pasted into the email</w:t>
      </w:r>
      <w:r w:rsidR="00D03DA2">
        <w:rPr>
          <w:rFonts w:ascii="Georgia" w:hAnsi="Georgia" w:cs="Arial"/>
        </w:rPr>
        <w:t xml:space="preserve">. </w:t>
      </w:r>
      <w:r w:rsidR="005E46D1">
        <w:rPr>
          <w:rFonts w:ascii="Georgia" w:hAnsi="Georgia" w:cs="Arial"/>
        </w:rPr>
        <w:t>The</w:t>
      </w:r>
      <w:r w:rsidR="00D03DA2">
        <w:rPr>
          <w:rFonts w:ascii="Georgia" w:hAnsi="Georgia" w:cs="Arial"/>
        </w:rPr>
        <w:t xml:space="preserve"> Applicants</w:t>
      </w:r>
      <w:r w:rsidR="005E46D1">
        <w:rPr>
          <w:rFonts w:ascii="Georgia" w:hAnsi="Georgia" w:cs="Arial"/>
        </w:rPr>
        <w:t xml:space="preserve"> questioned whether </w:t>
      </w:r>
      <w:r w:rsidR="00CC2F19">
        <w:rPr>
          <w:rFonts w:ascii="Georgia" w:hAnsi="Georgia" w:cs="Arial"/>
        </w:rPr>
        <w:t xml:space="preserve">and to what extent </w:t>
      </w:r>
      <w:r w:rsidR="005E46D1">
        <w:rPr>
          <w:rFonts w:ascii="Georgia" w:hAnsi="Georgia" w:cs="Arial"/>
        </w:rPr>
        <w:t xml:space="preserve">the application of section 20B of </w:t>
      </w:r>
      <w:r w:rsidR="005E46D1">
        <w:rPr>
          <w:rFonts w:ascii="Georgia" w:hAnsi="Georgia" w:cs="Arial"/>
        </w:rPr>
        <w:lastRenderedPageBreak/>
        <w:t xml:space="preserve">the 1985 </w:t>
      </w:r>
      <w:r w:rsidR="00BC7E28">
        <w:rPr>
          <w:rFonts w:ascii="Georgia" w:hAnsi="Georgia" w:cs="Arial"/>
        </w:rPr>
        <w:t xml:space="preserve">Act </w:t>
      </w:r>
      <w:r w:rsidR="00CC2F19">
        <w:rPr>
          <w:rFonts w:ascii="Georgia" w:hAnsi="Georgia" w:cs="Arial"/>
        </w:rPr>
        <w:t xml:space="preserve">meant that </w:t>
      </w:r>
      <w:r w:rsidR="00BC7E28">
        <w:rPr>
          <w:rFonts w:ascii="Georgia" w:hAnsi="Georgia" w:cs="Arial"/>
        </w:rPr>
        <w:t>they were not liable for any e</w:t>
      </w:r>
      <w:r w:rsidR="00CC2F19">
        <w:rPr>
          <w:rFonts w:ascii="Georgia" w:hAnsi="Georgia" w:cs="Arial"/>
        </w:rPr>
        <w:t xml:space="preserve">xpenditure </w:t>
      </w:r>
      <w:r w:rsidR="00F6085E">
        <w:rPr>
          <w:rFonts w:ascii="Georgia" w:hAnsi="Georgia" w:cs="Arial"/>
        </w:rPr>
        <w:t xml:space="preserve">for </w:t>
      </w:r>
      <w:r w:rsidR="00BC7E28">
        <w:rPr>
          <w:rFonts w:ascii="Georgia" w:hAnsi="Georgia" w:cs="Arial"/>
        </w:rPr>
        <w:t xml:space="preserve">the </w:t>
      </w:r>
      <w:r w:rsidR="00F6085E">
        <w:rPr>
          <w:rFonts w:ascii="Georgia" w:hAnsi="Georgia" w:cs="Arial"/>
        </w:rPr>
        <w:t xml:space="preserve">2021 and 2022 </w:t>
      </w:r>
      <w:r w:rsidR="00BC7E28">
        <w:rPr>
          <w:rFonts w:ascii="Georgia" w:hAnsi="Georgia" w:cs="Arial"/>
        </w:rPr>
        <w:t>service charge years</w:t>
      </w:r>
      <w:r w:rsidR="00F6085E">
        <w:rPr>
          <w:rFonts w:ascii="Georgia" w:hAnsi="Georgia" w:cs="Arial"/>
        </w:rPr>
        <w:t>.</w:t>
      </w:r>
    </w:p>
    <w:p w14:paraId="00797820" w14:textId="77777777" w:rsidR="00D03DA2" w:rsidRPr="00D03DA2" w:rsidRDefault="00D03DA2" w:rsidP="00D03DA2">
      <w:pPr>
        <w:ind w:left="709"/>
        <w:jc w:val="both"/>
        <w:rPr>
          <w:rFonts w:ascii="Georgia" w:hAnsi="Georgia"/>
        </w:rPr>
      </w:pPr>
    </w:p>
    <w:p w14:paraId="2D20A64F" w14:textId="017F524F" w:rsidR="003E4B26" w:rsidRPr="00533870" w:rsidRDefault="003E4B26" w:rsidP="003E4B26">
      <w:pPr>
        <w:numPr>
          <w:ilvl w:val="0"/>
          <w:numId w:val="34"/>
        </w:numPr>
        <w:tabs>
          <w:tab w:val="clear" w:pos="1134"/>
          <w:tab w:val="num" w:pos="709"/>
        </w:tabs>
        <w:ind w:left="709" w:hanging="709"/>
        <w:jc w:val="both"/>
        <w:rPr>
          <w:rFonts w:ascii="Georgia" w:hAnsi="Georgia"/>
        </w:rPr>
      </w:pPr>
      <w:r w:rsidRPr="00533870">
        <w:rPr>
          <w:rFonts w:ascii="Georgia" w:hAnsi="Georgia" w:cs="Arial"/>
        </w:rPr>
        <w:t xml:space="preserve">Section </w:t>
      </w:r>
      <w:r>
        <w:rPr>
          <w:rFonts w:ascii="Georgia" w:hAnsi="Georgia" w:cs="Arial"/>
        </w:rPr>
        <w:t>20B</w:t>
      </w:r>
      <w:r w:rsidRPr="00533870">
        <w:rPr>
          <w:rFonts w:ascii="Georgia" w:hAnsi="Georgia" w:cs="Arial"/>
        </w:rPr>
        <w:t xml:space="preserve"> of the 198</w:t>
      </w:r>
      <w:r>
        <w:rPr>
          <w:rFonts w:ascii="Georgia" w:hAnsi="Georgia" w:cs="Arial"/>
        </w:rPr>
        <w:t>5</w:t>
      </w:r>
      <w:r w:rsidRPr="00533870">
        <w:rPr>
          <w:rFonts w:ascii="Georgia" w:hAnsi="Georgia" w:cs="Arial"/>
        </w:rPr>
        <w:t xml:space="preserve"> </w:t>
      </w:r>
      <w:r w:rsidR="00BC7E28">
        <w:rPr>
          <w:rFonts w:ascii="Georgia" w:hAnsi="Georgia" w:cs="Arial"/>
        </w:rPr>
        <w:t xml:space="preserve">Act </w:t>
      </w:r>
      <w:r w:rsidRPr="00533870">
        <w:rPr>
          <w:rFonts w:ascii="Georgia" w:hAnsi="Georgia" w:cs="Arial"/>
        </w:rPr>
        <w:t>provides:</w:t>
      </w:r>
    </w:p>
    <w:p w14:paraId="3C2B75F1" w14:textId="3700C197" w:rsidR="00965077" w:rsidRPr="00965077" w:rsidRDefault="003E4B26" w:rsidP="00965077">
      <w:pPr>
        <w:pStyle w:val="NormalWeb"/>
        <w:ind w:left="1069"/>
        <w:jc w:val="both"/>
        <w:rPr>
          <w:rFonts w:ascii="Georgia" w:hAnsi="Georgia"/>
          <w:sz w:val="22"/>
          <w:szCs w:val="22"/>
        </w:rPr>
      </w:pPr>
      <w:r w:rsidRPr="00EF0321">
        <w:rPr>
          <w:rFonts w:ascii="Georgia" w:hAnsi="Georgia"/>
          <w:sz w:val="22"/>
          <w:szCs w:val="22"/>
        </w:rPr>
        <w:t xml:space="preserve">(1) </w:t>
      </w:r>
      <w:r w:rsidR="00965077" w:rsidRPr="00965077">
        <w:rPr>
          <w:rFonts w:ascii="Georgia" w:hAnsi="Georgia"/>
          <w:sz w:val="22"/>
          <w:szCs w:val="22"/>
        </w:rPr>
        <w:t>If any of the relevant costs taken into account in determining the amount of any service charge were incurred more than 18 months before a demand for payment of the service charge is served on the tenant, then (subject to subsection (2)), the tenant shall not be liable to pay so much of the service charge as reflects the costs so incurred.</w:t>
      </w:r>
    </w:p>
    <w:p w14:paraId="6A5869DA" w14:textId="77777777" w:rsidR="00965077" w:rsidRPr="00965077" w:rsidRDefault="00965077" w:rsidP="00965077">
      <w:pPr>
        <w:pStyle w:val="NormalWeb"/>
        <w:ind w:left="1069"/>
        <w:jc w:val="both"/>
        <w:rPr>
          <w:rFonts w:ascii="Georgia" w:hAnsi="Georgia"/>
          <w:sz w:val="22"/>
          <w:szCs w:val="22"/>
        </w:rPr>
      </w:pPr>
      <w:r w:rsidRPr="00965077">
        <w:rPr>
          <w:rFonts w:ascii="Georgia" w:hAnsi="Georgia"/>
          <w:sz w:val="22"/>
          <w:szCs w:val="22"/>
        </w:rPr>
        <w:t>(2)  Subsection (1) shall not apply if, within the period of 18 months beginning with the date when the relevant costs in question were incurred, the tenant was notified in writing that those costs had been incurred and that he would subsequently be required under the terms of his lease to contribute to them by the payment of a service charge.</w:t>
      </w:r>
    </w:p>
    <w:p w14:paraId="37B9AA38" w14:textId="0F12756B" w:rsidR="000C350E" w:rsidRPr="000C350E" w:rsidRDefault="0003778E" w:rsidP="000A0490">
      <w:pPr>
        <w:numPr>
          <w:ilvl w:val="0"/>
          <w:numId w:val="34"/>
        </w:numPr>
        <w:tabs>
          <w:tab w:val="clear" w:pos="1134"/>
          <w:tab w:val="num" w:pos="709"/>
        </w:tabs>
        <w:ind w:left="709" w:hanging="709"/>
        <w:jc w:val="both"/>
        <w:rPr>
          <w:rFonts w:ascii="Georgia" w:hAnsi="Georgia"/>
        </w:rPr>
      </w:pPr>
      <w:r>
        <w:rPr>
          <w:rFonts w:ascii="Georgia" w:hAnsi="Georgia" w:cs="Arial"/>
        </w:rPr>
        <w:t>Valid</w:t>
      </w:r>
      <w:r w:rsidR="0084369E">
        <w:rPr>
          <w:rFonts w:ascii="Georgia" w:hAnsi="Georgia" w:cs="Arial"/>
        </w:rPr>
        <w:t xml:space="preserve"> demand</w:t>
      </w:r>
      <w:r>
        <w:rPr>
          <w:rFonts w:ascii="Georgia" w:hAnsi="Georgia" w:cs="Arial"/>
        </w:rPr>
        <w:t>s</w:t>
      </w:r>
      <w:r w:rsidR="0084369E">
        <w:rPr>
          <w:rFonts w:ascii="Georgia" w:hAnsi="Georgia" w:cs="Arial"/>
        </w:rPr>
        <w:t xml:space="preserve"> for payment of the on account service charge </w:t>
      </w:r>
      <w:r>
        <w:rPr>
          <w:rFonts w:ascii="Georgia" w:hAnsi="Georgia" w:cs="Arial"/>
        </w:rPr>
        <w:t xml:space="preserve">for 2021 were made </w:t>
      </w:r>
      <w:r w:rsidR="00C664C5">
        <w:rPr>
          <w:rFonts w:ascii="Georgia" w:hAnsi="Georgia" w:cs="Arial"/>
        </w:rPr>
        <w:t>within that year</w:t>
      </w:r>
      <w:r w:rsidR="002C6A5F">
        <w:rPr>
          <w:rFonts w:ascii="Georgia" w:hAnsi="Georgia" w:cs="Arial"/>
        </w:rPr>
        <w:t xml:space="preserve">, although no </w:t>
      </w:r>
      <w:r w:rsidR="00D07915">
        <w:rPr>
          <w:rFonts w:ascii="Georgia" w:hAnsi="Georgia" w:cs="Arial"/>
        </w:rPr>
        <w:t>year-end</w:t>
      </w:r>
      <w:r w:rsidR="002C6A5F">
        <w:rPr>
          <w:rFonts w:ascii="Georgia" w:hAnsi="Georgia" w:cs="Arial"/>
        </w:rPr>
        <w:t xml:space="preserve"> accounts were produced or final invoice for any balance due issued. </w:t>
      </w:r>
      <w:r w:rsidR="001B226B">
        <w:rPr>
          <w:rFonts w:ascii="Georgia" w:hAnsi="Georgia" w:cs="Arial"/>
        </w:rPr>
        <w:t xml:space="preserve">Any </w:t>
      </w:r>
      <w:r w:rsidR="00962D10">
        <w:rPr>
          <w:rFonts w:ascii="Georgia" w:hAnsi="Georgia" w:cs="Arial"/>
        </w:rPr>
        <w:t xml:space="preserve">further demand for payments for 2021 would be </w:t>
      </w:r>
      <w:r w:rsidR="001E64DD">
        <w:rPr>
          <w:rFonts w:ascii="Georgia" w:hAnsi="Georgia" w:cs="Arial"/>
        </w:rPr>
        <w:t xml:space="preserve">substantially after the 18 month period for their demand after they had been incurred and so would be </w:t>
      </w:r>
      <w:r w:rsidR="00962D10">
        <w:rPr>
          <w:rFonts w:ascii="Georgia" w:hAnsi="Georgia" w:cs="Arial"/>
        </w:rPr>
        <w:t xml:space="preserve">time barred by </w:t>
      </w:r>
      <w:r w:rsidR="001E64DD">
        <w:rPr>
          <w:rFonts w:ascii="Georgia" w:hAnsi="Georgia" w:cs="Arial"/>
        </w:rPr>
        <w:t>Section 20B.</w:t>
      </w:r>
    </w:p>
    <w:p w14:paraId="412B498D" w14:textId="77777777" w:rsidR="000C350E" w:rsidRPr="000C350E" w:rsidRDefault="000C350E" w:rsidP="000C350E">
      <w:pPr>
        <w:ind w:left="709"/>
        <w:jc w:val="both"/>
        <w:rPr>
          <w:rFonts w:ascii="Georgia" w:hAnsi="Georgia"/>
        </w:rPr>
      </w:pPr>
    </w:p>
    <w:p w14:paraId="6A9FBAA2" w14:textId="556ACD42" w:rsidR="000A0490" w:rsidRPr="00590812" w:rsidRDefault="006B5962" w:rsidP="000A0490">
      <w:pPr>
        <w:numPr>
          <w:ilvl w:val="0"/>
          <w:numId w:val="34"/>
        </w:numPr>
        <w:tabs>
          <w:tab w:val="clear" w:pos="1134"/>
          <w:tab w:val="num" w:pos="709"/>
        </w:tabs>
        <w:ind w:left="709" w:hanging="709"/>
        <w:jc w:val="both"/>
        <w:rPr>
          <w:rFonts w:ascii="Georgia" w:hAnsi="Georgia"/>
        </w:rPr>
      </w:pPr>
      <w:r>
        <w:rPr>
          <w:rFonts w:ascii="Georgia" w:hAnsi="Georgia" w:cs="Arial"/>
        </w:rPr>
        <w:t xml:space="preserve">The impact of on account demands </w:t>
      </w:r>
      <w:r w:rsidR="00A63155">
        <w:rPr>
          <w:rFonts w:ascii="Georgia" w:hAnsi="Georgia" w:cs="Arial"/>
        </w:rPr>
        <w:t xml:space="preserve">in this context </w:t>
      </w:r>
      <w:r>
        <w:rPr>
          <w:rFonts w:ascii="Georgia" w:hAnsi="Georgia" w:cs="Arial"/>
        </w:rPr>
        <w:t xml:space="preserve">was considered in the case of </w:t>
      </w:r>
      <w:r w:rsidR="000A0490" w:rsidRPr="000A0490">
        <w:rPr>
          <w:rFonts w:ascii="Georgia" w:hAnsi="Georgia"/>
          <w:i/>
          <w:iCs/>
        </w:rPr>
        <w:t xml:space="preserve">Gilje v </w:t>
      </w:r>
      <w:proofErr w:type="spellStart"/>
      <w:r w:rsidR="000A0490" w:rsidRPr="000A0490">
        <w:rPr>
          <w:rFonts w:ascii="Georgia" w:hAnsi="Georgia"/>
          <w:i/>
          <w:iCs/>
        </w:rPr>
        <w:t>Charlegrove</w:t>
      </w:r>
      <w:proofErr w:type="spellEnd"/>
      <w:r w:rsidR="000A0490" w:rsidRPr="000A0490">
        <w:rPr>
          <w:rFonts w:ascii="Georgia" w:hAnsi="Georgia"/>
          <w:i/>
          <w:iCs/>
        </w:rPr>
        <w:t xml:space="preserve"> Securities Ltd</w:t>
      </w:r>
      <w:r w:rsidR="000A0490" w:rsidRPr="000A0490">
        <w:rPr>
          <w:rFonts w:ascii="Georgia" w:hAnsi="Georgia"/>
        </w:rPr>
        <w:t xml:space="preserve"> [2003] EWHC 1284 (Ch)</w:t>
      </w:r>
      <w:r w:rsidR="00315F57">
        <w:rPr>
          <w:rFonts w:ascii="Georgia" w:hAnsi="Georgia"/>
        </w:rPr>
        <w:t>. In that case,</w:t>
      </w:r>
      <w:r w:rsidR="000A0490" w:rsidRPr="000A0490">
        <w:rPr>
          <w:rFonts w:ascii="Georgia" w:hAnsi="Georgia"/>
        </w:rPr>
        <w:t xml:space="preserve"> Etherton J held that</w:t>
      </w:r>
      <w:r w:rsidR="00315F57">
        <w:rPr>
          <w:rFonts w:ascii="Georgia" w:hAnsi="Georgia"/>
        </w:rPr>
        <w:t xml:space="preserve"> </w:t>
      </w:r>
      <w:r w:rsidR="00D41E7C">
        <w:rPr>
          <w:rFonts w:ascii="Georgia" w:hAnsi="Georgia"/>
        </w:rPr>
        <w:t>S</w:t>
      </w:r>
      <w:r w:rsidR="00315F57">
        <w:rPr>
          <w:rFonts w:ascii="Georgia" w:hAnsi="Georgia"/>
        </w:rPr>
        <w:t xml:space="preserve">ection 20B did not apply </w:t>
      </w:r>
      <w:r w:rsidR="00221EBE">
        <w:rPr>
          <w:rFonts w:ascii="Georgia" w:hAnsi="Georgia"/>
        </w:rPr>
        <w:t xml:space="preserve">where </w:t>
      </w:r>
      <w:r w:rsidR="000A0490" w:rsidRPr="005A38B9">
        <w:rPr>
          <w:rFonts w:ascii="Georgia" w:hAnsi="Georgia"/>
        </w:rPr>
        <w:t>(a) payments on account are made to the lessor in</w:t>
      </w:r>
      <w:r w:rsidR="005A38B9">
        <w:rPr>
          <w:rFonts w:ascii="Georgia" w:hAnsi="Georgia"/>
        </w:rPr>
        <w:t xml:space="preserve"> </w:t>
      </w:r>
      <w:r w:rsidR="000A0490" w:rsidRPr="005A38B9">
        <w:rPr>
          <w:rFonts w:ascii="Georgia" w:hAnsi="Georgia"/>
        </w:rPr>
        <w:t>respect of service charges, (b) the actual expenditure of the lessor does not exceed the</w:t>
      </w:r>
      <w:r w:rsidR="005A38B9">
        <w:rPr>
          <w:rFonts w:ascii="Georgia" w:hAnsi="Georgia"/>
        </w:rPr>
        <w:t xml:space="preserve"> </w:t>
      </w:r>
      <w:r w:rsidR="000A0490" w:rsidRPr="005A38B9">
        <w:rPr>
          <w:rFonts w:ascii="Georgia" w:hAnsi="Georgia"/>
        </w:rPr>
        <w:t>payments on account and (c) no request by the lessor for any further payment by the tenant needs to be or is in fact made</w:t>
      </w:r>
      <w:r w:rsidR="000A0490" w:rsidRPr="005A38B9">
        <w:rPr>
          <w:rFonts w:ascii="Georgia" w:hAnsi="Georgia" w:cs="Arial"/>
        </w:rPr>
        <w:t>.</w:t>
      </w:r>
      <w:r w:rsidR="00F307B9">
        <w:rPr>
          <w:rFonts w:ascii="Georgia" w:hAnsi="Georgia" w:cs="Arial"/>
        </w:rPr>
        <w:t xml:space="preserve"> Th</w:t>
      </w:r>
      <w:r w:rsidR="00607634">
        <w:rPr>
          <w:rFonts w:ascii="Georgia" w:hAnsi="Georgia" w:cs="Arial"/>
        </w:rPr>
        <w:t>e only difference between that case and this one in respect of 2021</w:t>
      </w:r>
      <w:r w:rsidR="00B373AB">
        <w:rPr>
          <w:rFonts w:ascii="Georgia" w:hAnsi="Georgia" w:cs="Arial"/>
        </w:rPr>
        <w:t xml:space="preserve"> is that in </w:t>
      </w:r>
      <w:proofErr w:type="spellStart"/>
      <w:r w:rsidR="00B373AB" w:rsidRPr="00BF3768">
        <w:rPr>
          <w:rFonts w:ascii="Georgia" w:hAnsi="Georgia" w:cs="Arial"/>
          <w:i/>
          <w:iCs/>
        </w:rPr>
        <w:t>Charlegrove</w:t>
      </w:r>
      <w:proofErr w:type="spellEnd"/>
      <w:r w:rsidR="00B373AB">
        <w:rPr>
          <w:rFonts w:ascii="Georgia" w:hAnsi="Georgia" w:cs="Arial"/>
        </w:rPr>
        <w:t xml:space="preserve"> the on account payment</w:t>
      </w:r>
      <w:r w:rsidR="00D431B5">
        <w:rPr>
          <w:rFonts w:ascii="Georgia" w:hAnsi="Georgia" w:cs="Arial"/>
        </w:rPr>
        <w:t>s</w:t>
      </w:r>
      <w:r w:rsidR="00B373AB">
        <w:rPr>
          <w:rFonts w:ascii="Georgia" w:hAnsi="Georgia" w:cs="Arial"/>
        </w:rPr>
        <w:t xml:space="preserve"> had been made</w:t>
      </w:r>
      <w:r w:rsidR="00D431B5">
        <w:rPr>
          <w:rFonts w:ascii="Georgia" w:hAnsi="Georgia" w:cs="Arial"/>
        </w:rPr>
        <w:t xml:space="preserve">, in this they merely </w:t>
      </w:r>
      <w:r w:rsidR="003575F9">
        <w:rPr>
          <w:rFonts w:ascii="Georgia" w:hAnsi="Georgia" w:cs="Arial"/>
        </w:rPr>
        <w:t xml:space="preserve">were </w:t>
      </w:r>
      <w:r w:rsidR="00D431B5">
        <w:rPr>
          <w:rFonts w:ascii="Georgia" w:hAnsi="Georgia" w:cs="Arial"/>
        </w:rPr>
        <w:t xml:space="preserve">validly demanded. </w:t>
      </w:r>
      <w:r w:rsidR="00130380">
        <w:rPr>
          <w:rFonts w:ascii="Georgia" w:hAnsi="Georgia" w:cs="Arial"/>
        </w:rPr>
        <w:t xml:space="preserve">However, it cannot be correct that a lessee </w:t>
      </w:r>
      <w:r w:rsidR="0092757B">
        <w:rPr>
          <w:rFonts w:ascii="Georgia" w:hAnsi="Georgia" w:cs="Arial"/>
        </w:rPr>
        <w:t xml:space="preserve">would be able to </w:t>
      </w:r>
      <w:r w:rsidR="0036747D">
        <w:rPr>
          <w:rFonts w:ascii="Georgia" w:hAnsi="Georgia" w:cs="Arial"/>
        </w:rPr>
        <w:t xml:space="preserve">rely on Section 20B where it has defaulted on a payment that had fallen due but would lose that benefit if it had </w:t>
      </w:r>
      <w:r w:rsidR="00742655">
        <w:rPr>
          <w:rFonts w:ascii="Georgia" w:hAnsi="Georgia" w:cs="Arial"/>
        </w:rPr>
        <w:t xml:space="preserve">complied with the demand. </w:t>
      </w:r>
    </w:p>
    <w:p w14:paraId="307381B1" w14:textId="77777777" w:rsidR="00590812" w:rsidRDefault="00590812" w:rsidP="00590812">
      <w:pPr>
        <w:pStyle w:val="ListParagraph"/>
        <w:rPr>
          <w:rFonts w:ascii="Georgia" w:hAnsi="Georgia"/>
        </w:rPr>
      </w:pPr>
    </w:p>
    <w:p w14:paraId="0C944DA6" w14:textId="23B6F9F2" w:rsidR="00590812" w:rsidRDefault="00590812" w:rsidP="000A0490">
      <w:pPr>
        <w:numPr>
          <w:ilvl w:val="0"/>
          <w:numId w:val="34"/>
        </w:numPr>
        <w:tabs>
          <w:tab w:val="clear" w:pos="1134"/>
          <w:tab w:val="num" w:pos="709"/>
        </w:tabs>
        <w:ind w:left="709" w:hanging="709"/>
        <w:jc w:val="both"/>
        <w:rPr>
          <w:rFonts w:ascii="Georgia" w:hAnsi="Georgia"/>
        </w:rPr>
      </w:pPr>
      <w:r>
        <w:rPr>
          <w:rFonts w:ascii="Georgia" w:hAnsi="Georgia"/>
        </w:rPr>
        <w:t xml:space="preserve">Accordingly, the Tribunal concludes that </w:t>
      </w:r>
      <w:r w:rsidR="00C45875">
        <w:rPr>
          <w:rFonts w:ascii="Georgia" w:hAnsi="Georgia"/>
        </w:rPr>
        <w:t xml:space="preserve">the Applicants cannot rely on Section 20B to </w:t>
      </w:r>
      <w:r w:rsidR="00E65FB1">
        <w:rPr>
          <w:rFonts w:ascii="Georgia" w:hAnsi="Georgia"/>
        </w:rPr>
        <w:t>escape liability for the 2021 service charge year</w:t>
      </w:r>
      <w:r w:rsidR="00153867">
        <w:rPr>
          <w:rFonts w:ascii="Georgia" w:hAnsi="Georgia"/>
        </w:rPr>
        <w:t>, save to the extent that the Respondent seeks to demand</w:t>
      </w:r>
      <w:r w:rsidR="001B226B">
        <w:rPr>
          <w:rFonts w:ascii="Georgia" w:hAnsi="Georgia"/>
        </w:rPr>
        <w:t xml:space="preserve"> year end sums higher than </w:t>
      </w:r>
      <w:r w:rsidR="003F0E27">
        <w:rPr>
          <w:rFonts w:ascii="Georgia" w:hAnsi="Georgia"/>
        </w:rPr>
        <w:t xml:space="preserve">set out in the budget provided for 2021. </w:t>
      </w:r>
      <w:r w:rsidR="00C73415">
        <w:rPr>
          <w:rFonts w:ascii="Georgia" w:hAnsi="Georgia"/>
        </w:rPr>
        <w:t xml:space="preserve">In addition, the sums payable will be subject to the </w:t>
      </w:r>
      <w:r w:rsidR="00D1185A">
        <w:rPr>
          <w:rFonts w:ascii="Georgia" w:hAnsi="Georgia"/>
        </w:rPr>
        <w:t xml:space="preserve">findings of the Tribunal pursuant to this application. </w:t>
      </w:r>
      <w:r w:rsidR="00A61D9B">
        <w:rPr>
          <w:rFonts w:ascii="Georgia" w:hAnsi="Georgia"/>
        </w:rPr>
        <w:t xml:space="preserve">If the sums determined to be payable </w:t>
      </w:r>
      <w:r w:rsidR="00DD3130">
        <w:rPr>
          <w:rFonts w:ascii="Georgia" w:hAnsi="Georgia"/>
        </w:rPr>
        <w:t>by the Tribunal are lower than those budget figures, that is the maximum amount payable.</w:t>
      </w:r>
    </w:p>
    <w:p w14:paraId="0C4A11EF" w14:textId="77777777" w:rsidR="00B26FC0" w:rsidRDefault="00B26FC0" w:rsidP="00B26FC0">
      <w:pPr>
        <w:pStyle w:val="ListParagraph"/>
        <w:rPr>
          <w:rFonts w:ascii="Georgia" w:hAnsi="Georgia"/>
        </w:rPr>
      </w:pPr>
    </w:p>
    <w:p w14:paraId="2C7B2BBF" w14:textId="165A3384" w:rsidR="00B26FC0" w:rsidRDefault="00B26FC0" w:rsidP="000A0490">
      <w:pPr>
        <w:numPr>
          <w:ilvl w:val="0"/>
          <w:numId w:val="34"/>
        </w:numPr>
        <w:tabs>
          <w:tab w:val="clear" w:pos="1134"/>
          <w:tab w:val="num" w:pos="709"/>
        </w:tabs>
        <w:ind w:left="709" w:hanging="709"/>
        <w:jc w:val="both"/>
        <w:rPr>
          <w:rFonts w:ascii="Georgia" w:hAnsi="Georgia"/>
        </w:rPr>
      </w:pPr>
      <w:r>
        <w:rPr>
          <w:rFonts w:ascii="Georgia" w:hAnsi="Georgia"/>
        </w:rPr>
        <w:t xml:space="preserve">The findings in </w:t>
      </w:r>
      <w:proofErr w:type="spellStart"/>
      <w:r w:rsidRPr="00EC58AF">
        <w:rPr>
          <w:rFonts w:ascii="Georgia" w:hAnsi="Georgia"/>
          <w:i/>
          <w:iCs/>
        </w:rPr>
        <w:t>Charlegrove</w:t>
      </w:r>
      <w:proofErr w:type="spellEnd"/>
      <w:r w:rsidR="00D35400">
        <w:rPr>
          <w:rFonts w:ascii="Georgia" w:hAnsi="Georgia"/>
        </w:rPr>
        <w:t xml:space="preserve"> do not apply to </w:t>
      </w:r>
      <w:r w:rsidR="009A5E5F">
        <w:rPr>
          <w:rFonts w:ascii="Georgia" w:hAnsi="Georgia"/>
        </w:rPr>
        <w:t xml:space="preserve">the </w:t>
      </w:r>
      <w:r w:rsidR="00D35400">
        <w:rPr>
          <w:rFonts w:ascii="Georgia" w:hAnsi="Georgia"/>
        </w:rPr>
        <w:t xml:space="preserve">2022 </w:t>
      </w:r>
      <w:r w:rsidR="009A5E5F">
        <w:rPr>
          <w:rFonts w:ascii="Georgia" w:hAnsi="Georgia"/>
        </w:rPr>
        <w:t xml:space="preserve">service charge year </w:t>
      </w:r>
      <w:r w:rsidR="00D35400">
        <w:rPr>
          <w:rFonts w:ascii="Georgia" w:hAnsi="Georgia"/>
        </w:rPr>
        <w:t xml:space="preserve">because </w:t>
      </w:r>
      <w:r w:rsidR="00EC58AF">
        <w:rPr>
          <w:rFonts w:ascii="Georgia" w:hAnsi="Georgia"/>
        </w:rPr>
        <w:t xml:space="preserve">no sums have been validly demanded </w:t>
      </w:r>
      <w:r w:rsidR="00D35400">
        <w:rPr>
          <w:rFonts w:ascii="Georgia" w:hAnsi="Georgia"/>
        </w:rPr>
        <w:t xml:space="preserve">in </w:t>
      </w:r>
      <w:r w:rsidR="00EC58AF">
        <w:rPr>
          <w:rFonts w:ascii="Georgia" w:hAnsi="Georgia"/>
        </w:rPr>
        <w:t xml:space="preserve">respect of </w:t>
      </w:r>
      <w:r w:rsidR="00D35400">
        <w:rPr>
          <w:rFonts w:ascii="Georgia" w:hAnsi="Georgia"/>
        </w:rPr>
        <w:t xml:space="preserve">that year. </w:t>
      </w:r>
      <w:r w:rsidR="008562A6">
        <w:rPr>
          <w:rFonts w:ascii="Georgia" w:hAnsi="Georgia"/>
        </w:rPr>
        <w:t xml:space="preserve">In the case of </w:t>
      </w:r>
      <w:r w:rsidR="006470B8" w:rsidRPr="006470B8">
        <w:rPr>
          <w:rFonts w:ascii="Georgia" w:hAnsi="Georgia"/>
          <w:i/>
          <w:iCs/>
        </w:rPr>
        <w:t xml:space="preserve">Skelton v DBS Homes (Kings Hill) Ltd </w:t>
      </w:r>
      <w:r w:rsidR="006470B8" w:rsidRPr="006470B8">
        <w:rPr>
          <w:rFonts w:ascii="Georgia" w:hAnsi="Georgia"/>
        </w:rPr>
        <w:t xml:space="preserve">[2017] EWCA </w:t>
      </w:r>
      <w:proofErr w:type="spellStart"/>
      <w:r w:rsidR="006470B8" w:rsidRPr="006470B8">
        <w:rPr>
          <w:rFonts w:ascii="Georgia" w:hAnsi="Georgia"/>
        </w:rPr>
        <w:t>Civ</w:t>
      </w:r>
      <w:proofErr w:type="spellEnd"/>
      <w:r w:rsidR="006470B8" w:rsidRPr="006470B8">
        <w:rPr>
          <w:rFonts w:ascii="Georgia" w:hAnsi="Georgia"/>
        </w:rPr>
        <w:t xml:space="preserve"> 1139</w:t>
      </w:r>
      <w:r w:rsidR="006470B8">
        <w:rPr>
          <w:rFonts w:ascii="Georgia" w:hAnsi="Georgia"/>
        </w:rPr>
        <w:t xml:space="preserve">, the Court of Appeal held </w:t>
      </w:r>
      <w:r w:rsidR="00390001">
        <w:rPr>
          <w:rFonts w:ascii="Georgia" w:hAnsi="Georgia"/>
        </w:rPr>
        <w:t xml:space="preserve">that the date of demand for the purposes of Section 20B </w:t>
      </w:r>
      <w:r w:rsidR="00BA7D8B">
        <w:rPr>
          <w:rFonts w:ascii="Georgia" w:hAnsi="Georgia"/>
        </w:rPr>
        <w:t xml:space="preserve">is the date </w:t>
      </w:r>
      <w:r w:rsidR="000B4EA0">
        <w:rPr>
          <w:rFonts w:ascii="Georgia" w:hAnsi="Georgia"/>
        </w:rPr>
        <w:t xml:space="preserve">when a fully valid demand was received. </w:t>
      </w:r>
      <w:r w:rsidR="004352A9">
        <w:rPr>
          <w:rFonts w:ascii="Georgia" w:hAnsi="Georgia"/>
        </w:rPr>
        <w:t xml:space="preserve">As </w:t>
      </w:r>
      <w:r w:rsidR="008D19B5">
        <w:rPr>
          <w:rFonts w:ascii="Georgia" w:hAnsi="Georgia"/>
        </w:rPr>
        <w:t xml:space="preserve">over 18 months has elapsed since the end of that year without </w:t>
      </w:r>
      <w:r w:rsidR="00D975C0">
        <w:rPr>
          <w:rFonts w:ascii="Georgia" w:hAnsi="Georgia"/>
        </w:rPr>
        <w:t>valid demand</w:t>
      </w:r>
      <w:r w:rsidR="00B5630B">
        <w:rPr>
          <w:rFonts w:ascii="Georgia" w:hAnsi="Georgia"/>
        </w:rPr>
        <w:t>s</w:t>
      </w:r>
      <w:r w:rsidR="00D975C0">
        <w:rPr>
          <w:rFonts w:ascii="Georgia" w:hAnsi="Georgia"/>
        </w:rPr>
        <w:t xml:space="preserve"> </w:t>
      </w:r>
      <w:r w:rsidR="00D975C0">
        <w:rPr>
          <w:rFonts w:ascii="Georgia" w:hAnsi="Georgia"/>
        </w:rPr>
        <w:lastRenderedPageBreak/>
        <w:t xml:space="preserve">for payment </w:t>
      </w:r>
      <w:r w:rsidR="00B5630B">
        <w:rPr>
          <w:rFonts w:ascii="Georgia" w:hAnsi="Georgia"/>
        </w:rPr>
        <w:t>being</w:t>
      </w:r>
      <w:r w:rsidR="00D975C0">
        <w:rPr>
          <w:rFonts w:ascii="Georgia" w:hAnsi="Georgia"/>
        </w:rPr>
        <w:t xml:space="preserve"> served </w:t>
      </w:r>
      <w:r w:rsidR="002728F6">
        <w:rPr>
          <w:rFonts w:ascii="Georgia" w:hAnsi="Georgia"/>
        </w:rPr>
        <w:t>on the Applicants</w:t>
      </w:r>
      <w:r w:rsidR="00B5630B">
        <w:rPr>
          <w:rFonts w:ascii="Georgia" w:hAnsi="Georgia"/>
        </w:rPr>
        <w:t xml:space="preserve">, the application of Section 20B(1) would prevent the </w:t>
      </w:r>
      <w:r w:rsidR="00A72C9B">
        <w:rPr>
          <w:rFonts w:ascii="Georgia" w:hAnsi="Georgia"/>
        </w:rPr>
        <w:t>Respondent recov</w:t>
      </w:r>
      <w:r w:rsidR="004F2038">
        <w:rPr>
          <w:rFonts w:ascii="Georgia" w:hAnsi="Georgia"/>
        </w:rPr>
        <w:t>e</w:t>
      </w:r>
      <w:r w:rsidR="00A72C9B">
        <w:rPr>
          <w:rFonts w:ascii="Georgia" w:hAnsi="Georgia"/>
        </w:rPr>
        <w:t>ring any service charge for that year unless Section 20B</w:t>
      </w:r>
      <w:r w:rsidR="004F2038">
        <w:rPr>
          <w:rFonts w:ascii="Georgia" w:hAnsi="Georgia"/>
        </w:rPr>
        <w:t xml:space="preserve">(2) applies. </w:t>
      </w:r>
    </w:p>
    <w:p w14:paraId="19525657" w14:textId="77777777" w:rsidR="004F2038" w:rsidRDefault="004F2038" w:rsidP="004F2038">
      <w:pPr>
        <w:pStyle w:val="ListParagraph"/>
        <w:rPr>
          <w:rFonts w:ascii="Georgia" w:hAnsi="Georgia"/>
        </w:rPr>
      </w:pPr>
    </w:p>
    <w:p w14:paraId="02AA9DEA" w14:textId="77777777" w:rsidR="009E19C7" w:rsidRDefault="00FC55B7" w:rsidP="000A0490">
      <w:pPr>
        <w:numPr>
          <w:ilvl w:val="0"/>
          <w:numId w:val="34"/>
        </w:numPr>
        <w:tabs>
          <w:tab w:val="clear" w:pos="1134"/>
          <w:tab w:val="num" w:pos="709"/>
        </w:tabs>
        <w:ind w:left="709" w:hanging="709"/>
        <w:jc w:val="both"/>
        <w:rPr>
          <w:rFonts w:ascii="Georgia" w:hAnsi="Georgia"/>
        </w:rPr>
      </w:pPr>
      <w:r>
        <w:rPr>
          <w:rFonts w:ascii="Georgia" w:hAnsi="Georgia"/>
        </w:rPr>
        <w:t xml:space="preserve">That </w:t>
      </w:r>
      <w:r w:rsidR="004B55BA">
        <w:rPr>
          <w:rFonts w:ascii="Georgia" w:hAnsi="Georgia"/>
        </w:rPr>
        <w:t>sub-section provides that Section 20B(1) will no</w:t>
      </w:r>
      <w:r w:rsidR="00D43969">
        <w:rPr>
          <w:rFonts w:ascii="Georgia" w:hAnsi="Georgia"/>
        </w:rPr>
        <w:t>t apply if the lessees are notified within 18 months of the sums being incurred</w:t>
      </w:r>
      <w:r w:rsidR="006552E9">
        <w:rPr>
          <w:rFonts w:ascii="Georgia" w:hAnsi="Georgia"/>
        </w:rPr>
        <w:t xml:space="preserve"> that the costs had been incurred and they would subsequently be required </w:t>
      </w:r>
      <w:r w:rsidR="00E567C8">
        <w:rPr>
          <w:rFonts w:ascii="Georgia" w:hAnsi="Georgia"/>
        </w:rPr>
        <w:t xml:space="preserve">under the terms of the lease to contribute to them. </w:t>
      </w:r>
    </w:p>
    <w:p w14:paraId="6678D2E0" w14:textId="77777777" w:rsidR="009E19C7" w:rsidRDefault="009E19C7" w:rsidP="009E19C7">
      <w:pPr>
        <w:pStyle w:val="ListParagraph"/>
        <w:rPr>
          <w:rFonts w:ascii="Georgia" w:hAnsi="Georgia"/>
        </w:rPr>
      </w:pPr>
    </w:p>
    <w:p w14:paraId="4F94C4E5" w14:textId="0C75E828" w:rsidR="004F2038" w:rsidRDefault="009E19C7" w:rsidP="000A0490">
      <w:pPr>
        <w:numPr>
          <w:ilvl w:val="0"/>
          <w:numId w:val="34"/>
        </w:numPr>
        <w:tabs>
          <w:tab w:val="clear" w:pos="1134"/>
          <w:tab w:val="num" w:pos="709"/>
        </w:tabs>
        <w:ind w:left="709" w:hanging="709"/>
        <w:jc w:val="both"/>
        <w:rPr>
          <w:rFonts w:ascii="Georgia" w:hAnsi="Georgia"/>
        </w:rPr>
      </w:pPr>
      <w:r>
        <w:rPr>
          <w:rFonts w:ascii="Georgia" w:hAnsi="Georgia"/>
        </w:rPr>
        <w:t xml:space="preserve">In this case, the Applicants were notified of the service charge budget for 2022 by an email </w:t>
      </w:r>
      <w:r w:rsidR="00BC1775">
        <w:rPr>
          <w:rFonts w:ascii="Georgia" w:hAnsi="Georgia"/>
        </w:rPr>
        <w:t xml:space="preserve">in September 2023. </w:t>
      </w:r>
      <w:r w:rsidR="00991F36">
        <w:rPr>
          <w:rFonts w:ascii="Georgia" w:hAnsi="Georgia"/>
        </w:rPr>
        <w:t xml:space="preserve">However, the Tribunal does not consider that </w:t>
      </w:r>
      <w:r w:rsidR="00421CF4">
        <w:rPr>
          <w:rFonts w:ascii="Georgia" w:hAnsi="Georgia"/>
        </w:rPr>
        <w:t xml:space="preserve">merely pasting a budget that was identical to the previous year </w:t>
      </w:r>
      <w:r w:rsidR="001C4A65">
        <w:rPr>
          <w:rFonts w:ascii="Georgia" w:hAnsi="Georgia"/>
        </w:rPr>
        <w:t>into an email fulfils the requirement of Section 2</w:t>
      </w:r>
      <w:r w:rsidR="001117D6">
        <w:rPr>
          <w:rFonts w:ascii="Georgia" w:hAnsi="Georgia"/>
        </w:rPr>
        <w:t>oB(2). This did not amount to notification that the sums had been incurred</w:t>
      </w:r>
      <w:r w:rsidR="00D134B1">
        <w:rPr>
          <w:rFonts w:ascii="Georgia" w:hAnsi="Georgia"/>
        </w:rPr>
        <w:t xml:space="preserve"> or that they would subsequently be required to contribute towards them by way of service charge. </w:t>
      </w:r>
      <w:r w:rsidR="00512A0A">
        <w:rPr>
          <w:rFonts w:ascii="Georgia" w:hAnsi="Georgia"/>
        </w:rPr>
        <w:t xml:space="preserve">The </w:t>
      </w:r>
      <w:r w:rsidR="00092EF1">
        <w:rPr>
          <w:rFonts w:ascii="Georgia" w:hAnsi="Georgia"/>
        </w:rPr>
        <w:t>purpose</w:t>
      </w:r>
      <w:r w:rsidR="00512A0A">
        <w:rPr>
          <w:rFonts w:ascii="Georgia" w:hAnsi="Georgia"/>
        </w:rPr>
        <w:t xml:space="preserve"> of Section 20B, as confirmed by the Court of Appeal in </w:t>
      </w:r>
      <w:r w:rsidR="005420EE" w:rsidRPr="00092EF1">
        <w:rPr>
          <w:rFonts w:ascii="Georgia" w:hAnsi="Georgia"/>
          <w:i/>
          <w:iCs/>
        </w:rPr>
        <w:t>Skelton</w:t>
      </w:r>
      <w:r w:rsidR="00092EF1">
        <w:rPr>
          <w:rFonts w:ascii="Georgia" w:hAnsi="Georgia"/>
        </w:rPr>
        <w:t>,</w:t>
      </w:r>
      <w:r w:rsidR="005420EE">
        <w:rPr>
          <w:rFonts w:ascii="Georgia" w:hAnsi="Georgia"/>
        </w:rPr>
        <w:t xml:space="preserve"> is that </w:t>
      </w:r>
      <w:r w:rsidR="00AE288D">
        <w:rPr>
          <w:rFonts w:ascii="Georgia" w:hAnsi="Georgia"/>
        </w:rPr>
        <w:t xml:space="preserve">the lessee should have a proper demand for </w:t>
      </w:r>
      <w:r w:rsidR="002F0042">
        <w:rPr>
          <w:rFonts w:ascii="Georgia" w:hAnsi="Georgia"/>
        </w:rPr>
        <w:t xml:space="preserve">the service charge within 18 months of the relevant costs being incurred. </w:t>
      </w:r>
      <w:r w:rsidR="00F67937">
        <w:rPr>
          <w:rFonts w:ascii="Georgia" w:hAnsi="Georgia"/>
        </w:rPr>
        <w:t>On the evidence before it</w:t>
      </w:r>
      <w:r w:rsidR="00E1726B">
        <w:rPr>
          <w:rFonts w:ascii="Georgia" w:hAnsi="Georgia"/>
        </w:rPr>
        <w:t xml:space="preserve">, the Tribunal finds that has not </w:t>
      </w:r>
      <w:r w:rsidR="00604539">
        <w:rPr>
          <w:rFonts w:ascii="Georgia" w:hAnsi="Georgia"/>
        </w:rPr>
        <w:t>occurred</w:t>
      </w:r>
      <w:r w:rsidR="00745798">
        <w:rPr>
          <w:rFonts w:ascii="Georgia" w:hAnsi="Georgia"/>
        </w:rPr>
        <w:t xml:space="preserve"> and the Respondent cannot rely on Section 20B</w:t>
      </w:r>
      <w:r w:rsidR="003925F6">
        <w:rPr>
          <w:rFonts w:ascii="Georgia" w:hAnsi="Georgia"/>
        </w:rPr>
        <w:t>(2) to extend th</w:t>
      </w:r>
      <w:r w:rsidR="00B770CC">
        <w:rPr>
          <w:rFonts w:ascii="Georgia" w:hAnsi="Georgia"/>
        </w:rPr>
        <w:t>at</w:t>
      </w:r>
      <w:r w:rsidR="003925F6">
        <w:rPr>
          <w:rFonts w:ascii="Georgia" w:hAnsi="Georgia"/>
        </w:rPr>
        <w:t xml:space="preserve"> period</w:t>
      </w:r>
      <w:r w:rsidR="009144B1">
        <w:rPr>
          <w:rFonts w:ascii="Georgia" w:hAnsi="Georgia"/>
        </w:rPr>
        <w:t xml:space="preserve">. </w:t>
      </w:r>
      <w:r w:rsidR="009B5D8F">
        <w:rPr>
          <w:rFonts w:ascii="Georgia" w:hAnsi="Georgia"/>
        </w:rPr>
        <w:t xml:space="preserve">As a result, the Tribunal concludes that </w:t>
      </w:r>
      <w:r w:rsidR="00D808D7">
        <w:rPr>
          <w:rFonts w:ascii="Georgia" w:hAnsi="Georgia"/>
        </w:rPr>
        <w:t xml:space="preserve">the application of Section 20B means that the Applicants have no liability to </w:t>
      </w:r>
      <w:r w:rsidR="004A4C79">
        <w:rPr>
          <w:rFonts w:ascii="Georgia" w:hAnsi="Georgia"/>
        </w:rPr>
        <w:t>pay any service charge for the 2022 service charge year.</w:t>
      </w:r>
    </w:p>
    <w:p w14:paraId="1A7C4123" w14:textId="77777777" w:rsidR="00F67937" w:rsidRDefault="00F67937" w:rsidP="00F67937">
      <w:pPr>
        <w:pStyle w:val="ListParagraph"/>
        <w:rPr>
          <w:rFonts w:ascii="Georgia" w:hAnsi="Georgia"/>
        </w:rPr>
      </w:pPr>
    </w:p>
    <w:p w14:paraId="031D6A1B" w14:textId="2257FCC8" w:rsidR="00F67937" w:rsidRPr="005A38B9" w:rsidRDefault="009B5D8F" w:rsidP="000A0490">
      <w:pPr>
        <w:numPr>
          <w:ilvl w:val="0"/>
          <w:numId w:val="34"/>
        </w:numPr>
        <w:tabs>
          <w:tab w:val="clear" w:pos="1134"/>
          <w:tab w:val="num" w:pos="709"/>
        </w:tabs>
        <w:ind w:left="709" w:hanging="709"/>
        <w:jc w:val="both"/>
        <w:rPr>
          <w:rFonts w:ascii="Georgia" w:hAnsi="Georgia"/>
        </w:rPr>
      </w:pPr>
      <w:r w:rsidRPr="002A6D53">
        <w:rPr>
          <w:rFonts w:ascii="Georgia" w:hAnsi="Georgia" w:cs="Arial"/>
        </w:rPr>
        <w:t>The Tribunal determines that no service charge is payable by the Applicants in respect of the 2022 service charge year</w:t>
      </w:r>
      <w:r w:rsidR="004A4C79">
        <w:rPr>
          <w:rFonts w:ascii="Georgia" w:hAnsi="Georgia" w:cs="Arial"/>
        </w:rPr>
        <w:t>.</w:t>
      </w:r>
    </w:p>
    <w:p w14:paraId="18C57E69" w14:textId="77777777" w:rsidR="00267D06" w:rsidRPr="0089219C" w:rsidRDefault="00267D06" w:rsidP="0089219C">
      <w:pPr>
        <w:rPr>
          <w:rFonts w:ascii="Georgia" w:hAnsi="Georgia"/>
        </w:rPr>
      </w:pPr>
    </w:p>
    <w:p w14:paraId="0EEF98CC" w14:textId="3E364DD5" w:rsidR="00267D06" w:rsidRPr="008070E6" w:rsidRDefault="00267D06" w:rsidP="00267D06">
      <w:pPr>
        <w:jc w:val="both"/>
        <w:rPr>
          <w:rFonts w:ascii="Georgia" w:hAnsi="Georgia"/>
        </w:rPr>
      </w:pPr>
      <w:r w:rsidRPr="00116C5A">
        <w:rPr>
          <w:rFonts w:ascii="Georgia" w:hAnsi="Georgia" w:cs="Arial"/>
          <w:b/>
          <w:bCs/>
          <w:u w:val="single"/>
        </w:rPr>
        <w:t>Service charge sums in dispute</w:t>
      </w:r>
    </w:p>
    <w:p w14:paraId="4F6AE147" w14:textId="77777777" w:rsidR="008070E6" w:rsidRDefault="008070E6" w:rsidP="008070E6">
      <w:pPr>
        <w:pStyle w:val="ListParagraph"/>
        <w:rPr>
          <w:rFonts w:ascii="Georgia" w:hAnsi="Georgia"/>
        </w:rPr>
      </w:pPr>
    </w:p>
    <w:p w14:paraId="642C5057" w14:textId="637C93FF" w:rsidR="00590689" w:rsidRPr="00590689" w:rsidRDefault="00E01F79" w:rsidP="005C49E0">
      <w:pPr>
        <w:numPr>
          <w:ilvl w:val="0"/>
          <w:numId w:val="34"/>
        </w:numPr>
        <w:tabs>
          <w:tab w:val="clear" w:pos="1134"/>
          <w:tab w:val="num" w:pos="709"/>
        </w:tabs>
        <w:ind w:left="709" w:hanging="709"/>
        <w:jc w:val="both"/>
        <w:rPr>
          <w:rFonts w:ascii="Georgia" w:hAnsi="Georgia"/>
        </w:rPr>
      </w:pPr>
      <w:r w:rsidRPr="00570AEE">
        <w:rPr>
          <w:rFonts w:ascii="Georgia" w:hAnsi="Georgia" w:cs="Arial"/>
        </w:rPr>
        <w:t xml:space="preserve">The </w:t>
      </w:r>
      <w:r w:rsidR="005C49E0" w:rsidRPr="00570AEE">
        <w:rPr>
          <w:rFonts w:ascii="Georgia" w:hAnsi="Georgia" w:cs="Arial"/>
        </w:rPr>
        <w:t>T</w:t>
      </w:r>
      <w:r w:rsidRPr="00570AEE">
        <w:rPr>
          <w:rFonts w:ascii="Georgia" w:hAnsi="Georgia" w:cs="Arial"/>
        </w:rPr>
        <w:t xml:space="preserve">ribunal has considered </w:t>
      </w:r>
      <w:r w:rsidR="009A0535">
        <w:rPr>
          <w:rFonts w:ascii="Georgia" w:hAnsi="Georgia" w:cs="Arial"/>
        </w:rPr>
        <w:t xml:space="preserve">each </w:t>
      </w:r>
      <w:r w:rsidRPr="00570AEE">
        <w:rPr>
          <w:rFonts w:ascii="Georgia" w:hAnsi="Georgia" w:cs="Arial"/>
        </w:rPr>
        <w:t xml:space="preserve">of the service charge items </w:t>
      </w:r>
      <w:r w:rsidR="009A0535">
        <w:rPr>
          <w:rFonts w:ascii="Georgia" w:hAnsi="Georgia" w:cs="Arial"/>
        </w:rPr>
        <w:t>set out in the budgets provided</w:t>
      </w:r>
      <w:r w:rsidR="00B94E41">
        <w:rPr>
          <w:rFonts w:ascii="Georgia" w:hAnsi="Georgia" w:cs="Arial"/>
        </w:rPr>
        <w:t xml:space="preserve">. It included </w:t>
      </w:r>
      <w:r w:rsidR="00551320">
        <w:rPr>
          <w:rFonts w:ascii="Georgia" w:hAnsi="Georgia" w:cs="Arial"/>
        </w:rPr>
        <w:t>the 2022 service charge in its consideration</w:t>
      </w:r>
      <w:r w:rsidR="00AD6844">
        <w:rPr>
          <w:rFonts w:ascii="Georgia" w:hAnsi="Georgia" w:cs="Arial"/>
        </w:rPr>
        <w:t xml:space="preserve"> </w:t>
      </w:r>
      <w:r w:rsidRPr="00570AEE">
        <w:rPr>
          <w:rFonts w:ascii="Georgia" w:hAnsi="Georgia" w:cs="Arial"/>
        </w:rPr>
        <w:t xml:space="preserve">in case there were valid invoices served in relation to </w:t>
      </w:r>
      <w:r w:rsidR="00770823">
        <w:rPr>
          <w:rFonts w:ascii="Georgia" w:hAnsi="Georgia" w:cs="Arial"/>
        </w:rPr>
        <w:t>that year</w:t>
      </w:r>
      <w:r w:rsidR="005246C9">
        <w:rPr>
          <w:rFonts w:ascii="Georgia" w:hAnsi="Georgia" w:cs="Arial"/>
        </w:rPr>
        <w:t xml:space="preserve">. </w:t>
      </w:r>
      <w:r w:rsidR="00F905E8">
        <w:rPr>
          <w:rFonts w:ascii="Georgia" w:hAnsi="Georgia" w:cs="Arial"/>
        </w:rPr>
        <w:t>However it has only included</w:t>
      </w:r>
      <w:r w:rsidR="00E85675">
        <w:rPr>
          <w:rFonts w:ascii="Georgia" w:hAnsi="Georgia" w:cs="Arial"/>
        </w:rPr>
        <w:t xml:space="preserve"> the </w:t>
      </w:r>
      <w:r w:rsidR="0001307F">
        <w:rPr>
          <w:rFonts w:ascii="Georgia" w:hAnsi="Georgia" w:cs="Arial"/>
        </w:rPr>
        <w:t xml:space="preserve">decisions </w:t>
      </w:r>
      <w:r w:rsidR="00E85675">
        <w:rPr>
          <w:rFonts w:ascii="Georgia" w:hAnsi="Georgia" w:cs="Arial"/>
        </w:rPr>
        <w:t xml:space="preserve">made in </w:t>
      </w:r>
      <w:r w:rsidR="00022AD8">
        <w:rPr>
          <w:rFonts w:ascii="Georgia" w:hAnsi="Georgia" w:cs="Arial"/>
        </w:rPr>
        <w:t xml:space="preserve"> in relation to 2021 in </w:t>
      </w:r>
      <w:r w:rsidR="00E85675">
        <w:rPr>
          <w:rFonts w:ascii="Georgia" w:hAnsi="Georgia" w:cs="Arial"/>
        </w:rPr>
        <w:t>its final de</w:t>
      </w:r>
      <w:r w:rsidR="005E6DCF">
        <w:rPr>
          <w:rFonts w:ascii="Georgia" w:hAnsi="Georgia" w:cs="Arial"/>
        </w:rPr>
        <w:t xml:space="preserve">cision at the start of this </w:t>
      </w:r>
      <w:r w:rsidR="0001307F">
        <w:rPr>
          <w:rFonts w:ascii="Georgia" w:hAnsi="Georgia" w:cs="Arial"/>
        </w:rPr>
        <w:t xml:space="preserve">in relation to 2021 as </w:t>
      </w:r>
      <w:r w:rsidR="00DA180D">
        <w:rPr>
          <w:rFonts w:ascii="Georgia" w:hAnsi="Georgia" w:cs="Arial"/>
        </w:rPr>
        <w:t>it has already determined that no sum</w:t>
      </w:r>
      <w:r w:rsidR="00627CC4">
        <w:rPr>
          <w:rFonts w:ascii="Georgia" w:hAnsi="Georgia" w:cs="Arial"/>
        </w:rPr>
        <w:t>s</w:t>
      </w:r>
      <w:r w:rsidR="00DA180D">
        <w:rPr>
          <w:rFonts w:ascii="Georgia" w:hAnsi="Georgia" w:cs="Arial"/>
        </w:rPr>
        <w:t xml:space="preserve"> are payable for 2022. </w:t>
      </w:r>
      <w:r w:rsidR="00700560">
        <w:rPr>
          <w:rFonts w:ascii="Georgia" w:hAnsi="Georgia" w:cs="Arial"/>
        </w:rPr>
        <w:t xml:space="preserve">The sums payable in the event that valid invoices are found for 2022 are </w:t>
      </w:r>
      <w:r w:rsidR="00955CFE">
        <w:rPr>
          <w:rFonts w:ascii="Georgia" w:hAnsi="Georgia" w:cs="Arial"/>
        </w:rPr>
        <w:t>clearly identifiable</w:t>
      </w:r>
      <w:r w:rsidR="00700560">
        <w:rPr>
          <w:rFonts w:ascii="Georgia" w:hAnsi="Georgia" w:cs="Arial"/>
        </w:rPr>
        <w:t xml:space="preserve"> in the </w:t>
      </w:r>
      <w:r w:rsidR="004563F3">
        <w:rPr>
          <w:rFonts w:ascii="Georgia" w:hAnsi="Georgia" w:cs="Arial"/>
        </w:rPr>
        <w:t xml:space="preserve">text below. </w:t>
      </w:r>
    </w:p>
    <w:p w14:paraId="740ADAB5" w14:textId="77777777" w:rsidR="00590689" w:rsidRPr="00590689" w:rsidRDefault="00590689" w:rsidP="00590689">
      <w:pPr>
        <w:ind w:left="709"/>
        <w:jc w:val="both"/>
        <w:rPr>
          <w:rFonts w:ascii="Georgia" w:hAnsi="Georgia"/>
        </w:rPr>
      </w:pPr>
    </w:p>
    <w:p w14:paraId="329D7ED0" w14:textId="127310AD" w:rsidR="00763794" w:rsidRPr="00763794" w:rsidRDefault="00590689" w:rsidP="005C49E0">
      <w:pPr>
        <w:numPr>
          <w:ilvl w:val="0"/>
          <w:numId w:val="34"/>
        </w:numPr>
        <w:tabs>
          <w:tab w:val="clear" w:pos="1134"/>
          <w:tab w:val="num" w:pos="709"/>
        </w:tabs>
        <w:ind w:left="709" w:hanging="709"/>
        <w:jc w:val="both"/>
        <w:rPr>
          <w:rFonts w:ascii="Georgia" w:hAnsi="Georgia"/>
        </w:rPr>
      </w:pPr>
      <w:r>
        <w:rPr>
          <w:rFonts w:ascii="Georgia" w:hAnsi="Georgia" w:cs="Arial"/>
        </w:rPr>
        <w:t>As no accounts have been provided by the Respondent</w:t>
      </w:r>
      <w:r w:rsidR="002F4F80">
        <w:rPr>
          <w:rFonts w:ascii="Georgia" w:hAnsi="Georgia" w:cs="Arial"/>
        </w:rPr>
        <w:t xml:space="preserve">, the Tribunal has used the budget figures provided. However, as </w:t>
      </w:r>
      <w:r w:rsidR="00337708">
        <w:rPr>
          <w:rFonts w:ascii="Georgia" w:hAnsi="Georgia" w:cs="Arial"/>
        </w:rPr>
        <w:t xml:space="preserve">both </w:t>
      </w:r>
      <w:r w:rsidR="002F4F80">
        <w:rPr>
          <w:rFonts w:ascii="Georgia" w:hAnsi="Georgia" w:cs="Arial"/>
        </w:rPr>
        <w:t xml:space="preserve">these </w:t>
      </w:r>
      <w:r w:rsidR="00337708">
        <w:rPr>
          <w:rFonts w:ascii="Georgia" w:hAnsi="Georgia" w:cs="Arial"/>
        </w:rPr>
        <w:t xml:space="preserve">years have completed, it has made an assessment on what the year end </w:t>
      </w:r>
      <w:r w:rsidR="007F17AC">
        <w:rPr>
          <w:rFonts w:ascii="Georgia" w:hAnsi="Georgia" w:cs="Arial"/>
        </w:rPr>
        <w:t xml:space="preserve">figures should have been, based on the Respondent’s actions. </w:t>
      </w:r>
      <w:r w:rsidR="002506EB">
        <w:rPr>
          <w:rFonts w:ascii="Georgia" w:hAnsi="Georgia" w:cs="Arial"/>
        </w:rPr>
        <w:t>It could have instead considered these figures at the commencement of the year based on what was reasonable at that point. However, given the failure to produce year end accounts, there is no legal route pursuant to the 1985 Act for the Applicants to recover any overpayment. Furthermore, it is inappropriate that the Respondent or its managing agents should benefit from receiving and retaining higher sums than is reasonable when those higher sums were payable as a result of its own default.</w:t>
      </w:r>
    </w:p>
    <w:p w14:paraId="5F16D12B" w14:textId="77777777" w:rsidR="00763794" w:rsidRDefault="00763794" w:rsidP="00763794">
      <w:pPr>
        <w:pStyle w:val="ListParagraph"/>
        <w:rPr>
          <w:rFonts w:ascii="Georgia" w:hAnsi="Georgia" w:cs="Arial"/>
        </w:rPr>
      </w:pPr>
    </w:p>
    <w:p w14:paraId="0DD86D41" w14:textId="322AE4EF" w:rsidR="00590689" w:rsidRPr="00590689" w:rsidRDefault="00EF6C43" w:rsidP="005C49E0">
      <w:pPr>
        <w:numPr>
          <w:ilvl w:val="0"/>
          <w:numId w:val="34"/>
        </w:numPr>
        <w:tabs>
          <w:tab w:val="clear" w:pos="1134"/>
          <w:tab w:val="num" w:pos="709"/>
        </w:tabs>
        <w:ind w:left="709" w:hanging="709"/>
        <w:jc w:val="both"/>
        <w:rPr>
          <w:rFonts w:ascii="Georgia" w:hAnsi="Georgia"/>
        </w:rPr>
      </w:pPr>
      <w:r>
        <w:rPr>
          <w:rFonts w:ascii="Georgia" w:hAnsi="Georgia" w:cs="Arial"/>
        </w:rPr>
        <w:lastRenderedPageBreak/>
        <w:t xml:space="preserve">In some cases, the Tribunal has reached a decision on </w:t>
      </w:r>
      <w:r w:rsidR="00763794">
        <w:rPr>
          <w:rFonts w:ascii="Georgia" w:hAnsi="Georgia" w:cs="Arial"/>
        </w:rPr>
        <w:t>appropriate levels</w:t>
      </w:r>
      <w:r w:rsidR="009D5351">
        <w:rPr>
          <w:rFonts w:ascii="Georgia" w:hAnsi="Georgia" w:cs="Arial"/>
        </w:rPr>
        <w:t xml:space="preserve"> </w:t>
      </w:r>
      <w:r>
        <w:rPr>
          <w:rFonts w:ascii="Georgia" w:hAnsi="Georgia" w:cs="Arial"/>
        </w:rPr>
        <w:t xml:space="preserve">and these are the sums the Applicants </w:t>
      </w:r>
      <w:r w:rsidR="00966457">
        <w:rPr>
          <w:rFonts w:ascii="Georgia" w:hAnsi="Georgia" w:cs="Arial"/>
        </w:rPr>
        <w:t>should pay. However, if it transpires that the expenditure for that category is lower, the excess should be carried forward against future service charges</w:t>
      </w:r>
      <w:r w:rsidR="00120BE8">
        <w:rPr>
          <w:rFonts w:ascii="Georgia" w:hAnsi="Georgia" w:cs="Arial"/>
        </w:rPr>
        <w:t>. If that expenditure is in fact higher, no further sums beyond the Tribunal’s determinations will be payable.</w:t>
      </w:r>
      <w:r w:rsidR="00497535">
        <w:rPr>
          <w:rFonts w:ascii="Georgia" w:hAnsi="Georgia" w:cs="Arial"/>
        </w:rPr>
        <w:t xml:space="preserve"> This accords with its determination in respect of Section 20B of the 1985 Act above.</w:t>
      </w:r>
    </w:p>
    <w:p w14:paraId="59FB039C" w14:textId="77777777" w:rsidR="00590689" w:rsidRPr="00590689" w:rsidRDefault="00590689" w:rsidP="00590689">
      <w:pPr>
        <w:ind w:left="709"/>
        <w:jc w:val="both"/>
        <w:rPr>
          <w:rFonts w:ascii="Georgia" w:hAnsi="Georgia"/>
        </w:rPr>
      </w:pPr>
    </w:p>
    <w:p w14:paraId="03412B61" w14:textId="6409B9DD" w:rsidR="00967766" w:rsidRPr="004A0E45" w:rsidRDefault="00C45F1A" w:rsidP="005C49E0">
      <w:pPr>
        <w:numPr>
          <w:ilvl w:val="0"/>
          <w:numId w:val="34"/>
        </w:numPr>
        <w:tabs>
          <w:tab w:val="clear" w:pos="1134"/>
          <w:tab w:val="num" w:pos="709"/>
        </w:tabs>
        <w:ind w:left="709" w:hanging="709"/>
        <w:jc w:val="both"/>
        <w:rPr>
          <w:rFonts w:ascii="Georgia" w:hAnsi="Georgia"/>
        </w:rPr>
      </w:pPr>
      <w:r>
        <w:rPr>
          <w:rFonts w:ascii="Georgia" w:hAnsi="Georgia" w:cs="Arial"/>
        </w:rPr>
        <w:t>As no submissions had been received from the Respondent, the Tribunal just considered the bundle provided by the Applicants</w:t>
      </w:r>
      <w:r w:rsidR="00C75CE2">
        <w:rPr>
          <w:rFonts w:ascii="Georgia" w:hAnsi="Georgia" w:cs="Arial"/>
        </w:rPr>
        <w:t xml:space="preserve"> and the submissions made by them at the hearing</w:t>
      </w:r>
      <w:r w:rsidR="000A578B" w:rsidRPr="00570AEE">
        <w:rPr>
          <w:rFonts w:ascii="Georgia" w:hAnsi="Georgia" w:cs="Arial"/>
        </w:rPr>
        <w:t xml:space="preserve">. </w:t>
      </w:r>
    </w:p>
    <w:p w14:paraId="5E25EEB1" w14:textId="77777777" w:rsidR="004A0E45" w:rsidRPr="004A0E45" w:rsidRDefault="004A0E45" w:rsidP="004A0E45">
      <w:pPr>
        <w:ind w:left="709"/>
        <w:jc w:val="both"/>
        <w:rPr>
          <w:rFonts w:ascii="Georgia" w:hAnsi="Georgia"/>
        </w:rPr>
      </w:pPr>
    </w:p>
    <w:p w14:paraId="63B5B7E1" w14:textId="7DB446E8" w:rsidR="004A0E45" w:rsidRPr="004A2A7D" w:rsidRDefault="004A2A7D" w:rsidP="004A0E45">
      <w:pPr>
        <w:jc w:val="both"/>
        <w:rPr>
          <w:rFonts w:ascii="Georgia" w:hAnsi="Georgia"/>
        </w:rPr>
      </w:pPr>
      <w:r>
        <w:rPr>
          <w:rFonts w:ascii="Georgia" w:hAnsi="Georgia" w:cs="Arial"/>
          <w:b/>
          <w:bCs/>
          <w:u w:val="single"/>
        </w:rPr>
        <w:t>Management fees</w:t>
      </w:r>
      <w:r w:rsidR="00E350F9">
        <w:rPr>
          <w:rFonts w:ascii="Georgia" w:hAnsi="Georgia" w:cs="Arial"/>
          <w:b/>
          <w:bCs/>
          <w:u w:val="single"/>
        </w:rPr>
        <w:t xml:space="preserve"> (£1,500)</w:t>
      </w:r>
      <w:r w:rsidR="00BD3B44">
        <w:rPr>
          <w:rFonts w:ascii="Georgia" w:hAnsi="Georgia" w:cs="Arial"/>
          <w:b/>
          <w:bCs/>
          <w:u w:val="single"/>
        </w:rPr>
        <w:t xml:space="preserve"> and Sundries (£100)</w:t>
      </w:r>
    </w:p>
    <w:p w14:paraId="33419289" w14:textId="77777777" w:rsidR="005C49E0" w:rsidRPr="005C49E0" w:rsidRDefault="005C49E0" w:rsidP="005C49E0">
      <w:pPr>
        <w:ind w:left="709"/>
        <w:jc w:val="both"/>
        <w:rPr>
          <w:rFonts w:ascii="Georgia" w:hAnsi="Georgia"/>
        </w:rPr>
      </w:pPr>
    </w:p>
    <w:p w14:paraId="34133C82" w14:textId="40DD4D29" w:rsidR="005C49E0" w:rsidRDefault="00906703" w:rsidP="005C49E0">
      <w:pPr>
        <w:numPr>
          <w:ilvl w:val="0"/>
          <w:numId w:val="34"/>
        </w:numPr>
        <w:tabs>
          <w:tab w:val="clear" w:pos="1134"/>
          <w:tab w:val="num" w:pos="709"/>
        </w:tabs>
        <w:ind w:left="709" w:hanging="709"/>
        <w:jc w:val="both"/>
        <w:rPr>
          <w:rFonts w:ascii="Georgia" w:hAnsi="Georgia"/>
        </w:rPr>
      </w:pPr>
      <w:r>
        <w:rPr>
          <w:rFonts w:ascii="Georgia" w:hAnsi="Georgia" w:cs="Arial"/>
        </w:rPr>
        <w:t xml:space="preserve">The Applicants </w:t>
      </w:r>
      <w:r w:rsidR="00E350F9">
        <w:rPr>
          <w:rFonts w:ascii="Georgia" w:hAnsi="Georgia" w:cs="Arial"/>
        </w:rPr>
        <w:t xml:space="preserve">argued that the </w:t>
      </w:r>
      <w:r w:rsidR="004B3941">
        <w:rPr>
          <w:rFonts w:ascii="Georgia" w:hAnsi="Georgia" w:cs="Arial"/>
        </w:rPr>
        <w:t xml:space="preserve">managing agents in the two years in </w:t>
      </w:r>
      <w:r w:rsidR="004B3941" w:rsidRPr="00D23427">
        <w:rPr>
          <w:rFonts w:ascii="Georgia" w:hAnsi="Georgia" w:cs="Arial"/>
        </w:rPr>
        <w:t xml:space="preserve">question had provided a </w:t>
      </w:r>
      <w:r w:rsidR="00553888" w:rsidRPr="00D23427">
        <w:rPr>
          <w:rFonts w:ascii="Georgia" w:hAnsi="Georgia" w:cs="Arial"/>
        </w:rPr>
        <w:t>poor level of service, pointing to the lack of year end service charge accounts</w:t>
      </w:r>
      <w:r w:rsidR="00B605D9" w:rsidRPr="00D23427">
        <w:rPr>
          <w:rFonts w:ascii="Georgia" w:hAnsi="Georgia" w:cs="Arial"/>
        </w:rPr>
        <w:t xml:space="preserve"> and the failure to respond to the roof leak </w:t>
      </w:r>
      <w:r w:rsidR="00790AEB">
        <w:rPr>
          <w:rFonts w:ascii="Georgia" w:hAnsi="Georgia" w:cs="Arial"/>
        </w:rPr>
        <w:t xml:space="preserve">(and subsequent ceiling collapse) </w:t>
      </w:r>
      <w:r w:rsidR="00B605D9" w:rsidRPr="00D23427">
        <w:rPr>
          <w:rFonts w:ascii="Georgia" w:hAnsi="Georgia" w:cs="Arial"/>
        </w:rPr>
        <w:t>in 2022</w:t>
      </w:r>
      <w:r w:rsidR="005C49E0" w:rsidRPr="00D23427">
        <w:rPr>
          <w:rFonts w:ascii="Georgia" w:hAnsi="Georgia" w:cs="Arial"/>
          <w:i/>
          <w:iCs/>
        </w:rPr>
        <w:t>.</w:t>
      </w:r>
      <w:r w:rsidR="00997653" w:rsidRPr="00D23427">
        <w:rPr>
          <w:rFonts w:ascii="Georgia" w:hAnsi="Georgia" w:cs="Arial"/>
          <w:i/>
          <w:iCs/>
        </w:rPr>
        <w:t xml:space="preserve"> </w:t>
      </w:r>
      <w:r w:rsidR="00997653" w:rsidRPr="00D23427">
        <w:rPr>
          <w:rFonts w:ascii="Georgia" w:hAnsi="Georgia" w:cs="Arial"/>
        </w:rPr>
        <w:t xml:space="preserve">They sent threatening emails </w:t>
      </w:r>
      <w:r w:rsidR="004E7578" w:rsidRPr="00D23427">
        <w:rPr>
          <w:rFonts w:ascii="Georgia" w:hAnsi="Georgia" w:cs="Arial"/>
        </w:rPr>
        <w:t xml:space="preserve">when the sums demanded were not paid, rather than explaining the costs. </w:t>
      </w:r>
      <w:r w:rsidR="00C55B22" w:rsidRPr="00D23427">
        <w:rPr>
          <w:rFonts w:ascii="Georgia" w:hAnsi="Georgia" w:cs="Arial"/>
        </w:rPr>
        <w:t>It was hard to identify anything done by them for their management fee</w:t>
      </w:r>
      <w:r w:rsidR="00A55C1B">
        <w:rPr>
          <w:rFonts w:ascii="Georgia" w:hAnsi="Georgia" w:cs="Arial"/>
        </w:rPr>
        <w:t xml:space="preserve">, other than twice arranging </w:t>
      </w:r>
      <w:r w:rsidR="00953FFE">
        <w:rPr>
          <w:rFonts w:ascii="Georgia" w:hAnsi="Georgia" w:cs="Arial"/>
        </w:rPr>
        <w:t>communal</w:t>
      </w:r>
      <w:r w:rsidR="00A55C1B">
        <w:rPr>
          <w:rFonts w:ascii="Georgia" w:hAnsi="Georgia" w:cs="Arial"/>
        </w:rPr>
        <w:t xml:space="preserve"> cleaning in 2021</w:t>
      </w:r>
      <w:r w:rsidR="00C55B22" w:rsidRPr="00D23427">
        <w:rPr>
          <w:rFonts w:ascii="Georgia" w:hAnsi="Georgia" w:cs="Arial"/>
        </w:rPr>
        <w:t xml:space="preserve">. </w:t>
      </w:r>
      <w:r w:rsidR="00621AB9">
        <w:rPr>
          <w:rFonts w:ascii="Georgia" w:hAnsi="Georgia" w:cs="Arial"/>
        </w:rPr>
        <w:t>The Applicants described the</w:t>
      </w:r>
      <w:r w:rsidR="00EF6CE6">
        <w:rPr>
          <w:rFonts w:ascii="Georgia" w:hAnsi="Georgia" w:cs="Arial"/>
        </w:rPr>
        <w:t xml:space="preserve"> agents’</w:t>
      </w:r>
      <w:r w:rsidR="00621AB9">
        <w:rPr>
          <w:rFonts w:ascii="Georgia" w:hAnsi="Georgia" w:cs="Arial"/>
        </w:rPr>
        <w:t xml:space="preserve"> </w:t>
      </w:r>
      <w:r w:rsidR="00090DFA">
        <w:rPr>
          <w:rFonts w:ascii="Georgia" w:hAnsi="Georgia" w:cs="Arial"/>
        </w:rPr>
        <w:t xml:space="preserve">email claims to be taking action as amounting to false promises. </w:t>
      </w:r>
      <w:r w:rsidR="004E7578" w:rsidRPr="00D23427">
        <w:rPr>
          <w:rFonts w:ascii="Georgia" w:hAnsi="Georgia" w:cs="Arial"/>
        </w:rPr>
        <w:t xml:space="preserve">They contrast their performance with </w:t>
      </w:r>
      <w:r w:rsidR="00C55B22" w:rsidRPr="00D23427">
        <w:rPr>
          <w:rFonts w:ascii="Georgia" w:hAnsi="Georgia" w:cs="Arial"/>
        </w:rPr>
        <w:t xml:space="preserve">The </w:t>
      </w:r>
      <w:proofErr w:type="spellStart"/>
      <w:r w:rsidR="00C55B22" w:rsidRPr="00D23427">
        <w:rPr>
          <w:rFonts w:ascii="Georgia" w:hAnsi="Georgia" w:cs="Arial"/>
        </w:rPr>
        <w:t>Larksworth</w:t>
      </w:r>
      <w:proofErr w:type="spellEnd"/>
      <w:r w:rsidR="00C55B22" w:rsidRPr="00D23427">
        <w:rPr>
          <w:rFonts w:ascii="Georgia" w:hAnsi="Georgia" w:cs="Arial"/>
        </w:rPr>
        <w:t xml:space="preserve"> Group who replaced them in January 2023</w:t>
      </w:r>
      <w:r w:rsidR="009B5B51" w:rsidRPr="00D23427">
        <w:rPr>
          <w:rFonts w:ascii="Georgia" w:hAnsi="Georgia" w:cs="Arial"/>
        </w:rPr>
        <w:t>; their fees were £600 a year less</w:t>
      </w:r>
      <w:r w:rsidR="00AC4C03" w:rsidRPr="00D23427">
        <w:rPr>
          <w:rFonts w:ascii="Georgia" w:hAnsi="Georgia" w:cs="Arial"/>
        </w:rPr>
        <w:t xml:space="preserve">, they prepared year end accounts and they addressed issues </w:t>
      </w:r>
      <w:r w:rsidR="00D23427" w:rsidRPr="00D23427">
        <w:rPr>
          <w:rFonts w:ascii="Georgia" w:hAnsi="Georgia" w:cs="Arial"/>
        </w:rPr>
        <w:t xml:space="preserve">not sorted by </w:t>
      </w:r>
      <w:r w:rsidR="00D23427" w:rsidRPr="00D23427">
        <w:rPr>
          <w:rFonts w:ascii="Georgia" w:hAnsi="Georgia"/>
        </w:rPr>
        <w:t>Landside Property Management Limited, such as the leaking roof.</w:t>
      </w:r>
      <w:r w:rsidR="00BD3B44">
        <w:rPr>
          <w:rFonts w:ascii="Georgia" w:hAnsi="Georgia"/>
        </w:rPr>
        <w:t xml:space="preserve"> No explanation was provided as to what “Sundries” as a </w:t>
      </w:r>
      <w:r w:rsidR="00A55C1B">
        <w:rPr>
          <w:rFonts w:ascii="Georgia" w:hAnsi="Georgia"/>
        </w:rPr>
        <w:t>service charge line item covered.</w:t>
      </w:r>
    </w:p>
    <w:p w14:paraId="40CAFEA9" w14:textId="77777777" w:rsidR="003566D4" w:rsidRDefault="003566D4" w:rsidP="003566D4">
      <w:pPr>
        <w:ind w:left="709"/>
        <w:jc w:val="both"/>
        <w:rPr>
          <w:rFonts w:ascii="Georgia" w:hAnsi="Georgia"/>
        </w:rPr>
      </w:pPr>
    </w:p>
    <w:p w14:paraId="6758B26C" w14:textId="57837651" w:rsidR="003566D4" w:rsidRPr="00716146" w:rsidRDefault="00A55C1B" w:rsidP="003566D4">
      <w:pPr>
        <w:numPr>
          <w:ilvl w:val="0"/>
          <w:numId w:val="34"/>
        </w:numPr>
        <w:tabs>
          <w:tab w:val="clear" w:pos="1134"/>
          <w:tab w:val="num" w:pos="709"/>
        </w:tabs>
        <w:ind w:left="709" w:hanging="709"/>
        <w:jc w:val="both"/>
        <w:rPr>
          <w:rFonts w:ascii="Georgia" w:hAnsi="Georgia"/>
        </w:rPr>
      </w:pPr>
      <w:r w:rsidRPr="003566D4">
        <w:rPr>
          <w:rFonts w:ascii="Georgia" w:hAnsi="Georgia"/>
        </w:rPr>
        <w:t xml:space="preserve">The Tribunal noted </w:t>
      </w:r>
      <w:r w:rsidR="000063CE" w:rsidRPr="003566D4">
        <w:rPr>
          <w:rFonts w:ascii="Georgia" w:hAnsi="Georgia"/>
        </w:rPr>
        <w:t xml:space="preserve">that, on the evidence provided, all the managing agents </w:t>
      </w:r>
      <w:r w:rsidR="00090DFA" w:rsidRPr="003566D4">
        <w:rPr>
          <w:rFonts w:ascii="Georgia" w:hAnsi="Georgia"/>
        </w:rPr>
        <w:t xml:space="preserve">appear to have done for the </w:t>
      </w:r>
      <w:r w:rsidR="000752C7" w:rsidRPr="003566D4">
        <w:rPr>
          <w:rFonts w:ascii="Georgia" w:hAnsi="Georgia"/>
        </w:rPr>
        <w:t>fee was issue two identical budgets</w:t>
      </w:r>
      <w:r w:rsidR="00BA6D60" w:rsidRPr="003566D4">
        <w:rPr>
          <w:rFonts w:ascii="Georgia" w:hAnsi="Georgia"/>
        </w:rPr>
        <w:t xml:space="preserve">, arranged </w:t>
      </w:r>
      <w:r w:rsidR="00953FFE">
        <w:rPr>
          <w:rFonts w:ascii="Georgia" w:hAnsi="Georgia"/>
        </w:rPr>
        <w:t>communal</w:t>
      </w:r>
      <w:r w:rsidR="00BA6D60" w:rsidRPr="003566D4">
        <w:rPr>
          <w:rFonts w:ascii="Georgia" w:hAnsi="Georgia"/>
        </w:rPr>
        <w:t xml:space="preserve"> cleaning on two occasions</w:t>
      </w:r>
      <w:r w:rsidR="00432EE7" w:rsidRPr="003566D4">
        <w:rPr>
          <w:rFonts w:ascii="Georgia" w:hAnsi="Georgia"/>
        </w:rPr>
        <w:t>, sent various emails</w:t>
      </w:r>
      <w:r w:rsidR="00BA6D60" w:rsidRPr="003566D4">
        <w:rPr>
          <w:rFonts w:ascii="Georgia" w:hAnsi="Georgia"/>
        </w:rPr>
        <w:t xml:space="preserve"> and </w:t>
      </w:r>
      <w:r w:rsidR="00432EE7" w:rsidRPr="003566D4">
        <w:rPr>
          <w:rFonts w:ascii="Georgia" w:hAnsi="Georgia"/>
        </w:rPr>
        <w:t>issued invoices in 2021</w:t>
      </w:r>
      <w:r w:rsidR="00D23427" w:rsidRPr="003566D4">
        <w:rPr>
          <w:rFonts w:ascii="Georgia" w:hAnsi="Georgia"/>
        </w:rPr>
        <w:t>.</w:t>
      </w:r>
      <w:r w:rsidR="00432EE7" w:rsidRPr="003566D4">
        <w:rPr>
          <w:rFonts w:ascii="Georgia" w:hAnsi="Georgia"/>
        </w:rPr>
        <w:t xml:space="preserve"> A management fee of £1,500 per year in total would fall, in the Tribunal’s opinion, within the range </w:t>
      </w:r>
      <w:r w:rsidR="009C7265" w:rsidRPr="003566D4">
        <w:rPr>
          <w:rFonts w:ascii="Georgia" w:hAnsi="Georgia"/>
        </w:rPr>
        <w:t>of reasonable fees that could be charged</w:t>
      </w:r>
      <w:r w:rsidR="003A08B1" w:rsidRPr="003566D4">
        <w:rPr>
          <w:rFonts w:ascii="Georgia" w:hAnsi="Georgia"/>
        </w:rPr>
        <w:t xml:space="preserve"> if a reasonable service was provided</w:t>
      </w:r>
      <w:r w:rsidR="009C7265" w:rsidRPr="003566D4">
        <w:rPr>
          <w:rFonts w:ascii="Georgia" w:hAnsi="Georgia"/>
        </w:rPr>
        <w:t>.</w:t>
      </w:r>
      <w:r w:rsidR="003A08B1" w:rsidRPr="003566D4">
        <w:rPr>
          <w:rFonts w:ascii="Georgia" w:hAnsi="Georgia"/>
        </w:rPr>
        <w:t xml:space="preserve"> </w:t>
      </w:r>
      <w:r w:rsidR="003566D4" w:rsidRPr="00716146">
        <w:rPr>
          <w:rFonts w:ascii="Georgia" w:hAnsi="Georgia" w:cs="Arial"/>
        </w:rPr>
        <w:t xml:space="preserve">However, it also notes the </w:t>
      </w:r>
      <w:r w:rsidR="00AD2494" w:rsidRPr="00716146">
        <w:rPr>
          <w:rFonts w:ascii="Georgia" w:hAnsi="Georgia" w:cs="Arial"/>
        </w:rPr>
        <w:t>limited services actually provided</w:t>
      </w:r>
      <w:r w:rsidR="003566D4" w:rsidRPr="00716146">
        <w:rPr>
          <w:rFonts w:ascii="Georgia" w:hAnsi="Georgia" w:cs="Arial"/>
        </w:rPr>
        <w:t>,</w:t>
      </w:r>
      <w:r w:rsidR="00AD2494" w:rsidRPr="00716146">
        <w:rPr>
          <w:rFonts w:ascii="Georgia" w:hAnsi="Georgia" w:cs="Arial"/>
        </w:rPr>
        <w:t xml:space="preserve"> the approach taken to recover unpaid amounts</w:t>
      </w:r>
      <w:r w:rsidR="003A125C" w:rsidRPr="00716146">
        <w:rPr>
          <w:rFonts w:ascii="Georgia" w:hAnsi="Georgia" w:cs="Arial"/>
        </w:rPr>
        <w:t xml:space="preserve"> and the failure to </w:t>
      </w:r>
      <w:r w:rsidR="004968BD" w:rsidRPr="00716146">
        <w:rPr>
          <w:rFonts w:ascii="Georgia" w:hAnsi="Georgia" w:cs="Arial"/>
        </w:rPr>
        <w:t xml:space="preserve">provide year end accounts or evidence of sums incurred. </w:t>
      </w:r>
      <w:r w:rsidR="007D23BD" w:rsidRPr="00716146">
        <w:rPr>
          <w:rFonts w:ascii="Georgia" w:hAnsi="Georgia" w:cs="Arial"/>
        </w:rPr>
        <w:t>It also considers that “Sundries” should be covered by the management fee</w:t>
      </w:r>
      <w:r w:rsidR="003566D4" w:rsidRPr="00716146">
        <w:rPr>
          <w:rFonts w:ascii="Georgia" w:hAnsi="Georgia" w:cs="Arial"/>
        </w:rPr>
        <w:t>.</w:t>
      </w:r>
      <w:r w:rsidR="00432253" w:rsidRPr="00716146">
        <w:rPr>
          <w:rFonts w:ascii="Georgia" w:hAnsi="Georgia" w:cs="Arial"/>
        </w:rPr>
        <w:t xml:space="preserve"> </w:t>
      </w:r>
      <w:r w:rsidR="003566D4" w:rsidRPr="00716146">
        <w:rPr>
          <w:rFonts w:ascii="Georgia" w:hAnsi="Georgia" w:cs="Arial"/>
        </w:rPr>
        <w:t xml:space="preserve"> It finds that a </w:t>
      </w:r>
      <w:r w:rsidR="00432253" w:rsidRPr="00716146">
        <w:rPr>
          <w:rFonts w:ascii="Georgia" w:hAnsi="Georgia" w:cs="Arial"/>
        </w:rPr>
        <w:t>25</w:t>
      </w:r>
      <w:r w:rsidR="003566D4" w:rsidRPr="00716146">
        <w:rPr>
          <w:rFonts w:ascii="Georgia" w:hAnsi="Georgia" w:cs="Arial"/>
        </w:rPr>
        <w:t>% fee is appropriate in aggregate and therefore determines a reasonable fee is £</w:t>
      </w:r>
      <w:r w:rsidR="00C7729B" w:rsidRPr="00716146">
        <w:rPr>
          <w:rFonts w:ascii="Georgia" w:hAnsi="Georgia" w:cs="Arial"/>
        </w:rPr>
        <w:t>375</w:t>
      </w:r>
      <w:r w:rsidR="003566D4" w:rsidRPr="00716146">
        <w:rPr>
          <w:rFonts w:ascii="Georgia" w:hAnsi="Georgia" w:cs="Arial"/>
        </w:rPr>
        <w:t xml:space="preserve"> plus VAT </w:t>
      </w:r>
      <w:r w:rsidR="00C7729B" w:rsidRPr="00716146">
        <w:rPr>
          <w:rFonts w:ascii="Georgia" w:hAnsi="Georgia" w:cs="Arial"/>
        </w:rPr>
        <w:t xml:space="preserve">divided amongst the six flats </w:t>
      </w:r>
      <w:r w:rsidR="003E687E" w:rsidRPr="00716146">
        <w:rPr>
          <w:rFonts w:ascii="Georgia" w:hAnsi="Georgia" w:cs="Arial"/>
        </w:rPr>
        <w:t xml:space="preserve">for </w:t>
      </w:r>
      <w:r w:rsidR="003537CE">
        <w:rPr>
          <w:rFonts w:ascii="Georgia" w:hAnsi="Georgia" w:cs="Arial"/>
        </w:rPr>
        <w:t xml:space="preserve">each of </w:t>
      </w:r>
      <w:r w:rsidR="003E687E" w:rsidRPr="00716146">
        <w:rPr>
          <w:rFonts w:ascii="Georgia" w:hAnsi="Georgia" w:cs="Arial"/>
        </w:rPr>
        <w:t>2021 and 2022</w:t>
      </w:r>
      <w:r w:rsidR="003566D4" w:rsidRPr="00716146">
        <w:rPr>
          <w:rFonts w:ascii="Georgia" w:hAnsi="Georgia" w:cs="Arial"/>
        </w:rPr>
        <w:t>.</w:t>
      </w:r>
      <w:r w:rsidR="003E687E" w:rsidRPr="00716146">
        <w:rPr>
          <w:rFonts w:ascii="Georgia" w:hAnsi="Georgia" w:cs="Arial"/>
        </w:rPr>
        <w:t xml:space="preserve"> This </w:t>
      </w:r>
      <w:r w:rsidR="00716146" w:rsidRPr="00716146">
        <w:rPr>
          <w:rFonts w:ascii="Georgia" w:hAnsi="Georgia" w:cs="Arial"/>
        </w:rPr>
        <w:t>figure includes “Sundries” and no amount is payable under that heading.</w:t>
      </w:r>
    </w:p>
    <w:p w14:paraId="048EEFC0" w14:textId="77777777" w:rsidR="00CC1E1C" w:rsidRPr="003566D4" w:rsidRDefault="00CC1E1C" w:rsidP="00CC1E1C">
      <w:pPr>
        <w:jc w:val="both"/>
        <w:rPr>
          <w:rFonts w:ascii="Georgia" w:hAnsi="Georgia"/>
        </w:rPr>
      </w:pPr>
    </w:p>
    <w:p w14:paraId="1C92D1A6" w14:textId="6DF1F75D" w:rsidR="003566D4" w:rsidRPr="00D11544" w:rsidRDefault="003566D4" w:rsidP="003566D4">
      <w:pPr>
        <w:numPr>
          <w:ilvl w:val="0"/>
          <w:numId w:val="34"/>
        </w:numPr>
        <w:tabs>
          <w:tab w:val="clear" w:pos="1134"/>
          <w:tab w:val="num" w:pos="709"/>
        </w:tabs>
        <w:ind w:left="709" w:hanging="709"/>
        <w:jc w:val="both"/>
        <w:rPr>
          <w:rFonts w:ascii="Georgia" w:hAnsi="Georgia"/>
        </w:rPr>
      </w:pPr>
      <w:r w:rsidRPr="003E3FB0">
        <w:rPr>
          <w:rFonts w:ascii="Georgia" w:hAnsi="Georgia" w:cs="Arial"/>
        </w:rPr>
        <w:t xml:space="preserve">The </w:t>
      </w:r>
      <w:r w:rsidR="00716146" w:rsidRPr="003E3FB0">
        <w:rPr>
          <w:rFonts w:ascii="Georgia" w:hAnsi="Georgia" w:cs="Arial"/>
        </w:rPr>
        <w:t>T</w:t>
      </w:r>
      <w:r w:rsidRPr="003E3FB0">
        <w:rPr>
          <w:rFonts w:ascii="Georgia" w:hAnsi="Georgia" w:cs="Arial"/>
        </w:rPr>
        <w:t>ribunal determines that the aggregate management fee payable by the Applicant</w:t>
      </w:r>
      <w:r w:rsidR="003E3FB0" w:rsidRPr="003E3FB0">
        <w:rPr>
          <w:rFonts w:ascii="Georgia" w:hAnsi="Georgia" w:cs="Arial"/>
        </w:rPr>
        <w:t>s</w:t>
      </w:r>
      <w:r w:rsidRPr="003E3FB0">
        <w:rPr>
          <w:rFonts w:ascii="Georgia" w:hAnsi="Georgia" w:cs="Arial"/>
        </w:rPr>
        <w:t xml:space="preserve"> for the 2021 service charge year is £</w:t>
      </w:r>
      <w:r w:rsidR="003E3FB0" w:rsidRPr="003E3FB0">
        <w:rPr>
          <w:rFonts w:ascii="Georgia" w:hAnsi="Georgia" w:cs="Arial"/>
        </w:rPr>
        <w:t>37</w:t>
      </w:r>
      <w:r w:rsidRPr="003E3FB0">
        <w:rPr>
          <w:rFonts w:ascii="Georgia" w:hAnsi="Georgia" w:cs="Arial"/>
        </w:rPr>
        <w:t>5 plus VAT</w:t>
      </w:r>
      <w:r w:rsidR="003E3FB0" w:rsidRPr="003E3FB0">
        <w:rPr>
          <w:rFonts w:ascii="Georgia" w:hAnsi="Georgia" w:cs="Arial"/>
        </w:rPr>
        <w:t xml:space="preserve"> and that no amount is payable in respect of Sundries.</w:t>
      </w:r>
    </w:p>
    <w:p w14:paraId="59F2356C" w14:textId="77777777" w:rsidR="00D11544" w:rsidRDefault="00D11544" w:rsidP="00D11544">
      <w:pPr>
        <w:pStyle w:val="ListParagraph"/>
        <w:rPr>
          <w:rFonts w:ascii="Georgia" w:hAnsi="Georgia"/>
        </w:rPr>
      </w:pPr>
    </w:p>
    <w:p w14:paraId="010C8FB8" w14:textId="0DFA56E1" w:rsidR="00D11544" w:rsidRPr="00EB7069" w:rsidRDefault="001401CD" w:rsidP="00D11544">
      <w:pPr>
        <w:jc w:val="both"/>
        <w:rPr>
          <w:rFonts w:ascii="Georgia" w:hAnsi="Georgia"/>
          <w:b/>
          <w:bCs/>
          <w:u w:val="single"/>
        </w:rPr>
      </w:pPr>
      <w:r w:rsidRPr="00EB7069">
        <w:rPr>
          <w:rFonts w:ascii="Georgia" w:hAnsi="Georgia"/>
          <w:b/>
          <w:bCs/>
          <w:u w:val="single"/>
        </w:rPr>
        <w:t>Accounting fees – annual certification - £600</w:t>
      </w:r>
    </w:p>
    <w:p w14:paraId="47818F77" w14:textId="77777777" w:rsidR="003566D4" w:rsidRDefault="003566D4" w:rsidP="003566D4">
      <w:pPr>
        <w:pStyle w:val="ListParagraph"/>
        <w:rPr>
          <w:rFonts w:ascii="Georgia" w:hAnsi="Georgia"/>
        </w:rPr>
      </w:pPr>
    </w:p>
    <w:p w14:paraId="7396673F" w14:textId="7095DD61" w:rsidR="003566D4" w:rsidRDefault="008D26F6" w:rsidP="005C49E0">
      <w:pPr>
        <w:numPr>
          <w:ilvl w:val="0"/>
          <w:numId w:val="34"/>
        </w:numPr>
        <w:tabs>
          <w:tab w:val="clear" w:pos="1134"/>
          <w:tab w:val="num" w:pos="709"/>
        </w:tabs>
        <w:ind w:left="709" w:hanging="709"/>
        <w:jc w:val="both"/>
        <w:rPr>
          <w:rFonts w:ascii="Georgia" w:hAnsi="Georgia"/>
        </w:rPr>
      </w:pPr>
      <w:r>
        <w:rPr>
          <w:rFonts w:ascii="Georgia" w:hAnsi="Georgia"/>
        </w:rPr>
        <w:t xml:space="preserve">The Applicants argued that as no annual certification was carried out, no fee </w:t>
      </w:r>
      <w:r w:rsidR="00F32122">
        <w:rPr>
          <w:rFonts w:ascii="Georgia" w:hAnsi="Georgia"/>
        </w:rPr>
        <w:t>should be payable for either year</w:t>
      </w:r>
      <w:r w:rsidR="003566D4">
        <w:rPr>
          <w:rFonts w:ascii="Georgia" w:hAnsi="Georgia"/>
        </w:rPr>
        <w:t>.</w:t>
      </w:r>
    </w:p>
    <w:p w14:paraId="6C03CE4D" w14:textId="77777777" w:rsidR="003566D4" w:rsidRDefault="003566D4" w:rsidP="003566D4">
      <w:pPr>
        <w:pStyle w:val="ListParagraph"/>
        <w:rPr>
          <w:rFonts w:ascii="Georgia" w:hAnsi="Georgia"/>
        </w:rPr>
      </w:pPr>
    </w:p>
    <w:p w14:paraId="52A15730" w14:textId="77777777" w:rsidR="007F4825" w:rsidRDefault="00F32122" w:rsidP="005C49E0">
      <w:pPr>
        <w:numPr>
          <w:ilvl w:val="0"/>
          <w:numId w:val="34"/>
        </w:numPr>
        <w:tabs>
          <w:tab w:val="clear" w:pos="1134"/>
          <w:tab w:val="num" w:pos="709"/>
        </w:tabs>
        <w:ind w:left="709" w:hanging="709"/>
        <w:jc w:val="both"/>
        <w:rPr>
          <w:rFonts w:ascii="Georgia" w:hAnsi="Georgia"/>
        </w:rPr>
      </w:pPr>
      <w:r>
        <w:rPr>
          <w:rFonts w:ascii="Georgia" w:hAnsi="Georgia"/>
        </w:rPr>
        <w:t xml:space="preserve">The Tribunal </w:t>
      </w:r>
      <w:r w:rsidR="00341F3E">
        <w:rPr>
          <w:rFonts w:ascii="Georgia" w:hAnsi="Georgia"/>
        </w:rPr>
        <w:t xml:space="preserve">has seen no evidence of </w:t>
      </w:r>
      <w:r w:rsidR="006D2C6E">
        <w:rPr>
          <w:rFonts w:ascii="Georgia" w:hAnsi="Georgia"/>
        </w:rPr>
        <w:t>any form of year end accounts or certification of them</w:t>
      </w:r>
      <w:r w:rsidR="003566D4">
        <w:rPr>
          <w:rFonts w:ascii="Georgia" w:hAnsi="Georgia"/>
        </w:rPr>
        <w:t>.</w:t>
      </w:r>
      <w:r w:rsidR="00515CA8">
        <w:rPr>
          <w:rFonts w:ascii="Georgia" w:hAnsi="Georgia"/>
        </w:rPr>
        <w:t xml:space="preserve"> £600 for this in any event appears to be a high fee for what should have been relatively simple accounts to certify. </w:t>
      </w:r>
      <w:r w:rsidR="007F4825">
        <w:rPr>
          <w:rFonts w:ascii="Georgia" w:hAnsi="Georgia"/>
        </w:rPr>
        <w:t>However, as this service has not been provided, it considers that no amount should be payable.</w:t>
      </w:r>
    </w:p>
    <w:p w14:paraId="129AA382" w14:textId="77777777" w:rsidR="007F4825" w:rsidRDefault="007F4825" w:rsidP="007F4825">
      <w:pPr>
        <w:pStyle w:val="ListParagraph"/>
        <w:rPr>
          <w:rFonts w:ascii="Georgia" w:hAnsi="Georgia"/>
        </w:rPr>
      </w:pPr>
    </w:p>
    <w:p w14:paraId="2832D23F" w14:textId="47E224BD" w:rsidR="00D23427" w:rsidRPr="007E3A07" w:rsidRDefault="00075DA8" w:rsidP="005C49E0">
      <w:pPr>
        <w:numPr>
          <w:ilvl w:val="0"/>
          <w:numId w:val="34"/>
        </w:numPr>
        <w:tabs>
          <w:tab w:val="clear" w:pos="1134"/>
          <w:tab w:val="num" w:pos="709"/>
        </w:tabs>
        <w:ind w:left="709" w:hanging="709"/>
        <w:jc w:val="both"/>
        <w:rPr>
          <w:rFonts w:ascii="Georgia" w:hAnsi="Georgia"/>
        </w:rPr>
      </w:pPr>
      <w:r w:rsidRPr="007E3A07">
        <w:rPr>
          <w:rFonts w:ascii="Georgia" w:hAnsi="Georgia" w:cs="Arial"/>
        </w:rPr>
        <w:t xml:space="preserve">The Tribunal determines that no amount is payable by the Applicants in the 2021 service charge year in relation to </w:t>
      </w:r>
      <w:r w:rsidR="007E3A07" w:rsidRPr="007E3A07">
        <w:rPr>
          <w:rFonts w:ascii="Georgia" w:hAnsi="Georgia" w:cs="Arial"/>
        </w:rPr>
        <w:t>a</w:t>
      </w:r>
      <w:r w:rsidRPr="007E3A07">
        <w:rPr>
          <w:rFonts w:ascii="Georgia" w:hAnsi="Georgia" w:cs="Arial"/>
        </w:rPr>
        <w:t xml:space="preserve">ccounting </w:t>
      </w:r>
      <w:r w:rsidR="007E3A07" w:rsidRPr="007E3A07">
        <w:rPr>
          <w:rFonts w:ascii="Georgia" w:hAnsi="Georgia" w:cs="Arial"/>
        </w:rPr>
        <w:t>f</w:t>
      </w:r>
      <w:r w:rsidRPr="007E3A07">
        <w:rPr>
          <w:rFonts w:ascii="Georgia" w:hAnsi="Georgia" w:cs="Arial"/>
        </w:rPr>
        <w:t xml:space="preserve">ees </w:t>
      </w:r>
      <w:r w:rsidR="007E3A07" w:rsidRPr="007E3A07">
        <w:rPr>
          <w:rFonts w:ascii="Georgia" w:hAnsi="Georgia" w:cs="Arial"/>
        </w:rPr>
        <w:t>–</w:t>
      </w:r>
      <w:r w:rsidRPr="007E3A07">
        <w:rPr>
          <w:rFonts w:ascii="Georgia" w:hAnsi="Georgia" w:cs="Arial"/>
        </w:rPr>
        <w:t xml:space="preserve"> </w:t>
      </w:r>
      <w:r w:rsidR="007E3A07" w:rsidRPr="007E3A07">
        <w:rPr>
          <w:rFonts w:ascii="Georgia" w:hAnsi="Georgia" w:cs="Arial"/>
        </w:rPr>
        <w:t>a</w:t>
      </w:r>
      <w:r w:rsidRPr="007E3A07">
        <w:rPr>
          <w:rFonts w:ascii="Georgia" w:hAnsi="Georgia" w:cs="Arial"/>
        </w:rPr>
        <w:t>nnual</w:t>
      </w:r>
      <w:r w:rsidR="007E3A07" w:rsidRPr="007E3A07">
        <w:rPr>
          <w:rFonts w:ascii="Georgia" w:hAnsi="Georgia" w:cs="Arial"/>
        </w:rPr>
        <w:t xml:space="preserve"> certification.</w:t>
      </w:r>
    </w:p>
    <w:p w14:paraId="6DEBF4F4" w14:textId="77777777" w:rsidR="007E3A07" w:rsidRDefault="007E3A07" w:rsidP="007E3A07">
      <w:pPr>
        <w:pStyle w:val="ListParagraph"/>
        <w:rPr>
          <w:rFonts w:ascii="Georgia" w:hAnsi="Georgia"/>
        </w:rPr>
      </w:pPr>
    </w:p>
    <w:p w14:paraId="69136027" w14:textId="3D48F2E5" w:rsidR="00EB7069" w:rsidRPr="00EB7069" w:rsidRDefault="00EB7069" w:rsidP="00EB7069">
      <w:pPr>
        <w:jc w:val="both"/>
        <w:rPr>
          <w:rFonts w:ascii="Georgia" w:hAnsi="Georgia"/>
          <w:b/>
          <w:bCs/>
          <w:u w:val="single"/>
        </w:rPr>
      </w:pPr>
      <w:r>
        <w:rPr>
          <w:rFonts w:ascii="Georgia" w:hAnsi="Georgia"/>
          <w:b/>
          <w:bCs/>
          <w:u w:val="single"/>
        </w:rPr>
        <w:t>Communal electricity</w:t>
      </w:r>
      <w:r w:rsidRPr="00EB7069">
        <w:rPr>
          <w:rFonts w:ascii="Georgia" w:hAnsi="Georgia"/>
          <w:b/>
          <w:bCs/>
          <w:u w:val="single"/>
        </w:rPr>
        <w:t xml:space="preserve"> - £</w:t>
      </w:r>
      <w:r>
        <w:rPr>
          <w:rFonts w:ascii="Georgia" w:hAnsi="Georgia"/>
          <w:b/>
          <w:bCs/>
          <w:u w:val="single"/>
        </w:rPr>
        <w:t>37</w:t>
      </w:r>
      <w:r w:rsidRPr="00EB7069">
        <w:rPr>
          <w:rFonts w:ascii="Georgia" w:hAnsi="Georgia"/>
          <w:b/>
          <w:bCs/>
          <w:u w:val="single"/>
        </w:rPr>
        <w:t>0</w:t>
      </w:r>
    </w:p>
    <w:p w14:paraId="1708A071" w14:textId="77777777" w:rsidR="007E3A07" w:rsidRPr="002342B0" w:rsidRDefault="007E3A07" w:rsidP="002342B0">
      <w:pPr>
        <w:rPr>
          <w:rFonts w:ascii="Georgia" w:hAnsi="Georgia"/>
        </w:rPr>
      </w:pPr>
    </w:p>
    <w:p w14:paraId="59546DE4" w14:textId="117F56D4" w:rsidR="007E3A07" w:rsidRDefault="00920034" w:rsidP="005C49E0">
      <w:pPr>
        <w:numPr>
          <w:ilvl w:val="0"/>
          <w:numId w:val="34"/>
        </w:numPr>
        <w:tabs>
          <w:tab w:val="clear" w:pos="1134"/>
          <w:tab w:val="num" w:pos="709"/>
        </w:tabs>
        <w:ind w:left="709" w:hanging="709"/>
        <w:jc w:val="both"/>
        <w:rPr>
          <w:rFonts w:ascii="Georgia" w:hAnsi="Georgia"/>
        </w:rPr>
      </w:pPr>
      <w:r>
        <w:rPr>
          <w:rFonts w:ascii="Georgia" w:hAnsi="Georgia"/>
        </w:rPr>
        <w:t xml:space="preserve">The Applicants explained that the </w:t>
      </w:r>
      <w:r w:rsidR="00501E5D">
        <w:rPr>
          <w:rFonts w:ascii="Georgia" w:hAnsi="Georgia"/>
        </w:rPr>
        <w:t>communal electricity only powered six motion sensitive lights in the Property’s common part</w:t>
      </w:r>
      <w:r w:rsidR="00FD346C">
        <w:rPr>
          <w:rFonts w:ascii="Georgia" w:hAnsi="Georgia"/>
        </w:rPr>
        <w:t>s</w:t>
      </w:r>
      <w:r w:rsidR="007E3A07">
        <w:rPr>
          <w:rFonts w:ascii="Georgia" w:hAnsi="Georgia"/>
        </w:rPr>
        <w:t>.</w:t>
      </w:r>
      <w:r w:rsidR="00FD346C">
        <w:rPr>
          <w:rFonts w:ascii="Georgia" w:hAnsi="Georgia"/>
        </w:rPr>
        <w:t xml:space="preserve"> However, they had seen</w:t>
      </w:r>
      <w:r w:rsidR="00336DF5">
        <w:rPr>
          <w:rFonts w:ascii="Georgia" w:hAnsi="Georgia"/>
        </w:rPr>
        <w:t xml:space="preserve"> the builders constructing the extension plug in equipment such as </w:t>
      </w:r>
      <w:r w:rsidR="006E576E">
        <w:rPr>
          <w:rFonts w:ascii="Georgia" w:hAnsi="Georgia"/>
        </w:rPr>
        <w:t>power drills</w:t>
      </w:r>
      <w:r w:rsidR="00F17ED0">
        <w:rPr>
          <w:rFonts w:ascii="Georgia" w:hAnsi="Georgia"/>
        </w:rPr>
        <w:t xml:space="preserve"> to the communal electricity</w:t>
      </w:r>
      <w:r w:rsidR="006E576E">
        <w:rPr>
          <w:rFonts w:ascii="Georgia" w:hAnsi="Georgia"/>
        </w:rPr>
        <w:t xml:space="preserve">. They had suggested that they should only pay 10% of the amount provided for </w:t>
      </w:r>
      <w:r w:rsidR="001F3256">
        <w:rPr>
          <w:rFonts w:ascii="Georgia" w:hAnsi="Georgia"/>
        </w:rPr>
        <w:t xml:space="preserve">but accepted this may have been </w:t>
      </w:r>
      <w:r w:rsidR="009F5870">
        <w:rPr>
          <w:rFonts w:ascii="Georgia" w:hAnsi="Georgia"/>
        </w:rPr>
        <w:t xml:space="preserve">an over estimation of the amount which should be charged to the </w:t>
      </w:r>
      <w:r w:rsidR="00995D68">
        <w:rPr>
          <w:rFonts w:ascii="Georgia" w:hAnsi="Georgia"/>
        </w:rPr>
        <w:t>builders</w:t>
      </w:r>
      <w:r w:rsidR="009F5870">
        <w:rPr>
          <w:rFonts w:ascii="Georgia" w:hAnsi="Georgia"/>
        </w:rPr>
        <w:t>.</w:t>
      </w:r>
    </w:p>
    <w:p w14:paraId="6B264B2B" w14:textId="77777777" w:rsidR="00995D68" w:rsidRDefault="00995D68" w:rsidP="00995D68">
      <w:pPr>
        <w:ind w:left="709"/>
        <w:jc w:val="both"/>
        <w:rPr>
          <w:rFonts w:ascii="Georgia" w:hAnsi="Georgia"/>
        </w:rPr>
      </w:pPr>
    </w:p>
    <w:p w14:paraId="7386D61B" w14:textId="34BFF5C4" w:rsidR="009F5870" w:rsidRDefault="00995D68" w:rsidP="005C49E0">
      <w:pPr>
        <w:numPr>
          <w:ilvl w:val="0"/>
          <w:numId w:val="34"/>
        </w:numPr>
        <w:tabs>
          <w:tab w:val="clear" w:pos="1134"/>
          <w:tab w:val="num" w:pos="709"/>
        </w:tabs>
        <w:ind w:left="709" w:hanging="709"/>
        <w:jc w:val="both"/>
        <w:rPr>
          <w:rFonts w:ascii="Georgia" w:hAnsi="Georgia"/>
        </w:rPr>
      </w:pPr>
      <w:r>
        <w:rPr>
          <w:rFonts w:ascii="Georgia" w:hAnsi="Georgia"/>
        </w:rPr>
        <w:t xml:space="preserve">The Tribunal noted that the figure of £370 was an estimate </w:t>
      </w:r>
      <w:r w:rsidR="00DE0713">
        <w:rPr>
          <w:rFonts w:ascii="Georgia" w:hAnsi="Georgia"/>
        </w:rPr>
        <w:t>but there was no evidence to support that amount</w:t>
      </w:r>
      <w:r>
        <w:rPr>
          <w:rFonts w:ascii="Georgia" w:hAnsi="Georgia"/>
        </w:rPr>
        <w:t>.</w:t>
      </w:r>
      <w:r w:rsidR="00DE0713">
        <w:rPr>
          <w:rFonts w:ascii="Georgia" w:hAnsi="Georgia"/>
        </w:rPr>
        <w:t xml:space="preserve"> </w:t>
      </w:r>
      <w:r w:rsidR="002F4F8C">
        <w:rPr>
          <w:rFonts w:ascii="Georgia" w:hAnsi="Georgia"/>
        </w:rPr>
        <w:t xml:space="preserve">In the absence of any evidence, it was entitled to make its own estimate. It considered that </w:t>
      </w:r>
      <w:r w:rsidR="001F7B08">
        <w:rPr>
          <w:rFonts w:ascii="Georgia" w:hAnsi="Georgia"/>
        </w:rPr>
        <w:t>a reasonable figure would be £220 per year, made up of a standing charge of £180 and consumption of £40.</w:t>
      </w:r>
    </w:p>
    <w:p w14:paraId="64713C8C" w14:textId="77777777" w:rsidR="006D418A" w:rsidRDefault="006D418A" w:rsidP="006D418A">
      <w:pPr>
        <w:pStyle w:val="ListParagraph"/>
        <w:rPr>
          <w:rFonts w:ascii="Georgia" w:hAnsi="Georgia"/>
        </w:rPr>
      </w:pPr>
    </w:p>
    <w:p w14:paraId="77E69864" w14:textId="676C324D" w:rsidR="006D418A" w:rsidRPr="002342B0" w:rsidRDefault="00F41AD1" w:rsidP="005C49E0">
      <w:pPr>
        <w:numPr>
          <w:ilvl w:val="0"/>
          <w:numId w:val="34"/>
        </w:numPr>
        <w:tabs>
          <w:tab w:val="clear" w:pos="1134"/>
          <w:tab w:val="num" w:pos="709"/>
        </w:tabs>
        <w:ind w:left="709" w:hanging="709"/>
        <w:jc w:val="both"/>
        <w:rPr>
          <w:rFonts w:ascii="Georgia" w:hAnsi="Georgia"/>
        </w:rPr>
      </w:pPr>
      <w:r w:rsidRPr="002342B0">
        <w:rPr>
          <w:rFonts w:ascii="Georgia" w:hAnsi="Georgia" w:cs="Arial"/>
        </w:rPr>
        <w:t xml:space="preserve">The </w:t>
      </w:r>
      <w:r w:rsidR="00765171" w:rsidRPr="00B731F1">
        <w:rPr>
          <w:rFonts w:ascii="Georgia" w:hAnsi="Georgia" w:cs="Arial"/>
        </w:rPr>
        <w:t xml:space="preserve">Tribunal determines that </w:t>
      </w:r>
      <w:r w:rsidR="00765171">
        <w:rPr>
          <w:rFonts w:ascii="Georgia" w:hAnsi="Georgia" w:cs="Arial"/>
        </w:rPr>
        <w:t>the appropriate aggregate level</w:t>
      </w:r>
      <w:r w:rsidR="00765171" w:rsidRPr="00B731F1">
        <w:rPr>
          <w:rFonts w:ascii="Georgia" w:hAnsi="Georgia" w:cs="Arial"/>
        </w:rPr>
        <w:t xml:space="preserve"> of the Applicants’ contribution towards communal electricity for the 2021 service charge year is £220 plus </w:t>
      </w:r>
      <w:r w:rsidRPr="002342B0">
        <w:rPr>
          <w:rFonts w:ascii="Georgia" w:hAnsi="Georgia" w:cs="Arial"/>
        </w:rPr>
        <w:t>VAT</w:t>
      </w:r>
      <w:r w:rsidR="00D35540" w:rsidRPr="002342B0">
        <w:rPr>
          <w:rFonts w:ascii="Georgia" w:hAnsi="Georgia" w:cs="Arial"/>
        </w:rPr>
        <w:t>.</w:t>
      </w:r>
    </w:p>
    <w:p w14:paraId="4A101BA6" w14:textId="77777777" w:rsidR="002342B0" w:rsidRDefault="002342B0" w:rsidP="002342B0">
      <w:pPr>
        <w:pStyle w:val="ListParagraph"/>
        <w:rPr>
          <w:rFonts w:ascii="Georgia" w:hAnsi="Georgia"/>
        </w:rPr>
      </w:pPr>
    </w:p>
    <w:p w14:paraId="692EF8EA" w14:textId="0B2AE05C" w:rsidR="002342B0" w:rsidRPr="002342B0" w:rsidRDefault="003A58DA" w:rsidP="002342B0">
      <w:pPr>
        <w:jc w:val="both"/>
        <w:rPr>
          <w:rFonts w:ascii="Georgia" w:hAnsi="Georgia"/>
        </w:rPr>
      </w:pPr>
      <w:r>
        <w:rPr>
          <w:rFonts w:ascii="Georgia" w:hAnsi="Georgia"/>
          <w:b/>
          <w:bCs/>
          <w:u w:val="single"/>
        </w:rPr>
        <w:t>Communal cleaning</w:t>
      </w:r>
      <w:r w:rsidRPr="00EB7069">
        <w:rPr>
          <w:rFonts w:ascii="Georgia" w:hAnsi="Georgia"/>
          <w:b/>
          <w:bCs/>
          <w:u w:val="single"/>
        </w:rPr>
        <w:t xml:space="preserve"> - £</w:t>
      </w:r>
      <w:r>
        <w:rPr>
          <w:rFonts w:ascii="Georgia" w:hAnsi="Georgia"/>
          <w:b/>
          <w:bCs/>
          <w:u w:val="single"/>
        </w:rPr>
        <w:t>2,00</w:t>
      </w:r>
      <w:r w:rsidRPr="00EB7069">
        <w:rPr>
          <w:rFonts w:ascii="Georgia" w:hAnsi="Georgia"/>
          <w:b/>
          <w:bCs/>
          <w:u w:val="single"/>
        </w:rPr>
        <w:t>0</w:t>
      </w:r>
    </w:p>
    <w:p w14:paraId="2C6A840E" w14:textId="77777777" w:rsidR="002342B0" w:rsidRDefault="002342B0" w:rsidP="002342B0">
      <w:pPr>
        <w:pStyle w:val="ListParagraph"/>
        <w:rPr>
          <w:rFonts w:ascii="Georgia" w:hAnsi="Georgia"/>
        </w:rPr>
      </w:pPr>
    </w:p>
    <w:p w14:paraId="0A60535B" w14:textId="13B138BB" w:rsidR="002342B0" w:rsidRDefault="00953FFE" w:rsidP="005C49E0">
      <w:pPr>
        <w:numPr>
          <w:ilvl w:val="0"/>
          <w:numId w:val="34"/>
        </w:numPr>
        <w:tabs>
          <w:tab w:val="clear" w:pos="1134"/>
          <w:tab w:val="num" w:pos="709"/>
        </w:tabs>
        <w:ind w:left="709" w:hanging="709"/>
        <w:jc w:val="both"/>
        <w:rPr>
          <w:rFonts w:ascii="Georgia" w:hAnsi="Georgia"/>
        </w:rPr>
      </w:pPr>
      <w:r>
        <w:rPr>
          <w:rFonts w:ascii="Georgia" w:hAnsi="Georgia"/>
        </w:rPr>
        <w:t xml:space="preserve">The Applicants </w:t>
      </w:r>
      <w:r w:rsidR="00B223C2">
        <w:rPr>
          <w:rFonts w:ascii="Georgia" w:hAnsi="Georgia"/>
        </w:rPr>
        <w:t>said that the common parts were cleaned twice in 2021 and were never cleaned in 2022</w:t>
      </w:r>
      <w:r w:rsidR="002342B0">
        <w:rPr>
          <w:rFonts w:ascii="Georgia" w:hAnsi="Georgia"/>
        </w:rPr>
        <w:t>.</w:t>
      </w:r>
      <w:r w:rsidR="00470C39">
        <w:rPr>
          <w:rFonts w:ascii="Georgia" w:hAnsi="Georgia"/>
        </w:rPr>
        <w:t xml:space="preserve"> They explained that the cleans in 2021 were fairly rapid </w:t>
      </w:r>
      <w:r w:rsidR="004A076B">
        <w:rPr>
          <w:rFonts w:ascii="Georgia" w:hAnsi="Georgia"/>
        </w:rPr>
        <w:t>but the common parts only really got dirty when the extension works were going on</w:t>
      </w:r>
      <w:r w:rsidR="00D13441">
        <w:rPr>
          <w:rFonts w:ascii="Georgia" w:hAnsi="Georgia"/>
        </w:rPr>
        <w:t xml:space="preserve">. </w:t>
      </w:r>
      <w:r w:rsidR="00F71EC3">
        <w:rPr>
          <w:rFonts w:ascii="Georgia" w:hAnsi="Georgia"/>
        </w:rPr>
        <w:t xml:space="preserve">They estimated that a </w:t>
      </w:r>
      <w:r w:rsidR="002B36B3">
        <w:rPr>
          <w:rFonts w:ascii="Georgia" w:hAnsi="Georgia"/>
        </w:rPr>
        <w:t xml:space="preserve">proper clean would take only 30 minutes, to include </w:t>
      </w:r>
      <w:r w:rsidR="00D13441">
        <w:rPr>
          <w:rFonts w:ascii="Georgia" w:hAnsi="Georgia"/>
        </w:rPr>
        <w:t>ten minutes vacuuming</w:t>
      </w:r>
      <w:r w:rsidR="005C5CF9">
        <w:rPr>
          <w:rFonts w:ascii="Georgia" w:hAnsi="Georgia"/>
        </w:rPr>
        <w:t xml:space="preserve">, removal of scuff marks </w:t>
      </w:r>
      <w:r w:rsidR="00F93099">
        <w:rPr>
          <w:rFonts w:ascii="Georgia" w:hAnsi="Georgia"/>
        </w:rPr>
        <w:t xml:space="preserve"> plus a full clean </w:t>
      </w:r>
      <w:r w:rsidR="00760A6A">
        <w:rPr>
          <w:rFonts w:ascii="Georgia" w:hAnsi="Georgia"/>
        </w:rPr>
        <w:t>and wiping the handrail and front door glass.</w:t>
      </w:r>
      <w:r w:rsidR="00795DDA">
        <w:rPr>
          <w:rFonts w:ascii="Georgia" w:hAnsi="Georgia"/>
        </w:rPr>
        <w:t xml:space="preserve"> They suggested that a sum of £300 was fair.</w:t>
      </w:r>
    </w:p>
    <w:p w14:paraId="452C1DD6" w14:textId="77777777" w:rsidR="00F13BF6" w:rsidRDefault="00F13BF6" w:rsidP="00F13BF6">
      <w:pPr>
        <w:ind w:left="709"/>
        <w:jc w:val="both"/>
        <w:rPr>
          <w:rFonts w:ascii="Georgia" w:hAnsi="Georgia"/>
        </w:rPr>
      </w:pPr>
    </w:p>
    <w:p w14:paraId="2667E6DD" w14:textId="10C0EC04" w:rsidR="00F13BF6" w:rsidRDefault="00F13BF6" w:rsidP="005C49E0">
      <w:pPr>
        <w:numPr>
          <w:ilvl w:val="0"/>
          <w:numId w:val="34"/>
        </w:numPr>
        <w:tabs>
          <w:tab w:val="clear" w:pos="1134"/>
          <w:tab w:val="num" w:pos="709"/>
        </w:tabs>
        <w:ind w:left="709" w:hanging="709"/>
        <w:jc w:val="both"/>
        <w:rPr>
          <w:rFonts w:ascii="Georgia" w:hAnsi="Georgia"/>
        </w:rPr>
      </w:pPr>
      <w:r>
        <w:rPr>
          <w:rFonts w:ascii="Georgia" w:hAnsi="Georgia"/>
        </w:rPr>
        <w:t xml:space="preserve">The Tribunal </w:t>
      </w:r>
      <w:r w:rsidR="00755C43">
        <w:rPr>
          <w:rFonts w:ascii="Georgia" w:hAnsi="Georgia"/>
        </w:rPr>
        <w:t>noted that the extension works commenced in October 2021 and continued throughout the service charges years in question</w:t>
      </w:r>
      <w:r w:rsidR="001F3C9C">
        <w:rPr>
          <w:rFonts w:ascii="Georgia" w:hAnsi="Georgia"/>
        </w:rPr>
        <w:t xml:space="preserve">. It </w:t>
      </w:r>
      <w:r w:rsidR="008042F3">
        <w:rPr>
          <w:rFonts w:ascii="Georgia" w:hAnsi="Georgia"/>
        </w:rPr>
        <w:t xml:space="preserve">considered that </w:t>
      </w:r>
      <w:r w:rsidR="001F3C9C">
        <w:rPr>
          <w:rFonts w:ascii="Georgia" w:hAnsi="Georgia"/>
        </w:rPr>
        <w:t xml:space="preserve">the cost of cleaning whilst these works were continuing should be borne by the landlord as a </w:t>
      </w:r>
      <w:r w:rsidR="00592DA4">
        <w:rPr>
          <w:rFonts w:ascii="Georgia" w:hAnsi="Georgia"/>
        </w:rPr>
        <w:t xml:space="preserve">result of the dirt caused. In addition, </w:t>
      </w:r>
      <w:r w:rsidR="008042F3">
        <w:rPr>
          <w:rFonts w:ascii="Georgia" w:hAnsi="Georgia"/>
        </w:rPr>
        <w:t xml:space="preserve">as only two cleans were carried out in 2021 and none in 2022, </w:t>
      </w:r>
      <w:r w:rsidR="00B00E5B">
        <w:rPr>
          <w:rFonts w:ascii="Georgia" w:hAnsi="Georgia"/>
        </w:rPr>
        <w:t>it concluded that no more than</w:t>
      </w:r>
      <w:r w:rsidR="00665AD5">
        <w:rPr>
          <w:rFonts w:ascii="Georgia" w:hAnsi="Georgia"/>
        </w:rPr>
        <w:t xml:space="preserve"> £300</w:t>
      </w:r>
      <w:r w:rsidR="004C07E0">
        <w:rPr>
          <w:rFonts w:ascii="Georgia" w:hAnsi="Georgia"/>
        </w:rPr>
        <w:t xml:space="preserve"> </w:t>
      </w:r>
      <w:r w:rsidR="00B00E5B">
        <w:rPr>
          <w:rFonts w:ascii="Georgia" w:hAnsi="Georgia"/>
        </w:rPr>
        <w:t>should be payable</w:t>
      </w:r>
      <w:r w:rsidR="004C07E0">
        <w:rPr>
          <w:rFonts w:ascii="Georgia" w:hAnsi="Georgia"/>
        </w:rPr>
        <w:t xml:space="preserve"> for 2021 and nothing should be demanded for 2022</w:t>
      </w:r>
      <w:r>
        <w:rPr>
          <w:rFonts w:ascii="Georgia" w:hAnsi="Georgia"/>
        </w:rPr>
        <w:t>.</w:t>
      </w:r>
    </w:p>
    <w:p w14:paraId="1A8F4255" w14:textId="77777777" w:rsidR="00C73017" w:rsidRDefault="00C73017" w:rsidP="00C73017">
      <w:pPr>
        <w:pStyle w:val="ListParagraph"/>
        <w:rPr>
          <w:rFonts w:ascii="Georgia" w:hAnsi="Georgia"/>
        </w:rPr>
      </w:pPr>
    </w:p>
    <w:p w14:paraId="11FFBA00" w14:textId="726503BD" w:rsidR="00C73017" w:rsidRPr="00484446" w:rsidRDefault="00C73017" w:rsidP="005C49E0">
      <w:pPr>
        <w:numPr>
          <w:ilvl w:val="0"/>
          <w:numId w:val="34"/>
        </w:numPr>
        <w:tabs>
          <w:tab w:val="clear" w:pos="1134"/>
          <w:tab w:val="num" w:pos="709"/>
        </w:tabs>
        <w:ind w:left="709" w:hanging="709"/>
        <w:jc w:val="both"/>
        <w:rPr>
          <w:rFonts w:ascii="Georgia" w:hAnsi="Georgia"/>
        </w:rPr>
      </w:pPr>
      <w:r w:rsidRPr="002342B0">
        <w:rPr>
          <w:rFonts w:ascii="Georgia" w:hAnsi="Georgia" w:cs="Arial"/>
        </w:rPr>
        <w:lastRenderedPageBreak/>
        <w:t xml:space="preserve">The </w:t>
      </w:r>
      <w:r w:rsidR="00765171" w:rsidRPr="002B1BB4">
        <w:rPr>
          <w:rFonts w:ascii="Georgia" w:hAnsi="Georgia" w:cs="Arial"/>
        </w:rPr>
        <w:t xml:space="preserve">Tribunal determines that </w:t>
      </w:r>
      <w:r w:rsidR="00765171">
        <w:rPr>
          <w:rFonts w:ascii="Georgia" w:hAnsi="Georgia" w:cs="Arial"/>
        </w:rPr>
        <w:t>the appropriate aggregate level</w:t>
      </w:r>
      <w:r w:rsidR="00765171" w:rsidRPr="00B731F1">
        <w:rPr>
          <w:rFonts w:ascii="Georgia" w:hAnsi="Georgia" w:cs="Arial"/>
        </w:rPr>
        <w:t xml:space="preserve"> of the Applicants’ contribution</w:t>
      </w:r>
      <w:r w:rsidR="00765171" w:rsidRPr="002B1BB4">
        <w:rPr>
          <w:rFonts w:ascii="Georgia" w:hAnsi="Georgia" w:cs="Arial"/>
        </w:rPr>
        <w:t xml:space="preserve"> towards communal cleaning for the 2021 service charge year </w:t>
      </w:r>
      <w:r w:rsidR="00765171">
        <w:rPr>
          <w:rFonts w:ascii="Georgia" w:hAnsi="Georgia" w:cs="Arial"/>
        </w:rPr>
        <w:t>is</w:t>
      </w:r>
      <w:r w:rsidR="00765171" w:rsidRPr="002B1BB4">
        <w:rPr>
          <w:rFonts w:ascii="Georgia" w:hAnsi="Georgia" w:cs="Arial"/>
        </w:rPr>
        <w:t xml:space="preserve"> £300 plus</w:t>
      </w:r>
      <w:r w:rsidR="00765171" w:rsidRPr="002342B0">
        <w:rPr>
          <w:rFonts w:ascii="Georgia" w:hAnsi="Georgia" w:cs="Arial"/>
        </w:rPr>
        <w:t xml:space="preserve"> </w:t>
      </w:r>
      <w:r w:rsidRPr="002342B0">
        <w:rPr>
          <w:rFonts w:ascii="Georgia" w:hAnsi="Georgia" w:cs="Arial"/>
        </w:rPr>
        <w:t>VAT</w:t>
      </w:r>
      <w:r w:rsidR="00AB2D37">
        <w:rPr>
          <w:rFonts w:ascii="Georgia" w:hAnsi="Georgia" w:cs="Arial"/>
        </w:rPr>
        <w:t>.</w:t>
      </w:r>
    </w:p>
    <w:p w14:paraId="445F1136" w14:textId="77777777" w:rsidR="00484446" w:rsidRDefault="00484446" w:rsidP="00484446">
      <w:pPr>
        <w:pStyle w:val="ListParagraph"/>
        <w:rPr>
          <w:rFonts w:ascii="Georgia" w:hAnsi="Georgia"/>
        </w:rPr>
      </w:pPr>
    </w:p>
    <w:p w14:paraId="0E240F2D" w14:textId="2A62601E" w:rsidR="00484446" w:rsidRPr="002B7C52" w:rsidRDefault="00484446" w:rsidP="00484446">
      <w:pPr>
        <w:rPr>
          <w:rFonts w:ascii="Georgia" w:hAnsi="Georgia"/>
          <w:b/>
          <w:bCs/>
          <w:u w:val="single"/>
        </w:rPr>
      </w:pPr>
      <w:r w:rsidRPr="002B7C52">
        <w:rPr>
          <w:rFonts w:ascii="Georgia" w:hAnsi="Georgia"/>
          <w:b/>
          <w:bCs/>
          <w:u w:val="single"/>
        </w:rPr>
        <w:t>Landscaping / Grounds Maintenance - £800</w:t>
      </w:r>
    </w:p>
    <w:p w14:paraId="0A9A0E90" w14:textId="77777777" w:rsidR="00484446" w:rsidRPr="00484446" w:rsidRDefault="00484446" w:rsidP="00484446">
      <w:pPr>
        <w:rPr>
          <w:rFonts w:ascii="Georgia" w:hAnsi="Georgia"/>
        </w:rPr>
      </w:pPr>
    </w:p>
    <w:p w14:paraId="7361D0F4" w14:textId="680072CC" w:rsidR="00484446" w:rsidRDefault="00D30246" w:rsidP="005C49E0">
      <w:pPr>
        <w:numPr>
          <w:ilvl w:val="0"/>
          <w:numId w:val="34"/>
        </w:numPr>
        <w:tabs>
          <w:tab w:val="clear" w:pos="1134"/>
          <w:tab w:val="num" w:pos="709"/>
        </w:tabs>
        <w:ind w:left="709" w:hanging="709"/>
        <w:jc w:val="both"/>
        <w:rPr>
          <w:rFonts w:ascii="Georgia" w:hAnsi="Georgia"/>
        </w:rPr>
      </w:pPr>
      <w:r>
        <w:rPr>
          <w:rFonts w:ascii="Georgia" w:hAnsi="Georgia"/>
        </w:rPr>
        <w:t xml:space="preserve">The Applicants explained that </w:t>
      </w:r>
      <w:r w:rsidR="000C0F2B">
        <w:rPr>
          <w:rFonts w:ascii="Georgia" w:hAnsi="Georgia"/>
        </w:rPr>
        <w:t xml:space="preserve">the external areas now </w:t>
      </w:r>
      <w:r w:rsidR="00C12911">
        <w:rPr>
          <w:rFonts w:ascii="Georgia" w:hAnsi="Georgia"/>
        </w:rPr>
        <w:t xml:space="preserve">mostly </w:t>
      </w:r>
      <w:r w:rsidR="000C0F2B">
        <w:rPr>
          <w:rFonts w:ascii="Georgia" w:hAnsi="Georgia"/>
        </w:rPr>
        <w:t>comprise</w:t>
      </w:r>
      <w:r w:rsidR="007D792F">
        <w:rPr>
          <w:rFonts w:ascii="Georgia" w:hAnsi="Georgia"/>
        </w:rPr>
        <w:t xml:space="preserve">d </w:t>
      </w:r>
      <w:r w:rsidR="00C12911">
        <w:rPr>
          <w:rFonts w:ascii="Georgia" w:hAnsi="Georgia"/>
        </w:rPr>
        <w:t xml:space="preserve">car parking together with </w:t>
      </w:r>
      <w:r w:rsidR="007D792F">
        <w:rPr>
          <w:rFonts w:ascii="Georgia" w:hAnsi="Georgia"/>
        </w:rPr>
        <w:t>two trees and some hedges</w:t>
      </w:r>
      <w:r w:rsidR="00484446">
        <w:rPr>
          <w:rFonts w:ascii="Georgia" w:hAnsi="Georgia"/>
        </w:rPr>
        <w:t>.</w:t>
      </w:r>
      <w:r w:rsidR="00272A07">
        <w:rPr>
          <w:rFonts w:ascii="Georgia" w:hAnsi="Georgia"/>
        </w:rPr>
        <w:t xml:space="preserve"> The only </w:t>
      </w:r>
      <w:r w:rsidR="00702978">
        <w:rPr>
          <w:rFonts w:ascii="Georgia" w:hAnsi="Georgia"/>
        </w:rPr>
        <w:t xml:space="preserve">gardening or maintenance </w:t>
      </w:r>
      <w:r w:rsidR="00272A07">
        <w:rPr>
          <w:rFonts w:ascii="Georgia" w:hAnsi="Georgia"/>
        </w:rPr>
        <w:t xml:space="preserve">works seen </w:t>
      </w:r>
      <w:r w:rsidR="00702978">
        <w:rPr>
          <w:rFonts w:ascii="Georgia" w:hAnsi="Georgia"/>
        </w:rPr>
        <w:t xml:space="preserve">undertaken by the </w:t>
      </w:r>
      <w:r w:rsidR="00A84200">
        <w:rPr>
          <w:rFonts w:ascii="Georgia" w:hAnsi="Georgia"/>
        </w:rPr>
        <w:t xml:space="preserve">Respondent </w:t>
      </w:r>
      <w:r w:rsidR="00272A07">
        <w:rPr>
          <w:rFonts w:ascii="Georgia" w:hAnsi="Georgia"/>
        </w:rPr>
        <w:t xml:space="preserve">were the removal </w:t>
      </w:r>
      <w:r w:rsidR="00E36A12">
        <w:rPr>
          <w:rFonts w:ascii="Georgia" w:hAnsi="Georgia"/>
        </w:rPr>
        <w:t>of a hedge and three skinny trees as part of the extension works</w:t>
      </w:r>
      <w:r w:rsidR="00702978">
        <w:rPr>
          <w:rFonts w:ascii="Georgia" w:hAnsi="Georgia"/>
        </w:rPr>
        <w:t xml:space="preserve">. </w:t>
      </w:r>
      <w:r w:rsidR="00A84200">
        <w:rPr>
          <w:rFonts w:ascii="Georgia" w:hAnsi="Georgia"/>
        </w:rPr>
        <w:t xml:space="preserve">They say that a neighbour in the other building on the estate </w:t>
      </w:r>
      <w:r w:rsidR="001403FE">
        <w:rPr>
          <w:rFonts w:ascii="Georgia" w:hAnsi="Georgia"/>
        </w:rPr>
        <w:t xml:space="preserve">does the external maintenance for no cost. They argue that nothing should therefore be payable for </w:t>
      </w:r>
      <w:r w:rsidR="00B82AE5">
        <w:rPr>
          <w:rFonts w:ascii="Georgia" w:hAnsi="Georgia"/>
        </w:rPr>
        <w:t>landscaping and grounds maintenance.</w:t>
      </w:r>
    </w:p>
    <w:p w14:paraId="1E251DDB" w14:textId="77777777" w:rsidR="00B82AE5" w:rsidRDefault="00B82AE5" w:rsidP="00B82AE5">
      <w:pPr>
        <w:ind w:left="709"/>
        <w:jc w:val="both"/>
        <w:rPr>
          <w:rFonts w:ascii="Georgia" w:hAnsi="Georgia"/>
        </w:rPr>
      </w:pPr>
    </w:p>
    <w:p w14:paraId="781FE8A4" w14:textId="7C36F975" w:rsidR="00B82AE5" w:rsidRDefault="003C0226" w:rsidP="005C49E0">
      <w:pPr>
        <w:numPr>
          <w:ilvl w:val="0"/>
          <w:numId w:val="34"/>
        </w:numPr>
        <w:tabs>
          <w:tab w:val="clear" w:pos="1134"/>
          <w:tab w:val="num" w:pos="709"/>
        </w:tabs>
        <w:ind w:left="709" w:hanging="709"/>
        <w:jc w:val="both"/>
        <w:rPr>
          <w:rFonts w:ascii="Georgia" w:hAnsi="Georgia"/>
        </w:rPr>
      </w:pPr>
      <w:r>
        <w:rPr>
          <w:rFonts w:ascii="Georgia" w:hAnsi="Georgia"/>
        </w:rPr>
        <w:t>The Tribunal accepts that the only works undertaken by the Respondent w</w:t>
      </w:r>
      <w:r w:rsidR="007203FE">
        <w:rPr>
          <w:rFonts w:ascii="Georgia" w:hAnsi="Georgia"/>
        </w:rPr>
        <w:t>ere</w:t>
      </w:r>
      <w:r>
        <w:rPr>
          <w:rFonts w:ascii="Georgia" w:hAnsi="Georgia"/>
        </w:rPr>
        <w:t xml:space="preserve"> in connection with the extension </w:t>
      </w:r>
      <w:r w:rsidR="0003582A">
        <w:rPr>
          <w:rFonts w:ascii="Georgia" w:hAnsi="Georgia"/>
        </w:rPr>
        <w:t>development</w:t>
      </w:r>
      <w:r w:rsidR="00B82AE5">
        <w:rPr>
          <w:rFonts w:ascii="Georgia" w:hAnsi="Georgia"/>
        </w:rPr>
        <w:t>.</w:t>
      </w:r>
      <w:r w:rsidR="0003582A">
        <w:rPr>
          <w:rFonts w:ascii="Georgia" w:hAnsi="Georgia"/>
        </w:rPr>
        <w:t xml:space="preserve"> In addition, based on the Applicants’ submissions and the photographs provided in their statement of case, </w:t>
      </w:r>
      <w:r w:rsidR="008A2EEF">
        <w:rPr>
          <w:rFonts w:ascii="Georgia" w:hAnsi="Georgia"/>
        </w:rPr>
        <w:t>there was in reality a serious deterioration of the external areas as a result of that development with</w:t>
      </w:r>
      <w:r w:rsidR="00746E04">
        <w:rPr>
          <w:rFonts w:ascii="Georgia" w:hAnsi="Georgia"/>
        </w:rPr>
        <w:t>,</w:t>
      </w:r>
      <w:r w:rsidR="008A2EEF">
        <w:rPr>
          <w:rFonts w:ascii="Georgia" w:hAnsi="Georgia"/>
        </w:rPr>
        <w:t xml:space="preserve"> </w:t>
      </w:r>
      <w:r w:rsidR="00746E04">
        <w:rPr>
          <w:rFonts w:ascii="Georgia" w:hAnsi="Georgia"/>
        </w:rPr>
        <w:t xml:space="preserve">for example, broken slabs remaining unremediated. It therefore </w:t>
      </w:r>
      <w:r w:rsidR="003C7735">
        <w:rPr>
          <w:rFonts w:ascii="Georgia" w:hAnsi="Georgia"/>
        </w:rPr>
        <w:t xml:space="preserve">considers </w:t>
      </w:r>
      <w:r w:rsidR="00746E04">
        <w:rPr>
          <w:rFonts w:ascii="Georgia" w:hAnsi="Georgia"/>
        </w:rPr>
        <w:t xml:space="preserve"> </w:t>
      </w:r>
      <w:r w:rsidR="003C7735">
        <w:rPr>
          <w:rFonts w:ascii="Georgia" w:hAnsi="Georgia"/>
        </w:rPr>
        <w:t xml:space="preserve">that no amounts should be payable in either service charge year in respect of landscaping </w:t>
      </w:r>
      <w:r w:rsidR="009052E8">
        <w:rPr>
          <w:rFonts w:ascii="Georgia" w:hAnsi="Georgia"/>
        </w:rPr>
        <w:t>or</w:t>
      </w:r>
      <w:r w:rsidR="003C7735">
        <w:rPr>
          <w:rFonts w:ascii="Georgia" w:hAnsi="Georgia"/>
        </w:rPr>
        <w:t xml:space="preserve"> </w:t>
      </w:r>
      <w:r w:rsidR="000B361D">
        <w:rPr>
          <w:rFonts w:ascii="Georgia" w:hAnsi="Georgia"/>
        </w:rPr>
        <w:t>grounds maintenance.</w:t>
      </w:r>
    </w:p>
    <w:p w14:paraId="093341AE" w14:textId="77777777" w:rsidR="000B361D" w:rsidRDefault="000B361D" w:rsidP="000B361D">
      <w:pPr>
        <w:pStyle w:val="ListParagraph"/>
        <w:rPr>
          <w:rFonts w:ascii="Georgia" w:hAnsi="Georgia"/>
        </w:rPr>
      </w:pPr>
    </w:p>
    <w:p w14:paraId="60571E53" w14:textId="5DCAF1DF" w:rsidR="000B361D" w:rsidRPr="00A96618" w:rsidRDefault="000B361D" w:rsidP="005C49E0">
      <w:pPr>
        <w:numPr>
          <w:ilvl w:val="0"/>
          <w:numId w:val="34"/>
        </w:numPr>
        <w:tabs>
          <w:tab w:val="clear" w:pos="1134"/>
          <w:tab w:val="num" w:pos="709"/>
        </w:tabs>
        <w:ind w:left="709" w:hanging="709"/>
        <w:jc w:val="both"/>
        <w:rPr>
          <w:rFonts w:ascii="Georgia" w:hAnsi="Georgia"/>
        </w:rPr>
      </w:pPr>
      <w:r w:rsidRPr="007E3A07">
        <w:rPr>
          <w:rFonts w:ascii="Georgia" w:hAnsi="Georgia" w:cs="Arial"/>
        </w:rPr>
        <w:t xml:space="preserve">The Tribunal determines that no amount is payable by the Applicants in the 2021 service charge year in relation to </w:t>
      </w:r>
      <w:r>
        <w:rPr>
          <w:rFonts w:ascii="Georgia" w:hAnsi="Georgia" w:cs="Arial"/>
        </w:rPr>
        <w:t>landscaping and grounds maintenance.</w:t>
      </w:r>
    </w:p>
    <w:p w14:paraId="53954A21" w14:textId="77777777" w:rsidR="00A96618" w:rsidRDefault="00A96618" w:rsidP="00A96618">
      <w:pPr>
        <w:pStyle w:val="ListParagraph"/>
        <w:rPr>
          <w:rFonts w:ascii="Georgia" w:hAnsi="Georgia"/>
        </w:rPr>
      </w:pPr>
    </w:p>
    <w:p w14:paraId="55FC855E" w14:textId="7AFDD720" w:rsidR="00A96618" w:rsidRPr="000B361D" w:rsidRDefault="002B7C52" w:rsidP="002B7C52">
      <w:pPr>
        <w:jc w:val="both"/>
        <w:rPr>
          <w:rFonts w:ascii="Georgia" w:hAnsi="Georgia"/>
        </w:rPr>
      </w:pPr>
      <w:r>
        <w:rPr>
          <w:rFonts w:ascii="Georgia" w:hAnsi="Georgia"/>
          <w:b/>
          <w:bCs/>
          <w:u w:val="single"/>
        </w:rPr>
        <w:t>Window cleaning</w:t>
      </w:r>
      <w:r w:rsidRPr="002B7C52">
        <w:rPr>
          <w:rFonts w:ascii="Georgia" w:hAnsi="Georgia"/>
          <w:b/>
          <w:bCs/>
          <w:u w:val="single"/>
        </w:rPr>
        <w:t xml:space="preserve"> - £</w:t>
      </w:r>
      <w:r>
        <w:rPr>
          <w:rFonts w:ascii="Georgia" w:hAnsi="Georgia"/>
          <w:b/>
          <w:bCs/>
          <w:u w:val="single"/>
        </w:rPr>
        <w:t>5</w:t>
      </w:r>
      <w:r w:rsidRPr="002B7C52">
        <w:rPr>
          <w:rFonts w:ascii="Georgia" w:hAnsi="Georgia"/>
          <w:b/>
          <w:bCs/>
          <w:u w:val="single"/>
        </w:rPr>
        <w:t>00</w:t>
      </w:r>
    </w:p>
    <w:p w14:paraId="08136262" w14:textId="77777777" w:rsidR="000B361D" w:rsidRDefault="000B361D" w:rsidP="000B361D">
      <w:pPr>
        <w:pStyle w:val="ListParagraph"/>
        <w:rPr>
          <w:rFonts w:ascii="Georgia" w:hAnsi="Georgia"/>
        </w:rPr>
      </w:pPr>
    </w:p>
    <w:p w14:paraId="23E7A0DF" w14:textId="38EF678A" w:rsidR="000B361D" w:rsidRDefault="00111A8D" w:rsidP="005C49E0">
      <w:pPr>
        <w:numPr>
          <w:ilvl w:val="0"/>
          <w:numId w:val="34"/>
        </w:numPr>
        <w:tabs>
          <w:tab w:val="clear" w:pos="1134"/>
          <w:tab w:val="num" w:pos="709"/>
        </w:tabs>
        <w:ind w:left="709" w:hanging="709"/>
        <w:jc w:val="both"/>
        <w:rPr>
          <w:rFonts w:ascii="Georgia" w:hAnsi="Georgia"/>
        </w:rPr>
      </w:pPr>
      <w:r>
        <w:rPr>
          <w:rFonts w:ascii="Georgia" w:hAnsi="Georgia"/>
        </w:rPr>
        <w:t xml:space="preserve">The Applicants accept that £500 for </w:t>
      </w:r>
      <w:r w:rsidR="00394DE8">
        <w:rPr>
          <w:rFonts w:ascii="Georgia" w:hAnsi="Georgia"/>
        </w:rPr>
        <w:t xml:space="preserve">window cleaning at least four times a year is reasonable. </w:t>
      </w:r>
      <w:r w:rsidR="00C67915">
        <w:rPr>
          <w:rFonts w:ascii="Georgia" w:hAnsi="Georgia"/>
        </w:rPr>
        <w:t xml:space="preserve">Mr Dearman had organised their cleaning on two occasions </w:t>
      </w:r>
      <w:r w:rsidR="00503EFD">
        <w:rPr>
          <w:rFonts w:ascii="Georgia" w:hAnsi="Georgia"/>
        </w:rPr>
        <w:t xml:space="preserve">at a cost </w:t>
      </w:r>
      <w:r w:rsidR="0089711B">
        <w:rPr>
          <w:rFonts w:ascii="Georgia" w:hAnsi="Georgia"/>
        </w:rPr>
        <w:t>of about £70 a visit</w:t>
      </w:r>
      <w:r w:rsidR="000B361D">
        <w:rPr>
          <w:rFonts w:ascii="Georgia" w:hAnsi="Georgia"/>
        </w:rPr>
        <w:t>.</w:t>
      </w:r>
      <w:r w:rsidR="0089711B">
        <w:rPr>
          <w:rFonts w:ascii="Georgia" w:hAnsi="Georgia"/>
        </w:rPr>
        <w:t xml:space="preserve"> However, no window cleaning had been carried out by the </w:t>
      </w:r>
      <w:r w:rsidR="00F60183">
        <w:rPr>
          <w:rFonts w:ascii="Georgia" w:hAnsi="Georgia"/>
        </w:rPr>
        <w:t xml:space="preserve">Respondent at any point in the two years in question and so no service charge should be payable </w:t>
      </w:r>
      <w:r w:rsidR="00583B7A">
        <w:rPr>
          <w:rFonts w:ascii="Georgia" w:hAnsi="Georgia"/>
        </w:rPr>
        <w:t>for window cleaning.</w:t>
      </w:r>
    </w:p>
    <w:p w14:paraId="039E1053" w14:textId="77777777" w:rsidR="00583B7A" w:rsidRDefault="00583B7A" w:rsidP="00583B7A">
      <w:pPr>
        <w:ind w:left="709"/>
        <w:jc w:val="both"/>
        <w:rPr>
          <w:rFonts w:ascii="Georgia" w:hAnsi="Georgia"/>
        </w:rPr>
      </w:pPr>
    </w:p>
    <w:p w14:paraId="3DE59B30" w14:textId="22BD76D0" w:rsidR="00583B7A" w:rsidRDefault="00583B7A" w:rsidP="005C49E0">
      <w:pPr>
        <w:numPr>
          <w:ilvl w:val="0"/>
          <w:numId w:val="34"/>
        </w:numPr>
        <w:tabs>
          <w:tab w:val="clear" w:pos="1134"/>
          <w:tab w:val="num" w:pos="709"/>
        </w:tabs>
        <w:ind w:left="709" w:hanging="709"/>
        <w:jc w:val="both"/>
        <w:rPr>
          <w:rFonts w:ascii="Georgia" w:hAnsi="Georgia"/>
        </w:rPr>
      </w:pPr>
      <w:r>
        <w:rPr>
          <w:rFonts w:ascii="Georgia" w:hAnsi="Georgia"/>
        </w:rPr>
        <w:t xml:space="preserve">The Tribunal </w:t>
      </w:r>
      <w:r w:rsidR="001B4031">
        <w:rPr>
          <w:rFonts w:ascii="Georgia" w:hAnsi="Georgia"/>
        </w:rPr>
        <w:t xml:space="preserve">accepted, in the absence of any evidence to the contrary, that no window cleaning </w:t>
      </w:r>
      <w:r w:rsidR="008E3FE7">
        <w:rPr>
          <w:rFonts w:ascii="Georgia" w:hAnsi="Georgia"/>
        </w:rPr>
        <w:t>had been carried out over the two years in dispute by the Respondent</w:t>
      </w:r>
      <w:r>
        <w:rPr>
          <w:rFonts w:ascii="Georgia" w:hAnsi="Georgia"/>
        </w:rPr>
        <w:t>.</w:t>
      </w:r>
      <w:r w:rsidR="008E3FE7">
        <w:rPr>
          <w:rFonts w:ascii="Georgia" w:hAnsi="Georgia"/>
        </w:rPr>
        <w:t xml:space="preserve"> It therefore concluded that no sums should be payable</w:t>
      </w:r>
      <w:r w:rsidR="00EF09CB">
        <w:rPr>
          <w:rFonts w:ascii="Georgia" w:hAnsi="Georgia"/>
        </w:rPr>
        <w:t xml:space="preserve"> by the Applicants in respect of window cleaning.</w:t>
      </w:r>
    </w:p>
    <w:p w14:paraId="24E5EBFC" w14:textId="77777777" w:rsidR="00EF09CB" w:rsidRDefault="00EF09CB" w:rsidP="00EF09CB">
      <w:pPr>
        <w:pStyle w:val="ListParagraph"/>
        <w:rPr>
          <w:rFonts w:ascii="Georgia" w:hAnsi="Georgia"/>
        </w:rPr>
      </w:pPr>
    </w:p>
    <w:p w14:paraId="2F95E7AF" w14:textId="75254C29" w:rsidR="00EF09CB" w:rsidRPr="002B59AC" w:rsidRDefault="00E5203A" w:rsidP="005C49E0">
      <w:pPr>
        <w:numPr>
          <w:ilvl w:val="0"/>
          <w:numId w:val="34"/>
        </w:numPr>
        <w:tabs>
          <w:tab w:val="clear" w:pos="1134"/>
          <w:tab w:val="num" w:pos="709"/>
        </w:tabs>
        <w:ind w:left="709" w:hanging="709"/>
        <w:jc w:val="both"/>
        <w:rPr>
          <w:rFonts w:ascii="Georgia" w:hAnsi="Georgia"/>
        </w:rPr>
      </w:pPr>
      <w:r w:rsidRPr="007E3A07">
        <w:rPr>
          <w:rFonts w:ascii="Georgia" w:hAnsi="Georgia" w:cs="Arial"/>
        </w:rPr>
        <w:t xml:space="preserve">The Tribunal determines that no amount is payable by the Applicants in the 2021 service charge year in relation to </w:t>
      </w:r>
      <w:r>
        <w:rPr>
          <w:rFonts w:ascii="Georgia" w:hAnsi="Georgia" w:cs="Arial"/>
        </w:rPr>
        <w:t>window cleaning.</w:t>
      </w:r>
    </w:p>
    <w:p w14:paraId="43D42E99" w14:textId="77777777" w:rsidR="002B59AC" w:rsidRDefault="002B59AC" w:rsidP="002B59AC">
      <w:pPr>
        <w:pStyle w:val="ListParagraph"/>
        <w:rPr>
          <w:rFonts w:ascii="Georgia" w:hAnsi="Georgia"/>
        </w:rPr>
      </w:pPr>
    </w:p>
    <w:p w14:paraId="71577945" w14:textId="5A09198D" w:rsidR="002B59AC" w:rsidRPr="003832F9" w:rsidRDefault="003832F9" w:rsidP="002B59AC">
      <w:pPr>
        <w:jc w:val="both"/>
        <w:rPr>
          <w:rFonts w:ascii="Georgia" w:hAnsi="Georgia"/>
          <w:b/>
          <w:bCs/>
          <w:u w:val="single"/>
        </w:rPr>
      </w:pPr>
      <w:r w:rsidRPr="003832F9">
        <w:rPr>
          <w:rFonts w:ascii="Georgia" w:hAnsi="Georgia"/>
          <w:b/>
          <w:bCs/>
          <w:u w:val="single"/>
        </w:rPr>
        <w:t>Emergency Lighting System - £500; Fire Alarm Testing £500; Risk Assessments &amp; Audits £500</w:t>
      </w:r>
    </w:p>
    <w:p w14:paraId="3F3C5AC9" w14:textId="77777777" w:rsidR="002B59AC" w:rsidRDefault="002B59AC" w:rsidP="002B59AC">
      <w:pPr>
        <w:pStyle w:val="ListParagraph"/>
        <w:rPr>
          <w:rFonts w:ascii="Georgia" w:hAnsi="Georgia"/>
        </w:rPr>
      </w:pPr>
    </w:p>
    <w:p w14:paraId="26E1CB2E" w14:textId="2FFEB209" w:rsidR="002B59AC" w:rsidRDefault="003832F9" w:rsidP="005C49E0">
      <w:pPr>
        <w:numPr>
          <w:ilvl w:val="0"/>
          <w:numId w:val="34"/>
        </w:numPr>
        <w:tabs>
          <w:tab w:val="clear" w:pos="1134"/>
          <w:tab w:val="num" w:pos="709"/>
        </w:tabs>
        <w:ind w:left="709" w:hanging="709"/>
        <w:jc w:val="both"/>
        <w:rPr>
          <w:rFonts w:ascii="Georgia" w:hAnsi="Georgia"/>
        </w:rPr>
      </w:pPr>
      <w:r>
        <w:rPr>
          <w:rFonts w:ascii="Georgia" w:hAnsi="Georgia"/>
        </w:rPr>
        <w:t xml:space="preserve">The Tribunal considered these three items together as </w:t>
      </w:r>
      <w:r w:rsidR="00A56224">
        <w:rPr>
          <w:rFonts w:ascii="Georgia" w:hAnsi="Georgia"/>
        </w:rPr>
        <w:t>they are essentially related items</w:t>
      </w:r>
      <w:r w:rsidR="002B59AC">
        <w:rPr>
          <w:rFonts w:ascii="Georgia" w:hAnsi="Georgia"/>
        </w:rPr>
        <w:t>.</w:t>
      </w:r>
    </w:p>
    <w:p w14:paraId="048E6B12" w14:textId="77777777" w:rsidR="00A56224" w:rsidRDefault="00A56224" w:rsidP="00A56224">
      <w:pPr>
        <w:ind w:left="709"/>
        <w:jc w:val="both"/>
        <w:rPr>
          <w:rFonts w:ascii="Georgia" w:hAnsi="Georgia"/>
        </w:rPr>
      </w:pPr>
    </w:p>
    <w:p w14:paraId="0ED3A801" w14:textId="0EACA342" w:rsidR="00A56224" w:rsidRDefault="00A56224" w:rsidP="005C49E0">
      <w:pPr>
        <w:numPr>
          <w:ilvl w:val="0"/>
          <w:numId w:val="34"/>
        </w:numPr>
        <w:tabs>
          <w:tab w:val="clear" w:pos="1134"/>
          <w:tab w:val="num" w:pos="709"/>
        </w:tabs>
        <w:ind w:left="709" w:hanging="709"/>
        <w:jc w:val="both"/>
        <w:rPr>
          <w:rFonts w:ascii="Georgia" w:hAnsi="Georgia"/>
        </w:rPr>
      </w:pPr>
      <w:r>
        <w:rPr>
          <w:rFonts w:ascii="Georgia" w:hAnsi="Georgia"/>
        </w:rPr>
        <w:lastRenderedPageBreak/>
        <w:t xml:space="preserve">The Applicants </w:t>
      </w:r>
      <w:r w:rsidR="001A65C2">
        <w:rPr>
          <w:rFonts w:ascii="Georgia" w:hAnsi="Georgia"/>
        </w:rPr>
        <w:t xml:space="preserve">argued that </w:t>
      </w:r>
      <w:r w:rsidR="007607B5">
        <w:rPr>
          <w:rFonts w:ascii="Georgia" w:hAnsi="Georgia"/>
        </w:rPr>
        <w:t>there had been no testing or risk assessments carried out; if they had, they had seen no evidence of this</w:t>
      </w:r>
      <w:r>
        <w:rPr>
          <w:rFonts w:ascii="Georgia" w:hAnsi="Georgia"/>
        </w:rPr>
        <w:t>.</w:t>
      </w:r>
      <w:r w:rsidR="007607B5">
        <w:rPr>
          <w:rFonts w:ascii="Georgia" w:hAnsi="Georgia"/>
        </w:rPr>
        <w:t xml:space="preserve"> They pointed by way of example</w:t>
      </w:r>
      <w:r w:rsidR="00F012F4">
        <w:rPr>
          <w:rFonts w:ascii="Georgia" w:hAnsi="Georgia"/>
        </w:rPr>
        <w:t xml:space="preserve"> to the fire alarm which beeped and was never fixed in the two years in question. </w:t>
      </w:r>
      <w:r w:rsidR="000B29BC">
        <w:rPr>
          <w:rFonts w:ascii="Georgia" w:hAnsi="Georgia"/>
        </w:rPr>
        <w:t xml:space="preserve">The new managing agents who took over </w:t>
      </w:r>
      <w:r w:rsidR="00B90792">
        <w:rPr>
          <w:rFonts w:ascii="Georgia" w:hAnsi="Georgia"/>
        </w:rPr>
        <w:t xml:space="preserve">in January 2023 fixed it, apparently </w:t>
      </w:r>
      <w:r w:rsidR="00A82020">
        <w:rPr>
          <w:rFonts w:ascii="Georgia" w:hAnsi="Georgia"/>
        </w:rPr>
        <w:t>the workman who carried out the work saying that it had never worked.</w:t>
      </w:r>
    </w:p>
    <w:p w14:paraId="17C34FCF" w14:textId="77777777" w:rsidR="00A82020" w:rsidRDefault="00A82020" w:rsidP="00A82020">
      <w:pPr>
        <w:pStyle w:val="ListParagraph"/>
        <w:rPr>
          <w:rFonts w:ascii="Georgia" w:hAnsi="Georgia"/>
        </w:rPr>
      </w:pPr>
    </w:p>
    <w:p w14:paraId="61FF3C90" w14:textId="518E09E8" w:rsidR="00A82020" w:rsidRDefault="00A82020" w:rsidP="005C49E0">
      <w:pPr>
        <w:numPr>
          <w:ilvl w:val="0"/>
          <w:numId w:val="34"/>
        </w:numPr>
        <w:tabs>
          <w:tab w:val="clear" w:pos="1134"/>
          <w:tab w:val="num" w:pos="709"/>
        </w:tabs>
        <w:ind w:left="709" w:hanging="709"/>
        <w:jc w:val="both"/>
        <w:rPr>
          <w:rFonts w:ascii="Georgia" w:hAnsi="Georgia"/>
        </w:rPr>
      </w:pPr>
      <w:r>
        <w:rPr>
          <w:rFonts w:ascii="Georgia" w:hAnsi="Georgia"/>
        </w:rPr>
        <w:t>The Tribunal accepts</w:t>
      </w:r>
      <w:r w:rsidR="009F4374">
        <w:rPr>
          <w:rFonts w:ascii="Georgia" w:hAnsi="Georgia"/>
        </w:rPr>
        <w:t xml:space="preserve">, in the absence of any evidence to the contrary, that no works </w:t>
      </w:r>
      <w:r w:rsidR="009B4CC6">
        <w:rPr>
          <w:rFonts w:ascii="Georgia" w:hAnsi="Georgia"/>
        </w:rPr>
        <w:t xml:space="preserve">or assessments </w:t>
      </w:r>
      <w:r w:rsidR="009F4374">
        <w:rPr>
          <w:rFonts w:ascii="Georgia" w:hAnsi="Georgia"/>
        </w:rPr>
        <w:t>on any of these three categories were carried out</w:t>
      </w:r>
      <w:r w:rsidR="009B4CC6">
        <w:rPr>
          <w:rFonts w:ascii="Georgia" w:hAnsi="Georgia"/>
        </w:rPr>
        <w:t xml:space="preserve">. It considers that the beeping of the fire alarm would </w:t>
      </w:r>
      <w:r w:rsidR="00B73DB7">
        <w:rPr>
          <w:rFonts w:ascii="Georgia" w:hAnsi="Georgia"/>
        </w:rPr>
        <w:t>corroborate that no inspections occurred. In addition, it considers that, as the flats were only handed over in late 2020</w:t>
      </w:r>
      <w:r w:rsidR="00045197">
        <w:rPr>
          <w:rFonts w:ascii="Georgia" w:hAnsi="Georgia"/>
        </w:rPr>
        <w:t xml:space="preserve">, no works or assessments should have been necessary in the first two years. As a result, it considers that no sums should be payable by the Applicants in relation to any of these items in </w:t>
      </w:r>
      <w:r w:rsidR="00707B67">
        <w:rPr>
          <w:rFonts w:ascii="Georgia" w:hAnsi="Georgia"/>
        </w:rPr>
        <w:t>2021 or 2022.</w:t>
      </w:r>
    </w:p>
    <w:p w14:paraId="57BFBC30" w14:textId="77777777" w:rsidR="00707B67" w:rsidRDefault="00707B67" w:rsidP="00707B67">
      <w:pPr>
        <w:pStyle w:val="ListParagraph"/>
        <w:rPr>
          <w:rFonts w:ascii="Georgia" w:hAnsi="Georgia"/>
        </w:rPr>
      </w:pPr>
    </w:p>
    <w:p w14:paraId="2AF0176F" w14:textId="7A48F645" w:rsidR="00707B67" w:rsidRPr="00E7186B" w:rsidRDefault="00707B67" w:rsidP="005C49E0">
      <w:pPr>
        <w:numPr>
          <w:ilvl w:val="0"/>
          <w:numId w:val="34"/>
        </w:numPr>
        <w:tabs>
          <w:tab w:val="clear" w:pos="1134"/>
          <w:tab w:val="num" w:pos="709"/>
        </w:tabs>
        <w:ind w:left="709" w:hanging="709"/>
        <w:jc w:val="both"/>
        <w:rPr>
          <w:rFonts w:ascii="Georgia" w:hAnsi="Georgia"/>
        </w:rPr>
      </w:pPr>
      <w:r w:rsidRPr="007E3A07">
        <w:rPr>
          <w:rFonts w:ascii="Georgia" w:hAnsi="Georgia" w:cs="Arial"/>
        </w:rPr>
        <w:t xml:space="preserve">The Tribunal determines that no amount is payable by the Applicants in the 2021 service charge year in relation to </w:t>
      </w:r>
      <w:r>
        <w:rPr>
          <w:rFonts w:ascii="Georgia" w:hAnsi="Georgia" w:cs="Arial"/>
        </w:rPr>
        <w:t>the</w:t>
      </w:r>
      <w:r w:rsidR="004D156E">
        <w:rPr>
          <w:rFonts w:ascii="Georgia" w:hAnsi="Georgia" w:cs="Arial"/>
        </w:rPr>
        <w:t xml:space="preserve"> emergency lighting system, fire alarm testing and </w:t>
      </w:r>
      <w:r w:rsidR="00E7186B">
        <w:rPr>
          <w:rFonts w:ascii="Georgia" w:hAnsi="Georgia" w:cs="Arial"/>
        </w:rPr>
        <w:t>risk assessments and audits.</w:t>
      </w:r>
    </w:p>
    <w:p w14:paraId="2952ECFD" w14:textId="77777777" w:rsidR="00E7186B" w:rsidRDefault="00E7186B" w:rsidP="00E7186B">
      <w:pPr>
        <w:pStyle w:val="ListParagraph"/>
        <w:rPr>
          <w:rFonts w:ascii="Georgia" w:hAnsi="Georgia"/>
        </w:rPr>
      </w:pPr>
    </w:p>
    <w:p w14:paraId="41B3C9D6" w14:textId="7BDDDF50" w:rsidR="00E7186B" w:rsidRPr="00B461E2" w:rsidRDefault="00B461E2" w:rsidP="00B461E2">
      <w:pPr>
        <w:jc w:val="both"/>
        <w:rPr>
          <w:rFonts w:ascii="Georgia" w:hAnsi="Georgia"/>
          <w:b/>
          <w:bCs/>
          <w:u w:val="single"/>
        </w:rPr>
      </w:pPr>
      <w:r w:rsidRPr="00B461E2">
        <w:rPr>
          <w:rFonts w:ascii="Georgia" w:hAnsi="Georgia"/>
          <w:b/>
          <w:bCs/>
          <w:u w:val="single"/>
        </w:rPr>
        <w:t>General Maintenance - £1,400</w:t>
      </w:r>
    </w:p>
    <w:p w14:paraId="2D2DB0FA" w14:textId="77777777" w:rsidR="00E7186B" w:rsidRDefault="00E7186B" w:rsidP="00E7186B">
      <w:pPr>
        <w:pStyle w:val="ListParagraph"/>
        <w:rPr>
          <w:rFonts w:ascii="Georgia" w:hAnsi="Georgia"/>
        </w:rPr>
      </w:pPr>
    </w:p>
    <w:p w14:paraId="51EA8644" w14:textId="7915F09D" w:rsidR="00E7186B" w:rsidRDefault="00B62D73" w:rsidP="005C49E0">
      <w:pPr>
        <w:numPr>
          <w:ilvl w:val="0"/>
          <w:numId w:val="34"/>
        </w:numPr>
        <w:tabs>
          <w:tab w:val="clear" w:pos="1134"/>
          <w:tab w:val="num" w:pos="709"/>
        </w:tabs>
        <w:ind w:left="709" w:hanging="709"/>
        <w:jc w:val="both"/>
        <w:rPr>
          <w:rFonts w:ascii="Georgia" w:hAnsi="Georgia"/>
        </w:rPr>
      </w:pPr>
      <w:r>
        <w:rPr>
          <w:rFonts w:ascii="Georgia" w:hAnsi="Georgia"/>
        </w:rPr>
        <w:t xml:space="preserve">The Applicants </w:t>
      </w:r>
      <w:r w:rsidR="00C02455">
        <w:rPr>
          <w:rFonts w:ascii="Georgia" w:hAnsi="Georgia"/>
        </w:rPr>
        <w:t>explained that entrance door to the Property did not work when they moved</w:t>
      </w:r>
      <w:r w:rsidR="000C209F">
        <w:rPr>
          <w:rFonts w:ascii="Georgia" w:hAnsi="Georgia"/>
        </w:rPr>
        <w:t xml:space="preserve"> in</w:t>
      </w:r>
      <w:r w:rsidR="00E7186B">
        <w:rPr>
          <w:rFonts w:ascii="Georgia" w:hAnsi="Georgia"/>
        </w:rPr>
        <w:t>.</w:t>
      </w:r>
      <w:r w:rsidR="000E201E">
        <w:rPr>
          <w:rFonts w:ascii="Georgia" w:hAnsi="Georgia"/>
        </w:rPr>
        <w:t xml:space="preserve"> This door was in fact replaced </w:t>
      </w:r>
      <w:r w:rsidR="00066921">
        <w:rPr>
          <w:rFonts w:ascii="Georgia" w:hAnsi="Georgia"/>
        </w:rPr>
        <w:t xml:space="preserve">when the extension works were carried </w:t>
      </w:r>
      <w:r w:rsidR="005B709A">
        <w:rPr>
          <w:rFonts w:ascii="Georgia" w:hAnsi="Georgia"/>
        </w:rPr>
        <w:t xml:space="preserve">out </w:t>
      </w:r>
      <w:r w:rsidR="00066921">
        <w:rPr>
          <w:rFonts w:ascii="Georgia" w:hAnsi="Georgia"/>
        </w:rPr>
        <w:t xml:space="preserve">as that entrance moved. There were issues </w:t>
      </w:r>
      <w:r w:rsidR="00284E93">
        <w:rPr>
          <w:rFonts w:ascii="Georgia" w:hAnsi="Georgia"/>
        </w:rPr>
        <w:t xml:space="preserve">with a faulty lock. There was an ICW ten year warranty but that only covered </w:t>
      </w:r>
      <w:r w:rsidR="00177D01">
        <w:rPr>
          <w:rFonts w:ascii="Georgia" w:hAnsi="Georgia"/>
        </w:rPr>
        <w:t xml:space="preserve">new items, so the original door and the leaking roof in the second year were not covered. </w:t>
      </w:r>
      <w:r w:rsidR="00D434D3">
        <w:rPr>
          <w:rFonts w:ascii="Georgia" w:hAnsi="Georgia"/>
        </w:rPr>
        <w:t>They considered that nothing had been spent on general maintenance</w:t>
      </w:r>
      <w:r w:rsidR="004851AE">
        <w:rPr>
          <w:rFonts w:ascii="Georgia" w:hAnsi="Georgia"/>
        </w:rPr>
        <w:t xml:space="preserve"> over the two years.</w:t>
      </w:r>
    </w:p>
    <w:p w14:paraId="2FE07075" w14:textId="77777777" w:rsidR="00BE37D2" w:rsidRDefault="00BE37D2" w:rsidP="00BE37D2">
      <w:pPr>
        <w:ind w:left="709"/>
        <w:jc w:val="both"/>
        <w:rPr>
          <w:rFonts w:ascii="Georgia" w:hAnsi="Georgia"/>
        </w:rPr>
      </w:pPr>
    </w:p>
    <w:p w14:paraId="64432BCA" w14:textId="60C9277B" w:rsidR="004851AE" w:rsidRDefault="00BE37D2" w:rsidP="005C49E0">
      <w:pPr>
        <w:numPr>
          <w:ilvl w:val="0"/>
          <w:numId w:val="34"/>
        </w:numPr>
        <w:tabs>
          <w:tab w:val="clear" w:pos="1134"/>
          <w:tab w:val="num" w:pos="709"/>
        </w:tabs>
        <w:ind w:left="709" w:hanging="709"/>
        <w:jc w:val="both"/>
        <w:rPr>
          <w:rFonts w:ascii="Georgia" w:hAnsi="Georgia"/>
        </w:rPr>
      </w:pPr>
      <w:r>
        <w:rPr>
          <w:rFonts w:ascii="Georgia" w:hAnsi="Georgia"/>
        </w:rPr>
        <w:t>The Tribunal considered that £400 in the 2021 service charge was a reasonable figure to allocate to door works.</w:t>
      </w:r>
      <w:r w:rsidR="0019115E">
        <w:rPr>
          <w:rFonts w:ascii="Georgia" w:hAnsi="Georgia"/>
        </w:rPr>
        <w:t xml:space="preserve"> It also considered that £1,400 was a reasonable sum to set aside in 2022 </w:t>
      </w:r>
      <w:r w:rsidR="00A70D9C">
        <w:rPr>
          <w:rFonts w:ascii="Georgia" w:hAnsi="Georgia"/>
        </w:rPr>
        <w:t>to deal with the roof works.</w:t>
      </w:r>
    </w:p>
    <w:p w14:paraId="097D944C" w14:textId="77777777" w:rsidR="00A70D9C" w:rsidRDefault="00A70D9C" w:rsidP="00A70D9C">
      <w:pPr>
        <w:pStyle w:val="ListParagraph"/>
        <w:rPr>
          <w:rFonts w:ascii="Georgia" w:hAnsi="Georgia"/>
        </w:rPr>
      </w:pPr>
    </w:p>
    <w:p w14:paraId="3438FE39" w14:textId="0CDE336D" w:rsidR="00A70D9C" w:rsidRPr="00926865" w:rsidRDefault="00C77BEC" w:rsidP="005C49E0">
      <w:pPr>
        <w:numPr>
          <w:ilvl w:val="0"/>
          <w:numId w:val="34"/>
        </w:numPr>
        <w:tabs>
          <w:tab w:val="clear" w:pos="1134"/>
          <w:tab w:val="num" w:pos="709"/>
        </w:tabs>
        <w:ind w:left="709" w:hanging="709"/>
        <w:jc w:val="both"/>
        <w:rPr>
          <w:rFonts w:ascii="Georgia" w:hAnsi="Georgia"/>
        </w:rPr>
      </w:pPr>
      <w:r w:rsidRPr="002342B0">
        <w:rPr>
          <w:rFonts w:ascii="Georgia" w:hAnsi="Georgia" w:cs="Arial"/>
        </w:rPr>
        <w:t xml:space="preserve">The Tribunal determines that the </w:t>
      </w:r>
      <w:r w:rsidR="00765171">
        <w:rPr>
          <w:rFonts w:ascii="Georgia" w:hAnsi="Georgia" w:cs="Arial"/>
        </w:rPr>
        <w:t xml:space="preserve">appropriate aggregate level of the </w:t>
      </w:r>
      <w:r w:rsidRPr="002342B0">
        <w:rPr>
          <w:rFonts w:ascii="Georgia" w:hAnsi="Georgia" w:cs="Arial"/>
        </w:rPr>
        <w:t xml:space="preserve">Applicants’ contribution towards </w:t>
      </w:r>
      <w:r>
        <w:rPr>
          <w:rFonts w:ascii="Georgia" w:hAnsi="Georgia" w:cs="Arial"/>
        </w:rPr>
        <w:t>general maintenance</w:t>
      </w:r>
      <w:r w:rsidRPr="002342B0">
        <w:rPr>
          <w:rFonts w:ascii="Georgia" w:hAnsi="Georgia" w:cs="Arial"/>
        </w:rPr>
        <w:t xml:space="preserve"> for the 2021 service charge year </w:t>
      </w:r>
      <w:r w:rsidR="00765171">
        <w:rPr>
          <w:rFonts w:ascii="Georgia" w:hAnsi="Georgia" w:cs="Arial"/>
        </w:rPr>
        <w:t xml:space="preserve">is </w:t>
      </w:r>
      <w:r w:rsidRPr="002342B0">
        <w:rPr>
          <w:rFonts w:ascii="Georgia" w:hAnsi="Georgia" w:cs="Arial"/>
        </w:rPr>
        <w:t>£</w:t>
      </w:r>
      <w:r>
        <w:rPr>
          <w:rFonts w:ascii="Georgia" w:hAnsi="Georgia" w:cs="Arial"/>
        </w:rPr>
        <w:t>40</w:t>
      </w:r>
      <w:r w:rsidRPr="002342B0">
        <w:rPr>
          <w:rFonts w:ascii="Georgia" w:hAnsi="Georgia" w:cs="Arial"/>
        </w:rPr>
        <w:t>0 plus VAT</w:t>
      </w:r>
      <w:r>
        <w:rPr>
          <w:rFonts w:ascii="Georgia" w:hAnsi="Georgia" w:cs="Arial"/>
        </w:rPr>
        <w:t>.</w:t>
      </w:r>
    </w:p>
    <w:p w14:paraId="7500463F" w14:textId="77777777" w:rsidR="00926865" w:rsidRDefault="00926865" w:rsidP="00926865">
      <w:pPr>
        <w:pStyle w:val="ListParagraph"/>
        <w:rPr>
          <w:rFonts w:ascii="Georgia" w:hAnsi="Georgia"/>
        </w:rPr>
      </w:pPr>
    </w:p>
    <w:p w14:paraId="5CD86750" w14:textId="375A28E0" w:rsidR="00926865" w:rsidRPr="00926865" w:rsidRDefault="00926865" w:rsidP="00926865">
      <w:pPr>
        <w:jc w:val="both"/>
        <w:rPr>
          <w:rFonts w:ascii="Georgia" w:hAnsi="Georgia"/>
          <w:b/>
          <w:bCs/>
          <w:u w:val="single"/>
        </w:rPr>
      </w:pPr>
      <w:r w:rsidRPr="00926865">
        <w:rPr>
          <w:rFonts w:ascii="Georgia" w:hAnsi="Georgia"/>
          <w:b/>
          <w:bCs/>
          <w:u w:val="single"/>
        </w:rPr>
        <w:t>Building Insurance - £1,055</w:t>
      </w:r>
    </w:p>
    <w:p w14:paraId="219C8305" w14:textId="77777777" w:rsidR="00C77BEC" w:rsidRDefault="00C77BEC" w:rsidP="00C77BEC">
      <w:pPr>
        <w:pStyle w:val="ListParagraph"/>
        <w:rPr>
          <w:rFonts w:ascii="Georgia" w:hAnsi="Georgia"/>
        </w:rPr>
      </w:pPr>
    </w:p>
    <w:p w14:paraId="3003ECB4" w14:textId="2444B8BA" w:rsidR="00C77BEC" w:rsidRDefault="008504E8" w:rsidP="005C49E0">
      <w:pPr>
        <w:numPr>
          <w:ilvl w:val="0"/>
          <w:numId w:val="34"/>
        </w:numPr>
        <w:tabs>
          <w:tab w:val="clear" w:pos="1134"/>
          <w:tab w:val="num" w:pos="709"/>
        </w:tabs>
        <w:ind w:left="709" w:hanging="709"/>
        <w:jc w:val="both"/>
        <w:rPr>
          <w:rFonts w:ascii="Georgia" w:hAnsi="Georgia"/>
        </w:rPr>
      </w:pPr>
      <w:r>
        <w:rPr>
          <w:rFonts w:ascii="Georgia" w:hAnsi="Georgia"/>
        </w:rPr>
        <w:t>The Applicants accepted that £1,055 per year for insurance was a reasonable amount</w:t>
      </w:r>
      <w:r w:rsidR="00C77BEC">
        <w:rPr>
          <w:rFonts w:ascii="Georgia" w:hAnsi="Georgia"/>
        </w:rPr>
        <w:t>.</w:t>
      </w:r>
      <w:r w:rsidR="009423D5">
        <w:rPr>
          <w:rFonts w:ascii="Georgia" w:hAnsi="Georgia"/>
        </w:rPr>
        <w:t xml:space="preserve"> That amount also seemed reasonable to the Tribunal.</w:t>
      </w:r>
    </w:p>
    <w:p w14:paraId="59C6F716" w14:textId="77777777" w:rsidR="009423D5" w:rsidRDefault="009423D5" w:rsidP="009423D5">
      <w:pPr>
        <w:ind w:left="709"/>
        <w:jc w:val="both"/>
        <w:rPr>
          <w:rFonts w:ascii="Georgia" w:hAnsi="Georgia"/>
        </w:rPr>
      </w:pPr>
    </w:p>
    <w:p w14:paraId="7F55DB67" w14:textId="6FAB5FF0" w:rsidR="009423D5" w:rsidRDefault="002102C9" w:rsidP="005C49E0">
      <w:pPr>
        <w:numPr>
          <w:ilvl w:val="0"/>
          <w:numId w:val="34"/>
        </w:numPr>
        <w:tabs>
          <w:tab w:val="clear" w:pos="1134"/>
          <w:tab w:val="num" w:pos="709"/>
        </w:tabs>
        <w:ind w:left="709" w:hanging="709"/>
        <w:jc w:val="both"/>
        <w:rPr>
          <w:rFonts w:ascii="Georgia" w:hAnsi="Georgia"/>
        </w:rPr>
      </w:pPr>
      <w:r w:rsidRPr="002102C9">
        <w:rPr>
          <w:rFonts w:ascii="Georgia" w:hAnsi="Georgia" w:cs="Arial"/>
        </w:rPr>
        <w:t xml:space="preserve">The Tribunal determines that the </w:t>
      </w:r>
      <w:r w:rsidR="00763794">
        <w:rPr>
          <w:rFonts w:ascii="Georgia" w:hAnsi="Georgia" w:cs="Arial"/>
        </w:rPr>
        <w:t xml:space="preserve">aggregate </w:t>
      </w:r>
      <w:r w:rsidRPr="002102C9">
        <w:rPr>
          <w:rFonts w:ascii="Georgia" w:hAnsi="Georgia" w:cs="Arial"/>
        </w:rPr>
        <w:t>amount of £1,055 demanded in respect of insurance for the 2021 service charge year is reasonable and payable</w:t>
      </w:r>
      <w:r w:rsidR="009423D5" w:rsidRPr="002102C9">
        <w:rPr>
          <w:rFonts w:ascii="Georgia" w:hAnsi="Georgia"/>
        </w:rPr>
        <w:t>.</w:t>
      </w:r>
    </w:p>
    <w:p w14:paraId="2DE50E5B" w14:textId="77777777" w:rsidR="002506EB" w:rsidRDefault="002506EB" w:rsidP="002506EB">
      <w:pPr>
        <w:pStyle w:val="ListParagraph"/>
        <w:rPr>
          <w:rFonts w:ascii="Georgia" w:hAnsi="Georgia"/>
        </w:rPr>
      </w:pPr>
    </w:p>
    <w:p w14:paraId="12E67361" w14:textId="77777777" w:rsidR="002506EB" w:rsidRDefault="002506EB" w:rsidP="002506EB">
      <w:pPr>
        <w:ind w:left="709"/>
        <w:jc w:val="both"/>
        <w:rPr>
          <w:rFonts w:ascii="Georgia" w:hAnsi="Georgia"/>
        </w:rPr>
      </w:pPr>
    </w:p>
    <w:p w14:paraId="693EB9ED" w14:textId="77777777" w:rsidR="00BB54AB" w:rsidRDefault="00BB54AB" w:rsidP="00BB54AB">
      <w:pPr>
        <w:pStyle w:val="ListParagraph"/>
        <w:rPr>
          <w:rFonts w:ascii="Georgia" w:hAnsi="Georgia"/>
        </w:rPr>
      </w:pPr>
    </w:p>
    <w:p w14:paraId="23BB7330" w14:textId="2EF75E03" w:rsidR="00BB54AB" w:rsidRPr="00307CDA" w:rsidRDefault="00307CDA" w:rsidP="00307CDA">
      <w:pPr>
        <w:jc w:val="both"/>
        <w:rPr>
          <w:rFonts w:ascii="Georgia" w:hAnsi="Georgia"/>
          <w:b/>
          <w:bCs/>
          <w:u w:val="single"/>
        </w:rPr>
      </w:pPr>
      <w:r w:rsidRPr="00307CDA">
        <w:rPr>
          <w:rFonts w:ascii="Georgia" w:hAnsi="Georgia"/>
          <w:b/>
          <w:bCs/>
          <w:u w:val="single"/>
        </w:rPr>
        <w:lastRenderedPageBreak/>
        <w:t>Reserve Fund - £1,000</w:t>
      </w:r>
    </w:p>
    <w:p w14:paraId="1E17C1F6" w14:textId="77777777" w:rsidR="00BB54AB" w:rsidRDefault="00BB54AB" w:rsidP="00BB54AB">
      <w:pPr>
        <w:pStyle w:val="ListParagraph"/>
        <w:rPr>
          <w:rFonts w:ascii="Georgia" w:hAnsi="Georgia"/>
        </w:rPr>
      </w:pPr>
    </w:p>
    <w:p w14:paraId="467B69B7" w14:textId="615B6243" w:rsidR="00F150FE" w:rsidRPr="00F150FE" w:rsidRDefault="009C4ABA" w:rsidP="00E21CDE">
      <w:pPr>
        <w:numPr>
          <w:ilvl w:val="0"/>
          <w:numId w:val="34"/>
        </w:numPr>
        <w:tabs>
          <w:tab w:val="clear" w:pos="1134"/>
          <w:tab w:val="num" w:pos="709"/>
        </w:tabs>
        <w:ind w:left="709" w:hanging="709"/>
        <w:jc w:val="both"/>
        <w:rPr>
          <w:rFonts w:ascii="Georgia" w:hAnsi="Georgia"/>
        </w:rPr>
      </w:pPr>
      <w:r w:rsidRPr="009C4ABA">
        <w:rPr>
          <w:rFonts w:ascii="Georgia" w:hAnsi="Georgia" w:cs="Arial"/>
        </w:rPr>
        <w:t>The Applicant</w:t>
      </w:r>
      <w:r>
        <w:rPr>
          <w:rFonts w:ascii="Georgia" w:hAnsi="Georgia" w:cs="Arial"/>
        </w:rPr>
        <w:t>s</w:t>
      </w:r>
      <w:r w:rsidRPr="009C4ABA">
        <w:rPr>
          <w:rFonts w:ascii="Georgia" w:hAnsi="Georgia" w:cs="Arial"/>
        </w:rPr>
        <w:t xml:space="preserve"> argued that </w:t>
      </w:r>
      <w:r w:rsidR="00E5418D">
        <w:rPr>
          <w:rFonts w:ascii="Georgia" w:hAnsi="Georgia" w:cs="Arial"/>
        </w:rPr>
        <w:t>as the sums in question had not been spent</w:t>
      </w:r>
      <w:r w:rsidR="00E873BA">
        <w:rPr>
          <w:rFonts w:ascii="Georgia" w:hAnsi="Georgia" w:cs="Arial"/>
        </w:rPr>
        <w:t>, it was not reasonable to make contributions towards a reserve fund</w:t>
      </w:r>
      <w:r w:rsidRPr="009C4ABA">
        <w:rPr>
          <w:rFonts w:ascii="Georgia" w:hAnsi="Georgia" w:cs="Arial"/>
        </w:rPr>
        <w:t>.</w:t>
      </w:r>
      <w:r w:rsidR="00E873BA">
        <w:rPr>
          <w:rFonts w:ascii="Georgia" w:hAnsi="Georgia" w:cs="Arial"/>
        </w:rPr>
        <w:t xml:space="preserve"> The Tribunal explained that the leases allowed </w:t>
      </w:r>
      <w:r w:rsidR="00B70437">
        <w:rPr>
          <w:rFonts w:ascii="Georgia" w:hAnsi="Georgia" w:cs="Arial"/>
        </w:rPr>
        <w:t xml:space="preserve">for reserve funds to be established as this </w:t>
      </w:r>
      <w:r w:rsidR="002929D5">
        <w:rPr>
          <w:rFonts w:ascii="Georgia" w:hAnsi="Georgia" w:cs="Arial"/>
        </w:rPr>
        <w:t xml:space="preserve">allows the </w:t>
      </w:r>
      <w:r w:rsidR="006F491B">
        <w:rPr>
          <w:rFonts w:ascii="Georgia" w:hAnsi="Georgia" w:cs="Arial"/>
        </w:rPr>
        <w:t>build-up</w:t>
      </w:r>
      <w:r w:rsidR="002929D5">
        <w:rPr>
          <w:rFonts w:ascii="Georgia" w:hAnsi="Georgia" w:cs="Arial"/>
        </w:rPr>
        <w:t xml:space="preserve"> of a pot to be used in future m</w:t>
      </w:r>
      <w:r w:rsidR="003F7625">
        <w:rPr>
          <w:rFonts w:ascii="Georgia" w:hAnsi="Georgia" w:cs="Arial"/>
        </w:rPr>
        <w:t>ajor works. A reserve fund helps smooth costs</w:t>
      </w:r>
      <w:r w:rsidR="00E21CDE">
        <w:rPr>
          <w:rFonts w:ascii="Georgia" w:hAnsi="Georgia"/>
        </w:rPr>
        <w:t xml:space="preserve"> </w:t>
      </w:r>
      <w:r w:rsidR="00781DB0" w:rsidRPr="00E21CDE">
        <w:rPr>
          <w:rFonts w:ascii="Georgia" w:hAnsi="Georgia" w:cs="Arial"/>
        </w:rPr>
        <w:t xml:space="preserve">and the Respondent is entitled to establish one. </w:t>
      </w:r>
    </w:p>
    <w:p w14:paraId="40129D3C" w14:textId="77777777" w:rsidR="00F150FE" w:rsidRPr="00F150FE" w:rsidRDefault="00F150FE" w:rsidP="00F150FE">
      <w:pPr>
        <w:ind w:left="709"/>
        <w:jc w:val="both"/>
        <w:rPr>
          <w:rFonts w:ascii="Georgia" w:hAnsi="Georgia"/>
        </w:rPr>
      </w:pPr>
    </w:p>
    <w:p w14:paraId="1F01DE1F" w14:textId="675E6DDC" w:rsidR="00781DB0" w:rsidRPr="007940CE" w:rsidRDefault="00F150FE" w:rsidP="00E21CDE">
      <w:pPr>
        <w:numPr>
          <w:ilvl w:val="0"/>
          <w:numId w:val="34"/>
        </w:numPr>
        <w:tabs>
          <w:tab w:val="clear" w:pos="1134"/>
          <w:tab w:val="num" w:pos="709"/>
        </w:tabs>
        <w:ind w:left="709" w:hanging="709"/>
        <w:jc w:val="both"/>
        <w:rPr>
          <w:rFonts w:ascii="Georgia" w:hAnsi="Georgia"/>
        </w:rPr>
      </w:pPr>
      <w:r>
        <w:rPr>
          <w:rFonts w:ascii="Georgia" w:hAnsi="Georgia" w:cs="Arial"/>
        </w:rPr>
        <w:t xml:space="preserve">Having established that the Respondent was entitled to create a reserve fund and require annual payments into it, </w:t>
      </w:r>
      <w:r w:rsidR="00786B8E">
        <w:rPr>
          <w:rFonts w:ascii="Georgia" w:hAnsi="Georgia" w:cs="Arial"/>
        </w:rPr>
        <w:t>the Tribunal</w:t>
      </w:r>
      <w:r>
        <w:rPr>
          <w:rFonts w:ascii="Georgia" w:hAnsi="Georgia" w:cs="Arial"/>
        </w:rPr>
        <w:t xml:space="preserve"> next considered whether the</w:t>
      </w:r>
      <w:r w:rsidR="003172AC">
        <w:rPr>
          <w:rFonts w:ascii="Georgia" w:hAnsi="Georgia" w:cs="Arial"/>
        </w:rPr>
        <w:t xml:space="preserve"> amount demanded of £1,000 a year was reasonable. It concluded that the </w:t>
      </w:r>
      <w:r w:rsidR="007073CF">
        <w:rPr>
          <w:rFonts w:ascii="Georgia" w:hAnsi="Georgia" w:cs="Arial"/>
        </w:rPr>
        <w:t xml:space="preserve">amount provided for in the 2021 and 2022 budgets was reasonable. </w:t>
      </w:r>
    </w:p>
    <w:p w14:paraId="05BD4F41" w14:textId="77777777" w:rsidR="007940CE" w:rsidRDefault="007940CE" w:rsidP="007940CE">
      <w:pPr>
        <w:pStyle w:val="ListParagraph"/>
        <w:rPr>
          <w:rFonts w:ascii="Georgia" w:hAnsi="Georgia"/>
        </w:rPr>
      </w:pPr>
    </w:p>
    <w:p w14:paraId="31F100ED" w14:textId="67F262CA" w:rsidR="007940CE" w:rsidRPr="00E21CDE" w:rsidRDefault="007940CE" w:rsidP="00E21CDE">
      <w:pPr>
        <w:numPr>
          <w:ilvl w:val="0"/>
          <w:numId w:val="34"/>
        </w:numPr>
        <w:tabs>
          <w:tab w:val="clear" w:pos="1134"/>
          <w:tab w:val="num" w:pos="709"/>
        </w:tabs>
        <w:ind w:left="709" w:hanging="709"/>
        <w:jc w:val="both"/>
        <w:rPr>
          <w:rFonts w:ascii="Georgia" w:hAnsi="Georgia"/>
        </w:rPr>
      </w:pPr>
      <w:r>
        <w:rPr>
          <w:rFonts w:ascii="Georgia" w:hAnsi="Georgia"/>
        </w:rPr>
        <w:t>The Applicants will need to ensure that any reserve fund monies held by the original managing agents is passed to the new managing agents or the Respondent rather than being retained by them.</w:t>
      </w:r>
    </w:p>
    <w:p w14:paraId="7D6552D1" w14:textId="77777777" w:rsidR="002102C9" w:rsidRDefault="002102C9" w:rsidP="002102C9">
      <w:pPr>
        <w:pStyle w:val="ListParagraph"/>
        <w:rPr>
          <w:rFonts w:ascii="Georgia" w:hAnsi="Georgia"/>
        </w:rPr>
      </w:pPr>
    </w:p>
    <w:p w14:paraId="442C9538" w14:textId="28DA2E0E" w:rsidR="002102C9" w:rsidRDefault="00BB54AB" w:rsidP="005C49E0">
      <w:pPr>
        <w:numPr>
          <w:ilvl w:val="0"/>
          <w:numId w:val="34"/>
        </w:numPr>
        <w:tabs>
          <w:tab w:val="clear" w:pos="1134"/>
          <w:tab w:val="num" w:pos="709"/>
        </w:tabs>
        <w:ind w:left="709" w:hanging="709"/>
        <w:jc w:val="both"/>
        <w:rPr>
          <w:rFonts w:ascii="Georgia" w:hAnsi="Georgia"/>
        </w:rPr>
      </w:pPr>
      <w:r w:rsidRPr="003D5A02">
        <w:rPr>
          <w:rFonts w:ascii="Georgia" w:hAnsi="Georgia" w:cs="Arial"/>
        </w:rPr>
        <w:t xml:space="preserve">The Tribunal determines that the </w:t>
      </w:r>
      <w:r w:rsidR="00765171">
        <w:rPr>
          <w:rFonts w:ascii="Georgia" w:hAnsi="Georgia" w:cs="Arial"/>
        </w:rPr>
        <w:t xml:space="preserve">aggregate </w:t>
      </w:r>
      <w:r w:rsidRPr="003D5A02">
        <w:rPr>
          <w:rFonts w:ascii="Georgia" w:hAnsi="Georgia" w:cs="Arial"/>
        </w:rPr>
        <w:t>amount of £1,0</w:t>
      </w:r>
      <w:r>
        <w:rPr>
          <w:rFonts w:ascii="Georgia" w:hAnsi="Georgia" w:cs="Arial"/>
        </w:rPr>
        <w:t>00</w:t>
      </w:r>
      <w:r w:rsidRPr="003D5A02">
        <w:rPr>
          <w:rFonts w:ascii="Georgia" w:hAnsi="Georgia" w:cs="Arial"/>
        </w:rPr>
        <w:t xml:space="preserve"> demanded in respect of </w:t>
      </w:r>
      <w:r>
        <w:rPr>
          <w:rFonts w:ascii="Georgia" w:hAnsi="Georgia" w:cs="Arial"/>
        </w:rPr>
        <w:t>the reserve fund</w:t>
      </w:r>
      <w:r w:rsidRPr="003D5A02">
        <w:rPr>
          <w:rFonts w:ascii="Georgia" w:hAnsi="Georgia" w:cs="Arial"/>
        </w:rPr>
        <w:t xml:space="preserve"> for the 2021 service charge year is reasonable and payable</w:t>
      </w:r>
      <w:r w:rsidR="002102C9">
        <w:rPr>
          <w:rFonts w:ascii="Georgia" w:hAnsi="Georgia"/>
        </w:rPr>
        <w:t>.</w:t>
      </w:r>
    </w:p>
    <w:p w14:paraId="76CF398B" w14:textId="77777777" w:rsidR="00763794" w:rsidRDefault="00763794" w:rsidP="00763794">
      <w:pPr>
        <w:pStyle w:val="ListParagraph"/>
        <w:rPr>
          <w:rFonts w:ascii="Georgia" w:hAnsi="Georgia"/>
        </w:rPr>
      </w:pPr>
    </w:p>
    <w:p w14:paraId="05AA7175" w14:textId="62B5A993" w:rsidR="00763794" w:rsidRPr="00763794" w:rsidRDefault="00763794" w:rsidP="00763794">
      <w:pPr>
        <w:jc w:val="both"/>
        <w:rPr>
          <w:rFonts w:ascii="Georgia" w:hAnsi="Georgia"/>
          <w:b/>
          <w:bCs/>
          <w:u w:val="single"/>
        </w:rPr>
      </w:pPr>
      <w:r w:rsidRPr="00763794">
        <w:rPr>
          <w:rFonts w:ascii="Georgia" w:hAnsi="Georgia"/>
          <w:b/>
          <w:bCs/>
          <w:u w:val="single"/>
        </w:rPr>
        <w:t>Total amounts payable</w:t>
      </w:r>
    </w:p>
    <w:p w14:paraId="6AF0C6B7" w14:textId="77777777" w:rsidR="00763794" w:rsidRDefault="00763794" w:rsidP="00763794">
      <w:pPr>
        <w:pStyle w:val="ListParagraph"/>
        <w:rPr>
          <w:rFonts w:ascii="Georgia" w:hAnsi="Georgia"/>
        </w:rPr>
      </w:pPr>
    </w:p>
    <w:p w14:paraId="50D087A6" w14:textId="34916262" w:rsidR="00763794" w:rsidRDefault="00763794" w:rsidP="005C49E0">
      <w:pPr>
        <w:numPr>
          <w:ilvl w:val="0"/>
          <w:numId w:val="34"/>
        </w:numPr>
        <w:tabs>
          <w:tab w:val="clear" w:pos="1134"/>
          <w:tab w:val="num" w:pos="709"/>
        </w:tabs>
        <w:ind w:left="709" w:hanging="709"/>
        <w:jc w:val="both"/>
        <w:rPr>
          <w:rFonts w:ascii="Georgia" w:hAnsi="Georgia"/>
        </w:rPr>
      </w:pPr>
      <w:r>
        <w:rPr>
          <w:rFonts w:ascii="Georgia" w:hAnsi="Georgia"/>
        </w:rPr>
        <w:t>By adding each of the sums ascertained for the 2021 service charge together, the Tribunal determines that the total aggregate service charge payable by the Applicants for that year is £3,050 plus VAT where applicable. Nothing is payable for the 2022 service charge year.</w:t>
      </w:r>
    </w:p>
    <w:p w14:paraId="06310D66" w14:textId="77777777" w:rsidR="007940CE" w:rsidRDefault="007940CE" w:rsidP="007940CE">
      <w:pPr>
        <w:pStyle w:val="ListParagraph"/>
        <w:rPr>
          <w:rFonts w:ascii="Georgia" w:hAnsi="Georgia"/>
        </w:rPr>
      </w:pPr>
    </w:p>
    <w:p w14:paraId="60570A3F" w14:textId="71715AF8" w:rsidR="007940CE" w:rsidRDefault="007940CE" w:rsidP="007940CE">
      <w:pPr>
        <w:jc w:val="both"/>
        <w:rPr>
          <w:rFonts w:ascii="Georgia" w:hAnsi="Georgia"/>
        </w:rPr>
      </w:pPr>
      <w:r w:rsidRPr="00FB15C9">
        <w:rPr>
          <w:rFonts w:ascii="Georgia" w:hAnsi="Georgia" w:cs="Arial"/>
          <w:b/>
          <w:u w:val="single"/>
        </w:rPr>
        <w:t>Applications under s.20C and paragraph 5A</w:t>
      </w:r>
    </w:p>
    <w:p w14:paraId="5E05F5FA" w14:textId="77777777" w:rsidR="007940CE" w:rsidRDefault="007940CE" w:rsidP="007940CE">
      <w:pPr>
        <w:pStyle w:val="ListParagraph"/>
        <w:rPr>
          <w:rFonts w:ascii="Georgia" w:hAnsi="Georgia"/>
        </w:rPr>
      </w:pPr>
    </w:p>
    <w:p w14:paraId="693BB791" w14:textId="127EB333" w:rsidR="00117CB0" w:rsidRPr="00C16D66" w:rsidRDefault="00117CB0" w:rsidP="007940CE">
      <w:pPr>
        <w:numPr>
          <w:ilvl w:val="0"/>
          <w:numId w:val="34"/>
        </w:numPr>
        <w:tabs>
          <w:tab w:val="clear" w:pos="1134"/>
          <w:tab w:val="num" w:pos="709"/>
        </w:tabs>
        <w:ind w:left="709" w:hanging="709"/>
        <w:jc w:val="both"/>
        <w:rPr>
          <w:rStyle w:val="apple-converted-space"/>
          <w:rFonts w:ascii="Georgia" w:hAnsi="Georgia"/>
        </w:rPr>
      </w:pPr>
      <w:r w:rsidRPr="007940CE">
        <w:rPr>
          <w:rFonts w:ascii="Georgia" w:hAnsi="Georgia"/>
          <w:color w:val="000000"/>
        </w:rPr>
        <w:t xml:space="preserve">The </w:t>
      </w:r>
      <w:r w:rsidR="00E01859" w:rsidRPr="007940CE">
        <w:rPr>
          <w:rFonts w:ascii="Georgia" w:hAnsi="Georgia"/>
          <w:color w:val="000000"/>
        </w:rPr>
        <w:t>Applicant</w:t>
      </w:r>
      <w:r w:rsidR="00E642BA" w:rsidRPr="007940CE">
        <w:rPr>
          <w:rFonts w:ascii="Georgia" w:hAnsi="Georgia"/>
          <w:color w:val="000000"/>
        </w:rPr>
        <w:t>s</w:t>
      </w:r>
      <w:r w:rsidRPr="007940CE">
        <w:rPr>
          <w:rFonts w:ascii="Georgia" w:hAnsi="Georgia"/>
          <w:color w:val="000000"/>
        </w:rPr>
        <w:t xml:space="preserve"> ha</w:t>
      </w:r>
      <w:r w:rsidR="00E642BA" w:rsidRPr="007940CE">
        <w:rPr>
          <w:rFonts w:ascii="Georgia" w:hAnsi="Georgia"/>
          <w:color w:val="000000"/>
        </w:rPr>
        <w:t>ve</w:t>
      </w:r>
      <w:r w:rsidRPr="007940CE">
        <w:rPr>
          <w:rFonts w:ascii="Georgia" w:hAnsi="Georgia"/>
          <w:color w:val="000000"/>
        </w:rPr>
        <w:t xml:space="preserve"> applied for cost orders under section 20C of the Landlord and Tenant Act 1985 (“Section 20C”) and under paragraph 5A of Schedule 11 to the Commonhold and Leasehold Reform Act 2002 (“Paragraph 5A”).</w:t>
      </w:r>
      <w:r w:rsidRPr="007940CE">
        <w:rPr>
          <w:rStyle w:val="apple-converted-space"/>
          <w:rFonts w:ascii="Georgia" w:hAnsi="Georgia"/>
          <w:color w:val="000000"/>
        </w:rPr>
        <w:t> </w:t>
      </w:r>
    </w:p>
    <w:p w14:paraId="5B865686" w14:textId="77777777" w:rsidR="00C16D66" w:rsidRPr="00C16D66" w:rsidRDefault="00C16D66" w:rsidP="00C16D66">
      <w:pPr>
        <w:ind w:left="709"/>
        <w:jc w:val="both"/>
        <w:rPr>
          <w:rStyle w:val="apple-converted-space"/>
          <w:rFonts w:ascii="Georgia" w:hAnsi="Georgia"/>
        </w:rPr>
      </w:pPr>
    </w:p>
    <w:p w14:paraId="69A3B86F" w14:textId="53CB458D" w:rsidR="009A06CD" w:rsidRPr="00C16D66" w:rsidRDefault="009A06CD" w:rsidP="00C16D66">
      <w:pPr>
        <w:numPr>
          <w:ilvl w:val="0"/>
          <w:numId w:val="34"/>
        </w:numPr>
        <w:tabs>
          <w:tab w:val="clear" w:pos="1134"/>
          <w:tab w:val="num" w:pos="709"/>
        </w:tabs>
        <w:ind w:left="709" w:hanging="709"/>
        <w:jc w:val="both"/>
        <w:rPr>
          <w:rStyle w:val="apple-converted-space"/>
          <w:rFonts w:ascii="Georgia" w:hAnsi="Georgia"/>
        </w:rPr>
      </w:pPr>
      <w:r w:rsidRPr="00C16D66">
        <w:rPr>
          <w:rFonts w:ascii="Georgia" w:hAnsi="Georgia"/>
          <w:color w:val="000000"/>
        </w:rPr>
        <w:t>The relevant part of Section 20C reads as follows:-</w:t>
      </w:r>
      <w:r w:rsidRPr="00C16D66">
        <w:rPr>
          <w:rStyle w:val="apple-converted-space"/>
          <w:rFonts w:ascii="Georgia" w:hAnsi="Georgia"/>
          <w:color w:val="000000"/>
        </w:rPr>
        <w:t> </w:t>
      </w:r>
    </w:p>
    <w:p w14:paraId="5D2A45D5" w14:textId="77777777" w:rsidR="00C16D66" w:rsidRPr="00C16D66" w:rsidRDefault="00C16D66" w:rsidP="00C16D66">
      <w:pPr>
        <w:jc w:val="both"/>
        <w:rPr>
          <w:rStyle w:val="apple-converted-space"/>
          <w:rFonts w:ascii="Georgia" w:hAnsi="Georgia"/>
        </w:rPr>
      </w:pPr>
    </w:p>
    <w:p w14:paraId="3A5323CC" w14:textId="37B8F2E7" w:rsidR="007940CE" w:rsidRPr="00601F81" w:rsidRDefault="009A06CD" w:rsidP="00601F81">
      <w:pPr>
        <w:autoSpaceDE w:val="0"/>
        <w:autoSpaceDN w:val="0"/>
        <w:adjustRightInd w:val="0"/>
        <w:spacing w:after="360"/>
        <w:ind w:left="709"/>
        <w:jc w:val="both"/>
        <w:rPr>
          <w:rStyle w:val="apple-converted-space"/>
          <w:rFonts w:ascii="Georgia" w:hAnsi="Georgia" w:cs="Arial"/>
        </w:rPr>
      </w:pPr>
      <w:r w:rsidRPr="009A06CD">
        <w:rPr>
          <w:rStyle w:val="apple-converted-space"/>
          <w:rFonts w:ascii="Georgia" w:hAnsi="Georgia" w:cs="Arial"/>
          <w:sz w:val="22"/>
          <w:szCs w:val="22"/>
        </w:rPr>
        <w:t xml:space="preserve">(1) </w:t>
      </w:r>
      <w:r w:rsidRPr="009A06CD">
        <w:rPr>
          <w:rFonts w:ascii="Georgia" w:hAnsi="Georgia"/>
          <w:color w:val="000000"/>
          <w:sz w:val="22"/>
          <w:szCs w:val="22"/>
        </w:rPr>
        <w:t>“A tenant may make an application for an order that all or any of the costs incurred, or to be incurred, by the landlord in connection with proceedings before … the First-tier Tribunal … are not to be regarded as relevant costs to be taken into account in determining the amount of any service charge payable by the tenant…”.</w:t>
      </w:r>
      <w:r w:rsidR="007940CE" w:rsidRPr="009A06CD">
        <w:rPr>
          <w:rStyle w:val="apple-converted-space"/>
          <w:rFonts w:ascii="Georgia" w:hAnsi="Georgia"/>
          <w:color w:val="000000"/>
        </w:rPr>
        <w:t>.</w:t>
      </w:r>
    </w:p>
    <w:p w14:paraId="0E3FA2BF" w14:textId="59B83D4D" w:rsidR="007940CE" w:rsidRPr="00601F81" w:rsidRDefault="00601F81" w:rsidP="007940CE">
      <w:pPr>
        <w:numPr>
          <w:ilvl w:val="0"/>
          <w:numId w:val="34"/>
        </w:numPr>
        <w:tabs>
          <w:tab w:val="clear" w:pos="1134"/>
          <w:tab w:val="num" w:pos="709"/>
        </w:tabs>
        <w:ind w:left="709" w:hanging="709"/>
        <w:jc w:val="both"/>
        <w:rPr>
          <w:rFonts w:ascii="Georgia" w:hAnsi="Georgia"/>
        </w:rPr>
      </w:pPr>
      <w:r w:rsidRPr="006A18EA">
        <w:rPr>
          <w:rFonts w:ascii="Georgia" w:hAnsi="Georgia"/>
          <w:color w:val="000000"/>
        </w:rPr>
        <w:t>The relevant part of Paragraph 5A reads as follows:-</w:t>
      </w:r>
    </w:p>
    <w:p w14:paraId="0D64C27A" w14:textId="77777777" w:rsidR="00601F81" w:rsidRDefault="00601F81" w:rsidP="00601F81">
      <w:pPr>
        <w:ind w:left="709"/>
        <w:jc w:val="both"/>
        <w:rPr>
          <w:rFonts w:ascii="Georgia" w:hAnsi="Georgia"/>
          <w:color w:val="000000"/>
        </w:rPr>
      </w:pPr>
    </w:p>
    <w:p w14:paraId="347D9F5A" w14:textId="25708CE1" w:rsidR="00601F81" w:rsidRDefault="00601F81" w:rsidP="00601F81">
      <w:pPr>
        <w:ind w:left="709"/>
        <w:jc w:val="both"/>
        <w:rPr>
          <w:rStyle w:val="apple-converted-space"/>
          <w:rFonts w:ascii="Georgia" w:hAnsi="Georgia"/>
        </w:rPr>
      </w:pPr>
      <w:r w:rsidRPr="00FB15C9">
        <w:rPr>
          <w:rFonts w:ascii="Georgia" w:hAnsi="Georgia"/>
          <w:color w:val="000000"/>
          <w:sz w:val="22"/>
          <w:szCs w:val="22"/>
        </w:rPr>
        <w:t>“A tenant of a dwelling in England may apply to the relevant … tribunal for an order reducing or extinguishing the tenant’s liability to pay a particular administration charge in respect of litigation costs”.</w:t>
      </w:r>
    </w:p>
    <w:p w14:paraId="55630E79" w14:textId="77777777" w:rsidR="007940CE" w:rsidRDefault="007940CE" w:rsidP="007940CE">
      <w:pPr>
        <w:pStyle w:val="ListParagraph"/>
        <w:rPr>
          <w:rStyle w:val="apple-converted-space"/>
          <w:rFonts w:ascii="Georgia" w:hAnsi="Georgia"/>
        </w:rPr>
      </w:pPr>
    </w:p>
    <w:p w14:paraId="7DBFCA82" w14:textId="3598016A" w:rsidR="000664C7" w:rsidRPr="00B04683" w:rsidRDefault="000664C7" w:rsidP="00601F81">
      <w:pPr>
        <w:numPr>
          <w:ilvl w:val="0"/>
          <w:numId w:val="34"/>
        </w:numPr>
        <w:tabs>
          <w:tab w:val="clear" w:pos="1134"/>
          <w:tab w:val="num" w:pos="709"/>
        </w:tabs>
        <w:ind w:left="709" w:hanging="709"/>
        <w:jc w:val="both"/>
        <w:rPr>
          <w:rFonts w:ascii="Georgia" w:hAnsi="Georgia"/>
        </w:rPr>
      </w:pPr>
      <w:r w:rsidRPr="00601F81">
        <w:rPr>
          <w:rFonts w:ascii="Georgia" w:hAnsi="Georgia"/>
          <w:color w:val="000000"/>
        </w:rPr>
        <w:lastRenderedPageBreak/>
        <w:t>A Section 20C application is therefore an application for an order that the whole or part of the costs incurred by the Respondent in connection with these proceedings cannot be added to the service charge</w:t>
      </w:r>
      <w:r w:rsidR="00B570FA" w:rsidRPr="00601F81">
        <w:rPr>
          <w:rFonts w:ascii="Georgia" w:hAnsi="Georgia"/>
          <w:color w:val="000000"/>
        </w:rPr>
        <w:t xml:space="preserve"> of the </w:t>
      </w:r>
      <w:r w:rsidR="00E01859" w:rsidRPr="00601F81">
        <w:rPr>
          <w:rFonts w:ascii="Georgia" w:hAnsi="Georgia"/>
          <w:color w:val="000000"/>
        </w:rPr>
        <w:t>Applicants</w:t>
      </w:r>
      <w:r w:rsidR="00B570FA" w:rsidRPr="00601F81">
        <w:rPr>
          <w:rFonts w:ascii="Georgia" w:hAnsi="Georgia"/>
          <w:color w:val="000000"/>
        </w:rPr>
        <w:t xml:space="preserve"> or other parties who have been joined</w:t>
      </w:r>
      <w:r w:rsidRPr="00601F81">
        <w:rPr>
          <w:rFonts w:ascii="Georgia" w:hAnsi="Georgia"/>
          <w:color w:val="000000"/>
        </w:rPr>
        <w:t>. A Paragraph 5A application is an application for an order that the whole or part of the costs incurred by the Respondent in connection with</w:t>
      </w:r>
      <w:r w:rsidRPr="00601F81">
        <w:rPr>
          <w:rStyle w:val="apple-converted-space"/>
          <w:rFonts w:ascii="Georgia" w:hAnsi="Georgia"/>
          <w:color w:val="000000"/>
        </w:rPr>
        <w:t> </w:t>
      </w:r>
      <w:r w:rsidR="00495F41" w:rsidRPr="00601F81">
        <w:rPr>
          <w:rFonts w:ascii="Georgia" w:hAnsi="Georgia"/>
          <w:color w:val="000000"/>
        </w:rPr>
        <w:t xml:space="preserve">these proceedings cannot be charged direct to the </w:t>
      </w:r>
      <w:r w:rsidR="00E01859" w:rsidRPr="00601F81">
        <w:rPr>
          <w:rFonts w:ascii="Georgia" w:hAnsi="Georgia"/>
          <w:color w:val="000000"/>
        </w:rPr>
        <w:t>Applicant</w:t>
      </w:r>
      <w:r w:rsidR="00445BE7" w:rsidRPr="00601F81">
        <w:rPr>
          <w:rFonts w:ascii="Georgia" w:hAnsi="Georgia"/>
          <w:color w:val="000000"/>
        </w:rPr>
        <w:t>s</w:t>
      </w:r>
      <w:r w:rsidR="00495F41" w:rsidRPr="00601F81">
        <w:rPr>
          <w:rFonts w:ascii="Georgia" w:hAnsi="Georgia"/>
          <w:color w:val="000000"/>
        </w:rPr>
        <w:t xml:space="preserve"> as an administration charge under the Lease.</w:t>
      </w:r>
    </w:p>
    <w:p w14:paraId="7E387210" w14:textId="77777777" w:rsidR="00B04683" w:rsidRPr="00601F81" w:rsidRDefault="00B04683" w:rsidP="00B04683">
      <w:pPr>
        <w:ind w:left="709"/>
        <w:jc w:val="both"/>
        <w:rPr>
          <w:rFonts w:ascii="Georgia" w:hAnsi="Georgia"/>
        </w:rPr>
      </w:pPr>
    </w:p>
    <w:p w14:paraId="236412EE" w14:textId="66B718E0" w:rsidR="00011EE7" w:rsidRDefault="007029D0" w:rsidP="00011EE7">
      <w:pPr>
        <w:numPr>
          <w:ilvl w:val="0"/>
          <w:numId w:val="34"/>
        </w:numPr>
        <w:tabs>
          <w:tab w:val="clear" w:pos="1134"/>
          <w:tab w:val="num" w:pos="709"/>
        </w:tabs>
        <w:ind w:left="709" w:hanging="709"/>
        <w:jc w:val="both"/>
        <w:rPr>
          <w:rFonts w:ascii="Georgia" w:hAnsi="Georgia"/>
        </w:rPr>
      </w:pPr>
      <w:r w:rsidRPr="00B04683">
        <w:rPr>
          <w:rFonts w:ascii="Georgia" w:hAnsi="Georgia" w:cs="Arial"/>
        </w:rPr>
        <w:t xml:space="preserve">In this case, the </w:t>
      </w:r>
      <w:r w:rsidR="00E01859" w:rsidRPr="00B04683">
        <w:rPr>
          <w:rFonts w:ascii="Georgia" w:hAnsi="Georgia" w:cs="Arial"/>
        </w:rPr>
        <w:t>Applicant</w:t>
      </w:r>
      <w:r w:rsidR="005B19F8" w:rsidRPr="00B04683">
        <w:rPr>
          <w:rFonts w:ascii="Georgia" w:hAnsi="Georgia" w:cs="Arial"/>
        </w:rPr>
        <w:t xml:space="preserve">s </w:t>
      </w:r>
      <w:r w:rsidR="000D7289" w:rsidRPr="00B04683">
        <w:rPr>
          <w:rFonts w:ascii="Georgia" w:hAnsi="Georgia" w:cs="Arial"/>
        </w:rPr>
        <w:t>ha</w:t>
      </w:r>
      <w:r w:rsidR="005B19F8" w:rsidRPr="00B04683">
        <w:rPr>
          <w:rFonts w:ascii="Georgia" w:hAnsi="Georgia" w:cs="Arial"/>
        </w:rPr>
        <w:t>ve</w:t>
      </w:r>
      <w:r w:rsidR="000D7289" w:rsidRPr="00B04683">
        <w:rPr>
          <w:rFonts w:ascii="Georgia" w:hAnsi="Georgia" w:cs="Arial"/>
        </w:rPr>
        <w:t xml:space="preserve"> been successful on the </w:t>
      </w:r>
      <w:r w:rsidR="003117C3" w:rsidRPr="00B04683">
        <w:rPr>
          <w:rFonts w:ascii="Georgia" w:hAnsi="Georgia" w:cs="Arial"/>
        </w:rPr>
        <w:t xml:space="preserve">biggest </w:t>
      </w:r>
      <w:r w:rsidR="000D7289" w:rsidRPr="00B04683">
        <w:rPr>
          <w:rFonts w:ascii="Georgia" w:hAnsi="Georgia" w:cs="Arial"/>
        </w:rPr>
        <w:t>substantive issue</w:t>
      </w:r>
      <w:r w:rsidR="006015E7" w:rsidRPr="00B04683">
        <w:rPr>
          <w:rFonts w:ascii="Georgia" w:hAnsi="Georgia" w:cs="Arial"/>
        </w:rPr>
        <w:t>s</w:t>
      </w:r>
      <w:r w:rsidR="000D7289" w:rsidRPr="00B04683">
        <w:rPr>
          <w:rFonts w:ascii="Georgia" w:hAnsi="Georgia" w:cs="Arial"/>
        </w:rPr>
        <w:t xml:space="preserve">. </w:t>
      </w:r>
      <w:r w:rsidR="00A72FD9" w:rsidRPr="00B04683">
        <w:rPr>
          <w:rFonts w:ascii="Georgia" w:hAnsi="Georgia" w:cs="Arial"/>
        </w:rPr>
        <w:t xml:space="preserve">The Respondent has not engaged in the process, </w:t>
      </w:r>
      <w:r w:rsidR="00AF301F" w:rsidRPr="00B04683">
        <w:rPr>
          <w:rFonts w:ascii="Georgia" w:hAnsi="Georgia" w:cs="Arial"/>
        </w:rPr>
        <w:t>only serving one document</w:t>
      </w:r>
      <w:r w:rsidR="008D7F35" w:rsidRPr="00B04683">
        <w:rPr>
          <w:rFonts w:ascii="Georgia" w:hAnsi="Georgia" w:cs="Arial"/>
        </w:rPr>
        <w:t xml:space="preserve">, disregarding the </w:t>
      </w:r>
      <w:r w:rsidR="003B1AC9">
        <w:rPr>
          <w:rFonts w:ascii="Georgia" w:hAnsi="Georgia" w:cs="Arial"/>
        </w:rPr>
        <w:t>T</w:t>
      </w:r>
      <w:r w:rsidR="008D7F35" w:rsidRPr="00B04683">
        <w:rPr>
          <w:rFonts w:ascii="Georgia" w:hAnsi="Georgia" w:cs="Arial"/>
        </w:rPr>
        <w:t>ribunal’s direction</w:t>
      </w:r>
      <w:r w:rsidR="003B1AC9">
        <w:rPr>
          <w:rFonts w:ascii="Georgia" w:hAnsi="Georgia" w:cs="Arial"/>
        </w:rPr>
        <w:t>s</w:t>
      </w:r>
      <w:r w:rsidR="008D7F35" w:rsidRPr="00B04683">
        <w:rPr>
          <w:rFonts w:ascii="Georgia" w:hAnsi="Georgia" w:cs="Arial"/>
        </w:rPr>
        <w:t xml:space="preserve"> </w:t>
      </w:r>
      <w:r w:rsidR="00A94A1B" w:rsidRPr="00B04683">
        <w:rPr>
          <w:rFonts w:ascii="Georgia" w:hAnsi="Georgia" w:cs="Arial"/>
        </w:rPr>
        <w:t xml:space="preserve">and not attending </w:t>
      </w:r>
      <w:r w:rsidR="0000662D" w:rsidRPr="00B04683">
        <w:rPr>
          <w:rFonts w:ascii="Georgia" w:hAnsi="Georgia" w:cs="Arial"/>
        </w:rPr>
        <w:t xml:space="preserve">the hearing. </w:t>
      </w:r>
      <w:r w:rsidR="00A955B1" w:rsidRPr="00B04683">
        <w:rPr>
          <w:rFonts w:ascii="Georgia" w:hAnsi="Georgia"/>
          <w:color w:val="000000"/>
        </w:rPr>
        <w:t xml:space="preserve">Having </w:t>
      </w:r>
      <w:r w:rsidR="00463F4F" w:rsidRPr="00B04683">
        <w:rPr>
          <w:rFonts w:ascii="Georgia" w:hAnsi="Georgia"/>
          <w:color w:val="000000"/>
        </w:rPr>
        <w:t>rea</w:t>
      </w:r>
      <w:r w:rsidR="00A955B1" w:rsidRPr="00B04683">
        <w:rPr>
          <w:rFonts w:ascii="Georgia" w:hAnsi="Georgia"/>
          <w:color w:val="000000"/>
        </w:rPr>
        <w:t xml:space="preserve">d the submissions from the </w:t>
      </w:r>
      <w:r w:rsidR="008D7F35" w:rsidRPr="00B04683">
        <w:rPr>
          <w:rFonts w:ascii="Georgia" w:hAnsi="Georgia"/>
          <w:color w:val="000000"/>
        </w:rPr>
        <w:t>Applicants</w:t>
      </w:r>
      <w:r w:rsidR="00A955B1" w:rsidRPr="00B04683">
        <w:rPr>
          <w:rFonts w:ascii="Georgia" w:hAnsi="Georgia"/>
          <w:color w:val="000000"/>
        </w:rPr>
        <w:t xml:space="preserve"> and taking into account the determinations above, the </w:t>
      </w:r>
      <w:r w:rsidR="00D64722">
        <w:rPr>
          <w:rFonts w:ascii="Georgia" w:hAnsi="Georgia"/>
          <w:color w:val="000000"/>
        </w:rPr>
        <w:t>T</w:t>
      </w:r>
      <w:r w:rsidR="00A955B1" w:rsidRPr="00B04683">
        <w:rPr>
          <w:rFonts w:ascii="Georgia" w:hAnsi="Georgia"/>
          <w:color w:val="000000"/>
        </w:rPr>
        <w:t>ribunal determines</w:t>
      </w:r>
      <w:r w:rsidR="00D921CE" w:rsidRPr="00B04683">
        <w:rPr>
          <w:rFonts w:ascii="Georgia" w:hAnsi="Georgia"/>
          <w:color w:val="000000"/>
        </w:rPr>
        <w:t xml:space="preserve"> </w:t>
      </w:r>
      <w:r w:rsidR="00A955B1" w:rsidRPr="00B04683">
        <w:rPr>
          <w:rFonts w:ascii="Georgia" w:hAnsi="Georgia"/>
          <w:color w:val="000000"/>
        </w:rPr>
        <w:t>that it is just and equitable in the circumstances for an order to be made under section 20C of the 1985 Act</w:t>
      </w:r>
      <w:r w:rsidR="00D921CE" w:rsidRPr="00B04683">
        <w:rPr>
          <w:rFonts w:ascii="Georgia" w:hAnsi="Georgia"/>
          <w:color w:val="000000"/>
        </w:rPr>
        <w:t xml:space="preserve">. </w:t>
      </w:r>
      <w:r w:rsidR="00F71AB5" w:rsidRPr="00B04683">
        <w:rPr>
          <w:rFonts w:ascii="Georgia" w:hAnsi="Georgia" w:cs="Arial"/>
        </w:rPr>
        <w:t xml:space="preserve">The </w:t>
      </w:r>
      <w:r w:rsidR="00B04683">
        <w:rPr>
          <w:rFonts w:ascii="Georgia" w:hAnsi="Georgia" w:cs="Arial"/>
        </w:rPr>
        <w:t>T</w:t>
      </w:r>
      <w:r w:rsidR="00F71AB5" w:rsidRPr="00B04683">
        <w:rPr>
          <w:rFonts w:ascii="Georgia" w:hAnsi="Georgia" w:cs="Arial"/>
        </w:rPr>
        <w:t>ribunal</w:t>
      </w:r>
      <w:r w:rsidR="00644701" w:rsidRPr="00B04683">
        <w:rPr>
          <w:rFonts w:ascii="Georgia" w:hAnsi="Georgia" w:cs="Arial"/>
        </w:rPr>
        <w:t xml:space="preserve"> therefore make an order </w:t>
      </w:r>
      <w:bookmarkStart w:id="1" w:name="_Hlk88553871"/>
      <w:r w:rsidR="00644701" w:rsidRPr="00B04683">
        <w:rPr>
          <w:rFonts w:ascii="Georgia" w:hAnsi="Georgia" w:cs="Arial"/>
        </w:rPr>
        <w:t xml:space="preserve">in favour of the </w:t>
      </w:r>
      <w:r w:rsidR="00E01859" w:rsidRPr="00B04683">
        <w:rPr>
          <w:rFonts w:ascii="Georgia" w:hAnsi="Georgia" w:cs="Arial"/>
        </w:rPr>
        <w:t>Applicant</w:t>
      </w:r>
      <w:r w:rsidR="007379C9" w:rsidRPr="00B04683">
        <w:rPr>
          <w:rFonts w:ascii="Georgia" w:hAnsi="Georgia" w:cs="Arial"/>
        </w:rPr>
        <w:t>s</w:t>
      </w:r>
      <w:r w:rsidR="00644701" w:rsidRPr="00B04683">
        <w:rPr>
          <w:rFonts w:ascii="Georgia" w:hAnsi="Georgia" w:cs="Arial"/>
        </w:rPr>
        <w:t xml:space="preserve"> that none of the costs incurred by the Respondent in connection with these proceedings can be added to the service charge</w:t>
      </w:r>
      <w:bookmarkEnd w:id="1"/>
      <w:r w:rsidR="00644701" w:rsidRPr="00B04683">
        <w:rPr>
          <w:rFonts w:ascii="Georgia" w:hAnsi="Georgia" w:cs="Arial"/>
        </w:rPr>
        <w:t>.</w:t>
      </w:r>
    </w:p>
    <w:p w14:paraId="513702EA" w14:textId="77777777" w:rsidR="00011EE7" w:rsidRDefault="00011EE7" w:rsidP="00011EE7">
      <w:pPr>
        <w:pStyle w:val="ListParagraph"/>
        <w:rPr>
          <w:rFonts w:ascii="Georgia" w:hAnsi="Georgia" w:cs="Arial"/>
        </w:rPr>
      </w:pPr>
    </w:p>
    <w:p w14:paraId="01722D02" w14:textId="01EE05E0" w:rsidR="00B04683" w:rsidRPr="00011EE7" w:rsidRDefault="002F7C57" w:rsidP="00011EE7">
      <w:pPr>
        <w:numPr>
          <w:ilvl w:val="0"/>
          <w:numId w:val="34"/>
        </w:numPr>
        <w:tabs>
          <w:tab w:val="clear" w:pos="1134"/>
          <w:tab w:val="num" w:pos="709"/>
        </w:tabs>
        <w:ind w:left="709" w:hanging="709"/>
        <w:jc w:val="both"/>
        <w:rPr>
          <w:rFonts w:ascii="Georgia" w:hAnsi="Georgia"/>
        </w:rPr>
      </w:pPr>
      <w:r w:rsidRPr="00011EE7">
        <w:rPr>
          <w:rFonts w:ascii="Georgia" w:hAnsi="Georgia" w:cs="Arial"/>
        </w:rPr>
        <w:t xml:space="preserve">For the same reasons as stated above in relation to the Section 20C cost application, the </w:t>
      </w:r>
      <w:r w:rsidR="00E01859" w:rsidRPr="00011EE7">
        <w:rPr>
          <w:rFonts w:ascii="Georgia" w:hAnsi="Georgia" w:cs="Arial"/>
        </w:rPr>
        <w:t>Applican</w:t>
      </w:r>
      <w:r w:rsidR="00463F4F" w:rsidRPr="00011EE7">
        <w:rPr>
          <w:rFonts w:ascii="Georgia" w:hAnsi="Georgia" w:cs="Arial"/>
        </w:rPr>
        <w:t>t</w:t>
      </w:r>
      <w:r w:rsidR="007379C9" w:rsidRPr="00011EE7">
        <w:rPr>
          <w:rFonts w:ascii="Georgia" w:hAnsi="Georgia" w:cs="Arial"/>
        </w:rPr>
        <w:t>s</w:t>
      </w:r>
      <w:r w:rsidRPr="00011EE7">
        <w:rPr>
          <w:rFonts w:ascii="Georgia" w:hAnsi="Georgia" w:cs="Arial"/>
        </w:rPr>
        <w:t xml:space="preserve"> should not have to pay any of the Respondent’s costs in opposing the application.  </w:t>
      </w:r>
      <w:r w:rsidR="00F71AB5" w:rsidRPr="00011EE7">
        <w:rPr>
          <w:rFonts w:ascii="Georgia" w:hAnsi="Georgia" w:cs="Arial"/>
        </w:rPr>
        <w:t xml:space="preserve">The </w:t>
      </w:r>
      <w:r w:rsidR="00B04683" w:rsidRPr="00011EE7">
        <w:rPr>
          <w:rFonts w:ascii="Georgia" w:hAnsi="Georgia" w:cs="Arial"/>
        </w:rPr>
        <w:t>T</w:t>
      </w:r>
      <w:r w:rsidR="00F71AB5" w:rsidRPr="00011EE7">
        <w:rPr>
          <w:rFonts w:ascii="Georgia" w:hAnsi="Georgia" w:cs="Arial"/>
        </w:rPr>
        <w:t>ribunal</w:t>
      </w:r>
      <w:r w:rsidRPr="00011EE7">
        <w:rPr>
          <w:rFonts w:ascii="Georgia" w:hAnsi="Georgia" w:cs="Arial"/>
        </w:rPr>
        <w:t xml:space="preserve"> therefore make</w:t>
      </w:r>
      <w:r w:rsidR="0019362C" w:rsidRPr="00011EE7">
        <w:rPr>
          <w:rFonts w:ascii="Georgia" w:hAnsi="Georgia" w:cs="Arial"/>
        </w:rPr>
        <w:t>s</w:t>
      </w:r>
      <w:r w:rsidRPr="00011EE7">
        <w:rPr>
          <w:rFonts w:ascii="Georgia" w:hAnsi="Georgia" w:cs="Arial"/>
        </w:rPr>
        <w:t xml:space="preserve"> an order in favour of the </w:t>
      </w:r>
      <w:r w:rsidR="00E01859" w:rsidRPr="00011EE7">
        <w:rPr>
          <w:rFonts w:ascii="Georgia" w:hAnsi="Georgia" w:cs="Arial"/>
        </w:rPr>
        <w:t>Applicant</w:t>
      </w:r>
      <w:r w:rsidR="00CE6DE8" w:rsidRPr="00011EE7">
        <w:rPr>
          <w:rFonts w:ascii="Georgia" w:hAnsi="Georgia" w:cs="Arial"/>
        </w:rPr>
        <w:t xml:space="preserve">s </w:t>
      </w:r>
      <w:r w:rsidRPr="00011EE7">
        <w:rPr>
          <w:rFonts w:ascii="Georgia" w:hAnsi="Georgia" w:cs="Arial"/>
        </w:rPr>
        <w:t xml:space="preserve">that none of the costs incurred by the Respondent in connection with these proceedings can be charged direct to the </w:t>
      </w:r>
      <w:r w:rsidR="00E01859" w:rsidRPr="00011EE7">
        <w:rPr>
          <w:rFonts w:ascii="Georgia" w:hAnsi="Georgia" w:cs="Arial"/>
        </w:rPr>
        <w:t>Applicant</w:t>
      </w:r>
      <w:r w:rsidR="007379C9" w:rsidRPr="00011EE7">
        <w:rPr>
          <w:rFonts w:ascii="Georgia" w:hAnsi="Georgia" w:cs="Arial"/>
        </w:rPr>
        <w:t>s</w:t>
      </w:r>
      <w:r w:rsidRPr="00011EE7">
        <w:rPr>
          <w:rFonts w:ascii="Georgia" w:hAnsi="Georgia" w:cs="Arial"/>
        </w:rPr>
        <w:t xml:space="preserve"> as an administration charge under the Lease. </w:t>
      </w:r>
    </w:p>
    <w:p w14:paraId="1E0508B8" w14:textId="77777777" w:rsidR="00011EE7" w:rsidRDefault="00011EE7" w:rsidP="00011EE7">
      <w:pPr>
        <w:pStyle w:val="ListParagraph"/>
        <w:rPr>
          <w:rFonts w:ascii="Georgia" w:hAnsi="Georgia"/>
        </w:rPr>
      </w:pPr>
    </w:p>
    <w:p w14:paraId="22D98737" w14:textId="333B67CC" w:rsidR="007379C9" w:rsidRPr="00011EE7" w:rsidRDefault="00CE6DE8" w:rsidP="00011EE7">
      <w:pPr>
        <w:numPr>
          <w:ilvl w:val="0"/>
          <w:numId w:val="34"/>
        </w:numPr>
        <w:tabs>
          <w:tab w:val="clear" w:pos="1134"/>
          <w:tab w:val="num" w:pos="709"/>
        </w:tabs>
        <w:ind w:left="709" w:hanging="709"/>
        <w:jc w:val="both"/>
        <w:rPr>
          <w:rFonts w:ascii="Georgia" w:hAnsi="Georgia"/>
        </w:rPr>
      </w:pPr>
      <w:r w:rsidRPr="00011EE7">
        <w:rPr>
          <w:rFonts w:ascii="Georgia" w:hAnsi="Georgia" w:cs="Arial"/>
        </w:rPr>
        <w:t xml:space="preserve">The Applicants stated they did not want to apply for an order that the </w:t>
      </w:r>
      <w:r w:rsidR="00975EE1" w:rsidRPr="00011EE7">
        <w:rPr>
          <w:rFonts w:ascii="Georgia" w:hAnsi="Georgia" w:cs="Arial"/>
        </w:rPr>
        <w:t xml:space="preserve">Respondent reimburses to the Applicants the costs of </w:t>
      </w:r>
      <w:r w:rsidR="004250D4" w:rsidRPr="00011EE7">
        <w:rPr>
          <w:rFonts w:ascii="Georgia" w:hAnsi="Georgia" w:cs="Arial"/>
        </w:rPr>
        <w:t xml:space="preserve">the </w:t>
      </w:r>
      <w:r w:rsidR="00011EE7">
        <w:rPr>
          <w:rFonts w:ascii="Georgia" w:hAnsi="Georgia" w:cs="Arial"/>
        </w:rPr>
        <w:t>T</w:t>
      </w:r>
      <w:r w:rsidR="004250D4" w:rsidRPr="00011EE7">
        <w:rPr>
          <w:rFonts w:ascii="Georgia" w:hAnsi="Georgia" w:cs="Arial"/>
        </w:rPr>
        <w:t>ribunal’s application and hearing fees</w:t>
      </w:r>
      <w:r w:rsidR="000E128D" w:rsidRPr="00011EE7">
        <w:rPr>
          <w:rFonts w:ascii="Georgia" w:hAnsi="Georgia" w:cs="Arial"/>
        </w:rPr>
        <w:t xml:space="preserve">. Accordingly, the </w:t>
      </w:r>
      <w:r w:rsidR="00011EE7">
        <w:rPr>
          <w:rFonts w:ascii="Georgia" w:hAnsi="Georgia" w:cs="Arial"/>
        </w:rPr>
        <w:t>T</w:t>
      </w:r>
      <w:r w:rsidR="000E128D" w:rsidRPr="00011EE7">
        <w:rPr>
          <w:rFonts w:ascii="Georgia" w:hAnsi="Georgia" w:cs="Arial"/>
        </w:rPr>
        <w:t xml:space="preserve">ribunal makes </w:t>
      </w:r>
      <w:r w:rsidR="00781DB0" w:rsidRPr="00011EE7">
        <w:rPr>
          <w:rFonts w:ascii="Georgia" w:hAnsi="Georgia" w:cs="Arial"/>
        </w:rPr>
        <w:t>no</w:t>
      </w:r>
      <w:r w:rsidR="000E128D" w:rsidRPr="00011EE7">
        <w:rPr>
          <w:rFonts w:ascii="Georgia" w:hAnsi="Georgia" w:cs="Arial"/>
        </w:rPr>
        <w:t xml:space="preserve"> order in relation to t</w:t>
      </w:r>
      <w:r w:rsidR="009D292E" w:rsidRPr="00011EE7">
        <w:rPr>
          <w:rFonts w:ascii="Georgia" w:hAnsi="Georgia" w:cs="Arial"/>
        </w:rPr>
        <w:t>his.</w:t>
      </w:r>
    </w:p>
    <w:p w14:paraId="5387DAFD" w14:textId="1DE8FB12" w:rsidR="00E07142" w:rsidRDefault="00E07142">
      <w:pPr>
        <w:rPr>
          <w:rFonts w:ascii="Georgia" w:hAnsi="Georgia" w:cs="Arial"/>
        </w:rPr>
      </w:pPr>
      <w:r>
        <w:rPr>
          <w:rFonts w:ascii="Georgia" w:hAnsi="Georgia" w:cs="Arial"/>
        </w:rPr>
        <w:br w:type="page"/>
      </w:r>
    </w:p>
    <w:p w14:paraId="0DF4AF3E" w14:textId="77777777" w:rsidR="00E07142" w:rsidRPr="00D274B6" w:rsidRDefault="00E07142" w:rsidP="00E07142">
      <w:pPr>
        <w:autoSpaceDE w:val="0"/>
        <w:autoSpaceDN w:val="0"/>
        <w:adjustRightInd w:val="0"/>
        <w:spacing w:after="360"/>
        <w:ind w:left="360"/>
        <w:jc w:val="both"/>
        <w:rPr>
          <w:rFonts w:ascii="Georgia" w:hAnsi="Georgia"/>
        </w:rPr>
      </w:pPr>
    </w:p>
    <w:p w14:paraId="3BAA5511" w14:textId="77777777" w:rsidR="00624111" w:rsidRPr="005710A8" w:rsidRDefault="00624111" w:rsidP="0046328F">
      <w:pPr>
        <w:spacing w:after="240"/>
        <w:jc w:val="center"/>
        <w:rPr>
          <w:rFonts w:ascii="Georgia" w:hAnsi="Georgia"/>
          <w:b/>
          <w:u w:val="single"/>
        </w:rPr>
      </w:pPr>
      <w:r w:rsidRPr="005710A8">
        <w:rPr>
          <w:rFonts w:ascii="Georgia" w:hAnsi="Georgia"/>
          <w:b/>
          <w:u w:val="single"/>
        </w:rPr>
        <w:t xml:space="preserve">Rights </w:t>
      </w:r>
      <w:r>
        <w:rPr>
          <w:rFonts w:ascii="Georgia" w:hAnsi="Georgia"/>
          <w:b/>
          <w:u w:val="single"/>
        </w:rPr>
        <w:t>o</w:t>
      </w:r>
      <w:r w:rsidRPr="005710A8">
        <w:rPr>
          <w:rFonts w:ascii="Georgia" w:hAnsi="Georgia"/>
          <w:b/>
          <w:u w:val="single"/>
        </w:rPr>
        <w:t xml:space="preserve">f </w:t>
      </w:r>
      <w:r>
        <w:rPr>
          <w:rFonts w:ascii="Georgia" w:hAnsi="Georgia"/>
          <w:b/>
          <w:u w:val="single"/>
        </w:rPr>
        <w:t>a</w:t>
      </w:r>
      <w:r w:rsidRPr="005710A8">
        <w:rPr>
          <w:rFonts w:ascii="Georgia" w:hAnsi="Georgia"/>
          <w:b/>
          <w:u w:val="single"/>
        </w:rPr>
        <w:t>ppeal</w:t>
      </w:r>
    </w:p>
    <w:p w14:paraId="2FBC99A6" w14:textId="77777777" w:rsidR="008B7672" w:rsidRPr="008B7672" w:rsidRDefault="008B7672" w:rsidP="00E16BED">
      <w:pPr>
        <w:pStyle w:val="NormalWeb"/>
        <w:jc w:val="both"/>
        <w:rPr>
          <w:rFonts w:ascii="Georgia" w:hAnsi="Georgia"/>
          <w:color w:val="000000"/>
        </w:rPr>
      </w:pPr>
      <w:r w:rsidRPr="008B7672">
        <w:rPr>
          <w:rFonts w:ascii="Georgia" w:hAnsi="Georgia"/>
          <w:color w:val="000000"/>
        </w:rPr>
        <w:t>1. A person wishing to appeal this decision to the Upper Tribunal (Lands Chamber) must seek permission to do so by making written application by email to rpsouthern@justice.gov.uk</w:t>
      </w:r>
      <w:r w:rsidRPr="008B7672">
        <w:rPr>
          <w:rStyle w:val="apple-converted-space"/>
          <w:rFonts w:ascii="Georgia" w:hAnsi="Georgia"/>
          <w:color w:val="000000"/>
        </w:rPr>
        <w:t> </w:t>
      </w:r>
    </w:p>
    <w:p w14:paraId="715F3B96" w14:textId="77777777" w:rsidR="008B7672" w:rsidRPr="008B7672" w:rsidRDefault="008B7672" w:rsidP="00E16BED">
      <w:pPr>
        <w:pStyle w:val="NormalWeb"/>
        <w:jc w:val="both"/>
        <w:rPr>
          <w:rFonts w:ascii="Georgia" w:hAnsi="Georgia"/>
          <w:color w:val="000000"/>
        </w:rPr>
      </w:pPr>
      <w:r w:rsidRPr="008B7672">
        <w:rPr>
          <w:rFonts w:ascii="Georgia" w:hAnsi="Georgia"/>
          <w:color w:val="000000"/>
        </w:rPr>
        <w:t>2. The application must arrive at the Tribunal within 28 days after the Tribunal sends to the person making the application written reasons for the decision.</w:t>
      </w:r>
      <w:r w:rsidRPr="008B7672">
        <w:rPr>
          <w:rStyle w:val="apple-converted-space"/>
          <w:rFonts w:ascii="Georgia" w:hAnsi="Georgia"/>
          <w:color w:val="000000"/>
        </w:rPr>
        <w:t> </w:t>
      </w:r>
    </w:p>
    <w:p w14:paraId="6D7DD1DD" w14:textId="77777777" w:rsidR="008B7672" w:rsidRPr="008B7672" w:rsidRDefault="008B7672" w:rsidP="00E16BED">
      <w:pPr>
        <w:pStyle w:val="NormalWeb"/>
        <w:jc w:val="both"/>
        <w:rPr>
          <w:rFonts w:ascii="Georgia" w:hAnsi="Georgia"/>
          <w:color w:val="000000"/>
        </w:rPr>
      </w:pPr>
      <w:r w:rsidRPr="008B7672">
        <w:rPr>
          <w:rFonts w:ascii="Georgia" w:hAnsi="Georgia"/>
          <w:color w:val="000000"/>
        </w:rPr>
        <w:t>3. If the person wishing to appeal does not comply with the 28 day time limit, the person shall include with the application for permission to appeal a request for an extension of time and the reason for not complying with the 28 day time limit; the Tribunal will then decide whether to extend time or not to allow the application for permission to appeal to proceed.</w:t>
      </w:r>
    </w:p>
    <w:p w14:paraId="3D413175" w14:textId="55D03636" w:rsidR="006B47DA" w:rsidRDefault="006B47DA" w:rsidP="008B7672">
      <w:pPr>
        <w:tabs>
          <w:tab w:val="left" w:pos="720"/>
        </w:tabs>
        <w:spacing w:after="240"/>
        <w:jc w:val="both"/>
        <w:rPr>
          <w:rFonts w:ascii="Georgia" w:hAnsi="Georgia"/>
        </w:rPr>
      </w:pPr>
    </w:p>
    <w:sectPr w:rsidR="006B47DA" w:rsidSect="005A327A">
      <w:headerReference w:type="even" r:id="rId13"/>
      <w:footerReference w:type="even" r:id="rId14"/>
      <w:footerReference w:type="default" r:id="rId15"/>
      <w:footerReference w:type="first" r:id="rId16"/>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70F50" w14:textId="77777777" w:rsidR="00AF4EE1" w:rsidRDefault="00AF4EE1">
      <w:r>
        <w:separator/>
      </w:r>
    </w:p>
  </w:endnote>
  <w:endnote w:type="continuationSeparator" w:id="0">
    <w:p w14:paraId="4A095201" w14:textId="77777777" w:rsidR="00AF4EE1" w:rsidRDefault="00AF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ZapfHumnst BT">
    <w:altName w:val="Lucida Sans Unicode"/>
    <w:charset w:val="00"/>
    <w:family w:val="roman"/>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9B0D" w14:textId="77777777" w:rsidR="00BD1D27" w:rsidRDefault="00BD1D27" w:rsidP="00A500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CE0E72" w14:textId="77777777" w:rsidR="00BD1D27" w:rsidRDefault="00BD1D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F1E25" w14:textId="7CAE8781" w:rsidR="00BD1D27" w:rsidRPr="005A327A" w:rsidRDefault="00BD1D27" w:rsidP="00C27ECE">
    <w:pPr>
      <w:pStyle w:val="Footer"/>
      <w:jc w:val="center"/>
      <w:rPr>
        <w:rFonts w:ascii="Georgia" w:hAnsi="Georgia"/>
      </w:rPr>
    </w:pPr>
    <w:r w:rsidRPr="005A327A">
      <w:rPr>
        <w:rStyle w:val="PageNumber"/>
        <w:rFonts w:ascii="Georgia" w:hAnsi="Georgia"/>
      </w:rPr>
      <w:fldChar w:fldCharType="begin"/>
    </w:r>
    <w:r w:rsidRPr="005A327A">
      <w:rPr>
        <w:rStyle w:val="PageNumber"/>
        <w:rFonts w:ascii="Georgia" w:hAnsi="Georgia"/>
      </w:rPr>
      <w:instrText xml:space="preserve"> PAGE </w:instrText>
    </w:r>
    <w:r w:rsidRPr="005A327A">
      <w:rPr>
        <w:rStyle w:val="PageNumber"/>
        <w:rFonts w:ascii="Georgia" w:hAnsi="Georgia"/>
      </w:rPr>
      <w:fldChar w:fldCharType="separate"/>
    </w:r>
    <w:r w:rsidR="000C209F">
      <w:rPr>
        <w:rStyle w:val="PageNumber"/>
        <w:rFonts w:ascii="Georgia" w:hAnsi="Georgia"/>
        <w:noProof/>
      </w:rPr>
      <w:t>3</w:t>
    </w:r>
    <w:r w:rsidRPr="005A327A">
      <w:rPr>
        <w:rStyle w:val="PageNumber"/>
        <w:rFonts w:ascii="Georgia" w:hAnsi="Georgi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2EF93" w14:textId="77777777" w:rsidR="00BD1D27" w:rsidRPr="005620EA" w:rsidRDefault="00BD1D27" w:rsidP="005A327A">
    <w:pPr>
      <w:jc w:val="center"/>
      <w:rPr>
        <w:rFonts w:ascii="Georgia" w:hAnsi="Georgia"/>
        <w:sz w:val="20"/>
        <w:szCs w:val="20"/>
      </w:rPr>
    </w:pPr>
    <w:r w:rsidRPr="005620EA">
      <w:rPr>
        <w:rFonts w:ascii="Georgia" w:hAnsi="Georgia"/>
        <w:sz w:val="20"/>
        <w:szCs w:val="20"/>
      </w:rPr>
      <w:t>© CROWN COPYRIGHT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4FA62" w14:textId="77777777" w:rsidR="00AF4EE1" w:rsidRDefault="00AF4EE1">
      <w:r>
        <w:separator/>
      </w:r>
    </w:p>
  </w:footnote>
  <w:footnote w:type="continuationSeparator" w:id="0">
    <w:p w14:paraId="2A6DA54E" w14:textId="77777777" w:rsidR="00AF4EE1" w:rsidRDefault="00AF4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72696" w14:textId="77777777" w:rsidR="00BD1D27" w:rsidRDefault="00BD1D27" w:rsidP="00A5005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302209" w14:textId="77777777" w:rsidR="00BD1D27" w:rsidRDefault="00BD1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842ED"/>
    <w:multiLevelType w:val="hybridMultilevel"/>
    <w:tmpl w:val="3070910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CDD37F9"/>
    <w:multiLevelType w:val="hybridMultilevel"/>
    <w:tmpl w:val="1B02605E"/>
    <w:lvl w:ilvl="0" w:tplc="9D7AE224">
      <w:start w:val="2018"/>
      <w:numFmt w:val="decimal"/>
      <w:lvlText w:val="%1"/>
      <w:lvlJc w:val="left"/>
      <w:pPr>
        <w:ind w:left="260" w:hanging="600"/>
      </w:pPr>
      <w:rPr>
        <w:rFonts w:cs="Times New Roman" w:hint="default"/>
        <w:b/>
        <w:u w:val="single"/>
      </w:rPr>
    </w:lvl>
    <w:lvl w:ilvl="1" w:tplc="08090019" w:tentative="1">
      <w:start w:val="1"/>
      <w:numFmt w:val="lowerLetter"/>
      <w:lvlText w:val="%2."/>
      <w:lvlJc w:val="left"/>
      <w:pPr>
        <w:ind w:left="740" w:hanging="360"/>
      </w:pPr>
    </w:lvl>
    <w:lvl w:ilvl="2" w:tplc="0809001B" w:tentative="1">
      <w:start w:val="1"/>
      <w:numFmt w:val="lowerRoman"/>
      <w:lvlText w:val="%3."/>
      <w:lvlJc w:val="right"/>
      <w:pPr>
        <w:ind w:left="1460" w:hanging="180"/>
      </w:pPr>
    </w:lvl>
    <w:lvl w:ilvl="3" w:tplc="0809000F" w:tentative="1">
      <w:start w:val="1"/>
      <w:numFmt w:val="decimal"/>
      <w:lvlText w:val="%4."/>
      <w:lvlJc w:val="left"/>
      <w:pPr>
        <w:ind w:left="2180" w:hanging="360"/>
      </w:pPr>
    </w:lvl>
    <w:lvl w:ilvl="4" w:tplc="08090019" w:tentative="1">
      <w:start w:val="1"/>
      <w:numFmt w:val="lowerLetter"/>
      <w:lvlText w:val="%5."/>
      <w:lvlJc w:val="left"/>
      <w:pPr>
        <w:ind w:left="2900" w:hanging="360"/>
      </w:pPr>
    </w:lvl>
    <w:lvl w:ilvl="5" w:tplc="0809001B" w:tentative="1">
      <w:start w:val="1"/>
      <w:numFmt w:val="lowerRoman"/>
      <w:lvlText w:val="%6."/>
      <w:lvlJc w:val="right"/>
      <w:pPr>
        <w:ind w:left="3620" w:hanging="180"/>
      </w:pPr>
    </w:lvl>
    <w:lvl w:ilvl="6" w:tplc="0809000F" w:tentative="1">
      <w:start w:val="1"/>
      <w:numFmt w:val="decimal"/>
      <w:lvlText w:val="%7."/>
      <w:lvlJc w:val="left"/>
      <w:pPr>
        <w:ind w:left="4340" w:hanging="360"/>
      </w:pPr>
    </w:lvl>
    <w:lvl w:ilvl="7" w:tplc="08090019" w:tentative="1">
      <w:start w:val="1"/>
      <w:numFmt w:val="lowerLetter"/>
      <w:lvlText w:val="%8."/>
      <w:lvlJc w:val="left"/>
      <w:pPr>
        <w:ind w:left="5060" w:hanging="360"/>
      </w:pPr>
    </w:lvl>
    <w:lvl w:ilvl="8" w:tplc="0809001B" w:tentative="1">
      <w:start w:val="1"/>
      <w:numFmt w:val="lowerRoman"/>
      <w:lvlText w:val="%9."/>
      <w:lvlJc w:val="right"/>
      <w:pPr>
        <w:ind w:left="5780" w:hanging="180"/>
      </w:pPr>
    </w:lvl>
  </w:abstractNum>
  <w:abstractNum w:abstractNumId="2" w15:restartNumberingAfterBreak="0">
    <w:nsid w:val="0FB543BB"/>
    <w:multiLevelType w:val="hybridMultilevel"/>
    <w:tmpl w:val="4F782DCA"/>
    <w:lvl w:ilvl="0" w:tplc="EF82FF2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59394A"/>
    <w:multiLevelType w:val="hybridMultilevel"/>
    <w:tmpl w:val="839457A8"/>
    <w:lvl w:ilvl="0" w:tplc="761800B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5908EB"/>
    <w:multiLevelType w:val="multilevel"/>
    <w:tmpl w:val="8D72EFA6"/>
    <w:lvl w:ilvl="0">
      <w:start w:val="1"/>
      <w:numFmt w:val="decimal"/>
      <w:lvlText w:val="%1."/>
      <w:lvlJc w:val="left"/>
      <w:pPr>
        <w:tabs>
          <w:tab w:val="num" w:pos="501"/>
        </w:tabs>
        <w:ind w:left="501" w:hanging="360"/>
      </w:pPr>
    </w:lvl>
    <w:lvl w:ilvl="1">
      <w:start w:val="1"/>
      <w:numFmt w:val="lowerRoman"/>
      <w:lvlText w:val="(%2)"/>
      <w:lvlJc w:val="left"/>
      <w:pPr>
        <w:tabs>
          <w:tab w:val="num" w:pos="3431"/>
        </w:tabs>
        <w:ind w:left="3431" w:hanging="944"/>
      </w:pPr>
    </w:lvl>
    <w:lvl w:ilvl="2">
      <w:start w:val="1"/>
      <w:numFmt w:val="lowerLetter"/>
      <w:lvlText w:val="(%3)"/>
      <w:lvlJc w:val="left"/>
      <w:pPr>
        <w:tabs>
          <w:tab w:val="num" w:pos="4112"/>
        </w:tabs>
        <w:ind w:left="4112" w:hanging="1265"/>
      </w:pPr>
    </w:lvl>
    <w:lvl w:ilvl="3">
      <w:start w:val="1"/>
      <w:numFmt w:val="decimal"/>
      <w:lvlText w:val="(%4)"/>
      <w:lvlJc w:val="left"/>
      <w:pPr>
        <w:tabs>
          <w:tab w:val="num" w:pos="3567"/>
        </w:tabs>
        <w:ind w:left="3567" w:hanging="360"/>
      </w:pPr>
    </w:lvl>
    <w:lvl w:ilvl="4">
      <w:start w:val="1"/>
      <w:numFmt w:val="lowerLetter"/>
      <w:lvlText w:val="(%5)"/>
      <w:lvlJc w:val="left"/>
      <w:pPr>
        <w:tabs>
          <w:tab w:val="num" w:pos="3927"/>
        </w:tabs>
        <w:ind w:left="3927" w:hanging="360"/>
      </w:pPr>
    </w:lvl>
    <w:lvl w:ilvl="5">
      <w:start w:val="1"/>
      <w:numFmt w:val="lowerRoman"/>
      <w:lvlText w:val="(%6)"/>
      <w:lvlJc w:val="left"/>
      <w:pPr>
        <w:tabs>
          <w:tab w:val="num" w:pos="4287"/>
        </w:tabs>
        <w:ind w:left="4287" w:hanging="360"/>
      </w:pPr>
    </w:lvl>
    <w:lvl w:ilvl="6">
      <w:start w:val="1"/>
      <w:numFmt w:val="decimal"/>
      <w:lvlText w:val="%7."/>
      <w:lvlJc w:val="left"/>
      <w:pPr>
        <w:tabs>
          <w:tab w:val="num" w:pos="4647"/>
        </w:tabs>
        <w:ind w:left="4647" w:hanging="360"/>
      </w:pPr>
    </w:lvl>
    <w:lvl w:ilvl="7">
      <w:start w:val="1"/>
      <w:numFmt w:val="lowerLetter"/>
      <w:lvlText w:val="%8."/>
      <w:lvlJc w:val="left"/>
      <w:pPr>
        <w:tabs>
          <w:tab w:val="num" w:pos="5007"/>
        </w:tabs>
        <w:ind w:left="5007" w:hanging="360"/>
      </w:pPr>
    </w:lvl>
    <w:lvl w:ilvl="8">
      <w:start w:val="1"/>
      <w:numFmt w:val="lowerRoman"/>
      <w:lvlText w:val="%9."/>
      <w:lvlJc w:val="left"/>
      <w:pPr>
        <w:tabs>
          <w:tab w:val="num" w:pos="5367"/>
        </w:tabs>
        <w:ind w:left="5367" w:hanging="360"/>
      </w:pPr>
    </w:lvl>
  </w:abstractNum>
  <w:abstractNum w:abstractNumId="5" w15:restartNumberingAfterBreak="0">
    <w:nsid w:val="1C1A5728"/>
    <w:multiLevelType w:val="multilevel"/>
    <w:tmpl w:val="B470B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957EB9"/>
    <w:multiLevelType w:val="multilevel"/>
    <w:tmpl w:val="8B269CE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767167"/>
    <w:multiLevelType w:val="hybridMultilevel"/>
    <w:tmpl w:val="781EA456"/>
    <w:lvl w:ilvl="0" w:tplc="CED8B392">
      <w:start w:val="1"/>
      <w:numFmt w:val="lowerRoman"/>
      <w:lvlText w:val="(%1)"/>
      <w:lvlJc w:val="left"/>
      <w:pPr>
        <w:tabs>
          <w:tab w:val="num" w:pos="1140"/>
        </w:tabs>
        <w:ind w:left="1140" w:hanging="720"/>
      </w:pPr>
      <w:rPr>
        <w:rFonts w:hint="default"/>
      </w:r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8" w15:restartNumberingAfterBreak="0">
    <w:nsid w:val="26401518"/>
    <w:multiLevelType w:val="hybridMultilevel"/>
    <w:tmpl w:val="6868D83E"/>
    <w:lvl w:ilvl="0" w:tplc="3F667A12">
      <w:start w:val="2018"/>
      <w:numFmt w:val="decimal"/>
      <w:lvlText w:val="%1"/>
      <w:lvlJc w:val="left"/>
      <w:pPr>
        <w:ind w:left="260" w:hanging="600"/>
      </w:pPr>
      <w:rPr>
        <w:rFonts w:hint="default"/>
        <w:u w:val="single"/>
      </w:rPr>
    </w:lvl>
    <w:lvl w:ilvl="1" w:tplc="08090019" w:tentative="1">
      <w:start w:val="1"/>
      <w:numFmt w:val="lowerLetter"/>
      <w:lvlText w:val="%2."/>
      <w:lvlJc w:val="left"/>
      <w:pPr>
        <w:ind w:left="740" w:hanging="360"/>
      </w:pPr>
    </w:lvl>
    <w:lvl w:ilvl="2" w:tplc="0809001B" w:tentative="1">
      <w:start w:val="1"/>
      <w:numFmt w:val="lowerRoman"/>
      <w:lvlText w:val="%3."/>
      <w:lvlJc w:val="right"/>
      <w:pPr>
        <w:ind w:left="1460" w:hanging="180"/>
      </w:pPr>
    </w:lvl>
    <w:lvl w:ilvl="3" w:tplc="0809000F" w:tentative="1">
      <w:start w:val="1"/>
      <w:numFmt w:val="decimal"/>
      <w:lvlText w:val="%4."/>
      <w:lvlJc w:val="left"/>
      <w:pPr>
        <w:ind w:left="2180" w:hanging="360"/>
      </w:pPr>
    </w:lvl>
    <w:lvl w:ilvl="4" w:tplc="08090019" w:tentative="1">
      <w:start w:val="1"/>
      <w:numFmt w:val="lowerLetter"/>
      <w:lvlText w:val="%5."/>
      <w:lvlJc w:val="left"/>
      <w:pPr>
        <w:ind w:left="2900" w:hanging="360"/>
      </w:pPr>
    </w:lvl>
    <w:lvl w:ilvl="5" w:tplc="0809001B" w:tentative="1">
      <w:start w:val="1"/>
      <w:numFmt w:val="lowerRoman"/>
      <w:lvlText w:val="%6."/>
      <w:lvlJc w:val="right"/>
      <w:pPr>
        <w:ind w:left="3620" w:hanging="180"/>
      </w:pPr>
    </w:lvl>
    <w:lvl w:ilvl="6" w:tplc="0809000F" w:tentative="1">
      <w:start w:val="1"/>
      <w:numFmt w:val="decimal"/>
      <w:lvlText w:val="%7."/>
      <w:lvlJc w:val="left"/>
      <w:pPr>
        <w:ind w:left="4340" w:hanging="360"/>
      </w:pPr>
    </w:lvl>
    <w:lvl w:ilvl="7" w:tplc="08090019" w:tentative="1">
      <w:start w:val="1"/>
      <w:numFmt w:val="lowerLetter"/>
      <w:lvlText w:val="%8."/>
      <w:lvlJc w:val="left"/>
      <w:pPr>
        <w:ind w:left="5060" w:hanging="360"/>
      </w:pPr>
    </w:lvl>
    <w:lvl w:ilvl="8" w:tplc="0809001B" w:tentative="1">
      <w:start w:val="1"/>
      <w:numFmt w:val="lowerRoman"/>
      <w:lvlText w:val="%9."/>
      <w:lvlJc w:val="right"/>
      <w:pPr>
        <w:ind w:left="5780" w:hanging="180"/>
      </w:pPr>
    </w:lvl>
  </w:abstractNum>
  <w:abstractNum w:abstractNumId="9" w15:restartNumberingAfterBreak="0">
    <w:nsid w:val="27FF0E55"/>
    <w:multiLevelType w:val="multilevel"/>
    <w:tmpl w:val="F63611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15779D"/>
    <w:multiLevelType w:val="multilevel"/>
    <w:tmpl w:val="4DCA97A6"/>
    <w:lvl w:ilvl="0">
      <w:start w:val="1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E66E92"/>
    <w:multiLevelType w:val="hybridMultilevel"/>
    <w:tmpl w:val="DD965534"/>
    <w:lvl w:ilvl="0" w:tplc="C9765A6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2B6C1BD8"/>
    <w:multiLevelType w:val="multilevel"/>
    <w:tmpl w:val="8D72EFA6"/>
    <w:lvl w:ilvl="0">
      <w:start w:val="1"/>
      <w:numFmt w:val="decimal"/>
      <w:lvlText w:val="%1."/>
      <w:lvlJc w:val="left"/>
      <w:pPr>
        <w:tabs>
          <w:tab w:val="num" w:pos="1069"/>
        </w:tabs>
        <w:ind w:left="1069" w:hanging="360"/>
      </w:pPr>
    </w:lvl>
    <w:lvl w:ilvl="1">
      <w:start w:val="1"/>
      <w:numFmt w:val="lowerRoman"/>
      <w:lvlText w:val="(%2)"/>
      <w:lvlJc w:val="left"/>
      <w:pPr>
        <w:tabs>
          <w:tab w:val="num" w:pos="4849"/>
        </w:tabs>
        <w:ind w:left="4849" w:hanging="944"/>
      </w:pPr>
    </w:lvl>
    <w:lvl w:ilvl="2">
      <w:start w:val="1"/>
      <w:numFmt w:val="lowerLetter"/>
      <w:lvlText w:val="(%3)"/>
      <w:lvlJc w:val="left"/>
      <w:pPr>
        <w:tabs>
          <w:tab w:val="num" w:pos="5530"/>
        </w:tabs>
        <w:ind w:left="5530" w:hanging="1265"/>
      </w:pPr>
    </w:lvl>
    <w:lvl w:ilvl="3">
      <w:start w:val="1"/>
      <w:numFmt w:val="decimal"/>
      <w:lvlText w:val="(%4)"/>
      <w:lvlJc w:val="left"/>
      <w:pPr>
        <w:tabs>
          <w:tab w:val="num" w:pos="4985"/>
        </w:tabs>
        <w:ind w:left="4985" w:hanging="360"/>
      </w:pPr>
    </w:lvl>
    <w:lvl w:ilvl="4">
      <w:start w:val="1"/>
      <w:numFmt w:val="lowerLetter"/>
      <w:lvlText w:val="(%5)"/>
      <w:lvlJc w:val="left"/>
      <w:pPr>
        <w:tabs>
          <w:tab w:val="num" w:pos="5345"/>
        </w:tabs>
        <w:ind w:left="5345" w:hanging="360"/>
      </w:pPr>
    </w:lvl>
    <w:lvl w:ilvl="5">
      <w:start w:val="1"/>
      <w:numFmt w:val="lowerRoman"/>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lowerLetter"/>
      <w:lvlText w:val="%8."/>
      <w:lvlJc w:val="left"/>
      <w:pPr>
        <w:tabs>
          <w:tab w:val="num" w:pos="6425"/>
        </w:tabs>
        <w:ind w:left="6425" w:hanging="360"/>
      </w:pPr>
    </w:lvl>
    <w:lvl w:ilvl="8">
      <w:start w:val="1"/>
      <w:numFmt w:val="lowerRoman"/>
      <w:lvlText w:val="%9."/>
      <w:lvlJc w:val="left"/>
      <w:pPr>
        <w:tabs>
          <w:tab w:val="num" w:pos="6785"/>
        </w:tabs>
        <w:ind w:left="6785" w:hanging="360"/>
      </w:pPr>
    </w:lvl>
  </w:abstractNum>
  <w:abstractNum w:abstractNumId="13" w15:restartNumberingAfterBreak="0">
    <w:nsid w:val="31930A76"/>
    <w:multiLevelType w:val="multilevel"/>
    <w:tmpl w:val="5B568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2D17F5"/>
    <w:multiLevelType w:val="multilevel"/>
    <w:tmpl w:val="90C67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6C63B2"/>
    <w:multiLevelType w:val="hybridMultilevel"/>
    <w:tmpl w:val="A8066726"/>
    <w:lvl w:ilvl="0" w:tplc="41CEEEB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BA86A08"/>
    <w:multiLevelType w:val="hybridMultilevel"/>
    <w:tmpl w:val="13867364"/>
    <w:lvl w:ilvl="0" w:tplc="FFFFFFFF">
      <w:start w:val="1"/>
      <w:numFmt w:val="decimal"/>
      <w:lvlText w:val="(%1)"/>
      <w:lvlJc w:val="left"/>
      <w:pPr>
        <w:tabs>
          <w:tab w:val="num" w:pos="170"/>
        </w:tabs>
        <w:ind w:left="170" w:hanging="17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C263300"/>
    <w:multiLevelType w:val="multilevel"/>
    <w:tmpl w:val="6D001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380198"/>
    <w:multiLevelType w:val="hybridMultilevel"/>
    <w:tmpl w:val="DD965534"/>
    <w:lvl w:ilvl="0" w:tplc="FFFFFFFF">
      <w:start w:val="1"/>
      <w:numFmt w:val="lowerRoman"/>
      <w:lvlText w:val="(%1)"/>
      <w:lvlJc w:val="left"/>
      <w:pPr>
        <w:ind w:left="1429" w:hanging="72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9" w15:restartNumberingAfterBreak="0">
    <w:nsid w:val="3FD7578F"/>
    <w:multiLevelType w:val="hybridMultilevel"/>
    <w:tmpl w:val="DD965534"/>
    <w:lvl w:ilvl="0" w:tplc="FFFFFFFF">
      <w:start w:val="1"/>
      <w:numFmt w:val="lowerRoman"/>
      <w:lvlText w:val="(%1)"/>
      <w:lvlJc w:val="left"/>
      <w:pPr>
        <w:ind w:left="1429" w:hanging="72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0" w15:restartNumberingAfterBreak="0">
    <w:nsid w:val="417F6CA3"/>
    <w:multiLevelType w:val="multilevel"/>
    <w:tmpl w:val="5B56828C"/>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39665A"/>
    <w:multiLevelType w:val="hybridMultilevel"/>
    <w:tmpl w:val="BF56F776"/>
    <w:lvl w:ilvl="0" w:tplc="6C66DF76">
      <w:start w:val="1"/>
      <w:numFmt w:val="upperLetter"/>
      <w:lvlText w:val="(%1)"/>
      <w:lvlJc w:val="left"/>
      <w:pPr>
        <w:tabs>
          <w:tab w:val="num" w:pos="4034"/>
        </w:tabs>
        <w:ind w:left="4034" w:hanging="794"/>
      </w:pPr>
      <w:rPr>
        <w:rFonts w:ascii="Georgia" w:hAnsi="Georgia"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86C0C33"/>
    <w:multiLevelType w:val="hybridMultilevel"/>
    <w:tmpl w:val="F386EEF8"/>
    <w:lvl w:ilvl="0" w:tplc="00C27690">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8DA2150"/>
    <w:multiLevelType w:val="hybridMultilevel"/>
    <w:tmpl w:val="B42CA35A"/>
    <w:lvl w:ilvl="0" w:tplc="333499BE">
      <w:start w:val="1"/>
      <w:numFmt w:val="decimal"/>
      <w:lvlText w:val="%1."/>
      <w:lvlJc w:val="left"/>
      <w:pPr>
        <w:tabs>
          <w:tab w:val="num" w:pos="720"/>
        </w:tabs>
        <w:ind w:left="720" w:hanging="360"/>
      </w:pPr>
      <w:rPr>
        <w:rFonts w:cs="Times New Roman"/>
        <w:b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4" w15:restartNumberingAfterBreak="0">
    <w:nsid w:val="4CF40505"/>
    <w:multiLevelType w:val="multilevel"/>
    <w:tmpl w:val="8D72EFA6"/>
    <w:lvl w:ilvl="0">
      <w:start w:val="1"/>
      <w:numFmt w:val="decimal"/>
      <w:lvlText w:val="%1."/>
      <w:lvlJc w:val="left"/>
      <w:pPr>
        <w:tabs>
          <w:tab w:val="num" w:pos="501"/>
        </w:tabs>
        <w:ind w:left="501" w:hanging="360"/>
      </w:pPr>
    </w:lvl>
    <w:lvl w:ilvl="1">
      <w:start w:val="1"/>
      <w:numFmt w:val="lowerRoman"/>
      <w:lvlText w:val="(%2)"/>
      <w:lvlJc w:val="left"/>
      <w:pPr>
        <w:tabs>
          <w:tab w:val="num" w:pos="3431"/>
        </w:tabs>
        <w:ind w:left="3431" w:hanging="944"/>
      </w:pPr>
    </w:lvl>
    <w:lvl w:ilvl="2">
      <w:start w:val="1"/>
      <w:numFmt w:val="lowerLetter"/>
      <w:lvlText w:val="(%3)"/>
      <w:lvlJc w:val="left"/>
      <w:pPr>
        <w:tabs>
          <w:tab w:val="num" w:pos="4112"/>
        </w:tabs>
        <w:ind w:left="4112" w:hanging="1265"/>
      </w:pPr>
    </w:lvl>
    <w:lvl w:ilvl="3">
      <w:start w:val="1"/>
      <w:numFmt w:val="decimal"/>
      <w:lvlText w:val="(%4)"/>
      <w:lvlJc w:val="left"/>
      <w:pPr>
        <w:tabs>
          <w:tab w:val="num" w:pos="3567"/>
        </w:tabs>
        <w:ind w:left="3567" w:hanging="360"/>
      </w:pPr>
    </w:lvl>
    <w:lvl w:ilvl="4">
      <w:start w:val="1"/>
      <w:numFmt w:val="lowerLetter"/>
      <w:lvlText w:val="(%5)"/>
      <w:lvlJc w:val="left"/>
      <w:pPr>
        <w:tabs>
          <w:tab w:val="num" w:pos="3927"/>
        </w:tabs>
        <w:ind w:left="3927" w:hanging="360"/>
      </w:pPr>
    </w:lvl>
    <w:lvl w:ilvl="5">
      <w:start w:val="1"/>
      <w:numFmt w:val="lowerRoman"/>
      <w:lvlText w:val="(%6)"/>
      <w:lvlJc w:val="left"/>
      <w:pPr>
        <w:tabs>
          <w:tab w:val="num" w:pos="4287"/>
        </w:tabs>
        <w:ind w:left="4287" w:hanging="360"/>
      </w:pPr>
    </w:lvl>
    <w:lvl w:ilvl="6">
      <w:start w:val="1"/>
      <w:numFmt w:val="decimal"/>
      <w:lvlText w:val="%7."/>
      <w:lvlJc w:val="left"/>
      <w:pPr>
        <w:tabs>
          <w:tab w:val="num" w:pos="4647"/>
        </w:tabs>
        <w:ind w:left="4647" w:hanging="360"/>
      </w:pPr>
    </w:lvl>
    <w:lvl w:ilvl="7">
      <w:start w:val="1"/>
      <w:numFmt w:val="lowerLetter"/>
      <w:lvlText w:val="%8."/>
      <w:lvlJc w:val="left"/>
      <w:pPr>
        <w:tabs>
          <w:tab w:val="num" w:pos="5007"/>
        </w:tabs>
        <w:ind w:left="5007" w:hanging="360"/>
      </w:pPr>
    </w:lvl>
    <w:lvl w:ilvl="8">
      <w:start w:val="1"/>
      <w:numFmt w:val="lowerRoman"/>
      <w:lvlText w:val="%9."/>
      <w:lvlJc w:val="left"/>
      <w:pPr>
        <w:tabs>
          <w:tab w:val="num" w:pos="5367"/>
        </w:tabs>
        <w:ind w:left="5367" w:hanging="360"/>
      </w:pPr>
    </w:lvl>
  </w:abstractNum>
  <w:abstractNum w:abstractNumId="25" w15:restartNumberingAfterBreak="0">
    <w:nsid w:val="50F228C7"/>
    <w:multiLevelType w:val="hybridMultilevel"/>
    <w:tmpl w:val="2A4E6E72"/>
    <w:lvl w:ilvl="0" w:tplc="79DC4D1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2E568B5"/>
    <w:multiLevelType w:val="multilevel"/>
    <w:tmpl w:val="5B5682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336D75"/>
    <w:multiLevelType w:val="hybridMultilevel"/>
    <w:tmpl w:val="022A628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5CD10D82"/>
    <w:multiLevelType w:val="multilevel"/>
    <w:tmpl w:val="DEC02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583DEC"/>
    <w:multiLevelType w:val="hybridMultilevel"/>
    <w:tmpl w:val="AACE42CE"/>
    <w:lvl w:ilvl="0" w:tplc="048822FA">
      <w:start w:val="1"/>
      <w:numFmt w:val="lowerRoman"/>
      <w:lvlText w:val="(%1)"/>
      <w:lvlJc w:val="left"/>
      <w:pPr>
        <w:tabs>
          <w:tab w:val="num" w:pos="1493"/>
        </w:tabs>
        <w:ind w:left="1493" w:hanging="360"/>
      </w:pPr>
      <w:rPr>
        <w:rFonts w:hint="default"/>
      </w:rPr>
    </w:lvl>
    <w:lvl w:ilvl="1" w:tplc="08090019" w:tentative="1">
      <w:start w:val="1"/>
      <w:numFmt w:val="lowerLetter"/>
      <w:lvlText w:val="%2."/>
      <w:lvlJc w:val="left"/>
      <w:pPr>
        <w:tabs>
          <w:tab w:val="num" w:pos="2149"/>
        </w:tabs>
        <w:ind w:left="2149" w:hanging="360"/>
      </w:pPr>
    </w:lvl>
    <w:lvl w:ilvl="2" w:tplc="0809001B" w:tentative="1">
      <w:start w:val="1"/>
      <w:numFmt w:val="lowerRoman"/>
      <w:lvlText w:val="%3."/>
      <w:lvlJc w:val="right"/>
      <w:pPr>
        <w:tabs>
          <w:tab w:val="num" w:pos="2869"/>
        </w:tabs>
        <w:ind w:left="2869" w:hanging="180"/>
      </w:pPr>
    </w:lvl>
    <w:lvl w:ilvl="3" w:tplc="0809000F" w:tentative="1">
      <w:start w:val="1"/>
      <w:numFmt w:val="decimal"/>
      <w:lvlText w:val="%4."/>
      <w:lvlJc w:val="left"/>
      <w:pPr>
        <w:tabs>
          <w:tab w:val="num" w:pos="3589"/>
        </w:tabs>
        <w:ind w:left="3589" w:hanging="360"/>
      </w:pPr>
    </w:lvl>
    <w:lvl w:ilvl="4" w:tplc="08090019" w:tentative="1">
      <w:start w:val="1"/>
      <w:numFmt w:val="lowerLetter"/>
      <w:lvlText w:val="%5."/>
      <w:lvlJc w:val="left"/>
      <w:pPr>
        <w:tabs>
          <w:tab w:val="num" w:pos="4309"/>
        </w:tabs>
        <w:ind w:left="4309" w:hanging="360"/>
      </w:pPr>
    </w:lvl>
    <w:lvl w:ilvl="5" w:tplc="0809001B" w:tentative="1">
      <w:start w:val="1"/>
      <w:numFmt w:val="lowerRoman"/>
      <w:lvlText w:val="%6."/>
      <w:lvlJc w:val="right"/>
      <w:pPr>
        <w:tabs>
          <w:tab w:val="num" w:pos="5029"/>
        </w:tabs>
        <w:ind w:left="5029" w:hanging="180"/>
      </w:pPr>
    </w:lvl>
    <w:lvl w:ilvl="6" w:tplc="0809000F" w:tentative="1">
      <w:start w:val="1"/>
      <w:numFmt w:val="decimal"/>
      <w:lvlText w:val="%7."/>
      <w:lvlJc w:val="left"/>
      <w:pPr>
        <w:tabs>
          <w:tab w:val="num" w:pos="5749"/>
        </w:tabs>
        <w:ind w:left="5749" w:hanging="360"/>
      </w:pPr>
    </w:lvl>
    <w:lvl w:ilvl="7" w:tplc="08090019" w:tentative="1">
      <w:start w:val="1"/>
      <w:numFmt w:val="lowerLetter"/>
      <w:lvlText w:val="%8."/>
      <w:lvlJc w:val="left"/>
      <w:pPr>
        <w:tabs>
          <w:tab w:val="num" w:pos="6469"/>
        </w:tabs>
        <w:ind w:left="6469" w:hanging="360"/>
      </w:pPr>
    </w:lvl>
    <w:lvl w:ilvl="8" w:tplc="0809001B" w:tentative="1">
      <w:start w:val="1"/>
      <w:numFmt w:val="lowerRoman"/>
      <w:lvlText w:val="%9."/>
      <w:lvlJc w:val="right"/>
      <w:pPr>
        <w:tabs>
          <w:tab w:val="num" w:pos="7189"/>
        </w:tabs>
        <w:ind w:left="7189" w:hanging="180"/>
      </w:pPr>
    </w:lvl>
  </w:abstractNum>
  <w:abstractNum w:abstractNumId="30" w15:restartNumberingAfterBreak="0">
    <w:nsid w:val="677F3835"/>
    <w:multiLevelType w:val="multilevel"/>
    <w:tmpl w:val="5B568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107D1A"/>
    <w:multiLevelType w:val="multilevel"/>
    <w:tmpl w:val="8D72EFA6"/>
    <w:lvl w:ilvl="0">
      <w:start w:val="1"/>
      <w:numFmt w:val="decimal"/>
      <w:lvlText w:val="%1."/>
      <w:lvlJc w:val="left"/>
      <w:pPr>
        <w:tabs>
          <w:tab w:val="num" w:pos="501"/>
        </w:tabs>
        <w:ind w:left="501" w:hanging="360"/>
      </w:pPr>
    </w:lvl>
    <w:lvl w:ilvl="1">
      <w:start w:val="1"/>
      <w:numFmt w:val="lowerRoman"/>
      <w:lvlText w:val="(%2)"/>
      <w:lvlJc w:val="left"/>
      <w:pPr>
        <w:tabs>
          <w:tab w:val="num" w:pos="3431"/>
        </w:tabs>
        <w:ind w:left="3431" w:hanging="944"/>
      </w:pPr>
    </w:lvl>
    <w:lvl w:ilvl="2">
      <w:start w:val="1"/>
      <w:numFmt w:val="lowerLetter"/>
      <w:lvlText w:val="(%3)"/>
      <w:lvlJc w:val="left"/>
      <w:pPr>
        <w:tabs>
          <w:tab w:val="num" w:pos="4112"/>
        </w:tabs>
        <w:ind w:left="4112" w:hanging="1265"/>
      </w:pPr>
    </w:lvl>
    <w:lvl w:ilvl="3">
      <w:start w:val="1"/>
      <w:numFmt w:val="decimal"/>
      <w:lvlText w:val="(%4)"/>
      <w:lvlJc w:val="left"/>
      <w:pPr>
        <w:tabs>
          <w:tab w:val="num" w:pos="3567"/>
        </w:tabs>
        <w:ind w:left="3567" w:hanging="360"/>
      </w:pPr>
    </w:lvl>
    <w:lvl w:ilvl="4">
      <w:start w:val="1"/>
      <w:numFmt w:val="lowerLetter"/>
      <w:lvlText w:val="(%5)"/>
      <w:lvlJc w:val="left"/>
      <w:pPr>
        <w:tabs>
          <w:tab w:val="num" w:pos="3927"/>
        </w:tabs>
        <w:ind w:left="3927" w:hanging="360"/>
      </w:pPr>
    </w:lvl>
    <w:lvl w:ilvl="5">
      <w:start w:val="1"/>
      <w:numFmt w:val="lowerRoman"/>
      <w:lvlText w:val="(%6)"/>
      <w:lvlJc w:val="left"/>
      <w:pPr>
        <w:tabs>
          <w:tab w:val="num" w:pos="4287"/>
        </w:tabs>
        <w:ind w:left="4287" w:hanging="360"/>
      </w:pPr>
    </w:lvl>
    <w:lvl w:ilvl="6">
      <w:start w:val="1"/>
      <w:numFmt w:val="decimal"/>
      <w:lvlText w:val="%7."/>
      <w:lvlJc w:val="left"/>
      <w:pPr>
        <w:tabs>
          <w:tab w:val="num" w:pos="4647"/>
        </w:tabs>
        <w:ind w:left="4647" w:hanging="360"/>
      </w:pPr>
    </w:lvl>
    <w:lvl w:ilvl="7">
      <w:start w:val="1"/>
      <w:numFmt w:val="lowerLetter"/>
      <w:lvlText w:val="%8."/>
      <w:lvlJc w:val="left"/>
      <w:pPr>
        <w:tabs>
          <w:tab w:val="num" w:pos="5007"/>
        </w:tabs>
        <w:ind w:left="5007" w:hanging="360"/>
      </w:pPr>
    </w:lvl>
    <w:lvl w:ilvl="8">
      <w:start w:val="1"/>
      <w:numFmt w:val="lowerRoman"/>
      <w:lvlText w:val="%9."/>
      <w:lvlJc w:val="left"/>
      <w:pPr>
        <w:tabs>
          <w:tab w:val="num" w:pos="5367"/>
        </w:tabs>
        <w:ind w:left="5367" w:hanging="360"/>
      </w:pPr>
    </w:lvl>
  </w:abstractNum>
  <w:abstractNum w:abstractNumId="32" w15:restartNumberingAfterBreak="0">
    <w:nsid w:val="694E2D6E"/>
    <w:multiLevelType w:val="hybridMultilevel"/>
    <w:tmpl w:val="963874B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AE105E8"/>
    <w:multiLevelType w:val="multilevel"/>
    <w:tmpl w:val="9A30B21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6C0661D3"/>
    <w:multiLevelType w:val="multilevel"/>
    <w:tmpl w:val="6B04EB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C02939"/>
    <w:multiLevelType w:val="hybridMultilevel"/>
    <w:tmpl w:val="03066B1C"/>
    <w:lvl w:ilvl="0" w:tplc="A8CAB9B0">
      <w:start w:val="1"/>
      <w:numFmt w:val="decimal"/>
      <w:lvlText w:val="%1."/>
      <w:lvlJc w:val="left"/>
      <w:pPr>
        <w:tabs>
          <w:tab w:val="num" w:pos="1134"/>
        </w:tabs>
        <w:ind w:left="1134" w:hanging="1134"/>
      </w:pPr>
      <w:rPr>
        <w:rFonts w:hint="default"/>
        <w:b w:val="0"/>
        <w:i w:val="0"/>
        <w:iCs/>
        <w:color w:val="auto"/>
      </w:rPr>
    </w:lvl>
    <w:lvl w:ilvl="1" w:tplc="08090001">
      <w:start w:val="1"/>
      <w:numFmt w:val="bullet"/>
      <w:lvlText w:val=""/>
      <w:lvlJc w:val="left"/>
      <w:pPr>
        <w:tabs>
          <w:tab w:val="num" w:pos="1440"/>
        </w:tabs>
        <w:ind w:left="1440" w:hanging="360"/>
      </w:pPr>
      <w:rPr>
        <w:rFonts w:ascii="Symbol" w:hAnsi="Symbol" w:hint="default"/>
      </w:rPr>
    </w:lvl>
    <w:lvl w:ilvl="2" w:tplc="08090001">
      <w:start w:val="1"/>
      <w:numFmt w:val="bullet"/>
      <w:lvlText w:val=""/>
      <w:lvlJc w:val="left"/>
      <w:pPr>
        <w:tabs>
          <w:tab w:val="num" w:pos="1440"/>
        </w:tabs>
        <w:ind w:left="1440" w:hanging="360"/>
      </w:pPr>
      <w:rPr>
        <w:rFonts w:ascii="Symbol" w:hAnsi="Symbol" w:hint="default"/>
      </w:rPr>
    </w:lvl>
    <w:lvl w:ilvl="3" w:tplc="08090001">
      <w:start w:val="1"/>
      <w:numFmt w:val="bullet"/>
      <w:lvlText w:val=""/>
      <w:lvlJc w:val="left"/>
      <w:pPr>
        <w:tabs>
          <w:tab w:val="num" w:pos="2880"/>
        </w:tabs>
        <w:ind w:left="2880" w:hanging="36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4C21ABF"/>
    <w:multiLevelType w:val="multilevel"/>
    <w:tmpl w:val="5B568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32608B"/>
    <w:multiLevelType w:val="multilevel"/>
    <w:tmpl w:val="5B568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2"/>
  </w:num>
  <w:num w:numId="3">
    <w:abstractNumId w:val="15"/>
  </w:num>
  <w:num w:numId="4">
    <w:abstractNumId w:val="22"/>
  </w:num>
  <w:num w:numId="5">
    <w:abstractNumId w:val="7"/>
  </w:num>
  <w:num w:numId="6">
    <w:abstractNumId w:val="25"/>
  </w:num>
  <w:num w:numId="7">
    <w:abstractNumId w:val="3"/>
  </w:num>
  <w:num w:numId="8">
    <w:abstractNumId w:val="12"/>
  </w:num>
  <w:num w:numId="9">
    <w:abstractNumId w:val="16"/>
  </w:num>
  <w:num w:numId="10">
    <w:abstractNumId w:val="29"/>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1"/>
  </w:num>
  <w:num w:numId="14">
    <w:abstractNumId w:val="26"/>
  </w:num>
  <w:num w:numId="15">
    <w:abstractNumId w:val="36"/>
  </w:num>
  <w:num w:numId="16">
    <w:abstractNumId w:val="20"/>
  </w:num>
  <w:num w:numId="17">
    <w:abstractNumId w:val="13"/>
  </w:num>
  <w:num w:numId="18">
    <w:abstractNumId w:val="30"/>
  </w:num>
  <w:num w:numId="19">
    <w:abstractNumId w:val="37"/>
  </w:num>
  <w:num w:numId="20">
    <w:abstractNumId w:val="5"/>
  </w:num>
  <w:num w:numId="21">
    <w:abstractNumId w:val="34"/>
  </w:num>
  <w:num w:numId="22">
    <w:abstractNumId w:val="6"/>
  </w:num>
  <w:num w:numId="23">
    <w:abstractNumId w:val="33"/>
  </w:num>
  <w:num w:numId="24">
    <w:abstractNumId w:val="14"/>
  </w:num>
  <w:num w:numId="25">
    <w:abstractNumId w:val="28"/>
  </w:num>
  <w:num w:numId="26">
    <w:abstractNumId w:val="17"/>
  </w:num>
  <w:num w:numId="27">
    <w:abstractNumId w:val="31"/>
  </w:num>
  <w:num w:numId="28">
    <w:abstractNumId w:val="24"/>
  </w:num>
  <w:num w:numId="29">
    <w:abstractNumId w:val="4"/>
  </w:num>
  <w:num w:numId="30">
    <w:abstractNumId w:val="9"/>
  </w:num>
  <w:num w:numId="31">
    <w:abstractNumId w:val="8"/>
  </w:num>
  <w:num w:numId="32">
    <w:abstractNumId w:val="1"/>
  </w:num>
  <w:num w:numId="33">
    <w:abstractNumId w:val="10"/>
  </w:num>
  <w:num w:numId="34">
    <w:abstractNumId w:val="35"/>
  </w:num>
  <w:num w:numId="35">
    <w:abstractNumId w:val="27"/>
  </w:num>
  <w:num w:numId="36">
    <w:abstractNumId w:val="11"/>
  </w:num>
  <w:num w:numId="37">
    <w:abstractNumId w:val="18"/>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2652A41-363A-4442-BC8C-A9F891F6876A}"/>
    <w:docVar w:name="dgnword-eventsink" w:val="501871712"/>
  </w:docVars>
  <w:rsids>
    <w:rsidRoot w:val="00CD3CD2"/>
    <w:rsid w:val="00002498"/>
    <w:rsid w:val="00002BC9"/>
    <w:rsid w:val="00003B71"/>
    <w:rsid w:val="00004066"/>
    <w:rsid w:val="00004816"/>
    <w:rsid w:val="000049E7"/>
    <w:rsid w:val="000063CE"/>
    <w:rsid w:val="0000662D"/>
    <w:rsid w:val="000066F2"/>
    <w:rsid w:val="00010A14"/>
    <w:rsid w:val="00010E90"/>
    <w:rsid w:val="00011EE7"/>
    <w:rsid w:val="00012527"/>
    <w:rsid w:val="00012DEA"/>
    <w:rsid w:val="0001307F"/>
    <w:rsid w:val="00013E0D"/>
    <w:rsid w:val="00017848"/>
    <w:rsid w:val="00022AD8"/>
    <w:rsid w:val="00023840"/>
    <w:rsid w:val="0002576F"/>
    <w:rsid w:val="00026927"/>
    <w:rsid w:val="000270FE"/>
    <w:rsid w:val="000273D0"/>
    <w:rsid w:val="000277C6"/>
    <w:rsid w:val="000300B6"/>
    <w:rsid w:val="00030261"/>
    <w:rsid w:val="00031DE7"/>
    <w:rsid w:val="00032C09"/>
    <w:rsid w:val="00034746"/>
    <w:rsid w:val="0003582A"/>
    <w:rsid w:val="00035C7C"/>
    <w:rsid w:val="00036A20"/>
    <w:rsid w:val="0003778E"/>
    <w:rsid w:val="0004130D"/>
    <w:rsid w:val="0004153E"/>
    <w:rsid w:val="0004182E"/>
    <w:rsid w:val="00042903"/>
    <w:rsid w:val="00044077"/>
    <w:rsid w:val="00044925"/>
    <w:rsid w:val="00045197"/>
    <w:rsid w:val="00050297"/>
    <w:rsid w:val="00053F62"/>
    <w:rsid w:val="000565F7"/>
    <w:rsid w:val="00060D1C"/>
    <w:rsid w:val="00060F3E"/>
    <w:rsid w:val="00061003"/>
    <w:rsid w:val="0006145F"/>
    <w:rsid w:val="00062B1E"/>
    <w:rsid w:val="00063045"/>
    <w:rsid w:val="00063082"/>
    <w:rsid w:val="00063DC5"/>
    <w:rsid w:val="00065305"/>
    <w:rsid w:val="000664C7"/>
    <w:rsid w:val="00066921"/>
    <w:rsid w:val="00066B38"/>
    <w:rsid w:val="000675BC"/>
    <w:rsid w:val="00067705"/>
    <w:rsid w:val="00067AAB"/>
    <w:rsid w:val="00070019"/>
    <w:rsid w:val="000705B8"/>
    <w:rsid w:val="00070BBC"/>
    <w:rsid w:val="00070ED0"/>
    <w:rsid w:val="000730E5"/>
    <w:rsid w:val="00073B25"/>
    <w:rsid w:val="00074C58"/>
    <w:rsid w:val="000752C7"/>
    <w:rsid w:val="00075DA8"/>
    <w:rsid w:val="00076D49"/>
    <w:rsid w:val="00077B32"/>
    <w:rsid w:val="00083939"/>
    <w:rsid w:val="000859B4"/>
    <w:rsid w:val="00090DFA"/>
    <w:rsid w:val="000912B5"/>
    <w:rsid w:val="00091FDB"/>
    <w:rsid w:val="000920D8"/>
    <w:rsid w:val="000926C7"/>
    <w:rsid w:val="000927B4"/>
    <w:rsid w:val="00092C14"/>
    <w:rsid w:val="00092EF1"/>
    <w:rsid w:val="00093857"/>
    <w:rsid w:val="00094E5E"/>
    <w:rsid w:val="000972E6"/>
    <w:rsid w:val="000977A9"/>
    <w:rsid w:val="000A01D8"/>
    <w:rsid w:val="000A0490"/>
    <w:rsid w:val="000A214C"/>
    <w:rsid w:val="000A2CD4"/>
    <w:rsid w:val="000A3D54"/>
    <w:rsid w:val="000A4363"/>
    <w:rsid w:val="000A4B83"/>
    <w:rsid w:val="000A553D"/>
    <w:rsid w:val="000A578B"/>
    <w:rsid w:val="000A66FD"/>
    <w:rsid w:val="000A6942"/>
    <w:rsid w:val="000A6BB4"/>
    <w:rsid w:val="000A74E4"/>
    <w:rsid w:val="000B0AC3"/>
    <w:rsid w:val="000B1422"/>
    <w:rsid w:val="000B26AC"/>
    <w:rsid w:val="000B29BC"/>
    <w:rsid w:val="000B2FAF"/>
    <w:rsid w:val="000B361D"/>
    <w:rsid w:val="000B4EA0"/>
    <w:rsid w:val="000B530F"/>
    <w:rsid w:val="000B7AD7"/>
    <w:rsid w:val="000C0F2B"/>
    <w:rsid w:val="000C1468"/>
    <w:rsid w:val="000C1E20"/>
    <w:rsid w:val="000C209F"/>
    <w:rsid w:val="000C2BA6"/>
    <w:rsid w:val="000C350E"/>
    <w:rsid w:val="000C40C7"/>
    <w:rsid w:val="000C4A4B"/>
    <w:rsid w:val="000C7536"/>
    <w:rsid w:val="000D32F1"/>
    <w:rsid w:val="000D3CEC"/>
    <w:rsid w:val="000D46FF"/>
    <w:rsid w:val="000D489D"/>
    <w:rsid w:val="000D534E"/>
    <w:rsid w:val="000D63C3"/>
    <w:rsid w:val="000D7289"/>
    <w:rsid w:val="000D755C"/>
    <w:rsid w:val="000E128D"/>
    <w:rsid w:val="000E201E"/>
    <w:rsid w:val="000E2CA6"/>
    <w:rsid w:val="000E3915"/>
    <w:rsid w:val="000E3EBB"/>
    <w:rsid w:val="000E483A"/>
    <w:rsid w:val="000F0088"/>
    <w:rsid w:val="000F05C7"/>
    <w:rsid w:val="000F0D4C"/>
    <w:rsid w:val="000F2725"/>
    <w:rsid w:val="000F3BB6"/>
    <w:rsid w:val="000F42EB"/>
    <w:rsid w:val="000F4A29"/>
    <w:rsid w:val="000F52DE"/>
    <w:rsid w:val="000F5BEA"/>
    <w:rsid w:val="000F67CF"/>
    <w:rsid w:val="000F7735"/>
    <w:rsid w:val="00100966"/>
    <w:rsid w:val="00100D21"/>
    <w:rsid w:val="00102BD5"/>
    <w:rsid w:val="00103564"/>
    <w:rsid w:val="001037C9"/>
    <w:rsid w:val="001038FB"/>
    <w:rsid w:val="00104CC7"/>
    <w:rsid w:val="0010548C"/>
    <w:rsid w:val="00105A86"/>
    <w:rsid w:val="00105F34"/>
    <w:rsid w:val="00106987"/>
    <w:rsid w:val="00110F77"/>
    <w:rsid w:val="001117D6"/>
    <w:rsid w:val="00111A8D"/>
    <w:rsid w:val="00111A98"/>
    <w:rsid w:val="00111AE3"/>
    <w:rsid w:val="00113277"/>
    <w:rsid w:val="0011344B"/>
    <w:rsid w:val="00116252"/>
    <w:rsid w:val="0011665B"/>
    <w:rsid w:val="00116C5A"/>
    <w:rsid w:val="001170DF"/>
    <w:rsid w:val="00117391"/>
    <w:rsid w:val="00117CB0"/>
    <w:rsid w:val="00120BE8"/>
    <w:rsid w:val="001217B0"/>
    <w:rsid w:val="001217DE"/>
    <w:rsid w:val="00121DEB"/>
    <w:rsid w:val="00122B5F"/>
    <w:rsid w:val="00123A95"/>
    <w:rsid w:val="001254C6"/>
    <w:rsid w:val="001269F9"/>
    <w:rsid w:val="0012723B"/>
    <w:rsid w:val="001272C3"/>
    <w:rsid w:val="001274F2"/>
    <w:rsid w:val="00127FB7"/>
    <w:rsid w:val="00130195"/>
    <w:rsid w:val="00130380"/>
    <w:rsid w:val="001311CD"/>
    <w:rsid w:val="00132728"/>
    <w:rsid w:val="001348C0"/>
    <w:rsid w:val="00134C8C"/>
    <w:rsid w:val="00135F58"/>
    <w:rsid w:val="001401CD"/>
    <w:rsid w:val="001403FE"/>
    <w:rsid w:val="00140C1D"/>
    <w:rsid w:val="00141590"/>
    <w:rsid w:val="00141DCF"/>
    <w:rsid w:val="001440FF"/>
    <w:rsid w:val="00144741"/>
    <w:rsid w:val="001449E5"/>
    <w:rsid w:val="00145255"/>
    <w:rsid w:val="0014538B"/>
    <w:rsid w:val="001457AB"/>
    <w:rsid w:val="001458A1"/>
    <w:rsid w:val="00145D10"/>
    <w:rsid w:val="00146746"/>
    <w:rsid w:val="00150BE4"/>
    <w:rsid w:val="001517B7"/>
    <w:rsid w:val="00151B94"/>
    <w:rsid w:val="00152040"/>
    <w:rsid w:val="00153867"/>
    <w:rsid w:val="00153F57"/>
    <w:rsid w:val="00155692"/>
    <w:rsid w:val="00155D6E"/>
    <w:rsid w:val="00156064"/>
    <w:rsid w:val="0015610A"/>
    <w:rsid w:val="00157634"/>
    <w:rsid w:val="0016028C"/>
    <w:rsid w:val="0016251C"/>
    <w:rsid w:val="00163005"/>
    <w:rsid w:val="00163509"/>
    <w:rsid w:val="00163869"/>
    <w:rsid w:val="00164359"/>
    <w:rsid w:val="00164BEC"/>
    <w:rsid w:val="001656A8"/>
    <w:rsid w:val="001700EA"/>
    <w:rsid w:val="00171E16"/>
    <w:rsid w:val="00173CBF"/>
    <w:rsid w:val="001742C0"/>
    <w:rsid w:val="001753CB"/>
    <w:rsid w:val="00175CCA"/>
    <w:rsid w:val="00177D01"/>
    <w:rsid w:val="001801A0"/>
    <w:rsid w:val="00180757"/>
    <w:rsid w:val="00180BD5"/>
    <w:rsid w:val="00182018"/>
    <w:rsid w:val="00183454"/>
    <w:rsid w:val="001843BE"/>
    <w:rsid w:val="00184618"/>
    <w:rsid w:val="001853AE"/>
    <w:rsid w:val="001866CB"/>
    <w:rsid w:val="00186978"/>
    <w:rsid w:val="0019115E"/>
    <w:rsid w:val="001919FE"/>
    <w:rsid w:val="00192A6B"/>
    <w:rsid w:val="00192FBB"/>
    <w:rsid w:val="0019362C"/>
    <w:rsid w:val="0019431E"/>
    <w:rsid w:val="001946C0"/>
    <w:rsid w:val="00197CCA"/>
    <w:rsid w:val="001A07C8"/>
    <w:rsid w:val="001A09D0"/>
    <w:rsid w:val="001A203D"/>
    <w:rsid w:val="001A2830"/>
    <w:rsid w:val="001A3F40"/>
    <w:rsid w:val="001A4264"/>
    <w:rsid w:val="001A5FAA"/>
    <w:rsid w:val="001A65C2"/>
    <w:rsid w:val="001A67B8"/>
    <w:rsid w:val="001A6CAC"/>
    <w:rsid w:val="001A7546"/>
    <w:rsid w:val="001A7CC4"/>
    <w:rsid w:val="001B01F2"/>
    <w:rsid w:val="001B101E"/>
    <w:rsid w:val="001B1511"/>
    <w:rsid w:val="001B226B"/>
    <w:rsid w:val="001B2EFC"/>
    <w:rsid w:val="001B4031"/>
    <w:rsid w:val="001B4FEB"/>
    <w:rsid w:val="001C01C7"/>
    <w:rsid w:val="001C08A3"/>
    <w:rsid w:val="001C1414"/>
    <w:rsid w:val="001C14E8"/>
    <w:rsid w:val="001C3B1F"/>
    <w:rsid w:val="001C4758"/>
    <w:rsid w:val="001C4A65"/>
    <w:rsid w:val="001C703D"/>
    <w:rsid w:val="001C7605"/>
    <w:rsid w:val="001D0E6F"/>
    <w:rsid w:val="001D231E"/>
    <w:rsid w:val="001D24BA"/>
    <w:rsid w:val="001D2770"/>
    <w:rsid w:val="001D5DA4"/>
    <w:rsid w:val="001D6DE4"/>
    <w:rsid w:val="001D7108"/>
    <w:rsid w:val="001D7C25"/>
    <w:rsid w:val="001E0BD5"/>
    <w:rsid w:val="001E0DB1"/>
    <w:rsid w:val="001E2DDA"/>
    <w:rsid w:val="001E373B"/>
    <w:rsid w:val="001E3EE1"/>
    <w:rsid w:val="001E5151"/>
    <w:rsid w:val="001E5E08"/>
    <w:rsid w:val="001E64DD"/>
    <w:rsid w:val="001E678B"/>
    <w:rsid w:val="001E7CD2"/>
    <w:rsid w:val="001F1034"/>
    <w:rsid w:val="001F23D4"/>
    <w:rsid w:val="001F3256"/>
    <w:rsid w:val="001F3C9C"/>
    <w:rsid w:val="001F464B"/>
    <w:rsid w:val="001F7B08"/>
    <w:rsid w:val="001F7BEB"/>
    <w:rsid w:val="001F7EC7"/>
    <w:rsid w:val="00202FB1"/>
    <w:rsid w:val="002034A5"/>
    <w:rsid w:val="002102C9"/>
    <w:rsid w:val="0021075B"/>
    <w:rsid w:val="00210A22"/>
    <w:rsid w:val="002113F6"/>
    <w:rsid w:val="00211A72"/>
    <w:rsid w:val="0021521C"/>
    <w:rsid w:val="0021575D"/>
    <w:rsid w:val="0021575F"/>
    <w:rsid w:val="00216918"/>
    <w:rsid w:val="00216A26"/>
    <w:rsid w:val="002206D5"/>
    <w:rsid w:val="00221C38"/>
    <w:rsid w:val="00221EBE"/>
    <w:rsid w:val="002223AA"/>
    <w:rsid w:val="00222945"/>
    <w:rsid w:val="00222A15"/>
    <w:rsid w:val="00223C0A"/>
    <w:rsid w:val="002245CE"/>
    <w:rsid w:val="00224898"/>
    <w:rsid w:val="00224D4A"/>
    <w:rsid w:val="0023008C"/>
    <w:rsid w:val="00231B9D"/>
    <w:rsid w:val="002342B0"/>
    <w:rsid w:val="002346C2"/>
    <w:rsid w:val="002348BF"/>
    <w:rsid w:val="00235CA0"/>
    <w:rsid w:val="00235EB7"/>
    <w:rsid w:val="00240DA0"/>
    <w:rsid w:val="00242068"/>
    <w:rsid w:val="00242776"/>
    <w:rsid w:val="002435FA"/>
    <w:rsid w:val="00243827"/>
    <w:rsid w:val="0024491C"/>
    <w:rsid w:val="00245819"/>
    <w:rsid w:val="00245F64"/>
    <w:rsid w:val="00247099"/>
    <w:rsid w:val="002506EB"/>
    <w:rsid w:val="00250B66"/>
    <w:rsid w:val="00250F9D"/>
    <w:rsid w:val="00251141"/>
    <w:rsid w:val="00251147"/>
    <w:rsid w:val="002524E9"/>
    <w:rsid w:val="00257669"/>
    <w:rsid w:val="00263482"/>
    <w:rsid w:val="00263737"/>
    <w:rsid w:val="0026455D"/>
    <w:rsid w:val="0026458B"/>
    <w:rsid w:val="00265295"/>
    <w:rsid w:val="002657E3"/>
    <w:rsid w:val="00265DB3"/>
    <w:rsid w:val="0026623F"/>
    <w:rsid w:val="00267D06"/>
    <w:rsid w:val="00270A4F"/>
    <w:rsid w:val="00270EDD"/>
    <w:rsid w:val="00271122"/>
    <w:rsid w:val="00271331"/>
    <w:rsid w:val="002728F6"/>
    <w:rsid w:val="00272A07"/>
    <w:rsid w:val="002730EB"/>
    <w:rsid w:val="002744EC"/>
    <w:rsid w:val="00274B6A"/>
    <w:rsid w:val="00274C5D"/>
    <w:rsid w:val="00276166"/>
    <w:rsid w:val="00276D02"/>
    <w:rsid w:val="00277CA8"/>
    <w:rsid w:val="0028083E"/>
    <w:rsid w:val="00283A0F"/>
    <w:rsid w:val="00284E93"/>
    <w:rsid w:val="00285E9F"/>
    <w:rsid w:val="002871C7"/>
    <w:rsid w:val="00287D5D"/>
    <w:rsid w:val="00290D87"/>
    <w:rsid w:val="0029278C"/>
    <w:rsid w:val="002929D5"/>
    <w:rsid w:val="00292E1F"/>
    <w:rsid w:val="0029338A"/>
    <w:rsid w:val="002948D0"/>
    <w:rsid w:val="0029591E"/>
    <w:rsid w:val="00296B88"/>
    <w:rsid w:val="00296CCA"/>
    <w:rsid w:val="002970B5"/>
    <w:rsid w:val="002A0EF2"/>
    <w:rsid w:val="002A4653"/>
    <w:rsid w:val="002A6195"/>
    <w:rsid w:val="002A6D36"/>
    <w:rsid w:val="002A6D53"/>
    <w:rsid w:val="002A7870"/>
    <w:rsid w:val="002B187E"/>
    <w:rsid w:val="002B1BB4"/>
    <w:rsid w:val="002B2676"/>
    <w:rsid w:val="002B27BC"/>
    <w:rsid w:val="002B2F24"/>
    <w:rsid w:val="002B36B3"/>
    <w:rsid w:val="002B3E2B"/>
    <w:rsid w:val="002B41B9"/>
    <w:rsid w:val="002B496A"/>
    <w:rsid w:val="002B5173"/>
    <w:rsid w:val="002B557C"/>
    <w:rsid w:val="002B59AC"/>
    <w:rsid w:val="002B607D"/>
    <w:rsid w:val="002B66CC"/>
    <w:rsid w:val="002B6DE2"/>
    <w:rsid w:val="002B7C52"/>
    <w:rsid w:val="002C0943"/>
    <w:rsid w:val="002C0C1C"/>
    <w:rsid w:val="002C19EE"/>
    <w:rsid w:val="002C1DE3"/>
    <w:rsid w:val="002C27D6"/>
    <w:rsid w:val="002C34DA"/>
    <w:rsid w:val="002C3A3D"/>
    <w:rsid w:val="002C3E8F"/>
    <w:rsid w:val="002C6A5F"/>
    <w:rsid w:val="002C7DDA"/>
    <w:rsid w:val="002D06A7"/>
    <w:rsid w:val="002D0708"/>
    <w:rsid w:val="002D0924"/>
    <w:rsid w:val="002D2E7E"/>
    <w:rsid w:val="002D410E"/>
    <w:rsid w:val="002D7419"/>
    <w:rsid w:val="002E00C0"/>
    <w:rsid w:val="002E157A"/>
    <w:rsid w:val="002E19CD"/>
    <w:rsid w:val="002E2780"/>
    <w:rsid w:val="002E28D0"/>
    <w:rsid w:val="002E5BAF"/>
    <w:rsid w:val="002E60AB"/>
    <w:rsid w:val="002E79E9"/>
    <w:rsid w:val="002E7FB7"/>
    <w:rsid w:val="002F0042"/>
    <w:rsid w:val="002F0F0C"/>
    <w:rsid w:val="002F14CB"/>
    <w:rsid w:val="002F29AC"/>
    <w:rsid w:val="002F338D"/>
    <w:rsid w:val="002F45DF"/>
    <w:rsid w:val="002F4F80"/>
    <w:rsid w:val="002F4F8C"/>
    <w:rsid w:val="002F57CA"/>
    <w:rsid w:val="002F672B"/>
    <w:rsid w:val="002F6C23"/>
    <w:rsid w:val="002F7808"/>
    <w:rsid w:val="002F7C57"/>
    <w:rsid w:val="003008DB"/>
    <w:rsid w:val="00301BAB"/>
    <w:rsid w:val="00303353"/>
    <w:rsid w:val="00306CE8"/>
    <w:rsid w:val="00307CDA"/>
    <w:rsid w:val="00311070"/>
    <w:rsid w:val="003117C3"/>
    <w:rsid w:val="00311F83"/>
    <w:rsid w:val="00313A34"/>
    <w:rsid w:val="00313C86"/>
    <w:rsid w:val="00315F57"/>
    <w:rsid w:val="003172AC"/>
    <w:rsid w:val="00320D69"/>
    <w:rsid w:val="00321D41"/>
    <w:rsid w:val="003221A1"/>
    <w:rsid w:val="00322462"/>
    <w:rsid w:val="0032451C"/>
    <w:rsid w:val="00324742"/>
    <w:rsid w:val="003251D7"/>
    <w:rsid w:val="00325267"/>
    <w:rsid w:val="0032621B"/>
    <w:rsid w:val="003275DB"/>
    <w:rsid w:val="00327A7D"/>
    <w:rsid w:val="00330F24"/>
    <w:rsid w:val="00332DCC"/>
    <w:rsid w:val="00333407"/>
    <w:rsid w:val="0033379F"/>
    <w:rsid w:val="00335050"/>
    <w:rsid w:val="00335365"/>
    <w:rsid w:val="00335499"/>
    <w:rsid w:val="0033583E"/>
    <w:rsid w:val="00335E9C"/>
    <w:rsid w:val="00335EE7"/>
    <w:rsid w:val="00336DF5"/>
    <w:rsid w:val="00337708"/>
    <w:rsid w:val="00341F3E"/>
    <w:rsid w:val="0034217B"/>
    <w:rsid w:val="003423EA"/>
    <w:rsid w:val="00343A0D"/>
    <w:rsid w:val="00344C9B"/>
    <w:rsid w:val="00345229"/>
    <w:rsid w:val="00346487"/>
    <w:rsid w:val="00347C30"/>
    <w:rsid w:val="00351FAB"/>
    <w:rsid w:val="003537CE"/>
    <w:rsid w:val="00354D3B"/>
    <w:rsid w:val="003566D4"/>
    <w:rsid w:val="00356F4C"/>
    <w:rsid w:val="003575F9"/>
    <w:rsid w:val="00360047"/>
    <w:rsid w:val="00363266"/>
    <w:rsid w:val="00364420"/>
    <w:rsid w:val="00364AF6"/>
    <w:rsid w:val="00365ACD"/>
    <w:rsid w:val="0036747D"/>
    <w:rsid w:val="00367DE2"/>
    <w:rsid w:val="003706CF"/>
    <w:rsid w:val="00371573"/>
    <w:rsid w:val="00372AFC"/>
    <w:rsid w:val="00372E90"/>
    <w:rsid w:val="00376C54"/>
    <w:rsid w:val="00380645"/>
    <w:rsid w:val="00380DB3"/>
    <w:rsid w:val="00383098"/>
    <w:rsid w:val="003832F9"/>
    <w:rsid w:val="00390001"/>
    <w:rsid w:val="00390BA0"/>
    <w:rsid w:val="003925F6"/>
    <w:rsid w:val="00392649"/>
    <w:rsid w:val="003941EE"/>
    <w:rsid w:val="003942C2"/>
    <w:rsid w:val="00394DE8"/>
    <w:rsid w:val="003955A7"/>
    <w:rsid w:val="0039603C"/>
    <w:rsid w:val="0039696E"/>
    <w:rsid w:val="003A08B1"/>
    <w:rsid w:val="003A0DD5"/>
    <w:rsid w:val="003A125C"/>
    <w:rsid w:val="003A2258"/>
    <w:rsid w:val="003A2B34"/>
    <w:rsid w:val="003A325A"/>
    <w:rsid w:val="003A3421"/>
    <w:rsid w:val="003A3574"/>
    <w:rsid w:val="003A3CAA"/>
    <w:rsid w:val="003A4F8A"/>
    <w:rsid w:val="003A5479"/>
    <w:rsid w:val="003A574C"/>
    <w:rsid w:val="003A58DA"/>
    <w:rsid w:val="003A58EF"/>
    <w:rsid w:val="003A5EAD"/>
    <w:rsid w:val="003A6BD1"/>
    <w:rsid w:val="003B0422"/>
    <w:rsid w:val="003B0DC1"/>
    <w:rsid w:val="003B14AD"/>
    <w:rsid w:val="003B1AC9"/>
    <w:rsid w:val="003B22DA"/>
    <w:rsid w:val="003B278F"/>
    <w:rsid w:val="003B2E3C"/>
    <w:rsid w:val="003B30F7"/>
    <w:rsid w:val="003B424E"/>
    <w:rsid w:val="003B7111"/>
    <w:rsid w:val="003B73B9"/>
    <w:rsid w:val="003B7B3C"/>
    <w:rsid w:val="003C0226"/>
    <w:rsid w:val="003C10D8"/>
    <w:rsid w:val="003C13AA"/>
    <w:rsid w:val="003C1C3F"/>
    <w:rsid w:val="003C2E6F"/>
    <w:rsid w:val="003C49FD"/>
    <w:rsid w:val="003C5C04"/>
    <w:rsid w:val="003C6195"/>
    <w:rsid w:val="003C7125"/>
    <w:rsid w:val="003C7735"/>
    <w:rsid w:val="003C7812"/>
    <w:rsid w:val="003C7B91"/>
    <w:rsid w:val="003C7BF6"/>
    <w:rsid w:val="003D071F"/>
    <w:rsid w:val="003D12B8"/>
    <w:rsid w:val="003D1AC6"/>
    <w:rsid w:val="003D3F71"/>
    <w:rsid w:val="003D5A02"/>
    <w:rsid w:val="003D667D"/>
    <w:rsid w:val="003E2A83"/>
    <w:rsid w:val="003E3FB0"/>
    <w:rsid w:val="003E4158"/>
    <w:rsid w:val="003E4579"/>
    <w:rsid w:val="003E4B26"/>
    <w:rsid w:val="003E4CA7"/>
    <w:rsid w:val="003E4D20"/>
    <w:rsid w:val="003E5421"/>
    <w:rsid w:val="003E6411"/>
    <w:rsid w:val="003E687E"/>
    <w:rsid w:val="003E6FAF"/>
    <w:rsid w:val="003E729A"/>
    <w:rsid w:val="003E7A1E"/>
    <w:rsid w:val="003F0E27"/>
    <w:rsid w:val="003F103C"/>
    <w:rsid w:val="003F33A9"/>
    <w:rsid w:val="003F511E"/>
    <w:rsid w:val="003F5445"/>
    <w:rsid w:val="003F5ADB"/>
    <w:rsid w:val="003F67B4"/>
    <w:rsid w:val="003F7625"/>
    <w:rsid w:val="003F7ECE"/>
    <w:rsid w:val="004007AE"/>
    <w:rsid w:val="00402BFC"/>
    <w:rsid w:val="00402C86"/>
    <w:rsid w:val="0040726C"/>
    <w:rsid w:val="00407FA9"/>
    <w:rsid w:val="004100DE"/>
    <w:rsid w:val="00413034"/>
    <w:rsid w:val="00413A5E"/>
    <w:rsid w:val="00413BC6"/>
    <w:rsid w:val="0041549A"/>
    <w:rsid w:val="00417092"/>
    <w:rsid w:val="00420025"/>
    <w:rsid w:val="0042065A"/>
    <w:rsid w:val="004215C2"/>
    <w:rsid w:val="004215F4"/>
    <w:rsid w:val="00421CF4"/>
    <w:rsid w:val="00422E2B"/>
    <w:rsid w:val="00424D0F"/>
    <w:rsid w:val="004250D4"/>
    <w:rsid w:val="004251C0"/>
    <w:rsid w:val="00430E6A"/>
    <w:rsid w:val="00432253"/>
    <w:rsid w:val="0043295D"/>
    <w:rsid w:val="00432EE7"/>
    <w:rsid w:val="004331D1"/>
    <w:rsid w:val="00434F32"/>
    <w:rsid w:val="004352A9"/>
    <w:rsid w:val="004366AB"/>
    <w:rsid w:val="00440C3A"/>
    <w:rsid w:val="00441AB1"/>
    <w:rsid w:val="0044358A"/>
    <w:rsid w:val="00443704"/>
    <w:rsid w:val="00444B57"/>
    <w:rsid w:val="004457BA"/>
    <w:rsid w:val="00445BE7"/>
    <w:rsid w:val="0045094F"/>
    <w:rsid w:val="004518AF"/>
    <w:rsid w:val="00451E55"/>
    <w:rsid w:val="004522C6"/>
    <w:rsid w:val="004563F3"/>
    <w:rsid w:val="00457351"/>
    <w:rsid w:val="0046184A"/>
    <w:rsid w:val="0046292F"/>
    <w:rsid w:val="0046328F"/>
    <w:rsid w:val="0046391D"/>
    <w:rsid w:val="00463F4F"/>
    <w:rsid w:val="00466DA8"/>
    <w:rsid w:val="00466FB5"/>
    <w:rsid w:val="0046794F"/>
    <w:rsid w:val="00470C39"/>
    <w:rsid w:val="00471513"/>
    <w:rsid w:val="0047354A"/>
    <w:rsid w:val="004737B6"/>
    <w:rsid w:val="004741F3"/>
    <w:rsid w:val="00474A3F"/>
    <w:rsid w:val="00475685"/>
    <w:rsid w:val="00475FC4"/>
    <w:rsid w:val="0047733C"/>
    <w:rsid w:val="004774CE"/>
    <w:rsid w:val="0048009F"/>
    <w:rsid w:val="00480FC0"/>
    <w:rsid w:val="00481B09"/>
    <w:rsid w:val="004823C1"/>
    <w:rsid w:val="0048247F"/>
    <w:rsid w:val="00484446"/>
    <w:rsid w:val="004851AE"/>
    <w:rsid w:val="0049145D"/>
    <w:rsid w:val="0049185B"/>
    <w:rsid w:val="004945C3"/>
    <w:rsid w:val="00494E40"/>
    <w:rsid w:val="00495F41"/>
    <w:rsid w:val="0049661F"/>
    <w:rsid w:val="004968BD"/>
    <w:rsid w:val="00497535"/>
    <w:rsid w:val="004A076B"/>
    <w:rsid w:val="004A086F"/>
    <w:rsid w:val="004A0E45"/>
    <w:rsid w:val="004A0FB6"/>
    <w:rsid w:val="004A15C2"/>
    <w:rsid w:val="004A2A7D"/>
    <w:rsid w:val="004A4C79"/>
    <w:rsid w:val="004A5493"/>
    <w:rsid w:val="004B0963"/>
    <w:rsid w:val="004B24D6"/>
    <w:rsid w:val="004B3941"/>
    <w:rsid w:val="004B40C2"/>
    <w:rsid w:val="004B5284"/>
    <w:rsid w:val="004B55BA"/>
    <w:rsid w:val="004B58FC"/>
    <w:rsid w:val="004B6180"/>
    <w:rsid w:val="004B6590"/>
    <w:rsid w:val="004B7680"/>
    <w:rsid w:val="004C07E0"/>
    <w:rsid w:val="004C0DBB"/>
    <w:rsid w:val="004C0F77"/>
    <w:rsid w:val="004C1FD8"/>
    <w:rsid w:val="004C3A54"/>
    <w:rsid w:val="004C3F71"/>
    <w:rsid w:val="004C4EA8"/>
    <w:rsid w:val="004D03DD"/>
    <w:rsid w:val="004D156E"/>
    <w:rsid w:val="004D1B00"/>
    <w:rsid w:val="004D2618"/>
    <w:rsid w:val="004D2A04"/>
    <w:rsid w:val="004D2E6D"/>
    <w:rsid w:val="004D567C"/>
    <w:rsid w:val="004E0580"/>
    <w:rsid w:val="004E07DD"/>
    <w:rsid w:val="004E0DB4"/>
    <w:rsid w:val="004E135F"/>
    <w:rsid w:val="004E161D"/>
    <w:rsid w:val="004E1D28"/>
    <w:rsid w:val="004E29EF"/>
    <w:rsid w:val="004E5573"/>
    <w:rsid w:val="004E7578"/>
    <w:rsid w:val="004F0BAB"/>
    <w:rsid w:val="004F162F"/>
    <w:rsid w:val="004F2038"/>
    <w:rsid w:val="004F3C13"/>
    <w:rsid w:val="004F3D89"/>
    <w:rsid w:val="004F55CA"/>
    <w:rsid w:val="004F6493"/>
    <w:rsid w:val="004F6C79"/>
    <w:rsid w:val="004F7449"/>
    <w:rsid w:val="0050067A"/>
    <w:rsid w:val="00500937"/>
    <w:rsid w:val="0050140D"/>
    <w:rsid w:val="00501E5D"/>
    <w:rsid w:val="005034A9"/>
    <w:rsid w:val="00503707"/>
    <w:rsid w:val="00503813"/>
    <w:rsid w:val="00503A96"/>
    <w:rsid w:val="00503DB6"/>
    <w:rsid w:val="00503EFD"/>
    <w:rsid w:val="00504998"/>
    <w:rsid w:val="0050502C"/>
    <w:rsid w:val="005050EA"/>
    <w:rsid w:val="0050680D"/>
    <w:rsid w:val="00506E02"/>
    <w:rsid w:val="00507776"/>
    <w:rsid w:val="005079EF"/>
    <w:rsid w:val="00507E9E"/>
    <w:rsid w:val="00510E73"/>
    <w:rsid w:val="005111BA"/>
    <w:rsid w:val="005115D7"/>
    <w:rsid w:val="005119C4"/>
    <w:rsid w:val="00512A0A"/>
    <w:rsid w:val="00512FE2"/>
    <w:rsid w:val="0051302A"/>
    <w:rsid w:val="00513622"/>
    <w:rsid w:val="00513654"/>
    <w:rsid w:val="00515CA8"/>
    <w:rsid w:val="005161C3"/>
    <w:rsid w:val="0051787C"/>
    <w:rsid w:val="00523371"/>
    <w:rsid w:val="005246C9"/>
    <w:rsid w:val="00525680"/>
    <w:rsid w:val="00525F4A"/>
    <w:rsid w:val="0052696D"/>
    <w:rsid w:val="00527194"/>
    <w:rsid w:val="00527441"/>
    <w:rsid w:val="0052793A"/>
    <w:rsid w:val="00527B06"/>
    <w:rsid w:val="0053041A"/>
    <w:rsid w:val="005317E4"/>
    <w:rsid w:val="00533870"/>
    <w:rsid w:val="00533E53"/>
    <w:rsid w:val="00534295"/>
    <w:rsid w:val="00537E0F"/>
    <w:rsid w:val="00541040"/>
    <w:rsid w:val="005420EE"/>
    <w:rsid w:val="00542B4A"/>
    <w:rsid w:val="00542E1C"/>
    <w:rsid w:val="00543BE3"/>
    <w:rsid w:val="00545A41"/>
    <w:rsid w:val="0054676B"/>
    <w:rsid w:val="00546B51"/>
    <w:rsid w:val="00550836"/>
    <w:rsid w:val="00550E77"/>
    <w:rsid w:val="00551320"/>
    <w:rsid w:val="00551CBD"/>
    <w:rsid w:val="00552077"/>
    <w:rsid w:val="00552183"/>
    <w:rsid w:val="00552457"/>
    <w:rsid w:val="00552A1C"/>
    <w:rsid w:val="00552E05"/>
    <w:rsid w:val="005535B3"/>
    <w:rsid w:val="00553888"/>
    <w:rsid w:val="0055499B"/>
    <w:rsid w:val="00556DF7"/>
    <w:rsid w:val="005606CF"/>
    <w:rsid w:val="00561045"/>
    <w:rsid w:val="005620EA"/>
    <w:rsid w:val="00562D0E"/>
    <w:rsid w:val="00562FA8"/>
    <w:rsid w:val="00564B02"/>
    <w:rsid w:val="00565267"/>
    <w:rsid w:val="00566038"/>
    <w:rsid w:val="00566518"/>
    <w:rsid w:val="00566D33"/>
    <w:rsid w:val="00566E65"/>
    <w:rsid w:val="00567CB2"/>
    <w:rsid w:val="00570AEE"/>
    <w:rsid w:val="00570B76"/>
    <w:rsid w:val="00572700"/>
    <w:rsid w:val="0057272B"/>
    <w:rsid w:val="00573AF4"/>
    <w:rsid w:val="00574244"/>
    <w:rsid w:val="00575376"/>
    <w:rsid w:val="00576123"/>
    <w:rsid w:val="00576A8E"/>
    <w:rsid w:val="00576AAA"/>
    <w:rsid w:val="00576F96"/>
    <w:rsid w:val="005779FB"/>
    <w:rsid w:val="00577A9C"/>
    <w:rsid w:val="005807FF"/>
    <w:rsid w:val="0058083C"/>
    <w:rsid w:val="0058164F"/>
    <w:rsid w:val="0058336A"/>
    <w:rsid w:val="00583440"/>
    <w:rsid w:val="00583B7A"/>
    <w:rsid w:val="00585D82"/>
    <w:rsid w:val="00587354"/>
    <w:rsid w:val="00590056"/>
    <w:rsid w:val="005902B3"/>
    <w:rsid w:val="00590689"/>
    <w:rsid w:val="00590812"/>
    <w:rsid w:val="00590ACA"/>
    <w:rsid w:val="00592DA4"/>
    <w:rsid w:val="00592EEB"/>
    <w:rsid w:val="00593ABD"/>
    <w:rsid w:val="00593B3F"/>
    <w:rsid w:val="00595EFB"/>
    <w:rsid w:val="005A0DBE"/>
    <w:rsid w:val="005A327A"/>
    <w:rsid w:val="005A3811"/>
    <w:rsid w:val="005A38B9"/>
    <w:rsid w:val="005A3CA5"/>
    <w:rsid w:val="005A4059"/>
    <w:rsid w:val="005A6945"/>
    <w:rsid w:val="005A6C17"/>
    <w:rsid w:val="005A715C"/>
    <w:rsid w:val="005A71F2"/>
    <w:rsid w:val="005A75A6"/>
    <w:rsid w:val="005B01EC"/>
    <w:rsid w:val="005B0EE5"/>
    <w:rsid w:val="005B19F8"/>
    <w:rsid w:val="005B1FD7"/>
    <w:rsid w:val="005B22D5"/>
    <w:rsid w:val="005B2F71"/>
    <w:rsid w:val="005B383E"/>
    <w:rsid w:val="005B4682"/>
    <w:rsid w:val="005B5158"/>
    <w:rsid w:val="005B709A"/>
    <w:rsid w:val="005B7F2F"/>
    <w:rsid w:val="005C015C"/>
    <w:rsid w:val="005C1F18"/>
    <w:rsid w:val="005C2E05"/>
    <w:rsid w:val="005C30FA"/>
    <w:rsid w:val="005C3FF4"/>
    <w:rsid w:val="005C49E0"/>
    <w:rsid w:val="005C4AE6"/>
    <w:rsid w:val="005C5893"/>
    <w:rsid w:val="005C5CF9"/>
    <w:rsid w:val="005C6425"/>
    <w:rsid w:val="005C6C70"/>
    <w:rsid w:val="005D0EAA"/>
    <w:rsid w:val="005D20B2"/>
    <w:rsid w:val="005D2101"/>
    <w:rsid w:val="005D2BE8"/>
    <w:rsid w:val="005D302F"/>
    <w:rsid w:val="005D494A"/>
    <w:rsid w:val="005D4BD8"/>
    <w:rsid w:val="005D6FCC"/>
    <w:rsid w:val="005E18CA"/>
    <w:rsid w:val="005E1A50"/>
    <w:rsid w:val="005E1B87"/>
    <w:rsid w:val="005E1BF1"/>
    <w:rsid w:val="005E2570"/>
    <w:rsid w:val="005E2931"/>
    <w:rsid w:val="005E3911"/>
    <w:rsid w:val="005E3F6B"/>
    <w:rsid w:val="005E3FFB"/>
    <w:rsid w:val="005E40B7"/>
    <w:rsid w:val="005E46D1"/>
    <w:rsid w:val="005E583D"/>
    <w:rsid w:val="005E5BAA"/>
    <w:rsid w:val="005E6B95"/>
    <w:rsid w:val="005E6DCF"/>
    <w:rsid w:val="005F060A"/>
    <w:rsid w:val="005F0790"/>
    <w:rsid w:val="005F1067"/>
    <w:rsid w:val="005F1F80"/>
    <w:rsid w:val="005F67A2"/>
    <w:rsid w:val="00600384"/>
    <w:rsid w:val="0060103C"/>
    <w:rsid w:val="006012E5"/>
    <w:rsid w:val="0060155A"/>
    <w:rsid w:val="006015E7"/>
    <w:rsid w:val="0060195D"/>
    <w:rsid w:val="00601F81"/>
    <w:rsid w:val="006025B0"/>
    <w:rsid w:val="00603039"/>
    <w:rsid w:val="00603532"/>
    <w:rsid w:val="006044FF"/>
    <w:rsid w:val="00604539"/>
    <w:rsid w:val="006052CB"/>
    <w:rsid w:val="00606ABB"/>
    <w:rsid w:val="00607634"/>
    <w:rsid w:val="0061034A"/>
    <w:rsid w:val="00610ADF"/>
    <w:rsid w:val="00612EF8"/>
    <w:rsid w:val="00612F3B"/>
    <w:rsid w:val="006130BA"/>
    <w:rsid w:val="00613B19"/>
    <w:rsid w:val="00615276"/>
    <w:rsid w:val="00615F47"/>
    <w:rsid w:val="00617940"/>
    <w:rsid w:val="00620732"/>
    <w:rsid w:val="00621AB9"/>
    <w:rsid w:val="00622157"/>
    <w:rsid w:val="00623302"/>
    <w:rsid w:val="006240B7"/>
    <w:rsid w:val="00624111"/>
    <w:rsid w:val="0062554C"/>
    <w:rsid w:val="00626E8F"/>
    <w:rsid w:val="00627543"/>
    <w:rsid w:val="0062783E"/>
    <w:rsid w:val="00627CC4"/>
    <w:rsid w:val="00631885"/>
    <w:rsid w:val="0063360E"/>
    <w:rsid w:val="00633C34"/>
    <w:rsid w:val="00634A47"/>
    <w:rsid w:val="00636135"/>
    <w:rsid w:val="00636E7A"/>
    <w:rsid w:val="006375F9"/>
    <w:rsid w:val="00637CB1"/>
    <w:rsid w:val="00640061"/>
    <w:rsid w:val="00644701"/>
    <w:rsid w:val="0064490C"/>
    <w:rsid w:val="00645128"/>
    <w:rsid w:val="0064628C"/>
    <w:rsid w:val="006466C0"/>
    <w:rsid w:val="00647003"/>
    <w:rsid w:val="006470B8"/>
    <w:rsid w:val="00650773"/>
    <w:rsid w:val="0065200A"/>
    <w:rsid w:val="00652CC9"/>
    <w:rsid w:val="006538BF"/>
    <w:rsid w:val="0065453B"/>
    <w:rsid w:val="00655183"/>
    <w:rsid w:val="006552E9"/>
    <w:rsid w:val="00655B79"/>
    <w:rsid w:val="00657238"/>
    <w:rsid w:val="00657812"/>
    <w:rsid w:val="006600B2"/>
    <w:rsid w:val="006604A4"/>
    <w:rsid w:val="006612CA"/>
    <w:rsid w:val="00662A47"/>
    <w:rsid w:val="00663B48"/>
    <w:rsid w:val="00665098"/>
    <w:rsid w:val="00665984"/>
    <w:rsid w:val="00665A1A"/>
    <w:rsid w:val="00665AD5"/>
    <w:rsid w:val="00670C1B"/>
    <w:rsid w:val="00671357"/>
    <w:rsid w:val="006715D2"/>
    <w:rsid w:val="00672F2C"/>
    <w:rsid w:val="00673214"/>
    <w:rsid w:val="00674D4B"/>
    <w:rsid w:val="00677DBD"/>
    <w:rsid w:val="0068024B"/>
    <w:rsid w:val="00680532"/>
    <w:rsid w:val="006817B5"/>
    <w:rsid w:val="00682C4B"/>
    <w:rsid w:val="006834BE"/>
    <w:rsid w:val="006836F5"/>
    <w:rsid w:val="00684950"/>
    <w:rsid w:val="00685037"/>
    <w:rsid w:val="00685078"/>
    <w:rsid w:val="00686B89"/>
    <w:rsid w:val="00686E87"/>
    <w:rsid w:val="00686FCD"/>
    <w:rsid w:val="00692820"/>
    <w:rsid w:val="00692DA9"/>
    <w:rsid w:val="00694C56"/>
    <w:rsid w:val="00697B33"/>
    <w:rsid w:val="006A160D"/>
    <w:rsid w:val="006A18EA"/>
    <w:rsid w:val="006A1C6B"/>
    <w:rsid w:val="006A29F4"/>
    <w:rsid w:val="006A2BE1"/>
    <w:rsid w:val="006A4643"/>
    <w:rsid w:val="006A4C64"/>
    <w:rsid w:val="006A6871"/>
    <w:rsid w:val="006A6D20"/>
    <w:rsid w:val="006A7CB5"/>
    <w:rsid w:val="006A7CE9"/>
    <w:rsid w:val="006A7F90"/>
    <w:rsid w:val="006B0273"/>
    <w:rsid w:val="006B08AB"/>
    <w:rsid w:val="006B1BBF"/>
    <w:rsid w:val="006B217F"/>
    <w:rsid w:val="006B25C8"/>
    <w:rsid w:val="006B42D6"/>
    <w:rsid w:val="006B47DA"/>
    <w:rsid w:val="006B5962"/>
    <w:rsid w:val="006B665F"/>
    <w:rsid w:val="006B6E28"/>
    <w:rsid w:val="006B7258"/>
    <w:rsid w:val="006B7468"/>
    <w:rsid w:val="006B7988"/>
    <w:rsid w:val="006C2955"/>
    <w:rsid w:val="006C2AB1"/>
    <w:rsid w:val="006C3726"/>
    <w:rsid w:val="006C49E1"/>
    <w:rsid w:val="006C5997"/>
    <w:rsid w:val="006C65F8"/>
    <w:rsid w:val="006C70CC"/>
    <w:rsid w:val="006D06A1"/>
    <w:rsid w:val="006D1F19"/>
    <w:rsid w:val="006D24BD"/>
    <w:rsid w:val="006D2C6E"/>
    <w:rsid w:val="006D3C2E"/>
    <w:rsid w:val="006D418A"/>
    <w:rsid w:val="006D493B"/>
    <w:rsid w:val="006D621A"/>
    <w:rsid w:val="006E0143"/>
    <w:rsid w:val="006E17AC"/>
    <w:rsid w:val="006E3259"/>
    <w:rsid w:val="006E3538"/>
    <w:rsid w:val="006E36DC"/>
    <w:rsid w:val="006E4998"/>
    <w:rsid w:val="006E512F"/>
    <w:rsid w:val="006E576E"/>
    <w:rsid w:val="006E5BF9"/>
    <w:rsid w:val="006E6489"/>
    <w:rsid w:val="006E672F"/>
    <w:rsid w:val="006E6927"/>
    <w:rsid w:val="006E6FAC"/>
    <w:rsid w:val="006E7874"/>
    <w:rsid w:val="006E7A4D"/>
    <w:rsid w:val="006E7D8D"/>
    <w:rsid w:val="006F2385"/>
    <w:rsid w:val="006F3D39"/>
    <w:rsid w:val="006F3E92"/>
    <w:rsid w:val="006F491B"/>
    <w:rsid w:val="006F5533"/>
    <w:rsid w:val="006F58A4"/>
    <w:rsid w:val="006F5FBF"/>
    <w:rsid w:val="006F6C24"/>
    <w:rsid w:val="006F70D7"/>
    <w:rsid w:val="006F7594"/>
    <w:rsid w:val="00700560"/>
    <w:rsid w:val="00700AA4"/>
    <w:rsid w:val="00702978"/>
    <w:rsid w:val="007029D0"/>
    <w:rsid w:val="0070360B"/>
    <w:rsid w:val="007049EE"/>
    <w:rsid w:val="00705A2D"/>
    <w:rsid w:val="00705C13"/>
    <w:rsid w:val="007073CF"/>
    <w:rsid w:val="00707813"/>
    <w:rsid w:val="00707B67"/>
    <w:rsid w:val="00710271"/>
    <w:rsid w:val="00710CE5"/>
    <w:rsid w:val="00710D5E"/>
    <w:rsid w:val="007146A7"/>
    <w:rsid w:val="007155B0"/>
    <w:rsid w:val="0071595A"/>
    <w:rsid w:val="00716146"/>
    <w:rsid w:val="0071614D"/>
    <w:rsid w:val="00717C66"/>
    <w:rsid w:val="00720231"/>
    <w:rsid w:val="007203FE"/>
    <w:rsid w:val="00721D3E"/>
    <w:rsid w:val="00722BAC"/>
    <w:rsid w:val="00723B0D"/>
    <w:rsid w:val="00723EB9"/>
    <w:rsid w:val="00724420"/>
    <w:rsid w:val="00724F05"/>
    <w:rsid w:val="007371C3"/>
    <w:rsid w:val="00737380"/>
    <w:rsid w:val="007379C9"/>
    <w:rsid w:val="007400F3"/>
    <w:rsid w:val="007403CD"/>
    <w:rsid w:val="0074041E"/>
    <w:rsid w:val="00740990"/>
    <w:rsid w:val="00740E0F"/>
    <w:rsid w:val="00741A2B"/>
    <w:rsid w:val="0074264B"/>
    <w:rsid w:val="00742655"/>
    <w:rsid w:val="00743323"/>
    <w:rsid w:val="007453D0"/>
    <w:rsid w:val="00745798"/>
    <w:rsid w:val="00746E04"/>
    <w:rsid w:val="00747F36"/>
    <w:rsid w:val="00752D6C"/>
    <w:rsid w:val="00753B1A"/>
    <w:rsid w:val="00754DDD"/>
    <w:rsid w:val="00755ADB"/>
    <w:rsid w:val="00755C43"/>
    <w:rsid w:val="00756737"/>
    <w:rsid w:val="00756E67"/>
    <w:rsid w:val="007607B5"/>
    <w:rsid w:val="00760A6A"/>
    <w:rsid w:val="007622F6"/>
    <w:rsid w:val="00762E51"/>
    <w:rsid w:val="00763794"/>
    <w:rsid w:val="007648D9"/>
    <w:rsid w:val="00765171"/>
    <w:rsid w:val="00765A08"/>
    <w:rsid w:val="0076690D"/>
    <w:rsid w:val="00770203"/>
    <w:rsid w:val="0077057E"/>
    <w:rsid w:val="00770823"/>
    <w:rsid w:val="00770DB1"/>
    <w:rsid w:val="00771C2E"/>
    <w:rsid w:val="00772043"/>
    <w:rsid w:val="007745B4"/>
    <w:rsid w:val="007748A1"/>
    <w:rsid w:val="00777677"/>
    <w:rsid w:val="00780303"/>
    <w:rsid w:val="00780764"/>
    <w:rsid w:val="007807AF"/>
    <w:rsid w:val="00780A39"/>
    <w:rsid w:val="00781DB0"/>
    <w:rsid w:val="00781E41"/>
    <w:rsid w:val="00785CA6"/>
    <w:rsid w:val="00786B8E"/>
    <w:rsid w:val="00786C2C"/>
    <w:rsid w:val="00786CF6"/>
    <w:rsid w:val="00790AEB"/>
    <w:rsid w:val="00790DFC"/>
    <w:rsid w:val="00792CEA"/>
    <w:rsid w:val="007933F6"/>
    <w:rsid w:val="0079391F"/>
    <w:rsid w:val="00793970"/>
    <w:rsid w:val="007940CE"/>
    <w:rsid w:val="007946C0"/>
    <w:rsid w:val="00794D3B"/>
    <w:rsid w:val="0079547A"/>
    <w:rsid w:val="00795DDA"/>
    <w:rsid w:val="00796861"/>
    <w:rsid w:val="007A005A"/>
    <w:rsid w:val="007A0FE8"/>
    <w:rsid w:val="007A1132"/>
    <w:rsid w:val="007A4ED6"/>
    <w:rsid w:val="007A78B0"/>
    <w:rsid w:val="007B07B2"/>
    <w:rsid w:val="007B0EA6"/>
    <w:rsid w:val="007B1369"/>
    <w:rsid w:val="007B1BE8"/>
    <w:rsid w:val="007B1E36"/>
    <w:rsid w:val="007B2580"/>
    <w:rsid w:val="007B28FB"/>
    <w:rsid w:val="007B47EE"/>
    <w:rsid w:val="007B4D0D"/>
    <w:rsid w:val="007B7943"/>
    <w:rsid w:val="007B7FBE"/>
    <w:rsid w:val="007C0300"/>
    <w:rsid w:val="007C33DA"/>
    <w:rsid w:val="007C3455"/>
    <w:rsid w:val="007C3A7A"/>
    <w:rsid w:val="007C506B"/>
    <w:rsid w:val="007C5625"/>
    <w:rsid w:val="007C77AC"/>
    <w:rsid w:val="007D0E03"/>
    <w:rsid w:val="007D23BD"/>
    <w:rsid w:val="007D314A"/>
    <w:rsid w:val="007D31F7"/>
    <w:rsid w:val="007D3A27"/>
    <w:rsid w:val="007D5E3D"/>
    <w:rsid w:val="007D698C"/>
    <w:rsid w:val="007D6E57"/>
    <w:rsid w:val="007D792F"/>
    <w:rsid w:val="007E0A8C"/>
    <w:rsid w:val="007E17D8"/>
    <w:rsid w:val="007E2DBA"/>
    <w:rsid w:val="007E3A07"/>
    <w:rsid w:val="007E4006"/>
    <w:rsid w:val="007E51BB"/>
    <w:rsid w:val="007E5836"/>
    <w:rsid w:val="007E6C63"/>
    <w:rsid w:val="007E6D49"/>
    <w:rsid w:val="007E7DCA"/>
    <w:rsid w:val="007E7F91"/>
    <w:rsid w:val="007F0F3F"/>
    <w:rsid w:val="007F13DC"/>
    <w:rsid w:val="007F17AC"/>
    <w:rsid w:val="007F1C70"/>
    <w:rsid w:val="007F2970"/>
    <w:rsid w:val="007F2FA6"/>
    <w:rsid w:val="007F3752"/>
    <w:rsid w:val="007F43CA"/>
    <w:rsid w:val="007F43D6"/>
    <w:rsid w:val="007F4825"/>
    <w:rsid w:val="007F6A12"/>
    <w:rsid w:val="0080169E"/>
    <w:rsid w:val="008042F3"/>
    <w:rsid w:val="00804F80"/>
    <w:rsid w:val="00806F30"/>
    <w:rsid w:val="008070E6"/>
    <w:rsid w:val="0080714C"/>
    <w:rsid w:val="008074CE"/>
    <w:rsid w:val="0081163B"/>
    <w:rsid w:val="008116D0"/>
    <w:rsid w:val="00812862"/>
    <w:rsid w:val="00812E34"/>
    <w:rsid w:val="0081521C"/>
    <w:rsid w:val="008156E7"/>
    <w:rsid w:val="00815F40"/>
    <w:rsid w:val="00820984"/>
    <w:rsid w:val="00822359"/>
    <w:rsid w:val="008236B8"/>
    <w:rsid w:val="008240E3"/>
    <w:rsid w:val="008248A0"/>
    <w:rsid w:val="00825628"/>
    <w:rsid w:val="00825E7C"/>
    <w:rsid w:val="008260A8"/>
    <w:rsid w:val="00826CA0"/>
    <w:rsid w:val="00827AB0"/>
    <w:rsid w:val="00830B7B"/>
    <w:rsid w:val="00835394"/>
    <w:rsid w:val="008364A9"/>
    <w:rsid w:val="008364D0"/>
    <w:rsid w:val="00840094"/>
    <w:rsid w:val="00840C0C"/>
    <w:rsid w:val="00842646"/>
    <w:rsid w:val="0084369E"/>
    <w:rsid w:val="00843917"/>
    <w:rsid w:val="00845D84"/>
    <w:rsid w:val="00845D9C"/>
    <w:rsid w:val="00846654"/>
    <w:rsid w:val="0084710A"/>
    <w:rsid w:val="008504E8"/>
    <w:rsid w:val="00851618"/>
    <w:rsid w:val="008534EF"/>
    <w:rsid w:val="008562A6"/>
    <w:rsid w:val="00856515"/>
    <w:rsid w:val="00862FCF"/>
    <w:rsid w:val="0086449B"/>
    <w:rsid w:val="00865C9E"/>
    <w:rsid w:val="008660F1"/>
    <w:rsid w:val="00867960"/>
    <w:rsid w:val="0087040D"/>
    <w:rsid w:val="00871FAD"/>
    <w:rsid w:val="0087279E"/>
    <w:rsid w:val="008757C9"/>
    <w:rsid w:val="00881032"/>
    <w:rsid w:val="00885BD7"/>
    <w:rsid w:val="00886271"/>
    <w:rsid w:val="0088799C"/>
    <w:rsid w:val="00887AEC"/>
    <w:rsid w:val="00890558"/>
    <w:rsid w:val="00891C79"/>
    <w:rsid w:val="0089219C"/>
    <w:rsid w:val="008931C3"/>
    <w:rsid w:val="00895BE2"/>
    <w:rsid w:val="0089711B"/>
    <w:rsid w:val="00897524"/>
    <w:rsid w:val="008A06A2"/>
    <w:rsid w:val="008A0725"/>
    <w:rsid w:val="008A2EEF"/>
    <w:rsid w:val="008A3ABE"/>
    <w:rsid w:val="008A4181"/>
    <w:rsid w:val="008A5DE1"/>
    <w:rsid w:val="008A68FD"/>
    <w:rsid w:val="008A6CC9"/>
    <w:rsid w:val="008B11E2"/>
    <w:rsid w:val="008B2654"/>
    <w:rsid w:val="008B3402"/>
    <w:rsid w:val="008B36B3"/>
    <w:rsid w:val="008B4689"/>
    <w:rsid w:val="008B48A6"/>
    <w:rsid w:val="008B4ADF"/>
    <w:rsid w:val="008B6785"/>
    <w:rsid w:val="008B7672"/>
    <w:rsid w:val="008B7680"/>
    <w:rsid w:val="008C0DDA"/>
    <w:rsid w:val="008C19D9"/>
    <w:rsid w:val="008C1EA9"/>
    <w:rsid w:val="008C37B5"/>
    <w:rsid w:val="008C423C"/>
    <w:rsid w:val="008C46CC"/>
    <w:rsid w:val="008C4FC1"/>
    <w:rsid w:val="008C59EB"/>
    <w:rsid w:val="008C6959"/>
    <w:rsid w:val="008C7E74"/>
    <w:rsid w:val="008D19B5"/>
    <w:rsid w:val="008D1DFD"/>
    <w:rsid w:val="008D2166"/>
    <w:rsid w:val="008D21A4"/>
    <w:rsid w:val="008D26F6"/>
    <w:rsid w:val="008D2719"/>
    <w:rsid w:val="008D295D"/>
    <w:rsid w:val="008D313F"/>
    <w:rsid w:val="008D40FF"/>
    <w:rsid w:val="008D4697"/>
    <w:rsid w:val="008D5465"/>
    <w:rsid w:val="008D6B9D"/>
    <w:rsid w:val="008D7F35"/>
    <w:rsid w:val="008E0448"/>
    <w:rsid w:val="008E14BB"/>
    <w:rsid w:val="008E1F1E"/>
    <w:rsid w:val="008E2B29"/>
    <w:rsid w:val="008E3577"/>
    <w:rsid w:val="008E3FE7"/>
    <w:rsid w:val="008E582F"/>
    <w:rsid w:val="008E60E7"/>
    <w:rsid w:val="008E6DC5"/>
    <w:rsid w:val="008E7C2D"/>
    <w:rsid w:val="008F23B7"/>
    <w:rsid w:val="008F2FAA"/>
    <w:rsid w:val="008F37D5"/>
    <w:rsid w:val="008F408B"/>
    <w:rsid w:val="008F42EF"/>
    <w:rsid w:val="008F442B"/>
    <w:rsid w:val="008F5788"/>
    <w:rsid w:val="008F5927"/>
    <w:rsid w:val="008F6CEF"/>
    <w:rsid w:val="008F7282"/>
    <w:rsid w:val="0090098B"/>
    <w:rsid w:val="009012FD"/>
    <w:rsid w:val="009024CF"/>
    <w:rsid w:val="009030F8"/>
    <w:rsid w:val="009052E8"/>
    <w:rsid w:val="00906703"/>
    <w:rsid w:val="00906C10"/>
    <w:rsid w:val="0090728F"/>
    <w:rsid w:val="009073E2"/>
    <w:rsid w:val="009105E9"/>
    <w:rsid w:val="00911E99"/>
    <w:rsid w:val="00912FED"/>
    <w:rsid w:val="00913756"/>
    <w:rsid w:val="009144B1"/>
    <w:rsid w:val="00914A16"/>
    <w:rsid w:val="00914A83"/>
    <w:rsid w:val="00914AC7"/>
    <w:rsid w:val="00920034"/>
    <w:rsid w:val="00921977"/>
    <w:rsid w:val="009219B4"/>
    <w:rsid w:val="00922372"/>
    <w:rsid w:val="009227AB"/>
    <w:rsid w:val="00924066"/>
    <w:rsid w:val="0092601B"/>
    <w:rsid w:val="00926865"/>
    <w:rsid w:val="0092757B"/>
    <w:rsid w:val="0093015C"/>
    <w:rsid w:val="0093162D"/>
    <w:rsid w:val="00931A5E"/>
    <w:rsid w:val="00932D95"/>
    <w:rsid w:val="0093737D"/>
    <w:rsid w:val="00940164"/>
    <w:rsid w:val="009415F9"/>
    <w:rsid w:val="009423D5"/>
    <w:rsid w:val="0094248D"/>
    <w:rsid w:val="00942B8B"/>
    <w:rsid w:val="00944593"/>
    <w:rsid w:val="00944F22"/>
    <w:rsid w:val="009502D4"/>
    <w:rsid w:val="00950863"/>
    <w:rsid w:val="0095187F"/>
    <w:rsid w:val="0095244D"/>
    <w:rsid w:val="00953AF0"/>
    <w:rsid w:val="00953FFE"/>
    <w:rsid w:val="0095468D"/>
    <w:rsid w:val="00954E2A"/>
    <w:rsid w:val="00954E42"/>
    <w:rsid w:val="00955CFE"/>
    <w:rsid w:val="00956B0E"/>
    <w:rsid w:val="00957405"/>
    <w:rsid w:val="00960775"/>
    <w:rsid w:val="00960857"/>
    <w:rsid w:val="00961C01"/>
    <w:rsid w:val="0096200B"/>
    <w:rsid w:val="0096220C"/>
    <w:rsid w:val="00962CD9"/>
    <w:rsid w:val="00962D10"/>
    <w:rsid w:val="00964F35"/>
    <w:rsid w:val="00965077"/>
    <w:rsid w:val="009650C0"/>
    <w:rsid w:val="00965E6F"/>
    <w:rsid w:val="00966457"/>
    <w:rsid w:val="00966D78"/>
    <w:rsid w:val="00967766"/>
    <w:rsid w:val="009705CF"/>
    <w:rsid w:val="00970C7B"/>
    <w:rsid w:val="009712A6"/>
    <w:rsid w:val="009724B0"/>
    <w:rsid w:val="0097319B"/>
    <w:rsid w:val="009755D3"/>
    <w:rsid w:val="009757E5"/>
    <w:rsid w:val="00975E18"/>
    <w:rsid w:val="00975EE1"/>
    <w:rsid w:val="009829A1"/>
    <w:rsid w:val="00985B5B"/>
    <w:rsid w:val="00985F09"/>
    <w:rsid w:val="00991F36"/>
    <w:rsid w:val="009921E7"/>
    <w:rsid w:val="009932D7"/>
    <w:rsid w:val="0099403A"/>
    <w:rsid w:val="00995D68"/>
    <w:rsid w:val="00995F54"/>
    <w:rsid w:val="00996A58"/>
    <w:rsid w:val="00996B14"/>
    <w:rsid w:val="00996D63"/>
    <w:rsid w:val="00997016"/>
    <w:rsid w:val="00997653"/>
    <w:rsid w:val="009A0535"/>
    <w:rsid w:val="009A06CD"/>
    <w:rsid w:val="009A28E7"/>
    <w:rsid w:val="009A3ED6"/>
    <w:rsid w:val="009A5881"/>
    <w:rsid w:val="009A5D7F"/>
    <w:rsid w:val="009A5E5F"/>
    <w:rsid w:val="009A5E6F"/>
    <w:rsid w:val="009A69C3"/>
    <w:rsid w:val="009A7163"/>
    <w:rsid w:val="009A736D"/>
    <w:rsid w:val="009A7E0A"/>
    <w:rsid w:val="009A7E89"/>
    <w:rsid w:val="009B01F3"/>
    <w:rsid w:val="009B1EBC"/>
    <w:rsid w:val="009B297B"/>
    <w:rsid w:val="009B483D"/>
    <w:rsid w:val="009B4CC6"/>
    <w:rsid w:val="009B4F65"/>
    <w:rsid w:val="009B5635"/>
    <w:rsid w:val="009B5762"/>
    <w:rsid w:val="009B5B51"/>
    <w:rsid w:val="009B5D8F"/>
    <w:rsid w:val="009B6768"/>
    <w:rsid w:val="009B7759"/>
    <w:rsid w:val="009C0630"/>
    <w:rsid w:val="009C09B9"/>
    <w:rsid w:val="009C0DD2"/>
    <w:rsid w:val="009C25FB"/>
    <w:rsid w:val="009C388F"/>
    <w:rsid w:val="009C4727"/>
    <w:rsid w:val="009C4ABA"/>
    <w:rsid w:val="009C659B"/>
    <w:rsid w:val="009C6753"/>
    <w:rsid w:val="009C7265"/>
    <w:rsid w:val="009D0A2E"/>
    <w:rsid w:val="009D292E"/>
    <w:rsid w:val="009D2C12"/>
    <w:rsid w:val="009D401A"/>
    <w:rsid w:val="009D466C"/>
    <w:rsid w:val="009D5351"/>
    <w:rsid w:val="009D54EE"/>
    <w:rsid w:val="009D64CB"/>
    <w:rsid w:val="009D6EEE"/>
    <w:rsid w:val="009D7447"/>
    <w:rsid w:val="009D786A"/>
    <w:rsid w:val="009D7D64"/>
    <w:rsid w:val="009E0CED"/>
    <w:rsid w:val="009E1019"/>
    <w:rsid w:val="009E19C7"/>
    <w:rsid w:val="009E1BDD"/>
    <w:rsid w:val="009E2C4F"/>
    <w:rsid w:val="009E3979"/>
    <w:rsid w:val="009E4B8A"/>
    <w:rsid w:val="009E4DF5"/>
    <w:rsid w:val="009E5129"/>
    <w:rsid w:val="009E56CB"/>
    <w:rsid w:val="009E587B"/>
    <w:rsid w:val="009E5D16"/>
    <w:rsid w:val="009F0E0D"/>
    <w:rsid w:val="009F2823"/>
    <w:rsid w:val="009F2DD4"/>
    <w:rsid w:val="009F4374"/>
    <w:rsid w:val="009F56E2"/>
    <w:rsid w:val="009F5805"/>
    <w:rsid w:val="009F5870"/>
    <w:rsid w:val="009F63A7"/>
    <w:rsid w:val="009F6A5A"/>
    <w:rsid w:val="009F757D"/>
    <w:rsid w:val="009F7BEF"/>
    <w:rsid w:val="009F7CF9"/>
    <w:rsid w:val="00A051F2"/>
    <w:rsid w:val="00A05B23"/>
    <w:rsid w:val="00A05CC0"/>
    <w:rsid w:val="00A06CE6"/>
    <w:rsid w:val="00A072FF"/>
    <w:rsid w:val="00A07644"/>
    <w:rsid w:val="00A07EE4"/>
    <w:rsid w:val="00A1122D"/>
    <w:rsid w:val="00A1131E"/>
    <w:rsid w:val="00A1153A"/>
    <w:rsid w:val="00A11808"/>
    <w:rsid w:val="00A122FA"/>
    <w:rsid w:val="00A13C67"/>
    <w:rsid w:val="00A13E35"/>
    <w:rsid w:val="00A14000"/>
    <w:rsid w:val="00A14109"/>
    <w:rsid w:val="00A17C4C"/>
    <w:rsid w:val="00A17C59"/>
    <w:rsid w:val="00A17C77"/>
    <w:rsid w:val="00A209C1"/>
    <w:rsid w:val="00A2293D"/>
    <w:rsid w:val="00A23784"/>
    <w:rsid w:val="00A243FD"/>
    <w:rsid w:val="00A2450A"/>
    <w:rsid w:val="00A25367"/>
    <w:rsid w:val="00A25BAB"/>
    <w:rsid w:val="00A26ADB"/>
    <w:rsid w:val="00A302D3"/>
    <w:rsid w:val="00A314C0"/>
    <w:rsid w:val="00A31F0F"/>
    <w:rsid w:val="00A34A1A"/>
    <w:rsid w:val="00A34A3B"/>
    <w:rsid w:val="00A34E39"/>
    <w:rsid w:val="00A36091"/>
    <w:rsid w:val="00A377C8"/>
    <w:rsid w:val="00A379AA"/>
    <w:rsid w:val="00A411E1"/>
    <w:rsid w:val="00A41558"/>
    <w:rsid w:val="00A434A1"/>
    <w:rsid w:val="00A44E86"/>
    <w:rsid w:val="00A4530C"/>
    <w:rsid w:val="00A45779"/>
    <w:rsid w:val="00A45E6F"/>
    <w:rsid w:val="00A46102"/>
    <w:rsid w:val="00A463EA"/>
    <w:rsid w:val="00A464C2"/>
    <w:rsid w:val="00A50057"/>
    <w:rsid w:val="00A50067"/>
    <w:rsid w:val="00A50DBA"/>
    <w:rsid w:val="00A52A43"/>
    <w:rsid w:val="00A52DAF"/>
    <w:rsid w:val="00A5326A"/>
    <w:rsid w:val="00A538F9"/>
    <w:rsid w:val="00A540AE"/>
    <w:rsid w:val="00A5470D"/>
    <w:rsid w:val="00A554BF"/>
    <w:rsid w:val="00A55C1B"/>
    <w:rsid w:val="00A56224"/>
    <w:rsid w:val="00A60B1C"/>
    <w:rsid w:val="00A61335"/>
    <w:rsid w:val="00A61D9B"/>
    <w:rsid w:val="00A621EB"/>
    <w:rsid w:val="00A62BE3"/>
    <w:rsid w:val="00A63155"/>
    <w:rsid w:val="00A64071"/>
    <w:rsid w:val="00A64327"/>
    <w:rsid w:val="00A64754"/>
    <w:rsid w:val="00A67ABC"/>
    <w:rsid w:val="00A70D9C"/>
    <w:rsid w:val="00A71D73"/>
    <w:rsid w:val="00A72C9B"/>
    <w:rsid w:val="00A72FD9"/>
    <w:rsid w:val="00A73A6E"/>
    <w:rsid w:val="00A74565"/>
    <w:rsid w:val="00A745C6"/>
    <w:rsid w:val="00A75B02"/>
    <w:rsid w:val="00A77264"/>
    <w:rsid w:val="00A77B26"/>
    <w:rsid w:val="00A8035B"/>
    <w:rsid w:val="00A806E0"/>
    <w:rsid w:val="00A82020"/>
    <w:rsid w:val="00A838C3"/>
    <w:rsid w:val="00A83912"/>
    <w:rsid w:val="00A84200"/>
    <w:rsid w:val="00A8453C"/>
    <w:rsid w:val="00A846CE"/>
    <w:rsid w:val="00A86220"/>
    <w:rsid w:val="00A87779"/>
    <w:rsid w:val="00A87857"/>
    <w:rsid w:val="00A87B1B"/>
    <w:rsid w:val="00A909C2"/>
    <w:rsid w:val="00A922FF"/>
    <w:rsid w:val="00A92393"/>
    <w:rsid w:val="00A94125"/>
    <w:rsid w:val="00A948DB"/>
    <w:rsid w:val="00A94A1B"/>
    <w:rsid w:val="00A955B1"/>
    <w:rsid w:val="00A96618"/>
    <w:rsid w:val="00AA03AE"/>
    <w:rsid w:val="00AA128D"/>
    <w:rsid w:val="00AA177E"/>
    <w:rsid w:val="00AA3914"/>
    <w:rsid w:val="00AA406D"/>
    <w:rsid w:val="00AA43FD"/>
    <w:rsid w:val="00AA52AB"/>
    <w:rsid w:val="00AA5C7F"/>
    <w:rsid w:val="00AA6E3C"/>
    <w:rsid w:val="00AB103C"/>
    <w:rsid w:val="00AB1275"/>
    <w:rsid w:val="00AB1F14"/>
    <w:rsid w:val="00AB27CB"/>
    <w:rsid w:val="00AB2D37"/>
    <w:rsid w:val="00AB3673"/>
    <w:rsid w:val="00AB38FF"/>
    <w:rsid w:val="00AB5802"/>
    <w:rsid w:val="00AB7432"/>
    <w:rsid w:val="00AC14CE"/>
    <w:rsid w:val="00AC16D9"/>
    <w:rsid w:val="00AC1D8F"/>
    <w:rsid w:val="00AC32D1"/>
    <w:rsid w:val="00AC3C3B"/>
    <w:rsid w:val="00AC42E3"/>
    <w:rsid w:val="00AC4C03"/>
    <w:rsid w:val="00AC4E4E"/>
    <w:rsid w:val="00AC4F5A"/>
    <w:rsid w:val="00AC520E"/>
    <w:rsid w:val="00AD040E"/>
    <w:rsid w:val="00AD0DE2"/>
    <w:rsid w:val="00AD2494"/>
    <w:rsid w:val="00AD2B0E"/>
    <w:rsid w:val="00AD30C8"/>
    <w:rsid w:val="00AD54CD"/>
    <w:rsid w:val="00AD5DAF"/>
    <w:rsid w:val="00AD6844"/>
    <w:rsid w:val="00AE1557"/>
    <w:rsid w:val="00AE1B7B"/>
    <w:rsid w:val="00AE281E"/>
    <w:rsid w:val="00AE288D"/>
    <w:rsid w:val="00AE3DAF"/>
    <w:rsid w:val="00AE553F"/>
    <w:rsid w:val="00AE5893"/>
    <w:rsid w:val="00AE6EDF"/>
    <w:rsid w:val="00AE71AB"/>
    <w:rsid w:val="00AF0861"/>
    <w:rsid w:val="00AF301F"/>
    <w:rsid w:val="00AF3F64"/>
    <w:rsid w:val="00AF4192"/>
    <w:rsid w:val="00AF4580"/>
    <w:rsid w:val="00AF484F"/>
    <w:rsid w:val="00AF4EE1"/>
    <w:rsid w:val="00AF7D13"/>
    <w:rsid w:val="00B00E5B"/>
    <w:rsid w:val="00B01061"/>
    <w:rsid w:val="00B01F97"/>
    <w:rsid w:val="00B03A8E"/>
    <w:rsid w:val="00B044F7"/>
    <w:rsid w:val="00B04683"/>
    <w:rsid w:val="00B07BAE"/>
    <w:rsid w:val="00B102BB"/>
    <w:rsid w:val="00B1097E"/>
    <w:rsid w:val="00B10995"/>
    <w:rsid w:val="00B134D9"/>
    <w:rsid w:val="00B14175"/>
    <w:rsid w:val="00B14AE2"/>
    <w:rsid w:val="00B15B21"/>
    <w:rsid w:val="00B16C09"/>
    <w:rsid w:val="00B223C2"/>
    <w:rsid w:val="00B24663"/>
    <w:rsid w:val="00B24996"/>
    <w:rsid w:val="00B253B8"/>
    <w:rsid w:val="00B26FC0"/>
    <w:rsid w:val="00B27B6C"/>
    <w:rsid w:val="00B3034D"/>
    <w:rsid w:val="00B30834"/>
    <w:rsid w:val="00B321E7"/>
    <w:rsid w:val="00B33C4A"/>
    <w:rsid w:val="00B33F81"/>
    <w:rsid w:val="00B3417A"/>
    <w:rsid w:val="00B343B1"/>
    <w:rsid w:val="00B34CBB"/>
    <w:rsid w:val="00B361C1"/>
    <w:rsid w:val="00B366E1"/>
    <w:rsid w:val="00B36739"/>
    <w:rsid w:val="00B36882"/>
    <w:rsid w:val="00B373AB"/>
    <w:rsid w:val="00B376F4"/>
    <w:rsid w:val="00B421A5"/>
    <w:rsid w:val="00B43396"/>
    <w:rsid w:val="00B45E38"/>
    <w:rsid w:val="00B461E2"/>
    <w:rsid w:val="00B51155"/>
    <w:rsid w:val="00B5118D"/>
    <w:rsid w:val="00B51D0B"/>
    <w:rsid w:val="00B51D98"/>
    <w:rsid w:val="00B522B6"/>
    <w:rsid w:val="00B522EC"/>
    <w:rsid w:val="00B54D2A"/>
    <w:rsid w:val="00B55BCF"/>
    <w:rsid w:val="00B5630B"/>
    <w:rsid w:val="00B56678"/>
    <w:rsid w:val="00B56714"/>
    <w:rsid w:val="00B570FA"/>
    <w:rsid w:val="00B57BCB"/>
    <w:rsid w:val="00B605D9"/>
    <w:rsid w:val="00B6097D"/>
    <w:rsid w:val="00B60B06"/>
    <w:rsid w:val="00B60D2C"/>
    <w:rsid w:val="00B6116F"/>
    <w:rsid w:val="00B61BFC"/>
    <w:rsid w:val="00B628EF"/>
    <w:rsid w:val="00B62C97"/>
    <w:rsid w:val="00B62D73"/>
    <w:rsid w:val="00B64790"/>
    <w:rsid w:val="00B650BC"/>
    <w:rsid w:val="00B6512E"/>
    <w:rsid w:val="00B65F20"/>
    <w:rsid w:val="00B670EA"/>
    <w:rsid w:val="00B70437"/>
    <w:rsid w:val="00B71498"/>
    <w:rsid w:val="00B72684"/>
    <w:rsid w:val="00B731F1"/>
    <w:rsid w:val="00B731F3"/>
    <w:rsid w:val="00B73DB7"/>
    <w:rsid w:val="00B745C0"/>
    <w:rsid w:val="00B756E3"/>
    <w:rsid w:val="00B770CC"/>
    <w:rsid w:val="00B7768D"/>
    <w:rsid w:val="00B817D6"/>
    <w:rsid w:val="00B82AE5"/>
    <w:rsid w:val="00B832C8"/>
    <w:rsid w:val="00B83A7E"/>
    <w:rsid w:val="00B84EB2"/>
    <w:rsid w:val="00B86467"/>
    <w:rsid w:val="00B86575"/>
    <w:rsid w:val="00B8695F"/>
    <w:rsid w:val="00B87EB5"/>
    <w:rsid w:val="00B90792"/>
    <w:rsid w:val="00B91CCE"/>
    <w:rsid w:val="00B928AA"/>
    <w:rsid w:val="00B92E4F"/>
    <w:rsid w:val="00B936E6"/>
    <w:rsid w:val="00B93A62"/>
    <w:rsid w:val="00B94E41"/>
    <w:rsid w:val="00B9550D"/>
    <w:rsid w:val="00B970D7"/>
    <w:rsid w:val="00BA026A"/>
    <w:rsid w:val="00BA0EB6"/>
    <w:rsid w:val="00BA1C4C"/>
    <w:rsid w:val="00BA39D3"/>
    <w:rsid w:val="00BA4016"/>
    <w:rsid w:val="00BA5164"/>
    <w:rsid w:val="00BA5573"/>
    <w:rsid w:val="00BA55E0"/>
    <w:rsid w:val="00BA6D60"/>
    <w:rsid w:val="00BA7D8B"/>
    <w:rsid w:val="00BB135C"/>
    <w:rsid w:val="00BB1B2C"/>
    <w:rsid w:val="00BB2B4C"/>
    <w:rsid w:val="00BB4665"/>
    <w:rsid w:val="00BB54AB"/>
    <w:rsid w:val="00BB5765"/>
    <w:rsid w:val="00BC0183"/>
    <w:rsid w:val="00BC0CE8"/>
    <w:rsid w:val="00BC1775"/>
    <w:rsid w:val="00BC20D2"/>
    <w:rsid w:val="00BC56EF"/>
    <w:rsid w:val="00BC5ED7"/>
    <w:rsid w:val="00BC665F"/>
    <w:rsid w:val="00BC7E28"/>
    <w:rsid w:val="00BC7EBB"/>
    <w:rsid w:val="00BD121E"/>
    <w:rsid w:val="00BD1D27"/>
    <w:rsid w:val="00BD2B31"/>
    <w:rsid w:val="00BD2E46"/>
    <w:rsid w:val="00BD3B44"/>
    <w:rsid w:val="00BD5646"/>
    <w:rsid w:val="00BD730D"/>
    <w:rsid w:val="00BE009A"/>
    <w:rsid w:val="00BE1248"/>
    <w:rsid w:val="00BE15AB"/>
    <w:rsid w:val="00BE22AB"/>
    <w:rsid w:val="00BE25F5"/>
    <w:rsid w:val="00BE2E66"/>
    <w:rsid w:val="00BE37D2"/>
    <w:rsid w:val="00BE3CC0"/>
    <w:rsid w:val="00BE3CFF"/>
    <w:rsid w:val="00BE4DC7"/>
    <w:rsid w:val="00BE59DE"/>
    <w:rsid w:val="00BE6D35"/>
    <w:rsid w:val="00BE6D7B"/>
    <w:rsid w:val="00BE72CF"/>
    <w:rsid w:val="00BF169D"/>
    <w:rsid w:val="00BF18AB"/>
    <w:rsid w:val="00BF1FFF"/>
    <w:rsid w:val="00BF2A5A"/>
    <w:rsid w:val="00BF3368"/>
    <w:rsid w:val="00BF3768"/>
    <w:rsid w:val="00BF5CA4"/>
    <w:rsid w:val="00BF5DDB"/>
    <w:rsid w:val="00BF5EB7"/>
    <w:rsid w:val="00BF60D2"/>
    <w:rsid w:val="00BF7302"/>
    <w:rsid w:val="00BF7888"/>
    <w:rsid w:val="00C008EF"/>
    <w:rsid w:val="00C00F0E"/>
    <w:rsid w:val="00C02455"/>
    <w:rsid w:val="00C02E82"/>
    <w:rsid w:val="00C03F2A"/>
    <w:rsid w:val="00C041ED"/>
    <w:rsid w:val="00C0581F"/>
    <w:rsid w:val="00C069F3"/>
    <w:rsid w:val="00C07387"/>
    <w:rsid w:val="00C10D2F"/>
    <w:rsid w:val="00C10F55"/>
    <w:rsid w:val="00C128CC"/>
    <w:rsid w:val="00C12911"/>
    <w:rsid w:val="00C144D6"/>
    <w:rsid w:val="00C154E4"/>
    <w:rsid w:val="00C15DFD"/>
    <w:rsid w:val="00C161A1"/>
    <w:rsid w:val="00C16D66"/>
    <w:rsid w:val="00C17C09"/>
    <w:rsid w:val="00C17C35"/>
    <w:rsid w:val="00C17E10"/>
    <w:rsid w:val="00C20459"/>
    <w:rsid w:val="00C213DB"/>
    <w:rsid w:val="00C22379"/>
    <w:rsid w:val="00C224EE"/>
    <w:rsid w:val="00C22E45"/>
    <w:rsid w:val="00C231AF"/>
    <w:rsid w:val="00C25CDF"/>
    <w:rsid w:val="00C25CE4"/>
    <w:rsid w:val="00C265A1"/>
    <w:rsid w:val="00C26A81"/>
    <w:rsid w:val="00C26EEA"/>
    <w:rsid w:val="00C27ECE"/>
    <w:rsid w:val="00C30A69"/>
    <w:rsid w:val="00C329AB"/>
    <w:rsid w:val="00C32DB7"/>
    <w:rsid w:val="00C33F69"/>
    <w:rsid w:val="00C34465"/>
    <w:rsid w:val="00C35BD4"/>
    <w:rsid w:val="00C35C1B"/>
    <w:rsid w:val="00C36386"/>
    <w:rsid w:val="00C36B31"/>
    <w:rsid w:val="00C37973"/>
    <w:rsid w:val="00C37B6D"/>
    <w:rsid w:val="00C4044D"/>
    <w:rsid w:val="00C41169"/>
    <w:rsid w:val="00C452D1"/>
    <w:rsid w:val="00C45875"/>
    <w:rsid w:val="00C45F1A"/>
    <w:rsid w:val="00C46356"/>
    <w:rsid w:val="00C47024"/>
    <w:rsid w:val="00C47320"/>
    <w:rsid w:val="00C50384"/>
    <w:rsid w:val="00C51549"/>
    <w:rsid w:val="00C51F56"/>
    <w:rsid w:val="00C52A8F"/>
    <w:rsid w:val="00C54056"/>
    <w:rsid w:val="00C5435F"/>
    <w:rsid w:val="00C54472"/>
    <w:rsid w:val="00C55222"/>
    <w:rsid w:val="00C55B22"/>
    <w:rsid w:val="00C57147"/>
    <w:rsid w:val="00C577FA"/>
    <w:rsid w:val="00C60A5A"/>
    <w:rsid w:val="00C60B79"/>
    <w:rsid w:val="00C61CCC"/>
    <w:rsid w:val="00C6202B"/>
    <w:rsid w:val="00C64674"/>
    <w:rsid w:val="00C65DFF"/>
    <w:rsid w:val="00C662FE"/>
    <w:rsid w:val="00C66336"/>
    <w:rsid w:val="00C663E1"/>
    <w:rsid w:val="00C664C5"/>
    <w:rsid w:val="00C67613"/>
    <w:rsid w:val="00C67915"/>
    <w:rsid w:val="00C67A4B"/>
    <w:rsid w:val="00C729A1"/>
    <w:rsid w:val="00C72E9D"/>
    <w:rsid w:val="00C73017"/>
    <w:rsid w:val="00C73415"/>
    <w:rsid w:val="00C73922"/>
    <w:rsid w:val="00C74324"/>
    <w:rsid w:val="00C75C45"/>
    <w:rsid w:val="00C75CE2"/>
    <w:rsid w:val="00C762D3"/>
    <w:rsid w:val="00C77108"/>
    <w:rsid w:val="00C7729B"/>
    <w:rsid w:val="00C7783F"/>
    <w:rsid w:val="00C778E6"/>
    <w:rsid w:val="00C77BEC"/>
    <w:rsid w:val="00C80CE7"/>
    <w:rsid w:val="00C827EF"/>
    <w:rsid w:val="00C82CA4"/>
    <w:rsid w:val="00C855D5"/>
    <w:rsid w:val="00C86235"/>
    <w:rsid w:val="00C87925"/>
    <w:rsid w:val="00C87FF2"/>
    <w:rsid w:val="00C9068E"/>
    <w:rsid w:val="00C90A7B"/>
    <w:rsid w:val="00C93345"/>
    <w:rsid w:val="00C9365D"/>
    <w:rsid w:val="00C96415"/>
    <w:rsid w:val="00C96F80"/>
    <w:rsid w:val="00CA29C8"/>
    <w:rsid w:val="00CA3BA8"/>
    <w:rsid w:val="00CA3BAE"/>
    <w:rsid w:val="00CA4040"/>
    <w:rsid w:val="00CA5A1E"/>
    <w:rsid w:val="00CA5BD3"/>
    <w:rsid w:val="00CA62F0"/>
    <w:rsid w:val="00CA69BB"/>
    <w:rsid w:val="00CA7A9F"/>
    <w:rsid w:val="00CB0498"/>
    <w:rsid w:val="00CB335C"/>
    <w:rsid w:val="00CB394E"/>
    <w:rsid w:val="00CB565C"/>
    <w:rsid w:val="00CC01C7"/>
    <w:rsid w:val="00CC1A3E"/>
    <w:rsid w:val="00CC1E1C"/>
    <w:rsid w:val="00CC2634"/>
    <w:rsid w:val="00CC2F19"/>
    <w:rsid w:val="00CC498B"/>
    <w:rsid w:val="00CC608D"/>
    <w:rsid w:val="00CC68F7"/>
    <w:rsid w:val="00CC727C"/>
    <w:rsid w:val="00CC7BA7"/>
    <w:rsid w:val="00CC7DC4"/>
    <w:rsid w:val="00CD12DC"/>
    <w:rsid w:val="00CD272B"/>
    <w:rsid w:val="00CD3761"/>
    <w:rsid w:val="00CD392C"/>
    <w:rsid w:val="00CD3B0D"/>
    <w:rsid w:val="00CD3CD2"/>
    <w:rsid w:val="00CD7788"/>
    <w:rsid w:val="00CD7B15"/>
    <w:rsid w:val="00CD7D6F"/>
    <w:rsid w:val="00CE0702"/>
    <w:rsid w:val="00CE0927"/>
    <w:rsid w:val="00CE0B02"/>
    <w:rsid w:val="00CE0C0F"/>
    <w:rsid w:val="00CE39EF"/>
    <w:rsid w:val="00CE4C68"/>
    <w:rsid w:val="00CE4DEA"/>
    <w:rsid w:val="00CE58A8"/>
    <w:rsid w:val="00CE5BAF"/>
    <w:rsid w:val="00CE62F9"/>
    <w:rsid w:val="00CE69E8"/>
    <w:rsid w:val="00CE6DE8"/>
    <w:rsid w:val="00CE728C"/>
    <w:rsid w:val="00CE72CA"/>
    <w:rsid w:val="00CE7FFD"/>
    <w:rsid w:val="00CF0137"/>
    <w:rsid w:val="00CF0BE0"/>
    <w:rsid w:val="00CF2103"/>
    <w:rsid w:val="00CF2DB9"/>
    <w:rsid w:val="00CF4106"/>
    <w:rsid w:val="00CF4853"/>
    <w:rsid w:val="00CF6EF5"/>
    <w:rsid w:val="00D01AE3"/>
    <w:rsid w:val="00D01C01"/>
    <w:rsid w:val="00D02C5C"/>
    <w:rsid w:val="00D02E31"/>
    <w:rsid w:val="00D03DA2"/>
    <w:rsid w:val="00D045B9"/>
    <w:rsid w:val="00D05C9E"/>
    <w:rsid w:val="00D07915"/>
    <w:rsid w:val="00D07AD6"/>
    <w:rsid w:val="00D10246"/>
    <w:rsid w:val="00D11544"/>
    <w:rsid w:val="00D1185A"/>
    <w:rsid w:val="00D124D8"/>
    <w:rsid w:val="00D13441"/>
    <w:rsid w:val="00D134B1"/>
    <w:rsid w:val="00D16330"/>
    <w:rsid w:val="00D164D5"/>
    <w:rsid w:val="00D16EC5"/>
    <w:rsid w:val="00D20ADF"/>
    <w:rsid w:val="00D216A7"/>
    <w:rsid w:val="00D224ED"/>
    <w:rsid w:val="00D22809"/>
    <w:rsid w:val="00D23427"/>
    <w:rsid w:val="00D256B7"/>
    <w:rsid w:val="00D25C1B"/>
    <w:rsid w:val="00D25FDF"/>
    <w:rsid w:val="00D300CE"/>
    <w:rsid w:val="00D30246"/>
    <w:rsid w:val="00D3107D"/>
    <w:rsid w:val="00D3214A"/>
    <w:rsid w:val="00D32982"/>
    <w:rsid w:val="00D346D3"/>
    <w:rsid w:val="00D35400"/>
    <w:rsid w:val="00D35540"/>
    <w:rsid w:val="00D40296"/>
    <w:rsid w:val="00D41114"/>
    <w:rsid w:val="00D41E7C"/>
    <w:rsid w:val="00D422A9"/>
    <w:rsid w:val="00D42515"/>
    <w:rsid w:val="00D431B5"/>
    <w:rsid w:val="00D43223"/>
    <w:rsid w:val="00D434D3"/>
    <w:rsid w:val="00D43969"/>
    <w:rsid w:val="00D43EAA"/>
    <w:rsid w:val="00D45A35"/>
    <w:rsid w:val="00D51D0B"/>
    <w:rsid w:val="00D51FC0"/>
    <w:rsid w:val="00D52E52"/>
    <w:rsid w:val="00D533A1"/>
    <w:rsid w:val="00D539F0"/>
    <w:rsid w:val="00D53D85"/>
    <w:rsid w:val="00D555E2"/>
    <w:rsid w:val="00D56232"/>
    <w:rsid w:val="00D562E4"/>
    <w:rsid w:val="00D56441"/>
    <w:rsid w:val="00D567AD"/>
    <w:rsid w:val="00D56F44"/>
    <w:rsid w:val="00D57874"/>
    <w:rsid w:val="00D57DDE"/>
    <w:rsid w:val="00D615A9"/>
    <w:rsid w:val="00D61815"/>
    <w:rsid w:val="00D61A0E"/>
    <w:rsid w:val="00D61A3D"/>
    <w:rsid w:val="00D63519"/>
    <w:rsid w:val="00D64722"/>
    <w:rsid w:val="00D64A93"/>
    <w:rsid w:val="00D64B62"/>
    <w:rsid w:val="00D65D35"/>
    <w:rsid w:val="00D679B8"/>
    <w:rsid w:val="00D701CD"/>
    <w:rsid w:val="00D72CA0"/>
    <w:rsid w:val="00D74214"/>
    <w:rsid w:val="00D74496"/>
    <w:rsid w:val="00D74CA4"/>
    <w:rsid w:val="00D750BA"/>
    <w:rsid w:val="00D75466"/>
    <w:rsid w:val="00D75C6E"/>
    <w:rsid w:val="00D763AC"/>
    <w:rsid w:val="00D808D7"/>
    <w:rsid w:val="00D80E9D"/>
    <w:rsid w:val="00D8186E"/>
    <w:rsid w:val="00D8219F"/>
    <w:rsid w:val="00D83613"/>
    <w:rsid w:val="00D84341"/>
    <w:rsid w:val="00D84400"/>
    <w:rsid w:val="00D84536"/>
    <w:rsid w:val="00D8514B"/>
    <w:rsid w:val="00D85A66"/>
    <w:rsid w:val="00D86CA8"/>
    <w:rsid w:val="00D87BE4"/>
    <w:rsid w:val="00D90404"/>
    <w:rsid w:val="00D916DC"/>
    <w:rsid w:val="00D921CE"/>
    <w:rsid w:val="00D92ABA"/>
    <w:rsid w:val="00D93181"/>
    <w:rsid w:val="00D931F5"/>
    <w:rsid w:val="00D93201"/>
    <w:rsid w:val="00D93BD7"/>
    <w:rsid w:val="00D93C0D"/>
    <w:rsid w:val="00D94272"/>
    <w:rsid w:val="00D948DA"/>
    <w:rsid w:val="00D95777"/>
    <w:rsid w:val="00D962C0"/>
    <w:rsid w:val="00D96BAA"/>
    <w:rsid w:val="00D975C0"/>
    <w:rsid w:val="00D97BF4"/>
    <w:rsid w:val="00DA08B4"/>
    <w:rsid w:val="00DA180D"/>
    <w:rsid w:val="00DA2457"/>
    <w:rsid w:val="00DA37BD"/>
    <w:rsid w:val="00DA4031"/>
    <w:rsid w:val="00DA6B71"/>
    <w:rsid w:val="00DA75C1"/>
    <w:rsid w:val="00DB087C"/>
    <w:rsid w:val="00DB3A07"/>
    <w:rsid w:val="00DB54C3"/>
    <w:rsid w:val="00DB5B75"/>
    <w:rsid w:val="00DB70BA"/>
    <w:rsid w:val="00DB74EF"/>
    <w:rsid w:val="00DB7FD0"/>
    <w:rsid w:val="00DC0319"/>
    <w:rsid w:val="00DC0C73"/>
    <w:rsid w:val="00DC1CC7"/>
    <w:rsid w:val="00DC3C66"/>
    <w:rsid w:val="00DC50B5"/>
    <w:rsid w:val="00DC5EFE"/>
    <w:rsid w:val="00DC6F77"/>
    <w:rsid w:val="00DC71AC"/>
    <w:rsid w:val="00DC741B"/>
    <w:rsid w:val="00DD0CC8"/>
    <w:rsid w:val="00DD2C67"/>
    <w:rsid w:val="00DD3130"/>
    <w:rsid w:val="00DD337E"/>
    <w:rsid w:val="00DD65AA"/>
    <w:rsid w:val="00DE040A"/>
    <w:rsid w:val="00DE0713"/>
    <w:rsid w:val="00DE1BC0"/>
    <w:rsid w:val="00DE20C9"/>
    <w:rsid w:val="00DE20E1"/>
    <w:rsid w:val="00DE286E"/>
    <w:rsid w:val="00DE321E"/>
    <w:rsid w:val="00DE413A"/>
    <w:rsid w:val="00DE777C"/>
    <w:rsid w:val="00DF0566"/>
    <w:rsid w:val="00DF17EE"/>
    <w:rsid w:val="00DF2198"/>
    <w:rsid w:val="00DF3AE2"/>
    <w:rsid w:val="00DF4088"/>
    <w:rsid w:val="00DF4223"/>
    <w:rsid w:val="00DF61C0"/>
    <w:rsid w:val="00DF6C37"/>
    <w:rsid w:val="00E016A5"/>
    <w:rsid w:val="00E01859"/>
    <w:rsid w:val="00E01F79"/>
    <w:rsid w:val="00E04BF0"/>
    <w:rsid w:val="00E04EB9"/>
    <w:rsid w:val="00E0597A"/>
    <w:rsid w:val="00E05D78"/>
    <w:rsid w:val="00E07142"/>
    <w:rsid w:val="00E07C0E"/>
    <w:rsid w:val="00E10CFF"/>
    <w:rsid w:val="00E11B6F"/>
    <w:rsid w:val="00E12A60"/>
    <w:rsid w:val="00E146C8"/>
    <w:rsid w:val="00E14D06"/>
    <w:rsid w:val="00E15582"/>
    <w:rsid w:val="00E16BED"/>
    <w:rsid w:val="00E1726B"/>
    <w:rsid w:val="00E20349"/>
    <w:rsid w:val="00E20529"/>
    <w:rsid w:val="00E20AC3"/>
    <w:rsid w:val="00E21B8A"/>
    <w:rsid w:val="00E21CDE"/>
    <w:rsid w:val="00E23149"/>
    <w:rsid w:val="00E236E5"/>
    <w:rsid w:val="00E2407C"/>
    <w:rsid w:val="00E24CBF"/>
    <w:rsid w:val="00E251D2"/>
    <w:rsid w:val="00E2756F"/>
    <w:rsid w:val="00E31E24"/>
    <w:rsid w:val="00E32726"/>
    <w:rsid w:val="00E329ED"/>
    <w:rsid w:val="00E33742"/>
    <w:rsid w:val="00E346DF"/>
    <w:rsid w:val="00E34D65"/>
    <w:rsid w:val="00E350F9"/>
    <w:rsid w:val="00E35B46"/>
    <w:rsid w:val="00E36A12"/>
    <w:rsid w:val="00E40C03"/>
    <w:rsid w:val="00E41FD2"/>
    <w:rsid w:val="00E44518"/>
    <w:rsid w:val="00E44E40"/>
    <w:rsid w:val="00E44F9C"/>
    <w:rsid w:val="00E460FC"/>
    <w:rsid w:val="00E46D14"/>
    <w:rsid w:val="00E477D8"/>
    <w:rsid w:val="00E47B8D"/>
    <w:rsid w:val="00E50C60"/>
    <w:rsid w:val="00E51B27"/>
    <w:rsid w:val="00E51E46"/>
    <w:rsid w:val="00E5203A"/>
    <w:rsid w:val="00E5262C"/>
    <w:rsid w:val="00E534F8"/>
    <w:rsid w:val="00E53D52"/>
    <w:rsid w:val="00E5418D"/>
    <w:rsid w:val="00E54A32"/>
    <w:rsid w:val="00E55639"/>
    <w:rsid w:val="00E558B0"/>
    <w:rsid w:val="00E55B20"/>
    <w:rsid w:val="00E567C8"/>
    <w:rsid w:val="00E5700D"/>
    <w:rsid w:val="00E57168"/>
    <w:rsid w:val="00E61B41"/>
    <w:rsid w:val="00E62FF0"/>
    <w:rsid w:val="00E642BA"/>
    <w:rsid w:val="00E64F5E"/>
    <w:rsid w:val="00E65FB1"/>
    <w:rsid w:val="00E65FC8"/>
    <w:rsid w:val="00E668B3"/>
    <w:rsid w:val="00E66C17"/>
    <w:rsid w:val="00E67D4E"/>
    <w:rsid w:val="00E70095"/>
    <w:rsid w:val="00E70A55"/>
    <w:rsid w:val="00E7186B"/>
    <w:rsid w:val="00E71C15"/>
    <w:rsid w:val="00E72FAF"/>
    <w:rsid w:val="00E73397"/>
    <w:rsid w:val="00E7407E"/>
    <w:rsid w:val="00E76E06"/>
    <w:rsid w:val="00E82916"/>
    <w:rsid w:val="00E8345F"/>
    <w:rsid w:val="00E83EA7"/>
    <w:rsid w:val="00E84C77"/>
    <w:rsid w:val="00E85675"/>
    <w:rsid w:val="00E86875"/>
    <w:rsid w:val="00E86BD4"/>
    <w:rsid w:val="00E873BA"/>
    <w:rsid w:val="00E90615"/>
    <w:rsid w:val="00E9203C"/>
    <w:rsid w:val="00E94B15"/>
    <w:rsid w:val="00E95DF0"/>
    <w:rsid w:val="00EA0C91"/>
    <w:rsid w:val="00EA1615"/>
    <w:rsid w:val="00EA23BA"/>
    <w:rsid w:val="00EA26FC"/>
    <w:rsid w:val="00EA36E0"/>
    <w:rsid w:val="00EA36FB"/>
    <w:rsid w:val="00EA4151"/>
    <w:rsid w:val="00EA55CF"/>
    <w:rsid w:val="00EA58A0"/>
    <w:rsid w:val="00EA591A"/>
    <w:rsid w:val="00EA5B08"/>
    <w:rsid w:val="00EA74C0"/>
    <w:rsid w:val="00EA752C"/>
    <w:rsid w:val="00EA7E4B"/>
    <w:rsid w:val="00EB0CB0"/>
    <w:rsid w:val="00EB39B4"/>
    <w:rsid w:val="00EB436B"/>
    <w:rsid w:val="00EB5495"/>
    <w:rsid w:val="00EB54DF"/>
    <w:rsid w:val="00EB5FF6"/>
    <w:rsid w:val="00EB7069"/>
    <w:rsid w:val="00EC0D75"/>
    <w:rsid w:val="00EC2D36"/>
    <w:rsid w:val="00EC4700"/>
    <w:rsid w:val="00EC58AF"/>
    <w:rsid w:val="00EC5EAD"/>
    <w:rsid w:val="00EC6B53"/>
    <w:rsid w:val="00EC739A"/>
    <w:rsid w:val="00EC73E8"/>
    <w:rsid w:val="00ED0133"/>
    <w:rsid w:val="00ED02CA"/>
    <w:rsid w:val="00ED0839"/>
    <w:rsid w:val="00ED4E16"/>
    <w:rsid w:val="00ED579E"/>
    <w:rsid w:val="00ED5A8E"/>
    <w:rsid w:val="00ED6181"/>
    <w:rsid w:val="00ED6F0B"/>
    <w:rsid w:val="00ED7530"/>
    <w:rsid w:val="00EE052B"/>
    <w:rsid w:val="00EE1985"/>
    <w:rsid w:val="00EE292C"/>
    <w:rsid w:val="00EE2D74"/>
    <w:rsid w:val="00EE501A"/>
    <w:rsid w:val="00EE650E"/>
    <w:rsid w:val="00EE7CA0"/>
    <w:rsid w:val="00EF0321"/>
    <w:rsid w:val="00EF09CB"/>
    <w:rsid w:val="00EF1ABA"/>
    <w:rsid w:val="00EF1C70"/>
    <w:rsid w:val="00EF255B"/>
    <w:rsid w:val="00EF561E"/>
    <w:rsid w:val="00EF56CA"/>
    <w:rsid w:val="00EF6C43"/>
    <w:rsid w:val="00EF6CE6"/>
    <w:rsid w:val="00F012F4"/>
    <w:rsid w:val="00F031C4"/>
    <w:rsid w:val="00F032AD"/>
    <w:rsid w:val="00F035C4"/>
    <w:rsid w:val="00F05F72"/>
    <w:rsid w:val="00F06A8F"/>
    <w:rsid w:val="00F07154"/>
    <w:rsid w:val="00F07546"/>
    <w:rsid w:val="00F103CD"/>
    <w:rsid w:val="00F109B2"/>
    <w:rsid w:val="00F10A52"/>
    <w:rsid w:val="00F10BCC"/>
    <w:rsid w:val="00F12460"/>
    <w:rsid w:val="00F12BC9"/>
    <w:rsid w:val="00F13BF6"/>
    <w:rsid w:val="00F13C84"/>
    <w:rsid w:val="00F150FE"/>
    <w:rsid w:val="00F15186"/>
    <w:rsid w:val="00F1564D"/>
    <w:rsid w:val="00F17233"/>
    <w:rsid w:val="00F17673"/>
    <w:rsid w:val="00F178A5"/>
    <w:rsid w:val="00F17ED0"/>
    <w:rsid w:val="00F21864"/>
    <w:rsid w:val="00F2258A"/>
    <w:rsid w:val="00F24D13"/>
    <w:rsid w:val="00F2547E"/>
    <w:rsid w:val="00F26257"/>
    <w:rsid w:val="00F26BE7"/>
    <w:rsid w:val="00F27040"/>
    <w:rsid w:val="00F27B26"/>
    <w:rsid w:val="00F27B8F"/>
    <w:rsid w:val="00F307B9"/>
    <w:rsid w:val="00F30FD6"/>
    <w:rsid w:val="00F32122"/>
    <w:rsid w:val="00F327DF"/>
    <w:rsid w:val="00F33C4D"/>
    <w:rsid w:val="00F41AD1"/>
    <w:rsid w:val="00F4294B"/>
    <w:rsid w:val="00F4481D"/>
    <w:rsid w:val="00F45CDE"/>
    <w:rsid w:val="00F465AB"/>
    <w:rsid w:val="00F4753F"/>
    <w:rsid w:val="00F54017"/>
    <w:rsid w:val="00F546A9"/>
    <w:rsid w:val="00F560D9"/>
    <w:rsid w:val="00F5714D"/>
    <w:rsid w:val="00F57B1D"/>
    <w:rsid w:val="00F60183"/>
    <w:rsid w:val="00F6085E"/>
    <w:rsid w:val="00F621F3"/>
    <w:rsid w:val="00F6264A"/>
    <w:rsid w:val="00F63950"/>
    <w:rsid w:val="00F63B2A"/>
    <w:rsid w:val="00F63C73"/>
    <w:rsid w:val="00F648E0"/>
    <w:rsid w:val="00F65CF8"/>
    <w:rsid w:val="00F66A0E"/>
    <w:rsid w:val="00F67937"/>
    <w:rsid w:val="00F7082E"/>
    <w:rsid w:val="00F70FE9"/>
    <w:rsid w:val="00F71A18"/>
    <w:rsid w:val="00F71AB5"/>
    <w:rsid w:val="00F71EC3"/>
    <w:rsid w:val="00F71F21"/>
    <w:rsid w:val="00F72CC6"/>
    <w:rsid w:val="00F73717"/>
    <w:rsid w:val="00F73792"/>
    <w:rsid w:val="00F75574"/>
    <w:rsid w:val="00F7577D"/>
    <w:rsid w:val="00F75A75"/>
    <w:rsid w:val="00F762A4"/>
    <w:rsid w:val="00F7681B"/>
    <w:rsid w:val="00F768D0"/>
    <w:rsid w:val="00F76DBD"/>
    <w:rsid w:val="00F8139A"/>
    <w:rsid w:val="00F82ABB"/>
    <w:rsid w:val="00F84874"/>
    <w:rsid w:val="00F85763"/>
    <w:rsid w:val="00F86D87"/>
    <w:rsid w:val="00F87449"/>
    <w:rsid w:val="00F905E8"/>
    <w:rsid w:val="00F91DBA"/>
    <w:rsid w:val="00F93099"/>
    <w:rsid w:val="00F9399B"/>
    <w:rsid w:val="00F93DF9"/>
    <w:rsid w:val="00F93F1F"/>
    <w:rsid w:val="00F955A3"/>
    <w:rsid w:val="00F95B2B"/>
    <w:rsid w:val="00F96D5C"/>
    <w:rsid w:val="00F96EFC"/>
    <w:rsid w:val="00FA2F51"/>
    <w:rsid w:val="00FA66BB"/>
    <w:rsid w:val="00FA7FE8"/>
    <w:rsid w:val="00FB0C79"/>
    <w:rsid w:val="00FB15C9"/>
    <w:rsid w:val="00FB1C3C"/>
    <w:rsid w:val="00FB33C8"/>
    <w:rsid w:val="00FB38F2"/>
    <w:rsid w:val="00FB537B"/>
    <w:rsid w:val="00FB5CE7"/>
    <w:rsid w:val="00FB65C5"/>
    <w:rsid w:val="00FB66A5"/>
    <w:rsid w:val="00FB7D6E"/>
    <w:rsid w:val="00FC0456"/>
    <w:rsid w:val="00FC1721"/>
    <w:rsid w:val="00FC1846"/>
    <w:rsid w:val="00FC19FC"/>
    <w:rsid w:val="00FC2C9E"/>
    <w:rsid w:val="00FC31BA"/>
    <w:rsid w:val="00FC537F"/>
    <w:rsid w:val="00FC5555"/>
    <w:rsid w:val="00FC55B7"/>
    <w:rsid w:val="00FC57C5"/>
    <w:rsid w:val="00FC5C85"/>
    <w:rsid w:val="00FC6881"/>
    <w:rsid w:val="00FD01DD"/>
    <w:rsid w:val="00FD0274"/>
    <w:rsid w:val="00FD0B13"/>
    <w:rsid w:val="00FD16E4"/>
    <w:rsid w:val="00FD21AB"/>
    <w:rsid w:val="00FD23CB"/>
    <w:rsid w:val="00FD346C"/>
    <w:rsid w:val="00FD3F7E"/>
    <w:rsid w:val="00FD4068"/>
    <w:rsid w:val="00FD55BF"/>
    <w:rsid w:val="00FD5A4A"/>
    <w:rsid w:val="00FD634A"/>
    <w:rsid w:val="00FD67D6"/>
    <w:rsid w:val="00FD7293"/>
    <w:rsid w:val="00FE13AE"/>
    <w:rsid w:val="00FE1632"/>
    <w:rsid w:val="00FE170F"/>
    <w:rsid w:val="00FE2819"/>
    <w:rsid w:val="00FE38B6"/>
    <w:rsid w:val="00FE5300"/>
    <w:rsid w:val="00FE613F"/>
    <w:rsid w:val="00FE7586"/>
    <w:rsid w:val="00FF1280"/>
    <w:rsid w:val="00FF243E"/>
    <w:rsid w:val="00FF2E6B"/>
    <w:rsid w:val="00FF4480"/>
    <w:rsid w:val="00FF670E"/>
    <w:rsid w:val="0609D2D5"/>
    <w:rsid w:val="0EA31633"/>
    <w:rsid w:val="15D45BAF"/>
    <w:rsid w:val="1AE3C1FB"/>
    <w:rsid w:val="1D9CC396"/>
    <w:rsid w:val="1E2DB07D"/>
    <w:rsid w:val="1E8E2336"/>
    <w:rsid w:val="2092C19E"/>
    <w:rsid w:val="2314EECE"/>
    <w:rsid w:val="27ACC2E4"/>
    <w:rsid w:val="300E8D72"/>
    <w:rsid w:val="38426684"/>
    <w:rsid w:val="39A2A0F7"/>
    <w:rsid w:val="3A55B558"/>
    <w:rsid w:val="471E983C"/>
    <w:rsid w:val="49F8D74A"/>
    <w:rsid w:val="4E8245C2"/>
    <w:rsid w:val="4E99AD10"/>
    <w:rsid w:val="5B3511C6"/>
    <w:rsid w:val="66561C03"/>
    <w:rsid w:val="6B1F290F"/>
    <w:rsid w:val="6BE202CB"/>
    <w:rsid w:val="724C7D02"/>
    <w:rsid w:val="76040189"/>
    <w:rsid w:val="7AC0777C"/>
    <w:rsid w:val="7D4ED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956A0"/>
  <w15:chartTrackingRefBased/>
  <w15:docId w15:val="{72A5727C-E003-4D3C-AA51-411E12266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077"/>
    <w:rPr>
      <w:sz w:val="24"/>
      <w:szCs w:val="24"/>
    </w:rPr>
  </w:style>
  <w:style w:type="paragraph" w:styleId="Heading1">
    <w:name w:val="heading 1"/>
    <w:basedOn w:val="Normal"/>
    <w:next w:val="Normal"/>
    <w:qFormat/>
    <w:rsid w:val="00D43EAA"/>
    <w:pPr>
      <w:keepNext/>
      <w:jc w:val="center"/>
      <w:outlineLvl w:val="0"/>
    </w:pPr>
    <w:rPr>
      <w:rFonts w:ascii="Arial" w:hAnsi="Arial"/>
      <w:b/>
      <w:bCs/>
      <w:sz w:val="32"/>
      <w:lang w:eastAsia="en-US"/>
    </w:rPr>
  </w:style>
  <w:style w:type="paragraph" w:styleId="Heading3">
    <w:name w:val="heading 3"/>
    <w:basedOn w:val="Normal"/>
    <w:next w:val="Normal"/>
    <w:link w:val="Heading3Char"/>
    <w:semiHidden/>
    <w:unhideWhenUsed/>
    <w:qFormat/>
    <w:rsid w:val="004F3D8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43EAA"/>
    <w:pPr>
      <w:jc w:val="center"/>
    </w:pPr>
    <w:rPr>
      <w:rFonts w:ascii="Arial" w:hAnsi="Arial"/>
      <w:b/>
      <w:bCs/>
      <w:sz w:val="32"/>
      <w:lang w:eastAsia="en-US"/>
    </w:rPr>
  </w:style>
  <w:style w:type="paragraph" w:styleId="Footer">
    <w:name w:val="footer"/>
    <w:basedOn w:val="Normal"/>
    <w:rsid w:val="00D43EAA"/>
    <w:pPr>
      <w:tabs>
        <w:tab w:val="center" w:pos="4153"/>
        <w:tab w:val="right" w:pos="8306"/>
      </w:tabs>
    </w:pPr>
    <w:rPr>
      <w:spacing w:val="-3"/>
      <w:szCs w:val="20"/>
      <w:lang w:eastAsia="en-US"/>
    </w:rPr>
  </w:style>
  <w:style w:type="paragraph" w:styleId="Header">
    <w:name w:val="header"/>
    <w:basedOn w:val="Normal"/>
    <w:rsid w:val="00D43EAA"/>
    <w:pPr>
      <w:tabs>
        <w:tab w:val="center" w:pos="4153"/>
        <w:tab w:val="right" w:pos="8306"/>
      </w:tabs>
    </w:pPr>
  </w:style>
  <w:style w:type="character" w:styleId="PageNumber">
    <w:name w:val="page number"/>
    <w:basedOn w:val="DefaultParagraphFont"/>
    <w:rsid w:val="00D43EAA"/>
  </w:style>
  <w:style w:type="table" w:styleId="TableGrid">
    <w:name w:val="Table Grid"/>
    <w:basedOn w:val="TableNormal"/>
    <w:rsid w:val="00724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next w:val="Normal"/>
    <w:rsid w:val="000927B4"/>
    <w:pPr>
      <w:autoSpaceDE w:val="0"/>
      <w:autoSpaceDN w:val="0"/>
      <w:adjustRightInd w:val="0"/>
    </w:pPr>
    <w:rPr>
      <w:rFonts w:ascii="Verdana" w:hAnsi="Verdana"/>
      <w:lang w:val="en-US" w:eastAsia="en-US"/>
    </w:rPr>
  </w:style>
  <w:style w:type="paragraph" w:styleId="FootnoteText">
    <w:name w:val="footnote text"/>
    <w:basedOn w:val="Normal"/>
    <w:semiHidden/>
    <w:rsid w:val="000927B4"/>
    <w:rPr>
      <w:rFonts w:ascii="ZapfHumnst BT" w:hAnsi="ZapfHumnst BT"/>
      <w:sz w:val="20"/>
      <w:szCs w:val="20"/>
      <w:lang w:eastAsia="en-US"/>
    </w:rPr>
  </w:style>
  <w:style w:type="character" w:styleId="FootnoteReference">
    <w:name w:val="footnote reference"/>
    <w:semiHidden/>
    <w:rsid w:val="000927B4"/>
    <w:rPr>
      <w:vertAlign w:val="superscript"/>
    </w:rPr>
  </w:style>
  <w:style w:type="paragraph" w:styleId="NormalWeb">
    <w:name w:val="Normal (Web)"/>
    <w:basedOn w:val="Normal"/>
    <w:uiPriority w:val="99"/>
    <w:unhideWhenUsed/>
    <w:rsid w:val="00117CB0"/>
    <w:pPr>
      <w:spacing w:before="100" w:beforeAutospacing="1" w:after="100" w:afterAutospacing="1"/>
    </w:pPr>
  </w:style>
  <w:style w:type="character" w:customStyle="1" w:styleId="apple-converted-space">
    <w:name w:val="apple-converted-space"/>
    <w:basedOn w:val="DefaultParagraphFont"/>
    <w:rsid w:val="00117CB0"/>
  </w:style>
  <w:style w:type="paragraph" w:styleId="ListParagraph">
    <w:name w:val="List Paragraph"/>
    <w:basedOn w:val="Normal"/>
    <w:uiPriority w:val="34"/>
    <w:qFormat/>
    <w:rsid w:val="00ED0839"/>
    <w:pPr>
      <w:ind w:left="720"/>
      <w:contextualSpacing/>
    </w:pPr>
  </w:style>
  <w:style w:type="paragraph" w:styleId="Revision">
    <w:name w:val="Revision"/>
    <w:hidden/>
    <w:uiPriority w:val="99"/>
    <w:semiHidden/>
    <w:rsid w:val="00AB3673"/>
    <w:rPr>
      <w:sz w:val="24"/>
      <w:szCs w:val="24"/>
    </w:rPr>
  </w:style>
  <w:style w:type="character" w:customStyle="1" w:styleId="Heading3Char">
    <w:name w:val="Heading 3 Char"/>
    <w:basedOn w:val="DefaultParagraphFont"/>
    <w:link w:val="Heading3"/>
    <w:semiHidden/>
    <w:rsid w:val="004F3D89"/>
    <w:rPr>
      <w:rFonts w:asciiTheme="majorHAnsi" w:eastAsiaTheme="majorEastAsia" w:hAnsiTheme="majorHAnsi" w:cstheme="majorBidi"/>
      <w:color w:val="1F3763" w:themeColor="accent1" w:themeShade="7F"/>
      <w:sz w:val="24"/>
      <w:szCs w:val="24"/>
    </w:rPr>
  </w:style>
  <w:style w:type="character" w:styleId="Hyperlink">
    <w:name w:val="Hyperlink"/>
    <w:rsid w:val="004E161D"/>
    <w:rPr>
      <w:color w:val="0000FF"/>
      <w:u w:val="single"/>
    </w:rPr>
  </w:style>
  <w:style w:type="paragraph" w:styleId="BalloonText">
    <w:name w:val="Balloon Text"/>
    <w:basedOn w:val="Normal"/>
    <w:link w:val="BalloonTextChar"/>
    <w:semiHidden/>
    <w:unhideWhenUsed/>
    <w:rsid w:val="000C209F"/>
    <w:rPr>
      <w:sz w:val="18"/>
      <w:szCs w:val="18"/>
    </w:rPr>
  </w:style>
  <w:style w:type="character" w:customStyle="1" w:styleId="BalloonTextChar">
    <w:name w:val="Balloon Text Char"/>
    <w:basedOn w:val="DefaultParagraphFont"/>
    <w:link w:val="BalloonText"/>
    <w:semiHidden/>
    <w:rsid w:val="000C20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1146">
      <w:bodyDiv w:val="1"/>
      <w:marLeft w:val="0"/>
      <w:marRight w:val="0"/>
      <w:marTop w:val="0"/>
      <w:marBottom w:val="0"/>
      <w:divBdr>
        <w:top w:val="none" w:sz="0" w:space="0" w:color="auto"/>
        <w:left w:val="none" w:sz="0" w:space="0" w:color="auto"/>
        <w:bottom w:val="none" w:sz="0" w:space="0" w:color="auto"/>
        <w:right w:val="none" w:sz="0" w:space="0" w:color="auto"/>
      </w:divBdr>
      <w:divsChild>
        <w:div w:id="1464620805">
          <w:marLeft w:val="0"/>
          <w:marRight w:val="0"/>
          <w:marTop w:val="0"/>
          <w:marBottom w:val="0"/>
          <w:divBdr>
            <w:top w:val="none" w:sz="0" w:space="0" w:color="auto"/>
            <w:left w:val="none" w:sz="0" w:space="0" w:color="auto"/>
            <w:bottom w:val="none" w:sz="0" w:space="0" w:color="auto"/>
            <w:right w:val="none" w:sz="0" w:space="0" w:color="auto"/>
          </w:divBdr>
          <w:divsChild>
            <w:div w:id="1429539866">
              <w:marLeft w:val="0"/>
              <w:marRight w:val="0"/>
              <w:marTop w:val="0"/>
              <w:marBottom w:val="0"/>
              <w:divBdr>
                <w:top w:val="none" w:sz="0" w:space="0" w:color="auto"/>
                <w:left w:val="none" w:sz="0" w:space="0" w:color="auto"/>
                <w:bottom w:val="none" w:sz="0" w:space="0" w:color="auto"/>
                <w:right w:val="none" w:sz="0" w:space="0" w:color="auto"/>
              </w:divBdr>
              <w:divsChild>
                <w:div w:id="2451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6676">
      <w:bodyDiv w:val="1"/>
      <w:marLeft w:val="0"/>
      <w:marRight w:val="0"/>
      <w:marTop w:val="0"/>
      <w:marBottom w:val="0"/>
      <w:divBdr>
        <w:top w:val="none" w:sz="0" w:space="0" w:color="auto"/>
        <w:left w:val="none" w:sz="0" w:space="0" w:color="auto"/>
        <w:bottom w:val="none" w:sz="0" w:space="0" w:color="auto"/>
        <w:right w:val="none" w:sz="0" w:space="0" w:color="auto"/>
      </w:divBdr>
      <w:divsChild>
        <w:div w:id="1028218336">
          <w:marLeft w:val="0"/>
          <w:marRight w:val="0"/>
          <w:marTop w:val="0"/>
          <w:marBottom w:val="0"/>
          <w:divBdr>
            <w:top w:val="none" w:sz="0" w:space="0" w:color="auto"/>
            <w:left w:val="none" w:sz="0" w:space="0" w:color="auto"/>
            <w:bottom w:val="none" w:sz="0" w:space="0" w:color="auto"/>
            <w:right w:val="none" w:sz="0" w:space="0" w:color="auto"/>
          </w:divBdr>
          <w:divsChild>
            <w:div w:id="1154294885">
              <w:marLeft w:val="0"/>
              <w:marRight w:val="0"/>
              <w:marTop w:val="0"/>
              <w:marBottom w:val="0"/>
              <w:divBdr>
                <w:top w:val="none" w:sz="0" w:space="0" w:color="auto"/>
                <w:left w:val="none" w:sz="0" w:space="0" w:color="auto"/>
                <w:bottom w:val="none" w:sz="0" w:space="0" w:color="auto"/>
                <w:right w:val="none" w:sz="0" w:space="0" w:color="auto"/>
              </w:divBdr>
              <w:divsChild>
                <w:div w:id="124630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8382">
      <w:bodyDiv w:val="1"/>
      <w:marLeft w:val="0"/>
      <w:marRight w:val="0"/>
      <w:marTop w:val="0"/>
      <w:marBottom w:val="0"/>
      <w:divBdr>
        <w:top w:val="none" w:sz="0" w:space="0" w:color="auto"/>
        <w:left w:val="none" w:sz="0" w:space="0" w:color="auto"/>
        <w:bottom w:val="none" w:sz="0" w:space="0" w:color="auto"/>
        <w:right w:val="none" w:sz="0" w:space="0" w:color="auto"/>
      </w:divBdr>
      <w:divsChild>
        <w:div w:id="1135441398">
          <w:marLeft w:val="0"/>
          <w:marRight w:val="0"/>
          <w:marTop w:val="0"/>
          <w:marBottom w:val="0"/>
          <w:divBdr>
            <w:top w:val="none" w:sz="0" w:space="0" w:color="auto"/>
            <w:left w:val="none" w:sz="0" w:space="0" w:color="auto"/>
            <w:bottom w:val="none" w:sz="0" w:space="0" w:color="auto"/>
            <w:right w:val="none" w:sz="0" w:space="0" w:color="auto"/>
          </w:divBdr>
          <w:divsChild>
            <w:div w:id="769354251">
              <w:marLeft w:val="0"/>
              <w:marRight w:val="0"/>
              <w:marTop w:val="0"/>
              <w:marBottom w:val="0"/>
              <w:divBdr>
                <w:top w:val="none" w:sz="0" w:space="0" w:color="auto"/>
                <w:left w:val="none" w:sz="0" w:space="0" w:color="auto"/>
                <w:bottom w:val="none" w:sz="0" w:space="0" w:color="auto"/>
                <w:right w:val="none" w:sz="0" w:space="0" w:color="auto"/>
              </w:divBdr>
              <w:divsChild>
                <w:div w:id="1058821650">
                  <w:marLeft w:val="0"/>
                  <w:marRight w:val="0"/>
                  <w:marTop w:val="0"/>
                  <w:marBottom w:val="0"/>
                  <w:divBdr>
                    <w:top w:val="none" w:sz="0" w:space="0" w:color="auto"/>
                    <w:left w:val="none" w:sz="0" w:space="0" w:color="auto"/>
                    <w:bottom w:val="none" w:sz="0" w:space="0" w:color="auto"/>
                    <w:right w:val="none" w:sz="0" w:space="0" w:color="auto"/>
                  </w:divBdr>
                  <w:divsChild>
                    <w:div w:id="831222176">
                      <w:marLeft w:val="0"/>
                      <w:marRight w:val="0"/>
                      <w:marTop w:val="0"/>
                      <w:marBottom w:val="0"/>
                      <w:divBdr>
                        <w:top w:val="none" w:sz="0" w:space="0" w:color="auto"/>
                        <w:left w:val="none" w:sz="0" w:space="0" w:color="auto"/>
                        <w:bottom w:val="none" w:sz="0" w:space="0" w:color="auto"/>
                        <w:right w:val="none" w:sz="0" w:space="0" w:color="auto"/>
                      </w:divBdr>
                    </w:div>
                  </w:divsChild>
                </w:div>
                <w:div w:id="2022125796">
                  <w:marLeft w:val="0"/>
                  <w:marRight w:val="0"/>
                  <w:marTop w:val="0"/>
                  <w:marBottom w:val="0"/>
                  <w:divBdr>
                    <w:top w:val="none" w:sz="0" w:space="0" w:color="auto"/>
                    <w:left w:val="none" w:sz="0" w:space="0" w:color="auto"/>
                    <w:bottom w:val="none" w:sz="0" w:space="0" w:color="auto"/>
                    <w:right w:val="none" w:sz="0" w:space="0" w:color="auto"/>
                  </w:divBdr>
                  <w:divsChild>
                    <w:div w:id="573047818">
                      <w:marLeft w:val="0"/>
                      <w:marRight w:val="0"/>
                      <w:marTop w:val="0"/>
                      <w:marBottom w:val="0"/>
                      <w:divBdr>
                        <w:top w:val="none" w:sz="0" w:space="0" w:color="auto"/>
                        <w:left w:val="none" w:sz="0" w:space="0" w:color="auto"/>
                        <w:bottom w:val="none" w:sz="0" w:space="0" w:color="auto"/>
                        <w:right w:val="none" w:sz="0" w:space="0" w:color="auto"/>
                      </w:divBdr>
                    </w:div>
                  </w:divsChild>
                </w:div>
                <w:div w:id="1823811026">
                  <w:marLeft w:val="0"/>
                  <w:marRight w:val="0"/>
                  <w:marTop w:val="0"/>
                  <w:marBottom w:val="0"/>
                  <w:divBdr>
                    <w:top w:val="none" w:sz="0" w:space="0" w:color="auto"/>
                    <w:left w:val="none" w:sz="0" w:space="0" w:color="auto"/>
                    <w:bottom w:val="none" w:sz="0" w:space="0" w:color="auto"/>
                    <w:right w:val="none" w:sz="0" w:space="0" w:color="auto"/>
                  </w:divBdr>
                  <w:divsChild>
                    <w:div w:id="793254490">
                      <w:marLeft w:val="0"/>
                      <w:marRight w:val="0"/>
                      <w:marTop w:val="0"/>
                      <w:marBottom w:val="0"/>
                      <w:divBdr>
                        <w:top w:val="none" w:sz="0" w:space="0" w:color="auto"/>
                        <w:left w:val="none" w:sz="0" w:space="0" w:color="auto"/>
                        <w:bottom w:val="none" w:sz="0" w:space="0" w:color="auto"/>
                        <w:right w:val="none" w:sz="0" w:space="0" w:color="auto"/>
                      </w:divBdr>
                    </w:div>
                    <w:div w:id="1849369592">
                      <w:marLeft w:val="0"/>
                      <w:marRight w:val="0"/>
                      <w:marTop w:val="0"/>
                      <w:marBottom w:val="0"/>
                      <w:divBdr>
                        <w:top w:val="none" w:sz="0" w:space="0" w:color="auto"/>
                        <w:left w:val="none" w:sz="0" w:space="0" w:color="auto"/>
                        <w:bottom w:val="none" w:sz="0" w:space="0" w:color="auto"/>
                        <w:right w:val="none" w:sz="0" w:space="0" w:color="auto"/>
                      </w:divBdr>
                    </w:div>
                  </w:divsChild>
                </w:div>
                <w:div w:id="1214123056">
                  <w:marLeft w:val="0"/>
                  <w:marRight w:val="0"/>
                  <w:marTop w:val="0"/>
                  <w:marBottom w:val="0"/>
                  <w:divBdr>
                    <w:top w:val="none" w:sz="0" w:space="0" w:color="auto"/>
                    <w:left w:val="none" w:sz="0" w:space="0" w:color="auto"/>
                    <w:bottom w:val="none" w:sz="0" w:space="0" w:color="auto"/>
                    <w:right w:val="none" w:sz="0" w:space="0" w:color="auto"/>
                  </w:divBdr>
                  <w:divsChild>
                    <w:div w:id="157157068">
                      <w:marLeft w:val="0"/>
                      <w:marRight w:val="0"/>
                      <w:marTop w:val="0"/>
                      <w:marBottom w:val="0"/>
                      <w:divBdr>
                        <w:top w:val="none" w:sz="0" w:space="0" w:color="auto"/>
                        <w:left w:val="none" w:sz="0" w:space="0" w:color="auto"/>
                        <w:bottom w:val="none" w:sz="0" w:space="0" w:color="auto"/>
                        <w:right w:val="none" w:sz="0" w:space="0" w:color="auto"/>
                      </w:divBdr>
                    </w:div>
                  </w:divsChild>
                </w:div>
                <w:div w:id="131019003">
                  <w:marLeft w:val="0"/>
                  <w:marRight w:val="0"/>
                  <w:marTop w:val="0"/>
                  <w:marBottom w:val="0"/>
                  <w:divBdr>
                    <w:top w:val="none" w:sz="0" w:space="0" w:color="auto"/>
                    <w:left w:val="none" w:sz="0" w:space="0" w:color="auto"/>
                    <w:bottom w:val="none" w:sz="0" w:space="0" w:color="auto"/>
                    <w:right w:val="none" w:sz="0" w:space="0" w:color="auto"/>
                  </w:divBdr>
                  <w:divsChild>
                    <w:div w:id="571354916">
                      <w:marLeft w:val="0"/>
                      <w:marRight w:val="0"/>
                      <w:marTop w:val="0"/>
                      <w:marBottom w:val="0"/>
                      <w:divBdr>
                        <w:top w:val="none" w:sz="0" w:space="0" w:color="auto"/>
                        <w:left w:val="none" w:sz="0" w:space="0" w:color="auto"/>
                        <w:bottom w:val="none" w:sz="0" w:space="0" w:color="auto"/>
                        <w:right w:val="none" w:sz="0" w:space="0" w:color="auto"/>
                      </w:divBdr>
                    </w:div>
                    <w:div w:id="54114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99147">
      <w:bodyDiv w:val="1"/>
      <w:marLeft w:val="0"/>
      <w:marRight w:val="0"/>
      <w:marTop w:val="0"/>
      <w:marBottom w:val="0"/>
      <w:divBdr>
        <w:top w:val="none" w:sz="0" w:space="0" w:color="auto"/>
        <w:left w:val="none" w:sz="0" w:space="0" w:color="auto"/>
        <w:bottom w:val="none" w:sz="0" w:space="0" w:color="auto"/>
        <w:right w:val="none" w:sz="0" w:space="0" w:color="auto"/>
      </w:divBdr>
      <w:divsChild>
        <w:div w:id="1201555885">
          <w:marLeft w:val="0"/>
          <w:marRight w:val="0"/>
          <w:marTop w:val="0"/>
          <w:marBottom w:val="0"/>
          <w:divBdr>
            <w:top w:val="none" w:sz="0" w:space="0" w:color="auto"/>
            <w:left w:val="none" w:sz="0" w:space="0" w:color="auto"/>
            <w:bottom w:val="none" w:sz="0" w:space="0" w:color="auto"/>
            <w:right w:val="none" w:sz="0" w:space="0" w:color="auto"/>
          </w:divBdr>
          <w:divsChild>
            <w:div w:id="1434981302">
              <w:marLeft w:val="0"/>
              <w:marRight w:val="0"/>
              <w:marTop w:val="0"/>
              <w:marBottom w:val="0"/>
              <w:divBdr>
                <w:top w:val="none" w:sz="0" w:space="0" w:color="auto"/>
                <w:left w:val="none" w:sz="0" w:space="0" w:color="auto"/>
                <w:bottom w:val="none" w:sz="0" w:space="0" w:color="auto"/>
                <w:right w:val="none" w:sz="0" w:space="0" w:color="auto"/>
              </w:divBdr>
              <w:divsChild>
                <w:div w:id="126878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5586">
      <w:bodyDiv w:val="1"/>
      <w:marLeft w:val="0"/>
      <w:marRight w:val="0"/>
      <w:marTop w:val="0"/>
      <w:marBottom w:val="0"/>
      <w:divBdr>
        <w:top w:val="none" w:sz="0" w:space="0" w:color="auto"/>
        <w:left w:val="none" w:sz="0" w:space="0" w:color="auto"/>
        <w:bottom w:val="none" w:sz="0" w:space="0" w:color="auto"/>
        <w:right w:val="none" w:sz="0" w:space="0" w:color="auto"/>
      </w:divBdr>
      <w:divsChild>
        <w:div w:id="403186837">
          <w:marLeft w:val="0"/>
          <w:marRight w:val="0"/>
          <w:marTop w:val="0"/>
          <w:marBottom w:val="0"/>
          <w:divBdr>
            <w:top w:val="none" w:sz="0" w:space="0" w:color="auto"/>
            <w:left w:val="none" w:sz="0" w:space="0" w:color="auto"/>
            <w:bottom w:val="none" w:sz="0" w:space="0" w:color="auto"/>
            <w:right w:val="none" w:sz="0" w:space="0" w:color="auto"/>
          </w:divBdr>
          <w:divsChild>
            <w:div w:id="437481130">
              <w:marLeft w:val="0"/>
              <w:marRight w:val="0"/>
              <w:marTop w:val="0"/>
              <w:marBottom w:val="0"/>
              <w:divBdr>
                <w:top w:val="none" w:sz="0" w:space="0" w:color="auto"/>
                <w:left w:val="none" w:sz="0" w:space="0" w:color="auto"/>
                <w:bottom w:val="none" w:sz="0" w:space="0" w:color="auto"/>
                <w:right w:val="none" w:sz="0" w:space="0" w:color="auto"/>
              </w:divBdr>
              <w:divsChild>
                <w:div w:id="413473748">
                  <w:marLeft w:val="0"/>
                  <w:marRight w:val="0"/>
                  <w:marTop w:val="0"/>
                  <w:marBottom w:val="0"/>
                  <w:divBdr>
                    <w:top w:val="none" w:sz="0" w:space="0" w:color="auto"/>
                    <w:left w:val="none" w:sz="0" w:space="0" w:color="auto"/>
                    <w:bottom w:val="none" w:sz="0" w:space="0" w:color="auto"/>
                    <w:right w:val="none" w:sz="0" w:space="0" w:color="auto"/>
                  </w:divBdr>
                  <w:divsChild>
                    <w:div w:id="153376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504081">
      <w:bodyDiv w:val="1"/>
      <w:marLeft w:val="0"/>
      <w:marRight w:val="0"/>
      <w:marTop w:val="0"/>
      <w:marBottom w:val="0"/>
      <w:divBdr>
        <w:top w:val="none" w:sz="0" w:space="0" w:color="auto"/>
        <w:left w:val="none" w:sz="0" w:space="0" w:color="auto"/>
        <w:bottom w:val="none" w:sz="0" w:space="0" w:color="auto"/>
        <w:right w:val="none" w:sz="0" w:space="0" w:color="auto"/>
      </w:divBdr>
      <w:divsChild>
        <w:div w:id="1601328104">
          <w:marLeft w:val="0"/>
          <w:marRight w:val="0"/>
          <w:marTop w:val="0"/>
          <w:marBottom w:val="0"/>
          <w:divBdr>
            <w:top w:val="none" w:sz="0" w:space="0" w:color="auto"/>
            <w:left w:val="none" w:sz="0" w:space="0" w:color="auto"/>
            <w:bottom w:val="none" w:sz="0" w:space="0" w:color="auto"/>
            <w:right w:val="none" w:sz="0" w:space="0" w:color="auto"/>
          </w:divBdr>
          <w:divsChild>
            <w:div w:id="332072115">
              <w:marLeft w:val="0"/>
              <w:marRight w:val="0"/>
              <w:marTop w:val="0"/>
              <w:marBottom w:val="0"/>
              <w:divBdr>
                <w:top w:val="none" w:sz="0" w:space="0" w:color="auto"/>
                <w:left w:val="none" w:sz="0" w:space="0" w:color="auto"/>
                <w:bottom w:val="none" w:sz="0" w:space="0" w:color="auto"/>
                <w:right w:val="none" w:sz="0" w:space="0" w:color="auto"/>
              </w:divBdr>
              <w:divsChild>
                <w:div w:id="84452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182506">
      <w:bodyDiv w:val="1"/>
      <w:marLeft w:val="0"/>
      <w:marRight w:val="0"/>
      <w:marTop w:val="0"/>
      <w:marBottom w:val="0"/>
      <w:divBdr>
        <w:top w:val="none" w:sz="0" w:space="0" w:color="auto"/>
        <w:left w:val="none" w:sz="0" w:space="0" w:color="auto"/>
        <w:bottom w:val="none" w:sz="0" w:space="0" w:color="auto"/>
        <w:right w:val="none" w:sz="0" w:space="0" w:color="auto"/>
      </w:divBdr>
    </w:div>
    <w:div w:id="291791989">
      <w:bodyDiv w:val="1"/>
      <w:marLeft w:val="0"/>
      <w:marRight w:val="0"/>
      <w:marTop w:val="0"/>
      <w:marBottom w:val="0"/>
      <w:divBdr>
        <w:top w:val="none" w:sz="0" w:space="0" w:color="auto"/>
        <w:left w:val="none" w:sz="0" w:space="0" w:color="auto"/>
        <w:bottom w:val="none" w:sz="0" w:space="0" w:color="auto"/>
        <w:right w:val="none" w:sz="0" w:space="0" w:color="auto"/>
      </w:divBdr>
      <w:divsChild>
        <w:div w:id="449475999">
          <w:marLeft w:val="0"/>
          <w:marRight w:val="0"/>
          <w:marTop w:val="0"/>
          <w:marBottom w:val="0"/>
          <w:divBdr>
            <w:top w:val="none" w:sz="0" w:space="0" w:color="auto"/>
            <w:left w:val="none" w:sz="0" w:space="0" w:color="auto"/>
            <w:bottom w:val="none" w:sz="0" w:space="0" w:color="auto"/>
            <w:right w:val="none" w:sz="0" w:space="0" w:color="auto"/>
          </w:divBdr>
          <w:divsChild>
            <w:div w:id="441725456">
              <w:marLeft w:val="0"/>
              <w:marRight w:val="0"/>
              <w:marTop w:val="0"/>
              <w:marBottom w:val="0"/>
              <w:divBdr>
                <w:top w:val="none" w:sz="0" w:space="0" w:color="auto"/>
                <w:left w:val="none" w:sz="0" w:space="0" w:color="auto"/>
                <w:bottom w:val="none" w:sz="0" w:space="0" w:color="auto"/>
                <w:right w:val="none" w:sz="0" w:space="0" w:color="auto"/>
              </w:divBdr>
              <w:divsChild>
                <w:div w:id="23528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721820">
      <w:bodyDiv w:val="1"/>
      <w:marLeft w:val="0"/>
      <w:marRight w:val="0"/>
      <w:marTop w:val="0"/>
      <w:marBottom w:val="0"/>
      <w:divBdr>
        <w:top w:val="none" w:sz="0" w:space="0" w:color="auto"/>
        <w:left w:val="none" w:sz="0" w:space="0" w:color="auto"/>
        <w:bottom w:val="none" w:sz="0" w:space="0" w:color="auto"/>
        <w:right w:val="none" w:sz="0" w:space="0" w:color="auto"/>
      </w:divBdr>
      <w:divsChild>
        <w:div w:id="578297528">
          <w:marLeft w:val="0"/>
          <w:marRight w:val="0"/>
          <w:marTop w:val="0"/>
          <w:marBottom w:val="0"/>
          <w:divBdr>
            <w:top w:val="none" w:sz="0" w:space="0" w:color="auto"/>
            <w:left w:val="none" w:sz="0" w:space="0" w:color="auto"/>
            <w:bottom w:val="none" w:sz="0" w:space="0" w:color="auto"/>
            <w:right w:val="none" w:sz="0" w:space="0" w:color="auto"/>
          </w:divBdr>
          <w:divsChild>
            <w:div w:id="57098315">
              <w:marLeft w:val="0"/>
              <w:marRight w:val="0"/>
              <w:marTop w:val="0"/>
              <w:marBottom w:val="0"/>
              <w:divBdr>
                <w:top w:val="none" w:sz="0" w:space="0" w:color="auto"/>
                <w:left w:val="none" w:sz="0" w:space="0" w:color="auto"/>
                <w:bottom w:val="none" w:sz="0" w:space="0" w:color="auto"/>
                <w:right w:val="none" w:sz="0" w:space="0" w:color="auto"/>
              </w:divBdr>
              <w:divsChild>
                <w:div w:id="156028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635103">
      <w:bodyDiv w:val="1"/>
      <w:marLeft w:val="0"/>
      <w:marRight w:val="0"/>
      <w:marTop w:val="0"/>
      <w:marBottom w:val="0"/>
      <w:divBdr>
        <w:top w:val="none" w:sz="0" w:space="0" w:color="auto"/>
        <w:left w:val="none" w:sz="0" w:space="0" w:color="auto"/>
        <w:bottom w:val="none" w:sz="0" w:space="0" w:color="auto"/>
        <w:right w:val="none" w:sz="0" w:space="0" w:color="auto"/>
      </w:divBdr>
      <w:divsChild>
        <w:div w:id="1819103805">
          <w:marLeft w:val="0"/>
          <w:marRight w:val="0"/>
          <w:marTop w:val="0"/>
          <w:marBottom w:val="0"/>
          <w:divBdr>
            <w:top w:val="none" w:sz="0" w:space="0" w:color="auto"/>
            <w:left w:val="none" w:sz="0" w:space="0" w:color="auto"/>
            <w:bottom w:val="none" w:sz="0" w:space="0" w:color="auto"/>
            <w:right w:val="none" w:sz="0" w:space="0" w:color="auto"/>
          </w:divBdr>
          <w:divsChild>
            <w:div w:id="85810445">
              <w:marLeft w:val="0"/>
              <w:marRight w:val="0"/>
              <w:marTop w:val="0"/>
              <w:marBottom w:val="0"/>
              <w:divBdr>
                <w:top w:val="none" w:sz="0" w:space="0" w:color="auto"/>
                <w:left w:val="none" w:sz="0" w:space="0" w:color="auto"/>
                <w:bottom w:val="none" w:sz="0" w:space="0" w:color="auto"/>
                <w:right w:val="none" w:sz="0" w:space="0" w:color="auto"/>
              </w:divBdr>
              <w:divsChild>
                <w:div w:id="137746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17344">
      <w:bodyDiv w:val="1"/>
      <w:marLeft w:val="0"/>
      <w:marRight w:val="0"/>
      <w:marTop w:val="0"/>
      <w:marBottom w:val="0"/>
      <w:divBdr>
        <w:top w:val="none" w:sz="0" w:space="0" w:color="auto"/>
        <w:left w:val="none" w:sz="0" w:space="0" w:color="auto"/>
        <w:bottom w:val="none" w:sz="0" w:space="0" w:color="auto"/>
        <w:right w:val="none" w:sz="0" w:space="0" w:color="auto"/>
      </w:divBdr>
      <w:divsChild>
        <w:div w:id="351540556">
          <w:marLeft w:val="0"/>
          <w:marRight w:val="0"/>
          <w:marTop w:val="0"/>
          <w:marBottom w:val="0"/>
          <w:divBdr>
            <w:top w:val="none" w:sz="0" w:space="0" w:color="auto"/>
            <w:left w:val="none" w:sz="0" w:space="0" w:color="auto"/>
            <w:bottom w:val="none" w:sz="0" w:space="0" w:color="auto"/>
            <w:right w:val="none" w:sz="0" w:space="0" w:color="auto"/>
          </w:divBdr>
          <w:divsChild>
            <w:div w:id="693577061">
              <w:marLeft w:val="0"/>
              <w:marRight w:val="0"/>
              <w:marTop w:val="0"/>
              <w:marBottom w:val="0"/>
              <w:divBdr>
                <w:top w:val="none" w:sz="0" w:space="0" w:color="auto"/>
                <w:left w:val="none" w:sz="0" w:space="0" w:color="auto"/>
                <w:bottom w:val="none" w:sz="0" w:space="0" w:color="auto"/>
                <w:right w:val="none" w:sz="0" w:space="0" w:color="auto"/>
              </w:divBdr>
              <w:divsChild>
                <w:div w:id="1572620681">
                  <w:marLeft w:val="0"/>
                  <w:marRight w:val="0"/>
                  <w:marTop w:val="0"/>
                  <w:marBottom w:val="0"/>
                  <w:divBdr>
                    <w:top w:val="none" w:sz="0" w:space="0" w:color="auto"/>
                    <w:left w:val="none" w:sz="0" w:space="0" w:color="auto"/>
                    <w:bottom w:val="none" w:sz="0" w:space="0" w:color="auto"/>
                    <w:right w:val="none" w:sz="0" w:space="0" w:color="auto"/>
                  </w:divBdr>
                  <w:divsChild>
                    <w:div w:id="15293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418598">
      <w:bodyDiv w:val="1"/>
      <w:marLeft w:val="0"/>
      <w:marRight w:val="0"/>
      <w:marTop w:val="0"/>
      <w:marBottom w:val="0"/>
      <w:divBdr>
        <w:top w:val="none" w:sz="0" w:space="0" w:color="auto"/>
        <w:left w:val="none" w:sz="0" w:space="0" w:color="auto"/>
        <w:bottom w:val="none" w:sz="0" w:space="0" w:color="auto"/>
        <w:right w:val="none" w:sz="0" w:space="0" w:color="auto"/>
      </w:divBdr>
      <w:divsChild>
        <w:div w:id="34891664">
          <w:marLeft w:val="0"/>
          <w:marRight w:val="0"/>
          <w:marTop w:val="0"/>
          <w:marBottom w:val="0"/>
          <w:divBdr>
            <w:top w:val="none" w:sz="0" w:space="0" w:color="auto"/>
            <w:left w:val="none" w:sz="0" w:space="0" w:color="auto"/>
            <w:bottom w:val="none" w:sz="0" w:space="0" w:color="auto"/>
            <w:right w:val="none" w:sz="0" w:space="0" w:color="auto"/>
          </w:divBdr>
          <w:divsChild>
            <w:div w:id="915017786">
              <w:marLeft w:val="0"/>
              <w:marRight w:val="0"/>
              <w:marTop w:val="0"/>
              <w:marBottom w:val="0"/>
              <w:divBdr>
                <w:top w:val="none" w:sz="0" w:space="0" w:color="auto"/>
                <w:left w:val="none" w:sz="0" w:space="0" w:color="auto"/>
                <w:bottom w:val="none" w:sz="0" w:space="0" w:color="auto"/>
                <w:right w:val="none" w:sz="0" w:space="0" w:color="auto"/>
              </w:divBdr>
              <w:divsChild>
                <w:div w:id="73069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983230">
      <w:bodyDiv w:val="1"/>
      <w:marLeft w:val="0"/>
      <w:marRight w:val="0"/>
      <w:marTop w:val="0"/>
      <w:marBottom w:val="0"/>
      <w:divBdr>
        <w:top w:val="none" w:sz="0" w:space="0" w:color="auto"/>
        <w:left w:val="none" w:sz="0" w:space="0" w:color="auto"/>
        <w:bottom w:val="none" w:sz="0" w:space="0" w:color="auto"/>
        <w:right w:val="none" w:sz="0" w:space="0" w:color="auto"/>
      </w:divBdr>
      <w:divsChild>
        <w:div w:id="985744863">
          <w:marLeft w:val="0"/>
          <w:marRight w:val="0"/>
          <w:marTop w:val="0"/>
          <w:marBottom w:val="0"/>
          <w:divBdr>
            <w:top w:val="none" w:sz="0" w:space="0" w:color="auto"/>
            <w:left w:val="none" w:sz="0" w:space="0" w:color="auto"/>
            <w:bottom w:val="none" w:sz="0" w:space="0" w:color="auto"/>
            <w:right w:val="none" w:sz="0" w:space="0" w:color="auto"/>
          </w:divBdr>
          <w:divsChild>
            <w:div w:id="737020577">
              <w:marLeft w:val="0"/>
              <w:marRight w:val="0"/>
              <w:marTop w:val="0"/>
              <w:marBottom w:val="0"/>
              <w:divBdr>
                <w:top w:val="none" w:sz="0" w:space="0" w:color="auto"/>
                <w:left w:val="none" w:sz="0" w:space="0" w:color="auto"/>
                <w:bottom w:val="none" w:sz="0" w:space="0" w:color="auto"/>
                <w:right w:val="none" w:sz="0" w:space="0" w:color="auto"/>
              </w:divBdr>
              <w:divsChild>
                <w:div w:id="1747536629">
                  <w:marLeft w:val="0"/>
                  <w:marRight w:val="0"/>
                  <w:marTop w:val="0"/>
                  <w:marBottom w:val="0"/>
                  <w:divBdr>
                    <w:top w:val="none" w:sz="0" w:space="0" w:color="auto"/>
                    <w:left w:val="none" w:sz="0" w:space="0" w:color="auto"/>
                    <w:bottom w:val="none" w:sz="0" w:space="0" w:color="auto"/>
                    <w:right w:val="none" w:sz="0" w:space="0" w:color="auto"/>
                  </w:divBdr>
                  <w:divsChild>
                    <w:div w:id="33449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75407">
      <w:bodyDiv w:val="1"/>
      <w:marLeft w:val="0"/>
      <w:marRight w:val="0"/>
      <w:marTop w:val="0"/>
      <w:marBottom w:val="0"/>
      <w:divBdr>
        <w:top w:val="none" w:sz="0" w:space="0" w:color="auto"/>
        <w:left w:val="none" w:sz="0" w:space="0" w:color="auto"/>
        <w:bottom w:val="none" w:sz="0" w:space="0" w:color="auto"/>
        <w:right w:val="none" w:sz="0" w:space="0" w:color="auto"/>
      </w:divBdr>
      <w:divsChild>
        <w:div w:id="648946688">
          <w:marLeft w:val="0"/>
          <w:marRight w:val="0"/>
          <w:marTop w:val="0"/>
          <w:marBottom w:val="0"/>
          <w:divBdr>
            <w:top w:val="none" w:sz="0" w:space="0" w:color="auto"/>
            <w:left w:val="none" w:sz="0" w:space="0" w:color="auto"/>
            <w:bottom w:val="none" w:sz="0" w:space="0" w:color="auto"/>
            <w:right w:val="none" w:sz="0" w:space="0" w:color="auto"/>
          </w:divBdr>
          <w:divsChild>
            <w:div w:id="390662582">
              <w:marLeft w:val="0"/>
              <w:marRight w:val="0"/>
              <w:marTop w:val="0"/>
              <w:marBottom w:val="0"/>
              <w:divBdr>
                <w:top w:val="none" w:sz="0" w:space="0" w:color="auto"/>
                <w:left w:val="none" w:sz="0" w:space="0" w:color="auto"/>
                <w:bottom w:val="none" w:sz="0" w:space="0" w:color="auto"/>
                <w:right w:val="none" w:sz="0" w:space="0" w:color="auto"/>
              </w:divBdr>
              <w:divsChild>
                <w:div w:id="9282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90226">
      <w:bodyDiv w:val="1"/>
      <w:marLeft w:val="0"/>
      <w:marRight w:val="0"/>
      <w:marTop w:val="0"/>
      <w:marBottom w:val="0"/>
      <w:divBdr>
        <w:top w:val="none" w:sz="0" w:space="0" w:color="auto"/>
        <w:left w:val="none" w:sz="0" w:space="0" w:color="auto"/>
        <w:bottom w:val="none" w:sz="0" w:space="0" w:color="auto"/>
        <w:right w:val="none" w:sz="0" w:space="0" w:color="auto"/>
      </w:divBdr>
      <w:divsChild>
        <w:div w:id="1817601416">
          <w:marLeft w:val="0"/>
          <w:marRight w:val="0"/>
          <w:marTop w:val="0"/>
          <w:marBottom w:val="0"/>
          <w:divBdr>
            <w:top w:val="none" w:sz="0" w:space="0" w:color="auto"/>
            <w:left w:val="none" w:sz="0" w:space="0" w:color="auto"/>
            <w:bottom w:val="none" w:sz="0" w:space="0" w:color="auto"/>
            <w:right w:val="none" w:sz="0" w:space="0" w:color="auto"/>
          </w:divBdr>
          <w:divsChild>
            <w:div w:id="134228868">
              <w:marLeft w:val="0"/>
              <w:marRight w:val="0"/>
              <w:marTop w:val="0"/>
              <w:marBottom w:val="0"/>
              <w:divBdr>
                <w:top w:val="none" w:sz="0" w:space="0" w:color="auto"/>
                <w:left w:val="none" w:sz="0" w:space="0" w:color="auto"/>
                <w:bottom w:val="none" w:sz="0" w:space="0" w:color="auto"/>
                <w:right w:val="none" w:sz="0" w:space="0" w:color="auto"/>
              </w:divBdr>
              <w:divsChild>
                <w:div w:id="103770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994993">
      <w:bodyDiv w:val="1"/>
      <w:marLeft w:val="0"/>
      <w:marRight w:val="0"/>
      <w:marTop w:val="0"/>
      <w:marBottom w:val="0"/>
      <w:divBdr>
        <w:top w:val="none" w:sz="0" w:space="0" w:color="auto"/>
        <w:left w:val="none" w:sz="0" w:space="0" w:color="auto"/>
        <w:bottom w:val="none" w:sz="0" w:space="0" w:color="auto"/>
        <w:right w:val="none" w:sz="0" w:space="0" w:color="auto"/>
      </w:divBdr>
      <w:divsChild>
        <w:div w:id="751438697">
          <w:marLeft w:val="0"/>
          <w:marRight w:val="0"/>
          <w:marTop w:val="0"/>
          <w:marBottom w:val="0"/>
          <w:divBdr>
            <w:top w:val="none" w:sz="0" w:space="0" w:color="auto"/>
            <w:left w:val="none" w:sz="0" w:space="0" w:color="auto"/>
            <w:bottom w:val="none" w:sz="0" w:space="0" w:color="auto"/>
            <w:right w:val="none" w:sz="0" w:space="0" w:color="auto"/>
          </w:divBdr>
          <w:divsChild>
            <w:div w:id="1810702593">
              <w:marLeft w:val="0"/>
              <w:marRight w:val="0"/>
              <w:marTop w:val="0"/>
              <w:marBottom w:val="0"/>
              <w:divBdr>
                <w:top w:val="none" w:sz="0" w:space="0" w:color="auto"/>
                <w:left w:val="none" w:sz="0" w:space="0" w:color="auto"/>
                <w:bottom w:val="none" w:sz="0" w:space="0" w:color="auto"/>
                <w:right w:val="none" w:sz="0" w:space="0" w:color="auto"/>
              </w:divBdr>
              <w:divsChild>
                <w:div w:id="203307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736384">
      <w:bodyDiv w:val="1"/>
      <w:marLeft w:val="0"/>
      <w:marRight w:val="0"/>
      <w:marTop w:val="0"/>
      <w:marBottom w:val="0"/>
      <w:divBdr>
        <w:top w:val="none" w:sz="0" w:space="0" w:color="auto"/>
        <w:left w:val="none" w:sz="0" w:space="0" w:color="auto"/>
        <w:bottom w:val="none" w:sz="0" w:space="0" w:color="auto"/>
        <w:right w:val="none" w:sz="0" w:space="0" w:color="auto"/>
      </w:divBdr>
      <w:divsChild>
        <w:div w:id="767387723">
          <w:marLeft w:val="0"/>
          <w:marRight w:val="0"/>
          <w:marTop w:val="0"/>
          <w:marBottom w:val="0"/>
          <w:divBdr>
            <w:top w:val="none" w:sz="0" w:space="0" w:color="auto"/>
            <w:left w:val="none" w:sz="0" w:space="0" w:color="auto"/>
            <w:bottom w:val="none" w:sz="0" w:space="0" w:color="auto"/>
            <w:right w:val="none" w:sz="0" w:space="0" w:color="auto"/>
          </w:divBdr>
          <w:divsChild>
            <w:div w:id="116142638">
              <w:marLeft w:val="0"/>
              <w:marRight w:val="0"/>
              <w:marTop w:val="0"/>
              <w:marBottom w:val="0"/>
              <w:divBdr>
                <w:top w:val="none" w:sz="0" w:space="0" w:color="auto"/>
                <w:left w:val="none" w:sz="0" w:space="0" w:color="auto"/>
                <w:bottom w:val="none" w:sz="0" w:space="0" w:color="auto"/>
                <w:right w:val="none" w:sz="0" w:space="0" w:color="auto"/>
              </w:divBdr>
              <w:divsChild>
                <w:div w:id="1917976886">
                  <w:marLeft w:val="0"/>
                  <w:marRight w:val="0"/>
                  <w:marTop w:val="0"/>
                  <w:marBottom w:val="0"/>
                  <w:divBdr>
                    <w:top w:val="none" w:sz="0" w:space="0" w:color="auto"/>
                    <w:left w:val="none" w:sz="0" w:space="0" w:color="auto"/>
                    <w:bottom w:val="none" w:sz="0" w:space="0" w:color="auto"/>
                    <w:right w:val="none" w:sz="0" w:space="0" w:color="auto"/>
                  </w:divBdr>
                  <w:divsChild>
                    <w:div w:id="6760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360592">
      <w:bodyDiv w:val="1"/>
      <w:marLeft w:val="0"/>
      <w:marRight w:val="0"/>
      <w:marTop w:val="0"/>
      <w:marBottom w:val="0"/>
      <w:divBdr>
        <w:top w:val="none" w:sz="0" w:space="0" w:color="auto"/>
        <w:left w:val="none" w:sz="0" w:space="0" w:color="auto"/>
        <w:bottom w:val="none" w:sz="0" w:space="0" w:color="auto"/>
        <w:right w:val="none" w:sz="0" w:space="0" w:color="auto"/>
      </w:divBdr>
      <w:divsChild>
        <w:div w:id="243496059">
          <w:marLeft w:val="0"/>
          <w:marRight w:val="0"/>
          <w:marTop w:val="0"/>
          <w:marBottom w:val="0"/>
          <w:divBdr>
            <w:top w:val="none" w:sz="0" w:space="0" w:color="auto"/>
            <w:left w:val="none" w:sz="0" w:space="0" w:color="auto"/>
            <w:bottom w:val="none" w:sz="0" w:space="0" w:color="auto"/>
            <w:right w:val="none" w:sz="0" w:space="0" w:color="auto"/>
          </w:divBdr>
          <w:divsChild>
            <w:div w:id="1790854136">
              <w:marLeft w:val="0"/>
              <w:marRight w:val="0"/>
              <w:marTop w:val="0"/>
              <w:marBottom w:val="0"/>
              <w:divBdr>
                <w:top w:val="none" w:sz="0" w:space="0" w:color="auto"/>
                <w:left w:val="none" w:sz="0" w:space="0" w:color="auto"/>
                <w:bottom w:val="none" w:sz="0" w:space="0" w:color="auto"/>
                <w:right w:val="none" w:sz="0" w:space="0" w:color="auto"/>
              </w:divBdr>
              <w:divsChild>
                <w:div w:id="181097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89713">
      <w:bodyDiv w:val="1"/>
      <w:marLeft w:val="0"/>
      <w:marRight w:val="0"/>
      <w:marTop w:val="0"/>
      <w:marBottom w:val="0"/>
      <w:divBdr>
        <w:top w:val="none" w:sz="0" w:space="0" w:color="auto"/>
        <w:left w:val="none" w:sz="0" w:space="0" w:color="auto"/>
        <w:bottom w:val="none" w:sz="0" w:space="0" w:color="auto"/>
        <w:right w:val="none" w:sz="0" w:space="0" w:color="auto"/>
      </w:divBdr>
      <w:divsChild>
        <w:div w:id="434254963">
          <w:marLeft w:val="0"/>
          <w:marRight w:val="0"/>
          <w:marTop w:val="0"/>
          <w:marBottom w:val="0"/>
          <w:divBdr>
            <w:top w:val="none" w:sz="0" w:space="0" w:color="auto"/>
            <w:left w:val="none" w:sz="0" w:space="0" w:color="auto"/>
            <w:bottom w:val="none" w:sz="0" w:space="0" w:color="auto"/>
            <w:right w:val="none" w:sz="0" w:space="0" w:color="auto"/>
          </w:divBdr>
          <w:divsChild>
            <w:div w:id="206646195">
              <w:marLeft w:val="0"/>
              <w:marRight w:val="0"/>
              <w:marTop w:val="0"/>
              <w:marBottom w:val="0"/>
              <w:divBdr>
                <w:top w:val="none" w:sz="0" w:space="0" w:color="auto"/>
                <w:left w:val="none" w:sz="0" w:space="0" w:color="auto"/>
                <w:bottom w:val="none" w:sz="0" w:space="0" w:color="auto"/>
                <w:right w:val="none" w:sz="0" w:space="0" w:color="auto"/>
              </w:divBdr>
              <w:divsChild>
                <w:div w:id="1965112955">
                  <w:marLeft w:val="0"/>
                  <w:marRight w:val="0"/>
                  <w:marTop w:val="0"/>
                  <w:marBottom w:val="0"/>
                  <w:divBdr>
                    <w:top w:val="none" w:sz="0" w:space="0" w:color="auto"/>
                    <w:left w:val="none" w:sz="0" w:space="0" w:color="auto"/>
                    <w:bottom w:val="none" w:sz="0" w:space="0" w:color="auto"/>
                    <w:right w:val="none" w:sz="0" w:space="0" w:color="auto"/>
                  </w:divBdr>
                  <w:divsChild>
                    <w:div w:id="156660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739261">
      <w:bodyDiv w:val="1"/>
      <w:marLeft w:val="0"/>
      <w:marRight w:val="0"/>
      <w:marTop w:val="0"/>
      <w:marBottom w:val="0"/>
      <w:divBdr>
        <w:top w:val="none" w:sz="0" w:space="0" w:color="auto"/>
        <w:left w:val="none" w:sz="0" w:space="0" w:color="auto"/>
        <w:bottom w:val="none" w:sz="0" w:space="0" w:color="auto"/>
        <w:right w:val="none" w:sz="0" w:space="0" w:color="auto"/>
      </w:divBdr>
      <w:divsChild>
        <w:div w:id="179467801">
          <w:marLeft w:val="0"/>
          <w:marRight w:val="0"/>
          <w:marTop w:val="0"/>
          <w:marBottom w:val="0"/>
          <w:divBdr>
            <w:top w:val="none" w:sz="0" w:space="0" w:color="auto"/>
            <w:left w:val="none" w:sz="0" w:space="0" w:color="auto"/>
            <w:bottom w:val="none" w:sz="0" w:space="0" w:color="auto"/>
            <w:right w:val="none" w:sz="0" w:space="0" w:color="auto"/>
          </w:divBdr>
          <w:divsChild>
            <w:div w:id="1106118446">
              <w:marLeft w:val="0"/>
              <w:marRight w:val="0"/>
              <w:marTop w:val="0"/>
              <w:marBottom w:val="0"/>
              <w:divBdr>
                <w:top w:val="none" w:sz="0" w:space="0" w:color="auto"/>
                <w:left w:val="none" w:sz="0" w:space="0" w:color="auto"/>
                <w:bottom w:val="none" w:sz="0" w:space="0" w:color="auto"/>
                <w:right w:val="none" w:sz="0" w:space="0" w:color="auto"/>
              </w:divBdr>
              <w:divsChild>
                <w:div w:id="172741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20272">
      <w:bodyDiv w:val="1"/>
      <w:marLeft w:val="0"/>
      <w:marRight w:val="0"/>
      <w:marTop w:val="0"/>
      <w:marBottom w:val="0"/>
      <w:divBdr>
        <w:top w:val="none" w:sz="0" w:space="0" w:color="auto"/>
        <w:left w:val="none" w:sz="0" w:space="0" w:color="auto"/>
        <w:bottom w:val="none" w:sz="0" w:space="0" w:color="auto"/>
        <w:right w:val="none" w:sz="0" w:space="0" w:color="auto"/>
      </w:divBdr>
      <w:divsChild>
        <w:div w:id="1359158109">
          <w:marLeft w:val="0"/>
          <w:marRight w:val="0"/>
          <w:marTop w:val="0"/>
          <w:marBottom w:val="0"/>
          <w:divBdr>
            <w:top w:val="none" w:sz="0" w:space="0" w:color="auto"/>
            <w:left w:val="none" w:sz="0" w:space="0" w:color="auto"/>
            <w:bottom w:val="none" w:sz="0" w:space="0" w:color="auto"/>
            <w:right w:val="none" w:sz="0" w:space="0" w:color="auto"/>
          </w:divBdr>
          <w:divsChild>
            <w:div w:id="1023900956">
              <w:marLeft w:val="0"/>
              <w:marRight w:val="0"/>
              <w:marTop w:val="0"/>
              <w:marBottom w:val="0"/>
              <w:divBdr>
                <w:top w:val="none" w:sz="0" w:space="0" w:color="auto"/>
                <w:left w:val="none" w:sz="0" w:space="0" w:color="auto"/>
                <w:bottom w:val="none" w:sz="0" w:space="0" w:color="auto"/>
                <w:right w:val="none" w:sz="0" w:space="0" w:color="auto"/>
              </w:divBdr>
              <w:divsChild>
                <w:div w:id="10447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629681">
      <w:bodyDiv w:val="1"/>
      <w:marLeft w:val="0"/>
      <w:marRight w:val="0"/>
      <w:marTop w:val="0"/>
      <w:marBottom w:val="0"/>
      <w:divBdr>
        <w:top w:val="none" w:sz="0" w:space="0" w:color="auto"/>
        <w:left w:val="none" w:sz="0" w:space="0" w:color="auto"/>
        <w:bottom w:val="none" w:sz="0" w:space="0" w:color="auto"/>
        <w:right w:val="none" w:sz="0" w:space="0" w:color="auto"/>
      </w:divBdr>
      <w:divsChild>
        <w:div w:id="847066521">
          <w:marLeft w:val="0"/>
          <w:marRight w:val="0"/>
          <w:marTop w:val="0"/>
          <w:marBottom w:val="0"/>
          <w:divBdr>
            <w:top w:val="none" w:sz="0" w:space="0" w:color="auto"/>
            <w:left w:val="none" w:sz="0" w:space="0" w:color="auto"/>
            <w:bottom w:val="none" w:sz="0" w:space="0" w:color="auto"/>
            <w:right w:val="none" w:sz="0" w:space="0" w:color="auto"/>
          </w:divBdr>
          <w:divsChild>
            <w:div w:id="1454012482">
              <w:marLeft w:val="0"/>
              <w:marRight w:val="0"/>
              <w:marTop w:val="0"/>
              <w:marBottom w:val="0"/>
              <w:divBdr>
                <w:top w:val="none" w:sz="0" w:space="0" w:color="auto"/>
                <w:left w:val="none" w:sz="0" w:space="0" w:color="auto"/>
                <w:bottom w:val="none" w:sz="0" w:space="0" w:color="auto"/>
                <w:right w:val="none" w:sz="0" w:space="0" w:color="auto"/>
              </w:divBdr>
              <w:divsChild>
                <w:div w:id="155989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232612">
      <w:bodyDiv w:val="1"/>
      <w:marLeft w:val="0"/>
      <w:marRight w:val="0"/>
      <w:marTop w:val="0"/>
      <w:marBottom w:val="0"/>
      <w:divBdr>
        <w:top w:val="none" w:sz="0" w:space="0" w:color="auto"/>
        <w:left w:val="none" w:sz="0" w:space="0" w:color="auto"/>
        <w:bottom w:val="none" w:sz="0" w:space="0" w:color="auto"/>
        <w:right w:val="none" w:sz="0" w:space="0" w:color="auto"/>
      </w:divBdr>
      <w:divsChild>
        <w:div w:id="717241747">
          <w:marLeft w:val="0"/>
          <w:marRight w:val="0"/>
          <w:marTop w:val="0"/>
          <w:marBottom w:val="0"/>
          <w:divBdr>
            <w:top w:val="none" w:sz="0" w:space="0" w:color="auto"/>
            <w:left w:val="none" w:sz="0" w:space="0" w:color="auto"/>
            <w:bottom w:val="none" w:sz="0" w:space="0" w:color="auto"/>
            <w:right w:val="none" w:sz="0" w:space="0" w:color="auto"/>
          </w:divBdr>
          <w:divsChild>
            <w:div w:id="500045246">
              <w:marLeft w:val="0"/>
              <w:marRight w:val="0"/>
              <w:marTop w:val="0"/>
              <w:marBottom w:val="0"/>
              <w:divBdr>
                <w:top w:val="none" w:sz="0" w:space="0" w:color="auto"/>
                <w:left w:val="none" w:sz="0" w:space="0" w:color="auto"/>
                <w:bottom w:val="none" w:sz="0" w:space="0" w:color="auto"/>
                <w:right w:val="none" w:sz="0" w:space="0" w:color="auto"/>
              </w:divBdr>
              <w:divsChild>
                <w:div w:id="124336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96532">
      <w:bodyDiv w:val="1"/>
      <w:marLeft w:val="0"/>
      <w:marRight w:val="0"/>
      <w:marTop w:val="0"/>
      <w:marBottom w:val="0"/>
      <w:divBdr>
        <w:top w:val="none" w:sz="0" w:space="0" w:color="auto"/>
        <w:left w:val="none" w:sz="0" w:space="0" w:color="auto"/>
        <w:bottom w:val="none" w:sz="0" w:space="0" w:color="auto"/>
        <w:right w:val="none" w:sz="0" w:space="0" w:color="auto"/>
      </w:divBdr>
      <w:divsChild>
        <w:div w:id="738988974">
          <w:marLeft w:val="0"/>
          <w:marRight w:val="0"/>
          <w:marTop w:val="0"/>
          <w:marBottom w:val="0"/>
          <w:divBdr>
            <w:top w:val="none" w:sz="0" w:space="0" w:color="auto"/>
            <w:left w:val="none" w:sz="0" w:space="0" w:color="auto"/>
            <w:bottom w:val="none" w:sz="0" w:space="0" w:color="auto"/>
            <w:right w:val="none" w:sz="0" w:space="0" w:color="auto"/>
          </w:divBdr>
        </w:div>
        <w:div w:id="379324965">
          <w:marLeft w:val="0"/>
          <w:marRight w:val="0"/>
          <w:marTop w:val="0"/>
          <w:marBottom w:val="0"/>
          <w:divBdr>
            <w:top w:val="none" w:sz="0" w:space="0" w:color="auto"/>
            <w:left w:val="none" w:sz="0" w:space="0" w:color="auto"/>
            <w:bottom w:val="none" w:sz="0" w:space="0" w:color="auto"/>
            <w:right w:val="none" w:sz="0" w:space="0" w:color="auto"/>
          </w:divBdr>
        </w:div>
      </w:divsChild>
    </w:div>
    <w:div w:id="1252156800">
      <w:bodyDiv w:val="1"/>
      <w:marLeft w:val="0"/>
      <w:marRight w:val="0"/>
      <w:marTop w:val="0"/>
      <w:marBottom w:val="0"/>
      <w:divBdr>
        <w:top w:val="none" w:sz="0" w:space="0" w:color="auto"/>
        <w:left w:val="none" w:sz="0" w:space="0" w:color="auto"/>
        <w:bottom w:val="none" w:sz="0" w:space="0" w:color="auto"/>
        <w:right w:val="none" w:sz="0" w:space="0" w:color="auto"/>
      </w:divBdr>
      <w:divsChild>
        <w:div w:id="1906914844">
          <w:marLeft w:val="0"/>
          <w:marRight w:val="0"/>
          <w:marTop w:val="0"/>
          <w:marBottom w:val="0"/>
          <w:divBdr>
            <w:top w:val="none" w:sz="0" w:space="0" w:color="auto"/>
            <w:left w:val="none" w:sz="0" w:space="0" w:color="auto"/>
            <w:bottom w:val="none" w:sz="0" w:space="0" w:color="auto"/>
            <w:right w:val="none" w:sz="0" w:space="0" w:color="auto"/>
          </w:divBdr>
          <w:divsChild>
            <w:div w:id="1677420915">
              <w:marLeft w:val="0"/>
              <w:marRight w:val="0"/>
              <w:marTop w:val="0"/>
              <w:marBottom w:val="0"/>
              <w:divBdr>
                <w:top w:val="none" w:sz="0" w:space="0" w:color="auto"/>
                <w:left w:val="none" w:sz="0" w:space="0" w:color="auto"/>
                <w:bottom w:val="none" w:sz="0" w:space="0" w:color="auto"/>
                <w:right w:val="none" w:sz="0" w:space="0" w:color="auto"/>
              </w:divBdr>
              <w:divsChild>
                <w:div w:id="1497769339">
                  <w:marLeft w:val="0"/>
                  <w:marRight w:val="0"/>
                  <w:marTop w:val="0"/>
                  <w:marBottom w:val="0"/>
                  <w:divBdr>
                    <w:top w:val="none" w:sz="0" w:space="0" w:color="auto"/>
                    <w:left w:val="none" w:sz="0" w:space="0" w:color="auto"/>
                    <w:bottom w:val="none" w:sz="0" w:space="0" w:color="auto"/>
                    <w:right w:val="none" w:sz="0" w:space="0" w:color="auto"/>
                  </w:divBdr>
                </w:div>
              </w:divsChild>
            </w:div>
            <w:div w:id="53630625">
              <w:marLeft w:val="0"/>
              <w:marRight w:val="0"/>
              <w:marTop w:val="0"/>
              <w:marBottom w:val="0"/>
              <w:divBdr>
                <w:top w:val="none" w:sz="0" w:space="0" w:color="auto"/>
                <w:left w:val="none" w:sz="0" w:space="0" w:color="auto"/>
                <w:bottom w:val="none" w:sz="0" w:space="0" w:color="auto"/>
                <w:right w:val="none" w:sz="0" w:space="0" w:color="auto"/>
              </w:divBdr>
              <w:divsChild>
                <w:div w:id="11760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33236">
          <w:marLeft w:val="0"/>
          <w:marRight w:val="0"/>
          <w:marTop w:val="0"/>
          <w:marBottom w:val="0"/>
          <w:divBdr>
            <w:top w:val="none" w:sz="0" w:space="0" w:color="auto"/>
            <w:left w:val="none" w:sz="0" w:space="0" w:color="auto"/>
            <w:bottom w:val="none" w:sz="0" w:space="0" w:color="auto"/>
            <w:right w:val="none" w:sz="0" w:space="0" w:color="auto"/>
          </w:divBdr>
          <w:divsChild>
            <w:div w:id="1275477235">
              <w:marLeft w:val="0"/>
              <w:marRight w:val="0"/>
              <w:marTop w:val="0"/>
              <w:marBottom w:val="0"/>
              <w:divBdr>
                <w:top w:val="none" w:sz="0" w:space="0" w:color="auto"/>
                <w:left w:val="none" w:sz="0" w:space="0" w:color="auto"/>
                <w:bottom w:val="none" w:sz="0" w:space="0" w:color="auto"/>
                <w:right w:val="none" w:sz="0" w:space="0" w:color="auto"/>
              </w:divBdr>
              <w:divsChild>
                <w:div w:id="210445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641612">
      <w:bodyDiv w:val="1"/>
      <w:marLeft w:val="0"/>
      <w:marRight w:val="0"/>
      <w:marTop w:val="0"/>
      <w:marBottom w:val="0"/>
      <w:divBdr>
        <w:top w:val="none" w:sz="0" w:space="0" w:color="auto"/>
        <w:left w:val="none" w:sz="0" w:space="0" w:color="auto"/>
        <w:bottom w:val="none" w:sz="0" w:space="0" w:color="auto"/>
        <w:right w:val="none" w:sz="0" w:space="0" w:color="auto"/>
      </w:divBdr>
      <w:divsChild>
        <w:div w:id="1181090615">
          <w:marLeft w:val="0"/>
          <w:marRight w:val="0"/>
          <w:marTop w:val="0"/>
          <w:marBottom w:val="0"/>
          <w:divBdr>
            <w:top w:val="none" w:sz="0" w:space="0" w:color="auto"/>
            <w:left w:val="none" w:sz="0" w:space="0" w:color="auto"/>
            <w:bottom w:val="none" w:sz="0" w:space="0" w:color="auto"/>
            <w:right w:val="none" w:sz="0" w:space="0" w:color="auto"/>
          </w:divBdr>
          <w:divsChild>
            <w:div w:id="2088333135">
              <w:marLeft w:val="0"/>
              <w:marRight w:val="0"/>
              <w:marTop w:val="0"/>
              <w:marBottom w:val="0"/>
              <w:divBdr>
                <w:top w:val="none" w:sz="0" w:space="0" w:color="auto"/>
                <w:left w:val="none" w:sz="0" w:space="0" w:color="auto"/>
                <w:bottom w:val="none" w:sz="0" w:space="0" w:color="auto"/>
                <w:right w:val="none" w:sz="0" w:space="0" w:color="auto"/>
              </w:divBdr>
              <w:divsChild>
                <w:div w:id="102309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186179">
      <w:bodyDiv w:val="1"/>
      <w:marLeft w:val="0"/>
      <w:marRight w:val="0"/>
      <w:marTop w:val="0"/>
      <w:marBottom w:val="0"/>
      <w:divBdr>
        <w:top w:val="none" w:sz="0" w:space="0" w:color="auto"/>
        <w:left w:val="none" w:sz="0" w:space="0" w:color="auto"/>
        <w:bottom w:val="none" w:sz="0" w:space="0" w:color="auto"/>
        <w:right w:val="none" w:sz="0" w:space="0" w:color="auto"/>
      </w:divBdr>
      <w:divsChild>
        <w:div w:id="1980570986">
          <w:marLeft w:val="0"/>
          <w:marRight w:val="0"/>
          <w:marTop w:val="0"/>
          <w:marBottom w:val="0"/>
          <w:divBdr>
            <w:top w:val="none" w:sz="0" w:space="0" w:color="auto"/>
            <w:left w:val="none" w:sz="0" w:space="0" w:color="auto"/>
            <w:bottom w:val="none" w:sz="0" w:space="0" w:color="auto"/>
            <w:right w:val="none" w:sz="0" w:space="0" w:color="auto"/>
          </w:divBdr>
        </w:div>
        <w:div w:id="145707636">
          <w:marLeft w:val="0"/>
          <w:marRight w:val="0"/>
          <w:marTop w:val="0"/>
          <w:marBottom w:val="0"/>
          <w:divBdr>
            <w:top w:val="none" w:sz="0" w:space="0" w:color="auto"/>
            <w:left w:val="none" w:sz="0" w:space="0" w:color="auto"/>
            <w:bottom w:val="none" w:sz="0" w:space="0" w:color="auto"/>
            <w:right w:val="none" w:sz="0" w:space="0" w:color="auto"/>
          </w:divBdr>
        </w:div>
      </w:divsChild>
    </w:div>
    <w:div w:id="1323924967">
      <w:bodyDiv w:val="1"/>
      <w:marLeft w:val="0"/>
      <w:marRight w:val="0"/>
      <w:marTop w:val="0"/>
      <w:marBottom w:val="0"/>
      <w:divBdr>
        <w:top w:val="none" w:sz="0" w:space="0" w:color="auto"/>
        <w:left w:val="none" w:sz="0" w:space="0" w:color="auto"/>
        <w:bottom w:val="none" w:sz="0" w:space="0" w:color="auto"/>
        <w:right w:val="none" w:sz="0" w:space="0" w:color="auto"/>
      </w:divBdr>
      <w:divsChild>
        <w:div w:id="1421485998">
          <w:marLeft w:val="0"/>
          <w:marRight w:val="0"/>
          <w:marTop w:val="0"/>
          <w:marBottom w:val="0"/>
          <w:divBdr>
            <w:top w:val="none" w:sz="0" w:space="0" w:color="auto"/>
            <w:left w:val="none" w:sz="0" w:space="0" w:color="auto"/>
            <w:bottom w:val="none" w:sz="0" w:space="0" w:color="auto"/>
            <w:right w:val="none" w:sz="0" w:space="0" w:color="auto"/>
          </w:divBdr>
          <w:divsChild>
            <w:div w:id="1789664981">
              <w:marLeft w:val="0"/>
              <w:marRight w:val="0"/>
              <w:marTop w:val="0"/>
              <w:marBottom w:val="0"/>
              <w:divBdr>
                <w:top w:val="none" w:sz="0" w:space="0" w:color="auto"/>
                <w:left w:val="none" w:sz="0" w:space="0" w:color="auto"/>
                <w:bottom w:val="none" w:sz="0" w:space="0" w:color="auto"/>
                <w:right w:val="none" w:sz="0" w:space="0" w:color="auto"/>
              </w:divBdr>
              <w:divsChild>
                <w:div w:id="1173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401444">
      <w:bodyDiv w:val="1"/>
      <w:marLeft w:val="0"/>
      <w:marRight w:val="0"/>
      <w:marTop w:val="0"/>
      <w:marBottom w:val="0"/>
      <w:divBdr>
        <w:top w:val="none" w:sz="0" w:space="0" w:color="auto"/>
        <w:left w:val="none" w:sz="0" w:space="0" w:color="auto"/>
        <w:bottom w:val="none" w:sz="0" w:space="0" w:color="auto"/>
        <w:right w:val="none" w:sz="0" w:space="0" w:color="auto"/>
      </w:divBdr>
      <w:divsChild>
        <w:div w:id="860127076">
          <w:marLeft w:val="0"/>
          <w:marRight w:val="0"/>
          <w:marTop w:val="0"/>
          <w:marBottom w:val="0"/>
          <w:divBdr>
            <w:top w:val="none" w:sz="0" w:space="0" w:color="auto"/>
            <w:left w:val="none" w:sz="0" w:space="0" w:color="auto"/>
            <w:bottom w:val="none" w:sz="0" w:space="0" w:color="auto"/>
            <w:right w:val="none" w:sz="0" w:space="0" w:color="auto"/>
          </w:divBdr>
          <w:divsChild>
            <w:div w:id="1958295230">
              <w:marLeft w:val="0"/>
              <w:marRight w:val="0"/>
              <w:marTop w:val="0"/>
              <w:marBottom w:val="0"/>
              <w:divBdr>
                <w:top w:val="none" w:sz="0" w:space="0" w:color="auto"/>
                <w:left w:val="none" w:sz="0" w:space="0" w:color="auto"/>
                <w:bottom w:val="none" w:sz="0" w:space="0" w:color="auto"/>
                <w:right w:val="none" w:sz="0" w:space="0" w:color="auto"/>
              </w:divBdr>
              <w:divsChild>
                <w:div w:id="5860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368483">
      <w:bodyDiv w:val="1"/>
      <w:marLeft w:val="0"/>
      <w:marRight w:val="0"/>
      <w:marTop w:val="0"/>
      <w:marBottom w:val="0"/>
      <w:divBdr>
        <w:top w:val="none" w:sz="0" w:space="0" w:color="auto"/>
        <w:left w:val="none" w:sz="0" w:space="0" w:color="auto"/>
        <w:bottom w:val="none" w:sz="0" w:space="0" w:color="auto"/>
        <w:right w:val="none" w:sz="0" w:space="0" w:color="auto"/>
      </w:divBdr>
      <w:divsChild>
        <w:div w:id="1499928756">
          <w:marLeft w:val="0"/>
          <w:marRight w:val="0"/>
          <w:marTop w:val="0"/>
          <w:marBottom w:val="0"/>
          <w:divBdr>
            <w:top w:val="none" w:sz="0" w:space="0" w:color="auto"/>
            <w:left w:val="none" w:sz="0" w:space="0" w:color="auto"/>
            <w:bottom w:val="none" w:sz="0" w:space="0" w:color="auto"/>
            <w:right w:val="none" w:sz="0" w:space="0" w:color="auto"/>
          </w:divBdr>
          <w:divsChild>
            <w:div w:id="1839539155">
              <w:marLeft w:val="0"/>
              <w:marRight w:val="0"/>
              <w:marTop w:val="0"/>
              <w:marBottom w:val="0"/>
              <w:divBdr>
                <w:top w:val="none" w:sz="0" w:space="0" w:color="auto"/>
                <w:left w:val="none" w:sz="0" w:space="0" w:color="auto"/>
                <w:bottom w:val="none" w:sz="0" w:space="0" w:color="auto"/>
                <w:right w:val="none" w:sz="0" w:space="0" w:color="auto"/>
              </w:divBdr>
              <w:divsChild>
                <w:div w:id="261032660">
                  <w:marLeft w:val="0"/>
                  <w:marRight w:val="0"/>
                  <w:marTop w:val="0"/>
                  <w:marBottom w:val="0"/>
                  <w:divBdr>
                    <w:top w:val="none" w:sz="0" w:space="0" w:color="auto"/>
                    <w:left w:val="none" w:sz="0" w:space="0" w:color="auto"/>
                    <w:bottom w:val="none" w:sz="0" w:space="0" w:color="auto"/>
                    <w:right w:val="none" w:sz="0" w:space="0" w:color="auto"/>
                  </w:divBdr>
                </w:div>
              </w:divsChild>
            </w:div>
            <w:div w:id="765423402">
              <w:marLeft w:val="0"/>
              <w:marRight w:val="0"/>
              <w:marTop w:val="0"/>
              <w:marBottom w:val="0"/>
              <w:divBdr>
                <w:top w:val="none" w:sz="0" w:space="0" w:color="auto"/>
                <w:left w:val="none" w:sz="0" w:space="0" w:color="auto"/>
                <w:bottom w:val="none" w:sz="0" w:space="0" w:color="auto"/>
                <w:right w:val="none" w:sz="0" w:space="0" w:color="auto"/>
              </w:divBdr>
              <w:divsChild>
                <w:div w:id="193550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012">
          <w:marLeft w:val="0"/>
          <w:marRight w:val="0"/>
          <w:marTop w:val="0"/>
          <w:marBottom w:val="0"/>
          <w:divBdr>
            <w:top w:val="none" w:sz="0" w:space="0" w:color="auto"/>
            <w:left w:val="none" w:sz="0" w:space="0" w:color="auto"/>
            <w:bottom w:val="none" w:sz="0" w:space="0" w:color="auto"/>
            <w:right w:val="none" w:sz="0" w:space="0" w:color="auto"/>
          </w:divBdr>
          <w:divsChild>
            <w:div w:id="1204754398">
              <w:marLeft w:val="0"/>
              <w:marRight w:val="0"/>
              <w:marTop w:val="0"/>
              <w:marBottom w:val="0"/>
              <w:divBdr>
                <w:top w:val="none" w:sz="0" w:space="0" w:color="auto"/>
                <w:left w:val="none" w:sz="0" w:space="0" w:color="auto"/>
                <w:bottom w:val="none" w:sz="0" w:space="0" w:color="auto"/>
                <w:right w:val="none" w:sz="0" w:space="0" w:color="auto"/>
              </w:divBdr>
              <w:divsChild>
                <w:div w:id="120902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455572">
      <w:bodyDiv w:val="1"/>
      <w:marLeft w:val="0"/>
      <w:marRight w:val="0"/>
      <w:marTop w:val="0"/>
      <w:marBottom w:val="0"/>
      <w:divBdr>
        <w:top w:val="none" w:sz="0" w:space="0" w:color="auto"/>
        <w:left w:val="none" w:sz="0" w:space="0" w:color="auto"/>
        <w:bottom w:val="none" w:sz="0" w:space="0" w:color="auto"/>
        <w:right w:val="none" w:sz="0" w:space="0" w:color="auto"/>
      </w:divBdr>
    </w:div>
    <w:div w:id="1847015331">
      <w:bodyDiv w:val="1"/>
      <w:marLeft w:val="0"/>
      <w:marRight w:val="0"/>
      <w:marTop w:val="0"/>
      <w:marBottom w:val="0"/>
      <w:divBdr>
        <w:top w:val="none" w:sz="0" w:space="0" w:color="auto"/>
        <w:left w:val="none" w:sz="0" w:space="0" w:color="auto"/>
        <w:bottom w:val="none" w:sz="0" w:space="0" w:color="auto"/>
        <w:right w:val="none" w:sz="0" w:space="0" w:color="auto"/>
      </w:divBdr>
    </w:div>
    <w:div w:id="1894727833">
      <w:bodyDiv w:val="1"/>
      <w:marLeft w:val="0"/>
      <w:marRight w:val="0"/>
      <w:marTop w:val="0"/>
      <w:marBottom w:val="0"/>
      <w:divBdr>
        <w:top w:val="none" w:sz="0" w:space="0" w:color="auto"/>
        <w:left w:val="none" w:sz="0" w:space="0" w:color="auto"/>
        <w:bottom w:val="none" w:sz="0" w:space="0" w:color="auto"/>
        <w:right w:val="none" w:sz="0" w:space="0" w:color="auto"/>
      </w:divBdr>
      <w:divsChild>
        <w:div w:id="422842600">
          <w:marLeft w:val="0"/>
          <w:marRight w:val="0"/>
          <w:marTop w:val="0"/>
          <w:marBottom w:val="0"/>
          <w:divBdr>
            <w:top w:val="none" w:sz="0" w:space="0" w:color="auto"/>
            <w:left w:val="none" w:sz="0" w:space="0" w:color="auto"/>
            <w:bottom w:val="none" w:sz="0" w:space="0" w:color="auto"/>
            <w:right w:val="none" w:sz="0" w:space="0" w:color="auto"/>
          </w:divBdr>
          <w:divsChild>
            <w:div w:id="274603613">
              <w:marLeft w:val="0"/>
              <w:marRight w:val="0"/>
              <w:marTop w:val="0"/>
              <w:marBottom w:val="0"/>
              <w:divBdr>
                <w:top w:val="none" w:sz="0" w:space="0" w:color="auto"/>
                <w:left w:val="none" w:sz="0" w:space="0" w:color="auto"/>
                <w:bottom w:val="none" w:sz="0" w:space="0" w:color="auto"/>
                <w:right w:val="none" w:sz="0" w:space="0" w:color="auto"/>
              </w:divBdr>
              <w:divsChild>
                <w:div w:id="319895596">
                  <w:marLeft w:val="0"/>
                  <w:marRight w:val="0"/>
                  <w:marTop w:val="0"/>
                  <w:marBottom w:val="0"/>
                  <w:divBdr>
                    <w:top w:val="none" w:sz="0" w:space="0" w:color="auto"/>
                    <w:left w:val="none" w:sz="0" w:space="0" w:color="auto"/>
                    <w:bottom w:val="none" w:sz="0" w:space="0" w:color="auto"/>
                    <w:right w:val="none" w:sz="0" w:space="0" w:color="auto"/>
                  </w:divBdr>
                </w:div>
              </w:divsChild>
            </w:div>
            <w:div w:id="1302731955">
              <w:marLeft w:val="0"/>
              <w:marRight w:val="0"/>
              <w:marTop w:val="0"/>
              <w:marBottom w:val="0"/>
              <w:divBdr>
                <w:top w:val="none" w:sz="0" w:space="0" w:color="auto"/>
                <w:left w:val="none" w:sz="0" w:space="0" w:color="auto"/>
                <w:bottom w:val="none" w:sz="0" w:space="0" w:color="auto"/>
                <w:right w:val="none" w:sz="0" w:space="0" w:color="auto"/>
              </w:divBdr>
              <w:divsChild>
                <w:div w:id="1614509843">
                  <w:marLeft w:val="0"/>
                  <w:marRight w:val="0"/>
                  <w:marTop w:val="0"/>
                  <w:marBottom w:val="0"/>
                  <w:divBdr>
                    <w:top w:val="none" w:sz="0" w:space="0" w:color="auto"/>
                    <w:left w:val="none" w:sz="0" w:space="0" w:color="auto"/>
                    <w:bottom w:val="none" w:sz="0" w:space="0" w:color="auto"/>
                    <w:right w:val="none" w:sz="0" w:space="0" w:color="auto"/>
                  </w:divBdr>
                </w:div>
                <w:div w:id="89889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96616">
          <w:marLeft w:val="0"/>
          <w:marRight w:val="0"/>
          <w:marTop w:val="0"/>
          <w:marBottom w:val="0"/>
          <w:divBdr>
            <w:top w:val="none" w:sz="0" w:space="0" w:color="auto"/>
            <w:left w:val="none" w:sz="0" w:space="0" w:color="auto"/>
            <w:bottom w:val="none" w:sz="0" w:space="0" w:color="auto"/>
            <w:right w:val="none" w:sz="0" w:space="0" w:color="auto"/>
          </w:divBdr>
          <w:divsChild>
            <w:div w:id="1205749392">
              <w:marLeft w:val="0"/>
              <w:marRight w:val="0"/>
              <w:marTop w:val="0"/>
              <w:marBottom w:val="0"/>
              <w:divBdr>
                <w:top w:val="none" w:sz="0" w:space="0" w:color="auto"/>
                <w:left w:val="none" w:sz="0" w:space="0" w:color="auto"/>
                <w:bottom w:val="none" w:sz="0" w:space="0" w:color="auto"/>
                <w:right w:val="none" w:sz="0" w:space="0" w:color="auto"/>
              </w:divBdr>
              <w:divsChild>
                <w:div w:id="712080997">
                  <w:marLeft w:val="0"/>
                  <w:marRight w:val="0"/>
                  <w:marTop w:val="0"/>
                  <w:marBottom w:val="0"/>
                  <w:divBdr>
                    <w:top w:val="none" w:sz="0" w:space="0" w:color="auto"/>
                    <w:left w:val="none" w:sz="0" w:space="0" w:color="auto"/>
                    <w:bottom w:val="none" w:sz="0" w:space="0" w:color="auto"/>
                    <w:right w:val="none" w:sz="0" w:space="0" w:color="auto"/>
                  </w:divBdr>
                </w:div>
                <w:div w:id="49476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466606">
      <w:bodyDiv w:val="1"/>
      <w:marLeft w:val="0"/>
      <w:marRight w:val="0"/>
      <w:marTop w:val="0"/>
      <w:marBottom w:val="0"/>
      <w:divBdr>
        <w:top w:val="none" w:sz="0" w:space="0" w:color="auto"/>
        <w:left w:val="none" w:sz="0" w:space="0" w:color="auto"/>
        <w:bottom w:val="none" w:sz="0" w:space="0" w:color="auto"/>
        <w:right w:val="none" w:sz="0" w:space="0" w:color="auto"/>
      </w:divBdr>
      <w:divsChild>
        <w:div w:id="705443406">
          <w:marLeft w:val="0"/>
          <w:marRight w:val="0"/>
          <w:marTop w:val="0"/>
          <w:marBottom w:val="0"/>
          <w:divBdr>
            <w:top w:val="none" w:sz="0" w:space="0" w:color="auto"/>
            <w:left w:val="none" w:sz="0" w:space="0" w:color="auto"/>
            <w:bottom w:val="none" w:sz="0" w:space="0" w:color="auto"/>
            <w:right w:val="none" w:sz="0" w:space="0" w:color="auto"/>
          </w:divBdr>
          <w:divsChild>
            <w:div w:id="233928657">
              <w:marLeft w:val="0"/>
              <w:marRight w:val="0"/>
              <w:marTop w:val="0"/>
              <w:marBottom w:val="0"/>
              <w:divBdr>
                <w:top w:val="none" w:sz="0" w:space="0" w:color="auto"/>
                <w:left w:val="none" w:sz="0" w:space="0" w:color="auto"/>
                <w:bottom w:val="none" w:sz="0" w:space="0" w:color="auto"/>
                <w:right w:val="none" w:sz="0" w:space="0" w:color="auto"/>
              </w:divBdr>
              <w:divsChild>
                <w:div w:id="111424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4434">
      <w:bodyDiv w:val="1"/>
      <w:marLeft w:val="0"/>
      <w:marRight w:val="0"/>
      <w:marTop w:val="0"/>
      <w:marBottom w:val="0"/>
      <w:divBdr>
        <w:top w:val="none" w:sz="0" w:space="0" w:color="auto"/>
        <w:left w:val="none" w:sz="0" w:space="0" w:color="auto"/>
        <w:bottom w:val="none" w:sz="0" w:space="0" w:color="auto"/>
        <w:right w:val="none" w:sz="0" w:space="0" w:color="auto"/>
      </w:divBdr>
      <w:divsChild>
        <w:div w:id="1801921385">
          <w:marLeft w:val="0"/>
          <w:marRight w:val="0"/>
          <w:marTop w:val="0"/>
          <w:marBottom w:val="0"/>
          <w:divBdr>
            <w:top w:val="none" w:sz="0" w:space="0" w:color="auto"/>
            <w:left w:val="none" w:sz="0" w:space="0" w:color="auto"/>
            <w:bottom w:val="none" w:sz="0" w:space="0" w:color="auto"/>
            <w:right w:val="none" w:sz="0" w:space="0" w:color="auto"/>
          </w:divBdr>
          <w:divsChild>
            <w:div w:id="1661228988">
              <w:marLeft w:val="0"/>
              <w:marRight w:val="0"/>
              <w:marTop w:val="0"/>
              <w:marBottom w:val="0"/>
              <w:divBdr>
                <w:top w:val="none" w:sz="0" w:space="0" w:color="auto"/>
                <w:left w:val="none" w:sz="0" w:space="0" w:color="auto"/>
                <w:bottom w:val="none" w:sz="0" w:space="0" w:color="auto"/>
                <w:right w:val="none" w:sz="0" w:space="0" w:color="auto"/>
              </w:divBdr>
              <w:divsChild>
                <w:div w:id="16961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Nick%20Jutton\Downloads\arianasoheili@hotmail.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799E0FD73D3E4D84862663A4D33FCE" ma:contentTypeVersion="26" ma:contentTypeDescription="Create a new document." ma:contentTypeScope="" ma:versionID="00ca6044c6700f839d85bd5ae111b051">
  <xsd:schema xmlns:xsd="http://www.w3.org/2001/XMLSchema" xmlns:xs="http://www.w3.org/2001/XMLSchema" xmlns:p="http://schemas.microsoft.com/office/2006/metadata/properties" xmlns:ns1="http://schemas.microsoft.com/sharepoint/v3" xmlns:ns2="872a79b5-d9d6-4593-a8a7-149981f7045e" xmlns:ns3="2520a3a8-e6dc-4611-b3d5-a302db2a6b56" targetNamespace="http://schemas.microsoft.com/office/2006/metadata/properties" ma:root="true" ma:fieldsID="689bedbd58b94ab383c2ae50e67e6de6" ns1:_="" ns2:_="" ns3:_="">
    <xsd:import namespace="http://schemas.microsoft.com/sharepoint/v3"/>
    <xsd:import namespace="872a79b5-d9d6-4593-a8a7-149981f7045e"/>
    <xsd:import namespace="2520a3a8-e6dc-4611-b3d5-a302db2a6b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ocation" minOccurs="0"/>
                <xsd:element ref="ns2:e2cc5988-1fd5-414a-8d74-38cbf33f3316CountryOrRegion" minOccurs="0"/>
                <xsd:element ref="ns2:e2cc5988-1fd5-414a-8d74-38cbf33f3316State" minOccurs="0"/>
                <xsd:element ref="ns2:e2cc5988-1fd5-414a-8d74-38cbf33f3316City" minOccurs="0"/>
                <xsd:element ref="ns2:e2cc5988-1fd5-414a-8d74-38cbf33f3316PostalCode" minOccurs="0"/>
                <xsd:element ref="ns2:e2cc5988-1fd5-414a-8d74-38cbf33f3316Street" minOccurs="0"/>
                <xsd:element ref="ns2:e2cc5988-1fd5-414a-8d74-38cbf33f3316GeoLoc" minOccurs="0"/>
                <xsd:element ref="ns2:e2cc5988-1fd5-414a-8d74-38cbf33f3316DispName"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a79b5-d9d6-4593-a8a7-149981f704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ocation" ma:index="12" nillable="true" ma:displayName="location" ma:format="Dropdown" ma:internalName="location">
      <xsd:simpleType>
        <xsd:restriction base="dms:Unknown"/>
      </xsd:simpleType>
    </xsd:element>
    <xsd:element name="e2cc5988-1fd5-414a-8d74-38cbf33f3316CountryOrRegion" ma:index="13" nillable="true" ma:displayName="location: Country/Region" ma:internalName="CountryOrRegion" ma:readOnly="true">
      <xsd:simpleType>
        <xsd:restriction base="dms:Text"/>
      </xsd:simpleType>
    </xsd:element>
    <xsd:element name="e2cc5988-1fd5-414a-8d74-38cbf33f3316State" ma:index="14" nillable="true" ma:displayName="location: State" ma:internalName="State" ma:readOnly="true">
      <xsd:simpleType>
        <xsd:restriction base="dms:Text"/>
      </xsd:simpleType>
    </xsd:element>
    <xsd:element name="e2cc5988-1fd5-414a-8d74-38cbf33f3316City" ma:index="15" nillable="true" ma:displayName="location: City" ma:internalName="City" ma:readOnly="true">
      <xsd:simpleType>
        <xsd:restriction base="dms:Text"/>
      </xsd:simpleType>
    </xsd:element>
    <xsd:element name="e2cc5988-1fd5-414a-8d74-38cbf33f3316PostalCode" ma:index="16" nillable="true" ma:displayName="location: Postal Code" ma:internalName="PostalCode" ma:readOnly="true">
      <xsd:simpleType>
        <xsd:restriction base="dms:Text"/>
      </xsd:simpleType>
    </xsd:element>
    <xsd:element name="e2cc5988-1fd5-414a-8d74-38cbf33f3316Street" ma:index="17" nillable="true" ma:displayName="location: Street" ma:internalName="Street" ma:readOnly="true">
      <xsd:simpleType>
        <xsd:restriction base="dms:Text"/>
      </xsd:simpleType>
    </xsd:element>
    <xsd:element name="e2cc5988-1fd5-414a-8d74-38cbf33f3316GeoLoc" ma:index="18" nillable="true" ma:displayName="location: Coordinates" ma:internalName="GeoLoc" ma:readOnly="true">
      <xsd:simpleType>
        <xsd:restriction base="dms:Unknown"/>
      </xsd:simpleType>
    </xsd:element>
    <xsd:element name="e2cc5988-1fd5-414a-8d74-38cbf33f3316DispName" ma:index="19" nillable="true" ma:displayName="location: Name" ma:internalName="DispNa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8ba0e65-2c90-4787-ac70-332a6a7478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20a3a8-e6dc-4611-b3d5-a302db2a6b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33" nillable="true" ma:displayName="Taxonomy Catch All Column" ma:hidden="true" ma:list="{8afd9c5f-7bbf-49bb-b74a-6c96a817ca0a}" ma:internalName="TaxCatchAll" ma:showField="CatchAllData" ma:web="2520a3a8-e6dc-4611-b3d5-a302db2a6b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ocation xmlns="872a79b5-d9d6-4593-a8a7-149981f7045e" xsi:nil="true"/>
    <_ip_UnifiedCompliancePolicyUIAction xmlns="http://schemas.microsoft.com/sharepoint/v3" xsi:nil="true"/>
    <_ip_UnifiedCompliancePolicyProperties xmlns="http://schemas.microsoft.com/sharepoint/v3" xsi:nil="true"/>
    <lcf76f155ced4ddcb4097134ff3c332f xmlns="872a79b5-d9d6-4593-a8a7-149981f7045e">
      <Terms xmlns="http://schemas.microsoft.com/office/infopath/2007/PartnerControls"/>
    </lcf76f155ced4ddcb4097134ff3c332f>
    <TaxCatchAll xmlns="2520a3a8-e6dc-4611-b3d5-a302db2a6b56" xsi:nil="true"/>
  </documentManagement>
</p:properties>
</file>

<file path=customXml/itemProps1.xml><?xml version="1.0" encoding="utf-8"?>
<ds:datastoreItem xmlns:ds="http://schemas.openxmlformats.org/officeDocument/2006/customXml" ds:itemID="{74688116-08E7-4660-A4F4-BBCFFBC7735E}">
  <ds:schemaRefs>
    <ds:schemaRef ds:uri="http://schemas.microsoft.com/sharepoint/v3/contenttype/forms"/>
  </ds:schemaRefs>
</ds:datastoreItem>
</file>

<file path=customXml/itemProps2.xml><?xml version="1.0" encoding="utf-8"?>
<ds:datastoreItem xmlns:ds="http://schemas.openxmlformats.org/officeDocument/2006/customXml" ds:itemID="{69F94248-F65B-4280-86ED-7E6DF9922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2a79b5-d9d6-4593-a8a7-149981f7045e"/>
    <ds:schemaRef ds:uri="2520a3a8-e6dc-4611-b3d5-a302db2a6b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6C200E-C538-4670-86B2-79DE54CB9EC8}">
  <ds:schemaRefs>
    <ds:schemaRef ds:uri="http://schemas.microsoft.com/office/2006/metadata/longProperties"/>
  </ds:schemaRefs>
</ds:datastoreItem>
</file>

<file path=customXml/itemProps4.xml><?xml version="1.0" encoding="utf-8"?>
<ds:datastoreItem xmlns:ds="http://schemas.openxmlformats.org/officeDocument/2006/customXml" ds:itemID="{AD241C5D-6BC2-4A8C-A245-A19FC1C2369E}">
  <ds:schemaRefs>
    <ds:schemaRef ds:uri="http://schemas.microsoft.com/office/2006/metadata/properties"/>
    <ds:schemaRef ds:uri="http://schemas.microsoft.com/office/infopath/2007/PartnerControls"/>
    <ds:schemaRef ds:uri="872a79b5-d9d6-4593-a8a7-149981f7045e"/>
    <ds:schemaRef ds:uri="http://schemas.microsoft.com/sharepoint/v3"/>
    <ds:schemaRef ds:uri="2520a3a8-e6dc-4611-b3d5-a302db2a6b5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5130</Words>
  <Characters>25297</Characters>
  <Application>Microsoft Office Word</Application>
  <DocSecurity>4</DocSecurity>
  <Lines>210</Lines>
  <Paragraphs>60</Paragraphs>
  <ScaleCrop>false</ScaleCrop>
  <HeadingPairs>
    <vt:vector size="2" baseType="variant">
      <vt:variant>
        <vt:lpstr>Title</vt:lpstr>
      </vt:variant>
      <vt:variant>
        <vt:i4>1</vt:i4>
      </vt:variant>
    </vt:vector>
  </HeadingPairs>
  <TitlesOfParts>
    <vt:vector size="1" baseType="lpstr">
      <vt:lpstr/>
    </vt:vector>
  </TitlesOfParts>
  <Company>Ministry of Justice</Company>
  <LinksUpToDate>false</LinksUpToDate>
  <CharactersWithSpaces>30367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phu95p</dc:creator>
  <cp:keywords/>
  <dc:description/>
  <cp:lastModifiedBy>Camus, Isabelle</cp:lastModifiedBy>
  <cp:revision>2</cp:revision>
  <cp:lastPrinted>2013-05-16T14:48:00Z</cp:lastPrinted>
  <dcterms:created xsi:type="dcterms:W3CDTF">2024-11-18T10:49:00Z</dcterms:created>
  <dcterms:modified xsi:type="dcterms:W3CDTF">2024-11-18T10:49:00Z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Vance, Deputy Regional Tribunal Judge Amran</vt:lpwstr>
  </property>
  <property fmtid="{D5CDD505-2E9C-101B-9397-08002B2CF9AE}" pid="3" name="display_urn:schemas-microsoft-com:office:office#Author">
    <vt:lpwstr>Vance, Deputy Regional Tribunal Judge Amran</vt:lpwstr>
  </property>
  <property fmtid="{D5CDD505-2E9C-101B-9397-08002B2CF9AE}" pid="4" name="Order">
    <vt:lpwstr>173900.000000000</vt:lpwstr>
  </property>
  <property fmtid="{D5CDD505-2E9C-101B-9397-08002B2CF9AE}" pid="5" name="ComplianceAssetId">
    <vt:lpwstr/>
  </property>
  <property fmtid="{D5CDD505-2E9C-101B-9397-08002B2CF9AE}" pid="6" name="ContentTypeId">
    <vt:lpwstr>0x010100A4799E0FD73D3E4D84862663A4D33FCE</vt:lpwstr>
  </property>
  <property fmtid="{D5CDD505-2E9C-101B-9397-08002B2CF9AE}" pid="7" name="xd_Signature">
    <vt:lpwstr/>
  </property>
  <property fmtid="{D5CDD505-2E9C-101B-9397-08002B2CF9AE}" pid="8" name="TemplateUrl">
    <vt:lpwstr/>
  </property>
  <property fmtid="{D5CDD505-2E9C-101B-9397-08002B2CF9AE}" pid="9" name="xd_ProgID">
    <vt:lpwstr/>
  </property>
</Properties>
</file>