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020D" w14:textId="77777777" w:rsidR="003D60B9" w:rsidRDefault="000327C5">
      <w:pPr>
        <w:pStyle w:val="Standard"/>
      </w:pPr>
      <w:r>
        <w:t>FIRST TIER PROPERTY CHAMBER DECISION</w:t>
      </w:r>
    </w:p>
    <w:p w14:paraId="5EA28A02" w14:textId="77777777" w:rsidR="003D60B9" w:rsidRDefault="003D60B9">
      <w:pPr>
        <w:pStyle w:val="Standard"/>
        <w:rPr>
          <w:rFonts w:ascii="Georgia" w:hAnsi="Georgia"/>
          <w:b/>
        </w:rPr>
      </w:pPr>
    </w:p>
    <w:tbl>
      <w:tblPr>
        <w:tblW w:w="8522" w:type="dxa"/>
        <w:tblLayout w:type="fixed"/>
        <w:tblCellMar>
          <w:left w:w="10" w:type="dxa"/>
          <w:right w:w="10" w:type="dxa"/>
        </w:tblCellMar>
        <w:tblLook w:val="04A0" w:firstRow="1" w:lastRow="0" w:firstColumn="1" w:lastColumn="0" w:noHBand="0" w:noVBand="1"/>
      </w:tblPr>
      <w:tblGrid>
        <w:gridCol w:w="3227"/>
        <w:gridCol w:w="1466"/>
        <w:gridCol w:w="3829"/>
      </w:tblGrid>
      <w:tr w:rsidR="003D60B9" w14:paraId="2C8C2FB0"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1C954E0A" w14:textId="77777777" w:rsidR="003D60B9" w:rsidRDefault="000327C5">
            <w:pPr>
              <w:pStyle w:val="Standard"/>
              <w:widowControl w:val="0"/>
            </w:pPr>
            <w:r>
              <w:rPr>
                <w:noProof/>
              </w:rPr>
              <w:drawing>
                <wp:inline distT="0" distB="0" distL="0" distR="0" wp14:anchorId="5E7D775E" wp14:editId="0E5945AA">
                  <wp:extent cx="914400" cy="771480"/>
                  <wp:effectExtent l="0" t="0" r="0" b="0"/>
                  <wp:docPr id="48624142" name="Picture 1" descr="Cre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914400" cy="771480"/>
                          </a:xfrm>
                          <a:prstGeom prst="rect">
                            <a:avLst/>
                          </a:prstGeom>
                          <a:noFill/>
                          <a:ln>
                            <a:noFill/>
                            <a:prstDash/>
                          </a:ln>
                        </pic:spPr>
                      </pic:pic>
                    </a:graphicData>
                  </a:graphic>
                </wp:inline>
              </w:drawing>
            </w:r>
          </w:p>
        </w:tc>
        <w:tc>
          <w:tcPr>
            <w:tcW w:w="1466" w:type="dxa"/>
            <w:shd w:val="clear" w:color="auto" w:fill="auto"/>
            <w:tcMar>
              <w:top w:w="0" w:type="dxa"/>
              <w:left w:w="108" w:type="dxa"/>
              <w:bottom w:w="0" w:type="dxa"/>
              <w:right w:w="108" w:type="dxa"/>
            </w:tcMar>
          </w:tcPr>
          <w:p w14:paraId="26DF8AE9" w14:textId="77777777" w:rsidR="003D60B9" w:rsidRDefault="003D60B9">
            <w:pPr>
              <w:pStyle w:val="Standard"/>
              <w:widowControl w:val="0"/>
              <w:jc w:val="center"/>
              <w:rPr>
                <w:rFonts w:ascii="Georgia" w:hAnsi="Georgia"/>
              </w:rPr>
            </w:pPr>
          </w:p>
        </w:tc>
        <w:tc>
          <w:tcPr>
            <w:tcW w:w="3829" w:type="dxa"/>
            <w:shd w:val="clear" w:color="auto" w:fill="auto"/>
            <w:tcMar>
              <w:top w:w="0" w:type="dxa"/>
              <w:left w:w="108" w:type="dxa"/>
              <w:bottom w:w="0" w:type="dxa"/>
              <w:right w:w="108" w:type="dxa"/>
            </w:tcMar>
          </w:tcPr>
          <w:p w14:paraId="68E0C5BD" w14:textId="77777777" w:rsidR="003D60B9" w:rsidRDefault="003D60B9">
            <w:pPr>
              <w:pStyle w:val="Title"/>
              <w:widowControl w:val="0"/>
              <w:ind w:left="3600" w:hanging="3600"/>
              <w:jc w:val="left"/>
              <w:rPr>
                <w:rFonts w:ascii="Georgia" w:hAnsi="Georgia"/>
                <w:sz w:val="24"/>
              </w:rPr>
            </w:pPr>
          </w:p>
          <w:p w14:paraId="120ECD3D" w14:textId="77777777" w:rsidR="003D60B9" w:rsidRDefault="000327C5">
            <w:pPr>
              <w:pStyle w:val="Title"/>
              <w:widowControl w:val="0"/>
              <w:ind w:left="3600" w:hanging="3600"/>
              <w:jc w:val="left"/>
              <w:rPr>
                <w:rFonts w:ascii="Georgia" w:hAnsi="Georgia"/>
                <w:sz w:val="24"/>
              </w:rPr>
            </w:pPr>
            <w:r>
              <w:rPr>
                <w:rFonts w:ascii="Georgia" w:hAnsi="Georgia"/>
                <w:sz w:val="24"/>
              </w:rPr>
              <w:t>FIRST-TIER TRIBUNAL</w:t>
            </w:r>
          </w:p>
          <w:p w14:paraId="5CE44E03" w14:textId="77777777" w:rsidR="003D60B9" w:rsidRDefault="000327C5">
            <w:pPr>
              <w:pStyle w:val="Standard"/>
              <w:widowControl w:val="0"/>
              <w:rPr>
                <w:rFonts w:ascii="Georgia" w:hAnsi="Georgia"/>
                <w:b/>
              </w:rPr>
            </w:pPr>
            <w:r>
              <w:rPr>
                <w:rFonts w:ascii="Georgia" w:hAnsi="Georgia"/>
                <w:b/>
              </w:rPr>
              <w:t>PROPERTY CHAMBER</w:t>
            </w:r>
          </w:p>
          <w:p w14:paraId="3D91B36A" w14:textId="77777777" w:rsidR="003D60B9" w:rsidRDefault="000327C5">
            <w:pPr>
              <w:pStyle w:val="Standard"/>
              <w:widowControl w:val="0"/>
              <w:rPr>
                <w:rFonts w:ascii="Georgia" w:hAnsi="Georgia"/>
                <w:b/>
              </w:rPr>
            </w:pPr>
            <w:r>
              <w:rPr>
                <w:rFonts w:ascii="Georgia" w:hAnsi="Georgia"/>
                <w:b/>
              </w:rPr>
              <w:t>(RESIDENTIAL PROPERTY)</w:t>
            </w:r>
          </w:p>
          <w:p w14:paraId="199CB9AF" w14:textId="77777777" w:rsidR="003D60B9" w:rsidRDefault="003D60B9">
            <w:pPr>
              <w:pStyle w:val="Standard"/>
              <w:widowControl w:val="0"/>
              <w:rPr>
                <w:rFonts w:ascii="Georgia" w:hAnsi="Georgia"/>
              </w:rPr>
            </w:pPr>
          </w:p>
        </w:tc>
      </w:tr>
      <w:tr w:rsidR="003D60B9" w14:paraId="6A7A65C0"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190E46DC" w14:textId="77777777" w:rsidR="003D60B9" w:rsidRDefault="003D60B9">
            <w:pPr>
              <w:pStyle w:val="Standard"/>
              <w:widowControl w:val="0"/>
              <w:rPr>
                <w:rFonts w:ascii="Georgia" w:hAnsi="Georgia"/>
              </w:rPr>
            </w:pPr>
          </w:p>
          <w:p w14:paraId="53C12A2E" w14:textId="77777777" w:rsidR="003D60B9" w:rsidRDefault="000327C5">
            <w:pPr>
              <w:pStyle w:val="Standard"/>
              <w:widowControl w:val="0"/>
              <w:rPr>
                <w:rFonts w:ascii="Georgia" w:hAnsi="Georgia" w:cs="Arial"/>
                <w:b/>
                <w:bCs/>
              </w:rPr>
            </w:pPr>
            <w:r>
              <w:rPr>
                <w:rFonts w:ascii="Georgia" w:hAnsi="Georgia" w:cs="Arial"/>
                <w:b/>
                <w:bCs/>
              </w:rPr>
              <w:t>Case Reference</w:t>
            </w:r>
          </w:p>
          <w:p w14:paraId="347C12C2"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16E87379" w14:textId="77777777" w:rsidR="003D60B9" w:rsidRDefault="003D60B9">
            <w:pPr>
              <w:pStyle w:val="Standard"/>
              <w:widowControl w:val="0"/>
              <w:jc w:val="center"/>
              <w:rPr>
                <w:rFonts w:ascii="Georgia" w:hAnsi="Georgia"/>
                <w:b/>
              </w:rPr>
            </w:pPr>
          </w:p>
          <w:p w14:paraId="6EA29802" w14:textId="77777777" w:rsidR="003D60B9" w:rsidRDefault="000327C5">
            <w:pPr>
              <w:pStyle w:val="Standard"/>
              <w:widowControl w:val="0"/>
              <w:rPr>
                <w:rFonts w:ascii="Georgia" w:hAnsi="Georgia"/>
                <w:b/>
              </w:rPr>
            </w:pPr>
            <w:r>
              <w:rPr>
                <w:rFonts w:ascii="Georgia" w:hAnsi="Georgia"/>
                <w:b/>
              </w:rPr>
              <w:t xml:space="preserve">          :</w:t>
            </w:r>
          </w:p>
        </w:tc>
        <w:tc>
          <w:tcPr>
            <w:tcW w:w="3829" w:type="dxa"/>
            <w:shd w:val="clear" w:color="auto" w:fill="auto"/>
            <w:tcMar>
              <w:top w:w="0" w:type="dxa"/>
              <w:left w:w="108" w:type="dxa"/>
              <w:bottom w:w="0" w:type="dxa"/>
              <w:right w:w="108" w:type="dxa"/>
            </w:tcMar>
          </w:tcPr>
          <w:p w14:paraId="6EAE87A0" w14:textId="77777777" w:rsidR="003D60B9" w:rsidRDefault="003D60B9">
            <w:pPr>
              <w:pStyle w:val="Standard"/>
              <w:widowControl w:val="0"/>
              <w:rPr>
                <w:rFonts w:ascii="Georgia" w:hAnsi="Georgia"/>
              </w:rPr>
            </w:pPr>
          </w:p>
          <w:p w14:paraId="3895EB8E" w14:textId="77777777" w:rsidR="003D60B9" w:rsidRDefault="000327C5">
            <w:pPr>
              <w:pStyle w:val="Standard"/>
              <w:widowControl w:val="0"/>
              <w:rPr>
                <w:rFonts w:ascii="Georgia" w:hAnsi="Georgia"/>
                <w:b/>
                <w:bCs/>
              </w:rPr>
            </w:pPr>
            <w:r>
              <w:rPr>
                <w:rFonts w:ascii="Georgia" w:hAnsi="Georgia"/>
                <w:b/>
                <w:bCs/>
              </w:rPr>
              <w:t>CHI/00HN/LSC/2024/0020</w:t>
            </w:r>
          </w:p>
        </w:tc>
      </w:tr>
      <w:tr w:rsidR="003D60B9" w14:paraId="0B7A5B81" w14:textId="77777777">
        <w:tblPrEx>
          <w:tblCellMar>
            <w:top w:w="0" w:type="dxa"/>
            <w:bottom w:w="0" w:type="dxa"/>
          </w:tblCellMar>
        </w:tblPrEx>
        <w:trPr>
          <w:trHeight w:val="84"/>
        </w:trPr>
        <w:tc>
          <w:tcPr>
            <w:tcW w:w="3227" w:type="dxa"/>
            <w:shd w:val="clear" w:color="auto" w:fill="auto"/>
            <w:tcMar>
              <w:top w:w="0" w:type="dxa"/>
              <w:left w:w="108" w:type="dxa"/>
              <w:bottom w:w="0" w:type="dxa"/>
              <w:right w:w="108" w:type="dxa"/>
            </w:tcMar>
          </w:tcPr>
          <w:p w14:paraId="749E554E" w14:textId="77777777" w:rsidR="003D60B9" w:rsidRDefault="003D60B9">
            <w:pPr>
              <w:pStyle w:val="Standard"/>
              <w:widowControl w:val="0"/>
              <w:rPr>
                <w:rFonts w:ascii="Georgia" w:hAnsi="Georgia"/>
              </w:rPr>
            </w:pPr>
          </w:p>
          <w:p w14:paraId="793B9A60" w14:textId="77777777" w:rsidR="003D60B9" w:rsidRDefault="000327C5">
            <w:pPr>
              <w:pStyle w:val="Standard"/>
              <w:widowControl w:val="0"/>
              <w:rPr>
                <w:rFonts w:ascii="Georgia" w:hAnsi="Georgia" w:cs="Arial"/>
                <w:b/>
                <w:bCs/>
              </w:rPr>
            </w:pPr>
            <w:r>
              <w:rPr>
                <w:rFonts w:ascii="Georgia" w:hAnsi="Georgia" w:cs="Arial"/>
                <w:b/>
                <w:bCs/>
              </w:rPr>
              <w:t>Property</w:t>
            </w:r>
          </w:p>
          <w:p w14:paraId="7E9E5D9E"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1C7A6346" w14:textId="77777777" w:rsidR="003D60B9" w:rsidRDefault="003D60B9">
            <w:pPr>
              <w:pStyle w:val="Standard"/>
              <w:widowControl w:val="0"/>
              <w:jc w:val="center"/>
              <w:rPr>
                <w:rFonts w:ascii="Georgia" w:hAnsi="Georgia"/>
                <w:b/>
              </w:rPr>
            </w:pPr>
          </w:p>
          <w:p w14:paraId="1E3F250F" w14:textId="77777777" w:rsidR="003D60B9" w:rsidRDefault="000327C5">
            <w:pPr>
              <w:pStyle w:val="Standard"/>
              <w:widowControl w:val="0"/>
              <w:rPr>
                <w:rFonts w:ascii="Georgia" w:hAnsi="Georgia"/>
                <w:b/>
              </w:rPr>
            </w:pPr>
            <w:r>
              <w:rPr>
                <w:rFonts w:ascii="Georgia" w:hAnsi="Georgia"/>
                <w:b/>
              </w:rPr>
              <w:t xml:space="preserve">          :           </w:t>
            </w:r>
          </w:p>
        </w:tc>
        <w:tc>
          <w:tcPr>
            <w:tcW w:w="3829" w:type="dxa"/>
            <w:shd w:val="clear" w:color="auto" w:fill="auto"/>
            <w:tcMar>
              <w:top w:w="0" w:type="dxa"/>
              <w:left w:w="108" w:type="dxa"/>
              <w:bottom w:w="0" w:type="dxa"/>
              <w:right w:w="108" w:type="dxa"/>
            </w:tcMar>
          </w:tcPr>
          <w:p w14:paraId="777D85DD" w14:textId="77777777" w:rsidR="003D60B9" w:rsidRDefault="003D60B9">
            <w:pPr>
              <w:pStyle w:val="Standard"/>
              <w:widowControl w:val="0"/>
              <w:rPr>
                <w:rFonts w:ascii="Georgia" w:hAnsi="Georgia"/>
                <w:b/>
              </w:rPr>
            </w:pPr>
          </w:p>
          <w:p w14:paraId="25857230" w14:textId="77777777" w:rsidR="003D60B9" w:rsidRDefault="000327C5">
            <w:pPr>
              <w:pStyle w:val="Standard"/>
              <w:widowControl w:val="0"/>
              <w:rPr>
                <w:rFonts w:ascii="Georgia" w:hAnsi="Georgia"/>
                <w:b/>
              </w:rPr>
            </w:pPr>
            <w:r>
              <w:rPr>
                <w:rFonts w:ascii="Georgia" w:hAnsi="Georgia"/>
                <w:b/>
              </w:rPr>
              <w:t xml:space="preserve">7 McKinley Road, Bournemouth, </w:t>
            </w:r>
            <w:r>
              <w:rPr>
                <w:rFonts w:ascii="Georgia" w:hAnsi="Georgia"/>
                <w:b/>
              </w:rPr>
              <w:t xml:space="preserve">Dorset, BH4 8AG  </w:t>
            </w:r>
          </w:p>
        </w:tc>
      </w:tr>
      <w:tr w:rsidR="003D60B9" w14:paraId="69E3BDE6"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701522F3" w14:textId="77777777" w:rsidR="003D60B9" w:rsidRDefault="003D60B9">
            <w:pPr>
              <w:pStyle w:val="Standard"/>
              <w:widowControl w:val="0"/>
              <w:rPr>
                <w:rFonts w:ascii="Georgia" w:hAnsi="Georgia"/>
              </w:rPr>
            </w:pPr>
          </w:p>
          <w:p w14:paraId="75EAC23B" w14:textId="77777777" w:rsidR="003D60B9" w:rsidRDefault="000327C5">
            <w:pPr>
              <w:pStyle w:val="Standard"/>
              <w:widowControl w:val="0"/>
              <w:rPr>
                <w:rFonts w:ascii="Georgia" w:hAnsi="Georgia" w:cs="Arial"/>
                <w:b/>
                <w:bCs/>
              </w:rPr>
            </w:pPr>
            <w:r>
              <w:rPr>
                <w:rFonts w:ascii="Georgia" w:hAnsi="Georgia" w:cs="Arial"/>
                <w:b/>
                <w:bCs/>
              </w:rPr>
              <w:t>Applicant</w:t>
            </w:r>
          </w:p>
          <w:p w14:paraId="4A2A384F"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50BF17AC" w14:textId="77777777" w:rsidR="003D60B9" w:rsidRDefault="003D60B9">
            <w:pPr>
              <w:pStyle w:val="Standard"/>
              <w:widowControl w:val="0"/>
              <w:jc w:val="center"/>
              <w:rPr>
                <w:rFonts w:ascii="Georgia" w:hAnsi="Georgia"/>
                <w:b/>
              </w:rPr>
            </w:pPr>
          </w:p>
          <w:p w14:paraId="4DFC0DAE" w14:textId="77777777" w:rsidR="003D60B9" w:rsidRDefault="000327C5">
            <w:pPr>
              <w:pStyle w:val="Standard"/>
              <w:widowControl w:val="0"/>
              <w:rPr>
                <w:rFonts w:ascii="Georgia" w:hAnsi="Georgia"/>
                <w:b/>
              </w:rPr>
            </w:pPr>
            <w:r>
              <w:rPr>
                <w:rFonts w:ascii="Georgia" w:hAnsi="Georgia"/>
                <w:b/>
              </w:rPr>
              <w:t xml:space="preserve">          :                                      </w:t>
            </w:r>
          </w:p>
        </w:tc>
        <w:tc>
          <w:tcPr>
            <w:tcW w:w="3829" w:type="dxa"/>
            <w:shd w:val="clear" w:color="auto" w:fill="auto"/>
            <w:tcMar>
              <w:top w:w="0" w:type="dxa"/>
              <w:left w:w="108" w:type="dxa"/>
              <w:bottom w:w="0" w:type="dxa"/>
              <w:right w:w="108" w:type="dxa"/>
            </w:tcMar>
          </w:tcPr>
          <w:p w14:paraId="59A5B123" w14:textId="77777777" w:rsidR="003D60B9" w:rsidRDefault="003D60B9">
            <w:pPr>
              <w:pStyle w:val="Standard"/>
              <w:widowControl w:val="0"/>
              <w:rPr>
                <w:rFonts w:ascii="Georgia" w:hAnsi="Georgia"/>
              </w:rPr>
            </w:pPr>
          </w:p>
          <w:p w14:paraId="44897F41" w14:textId="77777777" w:rsidR="003D60B9" w:rsidRDefault="000327C5">
            <w:pPr>
              <w:pStyle w:val="Standard"/>
              <w:widowControl w:val="0"/>
              <w:rPr>
                <w:rFonts w:ascii="Georgia" w:hAnsi="Georgia"/>
                <w:b/>
                <w:bCs/>
              </w:rPr>
            </w:pPr>
            <w:r>
              <w:rPr>
                <w:rFonts w:ascii="Georgia" w:hAnsi="Georgia"/>
                <w:b/>
                <w:bCs/>
              </w:rPr>
              <w:t>7 McKinley Road Bournemouth Ltd</w:t>
            </w:r>
          </w:p>
        </w:tc>
      </w:tr>
      <w:tr w:rsidR="003D60B9" w14:paraId="6A9A323A"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60F8FFDD" w14:textId="77777777" w:rsidR="003D60B9" w:rsidRDefault="003D60B9">
            <w:pPr>
              <w:pStyle w:val="Standard"/>
              <w:widowControl w:val="0"/>
              <w:rPr>
                <w:rFonts w:ascii="Georgia" w:hAnsi="Georgia"/>
              </w:rPr>
            </w:pPr>
          </w:p>
          <w:p w14:paraId="4B7C9CEC" w14:textId="77777777" w:rsidR="003D60B9" w:rsidRDefault="000327C5">
            <w:pPr>
              <w:pStyle w:val="Standard"/>
              <w:widowControl w:val="0"/>
              <w:rPr>
                <w:rFonts w:ascii="Georgia" w:hAnsi="Georgia" w:cs="Arial"/>
                <w:b/>
                <w:bCs/>
              </w:rPr>
            </w:pPr>
            <w:r>
              <w:rPr>
                <w:rFonts w:ascii="Georgia" w:hAnsi="Georgia" w:cs="Arial"/>
                <w:b/>
                <w:bCs/>
              </w:rPr>
              <w:t>Representative</w:t>
            </w:r>
          </w:p>
          <w:p w14:paraId="069CE932"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4CAAE660" w14:textId="77777777" w:rsidR="003D60B9" w:rsidRDefault="003D60B9">
            <w:pPr>
              <w:pStyle w:val="Standard"/>
              <w:widowControl w:val="0"/>
              <w:jc w:val="center"/>
              <w:rPr>
                <w:rFonts w:ascii="Georgia" w:hAnsi="Georgia"/>
                <w:b/>
              </w:rPr>
            </w:pPr>
          </w:p>
          <w:p w14:paraId="5354C817" w14:textId="77777777" w:rsidR="003D60B9" w:rsidRDefault="000327C5">
            <w:pPr>
              <w:pStyle w:val="Standard"/>
              <w:widowControl w:val="0"/>
              <w:jc w:val="center"/>
              <w:rPr>
                <w:rFonts w:ascii="Georgia" w:hAnsi="Georgia"/>
                <w:b/>
              </w:rPr>
            </w:pPr>
            <w:r>
              <w:rPr>
                <w:rFonts w:ascii="Georgia" w:hAnsi="Georgia"/>
                <w:b/>
              </w:rPr>
              <w:t>:</w:t>
            </w:r>
          </w:p>
        </w:tc>
        <w:tc>
          <w:tcPr>
            <w:tcW w:w="3829" w:type="dxa"/>
            <w:shd w:val="clear" w:color="auto" w:fill="auto"/>
            <w:tcMar>
              <w:top w:w="0" w:type="dxa"/>
              <w:left w:w="108" w:type="dxa"/>
              <w:bottom w:w="0" w:type="dxa"/>
              <w:right w:w="108" w:type="dxa"/>
            </w:tcMar>
          </w:tcPr>
          <w:p w14:paraId="768D04AD" w14:textId="77777777" w:rsidR="003D60B9" w:rsidRDefault="003D60B9">
            <w:pPr>
              <w:pStyle w:val="Standard"/>
              <w:widowControl w:val="0"/>
              <w:rPr>
                <w:rFonts w:ascii="Georgia" w:hAnsi="Georgia"/>
              </w:rPr>
            </w:pPr>
          </w:p>
          <w:p w14:paraId="1AF95763" w14:textId="77777777" w:rsidR="003D60B9" w:rsidRDefault="000327C5">
            <w:pPr>
              <w:pStyle w:val="Standard"/>
              <w:widowControl w:val="0"/>
              <w:rPr>
                <w:rFonts w:ascii="Georgia" w:hAnsi="Georgia"/>
                <w:b/>
                <w:bCs/>
              </w:rPr>
            </w:pPr>
            <w:r>
              <w:rPr>
                <w:rFonts w:ascii="Georgia" w:hAnsi="Georgia"/>
                <w:b/>
                <w:bCs/>
              </w:rPr>
              <w:t>Owen Jones</w:t>
            </w:r>
          </w:p>
        </w:tc>
      </w:tr>
      <w:tr w:rsidR="003D60B9" w14:paraId="64C9324A"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3885BCED" w14:textId="77777777" w:rsidR="003D60B9" w:rsidRDefault="003D60B9">
            <w:pPr>
              <w:pStyle w:val="Standard"/>
              <w:widowControl w:val="0"/>
              <w:rPr>
                <w:rFonts w:ascii="Georgia" w:hAnsi="Georgia"/>
              </w:rPr>
            </w:pPr>
          </w:p>
          <w:p w14:paraId="7DADB27A" w14:textId="77777777" w:rsidR="003D60B9" w:rsidRDefault="000327C5">
            <w:pPr>
              <w:pStyle w:val="Standard"/>
              <w:widowControl w:val="0"/>
              <w:rPr>
                <w:rFonts w:ascii="Georgia" w:hAnsi="Georgia" w:cs="Arial"/>
                <w:b/>
                <w:bCs/>
              </w:rPr>
            </w:pPr>
            <w:r>
              <w:rPr>
                <w:rFonts w:ascii="Georgia" w:hAnsi="Georgia" w:cs="Arial"/>
                <w:b/>
                <w:bCs/>
              </w:rPr>
              <w:t>Respondent</w:t>
            </w:r>
          </w:p>
          <w:p w14:paraId="0BA4DF1F"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4F1051D9" w14:textId="77777777" w:rsidR="003D60B9" w:rsidRDefault="003D60B9">
            <w:pPr>
              <w:pStyle w:val="Standard"/>
              <w:widowControl w:val="0"/>
              <w:jc w:val="center"/>
              <w:rPr>
                <w:rFonts w:ascii="Georgia" w:hAnsi="Georgia"/>
                <w:b/>
              </w:rPr>
            </w:pPr>
          </w:p>
          <w:p w14:paraId="4020C467" w14:textId="77777777" w:rsidR="003D60B9" w:rsidRDefault="000327C5">
            <w:pPr>
              <w:pStyle w:val="Standard"/>
              <w:widowControl w:val="0"/>
              <w:jc w:val="center"/>
              <w:rPr>
                <w:rFonts w:ascii="Georgia" w:hAnsi="Georgia"/>
                <w:b/>
              </w:rPr>
            </w:pPr>
            <w:r>
              <w:rPr>
                <w:rFonts w:ascii="Georgia" w:hAnsi="Georgia"/>
                <w:b/>
              </w:rPr>
              <w:t>:</w:t>
            </w:r>
          </w:p>
        </w:tc>
        <w:tc>
          <w:tcPr>
            <w:tcW w:w="3829" w:type="dxa"/>
            <w:shd w:val="clear" w:color="auto" w:fill="auto"/>
            <w:tcMar>
              <w:top w:w="0" w:type="dxa"/>
              <w:left w:w="108" w:type="dxa"/>
              <w:bottom w:w="0" w:type="dxa"/>
              <w:right w:w="108" w:type="dxa"/>
            </w:tcMar>
          </w:tcPr>
          <w:p w14:paraId="441B83B3" w14:textId="77777777" w:rsidR="003D60B9" w:rsidRDefault="003D60B9">
            <w:pPr>
              <w:pStyle w:val="Standard"/>
              <w:widowControl w:val="0"/>
              <w:rPr>
                <w:rFonts w:ascii="Georgia" w:hAnsi="Georgia"/>
              </w:rPr>
            </w:pPr>
          </w:p>
          <w:p w14:paraId="6E985386" w14:textId="77777777" w:rsidR="003D60B9" w:rsidRDefault="000327C5">
            <w:pPr>
              <w:pStyle w:val="Standard"/>
              <w:widowControl w:val="0"/>
              <w:rPr>
                <w:rFonts w:ascii="Georgia" w:hAnsi="Georgia"/>
                <w:b/>
                <w:bCs/>
              </w:rPr>
            </w:pPr>
            <w:r>
              <w:rPr>
                <w:rFonts w:ascii="Georgia" w:hAnsi="Georgia"/>
                <w:b/>
                <w:bCs/>
              </w:rPr>
              <w:t xml:space="preserve">Marie </w:t>
            </w:r>
            <w:proofErr w:type="spellStart"/>
            <w:r>
              <w:rPr>
                <w:rFonts w:ascii="Georgia" w:hAnsi="Georgia"/>
                <w:b/>
                <w:bCs/>
              </w:rPr>
              <w:t>Hopp</w:t>
            </w:r>
            <w:proofErr w:type="spellEnd"/>
          </w:p>
        </w:tc>
      </w:tr>
      <w:tr w:rsidR="003D60B9" w14:paraId="2101ADE2"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159B2F68" w14:textId="77777777" w:rsidR="003D60B9" w:rsidRDefault="003D60B9">
            <w:pPr>
              <w:pStyle w:val="Standard"/>
              <w:widowControl w:val="0"/>
              <w:rPr>
                <w:rFonts w:ascii="Georgia" w:hAnsi="Georgia"/>
              </w:rPr>
            </w:pPr>
          </w:p>
          <w:p w14:paraId="7D76592E" w14:textId="77777777" w:rsidR="003D60B9" w:rsidRDefault="000327C5">
            <w:pPr>
              <w:pStyle w:val="Standard"/>
              <w:widowControl w:val="0"/>
              <w:rPr>
                <w:rFonts w:ascii="Georgia" w:hAnsi="Georgia" w:cs="Arial"/>
                <w:b/>
                <w:bCs/>
              </w:rPr>
            </w:pPr>
            <w:r>
              <w:rPr>
                <w:rFonts w:ascii="Georgia" w:hAnsi="Georgia" w:cs="Arial"/>
                <w:b/>
                <w:bCs/>
              </w:rPr>
              <w:t>Type of Application</w:t>
            </w:r>
          </w:p>
          <w:p w14:paraId="404846F3"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2FD6C141" w14:textId="77777777" w:rsidR="003D60B9" w:rsidRDefault="003D60B9">
            <w:pPr>
              <w:pStyle w:val="Standard"/>
              <w:widowControl w:val="0"/>
              <w:jc w:val="center"/>
              <w:rPr>
                <w:rFonts w:ascii="Georgia" w:hAnsi="Georgia"/>
                <w:b/>
              </w:rPr>
            </w:pPr>
          </w:p>
          <w:p w14:paraId="5CC0A072" w14:textId="77777777" w:rsidR="003D60B9" w:rsidRDefault="000327C5">
            <w:pPr>
              <w:pStyle w:val="Standard"/>
              <w:widowControl w:val="0"/>
              <w:jc w:val="center"/>
              <w:rPr>
                <w:rFonts w:ascii="Georgia" w:hAnsi="Georgia"/>
                <w:b/>
              </w:rPr>
            </w:pPr>
            <w:r>
              <w:rPr>
                <w:rFonts w:ascii="Georgia" w:hAnsi="Georgia"/>
                <w:b/>
              </w:rPr>
              <w:t>:</w:t>
            </w:r>
          </w:p>
        </w:tc>
        <w:tc>
          <w:tcPr>
            <w:tcW w:w="3829" w:type="dxa"/>
            <w:shd w:val="clear" w:color="auto" w:fill="auto"/>
            <w:tcMar>
              <w:top w:w="0" w:type="dxa"/>
              <w:left w:w="108" w:type="dxa"/>
              <w:bottom w:w="0" w:type="dxa"/>
              <w:right w:w="108" w:type="dxa"/>
            </w:tcMar>
          </w:tcPr>
          <w:p w14:paraId="64D81A57" w14:textId="77777777" w:rsidR="003D60B9" w:rsidRDefault="003D60B9">
            <w:pPr>
              <w:pStyle w:val="Standard"/>
              <w:widowControl w:val="0"/>
              <w:rPr>
                <w:rFonts w:ascii="Georgia" w:hAnsi="Georgia"/>
              </w:rPr>
            </w:pPr>
          </w:p>
          <w:p w14:paraId="51776F25" w14:textId="77777777" w:rsidR="003D60B9" w:rsidRDefault="000327C5">
            <w:pPr>
              <w:pStyle w:val="Standard"/>
              <w:widowControl w:val="0"/>
              <w:rPr>
                <w:rFonts w:ascii="Georgia" w:hAnsi="Georgia"/>
              </w:rPr>
            </w:pPr>
            <w:r>
              <w:rPr>
                <w:rFonts w:ascii="Georgia" w:hAnsi="Georgia"/>
              </w:rPr>
              <w:t xml:space="preserve">(1) Liability to pay and </w:t>
            </w:r>
            <w:r>
              <w:rPr>
                <w:rFonts w:ascii="Georgia" w:hAnsi="Georgia"/>
              </w:rPr>
              <w:t>reasonableness of service charges section 27A Landlord and Tenant Act 1985.</w:t>
            </w:r>
          </w:p>
          <w:p w14:paraId="6DEFBBBA" w14:textId="77777777" w:rsidR="003D60B9" w:rsidRDefault="003D60B9">
            <w:pPr>
              <w:pStyle w:val="Standard"/>
              <w:widowControl w:val="0"/>
              <w:rPr>
                <w:rFonts w:ascii="Georgia" w:hAnsi="Georgia"/>
              </w:rPr>
            </w:pPr>
          </w:p>
        </w:tc>
      </w:tr>
      <w:tr w:rsidR="003D60B9" w14:paraId="0A3D88DA"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58786C60" w14:textId="77777777" w:rsidR="003D60B9" w:rsidRDefault="003D60B9">
            <w:pPr>
              <w:pStyle w:val="Standard"/>
              <w:widowControl w:val="0"/>
              <w:rPr>
                <w:rFonts w:ascii="Georgia" w:hAnsi="Georgia"/>
              </w:rPr>
            </w:pPr>
          </w:p>
          <w:p w14:paraId="1EE27E56" w14:textId="77777777" w:rsidR="003D60B9" w:rsidRDefault="000327C5">
            <w:pPr>
              <w:pStyle w:val="Standard"/>
              <w:widowControl w:val="0"/>
              <w:rPr>
                <w:rFonts w:ascii="Georgia" w:hAnsi="Georgia" w:cs="Arial"/>
                <w:b/>
                <w:bCs/>
              </w:rPr>
            </w:pPr>
            <w:r>
              <w:rPr>
                <w:rFonts w:ascii="Georgia" w:hAnsi="Georgia" w:cs="Arial"/>
                <w:b/>
                <w:bCs/>
              </w:rPr>
              <w:t xml:space="preserve">Tribunal:                           </w:t>
            </w:r>
          </w:p>
        </w:tc>
        <w:tc>
          <w:tcPr>
            <w:tcW w:w="1466" w:type="dxa"/>
            <w:shd w:val="clear" w:color="auto" w:fill="auto"/>
            <w:tcMar>
              <w:top w:w="0" w:type="dxa"/>
              <w:left w:w="108" w:type="dxa"/>
              <w:bottom w:w="0" w:type="dxa"/>
              <w:right w:w="108" w:type="dxa"/>
            </w:tcMar>
          </w:tcPr>
          <w:p w14:paraId="72156C73" w14:textId="77777777" w:rsidR="003D60B9" w:rsidRDefault="000327C5">
            <w:pPr>
              <w:pStyle w:val="Standard"/>
              <w:widowControl w:val="0"/>
              <w:jc w:val="both"/>
              <w:rPr>
                <w:rFonts w:ascii="Georgia" w:hAnsi="Georgia"/>
              </w:rPr>
            </w:pPr>
            <w:r>
              <w:rPr>
                <w:rFonts w:ascii="Georgia" w:hAnsi="Georgia"/>
              </w:rPr>
              <w:t xml:space="preserve"> </w:t>
            </w:r>
          </w:p>
          <w:p w14:paraId="3AEE755C" w14:textId="77777777" w:rsidR="003D60B9" w:rsidRDefault="000327C5">
            <w:pPr>
              <w:pStyle w:val="Standard"/>
              <w:widowControl w:val="0"/>
              <w:jc w:val="both"/>
              <w:rPr>
                <w:rFonts w:ascii="Georgia" w:hAnsi="Georgia"/>
                <w:b/>
              </w:rPr>
            </w:pPr>
            <w:r>
              <w:rPr>
                <w:rFonts w:ascii="Georgia" w:hAnsi="Georgia"/>
                <w:b/>
              </w:rPr>
              <w:t xml:space="preserve">         :</w:t>
            </w:r>
          </w:p>
          <w:p w14:paraId="69190E61" w14:textId="77777777" w:rsidR="003D60B9" w:rsidRDefault="003D60B9">
            <w:pPr>
              <w:pStyle w:val="Standard"/>
              <w:widowControl w:val="0"/>
              <w:jc w:val="both"/>
              <w:rPr>
                <w:rFonts w:ascii="Georgia" w:hAnsi="Georgia"/>
              </w:rPr>
            </w:pPr>
          </w:p>
          <w:p w14:paraId="014995C7" w14:textId="77777777" w:rsidR="003D60B9" w:rsidRDefault="000327C5">
            <w:pPr>
              <w:pStyle w:val="Standard"/>
              <w:widowControl w:val="0"/>
              <w:jc w:val="both"/>
              <w:rPr>
                <w:rFonts w:ascii="Georgia" w:hAnsi="Georgia"/>
                <w:b/>
                <w:bCs/>
              </w:rPr>
            </w:pPr>
            <w:r>
              <w:rPr>
                <w:rFonts w:ascii="Georgia" w:hAnsi="Georgia"/>
                <w:b/>
                <w:bCs/>
              </w:rPr>
              <w:t xml:space="preserve">         :</w:t>
            </w:r>
          </w:p>
        </w:tc>
        <w:tc>
          <w:tcPr>
            <w:tcW w:w="3829" w:type="dxa"/>
            <w:shd w:val="clear" w:color="auto" w:fill="auto"/>
            <w:tcMar>
              <w:top w:w="0" w:type="dxa"/>
              <w:left w:w="108" w:type="dxa"/>
              <w:bottom w:w="0" w:type="dxa"/>
              <w:right w:w="108" w:type="dxa"/>
            </w:tcMar>
          </w:tcPr>
          <w:p w14:paraId="7F03B467" w14:textId="77777777" w:rsidR="003D60B9" w:rsidRDefault="003D60B9">
            <w:pPr>
              <w:pStyle w:val="Standard"/>
              <w:widowControl w:val="0"/>
              <w:rPr>
                <w:rFonts w:ascii="Georgia" w:hAnsi="Georgia"/>
              </w:rPr>
            </w:pPr>
          </w:p>
          <w:p w14:paraId="4C2CCDB4" w14:textId="77777777" w:rsidR="003D60B9" w:rsidRDefault="000327C5">
            <w:pPr>
              <w:pStyle w:val="Standard"/>
              <w:widowControl w:val="0"/>
              <w:jc w:val="both"/>
              <w:rPr>
                <w:rFonts w:ascii="Georgia" w:hAnsi="Georgia"/>
                <w:b/>
                <w:bCs/>
              </w:rPr>
            </w:pPr>
            <w:r>
              <w:rPr>
                <w:rFonts w:ascii="Georgia" w:hAnsi="Georgia"/>
                <w:b/>
                <w:bCs/>
              </w:rPr>
              <w:t>Judge T. Hingston</w:t>
            </w:r>
          </w:p>
          <w:p w14:paraId="6DDC4230" w14:textId="77777777" w:rsidR="003D60B9" w:rsidRDefault="003D60B9">
            <w:pPr>
              <w:pStyle w:val="Standard"/>
              <w:widowControl w:val="0"/>
              <w:jc w:val="both"/>
              <w:rPr>
                <w:rFonts w:ascii="Georgia" w:hAnsi="Georgia"/>
              </w:rPr>
            </w:pPr>
          </w:p>
          <w:p w14:paraId="35E41670" w14:textId="77777777" w:rsidR="003D60B9" w:rsidRDefault="003D60B9">
            <w:pPr>
              <w:pStyle w:val="Standard"/>
              <w:widowControl w:val="0"/>
              <w:rPr>
                <w:rFonts w:ascii="Georgia" w:hAnsi="Georgia"/>
              </w:rPr>
            </w:pPr>
          </w:p>
        </w:tc>
      </w:tr>
      <w:tr w:rsidR="003D60B9" w14:paraId="3BE83C1F" w14:textId="77777777">
        <w:tblPrEx>
          <w:tblCellMar>
            <w:top w:w="0" w:type="dxa"/>
            <w:bottom w:w="0" w:type="dxa"/>
          </w:tblCellMar>
        </w:tblPrEx>
        <w:tc>
          <w:tcPr>
            <w:tcW w:w="3227" w:type="dxa"/>
            <w:shd w:val="clear" w:color="auto" w:fill="auto"/>
            <w:tcMar>
              <w:top w:w="0" w:type="dxa"/>
              <w:left w:w="108" w:type="dxa"/>
              <w:bottom w:w="0" w:type="dxa"/>
              <w:right w:w="108" w:type="dxa"/>
            </w:tcMar>
          </w:tcPr>
          <w:p w14:paraId="75B7D594" w14:textId="77777777" w:rsidR="003D60B9" w:rsidRDefault="003D60B9">
            <w:pPr>
              <w:pStyle w:val="Standard"/>
              <w:widowControl w:val="0"/>
              <w:rPr>
                <w:rFonts w:ascii="Georgia" w:hAnsi="Georgia" w:cs="Arial"/>
                <w:b/>
                <w:bCs/>
              </w:rPr>
            </w:pPr>
          </w:p>
          <w:p w14:paraId="28898C6C" w14:textId="77777777" w:rsidR="003D60B9" w:rsidRDefault="000327C5">
            <w:pPr>
              <w:pStyle w:val="Standard"/>
              <w:widowControl w:val="0"/>
              <w:rPr>
                <w:rFonts w:ascii="Georgia" w:hAnsi="Georgia" w:cs="Arial"/>
                <w:b/>
                <w:bCs/>
              </w:rPr>
            </w:pPr>
            <w:r>
              <w:rPr>
                <w:rFonts w:ascii="Georgia" w:hAnsi="Georgia" w:cs="Arial"/>
                <w:b/>
                <w:bCs/>
              </w:rPr>
              <w:t xml:space="preserve">Date of Decision                </w:t>
            </w:r>
          </w:p>
          <w:p w14:paraId="3FDCD63D" w14:textId="77777777" w:rsidR="003D60B9" w:rsidRDefault="003D60B9">
            <w:pPr>
              <w:pStyle w:val="Standard"/>
              <w:widowControl w:val="0"/>
              <w:rPr>
                <w:rFonts w:ascii="Georgia" w:hAnsi="Georgia"/>
              </w:rPr>
            </w:pPr>
          </w:p>
        </w:tc>
        <w:tc>
          <w:tcPr>
            <w:tcW w:w="1466" w:type="dxa"/>
            <w:shd w:val="clear" w:color="auto" w:fill="auto"/>
            <w:tcMar>
              <w:top w:w="0" w:type="dxa"/>
              <w:left w:w="108" w:type="dxa"/>
              <w:bottom w:w="0" w:type="dxa"/>
              <w:right w:w="108" w:type="dxa"/>
            </w:tcMar>
          </w:tcPr>
          <w:p w14:paraId="1613B52F" w14:textId="77777777" w:rsidR="003D60B9" w:rsidRDefault="003D60B9">
            <w:pPr>
              <w:pStyle w:val="Standard"/>
              <w:widowControl w:val="0"/>
              <w:jc w:val="both"/>
              <w:rPr>
                <w:rFonts w:ascii="Georgia" w:hAnsi="Georgia"/>
              </w:rPr>
            </w:pPr>
          </w:p>
          <w:p w14:paraId="0D1A8972" w14:textId="77777777" w:rsidR="003D60B9" w:rsidRDefault="000327C5">
            <w:pPr>
              <w:pStyle w:val="Standard"/>
              <w:widowControl w:val="0"/>
              <w:jc w:val="both"/>
              <w:rPr>
                <w:rFonts w:ascii="Georgia" w:hAnsi="Georgia"/>
              </w:rPr>
            </w:pPr>
            <w:r>
              <w:rPr>
                <w:rFonts w:ascii="Georgia" w:hAnsi="Georgia"/>
              </w:rPr>
              <w:t xml:space="preserve">         </w:t>
            </w:r>
            <w:r>
              <w:rPr>
                <w:rFonts w:ascii="Georgia" w:hAnsi="Georgia"/>
                <w:b/>
                <w:bCs/>
              </w:rPr>
              <w:t>:</w:t>
            </w:r>
          </w:p>
        </w:tc>
        <w:tc>
          <w:tcPr>
            <w:tcW w:w="3829" w:type="dxa"/>
            <w:shd w:val="clear" w:color="auto" w:fill="auto"/>
            <w:tcMar>
              <w:top w:w="0" w:type="dxa"/>
              <w:left w:w="108" w:type="dxa"/>
              <w:bottom w:w="0" w:type="dxa"/>
              <w:right w:w="108" w:type="dxa"/>
            </w:tcMar>
          </w:tcPr>
          <w:p w14:paraId="4E1784D3" w14:textId="77777777" w:rsidR="003D60B9" w:rsidRDefault="003D60B9">
            <w:pPr>
              <w:pStyle w:val="Standard"/>
              <w:widowControl w:val="0"/>
              <w:rPr>
                <w:rFonts w:ascii="Georgia" w:hAnsi="Georgia"/>
              </w:rPr>
            </w:pPr>
          </w:p>
          <w:p w14:paraId="774F6525" w14:textId="77777777" w:rsidR="003D60B9" w:rsidRDefault="000327C5">
            <w:pPr>
              <w:pStyle w:val="Standard"/>
              <w:widowControl w:val="0"/>
              <w:rPr>
                <w:rFonts w:ascii="Georgia" w:hAnsi="Georgia"/>
                <w:b/>
                <w:bCs/>
              </w:rPr>
            </w:pPr>
            <w:r>
              <w:rPr>
                <w:rFonts w:ascii="Georgia" w:hAnsi="Georgia"/>
                <w:b/>
                <w:bCs/>
              </w:rPr>
              <w:t>9</w:t>
            </w:r>
            <w:r>
              <w:rPr>
                <w:rFonts w:ascii="Georgia" w:hAnsi="Georgia"/>
                <w:b/>
                <w:bCs/>
                <w:vertAlign w:val="superscript"/>
              </w:rPr>
              <w:t>th</w:t>
            </w:r>
            <w:r>
              <w:rPr>
                <w:rFonts w:ascii="Georgia" w:hAnsi="Georgia"/>
                <w:b/>
                <w:bCs/>
              </w:rPr>
              <w:t xml:space="preserve"> October 2024</w:t>
            </w:r>
          </w:p>
        </w:tc>
      </w:tr>
    </w:tbl>
    <w:p w14:paraId="57573884" w14:textId="77777777" w:rsidR="003D60B9" w:rsidRDefault="003D60B9">
      <w:pPr>
        <w:pStyle w:val="Standard"/>
        <w:rPr>
          <w:rFonts w:ascii="Georgia" w:hAnsi="Georgia"/>
          <w:b/>
        </w:rPr>
      </w:pPr>
    </w:p>
    <w:p w14:paraId="48201631" w14:textId="77777777" w:rsidR="003D60B9" w:rsidRDefault="003D60B9">
      <w:pPr>
        <w:pStyle w:val="Standard"/>
        <w:rPr>
          <w:rFonts w:ascii="Georgia" w:hAnsi="Georgia"/>
          <w:b/>
        </w:rPr>
      </w:pPr>
    </w:p>
    <w:p w14:paraId="12002168" w14:textId="77777777" w:rsidR="003D60B9" w:rsidRDefault="000327C5">
      <w:pPr>
        <w:pStyle w:val="Standard"/>
        <w:jc w:val="center"/>
        <w:rPr>
          <w:rFonts w:ascii="Georgia" w:hAnsi="Georgia"/>
        </w:rPr>
      </w:pPr>
      <w:r>
        <w:rPr>
          <w:rFonts w:ascii="Georgia" w:hAnsi="Georgia"/>
        </w:rPr>
        <w:t>__________________________________________________</w:t>
      </w:r>
    </w:p>
    <w:p w14:paraId="2A0E50D3" w14:textId="77777777" w:rsidR="003D60B9" w:rsidRDefault="003D60B9">
      <w:pPr>
        <w:pStyle w:val="Standard"/>
        <w:jc w:val="center"/>
        <w:rPr>
          <w:rFonts w:ascii="Georgia" w:hAnsi="Georgia"/>
          <w:b/>
        </w:rPr>
      </w:pPr>
    </w:p>
    <w:p w14:paraId="023F716B" w14:textId="77777777" w:rsidR="003D60B9" w:rsidRDefault="000327C5">
      <w:pPr>
        <w:pStyle w:val="Standard"/>
        <w:jc w:val="center"/>
        <w:rPr>
          <w:rFonts w:ascii="Georgia" w:hAnsi="Georgia"/>
          <w:b/>
        </w:rPr>
      </w:pPr>
      <w:r>
        <w:rPr>
          <w:rFonts w:ascii="Georgia" w:hAnsi="Georgia"/>
          <w:b/>
        </w:rPr>
        <w:t>DECISION</w:t>
      </w:r>
    </w:p>
    <w:p w14:paraId="56EEC347" w14:textId="77777777" w:rsidR="003D60B9" w:rsidRDefault="000327C5">
      <w:pPr>
        <w:pStyle w:val="Standard"/>
        <w:jc w:val="center"/>
        <w:rPr>
          <w:rFonts w:ascii="Georgia" w:hAnsi="Georgia"/>
          <w:b/>
        </w:rPr>
      </w:pPr>
      <w:r>
        <w:rPr>
          <w:rFonts w:ascii="Georgia" w:hAnsi="Georgia"/>
          <w:b/>
        </w:rPr>
        <w:t>________________________________________________</w:t>
      </w:r>
    </w:p>
    <w:p w14:paraId="20C6577C" w14:textId="77777777" w:rsidR="003D60B9" w:rsidRDefault="003D60B9">
      <w:pPr>
        <w:pStyle w:val="Standard"/>
        <w:rPr>
          <w:rFonts w:ascii="Georgia" w:hAnsi="Georgia" w:cs="Georgia"/>
          <w:sz w:val="20"/>
          <w:szCs w:val="20"/>
        </w:rPr>
      </w:pPr>
    </w:p>
    <w:p w14:paraId="7416EE9C" w14:textId="77777777" w:rsidR="003D60B9" w:rsidRDefault="003D60B9">
      <w:pPr>
        <w:pStyle w:val="Standard"/>
        <w:jc w:val="center"/>
        <w:rPr>
          <w:rFonts w:ascii="Georgia" w:hAnsi="Georgia" w:cs="Georgia"/>
          <w:sz w:val="20"/>
          <w:szCs w:val="20"/>
        </w:rPr>
      </w:pPr>
    </w:p>
    <w:p w14:paraId="2ECCCA36" w14:textId="77777777" w:rsidR="003D60B9" w:rsidRDefault="000327C5">
      <w:pPr>
        <w:pStyle w:val="Standard"/>
        <w:jc w:val="both"/>
        <w:rPr>
          <w:rFonts w:ascii="Georgia" w:hAnsi="Georgia" w:cs="Georgia"/>
          <w:b/>
          <w:bCs/>
        </w:rPr>
      </w:pPr>
      <w:r>
        <w:rPr>
          <w:rFonts w:ascii="Georgia" w:hAnsi="Georgia" w:cs="Georgia"/>
          <w:b/>
          <w:bCs/>
        </w:rPr>
        <w:t>The Tribunal determines</w:t>
      </w:r>
      <w:r>
        <w:rPr>
          <w:rFonts w:ascii="Georgia" w:hAnsi="Georgia" w:cs="Georgia"/>
          <w:b/>
          <w:bCs/>
        </w:rPr>
        <w:t xml:space="preserve"> that the amount payable by Ms. </w:t>
      </w:r>
      <w:proofErr w:type="spellStart"/>
      <w:r>
        <w:rPr>
          <w:rFonts w:ascii="Georgia" w:hAnsi="Georgia" w:cs="Georgia"/>
          <w:b/>
          <w:bCs/>
        </w:rPr>
        <w:t>Hopp</w:t>
      </w:r>
      <w:proofErr w:type="spellEnd"/>
      <w:r>
        <w:rPr>
          <w:rFonts w:ascii="Georgia" w:hAnsi="Georgia" w:cs="Georgia"/>
          <w:b/>
          <w:bCs/>
        </w:rPr>
        <w:t xml:space="preserve"> in service charge contributions for the year from September 2018 – September 2019 is £4,831.93, plus £100 reimbursement for the Tribunal application fee.</w:t>
      </w:r>
    </w:p>
    <w:p w14:paraId="0176570F" w14:textId="77777777" w:rsidR="003D60B9" w:rsidRDefault="000327C5">
      <w:pPr>
        <w:pStyle w:val="Standard"/>
        <w:jc w:val="center"/>
        <w:rPr>
          <w:rFonts w:ascii="Georgia" w:hAnsi="Georgia" w:cs="Georgia"/>
          <w:sz w:val="20"/>
          <w:szCs w:val="20"/>
        </w:rPr>
      </w:pPr>
      <w:r>
        <w:rPr>
          <w:rFonts w:ascii="Georgia" w:hAnsi="Georgia" w:cs="Georgia"/>
          <w:sz w:val="20"/>
          <w:szCs w:val="20"/>
        </w:rPr>
        <w:t>© CROWN COPYRIGHT</w:t>
      </w:r>
    </w:p>
    <w:p w14:paraId="33F67AF8" w14:textId="77777777" w:rsidR="003D60B9" w:rsidRDefault="003D60B9">
      <w:pPr>
        <w:pStyle w:val="Standard"/>
        <w:jc w:val="both"/>
        <w:rPr>
          <w:rFonts w:ascii="Georgia" w:hAnsi="Georgia" w:cs="Georgia"/>
          <w:b/>
          <w:bCs/>
        </w:rPr>
      </w:pPr>
    </w:p>
    <w:p w14:paraId="692E1CF5" w14:textId="77777777" w:rsidR="000327C5" w:rsidRDefault="000327C5">
      <w:pPr>
        <w:pStyle w:val="Standard"/>
        <w:jc w:val="both"/>
        <w:rPr>
          <w:rFonts w:ascii="Georgia" w:hAnsi="Georgia" w:cs="Georgia"/>
          <w:b/>
          <w:bCs/>
        </w:rPr>
      </w:pPr>
    </w:p>
    <w:p w14:paraId="614DD880" w14:textId="77777777" w:rsidR="000327C5" w:rsidRDefault="000327C5">
      <w:pPr>
        <w:pStyle w:val="Standard"/>
        <w:jc w:val="both"/>
        <w:rPr>
          <w:rFonts w:ascii="Georgia" w:hAnsi="Georgia" w:cs="Georgia"/>
          <w:b/>
          <w:bCs/>
        </w:rPr>
      </w:pPr>
    </w:p>
    <w:p w14:paraId="11D84F7E" w14:textId="77777777" w:rsidR="003D60B9" w:rsidRDefault="000327C5">
      <w:pPr>
        <w:pStyle w:val="Standard"/>
        <w:jc w:val="both"/>
      </w:pPr>
      <w:r>
        <w:rPr>
          <w:rFonts w:ascii="Georgia" w:hAnsi="Georgia" w:cs="Georgia"/>
          <w:b/>
          <w:bCs/>
        </w:rPr>
        <w:lastRenderedPageBreak/>
        <w:t>BACKGROUND</w:t>
      </w:r>
    </w:p>
    <w:p w14:paraId="326E5A1F" w14:textId="77777777" w:rsidR="003D60B9" w:rsidRDefault="003D60B9">
      <w:pPr>
        <w:pStyle w:val="Standard"/>
        <w:jc w:val="both"/>
        <w:rPr>
          <w:rFonts w:ascii="Georgia" w:hAnsi="Georgia" w:cs="Georgia"/>
        </w:rPr>
      </w:pPr>
    </w:p>
    <w:p w14:paraId="4E842214" w14:textId="77777777" w:rsidR="003D60B9" w:rsidRDefault="000327C5">
      <w:pPr>
        <w:pStyle w:val="Standard"/>
        <w:jc w:val="both"/>
        <w:rPr>
          <w:rFonts w:ascii="Georgia" w:hAnsi="Georgia" w:cs="Georgia"/>
        </w:rPr>
      </w:pPr>
      <w:r>
        <w:rPr>
          <w:rFonts w:ascii="Georgia" w:hAnsi="Georgia" w:cs="Georgia"/>
        </w:rPr>
        <w:t xml:space="preserve">1.  7 McKinley Road Bournemouth (the Property) is a 2-storey property constructed in the early 190os which is divided into three residential flats, one on each floor. The second floor flat (7A) is occupied by the Respondent Ms Marie </w:t>
      </w:r>
      <w:proofErr w:type="spellStart"/>
      <w:r>
        <w:rPr>
          <w:rFonts w:ascii="Georgia" w:hAnsi="Georgia" w:cs="Georgia"/>
        </w:rPr>
        <w:t>Hopp</w:t>
      </w:r>
      <w:proofErr w:type="spellEnd"/>
      <w:r>
        <w:rPr>
          <w:rFonts w:ascii="Georgia" w:hAnsi="Georgia" w:cs="Georgia"/>
        </w:rPr>
        <w:t>, and the remaining two flats are occupied by Mr. Owen Jones Ms Ruth Davies (ground floor) and Ms. Ilse Prince (first floor.)</w:t>
      </w:r>
    </w:p>
    <w:p w14:paraId="3E1C2E0C" w14:textId="77777777" w:rsidR="003D60B9" w:rsidRDefault="003D60B9">
      <w:pPr>
        <w:pStyle w:val="Standard"/>
        <w:jc w:val="both"/>
        <w:rPr>
          <w:rFonts w:ascii="Georgia" w:hAnsi="Georgia" w:cs="Georgia"/>
        </w:rPr>
      </w:pPr>
    </w:p>
    <w:p w14:paraId="5A1F5D2C" w14:textId="77777777" w:rsidR="003D60B9" w:rsidRDefault="000327C5">
      <w:pPr>
        <w:pStyle w:val="Standard"/>
        <w:jc w:val="both"/>
        <w:rPr>
          <w:rFonts w:ascii="Georgia" w:hAnsi="Georgia" w:cs="Georgia"/>
        </w:rPr>
      </w:pPr>
      <w:r>
        <w:rPr>
          <w:rFonts w:ascii="Georgia" w:hAnsi="Georgia" w:cs="Georgia"/>
        </w:rPr>
        <w:t xml:space="preserve">2. The Respondent Ms. </w:t>
      </w:r>
      <w:proofErr w:type="spellStart"/>
      <w:r>
        <w:rPr>
          <w:rFonts w:ascii="Georgia" w:hAnsi="Georgia" w:cs="Georgia"/>
        </w:rPr>
        <w:t>Hopp</w:t>
      </w:r>
      <w:proofErr w:type="spellEnd"/>
      <w:r>
        <w:rPr>
          <w:rFonts w:ascii="Georgia" w:hAnsi="Georgia" w:cs="Georgia"/>
        </w:rPr>
        <w:t xml:space="preserve"> holds her flat under the terms of a long lease dated 4 July 2002.</w:t>
      </w:r>
    </w:p>
    <w:p w14:paraId="00464086" w14:textId="77777777" w:rsidR="003D60B9" w:rsidRDefault="003D60B9">
      <w:pPr>
        <w:pStyle w:val="Standard"/>
        <w:jc w:val="both"/>
        <w:rPr>
          <w:rFonts w:ascii="Georgia" w:hAnsi="Georgia" w:cs="Georgia"/>
        </w:rPr>
      </w:pPr>
    </w:p>
    <w:p w14:paraId="2225F87F" w14:textId="77777777" w:rsidR="003D60B9" w:rsidRDefault="000327C5">
      <w:pPr>
        <w:pStyle w:val="Standard"/>
        <w:jc w:val="both"/>
        <w:rPr>
          <w:rFonts w:ascii="Georgia" w:hAnsi="Georgia" w:cs="Georgia"/>
        </w:rPr>
      </w:pPr>
      <w:r>
        <w:rPr>
          <w:rFonts w:ascii="Georgia" w:hAnsi="Georgia" w:cs="Georgia"/>
        </w:rPr>
        <w:t xml:space="preserve">3. The freehold interest in the Property is owned by the Applicant company, 7 McKinley Road Bournemouth Ltd., and the shareholders of this company are Mr. Jones, Ms. </w:t>
      </w:r>
      <w:proofErr w:type="gramStart"/>
      <w:r>
        <w:rPr>
          <w:rFonts w:ascii="Georgia" w:hAnsi="Georgia" w:cs="Georgia"/>
        </w:rPr>
        <w:t>Davies</w:t>
      </w:r>
      <w:proofErr w:type="gramEnd"/>
      <w:r>
        <w:rPr>
          <w:rFonts w:ascii="Georgia" w:hAnsi="Georgia" w:cs="Georgia"/>
        </w:rPr>
        <w:t xml:space="preserve"> and Ms. Prince.</w:t>
      </w:r>
    </w:p>
    <w:p w14:paraId="25BAF33C" w14:textId="77777777" w:rsidR="003D60B9" w:rsidRDefault="003D60B9">
      <w:pPr>
        <w:pStyle w:val="Standard"/>
        <w:jc w:val="both"/>
        <w:rPr>
          <w:rFonts w:ascii="Georgia" w:hAnsi="Georgia" w:cs="Georgia"/>
        </w:rPr>
      </w:pPr>
    </w:p>
    <w:p w14:paraId="10121785" w14:textId="77777777" w:rsidR="003D60B9" w:rsidRDefault="000327C5">
      <w:pPr>
        <w:pStyle w:val="Standard"/>
        <w:jc w:val="both"/>
        <w:rPr>
          <w:rFonts w:ascii="Georgia" w:hAnsi="Georgia" w:cs="Georgia"/>
        </w:rPr>
      </w:pPr>
      <w:r>
        <w:rPr>
          <w:rFonts w:ascii="Georgia" w:hAnsi="Georgia" w:cs="Georgia"/>
        </w:rPr>
        <w:t xml:space="preserve">4. There have been two previous Applications to the Tribunal in respect of this property, under reference </w:t>
      </w:r>
      <w:proofErr w:type="gramStart"/>
      <w:r>
        <w:rPr>
          <w:rFonts w:ascii="Georgia" w:hAnsi="Georgia" w:cs="Georgia"/>
        </w:rPr>
        <w:t>numbers:-</w:t>
      </w:r>
      <w:proofErr w:type="gramEnd"/>
    </w:p>
    <w:p w14:paraId="211D112D" w14:textId="77777777" w:rsidR="003D60B9" w:rsidRDefault="000327C5">
      <w:pPr>
        <w:pStyle w:val="Standard"/>
        <w:jc w:val="both"/>
        <w:rPr>
          <w:rFonts w:ascii="Georgia" w:hAnsi="Georgia" w:cs="Georgia"/>
        </w:rPr>
      </w:pPr>
      <w:r>
        <w:rPr>
          <w:rFonts w:ascii="Georgia" w:hAnsi="Georgia" w:cs="Georgia"/>
        </w:rPr>
        <w:t>CHI/00HN/LIS/2023/0008 and CHI/00HN/LDC/2023/0164.</w:t>
      </w:r>
    </w:p>
    <w:p w14:paraId="7328A63D" w14:textId="77777777" w:rsidR="003D60B9" w:rsidRDefault="003D60B9">
      <w:pPr>
        <w:pStyle w:val="Standard"/>
        <w:jc w:val="both"/>
        <w:rPr>
          <w:rFonts w:ascii="Georgia" w:hAnsi="Georgia" w:cs="Georgia"/>
        </w:rPr>
      </w:pPr>
    </w:p>
    <w:p w14:paraId="797E6985" w14:textId="77777777" w:rsidR="003D60B9" w:rsidRDefault="000327C5">
      <w:pPr>
        <w:pStyle w:val="Standard"/>
        <w:jc w:val="both"/>
        <w:rPr>
          <w:rFonts w:ascii="Georgia" w:hAnsi="Georgia" w:cs="Georgia"/>
        </w:rPr>
      </w:pPr>
      <w:r>
        <w:rPr>
          <w:rFonts w:ascii="Georgia" w:hAnsi="Georgia" w:cs="Georgia"/>
        </w:rPr>
        <w:t xml:space="preserve">5. The first of these was an application as to liability to pay and reasonableness of the service charges (under Section 27A of the Landlord and Tenant Act 1985) for </w:t>
      </w:r>
      <w:proofErr w:type="gramStart"/>
      <w:r>
        <w:rPr>
          <w:rFonts w:ascii="Georgia" w:hAnsi="Georgia" w:cs="Georgia"/>
        </w:rPr>
        <w:t>the  years</w:t>
      </w:r>
      <w:proofErr w:type="gramEnd"/>
      <w:r>
        <w:rPr>
          <w:rFonts w:ascii="Georgia" w:hAnsi="Georgia" w:cs="Georgia"/>
        </w:rPr>
        <w:t xml:space="preserve"> from 2012 to 2022 (in each case the service charge year ends on 29 September).</w:t>
      </w:r>
    </w:p>
    <w:p w14:paraId="01A2FACC" w14:textId="77777777" w:rsidR="003D60B9" w:rsidRDefault="003D60B9">
      <w:pPr>
        <w:pStyle w:val="Standard"/>
        <w:jc w:val="both"/>
        <w:rPr>
          <w:rFonts w:ascii="Georgia" w:hAnsi="Georgia" w:cs="Georgia"/>
        </w:rPr>
      </w:pPr>
    </w:p>
    <w:p w14:paraId="647C11BD" w14:textId="77777777" w:rsidR="003D60B9" w:rsidRDefault="000327C5">
      <w:pPr>
        <w:pStyle w:val="Standard"/>
        <w:jc w:val="both"/>
        <w:rPr>
          <w:rFonts w:ascii="Georgia" w:hAnsi="Georgia" w:cs="Georgia"/>
        </w:rPr>
      </w:pPr>
      <w:r>
        <w:rPr>
          <w:rFonts w:ascii="Georgia" w:hAnsi="Georgia" w:cs="Georgia"/>
        </w:rPr>
        <w:t>6. The second was a retrospective application (under Section 20ZA of the same Act) for an order granting dispensation from the statutory consultation requirements for specific works carried out during 2018.</w:t>
      </w:r>
    </w:p>
    <w:p w14:paraId="06C17142" w14:textId="77777777" w:rsidR="003D60B9" w:rsidRDefault="003D60B9">
      <w:pPr>
        <w:pStyle w:val="Standard"/>
        <w:jc w:val="both"/>
        <w:rPr>
          <w:rFonts w:ascii="Georgia" w:hAnsi="Georgia" w:cs="Georgia"/>
        </w:rPr>
      </w:pPr>
    </w:p>
    <w:p w14:paraId="462297A4" w14:textId="77777777" w:rsidR="003D60B9" w:rsidRDefault="000327C5">
      <w:pPr>
        <w:pStyle w:val="Standard"/>
        <w:jc w:val="both"/>
        <w:rPr>
          <w:rFonts w:ascii="Georgia" w:hAnsi="Georgia" w:cs="Georgia"/>
        </w:rPr>
      </w:pPr>
      <w:r>
        <w:rPr>
          <w:rFonts w:ascii="Georgia" w:hAnsi="Georgia" w:cs="Georgia"/>
        </w:rPr>
        <w:t>7. In respect of the first of these applications, on the 3</w:t>
      </w:r>
      <w:r>
        <w:rPr>
          <w:rFonts w:ascii="Georgia" w:hAnsi="Georgia" w:cs="Georgia"/>
          <w:vertAlign w:val="superscript"/>
        </w:rPr>
        <w:t>rd</w:t>
      </w:r>
      <w:r>
        <w:rPr>
          <w:rFonts w:ascii="Georgia" w:hAnsi="Georgia" w:cs="Georgia"/>
        </w:rPr>
        <w:t xml:space="preserve"> of November 2023 the Tribunal determined that the service charges for the years 2012 to 2018 and 2020 to 2022 were reasonable and Ms. </w:t>
      </w:r>
      <w:proofErr w:type="spellStart"/>
      <w:r>
        <w:rPr>
          <w:rFonts w:ascii="Georgia" w:hAnsi="Georgia" w:cs="Georgia"/>
        </w:rPr>
        <w:t>Hopp</w:t>
      </w:r>
      <w:proofErr w:type="spellEnd"/>
      <w:r>
        <w:rPr>
          <w:rFonts w:ascii="Georgia" w:hAnsi="Georgia" w:cs="Georgia"/>
        </w:rPr>
        <w:t xml:space="preserve"> was liable to pay them in full. However, only £250 was payable for the year 2018-2019 because the consultation requirements had not been complied with in relation to the extensive decorative and repair works carried out during that period.</w:t>
      </w:r>
    </w:p>
    <w:p w14:paraId="38203DEE" w14:textId="77777777" w:rsidR="003D60B9" w:rsidRDefault="003D60B9">
      <w:pPr>
        <w:pStyle w:val="Standard"/>
        <w:jc w:val="both"/>
        <w:rPr>
          <w:rFonts w:ascii="Georgia" w:hAnsi="Georgia" w:cs="Georgia"/>
        </w:rPr>
      </w:pPr>
    </w:p>
    <w:p w14:paraId="47F494A6" w14:textId="77777777" w:rsidR="003D60B9" w:rsidRDefault="000327C5">
      <w:pPr>
        <w:pStyle w:val="Standard"/>
        <w:jc w:val="both"/>
        <w:rPr>
          <w:rFonts w:ascii="Georgia" w:hAnsi="Georgia" w:cs="Georgia"/>
        </w:rPr>
      </w:pPr>
      <w:r>
        <w:rPr>
          <w:rFonts w:ascii="Georgia" w:hAnsi="Georgia" w:cs="Georgia"/>
        </w:rPr>
        <w:t>8. In respect of the second application, on the 23</w:t>
      </w:r>
      <w:r>
        <w:rPr>
          <w:rFonts w:ascii="Georgia" w:hAnsi="Georgia" w:cs="Georgia"/>
          <w:vertAlign w:val="superscript"/>
        </w:rPr>
        <w:t>rd</w:t>
      </w:r>
      <w:r>
        <w:rPr>
          <w:rFonts w:ascii="Georgia" w:hAnsi="Georgia" w:cs="Georgia"/>
        </w:rPr>
        <w:t xml:space="preserve"> of January 2024 the Tribunal ruled that the consultation requirements (relating to the works as above which contributed to the higher service charges for the year ending September 2019) should be dispensed with.</w:t>
      </w:r>
    </w:p>
    <w:p w14:paraId="0CF77F32" w14:textId="77777777" w:rsidR="003D60B9" w:rsidRDefault="003D60B9">
      <w:pPr>
        <w:pStyle w:val="Standard"/>
        <w:jc w:val="both"/>
        <w:rPr>
          <w:rFonts w:ascii="Georgia" w:hAnsi="Georgia" w:cs="Georgia"/>
        </w:rPr>
      </w:pPr>
    </w:p>
    <w:p w14:paraId="0DD7614E" w14:textId="77777777" w:rsidR="003D60B9" w:rsidRDefault="000327C5">
      <w:pPr>
        <w:pStyle w:val="Standard"/>
        <w:jc w:val="both"/>
      </w:pPr>
      <w:r>
        <w:rPr>
          <w:rFonts w:ascii="Georgia" w:hAnsi="Georgia" w:cs="Georgia"/>
        </w:rPr>
        <w:t xml:space="preserve">9. In the light of the dispensation granted in Paragraph 8 above, the </w:t>
      </w:r>
      <w:r>
        <w:rPr>
          <w:rFonts w:ascii="Georgia" w:hAnsi="Georgia" w:cs="Georgia"/>
        </w:rPr>
        <w:t xml:space="preserve">current </w:t>
      </w:r>
      <w:r>
        <w:rPr>
          <w:rFonts w:ascii="Georgia" w:hAnsi="Georgia" w:cs="Georgia"/>
        </w:rPr>
        <w:t>Applica</w:t>
      </w:r>
      <w:r>
        <w:rPr>
          <w:rFonts w:ascii="Georgia" w:hAnsi="Georgia" w:cs="Georgia"/>
        </w:rPr>
        <w:t xml:space="preserve">tion seeks a </w:t>
      </w:r>
      <w:r>
        <w:rPr>
          <w:rFonts w:ascii="Georgia" w:hAnsi="Georgia" w:cs="Georgia"/>
        </w:rPr>
        <w:t xml:space="preserve">further </w:t>
      </w:r>
      <w:r>
        <w:rPr>
          <w:rFonts w:ascii="Georgia" w:hAnsi="Georgia" w:cs="Georgia"/>
        </w:rPr>
        <w:t xml:space="preserve">determination from the Tribunal </w:t>
      </w:r>
      <w:proofErr w:type="gramStart"/>
      <w:r>
        <w:rPr>
          <w:rFonts w:ascii="Georgia" w:hAnsi="Georgia" w:cs="Georgia"/>
        </w:rPr>
        <w:t>-  pursuant</w:t>
      </w:r>
      <w:proofErr w:type="gramEnd"/>
      <w:r>
        <w:rPr>
          <w:rFonts w:ascii="Georgia" w:hAnsi="Georgia" w:cs="Georgia"/>
        </w:rPr>
        <w:t xml:space="preserve"> to section 27A of the Landlord and Tenant Act 1985 -  as to the reasonableness and </w:t>
      </w:r>
      <w:proofErr w:type="spellStart"/>
      <w:r>
        <w:rPr>
          <w:rFonts w:ascii="Georgia" w:hAnsi="Georgia" w:cs="Georgia"/>
        </w:rPr>
        <w:t>payability</w:t>
      </w:r>
      <w:proofErr w:type="spellEnd"/>
      <w:r>
        <w:rPr>
          <w:rFonts w:ascii="Georgia" w:hAnsi="Georgia" w:cs="Georgia"/>
        </w:rPr>
        <w:t xml:space="preserve"> of the service charges for that particular year September 2018- September 2019.</w:t>
      </w:r>
    </w:p>
    <w:p w14:paraId="1ABCB366" w14:textId="77777777" w:rsidR="003D60B9" w:rsidRDefault="003D60B9">
      <w:pPr>
        <w:pStyle w:val="Standard"/>
        <w:jc w:val="both"/>
        <w:rPr>
          <w:rFonts w:ascii="Georgia" w:hAnsi="Georgia" w:cs="Georgia"/>
        </w:rPr>
      </w:pPr>
    </w:p>
    <w:p w14:paraId="543AFD29" w14:textId="77777777" w:rsidR="003D60B9" w:rsidRDefault="000327C5">
      <w:pPr>
        <w:pStyle w:val="Standard"/>
        <w:jc w:val="both"/>
      </w:pPr>
      <w:r>
        <w:rPr>
          <w:rFonts w:ascii="Georgia" w:hAnsi="Georgia" w:cs="Georgia"/>
        </w:rPr>
        <w:t>10. Following Directions which were issued by the Tribunal on 17</w:t>
      </w:r>
      <w:r>
        <w:rPr>
          <w:rFonts w:ascii="Georgia" w:hAnsi="Georgia" w:cs="Georgia"/>
          <w:vertAlign w:val="superscript"/>
        </w:rPr>
        <w:t>th</w:t>
      </w:r>
      <w:r>
        <w:rPr>
          <w:rFonts w:ascii="Georgia" w:hAnsi="Georgia" w:cs="Georgia"/>
        </w:rPr>
        <w:t xml:space="preserve"> July 2024, a bundle of relevant documents (72 pages) was </w:t>
      </w:r>
      <w:proofErr w:type="gramStart"/>
      <w:r>
        <w:rPr>
          <w:rFonts w:ascii="Georgia" w:hAnsi="Georgia" w:cs="Georgia"/>
        </w:rPr>
        <w:t>filed</w:t>
      </w:r>
      <w:proofErr w:type="gramEnd"/>
      <w:r>
        <w:rPr>
          <w:rFonts w:ascii="Georgia" w:hAnsi="Georgia" w:cs="Georgia"/>
        </w:rPr>
        <w:t xml:space="preserve"> and the matter was listed for a paper determination on the 3</w:t>
      </w:r>
      <w:r>
        <w:rPr>
          <w:rFonts w:ascii="Georgia" w:hAnsi="Georgia" w:cs="Georgia"/>
          <w:vertAlign w:val="superscript"/>
        </w:rPr>
        <w:t>rd</w:t>
      </w:r>
      <w:r>
        <w:rPr>
          <w:rFonts w:ascii="Georgia" w:hAnsi="Georgia" w:cs="Georgia"/>
        </w:rPr>
        <w:t xml:space="preserve"> of October 2024.</w:t>
      </w:r>
    </w:p>
    <w:p w14:paraId="760EF511" w14:textId="77777777" w:rsidR="003D60B9" w:rsidRDefault="003D60B9">
      <w:pPr>
        <w:pStyle w:val="Standard"/>
        <w:jc w:val="both"/>
        <w:rPr>
          <w:rFonts w:ascii="Georgia" w:hAnsi="Georgia" w:cs="Georgia"/>
        </w:rPr>
      </w:pPr>
    </w:p>
    <w:p w14:paraId="36DC91F3" w14:textId="77777777" w:rsidR="003D60B9" w:rsidRDefault="000327C5">
      <w:pPr>
        <w:pStyle w:val="Standard"/>
        <w:jc w:val="both"/>
        <w:rPr>
          <w:rFonts w:ascii="Georgia" w:hAnsi="Georgia" w:cs="Georgia"/>
        </w:rPr>
      </w:pPr>
      <w:r>
        <w:rPr>
          <w:rFonts w:ascii="Georgia" w:hAnsi="Georgia" w:cs="Georgia"/>
        </w:rPr>
        <w:t>11. Neither party had requested an inspection of the property or an oral hearing.</w:t>
      </w:r>
    </w:p>
    <w:p w14:paraId="46D7EC05" w14:textId="77777777" w:rsidR="003D60B9" w:rsidRDefault="003D60B9">
      <w:pPr>
        <w:pStyle w:val="Standard"/>
        <w:jc w:val="both"/>
        <w:rPr>
          <w:rFonts w:ascii="Georgia" w:hAnsi="Georgia" w:cs="Georgia"/>
        </w:rPr>
      </w:pPr>
    </w:p>
    <w:p w14:paraId="6486665D" w14:textId="77777777" w:rsidR="003D60B9" w:rsidRDefault="003D60B9">
      <w:pPr>
        <w:pStyle w:val="Standard"/>
        <w:jc w:val="both"/>
        <w:rPr>
          <w:rFonts w:ascii="Georgia" w:hAnsi="Georgia" w:cs="Georgia"/>
        </w:rPr>
      </w:pPr>
    </w:p>
    <w:p w14:paraId="1311E2DE" w14:textId="77777777" w:rsidR="003D60B9" w:rsidRDefault="000327C5">
      <w:pPr>
        <w:pStyle w:val="Standard"/>
        <w:jc w:val="both"/>
        <w:rPr>
          <w:rFonts w:ascii="Georgia" w:hAnsi="Georgia" w:cs="Georgia"/>
          <w:b/>
          <w:bCs/>
        </w:rPr>
      </w:pPr>
      <w:r>
        <w:rPr>
          <w:rFonts w:ascii="Georgia" w:hAnsi="Georgia" w:cs="Georgia"/>
          <w:b/>
          <w:bCs/>
        </w:rPr>
        <w:lastRenderedPageBreak/>
        <w:t>RELEVANT LAW</w:t>
      </w:r>
    </w:p>
    <w:p w14:paraId="30391366" w14:textId="77777777" w:rsidR="003D60B9" w:rsidRDefault="003D60B9">
      <w:pPr>
        <w:pStyle w:val="Standard"/>
        <w:jc w:val="both"/>
        <w:rPr>
          <w:rFonts w:ascii="Georgia" w:hAnsi="Georgia" w:cs="Georgia"/>
          <w:b/>
          <w:bCs/>
        </w:rPr>
      </w:pPr>
    </w:p>
    <w:p w14:paraId="18AA051A" w14:textId="77777777" w:rsidR="003D60B9" w:rsidRDefault="000327C5">
      <w:pPr>
        <w:pStyle w:val="Standard"/>
        <w:jc w:val="both"/>
      </w:pPr>
      <w:r>
        <w:rPr>
          <w:rFonts w:ascii="Georgia" w:hAnsi="Georgia" w:cs="Georgia"/>
        </w:rPr>
        <w:t>12. The relevant statutory provisions are to be found in sections 18, 19, 20, 20ZA and 27A of the Landlord and Tenant Act 1985 (the 1985 Act).  See attached Appendix.</w:t>
      </w:r>
    </w:p>
    <w:p w14:paraId="4D927024" w14:textId="77777777" w:rsidR="003D60B9" w:rsidRDefault="003D60B9">
      <w:pPr>
        <w:pStyle w:val="Standard"/>
        <w:jc w:val="both"/>
        <w:rPr>
          <w:rFonts w:ascii="Georgia" w:hAnsi="Georgia" w:cs="Georgia"/>
          <w:b/>
          <w:bCs/>
        </w:rPr>
      </w:pPr>
    </w:p>
    <w:p w14:paraId="05E4E9AD" w14:textId="77777777" w:rsidR="003D60B9" w:rsidRDefault="000327C5">
      <w:pPr>
        <w:pStyle w:val="Standard"/>
        <w:jc w:val="both"/>
        <w:rPr>
          <w:rFonts w:ascii="Georgia" w:hAnsi="Georgia" w:cs="Georgia"/>
          <w:b/>
          <w:bCs/>
        </w:rPr>
      </w:pPr>
      <w:r>
        <w:rPr>
          <w:rFonts w:ascii="Georgia" w:hAnsi="Georgia" w:cs="Georgia"/>
          <w:b/>
          <w:bCs/>
        </w:rPr>
        <w:t>THE LEASE</w:t>
      </w:r>
    </w:p>
    <w:p w14:paraId="39E54819" w14:textId="77777777" w:rsidR="003D60B9" w:rsidRDefault="003D60B9">
      <w:pPr>
        <w:pStyle w:val="Standard"/>
        <w:jc w:val="both"/>
        <w:rPr>
          <w:rFonts w:ascii="Georgia" w:hAnsi="Georgia" w:cs="Georgia"/>
          <w:b/>
          <w:bCs/>
        </w:rPr>
      </w:pPr>
    </w:p>
    <w:p w14:paraId="2C0BAE0A" w14:textId="77777777" w:rsidR="003D60B9" w:rsidRDefault="000327C5">
      <w:pPr>
        <w:pStyle w:val="Standard"/>
        <w:jc w:val="both"/>
        <w:rPr>
          <w:rFonts w:ascii="Georgia" w:hAnsi="Georgia" w:cs="Georgia"/>
        </w:rPr>
      </w:pPr>
      <w:r>
        <w:rPr>
          <w:rFonts w:ascii="Georgia" w:hAnsi="Georgia" w:cs="Georgia"/>
        </w:rPr>
        <w:t xml:space="preserve">13. There is a copy of the lease at </w:t>
      </w:r>
      <w:r>
        <w:rPr>
          <w:rFonts w:ascii="Georgia" w:hAnsi="Georgia" w:cs="Georgia"/>
        </w:rPr>
        <w:t xml:space="preserve">Page 15 of the bundle. It is dated 4 July 2002 and is for a term of 99 years from 25 March 1965. It is understood to have replaced a previous lease </w:t>
      </w:r>
      <w:proofErr w:type="gramStart"/>
      <w:r>
        <w:rPr>
          <w:rFonts w:ascii="Georgia" w:hAnsi="Georgia" w:cs="Georgia"/>
        </w:rPr>
        <w:t>so as to</w:t>
      </w:r>
      <w:proofErr w:type="gramEnd"/>
      <w:r>
        <w:rPr>
          <w:rFonts w:ascii="Georgia" w:hAnsi="Georgia" w:cs="Georgia"/>
        </w:rPr>
        <w:t xml:space="preserve"> be consistent with the leases of the other two flats.</w:t>
      </w:r>
    </w:p>
    <w:p w14:paraId="57208FFF" w14:textId="77777777" w:rsidR="003D60B9" w:rsidRDefault="003D60B9">
      <w:pPr>
        <w:pStyle w:val="Standard"/>
        <w:jc w:val="both"/>
        <w:rPr>
          <w:rFonts w:ascii="Georgia" w:hAnsi="Georgia" w:cs="Georgia"/>
        </w:rPr>
      </w:pPr>
    </w:p>
    <w:p w14:paraId="174105BA" w14:textId="77777777" w:rsidR="003D60B9" w:rsidRDefault="000327C5">
      <w:pPr>
        <w:pStyle w:val="Standard"/>
        <w:jc w:val="both"/>
        <w:rPr>
          <w:rFonts w:ascii="Georgia" w:hAnsi="Georgia" w:cs="Georgia"/>
        </w:rPr>
      </w:pPr>
      <w:r>
        <w:rPr>
          <w:rFonts w:ascii="Georgia" w:hAnsi="Georgia" w:cs="Georgia"/>
        </w:rPr>
        <w:t>14. The Lease provides for a ground rent of £10 per annum payable by half yearly equal instalments on 25 March and 29th September in each year.</w:t>
      </w:r>
    </w:p>
    <w:p w14:paraId="34856D1D" w14:textId="77777777" w:rsidR="003D60B9" w:rsidRDefault="003D60B9">
      <w:pPr>
        <w:pStyle w:val="Standard"/>
        <w:jc w:val="both"/>
        <w:rPr>
          <w:rFonts w:ascii="Georgia" w:hAnsi="Georgia" w:cs="Georgia"/>
        </w:rPr>
      </w:pPr>
    </w:p>
    <w:p w14:paraId="7DB7C261" w14:textId="77777777" w:rsidR="003D60B9" w:rsidRDefault="000327C5">
      <w:pPr>
        <w:pStyle w:val="Standard"/>
        <w:jc w:val="both"/>
        <w:rPr>
          <w:rFonts w:ascii="Georgia" w:hAnsi="Georgia" w:cs="Georgia"/>
        </w:rPr>
      </w:pPr>
      <w:r>
        <w:rPr>
          <w:rFonts w:ascii="Georgia" w:hAnsi="Georgia" w:cs="Georgia"/>
        </w:rPr>
        <w:t xml:space="preserve">15, In addition the lessee covenants at clause 3.2: </w:t>
      </w:r>
      <w:r>
        <w:rPr>
          <w:rFonts w:ascii="Georgia" w:hAnsi="Georgia" w:cs="Georgia"/>
          <w:i/>
          <w:iCs/>
        </w:rPr>
        <w:t>‘To pay the service charge calculated in accordance with the Third Schedule on the dates stated there’.</w:t>
      </w:r>
    </w:p>
    <w:p w14:paraId="0DA90312" w14:textId="77777777" w:rsidR="003D60B9" w:rsidRDefault="003D60B9">
      <w:pPr>
        <w:pStyle w:val="Standard"/>
        <w:jc w:val="both"/>
        <w:rPr>
          <w:rFonts w:ascii="Georgia" w:hAnsi="Georgia" w:cs="Georgia"/>
        </w:rPr>
      </w:pPr>
    </w:p>
    <w:p w14:paraId="27E77885" w14:textId="77777777" w:rsidR="003D60B9" w:rsidRDefault="000327C5">
      <w:pPr>
        <w:pStyle w:val="Standard"/>
        <w:jc w:val="both"/>
        <w:rPr>
          <w:rFonts w:ascii="Georgia" w:hAnsi="Georgia" w:cs="Georgia"/>
        </w:rPr>
      </w:pPr>
      <w:r>
        <w:rPr>
          <w:rFonts w:ascii="Georgia" w:hAnsi="Georgia" w:cs="Georgia"/>
        </w:rPr>
        <w:t>16. Clause 1 of the Third Schedule provides:</w:t>
      </w:r>
    </w:p>
    <w:p w14:paraId="76075BE2" w14:textId="77777777" w:rsidR="003D60B9" w:rsidRDefault="000327C5">
      <w:pPr>
        <w:pStyle w:val="Standard"/>
        <w:jc w:val="both"/>
        <w:rPr>
          <w:b/>
          <w:bCs/>
        </w:rPr>
      </w:pPr>
      <w:r>
        <w:rPr>
          <w:rFonts w:ascii="Georgia" w:hAnsi="Georgia" w:cs="Georgia"/>
          <w:i/>
          <w:iCs/>
        </w:rPr>
        <w:t>“Service Costs” means the amount the Landlord spends in carrying out all the obligations imposed by this Lease (other than the covenant for quiet</w:t>
      </w:r>
      <w:r>
        <w:rPr>
          <w:rFonts w:ascii="Georgia" w:hAnsi="Georgia" w:cs="Georgia"/>
          <w:b/>
          <w:bCs/>
          <w:i/>
          <w:iCs/>
        </w:rPr>
        <w:t xml:space="preserve"> </w:t>
      </w:r>
      <w:r>
        <w:rPr>
          <w:rFonts w:ascii="Georgia" w:hAnsi="Georgia" w:cs="Georgia"/>
          <w:i/>
          <w:iCs/>
        </w:rPr>
        <w:t xml:space="preserve">enjoyment) and not reimbursed in any other way including the cost of borrowing money for that </w:t>
      </w:r>
      <w:proofErr w:type="gramStart"/>
      <w:r>
        <w:rPr>
          <w:rFonts w:ascii="Georgia" w:hAnsi="Georgia" w:cs="Georgia"/>
          <w:i/>
          <w:iCs/>
        </w:rPr>
        <w:t>purpose</w:t>
      </w:r>
      <w:proofErr w:type="gramEnd"/>
    </w:p>
    <w:p w14:paraId="135CD794" w14:textId="77777777" w:rsidR="003D60B9" w:rsidRDefault="003D60B9">
      <w:pPr>
        <w:pStyle w:val="Standard"/>
        <w:jc w:val="both"/>
        <w:rPr>
          <w:rFonts w:ascii="Georgia" w:hAnsi="Georgia" w:cs="Georgia"/>
        </w:rPr>
      </w:pPr>
    </w:p>
    <w:p w14:paraId="6BC70096" w14:textId="77777777" w:rsidR="003D60B9" w:rsidRDefault="000327C5">
      <w:pPr>
        <w:pStyle w:val="Standard"/>
        <w:jc w:val="both"/>
        <w:rPr>
          <w:rFonts w:ascii="Georgia" w:hAnsi="Georgia" w:cs="Georgia"/>
        </w:rPr>
      </w:pPr>
      <w:r>
        <w:rPr>
          <w:rFonts w:ascii="Georgia" w:hAnsi="Georgia" w:cs="Georgia"/>
        </w:rPr>
        <w:t>17. “</w:t>
      </w:r>
      <w:r>
        <w:rPr>
          <w:rFonts w:ascii="Georgia" w:hAnsi="Georgia" w:cs="Georgia"/>
          <w:i/>
          <w:iCs/>
        </w:rPr>
        <w:t>final service charge” means one-fifth of the Service Costs</w:t>
      </w:r>
    </w:p>
    <w:p w14:paraId="4C6E60B2" w14:textId="77777777" w:rsidR="003D60B9" w:rsidRDefault="003D60B9">
      <w:pPr>
        <w:pStyle w:val="Standard"/>
        <w:jc w:val="both"/>
        <w:rPr>
          <w:rFonts w:ascii="Georgia" w:hAnsi="Georgia" w:cs="Georgia"/>
        </w:rPr>
      </w:pPr>
    </w:p>
    <w:p w14:paraId="41805D36" w14:textId="77777777" w:rsidR="003D60B9" w:rsidRDefault="000327C5">
      <w:pPr>
        <w:pStyle w:val="Standard"/>
        <w:jc w:val="both"/>
        <w:rPr>
          <w:rFonts w:ascii="Georgia" w:hAnsi="Georgia" w:cs="Georgia"/>
        </w:rPr>
      </w:pPr>
      <w:r>
        <w:rPr>
          <w:rFonts w:ascii="Georgia" w:hAnsi="Georgia" w:cs="Georgia"/>
        </w:rPr>
        <w:t xml:space="preserve">18. </w:t>
      </w:r>
      <w:r>
        <w:rPr>
          <w:rFonts w:ascii="Georgia" w:hAnsi="Georgia" w:cs="Georgia"/>
          <w:i/>
          <w:iCs/>
        </w:rPr>
        <w:t>“interim service charge” means a half-yearly payment on account of the final service charge which is half of the final service charge on the latest service charge statement</w:t>
      </w:r>
    </w:p>
    <w:p w14:paraId="7484C492" w14:textId="77777777" w:rsidR="003D60B9" w:rsidRDefault="003D60B9">
      <w:pPr>
        <w:pStyle w:val="Standard"/>
        <w:jc w:val="both"/>
        <w:rPr>
          <w:rFonts w:ascii="Georgia" w:hAnsi="Georgia" w:cs="Georgia"/>
        </w:rPr>
      </w:pPr>
    </w:p>
    <w:p w14:paraId="2475FAB8" w14:textId="77777777" w:rsidR="003D60B9" w:rsidRDefault="000327C5">
      <w:pPr>
        <w:pStyle w:val="Standard"/>
        <w:jc w:val="both"/>
        <w:rPr>
          <w:b/>
          <w:bCs/>
        </w:rPr>
      </w:pPr>
      <w:r>
        <w:rPr>
          <w:rFonts w:ascii="Georgia" w:hAnsi="Georgia" w:cs="Georgia"/>
        </w:rPr>
        <w:t xml:space="preserve">19. Clause 2 of the Third Schedule provides that the landlord must keep detailed accounts of service costs and produce a service charge statement for each period ending on 25 March and 29th September, setting out the service costs for that period with particulars of the amount spent on each major category of expenditure and stating the amount of the final service charge, the amount of the interim service charge paid by the lessee, and the amount by which the final service charge exceeds the interim service </w:t>
      </w:r>
      <w:r>
        <w:rPr>
          <w:rFonts w:ascii="Georgia" w:hAnsi="Georgia" w:cs="Georgia"/>
        </w:rPr>
        <w:t>charge instalment or vice versa.</w:t>
      </w:r>
    </w:p>
    <w:p w14:paraId="5D202B0D" w14:textId="77777777" w:rsidR="003D60B9" w:rsidRDefault="003D60B9">
      <w:pPr>
        <w:pStyle w:val="Standard"/>
        <w:jc w:val="both"/>
        <w:rPr>
          <w:rFonts w:ascii="Georgia" w:hAnsi="Georgia" w:cs="Georgia"/>
        </w:rPr>
      </w:pPr>
    </w:p>
    <w:p w14:paraId="36207321" w14:textId="77777777" w:rsidR="003D60B9" w:rsidRDefault="000327C5">
      <w:pPr>
        <w:pStyle w:val="Standard"/>
        <w:jc w:val="both"/>
        <w:rPr>
          <w:rFonts w:ascii="Georgia" w:hAnsi="Georgia" w:cs="Georgia"/>
        </w:rPr>
      </w:pPr>
      <w:r>
        <w:rPr>
          <w:rFonts w:ascii="Georgia" w:hAnsi="Georgia" w:cs="Georgia"/>
        </w:rPr>
        <w:t>20. The service charge instalments are payable on the same dates as the ground rent, 25th of March and 29th September in each year.</w:t>
      </w:r>
    </w:p>
    <w:p w14:paraId="15ED97ED" w14:textId="77777777" w:rsidR="003D60B9" w:rsidRDefault="003D60B9">
      <w:pPr>
        <w:pStyle w:val="Standard"/>
        <w:jc w:val="both"/>
        <w:rPr>
          <w:rFonts w:ascii="Georgia" w:hAnsi="Georgia" w:cs="Georgia"/>
        </w:rPr>
      </w:pPr>
    </w:p>
    <w:p w14:paraId="56EA17E4" w14:textId="77777777" w:rsidR="003D60B9" w:rsidRDefault="000327C5">
      <w:pPr>
        <w:pStyle w:val="Standard"/>
        <w:jc w:val="both"/>
        <w:rPr>
          <w:rFonts w:ascii="Georgia" w:hAnsi="Georgia" w:cs="Georgia"/>
        </w:rPr>
      </w:pPr>
      <w:r>
        <w:rPr>
          <w:rFonts w:ascii="Georgia" w:hAnsi="Georgia" w:cs="Georgia"/>
        </w:rPr>
        <w:t xml:space="preserve">21. By clause 4 of the Lease the landlord </w:t>
      </w:r>
      <w:r>
        <w:rPr>
          <w:rFonts w:ascii="Georgia" w:hAnsi="Georgia" w:cs="Georgia"/>
        </w:rPr>
        <w:t xml:space="preserve">covenants to insure the Property, to pay all rates, </w:t>
      </w:r>
      <w:proofErr w:type="gramStart"/>
      <w:r>
        <w:rPr>
          <w:rFonts w:ascii="Georgia" w:hAnsi="Georgia" w:cs="Georgia"/>
        </w:rPr>
        <w:t>taxes</w:t>
      </w:r>
      <w:proofErr w:type="gramEnd"/>
      <w:r>
        <w:rPr>
          <w:rFonts w:ascii="Georgia" w:hAnsi="Georgia" w:cs="Georgia"/>
        </w:rPr>
        <w:t xml:space="preserve"> and outgoings in respect of the common parts, to provide the services listed in the Fourth Schedule and to maintain a reserve fund. The landlord may engage the services of such employees, agents, contractors et cetera as are considered necessary.</w:t>
      </w:r>
    </w:p>
    <w:p w14:paraId="6DA379E4" w14:textId="77777777" w:rsidR="003D60B9" w:rsidRDefault="000327C5">
      <w:pPr>
        <w:pStyle w:val="Standard"/>
        <w:jc w:val="both"/>
        <w:rPr>
          <w:b/>
          <w:bCs/>
        </w:rPr>
      </w:pPr>
      <w:r>
        <w:rPr>
          <w:rFonts w:ascii="Georgia" w:hAnsi="Georgia" w:cs="Georgia"/>
        </w:rPr>
        <w:t xml:space="preserve">22. The services set out in the Fourth Schedule include repairing the roof, main </w:t>
      </w:r>
      <w:proofErr w:type="gramStart"/>
      <w:r>
        <w:rPr>
          <w:rFonts w:ascii="Georgia" w:hAnsi="Georgia" w:cs="Georgia"/>
        </w:rPr>
        <w:t>structure</w:t>
      </w:r>
      <w:proofErr w:type="gramEnd"/>
      <w:r>
        <w:rPr>
          <w:rFonts w:ascii="Georgia" w:hAnsi="Georgia" w:cs="Georgia"/>
        </w:rPr>
        <w:t xml:space="preserve"> and foundations of the building, decorating the outside (but not the window frames or the conservatory) at least once every 5 years, maintaining, cleaning, lighting and decorating the common parts, and maintaining the grounds.</w:t>
      </w:r>
    </w:p>
    <w:p w14:paraId="33880788" w14:textId="77777777" w:rsidR="003D60B9" w:rsidRDefault="003D60B9">
      <w:pPr>
        <w:pStyle w:val="Standard"/>
        <w:jc w:val="both"/>
        <w:rPr>
          <w:rFonts w:ascii="Georgia" w:hAnsi="Georgia" w:cs="Georgia"/>
        </w:rPr>
      </w:pPr>
    </w:p>
    <w:p w14:paraId="0495AEDF" w14:textId="77777777" w:rsidR="003D60B9" w:rsidRDefault="003D60B9">
      <w:pPr>
        <w:pStyle w:val="Standard"/>
        <w:jc w:val="both"/>
        <w:rPr>
          <w:rFonts w:ascii="Georgia" w:hAnsi="Georgia" w:cs="Georgia"/>
        </w:rPr>
      </w:pPr>
    </w:p>
    <w:p w14:paraId="7D6258E8" w14:textId="77777777" w:rsidR="003D60B9" w:rsidRDefault="000327C5">
      <w:pPr>
        <w:pStyle w:val="Standard"/>
        <w:jc w:val="both"/>
        <w:rPr>
          <w:rFonts w:ascii="Georgia" w:hAnsi="Georgia" w:cs="Georgia"/>
          <w:b/>
          <w:bCs/>
        </w:rPr>
      </w:pPr>
      <w:r>
        <w:rPr>
          <w:rFonts w:ascii="Georgia" w:hAnsi="Georgia" w:cs="Georgia"/>
          <w:b/>
          <w:bCs/>
        </w:rPr>
        <w:t>APPLICANT’S CASE</w:t>
      </w:r>
    </w:p>
    <w:p w14:paraId="40F9A974" w14:textId="77777777" w:rsidR="003D60B9" w:rsidRDefault="003D60B9">
      <w:pPr>
        <w:pStyle w:val="Standard"/>
        <w:jc w:val="both"/>
        <w:rPr>
          <w:rFonts w:ascii="Georgia" w:hAnsi="Georgia" w:cs="Georgia"/>
          <w:b/>
          <w:bCs/>
        </w:rPr>
      </w:pPr>
    </w:p>
    <w:p w14:paraId="44E693A4" w14:textId="77777777" w:rsidR="003D60B9" w:rsidRDefault="000327C5">
      <w:pPr>
        <w:pStyle w:val="Standard"/>
        <w:jc w:val="both"/>
        <w:rPr>
          <w:rFonts w:ascii="Georgia" w:hAnsi="Georgia" w:cs="Georgia"/>
        </w:rPr>
      </w:pPr>
      <w:r>
        <w:rPr>
          <w:rFonts w:ascii="Georgia" w:hAnsi="Georgia" w:cs="Georgia"/>
        </w:rPr>
        <w:t>23. The Applicant’s case was contained in their Statement of Case and in Witness Statements from Mr. Jones and Ms. Prince.</w:t>
      </w:r>
    </w:p>
    <w:p w14:paraId="5CBAE5E0" w14:textId="77777777" w:rsidR="003D60B9" w:rsidRDefault="003D60B9">
      <w:pPr>
        <w:pStyle w:val="Standard"/>
        <w:jc w:val="both"/>
        <w:rPr>
          <w:rFonts w:ascii="Georgia" w:hAnsi="Georgia" w:cs="Georgia"/>
          <w:b/>
          <w:bCs/>
        </w:rPr>
      </w:pPr>
    </w:p>
    <w:p w14:paraId="0911A06A" w14:textId="77777777" w:rsidR="003D60B9" w:rsidRDefault="000327C5">
      <w:pPr>
        <w:pStyle w:val="Standard"/>
        <w:jc w:val="both"/>
        <w:rPr>
          <w:b/>
          <w:bCs/>
          <w:u w:val="single"/>
        </w:rPr>
      </w:pPr>
      <w:r>
        <w:rPr>
          <w:rFonts w:ascii="Georgia" w:hAnsi="Georgia" w:cs="Georgia"/>
          <w:b/>
          <w:bCs/>
          <w:u w:val="single"/>
        </w:rPr>
        <w:t>24. Service charges for the year September 2018 – September 2019.</w:t>
      </w:r>
    </w:p>
    <w:p w14:paraId="0443B46A" w14:textId="77777777" w:rsidR="003D60B9" w:rsidRDefault="000327C5">
      <w:pPr>
        <w:pStyle w:val="Standard"/>
        <w:jc w:val="both"/>
        <w:rPr>
          <w:rFonts w:ascii="Georgia" w:hAnsi="Georgia" w:cs="Georgia"/>
        </w:rPr>
      </w:pPr>
      <w:r>
        <w:rPr>
          <w:rFonts w:ascii="Georgia" w:hAnsi="Georgia" w:cs="Georgia"/>
        </w:rPr>
        <w:t xml:space="preserve">The interim and year-end service charge statements for this particular year are at pages 47 and 51 of the </w:t>
      </w:r>
      <w:proofErr w:type="gramStart"/>
      <w:r>
        <w:rPr>
          <w:rFonts w:ascii="Georgia" w:hAnsi="Georgia" w:cs="Georgia"/>
        </w:rPr>
        <w:t>bundle</w:t>
      </w:r>
      <w:proofErr w:type="gramEnd"/>
      <w:r>
        <w:rPr>
          <w:rFonts w:ascii="Georgia" w:hAnsi="Georgia" w:cs="Georgia"/>
        </w:rPr>
        <w:t xml:space="preserve">. There was a total expenditure of £25,250.06 for that year (towards which £2000 was drawn down from the reserve fund), the greater proportion of which was for essential repairs, </w:t>
      </w:r>
      <w:proofErr w:type="gramStart"/>
      <w:r>
        <w:rPr>
          <w:rFonts w:ascii="Georgia" w:hAnsi="Georgia" w:cs="Georgia"/>
        </w:rPr>
        <w:t>redecoration</w:t>
      </w:r>
      <w:proofErr w:type="gramEnd"/>
      <w:r>
        <w:rPr>
          <w:rFonts w:ascii="Georgia" w:hAnsi="Georgia" w:cs="Georgia"/>
        </w:rPr>
        <w:t xml:space="preserve"> and maintenance costing £24,117.36.</w:t>
      </w:r>
    </w:p>
    <w:p w14:paraId="346CF8F0" w14:textId="77777777" w:rsidR="003D60B9" w:rsidRDefault="003D60B9">
      <w:pPr>
        <w:pStyle w:val="Standard"/>
        <w:jc w:val="both"/>
        <w:rPr>
          <w:rFonts w:ascii="Georgia" w:hAnsi="Georgia" w:cs="Georgia"/>
        </w:rPr>
      </w:pPr>
    </w:p>
    <w:p w14:paraId="5396CC07" w14:textId="77777777" w:rsidR="003D60B9" w:rsidRDefault="000327C5">
      <w:pPr>
        <w:pStyle w:val="Standard"/>
        <w:jc w:val="both"/>
        <w:rPr>
          <w:rFonts w:ascii="Georgia" w:hAnsi="Georgia" w:cs="Georgia"/>
        </w:rPr>
      </w:pPr>
      <w:r>
        <w:rPr>
          <w:rFonts w:ascii="Georgia" w:hAnsi="Georgia" w:cs="Georgia"/>
        </w:rPr>
        <w:t>25. On the 23</w:t>
      </w:r>
      <w:r>
        <w:rPr>
          <w:rFonts w:ascii="Georgia" w:hAnsi="Georgia" w:cs="Georgia"/>
          <w:vertAlign w:val="superscript"/>
        </w:rPr>
        <w:t>rd</w:t>
      </w:r>
      <w:r>
        <w:rPr>
          <w:rFonts w:ascii="Georgia" w:hAnsi="Georgia" w:cs="Georgia"/>
        </w:rPr>
        <w:t xml:space="preserve"> of August 2018 Mr. Jones wrote to Ms. </w:t>
      </w:r>
      <w:proofErr w:type="spellStart"/>
      <w:r>
        <w:rPr>
          <w:rFonts w:ascii="Georgia" w:hAnsi="Georgia" w:cs="Georgia"/>
        </w:rPr>
        <w:t>Hopp</w:t>
      </w:r>
      <w:proofErr w:type="spellEnd"/>
      <w:r>
        <w:rPr>
          <w:rFonts w:ascii="Georgia" w:hAnsi="Georgia" w:cs="Georgia"/>
        </w:rPr>
        <w:t xml:space="preserve">, giving details of 3 quotations for the </w:t>
      </w:r>
      <w:r>
        <w:rPr>
          <w:rFonts w:ascii="Georgia" w:hAnsi="Georgia" w:cs="Georgia"/>
        </w:rPr>
        <w:t xml:space="preserve">works and inviting her comments. The parties ultimately selected the cheapest quotation from a company called S&amp;D Decorating &amp; Maintenance Limited (SDDM), and the uncontested evidence from previous proceedings was that Miss </w:t>
      </w:r>
      <w:proofErr w:type="spellStart"/>
      <w:r>
        <w:rPr>
          <w:rFonts w:ascii="Georgia" w:hAnsi="Georgia" w:cs="Georgia"/>
        </w:rPr>
        <w:t>Hopp</w:t>
      </w:r>
      <w:proofErr w:type="spellEnd"/>
      <w:r>
        <w:rPr>
          <w:rFonts w:ascii="Georgia" w:hAnsi="Georgia" w:cs="Georgia"/>
        </w:rPr>
        <w:t xml:space="preserve"> had expressed her support for this choice on the basis that SDDM had performed satisfactory work several times for a neighbour.</w:t>
      </w:r>
    </w:p>
    <w:p w14:paraId="5B1E1543" w14:textId="77777777" w:rsidR="003D60B9" w:rsidRDefault="003D60B9">
      <w:pPr>
        <w:pStyle w:val="Standard"/>
        <w:jc w:val="both"/>
        <w:rPr>
          <w:rFonts w:ascii="Georgia" w:hAnsi="Georgia" w:cs="Georgia"/>
        </w:rPr>
      </w:pPr>
    </w:p>
    <w:p w14:paraId="2C229AAF" w14:textId="77777777" w:rsidR="003D60B9" w:rsidRDefault="000327C5">
      <w:pPr>
        <w:pStyle w:val="Standard"/>
        <w:jc w:val="both"/>
        <w:rPr>
          <w:rFonts w:ascii="Georgia" w:hAnsi="Georgia" w:cs="Georgia"/>
        </w:rPr>
      </w:pPr>
      <w:r>
        <w:rPr>
          <w:rFonts w:ascii="Georgia" w:hAnsi="Georgia" w:cs="Georgia"/>
        </w:rPr>
        <w:t>26. The works were completed and invoiced accordingly. There was no issue raised as to the quality of the work.</w:t>
      </w:r>
    </w:p>
    <w:p w14:paraId="46950244" w14:textId="77777777" w:rsidR="003D60B9" w:rsidRDefault="003D60B9">
      <w:pPr>
        <w:pStyle w:val="Standard"/>
        <w:jc w:val="both"/>
        <w:rPr>
          <w:rFonts w:ascii="Georgia" w:hAnsi="Georgia" w:cs="Georgia"/>
        </w:rPr>
      </w:pPr>
    </w:p>
    <w:p w14:paraId="5D84CA9C" w14:textId="77777777" w:rsidR="003D60B9" w:rsidRDefault="000327C5">
      <w:pPr>
        <w:pStyle w:val="Standard"/>
        <w:jc w:val="both"/>
        <w:rPr>
          <w:rFonts w:ascii="Georgia" w:hAnsi="Georgia" w:cs="Georgia"/>
        </w:rPr>
      </w:pPr>
      <w:r>
        <w:rPr>
          <w:rFonts w:ascii="Georgia" w:hAnsi="Georgia" w:cs="Georgia"/>
        </w:rPr>
        <w:t xml:space="preserve">27. Although Ms. </w:t>
      </w:r>
      <w:proofErr w:type="spellStart"/>
      <w:r>
        <w:rPr>
          <w:rFonts w:ascii="Georgia" w:hAnsi="Georgia" w:cs="Georgia"/>
        </w:rPr>
        <w:t>Hopp</w:t>
      </w:r>
      <w:proofErr w:type="spellEnd"/>
      <w:r>
        <w:rPr>
          <w:rFonts w:ascii="Georgia" w:hAnsi="Georgia" w:cs="Georgia"/>
        </w:rPr>
        <w:t xml:space="preserve"> made a payment of £2,200 in January 2019, the Applicant stated that no other payments had been made at all despite the Tribunal’s ruling in November 2023. Substantial service charge debts for Ms. </w:t>
      </w:r>
      <w:proofErr w:type="spellStart"/>
      <w:r>
        <w:rPr>
          <w:rFonts w:ascii="Georgia" w:hAnsi="Georgia" w:cs="Georgia"/>
        </w:rPr>
        <w:t>Hopp’s</w:t>
      </w:r>
      <w:proofErr w:type="spellEnd"/>
      <w:r>
        <w:rPr>
          <w:rFonts w:ascii="Georgia" w:hAnsi="Georgia" w:cs="Georgia"/>
        </w:rPr>
        <w:t xml:space="preserve"> one-fifth share of costs during the years from 2012 to date are still outstanding, and this makes it difficult to undertake further necessary maintenance works.</w:t>
      </w:r>
    </w:p>
    <w:p w14:paraId="4A5DAFB1" w14:textId="77777777" w:rsidR="003D60B9" w:rsidRDefault="003D60B9">
      <w:pPr>
        <w:pStyle w:val="Standard"/>
        <w:jc w:val="both"/>
        <w:rPr>
          <w:rFonts w:ascii="Georgia" w:hAnsi="Georgia" w:cs="Georgia"/>
        </w:rPr>
      </w:pPr>
    </w:p>
    <w:p w14:paraId="0729FE28" w14:textId="77777777" w:rsidR="003D60B9" w:rsidRDefault="000327C5">
      <w:pPr>
        <w:pStyle w:val="Standard"/>
        <w:jc w:val="both"/>
        <w:rPr>
          <w:rFonts w:ascii="Georgia" w:hAnsi="Georgia" w:cs="Georgia"/>
        </w:rPr>
      </w:pPr>
      <w:r>
        <w:rPr>
          <w:rFonts w:ascii="Georgia" w:hAnsi="Georgia" w:cs="Georgia"/>
        </w:rPr>
        <w:t>28. The Applicant submitted that the service charge costs of the year in question were reasonable, the works had been done to a reasonable standard, and the Tribunal should order the Respondent to pay them forthwith.</w:t>
      </w:r>
    </w:p>
    <w:p w14:paraId="71080ABD" w14:textId="77777777" w:rsidR="003D60B9" w:rsidRDefault="003D60B9">
      <w:pPr>
        <w:pStyle w:val="Standard"/>
        <w:jc w:val="both"/>
        <w:rPr>
          <w:rFonts w:ascii="Georgia" w:hAnsi="Georgia" w:cs="Georgia"/>
        </w:rPr>
      </w:pPr>
    </w:p>
    <w:p w14:paraId="5C90D611" w14:textId="77777777" w:rsidR="003D60B9" w:rsidRDefault="000327C5">
      <w:pPr>
        <w:pStyle w:val="Standard"/>
        <w:jc w:val="both"/>
        <w:rPr>
          <w:rFonts w:ascii="Georgia" w:hAnsi="Georgia" w:cs="Georgia"/>
        </w:rPr>
      </w:pPr>
      <w:r>
        <w:rPr>
          <w:rFonts w:ascii="Georgia" w:hAnsi="Georgia" w:cs="Georgia"/>
        </w:rPr>
        <w:t>29. The Applicants also sought an order for reimbursement of the Tribunal Application fee in the sum of £100, as the proceedings were only necessary because of the Respondent’s failure to comply with her obligations under the lease.</w:t>
      </w:r>
    </w:p>
    <w:p w14:paraId="3B71291C" w14:textId="77777777" w:rsidR="003D60B9" w:rsidRDefault="003D60B9">
      <w:pPr>
        <w:pStyle w:val="Standard"/>
        <w:jc w:val="both"/>
        <w:rPr>
          <w:rFonts w:ascii="Georgia" w:hAnsi="Georgia" w:cs="Georgia"/>
        </w:rPr>
      </w:pPr>
    </w:p>
    <w:p w14:paraId="7F42F654" w14:textId="77777777" w:rsidR="003D60B9" w:rsidRDefault="003D60B9">
      <w:pPr>
        <w:pStyle w:val="Standard"/>
        <w:jc w:val="both"/>
        <w:rPr>
          <w:rFonts w:ascii="Georgia" w:hAnsi="Georgia" w:cs="Georgia"/>
          <w:b/>
          <w:bCs/>
        </w:rPr>
      </w:pPr>
    </w:p>
    <w:p w14:paraId="46F0E894" w14:textId="77777777" w:rsidR="003D60B9" w:rsidRDefault="000327C5">
      <w:pPr>
        <w:pStyle w:val="Standard"/>
        <w:jc w:val="both"/>
        <w:rPr>
          <w:rFonts w:ascii="Georgia" w:hAnsi="Georgia" w:cs="Georgia"/>
          <w:b/>
          <w:bCs/>
        </w:rPr>
      </w:pPr>
      <w:r>
        <w:rPr>
          <w:rFonts w:ascii="Georgia" w:hAnsi="Georgia" w:cs="Georgia"/>
          <w:b/>
          <w:bCs/>
        </w:rPr>
        <w:t>RESPONDENT’S CASE</w:t>
      </w:r>
    </w:p>
    <w:p w14:paraId="23175D8B" w14:textId="77777777" w:rsidR="003D60B9" w:rsidRDefault="003D60B9">
      <w:pPr>
        <w:pStyle w:val="Standard"/>
        <w:jc w:val="both"/>
        <w:rPr>
          <w:rFonts w:ascii="Georgia" w:hAnsi="Georgia" w:cs="Georgia"/>
          <w:b/>
          <w:bCs/>
        </w:rPr>
      </w:pPr>
    </w:p>
    <w:p w14:paraId="526C66ED" w14:textId="77777777" w:rsidR="003D60B9" w:rsidRDefault="000327C5">
      <w:pPr>
        <w:pStyle w:val="Standard"/>
        <w:jc w:val="both"/>
        <w:rPr>
          <w:rFonts w:ascii="Georgia" w:hAnsi="Georgia" w:cs="Georgia"/>
        </w:rPr>
      </w:pPr>
      <w:r>
        <w:rPr>
          <w:rFonts w:ascii="Georgia" w:hAnsi="Georgia" w:cs="Georgia"/>
        </w:rPr>
        <w:t>30. The Tribunal issued Directions on 17</w:t>
      </w:r>
      <w:r>
        <w:rPr>
          <w:rFonts w:ascii="Georgia" w:hAnsi="Georgia" w:cs="Georgia"/>
          <w:vertAlign w:val="superscript"/>
        </w:rPr>
        <w:t>th</w:t>
      </w:r>
      <w:r>
        <w:rPr>
          <w:rFonts w:ascii="Georgia" w:hAnsi="Georgia" w:cs="Georgia"/>
        </w:rPr>
        <w:t xml:space="preserve"> July 2024, which were sent to the Respondent Ms. </w:t>
      </w:r>
      <w:proofErr w:type="spellStart"/>
      <w:r>
        <w:rPr>
          <w:rFonts w:ascii="Georgia" w:hAnsi="Georgia" w:cs="Georgia"/>
        </w:rPr>
        <w:t>Hopp</w:t>
      </w:r>
      <w:proofErr w:type="spellEnd"/>
      <w:r>
        <w:rPr>
          <w:rFonts w:ascii="Georgia" w:hAnsi="Georgia" w:cs="Georgia"/>
        </w:rPr>
        <w:t xml:space="preserve"> together with a form for her to indicate to the Tribunal whether she agreed with or opposed the application and whether she requested an oral hearing.</w:t>
      </w:r>
    </w:p>
    <w:p w14:paraId="23B56C3D" w14:textId="77777777" w:rsidR="003D60B9" w:rsidRDefault="000327C5">
      <w:pPr>
        <w:pStyle w:val="Standard"/>
        <w:jc w:val="both"/>
        <w:rPr>
          <w:rFonts w:ascii="Georgia" w:hAnsi="Georgia" w:cs="Georgia"/>
        </w:rPr>
      </w:pPr>
      <w:r>
        <w:rPr>
          <w:rFonts w:ascii="Georgia" w:hAnsi="Georgia" w:cs="Georgia"/>
        </w:rPr>
        <w:t xml:space="preserve">31. The Directions stated that if Ms. </w:t>
      </w:r>
      <w:proofErr w:type="spellStart"/>
      <w:r>
        <w:rPr>
          <w:rFonts w:ascii="Georgia" w:hAnsi="Georgia" w:cs="Georgia"/>
        </w:rPr>
        <w:t>Hopp</w:t>
      </w:r>
      <w:proofErr w:type="spellEnd"/>
      <w:r>
        <w:rPr>
          <w:rFonts w:ascii="Georgia" w:hAnsi="Georgia" w:cs="Georgia"/>
        </w:rPr>
        <w:t xml:space="preserve"> agreed with the application or failed to return the form she would be removed as Respondent, although she would remain bound by the Tribunal’s Decision.</w:t>
      </w:r>
    </w:p>
    <w:p w14:paraId="02062759" w14:textId="77777777" w:rsidR="003D60B9" w:rsidRDefault="003D60B9">
      <w:pPr>
        <w:pStyle w:val="Standard"/>
        <w:jc w:val="both"/>
        <w:rPr>
          <w:rFonts w:ascii="Georgia" w:hAnsi="Georgia" w:cs="Georgia"/>
        </w:rPr>
      </w:pPr>
    </w:p>
    <w:p w14:paraId="412023E0" w14:textId="77777777" w:rsidR="003D60B9" w:rsidRDefault="000327C5">
      <w:pPr>
        <w:pStyle w:val="Standard"/>
        <w:jc w:val="both"/>
        <w:rPr>
          <w:rFonts w:ascii="Georgia" w:hAnsi="Georgia" w:cs="Georgia"/>
        </w:rPr>
      </w:pPr>
      <w:r>
        <w:rPr>
          <w:rFonts w:ascii="Georgia" w:hAnsi="Georgia" w:cs="Georgia"/>
        </w:rPr>
        <w:t xml:space="preserve">32. No </w:t>
      </w:r>
      <w:r>
        <w:rPr>
          <w:rFonts w:ascii="Georgia" w:hAnsi="Georgia" w:cs="Georgia"/>
        </w:rPr>
        <w:t>response was received and no request for an oral hearing was made. The matter is therefore determined on the papers in accordance with Rule 31 of the Tribunal’s Procedural Rules.</w:t>
      </w:r>
    </w:p>
    <w:p w14:paraId="090D181B" w14:textId="77777777" w:rsidR="003D60B9" w:rsidRDefault="000327C5">
      <w:pPr>
        <w:pStyle w:val="Standard"/>
        <w:jc w:val="both"/>
        <w:rPr>
          <w:rFonts w:ascii="Georgia" w:hAnsi="Georgia" w:cs="Georgia"/>
          <w:b/>
          <w:bCs/>
        </w:rPr>
      </w:pPr>
      <w:r>
        <w:rPr>
          <w:rFonts w:ascii="Georgia" w:hAnsi="Georgia" w:cs="Georgia"/>
          <w:b/>
          <w:bCs/>
        </w:rPr>
        <w:t xml:space="preserve"> </w:t>
      </w:r>
    </w:p>
    <w:p w14:paraId="5662721D" w14:textId="77777777" w:rsidR="003D60B9" w:rsidRDefault="003D60B9">
      <w:pPr>
        <w:pStyle w:val="Standard"/>
        <w:jc w:val="both"/>
        <w:rPr>
          <w:rFonts w:ascii="Georgia" w:hAnsi="Georgia" w:cs="Georgia"/>
          <w:b/>
          <w:bCs/>
        </w:rPr>
      </w:pPr>
    </w:p>
    <w:p w14:paraId="19C0A61E" w14:textId="77777777" w:rsidR="003D60B9" w:rsidRDefault="000327C5">
      <w:pPr>
        <w:pStyle w:val="Standard"/>
        <w:jc w:val="both"/>
        <w:rPr>
          <w:rFonts w:ascii="Georgia" w:hAnsi="Georgia" w:cs="Georgia"/>
          <w:b/>
          <w:bCs/>
        </w:rPr>
      </w:pPr>
      <w:r>
        <w:rPr>
          <w:rFonts w:ascii="Georgia" w:hAnsi="Georgia" w:cs="Georgia"/>
          <w:b/>
          <w:bCs/>
        </w:rPr>
        <w:t>TRIBUNAL FINDINGS AND CONCLUSION</w:t>
      </w:r>
    </w:p>
    <w:p w14:paraId="0EB18FBD" w14:textId="77777777" w:rsidR="003D60B9" w:rsidRDefault="003D60B9">
      <w:pPr>
        <w:pStyle w:val="Standard"/>
        <w:jc w:val="both"/>
        <w:rPr>
          <w:rFonts w:ascii="Georgia" w:hAnsi="Georgia" w:cs="Georgia"/>
          <w:b/>
          <w:bCs/>
        </w:rPr>
      </w:pPr>
    </w:p>
    <w:p w14:paraId="4CE3FA09" w14:textId="77777777" w:rsidR="003D60B9" w:rsidRDefault="000327C5">
      <w:pPr>
        <w:pStyle w:val="Standard"/>
        <w:jc w:val="both"/>
        <w:rPr>
          <w:rFonts w:ascii="Georgia" w:hAnsi="Georgia" w:cs="Georgia"/>
        </w:rPr>
      </w:pPr>
      <w:r>
        <w:rPr>
          <w:rFonts w:ascii="Georgia" w:hAnsi="Georgia" w:cs="Georgia"/>
        </w:rPr>
        <w:t>33. The Tribunal was satisfied that the Lease clearly defined the Applicant landlord’s obligation to maintain the property, and the Respondent leaseholder’s obligation to pay service charges by way of reimbursement for the costs of doing so.</w:t>
      </w:r>
    </w:p>
    <w:p w14:paraId="60FC03D5" w14:textId="77777777" w:rsidR="003D60B9" w:rsidRDefault="003D60B9">
      <w:pPr>
        <w:pStyle w:val="Standard"/>
        <w:jc w:val="both"/>
        <w:rPr>
          <w:rFonts w:ascii="Georgia" w:hAnsi="Georgia" w:cs="Georgia"/>
        </w:rPr>
      </w:pPr>
    </w:p>
    <w:p w14:paraId="3F2BF70B" w14:textId="77777777" w:rsidR="003D60B9" w:rsidRDefault="000327C5">
      <w:pPr>
        <w:pStyle w:val="Standard"/>
        <w:jc w:val="both"/>
        <w:rPr>
          <w:rFonts w:ascii="Georgia" w:hAnsi="Georgia" w:cs="Georgia"/>
        </w:rPr>
      </w:pPr>
      <w:r>
        <w:rPr>
          <w:rFonts w:ascii="Georgia" w:hAnsi="Georgia" w:cs="Georgia"/>
        </w:rPr>
        <w:t>34. It was determined that the service charge costs for the year September 2018 – September 2019 were reasonably incurred, the works were done to a reasonable standard, and the landlord had complied with all the requirements in respect of service charge statements and accounts.</w:t>
      </w:r>
    </w:p>
    <w:p w14:paraId="14B133B8" w14:textId="77777777" w:rsidR="003D60B9" w:rsidRDefault="003D60B9">
      <w:pPr>
        <w:pStyle w:val="Standard"/>
        <w:jc w:val="both"/>
        <w:rPr>
          <w:rFonts w:ascii="Georgia" w:hAnsi="Georgia" w:cs="Georgia"/>
        </w:rPr>
      </w:pPr>
    </w:p>
    <w:p w14:paraId="6D19E1B3" w14:textId="77777777" w:rsidR="003D60B9" w:rsidRDefault="000327C5">
      <w:pPr>
        <w:pStyle w:val="Standard"/>
        <w:jc w:val="both"/>
        <w:rPr>
          <w:rFonts w:ascii="Georgia" w:hAnsi="Georgia" w:cs="Georgia"/>
        </w:rPr>
      </w:pPr>
      <w:r>
        <w:rPr>
          <w:rFonts w:ascii="Georgia" w:hAnsi="Georgia" w:cs="Georgia"/>
        </w:rPr>
        <w:t>35. The Tribunal therefore determined that the service charges payable for the year in question were as follows: -</w:t>
      </w:r>
    </w:p>
    <w:p w14:paraId="14F4714A" w14:textId="77777777" w:rsidR="003D60B9" w:rsidRDefault="003D60B9">
      <w:pPr>
        <w:pStyle w:val="Standard"/>
        <w:jc w:val="both"/>
        <w:rPr>
          <w:rFonts w:ascii="Georgia" w:hAnsi="Georgia" w:cs="Georgia"/>
        </w:rPr>
      </w:pPr>
    </w:p>
    <w:p w14:paraId="00AACEAC" w14:textId="77777777" w:rsidR="003D60B9" w:rsidRDefault="000327C5">
      <w:pPr>
        <w:pStyle w:val="Standard"/>
        <w:jc w:val="both"/>
        <w:rPr>
          <w:rFonts w:ascii="Georgia" w:hAnsi="Georgia" w:cs="Georgia"/>
        </w:rPr>
      </w:pPr>
      <w:r>
        <w:rPr>
          <w:rFonts w:ascii="Georgia" w:hAnsi="Georgia" w:cs="Georgia"/>
        </w:rPr>
        <w:t>One-fifth share of the interim charge (March 2019)       -             £4,069</w:t>
      </w:r>
    </w:p>
    <w:p w14:paraId="33C74519" w14:textId="77777777" w:rsidR="003D60B9" w:rsidRDefault="000327C5">
      <w:pPr>
        <w:pStyle w:val="Standard"/>
        <w:jc w:val="both"/>
        <w:rPr>
          <w:rFonts w:ascii="Georgia" w:hAnsi="Georgia" w:cs="Georgia"/>
        </w:rPr>
      </w:pPr>
      <w:r>
        <w:rPr>
          <w:rFonts w:ascii="Georgia" w:hAnsi="Georgia" w:cs="Georgia"/>
        </w:rPr>
        <w:t>One-fifth share of the end-of-year charge (Sept. 2019</w:t>
      </w:r>
      <w:proofErr w:type="gramStart"/>
      <w:r>
        <w:rPr>
          <w:rFonts w:ascii="Georgia" w:hAnsi="Georgia" w:cs="Georgia"/>
        </w:rPr>
        <w:t>)  -</w:t>
      </w:r>
      <w:proofErr w:type="gramEnd"/>
      <w:r>
        <w:rPr>
          <w:rFonts w:ascii="Georgia" w:hAnsi="Georgia" w:cs="Georgia"/>
        </w:rPr>
        <w:t xml:space="preserve">                   533.92</w:t>
      </w:r>
    </w:p>
    <w:p w14:paraId="7EB294CA" w14:textId="77777777" w:rsidR="003D60B9" w:rsidRDefault="000327C5">
      <w:pPr>
        <w:pStyle w:val="Standard"/>
        <w:jc w:val="both"/>
        <w:rPr>
          <w:rFonts w:ascii="Georgia" w:hAnsi="Georgia" w:cs="Georgia"/>
        </w:rPr>
      </w:pPr>
      <w:r>
        <w:rPr>
          <w:rFonts w:ascii="Georgia" w:hAnsi="Georgia" w:cs="Georgia"/>
        </w:rPr>
        <w:t xml:space="preserve">Interest on unpaid service charges                                      -             </w:t>
      </w:r>
      <w:r>
        <w:rPr>
          <w:rFonts w:ascii="Georgia" w:hAnsi="Georgia" w:cs="Georgia"/>
          <w:u w:val="single"/>
        </w:rPr>
        <w:t xml:space="preserve">      229.01</w:t>
      </w:r>
    </w:p>
    <w:p w14:paraId="24030461" w14:textId="77777777" w:rsidR="003D60B9" w:rsidRDefault="000327C5">
      <w:pPr>
        <w:pStyle w:val="Standard"/>
        <w:jc w:val="both"/>
        <w:rPr>
          <w:rFonts w:ascii="Georgia" w:hAnsi="Georgia" w:cs="Georgia"/>
        </w:rPr>
      </w:pPr>
      <w:r>
        <w:rPr>
          <w:rFonts w:ascii="Georgia" w:hAnsi="Georgia" w:cs="Georgia"/>
        </w:rPr>
        <w:t xml:space="preserve">                                                                                              TOTAL      </w:t>
      </w:r>
      <w:r>
        <w:rPr>
          <w:rFonts w:ascii="Georgia" w:hAnsi="Georgia" w:cs="Georgia"/>
          <w:b/>
          <w:bCs/>
        </w:rPr>
        <w:t xml:space="preserve"> £4,831.93</w:t>
      </w:r>
    </w:p>
    <w:p w14:paraId="22CBCA31" w14:textId="77777777" w:rsidR="003D60B9" w:rsidRDefault="003D60B9">
      <w:pPr>
        <w:pStyle w:val="Standard"/>
        <w:jc w:val="both"/>
        <w:rPr>
          <w:rFonts w:ascii="Georgia" w:hAnsi="Georgia" w:cs="Georgia"/>
          <w:b/>
          <w:bCs/>
        </w:rPr>
      </w:pPr>
    </w:p>
    <w:p w14:paraId="7F18822E" w14:textId="77777777" w:rsidR="003D60B9" w:rsidRDefault="000327C5">
      <w:pPr>
        <w:pStyle w:val="Standard"/>
        <w:jc w:val="both"/>
        <w:rPr>
          <w:rFonts w:ascii="Georgia" w:hAnsi="Georgia" w:cs="Georgia"/>
        </w:rPr>
      </w:pPr>
      <w:r>
        <w:rPr>
          <w:rFonts w:ascii="Georgia" w:hAnsi="Georgia" w:cs="Georgia"/>
        </w:rPr>
        <w:t>36. The Tribunal orders the Respondent to reimburse the application fee of £100.</w:t>
      </w:r>
    </w:p>
    <w:p w14:paraId="6A470A61" w14:textId="77777777" w:rsidR="003D60B9" w:rsidRDefault="003D60B9">
      <w:pPr>
        <w:pStyle w:val="Standard"/>
        <w:jc w:val="both"/>
        <w:rPr>
          <w:rFonts w:ascii="Georgia" w:hAnsi="Georgia" w:cs="Georgia"/>
        </w:rPr>
      </w:pPr>
    </w:p>
    <w:p w14:paraId="42662C31" w14:textId="77777777" w:rsidR="003D60B9" w:rsidRDefault="000327C5">
      <w:pPr>
        <w:pStyle w:val="Standard"/>
        <w:jc w:val="both"/>
        <w:rPr>
          <w:rFonts w:ascii="Georgia" w:hAnsi="Georgia" w:cs="Georgia"/>
        </w:rPr>
      </w:pPr>
      <w:r>
        <w:rPr>
          <w:rFonts w:ascii="Georgia" w:hAnsi="Georgia" w:cs="Georgia"/>
        </w:rPr>
        <w:t>37. No order is made for payment of Ground rent, which is outside the jurisdiction of the Tribunal.</w:t>
      </w:r>
    </w:p>
    <w:p w14:paraId="64BA1E6D" w14:textId="77777777" w:rsidR="003D60B9" w:rsidRDefault="003D60B9">
      <w:pPr>
        <w:pStyle w:val="Standard"/>
        <w:jc w:val="both"/>
        <w:rPr>
          <w:rFonts w:ascii="Georgia" w:hAnsi="Georgia" w:cs="Georgia"/>
        </w:rPr>
      </w:pPr>
    </w:p>
    <w:p w14:paraId="532E3881" w14:textId="77777777" w:rsidR="003D60B9" w:rsidRDefault="000327C5">
      <w:pPr>
        <w:pStyle w:val="Standard"/>
        <w:jc w:val="both"/>
        <w:rPr>
          <w:rFonts w:ascii="Georgia" w:hAnsi="Georgia" w:cs="Georgia"/>
        </w:rPr>
      </w:pPr>
      <w:r>
        <w:rPr>
          <w:rFonts w:ascii="Georgia" w:hAnsi="Georgia" w:cs="Georgia"/>
        </w:rPr>
        <w:t xml:space="preserve">38. As Ms. </w:t>
      </w:r>
      <w:proofErr w:type="spellStart"/>
      <w:r>
        <w:rPr>
          <w:rFonts w:ascii="Georgia" w:hAnsi="Georgia" w:cs="Georgia"/>
        </w:rPr>
        <w:t>Hopp</w:t>
      </w:r>
      <w:proofErr w:type="spellEnd"/>
      <w:r>
        <w:rPr>
          <w:rFonts w:ascii="Georgia" w:hAnsi="Georgia" w:cs="Georgia"/>
        </w:rPr>
        <w:t xml:space="preserve"> paid £2,200 into the service charge account during the period 2018 - 2019, that amount may be deducted from the amount payable.</w:t>
      </w:r>
    </w:p>
    <w:p w14:paraId="2F3A7ED6" w14:textId="77777777" w:rsidR="003D60B9" w:rsidRDefault="003D60B9">
      <w:pPr>
        <w:pStyle w:val="Standard"/>
        <w:jc w:val="both"/>
        <w:rPr>
          <w:rFonts w:ascii="Georgia" w:hAnsi="Georgia" w:cs="Georgia"/>
        </w:rPr>
      </w:pPr>
    </w:p>
    <w:p w14:paraId="7220A6A4" w14:textId="77777777" w:rsidR="003D60B9" w:rsidRDefault="000327C5">
      <w:pPr>
        <w:pStyle w:val="Standard"/>
        <w:jc w:val="both"/>
        <w:rPr>
          <w:rFonts w:ascii="Georgia" w:hAnsi="Georgia" w:cs="Georgia"/>
        </w:rPr>
      </w:pPr>
      <w:r>
        <w:rPr>
          <w:rFonts w:ascii="Georgia" w:hAnsi="Georgia" w:cs="Georgia"/>
        </w:rPr>
        <w:t>39. However, the outstanding debt in respect of the other years from 2012 – to date remains.</w:t>
      </w:r>
    </w:p>
    <w:p w14:paraId="69A5C5AE" w14:textId="77777777" w:rsidR="003D60B9" w:rsidRDefault="003D60B9">
      <w:pPr>
        <w:pStyle w:val="Standard"/>
        <w:jc w:val="both"/>
        <w:rPr>
          <w:rFonts w:ascii="Georgia" w:hAnsi="Georgia" w:cs="Georgia"/>
        </w:rPr>
      </w:pPr>
    </w:p>
    <w:p w14:paraId="179D97D4" w14:textId="77777777" w:rsidR="003D60B9" w:rsidRDefault="003D60B9">
      <w:pPr>
        <w:pStyle w:val="Standard"/>
        <w:jc w:val="both"/>
        <w:rPr>
          <w:rFonts w:ascii="Georgia" w:hAnsi="Georgia" w:cs="Georgia"/>
        </w:rPr>
      </w:pPr>
    </w:p>
    <w:p w14:paraId="13D65DE9" w14:textId="77777777" w:rsidR="003D60B9" w:rsidRDefault="003D60B9">
      <w:pPr>
        <w:pStyle w:val="Standard"/>
        <w:jc w:val="both"/>
        <w:rPr>
          <w:rFonts w:ascii="Georgia" w:hAnsi="Georgia" w:cs="Georgia"/>
        </w:rPr>
      </w:pPr>
    </w:p>
    <w:p w14:paraId="21DD6879" w14:textId="77777777" w:rsidR="003D60B9" w:rsidRDefault="000327C5">
      <w:pPr>
        <w:pStyle w:val="Standarduser"/>
        <w:rPr>
          <w:rFonts w:ascii="Georgia" w:hAnsi="Georgia"/>
        </w:rPr>
      </w:pPr>
      <w:r>
        <w:rPr>
          <w:rFonts w:ascii="Georgia" w:hAnsi="Georgia"/>
        </w:rPr>
        <w:t xml:space="preserve">                                                   RIGHTS OF APPEAL</w:t>
      </w:r>
    </w:p>
    <w:p w14:paraId="45FD9F9B" w14:textId="77777777" w:rsidR="003D60B9" w:rsidRDefault="003D60B9">
      <w:pPr>
        <w:pStyle w:val="Standarduser"/>
        <w:rPr>
          <w:rFonts w:ascii="Georgia" w:hAnsi="Georgia"/>
        </w:rPr>
      </w:pPr>
    </w:p>
    <w:p w14:paraId="2DE0D93F" w14:textId="77777777" w:rsidR="003D60B9" w:rsidRDefault="000327C5">
      <w:pPr>
        <w:pStyle w:val="Standarduser"/>
        <w:rPr>
          <w:rFonts w:ascii="Georgia" w:hAnsi="Georgia"/>
        </w:rPr>
      </w:pPr>
      <w:r>
        <w:rPr>
          <w:rFonts w:ascii="Georgia" w:hAnsi="Georgia"/>
        </w:rPr>
        <w:t xml:space="preserve">1. A person wishing to appeal this decision to the Upper </w:t>
      </w:r>
      <w:r>
        <w:rPr>
          <w:rFonts w:ascii="Georgia" w:hAnsi="Georgia"/>
        </w:rPr>
        <w:t>Tribunal (Lands Chamber) must seek permission to do so by making written application by email to rpsouthern@justice.gov.uk to the First-tier Tribunal at the Regional office which has been dealing with the case.</w:t>
      </w:r>
    </w:p>
    <w:p w14:paraId="25FB1ADB" w14:textId="77777777" w:rsidR="003D60B9" w:rsidRDefault="003D60B9">
      <w:pPr>
        <w:pStyle w:val="Standarduser"/>
        <w:rPr>
          <w:rFonts w:ascii="Georgia" w:hAnsi="Georgia"/>
        </w:rPr>
      </w:pPr>
    </w:p>
    <w:p w14:paraId="2D421CA6" w14:textId="77777777" w:rsidR="003D60B9" w:rsidRDefault="000327C5">
      <w:pPr>
        <w:pStyle w:val="Standarduser"/>
        <w:rPr>
          <w:rFonts w:ascii="Georgia" w:hAnsi="Georgia"/>
        </w:rPr>
      </w:pPr>
      <w:r>
        <w:rPr>
          <w:rFonts w:ascii="Georgia" w:hAnsi="Georgia"/>
        </w:rPr>
        <w:t>2. The application must arrive at the Tribunal within 28 days after the Tribunal sends to the person making the application written reasons for the decision.</w:t>
      </w:r>
    </w:p>
    <w:p w14:paraId="5C51E505" w14:textId="77777777" w:rsidR="003D60B9" w:rsidRDefault="003D60B9">
      <w:pPr>
        <w:pStyle w:val="Standarduser"/>
        <w:rPr>
          <w:rFonts w:ascii="Georgia" w:hAnsi="Georgia"/>
        </w:rPr>
      </w:pPr>
    </w:p>
    <w:p w14:paraId="4CCBCD0D" w14:textId="77777777" w:rsidR="003D60B9" w:rsidRDefault="000327C5">
      <w:pPr>
        <w:pStyle w:val="Standarduser"/>
        <w:rPr>
          <w:rFonts w:ascii="Georgia" w:hAnsi="Georgia"/>
        </w:rPr>
      </w:pPr>
      <w:r>
        <w:rPr>
          <w:rFonts w:ascii="Georgia" w:hAnsi="Georgia"/>
        </w:rPr>
        <w:t xml:space="preserve">3. If the person wishing to appeal does not comply with the </w:t>
      </w:r>
      <w:proofErr w:type="gramStart"/>
      <w:r>
        <w:rPr>
          <w:rFonts w:ascii="Georgia" w:hAnsi="Georgia"/>
        </w:rPr>
        <w:t>28 day</w:t>
      </w:r>
      <w:proofErr w:type="gramEnd"/>
      <w:r>
        <w:rPr>
          <w:rFonts w:ascii="Georgia" w:hAnsi="Georgia"/>
        </w:rPr>
        <w:t xml:space="preserve"> time limit, the person shall include with the application for permission to appeal a request for an extension of time and the reason for not complying with the 28 day time limit; the Tribunal will then decide whether to extend time or not to allow the application for permission to appeal to proceed.</w:t>
      </w:r>
    </w:p>
    <w:p w14:paraId="41865C91" w14:textId="77777777" w:rsidR="003D60B9" w:rsidRDefault="003D60B9">
      <w:pPr>
        <w:pStyle w:val="Standarduser"/>
        <w:rPr>
          <w:rFonts w:ascii="Georgia" w:hAnsi="Georgia"/>
        </w:rPr>
      </w:pPr>
    </w:p>
    <w:p w14:paraId="5A99EF48" w14:textId="77777777" w:rsidR="003D60B9" w:rsidRDefault="000327C5">
      <w:pPr>
        <w:pStyle w:val="Standarduser"/>
        <w:tabs>
          <w:tab w:val="left" w:pos="1583"/>
          <w:tab w:val="left" w:pos="1584"/>
        </w:tabs>
        <w:spacing w:before="38" w:line="218" w:lineRule="auto"/>
        <w:ind w:right="530"/>
        <w:rPr>
          <w:rFonts w:ascii="Georgia" w:hAnsi="Georgia" w:cs="Georgia"/>
          <w:w w:val="105"/>
        </w:rPr>
      </w:pPr>
      <w:r>
        <w:rPr>
          <w:rFonts w:ascii="Georgia" w:hAnsi="Georgia" w:cs="Georgia"/>
          <w:w w:val="105"/>
        </w:rPr>
        <w:t>4. The application for permission to appeal must identify the decision of the Tribunal to which it relates, state the grounds of appeal, and state the result the party making the application is seeking.</w:t>
      </w:r>
    </w:p>
    <w:sectPr w:rsidR="003D60B9">
      <w:head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97EC" w14:textId="77777777" w:rsidR="000327C5" w:rsidRDefault="000327C5">
      <w:r>
        <w:separator/>
      </w:r>
    </w:p>
  </w:endnote>
  <w:endnote w:type="continuationSeparator" w:id="0">
    <w:p w14:paraId="70D13FC8" w14:textId="77777777" w:rsidR="000327C5" w:rsidRDefault="0003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4F8C" w14:textId="77777777" w:rsidR="000327C5" w:rsidRDefault="000327C5">
      <w:r>
        <w:rPr>
          <w:color w:val="000000"/>
        </w:rPr>
        <w:separator/>
      </w:r>
    </w:p>
  </w:footnote>
  <w:footnote w:type="continuationSeparator" w:id="0">
    <w:p w14:paraId="282742BA" w14:textId="77777777" w:rsidR="000327C5" w:rsidRDefault="0003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388" w14:textId="77777777" w:rsidR="000327C5" w:rsidRDefault="0003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511CC"/>
    <w:multiLevelType w:val="multilevel"/>
    <w:tmpl w:val="D3AC25D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14677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D60B9"/>
    <w:rsid w:val="000327C5"/>
    <w:rsid w:val="003D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F2E8"/>
  <w15:docId w15:val="{E48E979F-54DB-4712-9968-4F2C80E7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4"/>
      <w:szCs w:val="24"/>
      <w:lang w:eastAsia="en-GB"/>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itle">
    <w:name w:val="Title"/>
    <w:basedOn w:val="Standard"/>
    <w:uiPriority w:val="10"/>
    <w:qFormat/>
    <w:pPr>
      <w:jc w:val="center"/>
    </w:pPr>
    <w:rPr>
      <w:rFonts w:ascii="Arial" w:eastAsia="Arial" w:hAnsi="Arial" w:cs="Arial"/>
      <w:b/>
      <w:bCs/>
      <w:sz w:val="32"/>
      <w:lang w:eastAsia="en-US"/>
    </w:r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513"/>
        <w:tab w:val="right" w:pos="9026"/>
      </w:tabs>
    </w:pPr>
  </w:style>
  <w:style w:type="paragraph" w:styleId="Header">
    <w:name w:val="header"/>
    <w:basedOn w:val="HeaderandFooter"/>
  </w:style>
  <w:style w:type="paragraph" w:customStyle="1" w:styleId="Standarduser">
    <w:name w:val="Standard (user)"/>
    <w:basedOn w:val="Standard"/>
  </w:style>
  <w:style w:type="character" w:customStyle="1" w:styleId="TitleChar">
    <w:name w:val="Title Char"/>
    <w:basedOn w:val="DefaultParagraphFont"/>
    <w:rPr>
      <w:rFonts w:ascii="Arial" w:eastAsia="Times New Roman" w:hAnsi="Arial" w:cs="Times New Roman"/>
      <w:b/>
      <w:bCs/>
      <w:sz w:val="32"/>
      <w:szCs w:val="24"/>
    </w:rPr>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1706</Words>
  <Characters>9727</Characters>
  <Application>Microsoft Office Word</Application>
  <DocSecurity>4</DocSecurity>
  <Lines>81</Lines>
  <Paragraphs>22</Paragraphs>
  <ScaleCrop>false</ScaleCrop>
  <Company>MOJ</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Tessa Hingston</dc:creator>
  <cp:lastModifiedBy>Ketchen, Sarah | She/Hers</cp:lastModifiedBy>
  <cp:revision>2</cp:revision>
  <dcterms:created xsi:type="dcterms:W3CDTF">2024-10-10T15:13:00Z</dcterms:created>
  <dcterms:modified xsi:type="dcterms:W3CDTF">2024-10-10T15:13:00Z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CPS</vt:lpwstr>
  </property>
  <property fmtid="{D5CDD505-2E9C-101B-9397-08002B2CF9AE}" pid="4" name="ContentTypeId">
    <vt:lpwstr>0x0101000FE0872F02F76D40B60BD3ACA20BB311</vt:lpwstr>
  </property>
</Properties>
</file>