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736"/>
        <w:gridCol w:w="447"/>
        <w:gridCol w:w="5129"/>
      </w:tblGrid>
      <w:tr w:rsidR="00957C79" w:rsidRPr="00A878E8" w14:paraId="580987E4" w14:textId="77777777" w:rsidTr="00A878E8">
        <w:tc>
          <w:tcPr>
            <w:tcW w:w="2736" w:type="dxa"/>
            <w:shd w:val="clear" w:color="auto" w:fill="auto"/>
          </w:tcPr>
          <w:p w14:paraId="5639AED8" w14:textId="7F4BE0FC" w:rsidR="00957C79" w:rsidRPr="00A878E8" w:rsidRDefault="00957C79" w:rsidP="00FF52B4">
            <w:pPr>
              <w:rPr>
                <w:rFonts w:ascii="Georgia" w:hAnsi="Georgia"/>
              </w:rPr>
            </w:pPr>
            <w:bookmarkStart w:id="0" w:name="_Hlk48994860"/>
            <w:r w:rsidRPr="00A878E8">
              <w:rPr>
                <w:rFonts w:ascii="Georgia" w:hAnsi="Georgia"/>
                <w:noProof/>
              </w:rPr>
              <w:drawing>
                <wp:inline distT="0" distB="0" distL="0" distR="0" wp14:anchorId="64456B7E" wp14:editId="5E451575">
                  <wp:extent cx="914400" cy="768350"/>
                  <wp:effectExtent l="0" t="0" r="0" b="0"/>
                  <wp:docPr id="168534350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43506" name="Picture 1" descr="A black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768350"/>
                          </a:xfrm>
                          <a:prstGeom prst="rect">
                            <a:avLst/>
                          </a:prstGeom>
                          <a:noFill/>
                          <a:ln>
                            <a:noFill/>
                          </a:ln>
                        </pic:spPr>
                      </pic:pic>
                    </a:graphicData>
                  </a:graphic>
                </wp:inline>
              </w:drawing>
            </w:r>
          </w:p>
        </w:tc>
        <w:tc>
          <w:tcPr>
            <w:tcW w:w="447" w:type="dxa"/>
            <w:shd w:val="clear" w:color="auto" w:fill="auto"/>
          </w:tcPr>
          <w:p w14:paraId="7DF567C9" w14:textId="77777777" w:rsidR="00957C79" w:rsidRPr="00A878E8" w:rsidRDefault="00957C79" w:rsidP="00FF52B4">
            <w:pPr>
              <w:jc w:val="center"/>
              <w:rPr>
                <w:rFonts w:ascii="Georgia" w:hAnsi="Georgia"/>
              </w:rPr>
            </w:pPr>
          </w:p>
        </w:tc>
        <w:tc>
          <w:tcPr>
            <w:tcW w:w="5129" w:type="dxa"/>
            <w:shd w:val="clear" w:color="auto" w:fill="auto"/>
          </w:tcPr>
          <w:p w14:paraId="4A9B899F" w14:textId="77777777" w:rsidR="00957C79" w:rsidRPr="00A878E8" w:rsidRDefault="00957C79" w:rsidP="00FF52B4">
            <w:pPr>
              <w:pStyle w:val="Title"/>
              <w:ind w:left="3600" w:hanging="3600"/>
              <w:rPr>
                <w:rFonts w:ascii="Georgia" w:hAnsi="Georgia"/>
                <w:sz w:val="24"/>
                <w:szCs w:val="24"/>
              </w:rPr>
            </w:pPr>
          </w:p>
          <w:p w14:paraId="4BFB7F7D" w14:textId="77777777" w:rsidR="00957C79" w:rsidRPr="00A878E8" w:rsidRDefault="00957C79" w:rsidP="003500FA">
            <w:pPr>
              <w:pStyle w:val="Title"/>
              <w:spacing w:after="0"/>
              <w:ind w:left="3600" w:hanging="3600"/>
              <w:rPr>
                <w:rFonts w:ascii="Georgia" w:hAnsi="Georgia"/>
                <w:b/>
                <w:bCs/>
                <w:sz w:val="24"/>
                <w:szCs w:val="24"/>
              </w:rPr>
            </w:pPr>
            <w:r w:rsidRPr="00A878E8">
              <w:rPr>
                <w:rFonts w:ascii="Georgia" w:hAnsi="Georgia"/>
                <w:b/>
                <w:bCs/>
                <w:sz w:val="24"/>
                <w:szCs w:val="24"/>
              </w:rPr>
              <w:t>FIRST-TIER TRIBUNAL</w:t>
            </w:r>
          </w:p>
          <w:p w14:paraId="0A56B960" w14:textId="77777777" w:rsidR="00957C79" w:rsidRPr="00A878E8" w:rsidRDefault="00957C79" w:rsidP="003500FA">
            <w:pPr>
              <w:rPr>
                <w:rFonts w:ascii="Georgia" w:hAnsi="Georgia"/>
                <w:b/>
              </w:rPr>
            </w:pPr>
            <w:r w:rsidRPr="00A878E8">
              <w:rPr>
                <w:rFonts w:ascii="Georgia" w:hAnsi="Georgia"/>
                <w:b/>
              </w:rPr>
              <w:t xml:space="preserve">PROPERTY CHAMBER </w:t>
            </w:r>
          </w:p>
          <w:p w14:paraId="3C125EFC" w14:textId="77777777" w:rsidR="00957C79" w:rsidRPr="00A878E8" w:rsidRDefault="00957C79" w:rsidP="003500FA">
            <w:pPr>
              <w:rPr>
                <w:rFonts w:ascii="Georgia" w:hAnsi="Georgia"/>
                <w:b/>
              </w:rPr>
            </w:pPr>
            <w:r w:rsidRPr="00A878E8">
              <w:rPr>
                <w:rFonts w:ascii="Georgia" w:hAnsi="Georgia"/>
                <w:b/>
              </w:rPr>
              <w:t>(RESIDENTIAL PROPERTY)</w:t>
            </w:r>
          </w:p>
          <w:p w14:paraId="27D2AB7C" w14:textId="77777777" w:rsidR="00957C79" w:rsidRPr="00A878E8" w:rsidRDefault="00957C79" w:rsidP="00FF52B4">
            <w:pPr>
              <w:rPr>
                <w:rFonts w:ascii="Georgia" w:hAnsi="Georgia"/>
              </w:rPr>
            </w:pPr>
          </w:p>
        </w:tc>
      </w:tr>
      <w:tr w:rsidR="00957C79" w:rsidRPr="00A878E8" w14:paraId="05C86FD2" w14:textId="77777777" w:rsidTr="00A878E8">
        <w:tc>
          <w:tcPr>
            <w:tcW w:w="2736" w:type="dxa"/>
            <w:shd w:val="clear" w:color="auto" w:fill="auto"/>
          </w:tcPr>
          <w:p w14:paraId="00AF197D" w14:textId="77777777" w:rsidR="00957C79" w:rsidRPr="00A878E8" w:rsidRDefault="00957C79" w:rsidP="00FF52B4">
            <w:pPr>
              <w:rPr>
                <w:rFonts w:ascii="Georgia" w:hAnsi="Georgia"/>
              </w:rPr>
            </w:pPr>
            <w:bookmarkStart w:id="1" w:name="_Hlk58941801"/>
          </w:p>
          <w:p w14:paraId="587173DA" w14:textId="77777777" w:rsidR="00957C79" w:rsidRPr="00A878E8" w:rsidRDefault="00957C79" w:rsidP="00FF52B4">
            <w:pPr>
              <w:rPr>
                <w:rFonts w:ascii="Georgia" w:hAnsi="Georgia" w:cs="Arial"/>
                <w:b/>
                <w:bCs/>
              </w:rPr>
            </w:pPr>
            <w:r w:rsidRPr="00A878E8">
              <w:rPr>
                <w:rFonts w:ascii="Georgia" w:hAnsi="Georgia" w:cs="Arial"/>
                <w:b/>
                <w:bCs/>
              </w:rPr>
              <w:t>Case Reference</w:t>
            </w:r>
          </w:p>
          <w:p w14:paraId="137648D1" w14:textId="77777777" w:rsidR="00957C79" w:rsidRPr="00A878E8" w:rsidRDefault="00957C79" w:rsidP="00FF52B4">
            <w:pPr>
              <w:rPr>
                <w:rFonts w:ascii="Georgia" w:hAnsi="Georgia"/>
              </w:rPr>
            </w:pPr>
          </w:p>
        </w:tc>
        <w:tc>
          <w:tcPr>
            <w:tcW w:w="447" w:type="dxa"/>
            <w:shd w:val="clear" w:color="auto" w:fill="auto"/>
          </w:tcPr>
          <w:p w14:paraId="3BD437F8" w14:textId="77777777" w:rsidR="00957C79" w:rsidRPr="00A878E8" w:rsidRDefault="00957C79" w:rsidP="00FF52B4">
            <w:pPr>
              <w:jc w:val="center"/>
              <w:rPr>
                <w:rFonts w:ascii="Georgia" w:hAnsi="Georgia"/>
                <w:b/>
              </w:rPr>
            </w:pPr>
          </w:p>
          <w:p w14:paraId="5773E7DB" w14:textId="77777777" w:rsidR="00957C79" w:rsidRPr="00A878E8" w:rsidRDefault="00957C79" w:rsidP="00FF52B4">
            <w:pPr>
              <w:jc w:val="center"/>
              <w:rPr>
                <w:rFonts w:ascii="Georgia" w:hAnsi="Georgia"/>
                <w:b/>
              </w:rPr>
            </w:pPr>
            <w:r w:rsidRPr="00A878E8">
              <w:rPr>
                <w:rFonts w:ascii="Georgia" w:hAnsi="Georgia"/>
                <w:b/>
              </w:rPr>
              <w:t>:</w:t>
            </w:r>
          </w:p>
        </w:tc>
        <w:tc>
          <w:tcPr>
            <w:tcW w:w="5129" w:type="dxa"/>
            <w:shd w:val="clear" w:color="auto" w:fill="auto"/>
          </w:tcPr>
          <w:p w14:paraId="14929055" w14:textId="77777777" w:rsidR="00957C79" w:rsidRPr="00A878E8" w:rsidRDefault="00957C79" w:rsidP="00FF52B4">
            <w:pPr>
              <w:rPr>
                <w:rFonts w:ascii="Georgia" w:hAnsi="Georgia"/>
              </w:rPr>
            </w:pPr>
          </w:p>
          <w:p w14:paraId="55B7C333" w14:textId="6D4D8BCC" w:rsidR="00957C79" w:rsidRPr="00A878E8" w:rsidRDefault="00957C79" w:rsidP="00FF52B4">
            <w:pPr>
              <w:rPr>
                <w:rFonts w:ascii="Georgia" w:hAnsi="Georgia"/>
              </w:rPr>
            </w:pPr>
            <w:r w:rsidRPr="00A878E8">
              <w:rPr>
                <w:rFonts w:ascii="Georgia" w:hAnsi="Georgia"/>
              </w:rPr>
              <w:t>HAV/</w:t>
            </w:r>
            <w:r w:rsidR="005C1E19" w:rsidRPr="00A878E8">
              <w:rPr>
                <w:rFonts w:ascii="Georgia" w:hAnsi="Georgia"/>
              </w:rPr>
              <w:t>24UJ/LDC/2024/0505</w:t>
            </w:r>
          </w:p>
        </w:tc>
      </w:tr>
      <w:tr w:rsidR="00957C79" w:rsidRPr="00A878E8" w14:paraId="51A328FD" w14:textId="77777777" w:rsidTr="00A878E8">
        <w:tc>
          <w:tcPr>
            <w:tcW w:w="2736" w:type="dxa"/>
            <w:shd w:val="clear" w:color="auto" w:fill="auto"/>
          </w:tcPr>
          <w:p w14:paraId="75767B2A" w14:textId="77777777" w:rsidR="00957C79" w:rsidRPr="00A878E8" w:rsidRDefault="00957C79" w:rsidP="00FF52B4">
            <w:pPr>
              <w:rPr>
                <w:rFonts w:ascii="Georgia" w:hAnsi="Georgia"/>
              </w:rPr>
            </w:pPr>
          </w:p>
          <w:p w14:paraId="5D5FFD15" w14:textId="77777777" w:rsidR="00957C79" w:rsidRPr="00A878E8" w:rsidRDefault="00957C79" w:rsidP="00FF52B4">
            <w:pPr>
              <w:rPr>
                <w:rFonts w:ascii="Georgia" w:hAnsi="Georgia" w:cs="Arial"/>
                <w:b/>
                <w:bCs/>
              </w:rPr>
            </w:pPr>
            <w:r w:rsidRPr="00A878E8">
              <w:rPr>
                <w:rFonts w:ascii="Georgia" w:hAnsi="Georgia" w:cs="Arial"/>
                <w:b/>
                <w:bCs/>
              </w:rPr>
              <w:t>Property</w:t>
            </w:r>
          </w:p>
          <w:p w14:paraId="467CEE2A" w14:textId="77777777" w:rsidR="00957C79" w:rsidRPr="00A878E8" w:rsidRDefault="00957C79" w:rsidP="00FF52B4">
            <w:pPr>
              <w:rPr>
                <w:rFonts w:ascii="Georgia" w:hAnsi="Georgia"/>
              </w:rPr>
            </w:pPr>
          </w:p>
        </w:tc>
        <w:tc>
          <w:tcPr>
            <w:tcW w:w="447" w:type="dxa"/>
            <w:shd w:val="clear" w:color="auto" w:fill="auto"/>
          </w:tcPr>
          <w:p w14:paraId="41C98B70" w14:textId="77777777" w:rsidR="00957C79" w:rsidRPr="00A878E8" w:rsidRDefault="00957C79" w:rsidP="00FF52B4">
            <w:pPr>
              <w:jc w:val="center"/>
              <w:rPr>
                <w:rFonts w:ascii="Georgia" w:hAnsi="Georgia"/>
                <w:b/>
              </w:rPr>
            </w:pPr>
          </w:p>
          <w:p w14:paraId="6BF71AC8" w14:textId="77777777" w:rsidR="00957C79" w:rsidRPr="00A878E8" w:rsidRDefault="00957C79" w:rsidP="00FF52B4">
            <w:pPr>
              <w:jc w:val="center"/>
              <w:rPr>
                <w:rFonts w:ascii="Georgia" w:hAnsi="Georgia"/>
                <w:b/>
              </w:rPr>
            </w:pPr>
            <w:r w:rsidRPr="00A878E8">
              <w:rPr>
                <w:rFonts w:ascii="Georgia" w:hAnsi="Georgia"/>
                <w:b/>
              </w:rPr>
              <w:t>:</w:t>
            </w:r>
          </w:p>
        </w:tc>
        <w:tc>
          <w:tcPr>
            <w:tcW w:w="5129" w:type="dxa"/>
            <w:shd w:val="clear" w:color="auto" w:fill="auto"/>
          </w:tcPr>
          <w:p w14:paraId="01CB555C" w14:textId="77777777" w:rsidR="00957C79" w:rsidRPr="00A878E8" w:rsidRDefault="00957C79" w:rsidP="00FF52B4">
            <w:pPr>
              <w:rPr>
                <w:rFonts w:ascii="Georgia" w:hAnsi="Georgia"/>
              </w:rPr>
            </w:pPr>
          </w:p>
          <w:p w14:paraId="709650B5" w14:textId="39AC5147" w:rsidR="00957C79" w:rsidRPr="00A878E8" w:rsidRDefault="005C1E19" w:rsidP="00FF52B4">
            <w:pPr>
              <w:rPr>
                <w:rFonts w:ascii="Georgia" w:hAnsi="Georgia"/>
              </w:rPr>
            </w:pPr>
            <w:r w:rsidRPr="00A878E8">
              <w:rPr>
                <w:rFonts w:ascii="Georgia" w:hAnsi="Georgia"/>
              </w:rPr>
              <w:t>Flats 1 – 12 Sea Pines, Victoria Road, Milford, Hampshire. SQ41</w:t>
            </w:r>
          </w:p>
        </w:tc>
      </w:tr>
      <w:bookmarkEnd w:id="1"/>
      <w:tr w:rsidR="00957C79" w:rsidRPr="00A878E8" w14:paraId="2599E1C7" w14:textId="77777777" w:rsidTr="00A878E8">
        <w:tc>
          <w:tcPr>
            <w:tcW w:w="2736" w:type="dxa"/>
            <w:shd w:val="clear" w:color="auto" w:fill="auto"/>
          </w:tcPr>
          <w:p w14:paraId="7B685EC7" w14:textId="77777777" w:rsidR="00957C79" w:rsidRPr="00A878E8" w:rsidRDefault="00957C79" w:rsidP="00FF52B4">
            <w:pPr>
              <w:rPr>
                <w:rFonts w:ascii="Georgia" w:hAnsi="Georgia"/>
              </w:rPr>
            </w:pPr>
          </w:p>
          <w:p w14:paraId="6E08F592" w14:textId="77777777" w:rsidR="00957C79" w:rsidRPr="00A878E8" w:rsidRDefault="00957C79" w:rsidP="00FF52B4">
            <w:pPr>
              <w:rPr>
                <w:rFonts w:ascii="Georgia" w:hAnsi="Georgia" w:cs="Arial"/>
                <w:b/>
                <w:bCs/>
              </w:rPr>
            </w:pPr>
            <w:r w:rsidRPr="00A878E8">
              <w:rPr>
                <w:rFonts w:ascii="Georgia" w:hAnsi="Georgia" w:cs="Arial"/>
                <w:b/>
                <w:bCs/>
              </w:rPr>
              <w:t>Applicant</w:t>
            </w:r>
          </w:p>
          <w:p w14:paraId="68C1D6DA" w14:textId="77777777" w:rsidR="00957C79" w:rsidRPr="00A878E8" w:rsidRDefault="00957C79" w:rsidP="00FF52B4">
            <w:pPr>
              <w:rPr>
                <w:rFonts w:ascii="Georgia" w:hAnsi="Georgia"/>
              </w:rPr>
            </w:pPr>
          </w:p>
        </w:tc>
        <w:tc>
          <w:tcPr>
            <w:tcW w:w="447" w:type="dxa"/>
            <w:shd w:val="clear" w:color="auto" w:fill="auto"/>
          </w:tcPr>
          <w:p w14:paraId="6F5C49ED" w14:textId="77777777" w:rsidR="00957C79" w:rsidRPr="00A878E8" w:rsidRDefault="00957C79" w:rsidP="00FF52B4">
            <w:pPr>
              <w:jc w:val="center"/>
              <w:rPr>
                <w:rFonts w:ascii="Georgia" w:hAnsi="Georgia"/>
                <w:b/>
              </w:rPr>
            </w:pPr>
          </w:p>
          <w:p w14:paraId="428CF60B" w14:textId="77777777" w:rsidR="00957C79" w:rsidRPr="00A878E8" w:rsidRDefault="00957C79" w:rsidP="00FF52B4">
            <w:pPr>
              <w:jc w:val="center"/>
              <w:rPr>
                <w:rFonts w:ascii="Georgia" w:hAnsi="Georgia"/>
                <w:b/>
              </w:rPr>
            </w:pPr>
            <w:r w:rsidRPr="00A878E8">
              <w:rPr>
                <w:rFonts w:ascii="Georgia" w:hAnsi="Georgia"/>
                <w:b/>
              </w:rPr>
              <w:t>:</w:t>
            </w:r>
          </w:p>
        </w:tc>
        <w:tc>
          <w:tcPr>
            <w:tcW w:w="5129" w:type="dxa"/>
            <w:shd w:val="clear" w:color="auto" w:fill="auto"/>
          </w:tcPr>
          <w:p w14:paraId="34C7E208" w14:textId="77777777" w:rsidR="00957C79" w:rsidRPr="00A878E8" w:rsidRDefault="00957C79" w:rsidP="00FF52B4">
            <w:pPr>
              <w:rPr>
                <w:rFonts w:ascii="Georgia" w:hAnsi="Georgia"/>
              </w:rPr>
            </w:pPr>
          </w:p>
          <w:p w14:paraId="7337252B" w14:textId="36C4F9F8" w:rsidR="00957C79" w:rsidRPr="00A878E8" w:rsidRDefault="005C1E19" w:rsidP="00FF52B4">
            <w:pPr>
              <w:rPr>
                <w:rFonts w:ascii="Georgia" w:hAnsi="Georgia"/>
              </w:rPr>
            </w:pPr>
            <w:r w:rsidRPr="00A878E8">
              <w:rPr>
                <w:rFonts w:ascii="Georgia" w:hAnsi="Georgia"/>
              </w:rPr>
              <w:t>Milcliff Court Limited</w:t>
            </w:r>
          </w:p>
        </w:tc>
      </w:tr>
      <w:tr w:rsidR="00957C79" w:rsidRPr="00A878E8" w14:paraId="552ACEF0" w14:textId="77777777" w:rsidTr="00A878E8">
        <w:tc>
          <w:tcPr>
            <w:tcW w:w="2736" w:type="dxa"/>
            <w:shd w:val="clear" w:color="auto" w:fill="auto"/>
          </w:tcPr>
          <w:p w14:paraId="1B774C36" w14:textId="77777777" w:rsidR="00957C79" w:rsidRPr="00A878E8" w:rsidRDefault="00957C79" w:rsidP="00FF52B4">
            <w:pPr>
              <w:rPr>
                <w:rFonts w:ascii="Georgia" w:hAnsi="Georgia"/>
              </w:rPr>
            </w:pPr>
          </w:p>
          <w:p w14:paraId="4AB380F1" w14:textId="77777777" w:rsidR="00957C79" w:rsidRPr="00A878E8" w:rsidRDefault="00957C79" w:rsidP="00FF52B4">
            <w:pPr>
              <w:rPr>
                <w:rFonts w:ascii="Georgia" w:hAnsi="Georgia" w:cs="Arial"/>
                <w:b/>
                <w:bCs/>
              </w:rPr>
            </w:pPr>
            <w:r w:rsidRPr="00A878E8">
              <w:rPr>
                <w:rFonts w:ascii="Georgia" w:hAnsi="Georgia" w:cs="Arial"/>
                <w:b/>
                <w:bCs/>
              </w:rPr>
              <w:t>Representative</w:t>
            </w:r>
          </w:p>
          <w:p w14:paraId="636688C5" w14:textId="77777777" w:rsidR="00957C79" w:rsidRPr="00A878E8" w:rsidRDefault="00957C79" w:rsidP="00FF52B4">
            <w:pPr>
              <w:rPr>
                <w:rFonts w:ascii="Georgia" w:hAnsi="Georgia"/>
              </w:rPr>
            </w:pPr>
          </w:p>
        </w:tc>
        <w:tc>
          <w:tcPr>
            <w:tcW w:w="447" w:type="dxa"/>
            <w:shd w:val="clear" w:color="auto" w:fill="auto"/>
          </w:tcPr>
          <w:p w14:paraId="6F99EAFE" w14:textId="77777777" w:rsidR="00957C79" w:rsidRPr="00A878E8" w:rsidRDefault="00957C79" w:rsidP="00FF52B4">
            <w:pPr>
              <w:jc w:val="center"/>
              <w:rPr>
                <w:rFonts w:ascii="Georgia" w:hAnsi="Georgia"/>
                <w:b/>
              </w:rPr>
            </w:pPr>
          </w:p>
          <w:p w14:paraId="7ED91505" w14:textId="77777777" w:rsidR="00957C79" w:rsidRPr="00A878E8" w:rsidRDefault="00957C79" w:rsidP="00FF52B4">
            <w:pPr>
              <w:jc w:val="center"/>
              <w:rPr>
                <w:rFonts w:ascii="Georgia" w:hAnsi="Georgia"/>
                <w:b/>
              </w:rPr>
            </w:pPr>
            <w:r w:rsidRPr="00A878E8">
              <w:rPr>
                <w:rFonts w:ascii="Georgia" w:hAnsi="Georgia"/>
                <w:b/>
              </w:rPr>
              <w:t>:</w:t>
            </w:r>
          </w:p>
        </w:tc>
        <w:tc>
          <w:tcPr>
            <w:tcW w:w="5129" w:type="dxa"/>
            <w:shd w:val="clear" w:color="auto" w:fill="auto"/>
          </w:tcPr>
          <w:p w14:paraId="69085FAB" w14:textId="77777777" w:rsidR="00957C79" w:rsidRPr="00A878E8" w:rsidRDefault="00957C79" w:rsidP="00FF52B4">
            <w:pPr>
              <w:rPr>
                <w:rFonts w:ascii="Georgia" w:hAnsi="Georgia"/>
              </w:rPr>
            </w:pPr>
          </w:p>
          <w:p w14:paraId="37D3D8A4" w14:textId="3CEDA2B8" w:rsidR="00957C79" w:rsidRPr="00A878E8" w:rsidRDefault="005C1E19" w:rsidP="003500FA">
            <w:pPr>
              <w:rPr>
                <w:rFonts w:ascii="Georgia" w:hAnsi="Georgia"/>
              </w:rPr>
            </w:pPr>
            <w:r w:rsidRPr="00A878E8">
              <w:rPr>
                <w:rFonts w:ascii="Georgia" w:hAnsi="Georgia"/>
              </w:rPr>
              <w:t>Arquero Management Limited</w:t>
            </w:r>
          </w:p>
        </w:tc>
      </w:tr>
      <w:tr w:rsidR="00957C79" w:rsidRPr="00A878E8" w14:paraId="1D0FD251" w14:textId="77777777" w:rsidTr="00A878E8">
        <w:tc>
          <w:tcPr>
            <w:tcW w:w="2736" w:type="dxa"/>
            <w:shd w:val="clear" w:color="auto" w:fill="auto"/>
          </w:tcPr>
          <w:p w14:paraId="6651BDCD" w14:textId="77777777" w:rsidR="00957C79" w:rsidRPr="00A878E8" w:rsidRDefault="00957C79" w:rsidP="00FF52B4">
            <w:pPr>
              <w:rPr>
                <w:rFonts w:ascii="Georgia" w:hAnsi="Georgia"/>
              </w:rPr>
            </w:pPr>
          </w:p>
          <w:p w14:paraId="68EB61E6" w14:textId="2CFA0207" w:rsidR="00957C79" w:rsidRPr="00A878E8" w:rsidRDefault="00957C79" w:rsidP="00FF52B4">
            <w:pPr>
              <w:rPr>
                <w:rFonts w:ascii="Georgia" w:hAnsi="Georgia" w:cs="Arial"/>
                <w:b/>
                <w:bCs/>
              </w:rPr>
            </w:pPr>
            <w:r w:rsidRPr="00A878E8">
              <w:rPr>
                <w:rFonts w:ascii="Georgia" w:hAnsi="Georgia" w:cs="Arial"/>
                <w:b/>
                <w:bCs/>
              </w:rPr>
              <w:t>Respondent</w:t>
            </w:r>
            <w:r w:rsidR="006B29AA">
              <w:rPr>
                <w:rFonts w:ascii="Georgia" w:hAnsi="Georgia" w:cs="Arial"/>
                <w:b/>
                <w:bCs/>
              </w:rPr>
              <w:t>s</w:t>
            </w:r>
          </w:p>
          <w:p w14:paraId="29179B22" w14:textId="77777777" w:rsidR="00957C79" w:rsidRPr="00A878E8" w:rsidRDefault="00957C79" w:rsidP="00FF52B4">
            <w:pPr>
              <w:rPr>
                <w:rFonts w:ascii="Georgia" w:hAnsi="Georgia"/>
              </w:rPr>
            </w:pPr>
          </w:p>
        </w:tc>
        <w:tc>
          <w:tcPr>
            <w:tcW w:w="447" w:type="dxa"/>
            <w:shd w:val="clear" w:color="auto" w:fill="auto"/>
          </w:tcPr>
          <w:p w14:paraId="09A73462" w14:textId="77777777" w:rsidR="00957C79" w:rsidRPr="00A878E8" w:rsidRDefault="00957C79" w:rsidP="00FF52B4">
            <w:pPr>
              <w:jc w:val="center"/>
              <w:rPr>
                <w:rFonts w:ascii="Georgia" w:hAnsi="Georgia"/>
                <w:b/>
              </w:rPr>
            </w:pPr>
          </w:p>
          <w:p w14:paraId="6E913C96" w14:textId="77777777" w:rsidR="00957C79" w:rsidRPr="00A878E8" w:rsidRDefault="00957C79" w:rsidP="00FF52B4">
            <w:pPr>
              <w:jc w:val="center"/>
              <w:rPr>
                <w:rFonts w:ascii="Georgia" w:hAnsi="Georgia"/>
                <w:b/>
              </w:rPr>
            </w:pPr>
            <w:r w:rsidRPr="00A878E8">
              <w:rPr>
                <w:rFonts w:ascii="Georgia" w:hAnsi="Georgia"/>
                <w:b/>
              </w:rPr>
              <w:t>:</w:t>
            </w:r>
          </w:p>
        </w:tc>
        <w:tc>
          <w:tcPr>
            <w:tcW w:w="5129" w:type="dxa"/>
            <w:shd w:val="clear" w:color="auto" w:fill="auto"/>
          </w:tcPr>
          <w:p w14:paraId="5391BAFB" w14:textId="77777777" w:rsidR="00A878E8" w:rsidRDefault="00A878E8" w:rsidP="00FF52B4">
            <w:pPr>
              <w:rPr>
                <w:rFonts w:ascii="Georgia" w:hAnsi="Georgia"/>
              </w:rPr>
            </w:pPr>
          </w:p>
          <w:p w14:paraId="3C517C06" w14:textId="56FA892C" w:rsidR="00957C79" w:rsidRPr="00A878E8" w:rsidRDefault="005C1E19" w:rsidP="00FF52B4">
            <w:pPr>
              <w:rPr>
                <w:rFonts w:ascii="Georgia" w:hAnsi="Georgia"/>
              </w:rPr>
            </w:pPr>
            <w:r w:rsidRPr="00A878E8">
              <w:rPr>
                <w:rFonts w:ascii="Georgia" w:hAnsi="Georgia"/>
              </w:rPr>
              <w:t>The</w:t>
            </w:r>
            <w:r w:rsidR="006B29AA">
              <w:rPr>
                <w:rFonts w:ascii="Georgia" w:hAnsi="Georgia"/>
              </w:rPr>
              <w:t xml:space="preserve"> twelve </w:t>
            </w:r>
            <w:r w:rsidRPr="00A878E8">
              <w:rPr>
                <w:rFonts w:ascii="Georgia" w:hAnsi="Georgia"/>
              </w:rPr>
              <w:t xml:space="preserve"> leaseholders </w:t>
            </w:r>
          </w:p>
        </w:tc>
      </w:tr>
      <w:tr w:rsidR="00957C79" w:rsidRPr="00A878E8" w14:paraId="179E6D25" w14:textId="77777777" w:rsidTr="00A878E8">
        <w:tc>
          <w:tcPr>
            <w:tcW w:w="2736" w:type="dxa"/>
            <w:shd w:val="clear" w:color="auto" w:fill="auto"/>
          </w:tcPr>
          <w:p w14:paraId="0338F8F2" w14:textId="77777777" w:rsidR="00957C79" w:rsidRPr="00A878E8" w:rsidRDefault="00957C79" w:rsidP="00FF52B4">
            <w:pPr>
              <w:rPr>
                <w:rFonts w:ascii="Georgia" w:hAnsi="Georgia"/>
              </w:rPr>
            </w:pPr>
          </w:p>
          <w:p w14:paraId="3BB31F34" w14:textId="77777777" w:rsidR="00957C79" w:rsidRPr="00A878E8" w:rsidRDefault="00957C79" w:rsidP="00FF52B4">
            <w:pPr>
              <w:rPr>
                <w:rFonts w:ascii="Georgia" w:hAnsi="Georgia" w:cs="Arial"/>
                <w:b/>
                <w:bCs/>
              </w:rPr>
            </w:pPr>
            <w:r w:rsidRPr="00A878E8">
              <w:rPr>
                <w:rFonts w:ascii="Georgia" w:hAnsi="Georgia" w:cs="Arial"/>
                <w:b/>
                <w:bCs/>
              </w:rPr>
              <w:t>Type of Application</w:t>
            </w:r>
          </w:p>
          <w:p w14:paraId="61C0D136" w14:textId="77777777" w:rsidR="00957C79" w:rsidRPr="00A878E8" w:rsidRDefault="00957C79" w:rsidP="00FF52B4">
            <w:pPr>
              <w:rPr>
                <w:rFonts w:ascii="Georgia" w:hAnsi="Georgia"/>
              </w:rPr>
            </w:pPr>
          </w:p>
        </w:tc>
        <w:tc>
          <w:tcPr>
            <w:tcW w:w="447" w:type="dxa"/>
            <w:shd w:val="clear" w:color="auto" w:fill="auto"/>
          </w:tcPr>
          <w:p w14:paraId="3D26E281" w14:textId="77777777" w:rsidR="00957C79" w:rsidRPr="00A878E8" w:rsidRDefault="00957C79" w:rsidP="00FF52B4">
            <w:pPr>
              <w:jc w:val="center"/>
              <w:rPr>
                <w:rFonts w:ascii="Georgia" w:hAnsi="Georgia"/>
                <w:b/>
              </w:rPr>
            </w:pPr>
          </w:p>
          <w:p w14:paraId="17CC3932" w14:textId="77777777" w:rsidR="00957C79" w:rsidRPr="00A878E8" w:rsidRDefault="00957C79" w:rsidP="00FF52B4">
            <w:pPr>
              <w:jc w:val="center"/>
              <w:rPr>
                <w:rFonts w:ascii="Georgia" w:hAnsi="Georgia"/>
                <w:b/>
              </w:rPr>
            </w:pPr>
            <w:r w:rsidRPr="00A878E8">
              <w:rPr>
                <w:rFonts w:ascii="Georgia" w:hAnsi="Georgia"/>
                <w:b/>
              </w:rPr>
              <w:t>:</w:t>
            </w:r>
          </w:p>
        </w:tc>
        <w:tc>
          <w:tcPr>
            <w:tcW w:w="5129" w:type="dxa"/>
            <w:shd w:val="clear" w:color="auto" w:fill="auto"/>
          </w:tcPr>
          <w:p w14:paraId="10BAEDD6" w14:textId="77777777" w:rsidR="00957C79" w:rsidRPr="00A878E8" w:rsidRDefault="00957C79" w:rsidP="00FF52B4">
            <w:pPr>
              <w:rPr>
                <w:rFonts w:ascii="Georgia" w:hAnsi="Georgia"/>
              </w:rPr>
            </w:pPr>
          </w:p>
          <w:p w14:paraId="6E42E6D5" w14:textId="6AFF8482" w:rsidR="00957C79" w:rsidRPr="00A878E8" w:rsidRDefault="00957C79" w:rsidP="00FF52B4">
            <w:pPr>
              <w:rPr>
                <w:rFonts w:ascii="Georgia" w:hAnsi="Georgia"/>
              </w:rPr>
            </w:pPr>
            <w:r w:rsidRPr="00A878E8">
              <w:rPr>
                <w:rFonts w:ascii="Georgia" w:hAnsi="Georgia"/>
              </w:rPr>
              <w:t>To dispense with the requirement to consult lessees about major works section 20ZA of the Landlord and Tenant Act 1985</w:t>
            </w:r>
            <w:r w:rsidR="003500FA" w:rsidRPr="00A878E8">
              <w:rPr>
                <w:rFonts w:ascii="Georgia" w:hAnsi="Georgia"/>
              </w:rPr>
              <w:t xml:space="preserve"> </w:t>
            </w:r>
          </w:p>
        </w:tc>
      </w:tr>
      <w:tr w:rsidR="00957C79" w:rsidRPr="00A878E8" w14:paraId="548B74FC" w14:textId="77777777" w:rsidTr="00A878E8">
        <w:tc>
          <w:tcPr>
            <w:tcW w:w="2736" w:type="dxa"/>
            <w:shd w:val="clear" w:color="auto" w:fill="auto"/>
          </w:tcPr>
          <w:p w14:paraId="33CDF058" w14:textId="77777777" w:rsidR="00957C79" w:rsidRPr="00A878E8" w:rsidRDefault="00957C79" w:rsidP="00FF52B4">
            <w:pPr>
              <w:rPr>
                <w:rFonts w:ascii="Georgia" w:hAnsi="Georgia"/>
              </w:rPr>
            </w:pPr>
          </w:p>
          <w:p w14:paraId="7E8A39E1" w14:textId="22A68218" w:rsidR="00957C79" w:rsidRPr="00A878E8" w:rsidRDefault="00957C79" w:rsidP="00FF52B4">
            <w:pPr>
              <w:rPr>
                <w:rFonts w:ascii="Georgia" w:hAnsi="Georgia" w:cs="Arial"/>
                <w:b/>
                <w:bCs/>
              </w:rPr>
            </w:pPr>
            <w:r w:rsidRPr="00A878E8">
              <w:rPr>
                <w:rFonts w:ascii="Georgia" w:hAnsi="Georgia" w:cs="Arial"/>
                <w:b/>
                <w:bCs/>
              </w:rPr>
              <w:t xml:space="preserve">Tribunal </w:t>
            </w:r>
          </w:p>
          <w:p w14:paraId="17DB6BBF" w14:textId="77777777" w:rsidR="00957C79" w:rsidRPr="00A878E8" w:rsidRDefault="00957C79" w:rsidP="00FF52B4">
            <w:pPr>
              <w:rPr>
                <w:rFonts w:ascii="Georgia" w:hAnsi="Georgia"/>
              </w:rPr>
            </w:pPr>
          </w:p>
        </w:tc>
        <w:tc>
          <w:tcPr>
            <w:tcW w:w="447" w:type="dxa"/>
            <w:shd w:val="clear" w:color="auto" w:fill="auto"/>
          </w:tcPr>
          <w:p w14:paraId="57C12D5E" w14:textId="77777777" w:rsidR="00957C79" w:rsidRPr="00A878E8" w:rsidRDefault="00957C79" w:rsidP="00FF52B4">
            <w:pPr>
              <w:jc w:val="center"/>
              <w:rPr>
                <w:rFonts w:ascii="Georgia" w:hAnsi="Georgia"/>
                <w:b/>
              </w:rPr>
            </w:pPr>
          </w:p>
          <w:p w14:paraId="28F644B8" w14:textId="77777777" w:rsidR="00957C79" w:rsidRPr="00A878E8" w:rsidRDefault="00957C79" w:rsidP="00FF52B4">
            <w:pPr>
              <w:jc w:val="center"/>
              <w:rPr>
                <w:rFonts w:ascii="Georgia" w:hAnsi="Georgia"/>
                <w:b/>
              </w:rPr>
            </w:pPr>
            <w:r w:rsidRPr="00A878E8">
              <w:rPr>
                <w:rFonts w:ascii="Georgia" w:hAnsi="Georgia"/>
                <w:b/>
              </w:rPr>
              <w:t>:</w:t>
            </w:r>
          </w:p>
        </w:tc>
        <w:tc>
          <w:tcPr>
            <w:tcW w:w="5129" w:type="dxa"/>
            <w:shd w:val="clear" w:color="auto" w:fill="auto"/>
          </w:tcPr>
          <w:p w14:paraId="0437E91A" w14:textId="77777777" w:rsidR="00612410" w:rsidRPr="00A878E8" w:rsidRDefault="00612410" w:rsidP="00FF52B4">
            <w:pPr>
              <w:rPr>
                <w:rFonts w:ascii="Georgia" w:hAnsi="Georgia"/>
              </w:rPr>
            </w:pPr>
          </w:p>
          <w:p w14:paraId="2B2C10C1" w14:textId="40E148D9" w:rsidR="00957C79" w:rsidRPr="00A878E8" w:rsidRDefault="00957C79" w:rsidP="00FF52B4">
            <w:pPr>
              <w:rPr>
                <w:rFonts w:ascii="Georgia" w:hAnsi="Georgia"/>
              </w:rPr>
            </w:pPr>
            <w:r w:rsidRPr="00A878E8">
              <w:rPr>
                <w:rFonts w:ascii="Georgia" w:hAnsi="Georgia"/>
              </w:rPr>
              <w:t xml:space="preserve">Judge </w:t>
            </w:r>
            <w:r w:rsidR="00612410" w:rsidRPr="00A878E8">
              <w:rPr>
                <w:rFonts w:ascii="Georgia" w:hAnsi="Georgia"/>
              </w:rPr>
              <w:t>C A Rai</w:t>
            </w:r>
          </w:p>
        </w:tc>
      </w:tr>
      <w:tr w:rsidR="00957C79" w:rsidRPr="00A878E8" w14:paraId="2E82FBD6" w14:textId="77777777" w:rsidTr="00A878E8">
        <w:tc>
          <w:tcPr>
            <w:tcW w:w="2736" w:type="dxa"/>
            <w:shd w:val="clear" w:color="auto" w:fill="auto"/>
          </w:tcPr>
          <w:p w14:paraId="0513BC38" w14:textId="77777777" w:rsidR="00957C79" w:rsidRPr="00A878E8" w:rsidRDefault="00957C79" w:rsidP="00FF52B4">
            <w:pPr>
              <w:rPr>
                <w:rFonts w:ascii="Georgia" w:hAnsi="Georgia"/>
              </w:rPr>
            </w:pPr>
          </w:p>
          <w:p w14:paraId="61286D8F" w14:textId="77777777" w:rsidR="00957C79" w:rsidRPr="00A878E8" w:rsidRDefault="00957C79" w:rsidP="00FF52B4">
            <w:pPr>
              <w:rPr>
                <w:rFonts w:ascii="Georgia" w:hAnsi="Georgia" w:cs="Arial"/>
                <w:b/>
                <w:bCs/>
              </w:rPr>
            </w:pPr>
            <w:r w:rsidRPr="00A878E8">
              <w:rPr>
                <w:rFonts w:ascii="Georgia" w:hAnsi="Georgia" w:cs="Arial"/>
                <w:b/>
                <w:bCs/>
              </w:rPr>
              <w:t>Date of Decision</w:t>
            </w:r>
          </w:p>
          <w:p w14:paraId="66FFF026" w14:textId="77777777" w:rsidR="00957C79" w:rsidRPr="00A878E8" w:rsidRDefault="00957C79" w:rsidP="00FF52B4">
            <w:pPr>
              <w:rPr>
                <w:rFonts w:ascii="Georgia" w:hAnsi="Georgia"/>
              </w:rPr>
            </w:pPr>
          </w:p>
        </w:tc>
        <w:tc>
          <w:tcPr>
            <w:tcW w:w="447" w:type="dxa"/>
            <w:shd w:val="clear" w:color="auto" w:fill="auto"/>
          </w:tcPr>
          <w:p w14:paraId="03ACBC8C" w14:textId="77777777" w:rsidR="00957C79" w:rsidRPr="00A878E8" w:rsidRDefault="00957C79" w:rsidP="00FF52B4">
            <w:pPr>
              <w:jc w:val="center"/>
              <w:rPr>
                <w:rFonts w:ascii="Georgia" w:hAnsi="Georgia"/>
                <w:b/>
              </w:rPr>
            </w:pPr>
          </w:p>
          <w:p w14:paraId="14C9F910" w14:textId="77777777" w:rsidR="00957C79" w:rsidRPr="00A878E8" w:rsidRDefault="00957C79" w:rsidP="00FF52B4">
            <w:pPr>
              <w:jc w:val="center"/>
              <w:rPr>
                <w:rFonts w:ascii="Georgia" w:hAnsi="Georgia"/>
                <w:b/>
              </w:rPr>
            </w:pPr>
            <w:r w:rsidRPr="00A878E8">
              <w:rPr>
                <w:rFonts w:ascii="Georgia" w:hAnsi="Georgia"/>
                <w:b/>
              </w:rPr>
              <w:t>:</w:t>
            </w:r>
          </w:p>
        </w:tc>
        <w:tc>
          <w:tcPr>
            <w:tcW w:w="5129" w:type="dxa"/>
            <w:shd w:val="clear" w:color="auto" w:fill="auto"/>
          </w:tcPr>
          <w:p w14:paraId="2364A91D" w14:textId="77777777" w:rsidR="00957C79" w:rsidRDefault="00957C79" w:rsidP="00FF52B4">
            <w:pPr>
              <w:rPr>
                <w:rFonts w:ascii="Georgia" w:hAnsi="Georgia"/>
              </w:rPr>
            </w:pPr>
          </w:p>
          <w:p w14:paraId="5AAD54C0" w14:textId="19303937" w:rsidR="004D3F71" w:rsidRPr="00A878E8" w:rsidRDefault="00F01225" w:rsidP="00FF52B4">
            <w:pPr>
              <w:rPr>
                <w:rFonts w:ascii="Georgia" w:hAnsi="Georgia"/>
              </w:rPr>
            </w:pPr>
            <w:r>
              <w:rPr>
                <w:rFonts w:ascii="Georgia" w:hAnsi="Georgia"/>
              </w:rPr>
              <w:t xml:space="preserve"> 10 December </w:t>
            </w:r>
            <w:r w:rsidR="004D3F71">
              <w:rPr>
                <w:rFonts w:ascii="Georgia" w:hAnsi="Georgia"/>
              </w:rPr>
              <w:t>2024</w:t>
            </w:r>
          </w:p>
          <w:p w14:paraId="67B89041" w14:textId="416C8347" w:rsidR="00957C79" w:rsidRPr="00A878E8" w:rsidRDefault="00957C79" w:rsidP="00FF52B4">
            <w:pPr>
              <w:rPr>
                <w:rFonts w:ascii="Georgia" w:hAnsi="Georgia"/>
              </w:rPr>
            </w:pPr>
          </w:p>
        </w:tc>
      </w:tr>
    </w:tbl>
    <w:p w14:paraId="7203FBA2" w14:textId="77777777" w:rsidR="00957C79" w:rsidRPr="00A878E8" w:rsidRDefault="00957C79" w:rsidP="00957C79">
      <w:pPr>
        <w:rPr>
          <w:rFonts w:ascii="Georgia" w:hAnsi="Georgia"/>
        </w:rPr>
      </w:pPr>
    </w:p>
    <w:p w14:paraId="1DD96D37" w14:textId="77777777" w:rsidR="00957C79" w:rsidRPr="00A878E8" w:rsidRDefault="00957C79" w:rsidP="00957C79">
      <w:pPr>
        <w:rPr>
          <w:rFonts w:ascii="Georgia" w:hAnsi="Georgia"/>
        </w:rPr>
      </w:pPr>
    </w:p>
    <w:tbl>
      <w:tblPr>
        <w:tblW w:w="0" w:type="auto"/>
        <w:tblBorders>
          <w:top w:val="single" w:sz="4" w:space="0" w:color="auto"/>
          <w:bottom w:val="single" w:sz="4" w:space="0" w:color="auto"/>
        </w:tblBorders>
        <w:tblLook w:val="01E0" w:firstRow="1" w:lastRow="1" w:firstColumn="1" w:lastColumn="1" w:noHBand="0" w:noVBand="0"/>
      </w:tblPr>
      <w:tblGrid>
        <w:gridCol w:w="8312"/>
      </w:tblGrid>
      <w:tr w:rsidR="00957C79" w:rsidRPr="00A878E8" w14:paraId="0B465CCB" w14:textId="77777777" w:rsidTr="00FF52B4">
        <w:tc>
          <w:tcPr>
            <w:tcW w:w="8522" w:type="dxa"/>
            <w:shd w:val="clear" w:color="auto" w:fill="auto"/>
          </w:tcPr>
          <w:p w14:paraId="393F9818" w14:textId="77777777" w:rsidR="00957C79" w:rsidRPr="00A878E8" w:rsidRDefault="00957C79" w:rsidP="00FF52B4">
            <w:pPr>
              <w:rPr>
                <w:rFonts w:ascii="Georgia" w:hAnsi="Georgia"/>
              </w:rPr>
            </w:pPr>
          </w:p>
          <w:p w14:paraId="57BAA4A3" w14:textId="77777777" w:rsidR="00957C79" w:rsidRPr="00A878E8" w:rsidRDefault="00957C79" w:rsidP="00FF52B4">
            <w:pPr>
              <w:jc w:val="center"/>
              <w:rPr>
                <w:rFonts w:ascii="Georgia" w:hAnsi="Georgia" w:cs="Arial"/>
                <w:b/>
                <w:bCs/>
              </w:rPr>
            </w:pPr>
            <w:r w:rsidRPr="00A878E8">
              <w:rPr>
                <w:rFonts w:ascii="Georgia" w:hAnsi="Georgia" w:cs="Arial"/>
                <w:b/>
                <w:bCs/>
              </w:rPr>
              <w:t xml:space="preserve">DECISION </w:t>
            </w:r>
          </w:p>
          <w:p w14:paraId="2E4AEBD7" w14:textId="77777777" w:rsidR="00957C79" w:rsidRPr="00A878E8" w:rsidRDefault="00957C79" w:rsidP="00FF52B4">
            <w:pPr>
              <w:jc w:val="center"/>
              <w:rPr>
                <w:rFonts w:ascii="Georgia" w:hAnsi="Georgia"/>
              </w:rPr>
            </w:pPr>
          </w:p>
        </w:tc>
      </w:tr>
    </w:tbl>
    <w:p w14:paraId="25628860" w14:textId="77777777" w:rsidR="00957C79" w:rsidRPr="00A878E8" w:rsidRDefault="00957C79" w:rsidP="00957C79">
      <w:pPr>
        <w:jc w:val="both"/>
        <w:rPr>
          <w:rFonts w:ascii="Georgia" w:hAnsi="Georgia"/>
        </w:rPr>
      </w:pPr>
    </w:p>
    <w:p w14:paraId="5016A04B" w14:textId="77777777" w:rsidR="00957C79" w:rsidRPr="00A878E8" w:rsidRDefault="00957C79" w:rsidP="00957C79">
      <w:pPr>
        <w:jc w:val="both"/>
        <w:rPr>
          <w:rFonts w:ascii="Georgia" w:hAnsi="Georgia"/>
        </w:rPr>
      </w:pPr>
    </w:p>
    <w:p w14:paraId="0F1039C9" w14:textId="77777777" w:rsidR="00957C79" w:rsidRPr="00A878E8" w:rsidRDefault="00957C79" w:rsidP="00957C79">
      <w:pPr>
        <w:jc w:val="both"/>
        <w:rPr>
          <w:rFonts w:ascii="Georgia" w:hAnsi="Georgia"/>
        </w:rPr>
      </w:pPr>
    </w:p>
    <w:p w14:paraId="7C859401" w14:textId="77777777" w:rsidR="00957C79" w:rsidRPr="00A878E8" w:rsidRDefault="00957C79" w:rsidP="00957C79">
      <w:pPr>
        <w:jc w:val="both"/>
        <w:rPr>
          <w:rFonts w:ascii="Georgia" w:hAnsi="Georgia"/>
        </w:rPr>
      </w:pPr>
    </w:p>
    <w:p w14:paraId="2B8BEF36" w14:textId="77777777" w:rsidR="00957C79" w:rsidRPr="00A878E8" w:rsidRDefault="00957C79" w:rsidP="00957C79">
      <w:pPr>
        <w:jc w:val="both"/>
        <w:rPr>
          <w:rFonts w:ascii="Georgia" w:hAnsi="Georgia"/>
        </w:rPr>
      </w:pPr>
    </w:p>
    <w:p w14:paraId="3264C668" w14:textId="77777777" w:rsidR="00957C79" w:rsidRPr="00A878E8" w:rsidRDefault="00957C79" w:rsidP="00957C79">
      <w:pPr>
        <w:jc w:val="both"/>
        <w:rPr>
          <w:rFonts w:ascii="Georgia" w:hAnsi="Georgia"/>
        </w:rPr>
      </w:pPr>
    </w:p>
    <w:p w14:paraId="5F1C4AD0" w14:textId="77777777" w:rsidR="00957C79" w:rsidRPr="00A878E8" w:rsidRDefault="00957C79" w:rsidP="00957C79">
      <w:pPr>
        <w:jc w:val="both"/>
        <w:rPr>
          <w:rFonts w:ascii="Georgia" w:hAnsi="Georgia"/>
        </w:rPr>
      </w:pPr>
    </w:p>
    <w:p w14:paraId="5B6EEEE5" w14:textId="77777777" w:rsidR="00957C79" w:rsidRPr="00A878E8" w:rsidRDefault="00957C79" w:rsidP="00957C79">
      <w:pPr>
        <w:jc w:val="both"/>
        <w:rPr>
          <w:rFonts w:ascii="Georgia" w:hAnsi="Georgia"/>
        </w:rPr>
      </w:pPr>
    </w:p>
    <w:p w14:paraId="49CF9F28" w14:textId="77777777" w:rsidR="00957C79" w:rsidRPr="00A878E8" w:rsidRDefault="00957C79" w:rsidP="00957C79">
      <w:pPr>
        <w:jc w:val="both"/>
        <w:rPr>
          <w:rFonts w:ascii="Georgia" w:hAnsi="Georgia"/>
        </w:rPr>
      </w:pPr>
    </w:p>
    <w:p w14:paraId="3D19A4D0" w14:textId="77777777" w:rsidR="00957C79" w:rsidRPr="00A878E8" w:rsidRDefault="00957C79" w:rsidP="00957C79">
      <w:pPr>
        <w:jc w:val="both"/>
        <w:rPr>
          <w:rFonts w:ascii="Georgia" w:hAnsi="Georgia"/>
        </w:rPr>
      </w:pPr>
    </w:p>
    <w:p w14:paraId="1BD48CE4" w14:textId="77777777" w:rsidR="00957C79" w:rsidRPr="00A878E8" w:rsidRDefault="00957C79" w:rsidP="00957C79">
      <w:pPr>
        <w:jc w:val="both"/>
        <w:rPr>
          <w:rFonts w:ascii="Georgia" w:hAnsi="Georgia"/>
        </w:rPr>
      </w:pPr>
    </w:p>
    <w:p w14:paraId="442DCBB0" w14:textId="77777777" w:rsidR="00957C79" w:rsidRPr="00A878E8" w:rsidRDefault="00957C79" w:rsidP="00957C79">
      <w:pPr>
        <w:jc w:val="both"/>
        <w:rPr>
          <w:rFonts w:ascii="Georgia" w:hAnsi="Georgia"/>
        </w:rPr>
      </w:pPr>
    </w:p>
    <w:p w14:paraId="0415D075" w14:textId="77777777" w:rsidR="004D3F71" w:rsidRDefault="004D3F71" w:rsidP="00957C79">
      <w:pPr>
        <w:jc w:val="both"/>
        <w:rPr>
          <w:rFonts w:ascii="Georgia" w:hAnsi="Georgia"/>
          <w:b/>
        </w:rPr>
      </w:pPr>
    </w:p>
    <w:p w14:paraId="73FBD2B2" w14:textId="77777777" w:rsidR="004D3F71" w:rsidRDefault="004D3F71" w:rsidP="00957C79">
      <w:pPr>
        <w:jc w:val="both"/>
        <w:rPr>
          <w:rFonts w:ascii="Georgia" w:hAnsi="Georgia"/>
          <w:b/>
        </w:rPr>
      </w:pPr>
    </w:p>
    <w:p w14:paraId="019A1A2A" w14:textId="77777777" w:rsidR="004D3F71" w:rsidRDefault="004D3F71" w:rsidP="00957C79">
      <w:pPr>
        <w:jc w:val="both"/>
        <w:rPr>
          <w:rFonts w:ascii="Georgia" w:hAnsi="Georgia"/>
          <w:b/>
        </w:rPr>
      </w:pPr>
    </w:p>
    <w:p w14:paraId="164960C1" w14:textId="0FEA5EFB" w:rsidR="00957C79" w:rsidRPr="00A878E8" w:rsidRDefault="00957C79" w:rsidP="00957C79">
      <w:pPr>
        <w:jc w:val="both"/>
        <w:rPr>
          <w:rFonts w:ascii="Georgia" w:hAnsi="Georgia"/>
          <w:b/>
        </w:rPr>
      </w:pPr>
      <w:r w:rsidRPr="00A878E8">
        <w:rPr>
          <w:rFonts w:ascii="Georgia" w:hAnsi="Georgia"/>
          <w:b/>
        </w:rPr>
        <w:lastRenderedPageBreak/>
        <w:t xml:space="preserve">This is a formal order of the Tribunal which must be complied with by the parties. </w:t>
      </w:r>
    </w:p>
    <w:p w14:paraId="18117E2B" w14:textId="77777777" w:rsidR="00957C79" w:rsidRPr="00A878E8" w:rsidRDefault="00957C79" w:rsidP="00957C79">
      <w:pPr>
        <w:jc w:val="both"/>
        <w:rPr>
          <w:rFonts w:ascii="Georgia" w:hAnsi="Georgia"/>
          <w:b/>
        </w:rPr>
      </w:pPr>
      <w:r w:rsidRPr="00A878E8">
        <w:rPr>
          <w:rFonts w:ascii="Georgia" w:hAnsi="Georgia"/>
          <w:b/>
        </w:rPr>
        <w:t xml:space="preserve">Communications to the Tribunal MUST be made by email to </w:t>
      </w:r>
      <w:hyperlink r:id="rId11" w:history="1">
        <w:r w:rsidRPr="00A878E8">
          <w:rPr>
            <w:rStyle w:val="Hyperlink"/>
            <w:rFonts w:ascii="Georgia" w:hAnsi="Georgia"/>
          </w:rPr>
          <w:t>rpsouthern@justice.gov.uk</w:t>
        </w:r>
      </w:hyperlink>
      <w:r w:rsidRPr="00A878E8">
        <w:rPr>
          <w:rFonts w:ascii="Georgia" w:hAnsi="Georgia"/>
          <w:b/>
        </w:rPr>
        <w:t xml:space="preserve">. All communications must clearly state the Case Number and address of the premises. </w:t>
      </w:r>
    </w:p>
    <w:p w14:paraId="7221F7FB" w14:textId="77777777" w:rsidR="00957C79" w:rsidRPr="00A878E8" w:rsidRDefault="00957C79" w:rsidP="00957C79">
      <w:pPr>
        <w:jc w:val="both"/>
        <w:rPr>
          <w:rFonts w:ascii="Georgia" w:hAnsi="Georgia"/>
          <w:b/>
        </w:rPr>
      </w:pPr>
    </w:p>
    <w:bookmarkEnd w:id="0"/>
    <w:p w14:paraId="1C335983" w14:textId="77777777" w:rsidR="00957C79" w:rsidRPr="00A878E8" w:rsidRDefault="00957C79" w:rsidP="00957C79">
      <w:pPr>
        <w:rPr>
          <w:rFonts w:ascii="Georgia" w:hAnsi="Georgia"/>
          <w:b/>
        </w:rPr>
      </w:pPr>
      <w:r w:rsidRPr="00A878E8">
        <w:rPr>
          <w:rFonts w:ascii="Georgia" w:hAnsi="Georgia"/>
          <w:b/>
        </w:rPr>
        <w:t xml:space="preserve">Summary of the Decision </w:t>
      </w:r>
    </w:p>
    <w:p w14:paraId="78FDBDD8" w14:textId="77777777" w:rsidR="00957C79" w:rsidRPr="00A878E8" w:rsidRDefault="00957C79" w:rsidP="00957C79">
      <w:pPr>
        <w:rPr>
          <w:rFonts w:ascii="Georgia" w:hAnsi="Georgia"/>
          <w:b/>
        </w:rPr>
      </w:pPr>
    </w:p>
    <w:p w14:paraId="3968FDB5" w14:textId="236AE6AE" w:rsidR="00957C79" w:rsidRPr="00A878E8" w:rsidRDefault="00957C79" w:rsidP="00957C79">
      <w:pPr>
        <w:numPr>
          <w:ilvl w:val="0"/>
          <w:numId w:val="1"/>
        </w:numPr>
        <w:ind w:left="714" w:hanging="714"/>
        <w:jc w:val="both"/>
        <w:rPr>
          <w:rFonts w:ascii="Georgia" w:hAnsi="Georgia"/>
          <w:b/>
        </w:rPr>
      </w:pPr>
      <w:r w:rsidRPr="00A878E8">
        <w:rPr>
          <w:rFonts w:ascii="Georgia" w:hAnsi="Georgia"/>
          <w:b/>
        </w:rPr>
        <w:t xml:space="preserve">The Applicant is granted dispensation under Section 20ZA of the Landlord and Tenant Act 1985 from the consultation requirements imposed on the landlord by Section 20 of the 1985 Act in relation to the </w:t>
      </w:r>
      <w:r w:rsidRPr="004D3F71">
        <w:rPr>
          <w:rFonts w:ascii="Georgia" w:hAnsi="Georgia"/>
          <w:b/>
        </w:rPr>
        <w:t xml:space="preserve">works outlined in the notice of intention to leaseholders dated </w:t>
      </w:r>
      <w:r w:rsidR="004D3F71" w:rsidRPr="004D3F71">
        <w:rPr>
          <w:rFonts w:ascii="Georgia" w:hAnsi="Georgia"/>
          <w:b/>
        </w:rPr>
        <w:t>15 August</w:t>
      </w:r>
      <w:r w:rsidRPr="004D3F71">
        <w:rPr>
          <w:rFonts w:ascii="Georgia" w:hAnsi="Georgia"/>
          <w:b/>
        </w:rPr>
        <w:t xml:space="preserve"> 2024. The Tribunal has made no determination on whether the costs of the works are reasonable or payable.</w:t>
      </w:r>
      <w:r w:rsidRPr="00A878E8">
        <w:rPr>
          <w:rFonts w:ascii="Georgia" w:hAnsi="Georgia"/>
          <w:b/>
        </w:rPr>
        <w:t xml:space="preserve">  </w:t>
      </w:r>
    </w:p>
    <w:p w14:paraId="0BD9D483" w14:textId="77777777" w:rsidR="00957C79" w:rsidRPr="00A878E8" w:rsidRDefault="00957C79" w:rsidP="00957C79">
      <w:pPr>
        <w:jc w:val="both"/>
        <w:rPr>
          <w:rFonts w:ascii="Georgia" w:hAnsi="Georgia"/>
          <w:b/>
        </w:rPr>
      </w:pPr>
    </w:p>
    <w:p w14:paraId="3EBA4B34" w14:textId="77777777" w:rsidR="00957C79" w:rsidRPr="00A878E8" w:rsidRDefault="00957C79" w:rsidP="00957C79">
      <w:pPr>
        <w:jc w:val="both"/>
        <w:rPr>
          <w:rFonts w:ascii="Georgia" w:hAnsi="Georgia"/>
          <w:b/>
        </w:rPr>
      </w:pPr>
      <w:r w:rsidRPr="00A878E8">
        <w:rPr>
          <w:rFonts w:ascii="Georgia" w:hAnsi="Georgia"/>
          <w:b/>
        </w:rPr>
        <w:t>Background</w:t>
      </w:r>
    </w:p>
    <w:p w14:paraId="0BE3EAC7" w14:textId="77777777" w:rsidR="00957C79" w:rsidRPr="00A878E8" w:rsidRDefault="00957C79" w:rsidP="00957C79">
      <w:pPr>
        <w:jc w:val="both"/>
        <w:rPr>
          <w:rFonts w:ascii="Georgia" w:hAnsi="Georgia"/>
          <w:b/>
          <w:u w:val="single"/>
        </w:rPr>
      </w:pPr>
    </w:p>
    <w:p w14:paraId="41B28273" w14:textId="3CA8D64D" w:rsidR="00957C79" w:rsidRPr="00F01225" w:rsidRDefault="00957C79" w:rsidP="00957C79">
      <w:pPr>
        <w:numPr>
          <w:ilvl w:val="0"/>
          <w:numId w:val="1"/>
        </w:numPr>
        <w:ind w:hanging="720"/>
        <w:jc w:val="both"/>
        <w:rPr>
          <w:rFonts w:ascii="Georgia" w:hAnsi="Georgia"/>
        </w:rPr>
      </w:pPr>
      <w:r w:rsidRPr="00A878E8">
        <w:rPr>
          <w:rFonts w:ascii="Georgia" w:hAnsi="Georgia"/>
        </w:rPr>
        <w:t>The Applicant seeks dispensation under Section 20ZA of the Landlord and Tenant Act 1985</w:t>
      </w:r>
      <w:r w:rsidR="00EE2881" w:rsidRPr="00A878E8">
        <w:rPr>
          <w:rFonts w:ascii="Georgia" w:hAnsi="Georgia"/>
        </w:rPr>
        <w:t xml:space="preserve"> </w:t>
      </w:r>
      <w:r w:rsidR="00ED5850" w:rsidRPr="00A878E8">
        <w:rPr>
          <w:rFonts w:ascii="Georgia" w:hAnsi="Georgia"/>
        </w:rPr>
        <w:t xml:space="preserve"> and </w:t>
      </w:r>
      <w:r w:rsidRPr="00A878E8">
        <w:rPr>
          <w:rFonts w:ascii="Georgia" w:hAnsi="Georgia"/>
        </w:rPr>
        <w:t>from the consultation requirements imposed on the landlord by Section 20 of the</w:t>
      </w:r>
      <w:r w:rsidR="00ED5850" w:rsidRPr="00A878E8">
        <w:rPr>
          <w:rFonts w:ascii="Georgia" w:hAnsi="Georgia"/>
        </w:rPr>
        <w:t xml:space="preserve"> same</w:t>
      </w:r>
      <w:r w:rsidRPr="00A878E8">
        <w:rPr>
          <w:rFonts w:ascii="Georgia" w:hAnsi="Georgia"/>
        </w:rPr>
        <w:t xml:space="preserve"> Act. The application was received on </w:t>
      </w:r>
      <w:r w:rsidR="004D3F71" w:rsidRPr="00F01225">
        <w:rPr>
          <w:rFonts w:ascii="Georgia" w:hAnsi="Georgia"/>
        </w:rPr>
        <w:t>15 August</w:t>
      </w:r>
      <w:r w:rsidRPr="00F01225">
        <w:rPr>
          <w:rFonts w:ascii="Georgia" w:hAnsi="Georgia"/>
        </w:rPr>
        <w:t xml:space="preserve"> 2024. </w:t>
      </w:r>
    </w:p>
    <w:p w14:paraId="78434B6B" w14:textId="77777777" w:rsidR="00957C79" w:rsidRPr="00A878E8" w:rsidRDefault="00957C79" w:rsidP="00957C79">
      <w:pPr>
        <w:jc w:val="both"/>
        <w:rPr>
          <w:rFonts w:ascii="Georgia" w:hAnsi="Georgia"/>
        </w:rPr>
      </w:pPr>
    </w:p>
    <w:p w14:paraId="082B3C9D" w14:textId="61226B23" w:rsidR="004D3F71" w:rsidRPr="002950EC" w:rsidRDefault="00957C79" w:rsidP="002950EC">
      <w:pPr>
        <w:numPr>
          <w:ilvl w:val="0"/>
          <w:numId w:val="1"/>
        </w:numPr>
        <w:ind w:left="709" w:hanging="709"/>
        <w:jc w:val="both"/>
        <w:rPr>
          <w:rFonts w:ascii="Georgia" w:hAnsi="Georgia"/>
        </w:rPr>
      </w:pPr>
      <w:r w:rsidRPr="00A878E8">
        <w:rPr>
          <w:rFonts w:ascii="Georgia" w:hAnsi="Georgia"/>
        </w:rPr>
        <w:t xml:space="preserve">The Property is described in the application </w:t>
      </w:r>
      <w:r w:rsidR="004D3F71">
        <w:rPr>
          <w:rFonts w:ascii="Georgia" w:hAnsi="Georgia"/>
        </w:rPr>
        <w:t>a</w:t>
      </w:r>
      <w:r w:rsidR="002950EC">
        <w:rPr>
          <w:rFonts w:ascii="Georgia" w:hAnsi="Georgia"/>
        </w:rPr>
        <w:t xml:space="preserve">s comprising one </w:t>
      </w:r>
      <w:r w:rsidR="004D3F71" w:rsidRPr="002950EC">
        <w:rPr>
          <w:rFonts w:ascii="Georgia" w:hAnsi="Georgia"/>
        </w:rPr>
        <w:t xml:space="preserve">block within a development of three blocks of flats - Sea Pines, Osborne Court and Totland Court - in total containing 30 flats. </w:t>
      </w:r>
    </w:p>
    <w:p w14:paraId="2C33A667" w14:textId="47DE0A6A" w:rsidR="004D3F71" w:rsidRPr="004D3F71" w:rsidRDefault="004D3F71" w:rsidP="002950EC">
      <w:pPr>
        <w:numPr>
          <w:ilvl w:val="0"/>
          <w:numId w:val="3"/>
        </w:numPr>
        <w:jc w:val="both"/>
        <w:rPr>
          <w:rFonts w:ascii="Georgia" w:hAnsi="Georgia"/>
        </w:rPr>
      </w:pPr>
      <w:r w:rsidRPr="004D3F71">
        <w:rPr>
          <w:rFonts w:ascii="Georgia" w:hAnsi="Georgia"/>
        </w:rPr>
        <w:t>Each</w:t>
      </w:r>
      <w:r>
        <w:rPr>
          <w:rFonts w:ascii="Georgia" w:hAnsi="Georgia"/>
        </w:rPr>
        <w:t xml:space="preserve"> </w:t>
      </w:r>
      <w:r w:rsidRPr="004D3F71">
        <w:rPr>
          <w:rFonts w:ascii="Georgia" w:hAnsi="Georgia"/>
        </w:rPr>
        <w:t>leaseholder</w:t>
      </w:r>
      <w:r>
        <w:rPr>
          <w:rFonts w:ascii="Georgia" w:hAnsi="Georgia"/>
        </w:rPr>
        <w:t xml:space="preserve"> of  Sea Pines</w:t>
      </w:r>
      <w:r w:rsidRPr="004D3F71">
        <w:rPr>
          <w:rFonts w:ascii="Georgia" w:hAnsi="Georgia"/>
        </w:rPr>
        <w:t xml:space="preserve"> is also a member of the freehold company, Milcliff Court Ltd.</w:t>
      </w:r>
    </w:p>
    <w:p w14:paraId="5AEDAE17" w14:textId="679FC198" w:rsidR="004D3F71" w:rsidRPr="004D3F71" w:rsidRDefault="004D3F71" w:rsidP="002950EC">
      <w:pPr>
        <w:numPr>
          <w:ilvl w:val="0"/>
          <w:numId w:val="3"/>
        </w:numPr>
        <w:rPr>
          <w:rFonts w:ascii="Georgia" w:hAnsi="Georgia"/>
        </w:rPr>
      </w:pPr>
      <w:r w:rsidRPr="004D3F71">
        <w:rPr>
          <w:rFonts w:ascii="Georgia" w:hAnsi="Georgia"/>
        </w:rPr>
        <w:t>MIlcliff [sic] Court are responsible for the external common works to the</w:t>
      </w:r>
      <w:r w:rsidR="002950EC">
        <w:rPr>
          <w:rFonts w:ascii="Georgia" w:hAnsi="Georgia"/>
        </w:rPr>
        <w:t xml:space="preserve"> </w:t>
      </w:r>
      <w:r w:rsidRPr="004D3F71">
        <w:rPr>
          <w:rFonts w:ascii="Georgia" w:hAnsi="Georgia"/>
        </w:rPr>
        <w:t xml:space="preserve">estate, but each block is responsible for their common internal repairs </w:t>
      </w:r>
      <w:r w:rsidR="002950EC">
        <w:rPr>
          <w:rFonts w:ascii="Georgia" w:hAnsi="Georgia"/>
        </w:rPr>
        <w:t xml:space="preserve"> </w:t>
      </w:r>
      <w:r w:rsidRPr="004D3F71">
        <w:rPr>
          <w:rFonts w:ascii="Georgia" w:hAnsi="Georgia"/>
        </w:rPr>
        <w:t>as such, the party who are responsible for the internal common repairs</w:t>
      </w:r>
      <w:r w:rsidR="002950EC">
        <w:rPr>
          <w:rFonts w:ascii="Georgia" w:hAnsi="Georgia"/>
        </w:rPr>
        <w:t xml:space="preserve"> </w:t>
      </w:r>
      <w:r w:rsidRPr="004D3F71">
        <w:rPr>
          <w:rFonts w:ascii="Georgia" w:hAnsi="Georgia"/>
        </w:rPr>
        <w:t>for the Sea Pines block is Sea Pines Residents Association [sic]. The Sea</w:t>
      </w:r>
      <w:r w:rsidR="002950EC">
        <w:rPr>
          <w:rFonts w:ascii="Georgia" w:hAnsi="Georgia"/>
        </w:rPr>
        <w:t xml:space="preserve"> </w:t>
      </w:r>
      <w:r w:rsidRPr="004D3F71">
        <w:rPr>
          <w:rFonts w:ascii="Georgia" w:hAnsi="Georgia"/>
        </w:rPr>
        <w:t>Pines block of flats contains 12 flats, in two cores -Flats 1-6 and Flats 7-12.</w:t>
      </w:r>
    </w:p>
    <w:p w14:paraId="6B3C92C0" w14:textId="27433AF8" w:rsidR="004D3F71" w:rsidRPr="004D3F71" w:rsidRDefault="002950EC" w:rsidP="002950EC">
      <w:pPr>
        <w:numPr>
          <w:ilvl w:val="0"/>
          <w:numId w:val="3"/>
        </w:numPr>
        <w:rPr>
          <w:rFonts w:ascii="Georgia" w:hAnsi="Georgia"/>
        </w:rPr>
      </w:pPr>
      <w:r>
        <w:rPr>
          <w:rFonts w:ascii="Georgia" w:hAnsi="Georgia"/>
        </w:rPr>
        <w:t>u</w:t>
      </w:r>
      <w:r w:rsidR="004D3F71" w:rsidRPr="004D3F71">
        <w:rPr>
          <w:rFonts w:ascii="Georgia" w:hAnsi="Georgia"/>
        </w:rPr>
        <w:t>nder the terms of the leases, each leaseholder has an equal liability for</w:t>
      </w:r>
    </w:p>
    <w:p w14:paraId="0DD6CD42" w14:textId="77777777" w:rsidR="004D3F71" w:rsidRPr="004D3F71" w:rsidRDefault="004D3F71" w:rsidP="002950EC">
      <w:pPr>
        <w:numPr>
          <w:ilvl w:val="0"/>
          <w:numId w:val="3"/>
        </w:numPr>
        <w:rPr>
          <w:rFonts w:ascii="Georgia" w:hAnsi="Georgia"/>
        </w:rPr>
      </w:pPr>
      <w:r w:rsidRPr="004D3F71">
        <w:rPr>
          <w:rFonts w:ascii="Georgia" w:hAnsi="Georgia"/>
        </w:rPr>
        <w:t>service charges to the common estate and an equal liability for the</w:t>
      </w:r>
    </w:p>
    <w:p w14:paraId="606E97CE" w14:textId="280F8930" w:rsidR="00957C79" w:rsidRPr="00A878E8" w:rsidRDefault="004D3F71" w:rsidP="002950EC">
      <w:pPr>
        <w:numPr>
          <w:ilvl w:val="0"/>
          <w:numId w:val="3"/>
        </w:numPr>
        <w:rPr>
          <w:rFonts w:ascii="Georgia" w:hAnsi="Georgia"/>
        </w:rPr>
      </w:pPr>
      <w:r w:rsidRPr="004D3F71">
        <w:rPr>
          <w:rFonts w:ascii="Georgia" w:hAnsi="Georgia"/>
        </w:rPr>
        <w:t>common internal maintenance. Sea Pines has a lift in each core (two lifts</w:t>
      </w:r>
      <w:r w:rsidR="002950EC">
        <w:rPr>
          <w:rFonts w:ascii="Georgia" w:hAnsi="Georgia"/>
        </w:rPr>
        <w:t xml:space="preserve"> </w:t>
      </w:r>
      <w:r w:rsidRPr="004D3F71">
        <w:rPr>
          <w:rFonts w:ascii="Georgia" w:hAnsi="Georgia"/>
        </w:rPr>
        <w:t>in total), and all costs for the repair of the lift are equally split between the</w:t>
      </w:r>
      <w:r w:rsidR="002950EC">
        <w:rPr>
          <w:rFonts w:ascii="Georgia" w:hAnsi="Georgia"/>
        </w:rPr>
        <w:t xml:space="preserve"> </w:t>
      </w:r>
      <w:r w:rsidRPr="004D3F71">
        <w:rPr>
          <w:rFonts w:ascii="Georgia" w:hAnsi="Georgia"/>
        </w:rPr>
        <w:t>Sea Pines leaseholders.</w:t>
      </w:r>
    </w:p>
    <w:p w14:paraId="0DC2AFED" w14:textId="54316F1F" w:rsidR="00957C79" w:rsidRPr="002950EC" w:rsidRDefault="00957C79" w:rsidP="002950EC">
      <w:pPr>
        <w:numPr>
          <w:ilvl w:val="0"/>
          <w:numId w:val="1"/>
        </w:numPr>
        <w:spacing w:before="240"/>
        <w:jc w:val="both"/>
        <w:rPr>
          <w:rFonts w:ascii="Georgia" w:hAnsi="Georgia"/>
        </w:rPr>
      </w:pPr>
      <w:r w:rsidRPr="00A878E8">
        <w:rPr>
          <w:rFonts w:ascii="Georgia" w:hAnsi="Georgia"/>
        </w:rPr>
        <w:t xml:space="preserve">The Applicant explains in the application that </w:t>
      </w:r>
      <w:r w:rsidR="002950EC">
        <w:rPr>
          <w:rFonts w:ascii="Georgia" w:hAnsi="Georgia"/>
        </w:rPr>
        <w:t xml:space="preserve">the lift in one of the blocks containing flats 1 -6 stopped working.  Following and inspection by the lift maintenance company the Applicant was advised that the lift motor had failed.  Due to the age of the lift and its components the lift motor is no longer supported by the manufacturer.  </w:t>
      </w:r>
      <w:r w:rsidRPr="00A878E8">
        <w:rPr>
          <w:rFonts w:ascii="Georgia" w:hAnsi="Georgia"/>
        </w:rPr>
        <w:t xml:space="preserve">  </w:t>
      </w:r>
      <w:r w:rsidR="002950EC" w:rsidRPr="002950EC">
        <w:rPr>
          <w:rFonts w:ascii="Georgia" w:hAnsi="Georgia"/>
        </w:rPr>
        <w:t>As such, the lift maintenance company advise</w:t>
      </w:r>
      <w:r w:rsidR="002950EC">
        <w:rPr>
          <w:rFonts w:ascii="Georgia" w:hAnsi="Georgia"/>
        </w:rPr>
        <w:t>d</w:t>
      </w:r>
      <w:r w:rsidR="002950EC" w:rsidRPr="002950EC">
        <w:rPr>
          <w:rFonts w:ascii="Georgia" w:hAnsi="Georgia"/>
        </w:rPr>
        <w:t xml:space="preserve"> the only repair option was</w:t>
      </w:r>
      <w:r w:rsidR="002950EC">
        <w:rPr>
          <w:rFonts w:ascii="Georgia" w:hAnsi="Georgia"/>
        </w:rPr>
        <w:t xml:space="preserve">  </w:t>
      </w:r>
      <w:r w:rsidR="002950EC" w:rsidRPr="002950EC">
        <w:rPr>
          <w:rFonts w:ascii="Georgia" w:hAnsi="Georgia"/>
        </w:rPr>
        <w:t>to send the motor to an approved 3rd party company to rewind. The only</w:t>
      </w:r>
      <w:r w:rsidR="002950EC">
        <w:rPr>
          <w:rFonts w:ascii="Georgia" w:hAnsi="Georgia"/>
        </w:rPr>
        <w:t xml:space="preserve">  </w:t>
      </w:r>
      <w:r w:rsidR="002950EC" w:rsidRPr="002950EC">
        <w:rPr>
          <w:rFonts w:ascii="Georgia" w:hAnsi="Georgia"/>
        </w:rPr>
        <w:t xml:space="preserve">other option </w:t>
      </w:r>
      <w:r w:rsidR="002950EC">
        <w:rPr>
          <w:rFonts w:ascii="Georgia" w:hAnsi="Georgia"/>
        </w:rPr>
        <w:t>would be to</w:t>
      </w:r>
      <w:r w:rsidR="002950EC" w:rsidRPr="002950EC">
        <w:rPr>
          <w:rFonts w:ascii="Georgia" w:hAnsi="Georgia"/>
        </w:rPr>
        <w:t xml:space="preserve"> completely replace the motor, which was significantly</w:t>
      </w:r>
      <w:r w:rsidR="002950EC">
        <w:rPr>
          <w:rFonts w:ascii="Georgia" w:hAnsi="Georgia"/>
        </w:rPr>
        <w:t xml:space="preserve"> </w:t>
      </w:r>
      <w:r w:rsidR="002950EC" w:rsidRPr="002950EC">
        <w:rPr>
          <w:rFonts w:ascii="Georgia" w:hAnsi="Georgia"/>
        </w:rPr>
        <w:t xml:space="preserve">more expensive. </w:t>
      </w:r>
      <w:r w:rsidR="002950EC" w:rsidRPr="002950EC">
        <w:rPr>
          <w:rFonts w:ascii="Georgia" w:hAnsi="Georgia"/>
        </w:rPr>
        <w:lastRenderedPageBreak/>
        <w:t>The</w:t>
      </w:r>
      <w:r w:rsidR="002950EC">
        <w:rPr>
          <w:rFonts w:ascii="Georgia" w:hAnsi="Georgia"/>
        </w:rPr>
        <w:t xml:space="preserve"> Tribunal has been advised that the estimated </w:t>
      </w:r>
      <w:r w:rsidR="002950EC" w:rsidRPr="002950EC">
        <w:rPr>
          <w:rFonts w:ascii="Georgia" w:hAnsi="Georgia"/>
        </w:rPr>
        <w:t xml:space="preserve"> cost to rewind the motor is £3</w:t>
      </w:r>
      <w:r w:rsidR="002950EC">
        <w:rPr>
          <w:rFonts w:ascii="Georgia" w:hAnsi="Georgia"/>
        </w:rPr>
        <w:t>,</w:t>
      </w:r>
      <w:r w:rsidR="002950EC" w:rsidRPr="002950EC">
        <w:rPr>
          <w:rFonts w:ascii="Georgia" w:hAnsi="Georgia"/>
        </w:rPr>
        <w:t>944 inclusive of</w:t>
      </w:r>
      <w:r w:rsidR="002950EC">
        <w:rPr>
          <w:rFonts w:ascii="Georgia" w:hAnsi="Georgia"/>
        </w:rPr>
        <w:t xml:space="preserve">  </w:t>
      </w:r>
      <w:r w:rsidR="002950EC" w:rsidRPr="002950EC">
        <w:rPr>
          <w:rFonts w:ascii="Georgia" w:hAnsi="Georgia"/>
        </w:rPr>
        <w:t>VAT</w:t>
      </w:r>
      <w:r w:rsidR="002950EC">
        <w:rPr>
          <w:rFonts w:ascii="Georgia" w:hAnsi="Georgia"/>
        </w:rPr>
        <w:t xml:space="preserve">.   That amount exceeds the amount that can be recovered from the leaseholders without a prior section 20 consultation (which the Tribunal was told would be £3,000).  The </w:t>
      </w:r>
      <w:r w:rsidR="002950EC" w:rsidRPr="002950EC">
        <w:rPr>
          <w:rFonts w:ascii="Georgia" w:hAnsi="Georgia"/>
        </w:rPr>
        <w:t>motor was</w:t>
      </w:r>
      <w:r w:rsidR="002950EC">
        <w:rPr>
          <w:rFonts w:ascii="Georgia" w:hAnsi="Georgia"/>
        </w:rPr>
        <w:t xml:space="preserve"> </w:t>
      </w:r>
      <w:r w:rsidR="002950EC" w:rsidRPr="002950EC">
        <w:rPr>
          <w:rFonts w:ascii="Georgia" w:hAnsi="Georgia"/>
        </w:rPr>
        <w:t xml:space="preserve">collected on 4 March 2024 and </w:t>
      </w:r>
      <w:r w:rsidR="002950EC">
        <w:rPr>
          <w:rFonts w:ascii="Georgia" w:hAnsi="Georgia"/>
        </w:rPr>
        <w:t>was at the date of the application</w:t>
      </w:r>
      <w:r w:rsidR="002950EC" w:rsidRPr="002950EC">
        <w:rPr>
          <w:rFonts w:ascii="Georgia" w:hAnsi="Georgia"/>
        </w:rPr>
        <w:t xml:space="preserve"> with the rewind company.</w:t>
      </w:r>
      <w:r w:rsidR="002950EC">
        <w:rPr>
          <w:rFonts w:ascii="Georgia" w:hAnsi="Georgia"/>
        </w:rPr>
        <w:t xml:space="preserve">   </w:t>
      </w:r>
      <w:r w:rsidR="002950EC" w:rsidRPr="002950EC">
        <w:rPr>
          <w:rFonts w:ascii="Georgia" w:hAnsi="Georgia"/>
        </w:rPr>
        <w:t xml:space="preserve">The </w:t>
      </w:r>
      <w:r w:rsidR="002950EC">
        <w:rPr>
          <w:rFonts w:ascii="Georgia" w:hAnsi="Georgia"/>
        </w:rPr>
        <w:t xml:space="preserve">lessees were </w:t>
      </w:r>
      <w:r w:rsidR="002950EC" w:rsidRPr="002950EC">
        <w:rPr>
          <w:rFonts w:ascii="Georgia" w:hAnsi="Georgia"/>
        </w:rPr>
        <w:t xml:space="preserve">contacted </w:t>
      </w:r>
      <w:r w:rsidR="002950EC">
        <w:rPr>
          <w:rFonts w:ascii="Georgia" w:hAnsi="Georgia"/>
        </w:rPr>
        <w:t xml:space="preserve">by the Applicant </w:t>
      </w:r>
      <w:r w:rsidR="002950EC" w:rsidRPr="002950EC">
        <w:rPr>
          <w:rFonts w:ascii="Georgia" w:hAnsi="Georgia"/>
        </w:rPr>
        <w:t>when</w:t>
      </w:r>
      <w:r w:rsidR="002950EC">
        <w:rPr>
          <w:rFonts w:ascii="Georgia" w:hAnsi="Georgia"/>
        </w:rPr>
        <w:t xml:space="preserve"> the lift </w:t>
      </w:r>
      <w:r w:rsidR="002950EC" w:rsidRPr="002950EC">
        <w:rPr>
          <w:rFonts w:ascii="Georgia" w:hAnsi="Georgia"/>
        </w:rPr>
        <w:t xml:space="preserve"> went out of service. The options for repair have been discussed</w:t>
      </w:r>
      <w:r w:rsidR="002950EC">
        <w:rPr>
          <w:rFonts w:ascii="Georgia" w:hAnsi="Georgia"/>
        </w:rPr>
        <w:t xml:space="preserve">  </w:t>
      </w:r>
      <w:r w:rsidR="002950EC" w:rsidRPr="002950EC">
        <w:rPr>
          <w:rFonts w:ascii="Georgia" w:hAnsi="Georgia"/>
        </w:rPr>
        <w:t xml:space="preserve">with them and </w:t>
      </w:r>
      <w:r w:rsidR="002950EC">
        <w:rPr>
          <w:rFonts w:ascii="Georgia" w:hAnsi="Georgia"/>
        </w:rPr>
        <w:t xml:space="preserve">collectively </w:t>
      </w:r>
      <w:r w:rsidR="002950EC" w:rsidRPr="002950EC">
        <w:rPr>
          <w:rFonts w:ascii="Georgia" w:hAnsi="Georgia"/>
        </w:rPr>
        <w:t>th</w:t>
      </w:r>
      <w:r w:rsidR="002950EC">
        <w:rPr>
          <w:rFonts w:ascii="Georgia" w:hAnsi="Georgia"/>
        </w:rPr>
        <w:t xml:space="preserve">ey </w:t>
      </w:r>
      <w:r w:rsidR="002950EC" w:rsidRPr="002950EC">
        <w:rPr>
          <w:rFonts w:ascii="Georgia" w:hAnsi="Georgia"/>
        </w:rPr>
        <w:t xml:space="preserve"> opted for the cheaper option of the rewind. The</w:t>
      </w:r>
      <w:r w:rsidR="002950EC">
        <w:rPr>
          <w:rFonts w:ascii="Georgia" w:hAnsi="Georgia"/>
        </w:rPr>
        <w:t xml:space="preserve"> proposed repair </w:t>
      </w:r>
      <w:r w:rsidR="002950EC" w:rsidRPr="002950EC">
        <w:rPr>
          <w:rFonts w:ascii="Georgia" w:hAnsi="Georgia"/>
        </w:rPr>
        <w:t xml:space="preserve">matter </w:t>
      </w:r>
      <w:r w:rsidR="002950EC">
        <w:rPr>
          <w:rFonts w:ascii="Georgia" w:hAnsi="Georgia"/>
        </w:rPr>
        <w:t>was</w:t>
      </w:r>
      <w:r w:rsidR="002950EC" w:rsidRPr="002950EC">
        <w:rPr>
          <w:rFonts w:ascii="Georgia" w:hAnsi="Georgia"/>
        </w:rPr>
        <w:t xml:space="preserve"> discussed at the recent AGM</w:t>
      </w:r>
      <w:r w:rsidR="002950EC">
        <w:rPr>
          <w:rFonts w:ascii="Georgia" w:hAnsi="Georgia"/>
        </w:rPr>
        <w:t xml:space="preserve">.  </w:t>
      </w:r>
      <w:r w:rsidR="00C5696F">
        <w:rPr>
          <w:rFonts w:ascii="Georgia" w:hAnsi="Georgia"/>
        </w:rPr>
        <w:t xml:space="preserve">.  </w:t>
      </w:r>
    </w:p>
    <w:p w14:paraId="00E3D4C5" w14:textId="77777777" w:rsidR="00957C79" w:rsidRPr="00A878E8" w:rsidRDefault="00957C79" w:rsidP="00957C79">
      <w:pPr>
        <w:jc w:val="both"/>
        <w:rPr>
          <w:rFonts w:ascii="Georgia" w:hAnsi="Georgia"/>
        </w:rPr>
      </w:pPr>
    </w:p>
    <w:p w14:paraId="707850DC" w14:textId="1B185520" w:rsidR="00957C79" w:rsidRPr="00A878E8" w:rsidRDefault="00C5696F" w:rsidP="00C5696F">
      <w:pPr>
        <w:ind w:left="720"/>
        <w:jc w:val="both"/>
        <w:rPr>
          <w:rFonts w:ascii="Georgia" w:hAnsi="Georgia"/>
        </w:rPr>
      </w:pPr>
      <w:r>
        <w:rPr>
          <w:rFonts w:ascii="Georgia" w:hAnsi="Georgia"/>
        </w:rPr>
        <w:t>Dispensation is sought retrospectively from the Tribunal to enable the Applicant to recover the costs of the repairs from the lessees.  The work was urgent due to the limited mobility of a number of residents, the lift needed to be repaired and put back into service as quickly as possible.  Until the lift is working residents are unable to access their  properties. The information provided to the Tribunal is that upon acceptance of the quotation from the lift maintenance company the proposal would be that the lift is restored to working order within two weeks.  The initial cost of the repair will be funded from the retained reserve fund held on behalf of the lessees.</w:t>
      </w:r>
    </w:p>
    <w:p w14:paraId="1F048669" w14:textId="77777777" w:rsidR="00957C79" w:rsidRPr="00A878E8" w:rsidRDefault="00957C79" w:rsidP="00957C79">
      <w:pPr>
        <w:jc w:val="both"/>
        <w:rPr>
          <w:rFonts w:ascii="Georgia" w:hAnsi="Georgia"/>
        </w:rPr>
      </w:pPr>
    </w:p>
    <w:p w14:paraId="0BA51EBF" w14:textId="2EEB7C9D" w:rsidR="00957C79" w:rsidRPr="00A878E8" w:rsidRDefault="00957C79" w:rsidP="00957C79">
      <w:pPr>
        <w:numPr>
          <w:ilvl w:val="0"/>
          <w:numId w:val="1"/>
        </w:numPr>
        <w:ind w:hanging="720"/>
        <w:jc w:val="both"/>
        <w:rPr>
          <w:rFonts w:ascii="Georgia" w:hAnsi="Georgia"/>
          <w:bCs/>
        </w:rPr>
      </w:pPr>
      <w:r w:rsidRPr="00A878E8">
        <w:rPr>
          <w:rFonts w:ascii="Georgia" w:hAnsi="Georgia"/>
          <w:bCs/>
        </w:rPr>
        <w:t xml:space="preserve">The Tribunal gave </w:t>
      </w:r>
      <w:r w:rsidRPr="00F01225">
        <w:rPr>
          <w:rFonts w:ascii="Georgia" w:hAnsi="Georgia"/>
          <w:bCs/>
        </w:rPr>
        <w:t>Directions on 2</w:t>
      </w:r>
      <w:r w:rsidR="00C5696F" w:rsidRPr="00F01225">
        <w:rPr>
          <w:rFonts w:ascii="Georgia" w:hAnsi="Georgia"/>
          <w:bCs/>
        </w:rPr>
        <w:t>4</w:t>
      </w:r>
      <w:r w:rsidRPr="00F01225">
        <w:rPr>
          <w:rFonts w:ascii="Georgia" w:hAnsi="Georgia"/>
          <w:bCs/>
        </w:rPr>
        <w:t xml:space="preserve"> October 2024 listing the steps to be taken by the parties in preparation for the determination</w:t>
      </w:r>
      <w:r w:rsidRPr="00A878E8">
        <w:rPr>
          <w:rFonts w:ascii="Georgia" w:hAnsi="Georgia"/>
          <w:bCs/>
        </w:rPr>
        <w:t xml:space="preserve"> of the dispute, if any.</w:t>
      </w:r>
    </w:p>
    <w:p w14:paraId="58994C7E" w14:textId="77777777" w:rsidR="00957C79" w:rsidRPr="00A878E8" w:rsidRDefault="00957C79" w:rsidP="00957C79">
      <w:pPr>
        <w:pStyle w:val="ListParagraph"/>
        <w:jc w:val="both"/>
        <w:rPr>
          <w:rFonts w:ascii="Georgia" w:hAnsi="Georgia"/>
          <w:bCs/>
        </w:rPr>
      </w:pPr>
    </w:p>
    <w:p w14:paraId="0C186614"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The Directions stated that Tribunal would determine the application on the papers received unless a party objected in writing to the Tribunal within 7 days of the date of receipt of the Directions. No party has objected to the application being determined on the papers.</w:t>
      </w:r>
    </w:p>
    <w:p w14:paraId="1F10BAC0" w14:textId="77777777" w:rsidR="00957C79" w:rsidRPr="00A878E8" w:rsidRDefault="00957C79" w:rsidP="00957C79">
      <w:pPr>
        <w:pStyle w:val="ListParagraph"/>
        <w:rPr>
          <w:rFonts w:ascii="Georgia" w:hAnsi="Georgia"/>
          <w:bCs/>
        </w:rPr>
      </w:pPr>
    </w:p>
    <w:p w14:paraId="5FD9150A" w14:textId="77777777" w:rsidR="00957C79" w:rsidRPr="00A878E8" w:rsidRDefault="00957C79" w:rsidP="00957C79">
      <w:pPr>
        <w:pStyle w:val="ListParagraph"/>
        <w:numPr>
          <w:ilvl w:val="0"/>
          <w:numId w:val="1"/>
        </w:numPr>
        <w:ind w:hanging="720"/>
        <w:contextualSpacing w:val="0"/>
        <w:jc w:val="both"/>
        <w:rPr>
          <w:rFonts w:ascii="Georgia" w:hAnsi="Georgia"/>
          <w:b/>
          <w:bCs/>
        </w:rPr>
      </w:pPr>
      <w:r w:rsidRPr="00A878E8">
        <w:rPr>
          <w:rFonts w:ascii="Georgia" w:hAnsi="Georgia"/>
          <w:b/>
          <w:bCs/>
        </w:rPr>
        <w:t>The only issue for the Tribunal is whether or not it is reasonable to dispense with the statutory consultation requirements. This application is not about the proposed costs of the works, and whether they are recoverable from the leaseholders as service charges or the possible application or effect of the Building Safety Act 2022. The leaseholders have the right to make a separate application to the Tribunal under section 27A of the Landlord and Tenant Act 1985 to determine the reasonableness of the costs, and the contribution payable through the service charges.</w:t>
      </w:r>
    </w:p>
    <w:p w14:paraId="260910CD" w14:textId="77777777" w:rsidR="00957C79" w:rsidRPr="00A878E8" w:rsidRDefault="00957C79" w:rsidP="00957C79">
      <w:pPr>
        <w:pStyle w:val="ListParagraph"/>
        <w:rPr>
          <w:rFonts w:ascii="Georgia" w:hAnsi="Georgia"/>
          <w:bCs/>
        </w:rPr>
      </w:pPr>
    </w:p>
    <w:p w14:paraId="44D65F17" w14:textId="77777777" w:rsidR="00957C79" w:rsidRPr="00A878E8" w:rsidRDefault="00957C79" w:rsidP="00957C79">
      <w:pPr>
        <w:jc w:val="both"/>
        <w:rPr>
          <w:rFonts w:ascii="Georgia" w:hAnsi="Georgia"/>
          <w:b/>
        </w:rPr>
      </w:pPr>
    </w:p>
    <w:p w14:paraId="6F0ACE4B" w14:textId="77777777" w:rsidR="00957C79" w:rsidRPr="00A878E8" w:rsidRDefault="00957C79" w:rsidP="00957C79">
      <w:pPr>
        <w:jc w:val="both"/>
        <w:rPr>
          <w:rFonts w:ascii="Georgia" w:hAnsi="Georgia"/>
          <w:b/>
        </w:rPr>
      </w:pPr>
      <w:r w:rsidRPr="00A878E8">
        <w:rPr>
          <w:rFonts w:ascii="Georgia" w:hAnsi="Georgia"/>
          <w:b/>
        </w:rPr>
        <w:t>The Law</w:t>
      </w:r>
    </w:p>
    <w:p w14:paraId="0C990464" w14:textId="77777777" w:rsidR="00957C79" w:rsidRPr="00A878E8" w:rsidRDefault="00957C79" w:rsidP="00957C79">
      <w:pPr>
        <w:jc w:val="both"/>
        <w:rPr>
          <w:rFonts w:ascii="Georgia" w:hAnsi="Georgia"/>
          <w:b/>
        </w:rPr>
      </w:pPr>
    </w:p>
    <w:p w14:paraId="654A2E97"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Section 20 of the Landlord and Tenant Act 1985 (“the Act”) and the related Regulations provide that where the lessor undertakes qualifying works with a cost of more than £250 per lease,</w:t>
      </w:r>
      <w:r w:rsidRPr="00A878E8">
        <w:rPr>
          <w:rFonts w:ascii="Georgia" w:hAnsi="Georgia"/>
          <w:bCs/>
          <w:color w:val="FF0000"/>
        </w:rPr>
        <w:t xml:space="preserve"> </w:t>
      </w:r>
      <w:r w:rsidRPr="00A878E8">
        <w:rPr>
          <w:rFonts w:ascii="Georgia" w:hAnsi="Georgia"/>
          <w:bCs/>
        </w:rPr>
        <w:t xml:space="preserve">the relevant contribution of each lessee (jointly where more than one under any given lease) will be limited to that sum unless the required consultations have been </w:t>
      </w:r>
      <w:r w:rsidRPr="00A878E8">
        <w:rPr>
          <w:rFonts w:ascii="Georgia" w:hAnsi="Georgia"/>
          <w:bCs/>
        </w:rPr>
        <w:lastRenderedPageBreak/>
        <w:t>undertaken or the requirement has been dispensed with by the Tribunal. An application may be made retrospectively.</w:t>
      </w:r>
    </w:p>
    <w:p w14:paraId="69EA54E2" w14:textId="77777777" w:rsidR="00957C79" w:rsidRPr="00A878E8" w:rsidRDefault="00957C79" w:rsidP="00957C79">
      <w:pPr>
        <w:ind w:left="720"/>
        <w:jc w:val="both"/>
        <w:rPr>
          <w:rFonts w:ascii="Georgia" w:hAnsi="Georgia"/>
          <w:bCs/>
        </w:rPr>
      </w:pPr>
    </w:p>
    <w:p w14:paraId="5DC74FDF" w14:textId="77777777" w:rsidR="00957C79" w:rsidRPr="00A878E8" w:rsidRDefault="00957C79" w:rsidP="00957C79">
      <w:pPr>
        <w:numPr>
          <w:ilvl w:val="0"/>
          <w:numId w:val="1"/>
        </w:numPr>
        <w:ind w:hanging="720"/>
        <w:jc w:val="both"/>
        <w:rPr>
          <w:rFonts w:ascii="Georgia" w:hAnsi="Georgia"/>
        </w:rPr>
      </w:pPr>
      <w:r w:rsidRPr="00A878E8">
        <w:rPr>
          <w:rFonts w:ascii="Georgia" w:hAnsi="Georgia"/>
        </w:rPr>
        <w:t>The relevant section of the Act reads as follows:</w:t>
      </w:r>
    </w:p>
    <w:p w14:paraId="424FFBD2" w14:textId="77777777" w:rsidR="00957C79" w:rsidRPr="00A878E8" w:rsidRDefault="00957C79" w:rsidP="00957C79">
      <w:pPr>
        <w:ind w:left="1134" w:hanging="1134"/>
        <w:jc w:val="both"/>
        <w:rPr>
          <w:rFonts w:ascii="Georgia" w:hAnsi="Georgia"/>
        </w:rPr>
      </w:pPr>
    </w:p>
    <w:p w14:paraId="117C9104" w14:textId="77777777" w:rsidR="00957C79" w:rsidRPr="00A878E8" w:rsidRDefault="00957C79" w:rsidP="003500FA">
      <w:pPr>
        <w:ind w:left="2226" w:hanging="1517"/>
        <w:jc w:val="both"/>
        <w:rPr>
          <w:rFonts w:ascii="Georgia" w:hAnsi="Georgia"/>
        </w:rPr>
      </w:pPr>
      <w:r w:rsidRPr="00A878E8">
        <w:rPr>
          <w:rFonts w:ascii="Georgia" w:hAnsi="Georgia"/>
        </w:rPr>
        <w:t>S.20 ZA Consultation requirements:</w:t>
      </w:r>
    </w:p>
    <w:p w14:paraId="72D4053E" w14:textId="1440A434" w:rsidR="00957C79" w:rsidRPr="00A878E8" w:rsidRDefault="00957C79" w:rsidP="003500FA">
      <w:pPr>
        <w:pStyle w:val="ListParagraph"/>
        <w:ind w:left="709"/>
        <w:jc w:val="both"/>
        <w:rPr>
          <w:rFonts w:ascii="Georgia" w:hAnsi="Georgia"/>
        </w:rPr>
      </w:pPr>
      <w:r w:rsidRPr="00A878E8">
        <w:rPr>
          <w:rFonts w:ascii="Georgia" w:hAnsi="Georgia"/>
        </w:rPr>
        <w:t>Where an application is made to a Leasehold Valuation Tribunal for a determination to dispense with all or any of the consultation requirements in relation to any qualifying works or qualifying long-term agreement, the Tribunal may make the determination if satisfied that it is reasonable to dispense with the requirements.</w:t>
      </w:r>
    </w:p>
    <w:p w14:paraId="4AD9FD9B" w14:textId="77777777" w:rsidR="00957C79" w:rsidRPr="00A878E8" w:rsidRDefault="00957C79" w:rsidP="00957C79">
      <w:pPr>
        <w:pStyle w:val="ListParagraph"/>
        <w:ind w:left="1440"/>
        <w:jc w:val="both"/>
        <w:rPr>
          <w:rFonts w:ascii="Georgia" w:hAnsi="Georgia"/>
        </w:rPr>
      </w:pPr>
    </w:p>
    <w:p w14:paraId="27E2F44F"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 xml:space="preserve">The appropriate approach to be taken by the Tribunal in the exercise of its discretion was considered by the Supreme Court in the case of </w:t>
      </w:r>
      <w:r w:rsidRPr="00A878E8">
        <w:rPr>
          <w:rFonts w:ascii="Georgia" w:hAnsi="Georgia"/>
          <w:b/>
          <w:u w:val="single"/>
        </w:rPr>
        <w:t>Daejan Investment Limited v Benson et al [2013] UKSC 14</w:t>
      </w:r>
      <w:r w:rsidRPr="00A878E8">
        <w:rPr>
          <w:rFonts w:ascii="Georgia" w:hAnsi="Georgia"/>
          <w:bCs/>
        </w:rPr>
        <w:t xml:space="preserve">. </w:t>
      </w:r>
    </w:p>
    <w:p w14:paraId="48C33BBD" w14:textId="77777777" w:rsidR="00957C79" w:rsidRPr="00A878E8" w:rsidRDefault="00957C79" w:rsidP="00957C79">
      <w:pPr>
        <w:pStyle w:val="ListParagraph"/>
        <w:rPr>
          <w:rFonts w:ascii="Georgia" w:hAnsi="Georgia"/>
          <w:bCs/>
        </w:rPr>
      </w:pPr>
    </w:p>
    <w:p w14:paraId="04D78E9E"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The leading judgment of Lord Neuberger explained that a Tribunal should focus on the question of whether the lessee will be or had been prejudiced in either paying where that was not appropriate or in paying more than appropriate because the failure of the lessor to comply with the regulations. The requirements were held to give practical effect to those two objectives and were a means to an end, not an end in themselves.</w:t>
      </w:r>
    </w:p>
    <w:p w14:paraId="5C86E56A" w14:textId="77777777" w:rsidR="00957C79" w:rsidRPr="00A878E8" w:rsidRDefault="00957C79" w:rsidP="00957C79">
      <w:pPr>
        <w:pStyle w:val="ListParagraph"/>
        <w:rPr>
          <w:rFonts w:ascii="Georgia" w:hAnsi="Georgia"/>
          <w:bCs/>
        </w:rPr>
      </w:pPr>
    </w:p>
    <w:p w14:paraId="3E1BFF2E" w14:textId="54F8E9F1" w:rsidR="00957C79" w:rsidRPr="00A878E8" w:rsidRDefault="00957C79" w:rsidP="00957C79">
      <w:pPr>
        <w:numPr>
          <w:ilvl w:val="0"/>
          <w:numId w:val="1"/>
        </w:numPr>
        <w:ind w:hanging="720"/>
        <w:jc w:val="both"/>
        <w:rPr>
          <w:rFonts w:ascii="Georgia" w:hAnsi="Georgia"/>
          <w:bCs/>
        </w:rPr>
      </w:pPr>
      <w:r w:rsidRPr="00A878E8">
        <w:rPr>
          <w:rFonts w:ascii="Georgia" w:hAnsi="Georgia"/>
          <w:bCs/>
        </w:rPr>
        <w:t>The factual burden of demonstrating prejudice falls on the</w:t>
      </w:r>
      <w:r w:rsidRPr="00A878E8">
        <w:rPr>
          <w:rFonts w:ascii="Georgia" w:hAnsi="Georgia"/>
          <w:b/>
        </w:rPr>
        <w:t xml:space="preserve"> lessee</w:t>
      </w:r>
      <w:r w:rsidRPr="00A878E8">
        <w:rPr>
          <w:rFonts w:ascii="Georgia" w:hAnsi="Georgia"/>
          <w:bCs/>
        </w:rPr>
        <w:t>. The lessee</w:t>
      </w:r>
      <w:r w:rsidR="006B29AA">
        <w:rPr>
          <w:rFonts w:ascii="Georgia" w:hAnsi="Georgia"/>
          <w:bCs/>
        </w:rPr>
        <w:t>s</w:t>
      </w:r>
      <w:r w:rsidRPr="00A878E8">
        <w:rPr>
          <w:rFonts w:ascii="Georgia" w:hAnsi="Georgia"/>
          <w:bCs/>
        </w:rPr>
        <w:t xml:space="preserve"> must identify what would have been said if able to engage in a consultation process. If the lessee advances a credible case for having been prejudiced, the lessor must rebut it. The Tribunal should be sympathetic to the </w:t>
      </w:r>
      <w:r w:rsidR="00C5696F">
        <w:rPr>
          <w:rFonts w:ascii="Georgia" w:hAnsi="Georgia"/>
          <w:bCs/>
        </w:rPr>
        <w:t xml:space="preserve"> lessees.</w:t>
      </w:r>
    </w:p>
    <w:p w14:paraId="53196239" w14:textId="77777777" w:rsidR="00957C79" w:rsidRPr="00A878E8" w:rsidRDefault="00957C79" w:rsidP="00957C79">
      <w:pPr>
        <w:pStyle w:val="ListParagraph"/>
        <w:rPr>
          <w:rFonts w:ascii="Georgia" w:hAnsi="Georgia"/>
          <w:bCs/>
        </w:rPr>
      </w:pPr>
    </w:p>
    <w:p w14:paraId="0FDA0EBC"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Where the extent, quality and cost of the works were in no way affected by the lessor’s failure to comply, Lord Neuberger said as follows:</w:t>
      </w:r>
    </w:p>
    <w:p w14:paraId="3B73F699" w14:textId="77777777" w:rsidR="00957C79" w:rsidRPr="00A878E8" w:rsidRDefault="00957C79" w:rsidP="00957C79">
      <w:pPr>
        <w:jc w:val="both"/>
        <w:rPr>
          <w:rFonts w:ascii="Georgia" w:hAnsi="Georgia"/>
          <w:bCs/>
        </w:rPr>
      </w:pPr>
    </w:p>
    <w:p w14:paraId="6AC81D2D" w14:textId="77777777" w:rsidR="00957C79" w:rsidRPr="00A878E8" w:rsidRDefault="00957C79" w:rsidP="003500FA">
      <w:pPr>
        <w:ind w:left="709"/>
        <w:jc w:val="both"/>
        <w:rPr>
          <w:rFonts w:ascii="Georgia" w:hAnsi="Georgia"/>
          <w:bCs/>
        </w:rPr>
      </w:pPr>
      <w:r w:rsidRPr="00A878E8">
        <w:rPr>
          <w:rFonts w:ascii="Georgia" w:hAnsi="Georgia"/>
          <w:bCs/>
        </w:rPr>
        <w:t>I find it hard to see why the dispensation should not be granted (at least in the absence of some very good reason): in such a case the tenants would be in precisely the position that the legislation intended them to be- i.e. as if the requirements had been complied with.</w:t>
      </w:r>
    </w:p>
    <w:p w14:paraId="1A144022" w14:textId="77777777" w:rsidR="00957C79" w:rsidRPr="00A878E8" w:rsidRDefault="00957C79" w:rsidP="00957C79">
      <w:pPr>
        <w:jc w:val="both"/>
        <w:rPr>
          <w:rFonts w:ascii="Georgia" w:hAnsi="Georgia"/>
          <w:bCs/>
        </w:rPr>
      </w:pPr>
    </w:p>
    <w:p w14:paraId="15ED2AB3"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The main, indeed normally, the sole question, as described by Lord Neuberger, for the Tribunal to determine is therefore whether, or not, the lessee will be or has been caused relevant prejudice by a failure of the Applicant to undertake the consultation prior to the major works and so whether dispensation in respect of that should be granted.</w:t>
      </w:r>
    </w:p>
    <w:p w14:paraId="468BE068" w14:textId="77777777" w:rsidR="00957C79" w:rsidRPr="00A878E8" w:rsidRDefault="00957C79" w:rsidP="00957C79">
      <w:pPr>
        <w:ind w:left="720"/>
        <w:jc w:val="both"/>
        <w:rPr>
          <w:rFonts w:ascii="Georgia" w:hAnsi="Georgia"/>
          <w:bCs/>
        </w:rPr>
      </w:pPr>
    </w:p>
    <w:p w14:paraId="7F2CC547"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The question is one of the reasonableness of dispensing with the process of consultation provided for in the Act, not one of the reasonableness of the charges of works arising or which have arisen.</w:t>
      </w:r>
    </w:p>
    <w:p w14:paraId="73992A47" w14:textId="77777777" w:rsidR="00957C79" w:rsidRPr="00A878E8" w:rsidRDefault="00957C79" w:rsidP="00957C79">
      <w:pPr>
        <w:pStyle w:val="ListParagraph"/>
        <w:rPr>
          <w:rFonts w:ascii="Georgia" w:hAnsi="Georgia"/>
          <w:bCs/>
        </w:rPr>
      </w:pPr>
    </w:p>
    <w:p w14:paraId="55F7DECD"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If dispensation is granted, that may be on terms.</w:t>
      </w:r>
    </w:p>
    <w:p w14:paraId="212B45CD" w14:textId="77777777" w:rsidR="00957C79" w:rsidRPr="00A878E8" w:rsidRDefault="00957C79" w:rsidP="00957C79">
      <w:pPr>
        <w:pStyle w:val="ListParagraph"/>
        <w:rPr>
          <w:rFonts w:ascii="Georgia" w:hAnsi="Georgia"/>
          <w:bCs/>
        </w:rPr>
      </w:pPr>
    </w:p>
    <w:p w14:paraId="14218F75"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lastRenderedPageBreak/>
        <w:t>There have been subsequent Decisions of the higher Courts and Tribunals of assistance in the application of the Decision in</w:t>
      </w:r>
      <w:r w:rsidRPr="00A878E8">
        <w:rPr>
          <w:rFonts w:ascii="Georgia" w:hAnsi="Georgia"/>
          <w:b/>
        </w:rPr>
        <w:t xml:space="preserve"> Daejan</w:t>
      </w:r>
      <w:r w:rsidRPr="00A878E8">
        <w:rPr>
          <w:rFonts w:ascii="Georgia" w:hAnsi="Georgia"/>
          <w:bCs/>
        </w:rPr>
        <w:t xml:space="preserve"> but none are relied upon or therefore require specific mention in this Decision.</w:t>
      </w:r>
    </w:p>
    <w:p w14:paraId="66894801" w14:textId="77777777" w:rsidR="00957C79" w:rsidRPr="00A878E8" w:rsidRDefault="00957C79" w:rsidP="00957C79">
      <w:pPr>
        <w:jc w:val="both"/>
        <w:rPr>
          <w:rFonts w:ascii="Georgia" w:hAnsi="Georgia"/>
          <w:bCs/>
        </w:rPr>
      </w:pPr>
    </w:p>
    <w:p w14:paraId="3B9C39A9" w14:textId="77777777" w:rsidR="00957C79" w:rsidRPr="00A878E8" w:rsidRDefault="00957C79" w:rsidP="00957C79">
      <w:pPr>
        <w:jc w:val="both"/>
        <w:rPr>
          <w:rFonts w:ascii="Georgia" w:hAnsi="Georgia"/>
          <w:b/>
        </w:rPr>
      </w:pPr>
      <w:r w:rsidRPr="00A878E8">
        <w:rPr>
          <w:rFonts w:ascii="Georgia" w:hAnsi="Georgia"/>
          <w:b/>
        </w:rPr>
        <w:t>Consideration</w:t>
      </w:r>
    </w:p>
    <w:p w14:paraId="735CE66D" w14:textId="77777777" w:rsidR="00957C79" w:rsidRPr="00A878E8" w:rsidRDefault="00957C79" w:rsidP="00957C79">
      <w:pPr>
        <w:jc w:val="both"/>
        <w:rPr>
          <w:rFonts w:ascii="Georgia" w:hAnsi="Georgia"/>
          <w:b/>
          <w:u w:val="single"/>
        </w:rPr>
      </w:pPr>
    </w:p>
    <w:p w14:paraId="4E00E23A"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 xml:space="preserve">The Directions attached a reply form for the Respondents to complete to confirm whether they agreed with the application or not and if opposed, to provide a statement setting out why they oppose. </w:t>
      </w:r>
    </w:p>
    <w:p w14:paraId="12F3A403" w14:textId="77777777" w:rsidR="00957C79" w:rsidRPr="00A878E8" w:rsidRDefault="00957C79" w:rsidP="00957C79">
      <w:pPr>
        <w:pStyle w:val="ListParagraph"/>
        <w:rPr>
          <w:rFonts w:ascii="Georgia" w:hAnsi="Georgia"/>
          <w:bCs/>
        </w:rPr>
      </w:pPr>
    </w:p>
    <w:p w14:paraId="27E7D1DF" w14:textId="7E25A574" w:rsidR="00957C79" w:rsidRPr="00A878E8" w:rsidRDefault="00957C79" w:rsidP="00957C79">
      <w:pPr>
        <w:numPr>
          <w:ilvl w:val="0"/>
          <w:numId w:val="1"/>
        </w:numPr>
        <w:ind w:hanging="720"/>
        <w:jc w:val="both"/>
        <w:rPr>
          <w:rFonts w:ascii="Georgia" w:hAnsi="Georgia"/>
          <w:bCs/>
        </w:rPr>
      </w:pPr>
      <w:r w:rsidRPr="00A878E8">
        <w:rPr>
          <w:rFonts w:ascii="Georgia" w:hAnsi="Georgia"/>
          <w:bCs/>
        </w:rPr>
        <w:t xml:space="preserve">The </w:t>
      </w:r>
      <w:r w:rsidR="00C5696F">
        <w:rPr>
          <w:rFonts w:ascii="Georgia" w:hAnsi="Georgia"/>
          <w:bCs/>
        </w:rPr>
        <w:t>lessee of Flat 12 (Neil Saunders)</w:t>
      </w:r>
      <w:r w:rsidRPr="00A878E8">
        <w:rPr>
          <w:rFonts w:ascii="Georgia" w:hAnsi="Georgia"/>
          <w:bCs/>
        </w:rPr>
        <w:t xml:space="preserve"> has returned the reply form confirming h</w:t>
      </w:r>
      <w:r w:rsidR="00C5696F">
        <w:rPr>
          <w:rFonts w:ascii="Georgia" w:hAnsi="Georgia"/>
          <w:bCs/>
        </w:rPr>
        <w:t>is</w:t>
      </w:r>
      <w:r w:rsidRPr="00A878E8">
        <w:rPr>
          <w:rFonts w:ascii="Georgia" w:hAnsi="Georgia"/>
          <w:bCs/>
        </w:rPr>
        <w:t xml:space="preserve"> agreement with the application.</w:t>
      </w:r>
      <w:r w:rsidR="00C5696F">
        <w:rPr>
          <w:rFonts w:ascii="Georgia" w:hAnsi="Georgia"/>
          <w:bCs/>
        </w:rPr>
        <w:t xml:space="preserve">  The attorney for the lessee of Flat 5 has also returned the reply form confirming agreement with the application</w:t>
      </w:r>
      <w:r w:rsidR="006B29AA">
        <w:rPr>
          <w:rFonts w:ascii="Georgia" w:hAnsi="Georgia"/>
          <w:bCs/>
        </w:rPr>
        <w:t xml:space="preserve"> (together with a copy of the power of attorney authorising him to consent on behalf of that lessee).</w:t>
      </w:r>
      <w:r w:rsidR="00C5696F">
        <w:rPr>
          <w:rFonts w:ascii="Georgia" w:hAnsi="Georgia"/>
          <w:bCs/>
        </w:rPr>
        <w:t xml:space="preserve"> </w:t>
      </w:r>
      <w:r w:rsidRPr="00A878E8">
        <w:rPr>
          <w:rFonts w:ascii="Georgia" w:hAnsi="Georgia"/>
          <w:bCs/>
        </w:rPr>
        <w:t xml:space="preserve"> The Tribunal has not received any other </w:t>
      </w:r>
      <w:r w:rsidR="006B29AA">
        <w:rPr>
          <w:rFonts w:ascii="Georgia" w:hAnsi="Georgia"/>
          <w:bCs/>
        </w:rPr>
        <w:t>r</w:t>
      </w:r>
      <w:r w:rsidRPr="00A878E8">
        <w:rPr>
          <w:rFonts w:ascii="Georgia" w:hAnsi="Georgia"/>
          <w:bCs/>
        </w:rPr>
        <w:t xml:space="preserve">eplies from the </w:t>
      </w:r>
      <w:r w:rsidR="006B29AA">
        <w:rPr>
          <w:rFonts w:ascii="Georgia" w:hAnsi="Georgia"/>
          <w:bCs/>
        </w:rPr>
        <w:t xml:space="preserve"> lessees of the </w:t>
      </w:r>
      <w:r w:rsidRPr="00A878E8">
        <w:rPr>
          <w:rFonts w:ascii="Georgia" w:hAnsi="Georgia"/>
          <w:bCs/>
        </w:rPr>
        <w:t xml:space="preserve">remaining </w:t>
      </w:r>
      <w:r w:rsidR="006B29AA">
        <w:rPr>
          <w:rFonts w:ascii="Georgia" w:hAnsi="Georgia"/>
          <w:bCs/>
        </w:rPr>
        <w:t xml:space="preserve">ten </w:t>
      </w:r>
      <w:r w:rsidRPr="00A878E8">
        <w:rPr>
          <w:rFonts w:ascii="Georgia" w:hAnsi="Georgia"/>
          <w:bCs/>
        </w:rPr>
        <w:t xml:space="preserve">flats. </w:t>
      </w:r>
    </w:p>
    <w:p w14:paraId="036B1622" w14:textId="77777777" w:rsidR="00957C79" w:rsidRPr="00A878E8" w:rsidRDefault="00957C79" w:rsidP="00957C79">
      <w:pPr>
        <w:pStyle w:val="ListParagraph"/>
        <w:rPr>
          <w:rFonts w:ascii="Georgia" w:hAnsi="Georgia"/>
          <w:bCs/>
        </w:rPr>
      </w:pPr>
    </w:p>
    <w:p w14:paraId="309999D6"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 xml:space="preserve">Having considered the application and prior to undertaking this determination, I am satisfied that a determination on the papers remains appropriate, given that the application remains unchallenged. </w:t>
      </w:r>
    </w:p>
    <w:p w14:paraId="0FAF7126" w14:textId="77777777" w:rsidR="00957C79" w:rsidRPr="00A878E8" w:rsidRDefault="00957C79" w:rsidP="00957C79">
      <w:pPr>
        <w:jc w:val="both"/>
        <w:rPr>
          <w:rFonts w:ascii="Georgia" w:hAnsi="Georgia"/>
          <w:bCs/>
        </w:rPr>
      </w:pPr>
    </w:p>
    <w:p w14:paraId="58948071" w14:textId="724B5C41" w:rsidR="00957C79" w:rsidRPr="00A878E8" w:rsidRDefault="00957C79" w:rsidP="00957C79">
      <w:pPr>
        <w:numPr>
          <w:ilvl w:val="0"/>
          <w:numId w:val="1"/>
        </w:numPr>
        <w:ind w:hanging="720"/>
        <w:jc w:val="both"/>
        <w:rPr>
          <w:rFonts w:ascii="Georgia" w:hAnsi="Georgia"/>
          <w:bCs/>
        </w:rPr>
      </w:pPr>
      <w:r w:rsidRPr="00A878E8">
        <w:rPr>
          <w:rFonts w:ascii="Georgia" w:hAnsi="Georgia"/>
          <w:bCs/>
        </w:rPr>
        <w:t xml:space="preserve">The reason why dispensation from consultation requirements is said to be required is to </w:t>
      </w:r>
      <w:r w:rsidR="00C5696F">
        <w:rPr>
          <w:rFonts w:ascii="Georgia" w:hAnsi="Georgia"/>
          <w:bCs/>
        </w:rPr>
        <w:t>facilitate the Applicant ensuring that the repair to the lift was carried out as quickly as possible given the vulnerability dependence of some of the lessees who need the lift in order to gain access their flats.  I am sat</w:t>
      </w:r>
      <w:r w:rsidRPr="00A878E8">
        <w:rPr>
          <w:rFonts w:ascii="Georgia" w:hAnsi="Georgia"/>
          <w:bCs/>
        </w:rPr>
        <w:t>isfied that the qualifying works are of an urgent nature</w:t>
      </w:r>
      <w:r w:rsidR="00C5696F">
        <w:rPr>
          <w:rFonts w:ascii="Georgia" w:hAnsi="Georgia"/>
          <w:bCs/>
        </w:rPr>
        <w:t xml:space="preserve"> and that it reasonable for the Tribunal to dispense with the consultation requirements.  </w:t>
      </w:r>
    </w:p>
    <w:p w14:paraId="54104D62" w14:textId="77777777" w:rsidR="00957C79" w:rsidRPr="00A878E8" w:rsidRDefault="00957C79" w:rsidP="00957C79">
      <w:pPr>
        <w:ind w:left="720"/>
        <w:jc w:val="both"/>
        <w:rPr>
          <w:rFonts w:ascii="Georgia" w:hAnsi="Georgia"/>
          <w:bCs/>
        </w:rPr>
      </w:pPr>
    </w:p>
    <w:p w14:paraId="10759CBE" w14:textId="08046DEE" w:rsidR="00957C79" w:rsidRPr="00A878E8" w:rsidRDefault="006B29AA" w:rsidP="00957C79">
      <w:pPr>
        <w:numPr>
          <w:ilvl w:val="0"/>
          <w:numId w:val="1"/>
        </w:numPr>
        <w:ind w:hanging="720"/>
        <w:jc w:val="both"/>
        <w:rPr>
          <w:rFonts w:ascii="Georgia" w:hAnsi="Georgia"/>
          <w:bCs/>
        </w:rPr>
      </w:pPr>
      <w:r>
        <w:rPr>
          <w:rFonts w:ascii="Georgia" w:hAnsi="Georgia"/>
          <w:bCs/>
        </w:rPr>
        <w:t>No</w:t>
      </w:r>
      <w:r w:rsidR="00957C79" w:rsidRPr="00A878E8">
        <w:rPr>
          <w:rFonts w:ascii="Georgia" w:hAnsi="Georgia"/>
          <w:bCs/>
        </w:rPr>
        <w:t xml:space="preserve"> objection to the dispensation of the consultation requirements</w:t>
      </w:r>
      <w:r>
        <w:rPr>
          <w:rFonts w:ascii="Georgia" w:hAnsi="Georgia"/>
          <w:bCs/>
        </w:rPr>
        <w:t xml:space="preserve"> has been received by the Tribunal</w:t>
      </w:r>
      <w:r w:rsidR="00957C79" w:rsidRPr="00A878E8">
        <w:rPr>
          <w:rFonts w:ascii="Georgia" w:hAnsi="Georgia"/>
          <w:bCs/>
        </w:rPr>
        <w:t xml:space="preserve"> from any of the Lessees.</w:t>
      </w:r>
    </w:p>
    <w:p w14:paraId="0B0AED55" w14:textId="77777777" w:rsidR="00957C79" w:rsidRPr="00A878E8" w:rsidRDefault="00957C79" w:rsidP="00957C79">
      <w:pPr>
        <w:jc w:val="both"/>
        <w:rPr>
          <w:rFonts w:ascii="Georgia" w:hAnsi="Georgia"/>
          <w:bCs/>
        </w:rPr>
      </w:pPr>
    </w:p>
    <w:p w14:paraId="3D3F9438"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None of the Lessees have therefore asserted that any prejudice has been caused to them. The Tribunal finds that nothing different would be done or achieved in the event of a full consultation with the Lessees, except for the potential delay and potential problems.</w:t>
      </w:r>
    </w:p>
    <w:p w14:paraId="4B2606FA" w14:textId="77777777" w:rsidR="00957C79" w:rsidRPr="00A878E8" w:rsidRDefault="00957C79" w:rsidP="00957C79">
      <w:pPr>
        <w:pStyle w:val="ListParagraph"/>
        <w:rPr>
          <w:rFonts w:ascii="Georgia" w:hAnsi="Georgia"/>
          <w:bCs/>
        </w:rPr>
      </w:pPr>
    </w:p>
    <w:p w14:paraId="0CE68E79" w14:textId="77777777" w:rsidR="00957C79" w:rsidRPr="00A878E8" w:rsidRDefault="00957C79" w:rsidP="00957C79">
      <w:pPr>
        <w:numPr>
          <w:ilvl w:val="0"/>
          <w:numId w:val="1"/>
        </w:numPr>
        <w:ind w:hanging="720"/>
        <w:jc w:val="both"/>
        <w:rPr>
          <w:rFonts w:ascii="Georgia" w:hAnsi="Georgia"/>
          <w:bCs/>
        </w:rPr>
      </w:pPr>
      <w:r w:rsidRPr="00A878E8">
        <w:rPr>
          <w:rFonts w:ascii="Georgia" w:hAnsi="Georgia"/>
          <w:bCs/>
        </w:rPr>
        <w:t xml:space="preserve">The Tribunal finds that the Respondents have not suffered any prejudice by the failure of the Applicant to follow the full consultation process. </w:t>
      </w:r>
    </w:p>
    <w:p w14:paraId="03F46FC8" w14:textId="77777777" w:rsidR="00957C79" w:rsidRPr="00A878E8" w:rsidRDefault="00957C79" w:rsidP="00957C79">
      <w:pPr>
        <w:pStyle w:val="ListParagraph"/>
        <w:rPr>
          <w:rFonts w:ascii="Georgia" w:hAnsi="Georgia"/>
          <w:bCs/>
        </w:rPr>
      </w:pPr>
    </w:p>
    <w:p w14:paraId="53710B7F" w14:textId="295FECFC" w:rsidR="00957C79" w:rsidRPr="00A878E8" w:rsidRDefault="00957C79" w:rsidP="00957C79">
      <w:pPr>
        <w:numPr>
          <w:ilvl w:val="0"/>
          <w:numId w:val="1"/>
        </w:numPr>
        <w:ind w:hanging="720"/>
        <w:jc w:val="both"/>
        <w:rPr>
          <w:rFonts w:ascii="Georgia" w:hAnsi="Georgia"/>
          <w:bCs/>
        </w:rPr>
      </w:pPr>
      <w:r w:rsidRPr="00A878E8">
        <w:rPr>
          <w:rFonts w:ascii="Georgia" w:hAnsi="Georgia"/>
          <w:bCs/>
        </w:rPr>
        <w:t>The Tribunal consequently finds that it is reasonable to dispense with all of the formal consultation requirements in respect of the major works to the building described in this Decision.</w:t>
      </w:r>
      <w:r w:rsidR="00A71CA9">
        <w:rPr>
          <w:rFonts w:ascii="Georgia" w:hAnsi="Georgia"/>
          <w:bCs/>
        </w:rPr>
        <w:t xml:space="preserve"> </w:t>
      </w:r>
      <w:r w:rsidR="00C35433" w:rsidRPr="00C35433">
        <w:rPr>
          <w:rFonts w:ascii="Georgia" w:hAnsi="Georgia"/>
          <w:bCs/>
        </w:rPr>
        <w:t xml:space="preserve"> </w:t>
      </w:r>
      <w:r w:rsidR="00C35433">
        <w:rPr>
          <w:rFonts w:ascii="Georgia" w:hAnsi="Georgia"/>
          <w:bCs/>
        </w:rPr>
        <w:t>This dispensation is conditional upon the Applicant serving a copy of this Decision on all of the Lessees within 14 working days of it receiving this Decision.</w:t>
      </w:r>
    </w:p>
    <w:p w14:paraId="32D2D7B0" w14:textId="77777777" w:rsidR="00957C79" w:rsidRPr="00A878E8" w:rsidRDefault="00957C79" w:rsidP="00957C79">
      <w:pPr>
        <w:pStyle w:val="ListParagraph"/>
        <w:rPr>
          <w:rFonts w:ascii="Georgia" w:hAnsi="Georgia"/>
          <w:bCs/>
        </w:rPr>
      </w:pPr>
    </w:p>
    <w:p w14:paraId="5DA93887" w14:textId="18A82431" w:rsidR="00957C79" w:rsidRPr="00A878E8" w:rsidRDefault="00957C79" w:rsidP="00957C79">
      <w:pPr>
        <w:numPr>
          <w:ilvl w:val="0"/>
          <w:numId w:val="1"/>
        </w:numPr>
        <w:ind w:hanging="720"/>
        <w:jc w:val="both"/>
        <w:rPr>
          <w:rFonts w:ascii="Georgia" w:hAnsi="Georgia"/>
          <w:bCs/>
        </w:rPr>
      </w:pPr>
      <w:r w:rsidRPr="00A878E8">
        <w:rPr>
          <w:rFonts w:ascii="Georgia" w:hAnsi="Georgia"/>
          <w:bCs/>
        </w:rPr>
        <w:t xml:space="preserve">This Decision is confined to determination of the issue of dispensation from the consultation requirements in respect of the qualifying works to </w:t>
      </w:r>
      <w:r w:rsidR="001029D1">
        <w:rPr>
          <w:rFonts w:ascii="Georgia" w:hAnsi="Georgia"/>
          <w:bCs/>
        </w:rPr>
        <w:t>repair the lift</w:t>
      </w:r>
      <w:r w:rsidR="0029431E">
        <w:rPr>
          <w:rFonts w:ascii="Georgia" w:hAnsi="Georgia"/>
          <w:bCs/>
        </w:rPr>
        <w:t xml:space="preserve"> as outlined in paragraph 4</w:t>
      </w:r>
      <w:r w:rsidRPr="00A878E8">
        <w:rPr>
          <w:rFonts w:ascii="Georgia" w:hAnsi="Georgia"/>
          <w:bCs/>
        </w:rPr>
        <w:t xml:space="preserve">. The Tribunal has made no determination on whether the costs are payable or reasonable. If a </w:t>
      </w:r>
      <w:r w:rsidRPr="006B29AA">
        <w:rPr>
          <w:rFonts w:ascii="Georgia" w:hAnsi="Georgia"/>
          <w:bCs/>
        </w:rPr>
        <w:lastRenderedPageBreak/>
        <w:t>Lessee</w:t>
      </w:r>
      <w:r w:rsidRPr="00A878E8">
        <w:rPr>
          <w:rFonts w:ascii="Georgia" w:hAnsi="Georgia"/>
          <w:bCs/>
        </w:rPr>
        <w:t xml:space="preserve"> wishes to challenge the payability or reasonableness of those costs, then a separate application under section 27A of the </w:t>
      </w:r>
      <w:r w:rsidR="00757782" w:rsidRPr="00A878E8">
        <w:rPr>
          <w:rFonts w:ascii="Georgia" w:hAnsi="Georgia"/>
          <w:bCs/>
        </w:rPr>
        <w:t xml:space="preserve">Act </w:t>
      </w:r>
      <w:r w:rsidRPr="00A878E8">
        <w:rPr>
          <w:rFonts w:ascii="Georgia" w:hAnsi="Georgia"/>
          <w:bCs/>
        </w:rPr>
        <w:t>would have to be made. </w:t>
      </w:r>
    </w:p>
    <w:p w14:paraId="3FEA78B9" w14:textId="77777777" w:rsidR="00957C79" w:rsidRPr="00A878E8" w:rsidRDefault="00957C79" w:rsidP="00957C79">
      <w:pPr>
        <w:pStyle w:val="ListParagraph"/>
        <w:rPr>
          <w:rFonts w:ascii="Georgia" w:hAnsi="Georgia"/>
          <w:bCs/>
        </w:rPr>
      </w:pPr>
    </w:p>
    <w:p w14:paraId="21261758" w14:textId="13A4A854" w:rsidR="00957C79" w:rsidRPr="00A878E8" w:rsidRDefault="00957C79" w:rsidP="00957C79">
      <w:pPr>
        <w:numPr>
          <w:ilvl w:val="0"/>
          <w:numId w:val="1"/>
        </w:numPr>
        <w:ind w:hanging="720"/>
        <w:jc w:val="both"/>
        <w:rPr>
          <w:rFonts w:ascii="Georgia" w:hAnsi="Georgia"/>
          <w:bCs/>
        </w:rPr>
      </w:pPr>
      <w:r w:rsidRPr="00A878E8">
        <w:rPr>
          <w:rFonts w:ascii="Georgia" w:hAnsi="Georgia"/>
          <w:bCs/>
        </w:rPr>
        <w:t xml:space="preserve">In reaching my decision I have taken account of the fact that no party has objected to the application.  The </w:t>
      </w:r>
      <w:r w:rsidR="006B29AA" w:rsidRPr="00A878E8">
        <w:rPr>
          <w:rFonts w:ascii="Georgia" w:hAnsi="Georgia"/>
          <w:bCs/>
        </w:rPr>
        <w:t>le</w:t>
      </w:r>
      <w:r w:rsidR="006B29AA">
        <w:rPr>
          <w:rFonts w:ascii="Georgia" w:hAnsi="Georgia"/>
          <w:bCs/>
        </w:rPr>
        <w:t>sse</w:t>
      </w:r>
      <w:r w:rsidR="006B29AA" w:rsidRPr="00A878E8">
        <w:rPr>
          <w:rFonts w:ascii="Georgia" w:hAnsi="Georgia"/>
          <w:bCs/>
        </w:rPr>
        <w:t>es</w:t>
      </w:r>
      <w:r w:rsidRPr="00A878E8">
        <w:rPr>
          <w:rFonts w:ascii="Georgia" w:hAnsi="Georgia"/>
          <w:bCs/>
        </w:rPr>
        <w:t xml:space="preserve"> have had opportunity to raise any </w:t>
      </w:r>
      <w:r w:rsidR="006B29AA" w:rsidRPr="00A878E8">
        <w:rPr>
          <w:rFonts w:ascii="Georgia" w:hAnsi="Georgia"/>
          <w:bCs/>
        </w:rPr>
        <w:t>objection,</w:t>
      </w:r>
      <w:r w:rsidRPr="00A878E8">
        <w:rPr>
          <w:rFonts w:ascii="Georgia" w:hAnsi="Georgia"/>
          <w:bCs/>
        </w:rPr>
        <w:t xml:space="preserve"> and they have not done so.  </w:t>
      </w:r>
    </w:p>
    <w:p w14:paraId="4D5A3F0B" w14:textId="77777777" w:rsidR="00957C79" w:rsidRPr="00A878E8" w:rsidRDefault="00957C79" w:rsidP="00957C79">
      <w:pPr>
        <w:jc w:val="both"/>
        <w:rPr>
          <w:rFonts w:ascii="Georgia" w:hAnsi="Georgia"/>
          <w:b/>
        </w:rPr>
      </w:pPr>
      <w:r w:rsidRPr="00A878E8">
        <w:rPr>
          <w:rFonts w:ascii="Georgia" w:hAnsi="Georgia"/>
          <w:b/>
        </w:rPr>
        <w:t xml:space="preserve"> </w:t>
      </w:r>
    </w:p>
    <w:p w14:paraId="62504BA2" w14:textId="0DF50634" w:rsidR="003500FA" w:rsidRPr="00A878E8" w:rsidRDefault="003500FA" w:rsidP="00957C79">
      <w:pPr>
        <w:jc w:val="both"/>
        <w:rPr>
          <w:rFonts w:ascii="Georgia" w:hAnsi="Georgia"/>
          <w:b/>
        </w:rPr>
      </w:pPr>
      <w:r w:rsidRPr="00A878E8">
        <w:rPr>
          <w:rFonts w:ascii="Georgia" w:hAnsi="Georgia"/>
          <w:b/>
        </w:rPr>
        <w:t>Judge C A Rai</w:t>
      </w:r>
    </w:p>
    <w:p w14:paraId="1A316C0E" w14:textId="77777777" w:rsidR="00957C79" w:rsidRPr="00A878E8" w:rsidRDefault="00957C79" w:rsidP="00957C79">
      <w:pPr>
        <w:jc w:val="both"/>
        <w:rPr>
          <w:rFonts w:ascii="Georgia" w:hAnsi="Georgia"/>
          <w:b/>
        </w:rPr>
      </w:pPr>
    </w:p>
    <w:p w14:paraId="7DAD5750" w14:textId="77777777" w:rsidR="003500FA" w:rsidRPr="00A878E8" w:rsidRDefault="003500FA" w:rsidP="00957C79">
      <w:pPr>
        <w:jc w:val="both"/>
        <w:rPr>
          <w:rFonts w:ascii="Georgia" w:hAnsi="Georgia"/>
          <w:b/>
        </w:rPr>
      </w:pPr>
    </w:p>
    <w:p w14:paraId="750B0D81" w14:textId="14E0586F" w:rsidR="00957C79" w:rsidRPr="00A878E8" w:rsidRDefault="00957C79" w:rsidP="00957C79">
      <w:pPr>
        <w:jc w:val="both"/>
        <w:rPr>
          <w:rFonts w:ascii="Georgia" w:hAnsi="Georgia"/>
          <w:b/>
        </w:rPr>
      </w:pPr>
      <w:r w:rsidRPr="00A878E8">
        <w:rPr>
          <w:rFonts w:ascii="Georgia" w:hAnsi="Georgia"/>
          <w:b/>
        </w:rPr>
        <w:t>RIGHTS OF APPEAL</w:t>
      </w:r>
    </w:p>
    <w:p w14:paraId="44120573" w14:textId="77777777" w:rsidR="00957C79" w:rsidRPr="00A878E8" w:rsidRDefault="00957C79" w:rsidP="00957C79">
      <w:pPr>
        <w:jc w:val="both"/>
        <w:rPr>
          <w:rFonts w:ascii="Georgia" w:hAnsi="Georgia"/>
          <w:b/>
        </w:rPr>
      </w:pPr>
    </w:p>
    <w:p w14:paraId="0267E2B9" w14:textId="67AEA231" w:rsidR="00957C79" w:rsidRPr="00A878E8" w:rsidRDefault="00957C79" w:rsidP="003500FA">
      <w:pPr>
        <w:numPr>
          <w:ilvl w:val="0"/>
          <w:numId w:val="2"/>
        </w:numPr>
        <w:jc w:val="both"/>
        <w:rPr>
          <w:rFonts w:ascii="Georgia" w:hAnsi="Georgia"/>
          <w:bCs/>
        </w:rPr>
      </w:pPr>
      <w:r w:rsidRPr="00A878E8">
        <w:rPr>
          <w:rFonts w:ascii="Georgia" w:hAnsi="Georgia"/>
          <w:bCs/>
        </w:rPr>
        <w:t xml:space="preserve">A person wishing to appeal this decision to the Upper Tribunal (Lands Chamber) must seek permission to do so by making written application to the First-tier Tribunal at the Regional office which has been dealing with the case by email at </w:t>
      </w:r>
      <w:hyperlink r:id="rId12" w:history="1">
        <w:r w:rsidR="003500FA" w:rsidRPr="00A878E8">
          <w:rPr>
            <w:rStyle w:val="Hyperlink"/>
            <w:rFonts w:ascii="Georgia" w:hAnsi="Georgia"/>
            <w:bCs/>
          </w:rPr>
          <w:t>rpsouthern@justice.gov.uk</w:t>
        </w:r>
      </w:hyperlink>
    </w:p>
    <w:p w14:paraId="2E3FC29E" w14:textId="14C5E26C" w:rsidR="00957C79" w:rsidRPr="00A878E8" w:rsidRDefault="00957C79" w:rsidP="003500FA">
      <w:pPr>
        <w:numPr>
          <w:ilvl w:val="0"/>
          <w:numId w:val="2"/>
        </w:numPr>
        <w:spacing w:before="240"/>
        <w:jc w:val="both"/>
        <w:rPr>
          <w:rFonts w:ascii="Georgia" w:hAnsi="Georgia"/>
          <w:bCs/>
        </w:rPr>
      </w:pPr>
      <w:r w:rsidRPr="00A878E8">
        <w:rPr>
          <w:rFonts w:ascii="Georgia" w:hAnsi="Georgia"/>
          <w:bCs/>
        </w:rPr>
        <w:t>The application must arrive at the Tribunal within 28 days after the Tribunal sends to the person making the application written reasons for the decision.</w:t>
      </w:r>
    </w:p>
    <w:p w14:paraId="5F19F925" w14:textId="77777777" w:rsidR="00957C79" w:rsidRPr="00A878E8" w:rsidRDefault="00957C79" w:rsidP="00957C79">
      <w:pPr>
        <w:jc w:val="both"/>
        <w:rPr>
          <w:rFonts w:ascii="Georgia" w:hAnsi="Georgia"/>
          <w:bCs/>
        </w:rPr>
      </w:pPr>
    </w:p>
    <w:p w14:paraId="7D7426BB" w14:textId="15F1389C" w:rsidR="003500FA" w:rsidRPr="00A878E8" w:rsidRDefault="003500FA" w:rsidP="003500FA">
      <w:pPr>
        <w:jc w:val="both"/>
        <w:rPr>
          <w:rFonts w:ascii="Georgia" w:hAnsi="Georgia"/>
          <w:bCs/>
        </w:rPr>
      </w:pPr>
    </w:p>
    <w:p w14:paraId="0277E0CE" w14:textId="682F664B" w:rsidR="00957C79" w:rsidRPr="00A878E8" w:rsidRDefault="00957C79" w:rsidP="003500FA">
      <w:pPr>
        <w:numPr>
          <w:ilvl w:val="0"/>
          <w:numId w:val="2"/>
        </w:numPr>
        <w:jc w:val="both"/>
        <w:rPr>
          <w:rFonts w:ascii="Georgia" w:hAnsi="Georgia"/>
          <w:bCs/>
        </w:rPr>
      </w:pPr>
      <w:r w:rsidRPr="00A878E8">
        <w:rPr>
          <w:rFonts w:ascii="Georgia" w:hAnsi="Georgia"/>
          <w:bCs/>
        </w:rPr>
        <w:t>If the person wishing to appeal does not comply with the 28- day time limit, the person shall include with the application for permission to appeal a request for an extension of time and the reason for not complying with the 28- day time limit; the Tribunal will then decide whether to extend time or not to allow the application for permission to appeal to proceed.</w:t>
      </w:r>
    </w:p>
    <w:p w14:paraId="4BF7E294" w14:textId="77777777" w:rsidR="00957C79" w:rsidRPr="00A878E8" w:rsidRDefault="00957C79" w:rsidP="00957C79">
      <w:pPr>
        <w:jc w:val="both"/>
        <w:rPr>
          <w:rFonts w:ascii="Georgia" w:hAnsi="Georgia"/>
          <w:bCs/>
        </w:rPr>
      </w:pPr>
    </w:p>
    <w:p w14:paraId="7FBC13E4" w14:textId="050C9FB6" w:rsidR="00957C79" w:rsidRPr="00A878E8" w:rsidRDefault="00957C79" w:rsidP="003500FA">
      <w:pPr>
        <w:numPr>
          <w:ilvl w:val="0"/>
          <w:numId w:val="2"/>
        </w:numPr>
        <w:jc w:val="both"/>
        <w:rPr>
          <w:rFonts w:ascii="Georgia" w:hAnsi="Georgia"/>
          <w:bCs/>
        </w:rPr>
      </w:pPr>
      <w:r w:rsidRPr="00A878E8">
        <w:rPr>
          <w:rFonts w:ascii="Georgia" w:hAnsi="Georgia"/>
          <w:bCs/>
        </w:rPr>
        <w:t>The application for permission to appeal must identify the decision of the Tribunal to which it relates, state the grounds of appeal, and state the result the party making the application is seeking.</w:t>
      </w:r>
    </w:p>
    <w:p w14:paraId="6D5417A6" w14:textId="77777777" w:rsidR="00957C79" w:rsidRPr="00A878E8" w:rsidRDefault="00957C79" w:rsidP="00957C79">
      <w:pPr>
        <w:jc w:val="both"/>
        <w:rPr>
          <w:rFonts w:ascii="Georgia" w:hAnsi="Georgia"/>
        </w:rPr>
      </w:pPr>
    </w:p>
    <w:p w14:paraId="7A8677DC" w14:textId="77777777" w:rsidR="004C728C" w:rsidRPr="00A878E8" w:rsidRDefault="004C728C">
      <w:pPr>
        <w:rPr>
          <w:rFonts w:ascii="Georgia" w:hAnsi="Georgia"/>
        </w:rPr>
      </w:pPr>
    </w:p>
    <w:sectPr w:rsidR="004C728C" w:rsidRPr="00A878E8" w:rsidSect="00957C79">
      <w:footerReference w:type="even" r:id="rId13"/>
      <w:footerReference w:type="default" r:id="rId14"/>
      <w:footerReference w:type="first" r:id="rId15"/>
      <w:pgSz w:w="11906" w:h="16838"/>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C6B42" w14:textId="77777777" w:rsidR="005A12BE" w:rsidRDefault="005A12BE" w:rsidP="003500FA">
      <w:r>
        <w:separator/>
      </w:r>
    </w:p>
  </w:endnote>
  <w:endnote w:type="continuationSeparator" w:id="0">
    <w:p w14:paraId="7D45AE6E" w14:textId="77777777" w:rsidR="005A12BE" w:rsidRDefault="005A12BE" w:rsidP="0035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484C" w14:textId="77777777" w:rsidR="004917B1" w:rsidRDefault="004917B1" w:rsidP="00A45DB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C6642C3" w14:textId="77777777" w:rsidR="004917B1" w:rsidRDefault="00491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97CB" w14:textId="77777777" w:rsidR="004917B1" w:rsidRDefault="004917B1" w:rsidP="00A45DB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1E3300F8" w14:textId="77777777" w:rsidR="004917B1" w:rsidRDefault="00491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3D71" w14:textId="361E1288" w:rsidR="004917B1" w:rsidRPr="00A64618" w:rsidRDefault="004917B1" w:rsidP="00777C4F">
    <w:pPr>
      <w:jc w:val="center"/>
      <w:rPr>
        <w:rFonts w:ascii="Georgia" w:hAnsi="Georgia"/>
        <w:sz w:val="20"/>
        <w:szCs w:val="20"/>
      </w:rPr>
    </w:pPr>
    <w:r>
      <w:rPr>
        <w:rFonts w:ascii="Georgia" w:hAnsi="Georgia"/>
        <w:sz w:val="20"/>
        <w:szCs w:val="20"/>
      </w:rPr>
      <w:t xml:space="preserve">© CROWN COPYRIGHT </w:t>
    </w:r>
    <w:r w:rsidR="003500FA">
      <w:rPr>
        <w:rFonts w:ascii="Georgia" w:hAnsi="Georgia"/>
        <w:sz w:val="20"/>
        <w:szCs w:val="20"/>
      </w:rPr>
      <w:t>202</w:t>
    </w:r>
    <w:r w:rsidR="004D3F71">
      <w:rPr>
        <w:rFonts w:ascii="Georgia" w:hAnsi="Georgia"/>
        <w:sz w:val="20"/>
        <w:szCs w:val="20"/>
      </w:rPr>
      <w:t>4</w:t>
    </w:r>
  </w:p>
  <w:p w14:paraId="4200FD5B" w14:textId="77777777" w:rsidR="004917B1" w:rsidRDefault="00491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5F823" w14:textId="77777777" w:rsidR="005A12BE" w:rsidRDefault="005A12BE" w:rsidP="003500FA">
      <w:r>
        <w:separator/>
      </w:r>
    </w:p>
  </w:footnote>
  <w:footnote w:type="continuationSeparator" w:id="0">
    <w:p w14:paraId="17151411" w14:textId="77777777" w:rsidR="005A12BE" w:rsidRDefault="005A12BE" w:rsidP="00350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66A82"/>
    <w:multiLevelType w:val="hybridMultilevel"/>
    <w:tmpl w:val="47E204C0"/>
    <w:lvl w:ilvl="0" w:tplc="BE94A534">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D301190"/>
    <w:multiLevelType w:val="hybridMultilevel"/>
    <w:tmpl w:val="66F65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4671D9"/>
    <w:multiLevelType w:val="hybridMultilevel"/>
    <w:tmpl w:val="A1CCAB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331560462">
    <w:abstractNumId w:val="1"/>
  </w:num>
  <w:num w:numId="2" w16cid:durableId="1487698990">
    <w:abstractNumId w:val="0"/>
  </w:num>
  <w:num w:numId="3" w16cid:durableId="2097169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79"/>
    <w:rsid w:val="0008253E"/>
    <w:rsid w:val="000B3743"/>
    <w:rsid w:val="001029D1"/>
    <w:rsid w:val="0029431E"/>
    <w:rsid w:val="002950EC"/>
    <w:rsid w:val="002E1BC8"/>
    <w:rsid w:val="003500FA"/>
    <w:rsid w:val="003A5C58"/>
    <w:rsid w:val="003D115F"/>
    <w:rsid w:val="004561C3"/>
    <w:rsid w:val="00467E2C"/>
    <w:rsid w:val="004917B1"/>
    <w:rsid w:val="004C728C"/>
    <w:rsid w:val="004D3F71"/>
    <w:rsid w:val="005A12BE"/>
    <w:rsid w:val="005A5DB9"/>
    <w:rsid w:val="005C1E19"/>
    <w:rsid w:val="00612410"/>
    <w:rsid w:val="006B29AA"/>
    <w:rsid w:val="00757782"/>
    <w:rsid w:val="00787374"/>
    <w:rsid w:val="008F109D"/>
    <w:rsid w:val="00910A04"/>
    <w:rsid w:val="00957C79"/>
    <w:rsid w:val="00A173E1"/>
    <w:rsid w:val="00A71CA9"/>
    <w:rsid w:val="00A878E8"/>
    <w:rsid w:val="00AE5E9E"/>
    <w:rsid w:val="00C35433"/>
    <w:rsid w:val="00C5696F"/>
    <w:rsid w:val="00CA5393"/>
    <w:rsid w:val="00D34DC5"/>
    <w:rsid w:val="00E03738"/>
    <w:rsid w:val="00ED5850"/>
    <w:rsid w:val="00EE2881"/>
    <w:rsid w:val="00F01225"/>
    <w:rsid w:val="00F30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B0BA0"/>
  <w15:chartTrackingRefBased/>
  <w15:docId w15:val="{61E7FB1E-2CFC-43A6-AD9E-BDC9B6A5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C7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57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C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C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C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C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C79"/>
    <w:rPr>
      <w:rFonts w:eastAsiaTheme="majorEastAsia" w:cstheme="majorBidi"/>
      <w:color w:val="272727" w:themeColor="text1" w:themeTint="D8"/>
    </w:rPr>
  </w:style>
  <w:style w:type="paragraph" w:styleId="Title">
    <w:name w:val="Title"/>
    <w:basedOn w:val="Normal"/>
    <w:next w:val="Normal"/>
    <w:link w:val="TitleChar"/>
    <w:qFormat/>
    <w:rsid w:val="00957C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C79"/>
    <w:pPr>
      <w:spacing w:before="160"/>
      <w:jc w:val="center"/>
    </w:pPr>
    <w:rPr>
      <w:i/>
      <w:iCs/>
      <w:color w:val="404040" w:themeColor="text1" w:themeTint="BF"/>
    </w:rPr>
  </w:style>
  <w:style w:type="character" w:customStyle="1" w:styleId="QuoteChar">
    <w:name w:val="Quote Char"/>
    <w:basedOn w:val="DefaultParagraphFont"/>
    <w:link w:val="Quote"/>
    <w:uiPriority w:val="29"/>
    <w:rsid w:val="00957C79"/>
    <w:rPr>
      <w:i/>
      <w:iCs/>
      <w:color w:val="404040" w:themeColor="text1" w:themeTint="BF"/>
    </w:rPr>
  </w:style>
  <w:style w:type="paragraph" w:styleId="ListParagraph">
    <w:name w:val="List Paragraph"/>
    <w:basedOn w:val="Normal"/>
    <w:uiPriority w:val="34"/>
    <w:qFormat/>
    <w:rsid w:val="00957C79"/>
    <w:pPr>
      <w:ind w:left="720"/>
      <w:contextualSpacing/>
    </w:pPr>
  </w:style>
  <w:style w:type="character" w:styleId="IntenseEmphasis">
    <w:name w:val="Intense Emphasis"/>
    <w:basedOn w:val="DefaultParagraphFont"/>
    <w:uiPriority w:val="21"/>
    <w:qFormat/>
    <w:rsid w:val="00957C79"/>
    <w:rPr>
      <w:i/>
      <w:iCs/>
      <w:color w:val="0F4761" w:themeColor="accent1" w:themeShade="BF"/>
    </w:rPr>
  </w:style>
  <w:style w:type="paragraph" w:styleId="IntenseQuote">
    <w:name w:val="Intense Quote"/>
    <w:basedOn w:val="Normal"/>
    <w:next w:val="Normal"/>
    <w:link w:val="IntenseQuoteChar"/>
    <w:uiPriority w:val="30"/>
    <w:qFormat/>
    <w:rsid w:val="00957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C79"/>
    <w:rPr>
      <w:i/>
      <w:iCs/>
      <w:color w:val="0F4761" w:themeColor="accent1" w:themeShade="BF"/>
    </w:rPr>
  </w:style>
  <w:style w:type="character" w:styleId="IntenseReference">
    <w:name w:val="Intense Reference"/>
    <w:basedOn w:val="DefaultParagraphFont"/>
    <w:uiPriority w:val="32"/>
    <w:qFormat/>
    <w:rsid w:val="00957C79"/>
    <w:rPr>
      <w:b/>
      <w:bCs/>
      <w:smallCaps/>
      <w:color w:val="0F4761" w:themeColor="accent1" w:themeShade="BF"/>
      <w:spacing w:val="5"/>
    </w:rPr>
  </w:style>
  <w:style w:type="paragraph" w:styleId="Header">
    <w:name w:val="header"/>
    <w:basedOn w:val="Normal"/>
    <w:link w:val="HeaderChar"/>
    <w:rsid w:val="00957C79"/>
    <w:pPr>
      <w:tabs>
        <w:tab w:val="center" w:pos="4153"/>
        <w:tab w:val="right" w:pos="8306"/>
      </w:tabs>
    </w:pPr>
  </w:style>
  <w:style w:type="character" w:customStyle="1" w:styleId="HeaderChar">
    <w:name w:val="Header Char"/>
    <w:basedOn w:val="DefaultParagraphFont"/>
    <w:link w:val="Header"/>
    <w:rsid w:val="00957C79"/>
    <w:rPr>
      <w:rFonts w:ascii="Times New Roman" w:eastAsia="Times New Roman" w:hAnsi="Times New Roman" w:cs="Times New Roman"/>
      <w:kern w:val="0"/>
      <w:lang w:eastAsia="en-GB"/>
      <w14:ligatures w14:val="none"/>
    </w:rPr>
  </w:style>
  <w:style w:type="paragraph" w:styleId="Footer">
    <w:name w:val="footer"/>
    <w:basedOn w:val="Normal"/>
    <w:link w:val="FooterChar"/>
    <w:rsid w:val="00957C79"/>
    <w:pPr>
      <w:tabs>
        <w:tab w:val="center" w:pos="4153"/>
        <w:tab w:val="right" w:pos="8306"/>
      </w:tabs>
    </w:pPr>
  </w:style>
  <w:style w:type="character" w:customStyle="1" w:styleId="FooterChar">
    <w:name w:val="Footer Char"/>
    <w:basedOn w:val="DefaultParagraphFont"/>
    <w:link w:val="Footer"/>
    <w:rsid w:val="00957C79"/>
    <w:rPr>
      <w:rFonts w:ascii="Times New Roman" w:eastAsia="Times New Roman" w:hAnsi="Times New Roman" w:cs="Times New Roman"/>
      <w:kern w:val="0"/>
      <w:lang w:eastAsia="en-GB"/>
      <w14:ligatures w14:val="none"/>
    </w:rPr>
  </w:style>
  <w:style w:type="character" w:styleId="PageNumber">
    <w:name w:val="page number"/>
    <w:basedOn w:val="DefaultParagraphFont"/>
    <w:rsid w:val="00957C79"/>
  </w:style>
  <w:style w:type="character" w:styleId="Hyperlink">
    <w:name w:val="Hyperlink"/>
    <w:rsid w:val="00957C79"/>
    <w:rPr>
      <w:color w:val="0000FF"/>
      <w:u w:val="single"/>
    </w:rPr>
  </w:style>
  <w:style w:type="character" w:styleId="UnresolvedMention">
    <w:name w:val="Unresolved Mention"/>
    <w:basedOn w:val="DefaultParagraphFont"/>
    <w:uiPriority w:val="99"/>
    <w:semiHidden/>
    <w:unhideWhenUsed/>
    <w:rsid w:val="0035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southern@justic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psouthern@justice.gov.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bdf527-5e1f-4744-8e3e-fb3d6b6d3f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57B4AF99DB0942B713A35E41D106AE" ma:contentTypeVersion="17" ma:contentTypeDescription="Create a new document." ma:contentTypeScope="" ma:versionID="4a9614d63fae06fb2efab1eeb48282a6">
  <xsd:schema xmlns:xsd="http://www.w3.org/2001/XMLSchema" xmlns:xs="http://www.w3.org/2001/XMLSchema" xmlns:p="http://schemas.microsoft.com/office/2006/metadata/properties" xmlns:ns3="99bdf527-5e1f-4744-8e3e-fb3d6b6d3fca" xmlns:ns4="077fc601-16d7-40e5-bd47-afeb4f84a194" targetNamespace="http://schemas.microsoft.com/office/2006/metadata/properties" ma:root="true" ma:fieldsID="810b18852a576ce624ff665703cf5def" ns3:_="" ns4:_="">
    <xsd:import namespace="99bdf527-5e1f-4744-8e3e-fb3d6b6d3fca"/>
    <xsd:import namespace="077fc601-16d7-40e5-bd47-afeb4f84a1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df527-5e1f-4744-8e3e-fb3d6b6d3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fc601-16d7-40e5-bd47-afeb4f84a1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5CC89-D60F-4274-91E1-3D772855ACE3}">
  <ds:schemaRefs>
    <ds:schemaRef ds:uri="http://schemas.openxmlformats.org/package/2006/metadata/core-properties"/>
    <ds:schemaRef ds:uri="http://purl.org/dc/elements/1.1/"/>
    <ds:schemaRef ds:uri="http://schemas.microsoft.com/office/2006/documentManagement/types"/>
    <ds:schemaRef ds:uri="99bdf527-5e1f-4744-8e3e-fb3d6b6d3fca"/>
    <ds:schemaRef ds:uri="http://schemas.microsoft.com/office/2006/metadata/properties"/>
    <ds:schemaRef ds:uri="http://schemas.microsoft.com/office/infopath/2007/PartnerControls"/>
    <ds:schemaRef ds:uri="http://www.w3.org/XML/1998/namespace"/>
    <ds:schemaRef ds:uri="077fc601-16d7-40e5-bd47-afeb4f84a194"/>
    <ds:schemaRef ds:uri="http://purl.org/dc/dcmitype/"/>
    <ds:schemaRef ds:uri="http://purl.org/dc/terms/"/>
  </ds:schemaRefs>
</ds:datastoreItem>
</file>

<file path=customXml/itemProps2.xml><?xml version="1.0" encoding="utf-8"?>
<ds:datastoreItem xmlns:ds="http://schemas.openxmlformats.org/officeDocument/2006/customXml" ds:itemID="{C49AEFF3-CD82-4FCF-8991-0B58FEE29AD7}">
  <ds:schemaRefs>
    <ds:schemaRef ds:uri="http://schemas.microsoft.com/sharepoint/v3/contenttype/forms"/>
  </ds:schemaRefs>
</ds:datastoreItem>
</file>

<file path=customXml/itemProps3.xml><?xml version="1.0" encoding="utf-8"?>
<ds:datastoreItem xmlns:ds="http://schemas.openxmlformats.org/officeDocument/2006/customXml" ds:itemID="{001A8138-00EA-4DC4-A89C-9DD0CF835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df527-5e1f-4744-8e3e-fb3d6b6d3fca"/>
    <ds:schemaRef ds:uri="077fc601-16d7-40e5-bd47-afeb4f84a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1843</Words>
  <Characters>10509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Rai</dc:creator>
  <cp:keywords/>
  <dc:description/>
  <cp:lastModifiedBy>Mintah-Ghansah, Elizabeth</cp:lastModifiedBy>
  <cp:revision>2</cp:revision>
  <dcterms:created xsi:type="dcterms:W3CDTF">2024-12-10T11:44:00Z</dcterms:created>
  <dcterms:modified xsi:type="dcterms:W3CDTF">2024-12-10T11:44:00Z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0x0101003857B4AF99DB0942B713A35E41D106AE</vt:lpwstr>
  </property>
</Properties>
</file>