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FFD4" w14:textId="7A904E80" w:rsidR="00AC140A" w:rsidRDefault="00546A89">
      <w:pPr>
        <w:pStyle w:val="Heading1"/>
        <w:rPr>
          <w:sz w:val="32"/>
        </w:rPr>
      </w:pPr>
      <w:r>
        <w:rPr>
          <w:sz w:val="32"/>
        </w:rPr>
        <w:t xml:space="preserve">The Serbia preferential tariff </w:t>
      </w:r>
    </w:p>
    <w:p w14:paraId="16A42AB4" w14:textId="21B75C0B" w:rsidR="00AC140A" w:rsidRDefault="00546A89">
      <w:pPr>
        <w:pStyle w:val="Heading1"/>
      </w:pPr>
      <w:r w:rsidRPr="58A8B99C">
        <w:rPr>
          <w:sz w:val="32"/>
        </w:rPr>
        <w:t>Version 1.</w:t>
      </w:r>
      <w:r w:rsidR="00DE7573" w:rsidRPr="58A8B99C">
        <w:rPr>
          <w:sz w:val="32"/>
        </w:rPr>
        <w:t>4</w:t>
      </w:r>
      <w:r w:rsidRPr="58A8B99C">
        <w:rPr>
          <w:sz w:val="32"/>
        </w:rPr>
        <w:t xml:space="preserve">, dated </w:t>
      </w:r>
      <w:r w:rsidR="6E968C96" w:rsidRPr="58A8B99C">
        <w:rPr>
          <w:sz w:val="32"/>
        </w:rPr>
        <w:t>4</w:t>
      </w:r>
      <w:r w:rsidR="6E968C96" w:rsidRPr="58A8B99C">
        <w:rPr>
          <w:sz w:val="32"/>
          <w:vertAlign w:val="superscript"/>
        </w:rPr>
        <w:t>th</w:t>
      </w:r>
      <w:r w:rsidR="6E968C96" w:rsidRPr="58A8B99C">
        <w:rPr>
          <w:sz w:val="32"/>
        </w:rPr>
        <w:t xml:space="preserve"> </w:t>
      </w:r>
      <w:r w:rsidR="00D0511B" w:rsidRPr="58A8B99C">
        <w:rPr>
          <w:sz w:val="32"/>
        </w:rPr>
        <w:t>December</w:t>
      </w:r>
      <w:r w:rsidR="6E968C96" w:rsidRPr="58A8B99C">
        <w:rPr>
          <w:sz w:val="32"/>
        </w:rPr>
        <w:t xml:space="preserve"> 2024</w:t>
      </w:r>
    </w:p>
    <w:p w14:paraId="33070831" w14:textId="77777777" w:rsidR="00AC140A" w:rsidRDefault="00AC140A"/>
    <w:p w14:paraId="2FD2209C" w14:textId="77777777" w:rsidR="00AC140A" w:rsidRDefault="00546A89">
      <w:pPr>
        <w:pStyle w:val="Contents"/>
        <w:rPr>
          <w:rFonts w:cs="Times New Roman"/>
        </w:rPr>
      </w:pPr>
      <w:r>
        <w:rPr>
          <w:rFonts w:cs="Times New Roman"/>
        </w:rPr>
        <w:t>PART ONE: Overview</w:t>
      </w:r>
    </w:p>
    <w:p w14:paraId="2B39CE39" w14:textId="77777777" w:rsidR="00AC140A" w:rsidRDefault="00546A89">
      <w:pPr>
        <w:pStyle w:val="Contents"/>
        <w:rPr>
          <w:rFonts w:cs="Times New Roman"/>
        </w:rPr>
      </w:pPr>
      <w:r>
        <w:rPr>
          <w:rFonts w:cs="Times New Roman"/>
        </w:rPr>
        <w:t>PART TWO: UK Preferential Tariff</w:t>
      </w:r>
    </w:p>
    <w:p w14:paraId="63A93A78" w14:textId="77777777" w:rsidR="00AC140A" w:rsidRDefault="00546A89">
      <w:pPr>
        <w:pStyle w:val="Contents"/>
        <w:rPr>
          <w:rFonts w:cs="Times New Roman"/>
        </w:rPr>
      </w:pPr>
      <w:r>
        <w:rPr>
          <w:rFonts w:cs="Times New Roman"/>
        </w:rPr>
        <w:t>Annex I: Preferential Duty Tariff Table</w:t>
      </w:r>
    </w:p>
    <w:p w14:paraId="6E34FEA8" w14:textId="77777777" w:rsidR="00AC140A" w:rsidRDefault="00546A89">
      <w:pPr>
        <w:pStyle w:val="Contents"/>
        <w:rPr>
          <w:rFonts w:cs="Times New Roman"/>
        </w:rPr>
      </w:pPr>
      <w:r>
        <w:rPr>
          <w:rFonts w:cs="Times New Roman"/>
        </w:rPr>
        <w:t xml:space="preserve">Annex II: Preferential Quota Table </w:t>
      </w:r>
    </w:p>
    <w:p w14:paraId="021A76E9" w14:textId="77777777" w:rsidR="00AC140A" w:rsidRDefault="00546A89">
      <w:pPr>
        <w:pStyle w:val="Heading1"/>
      </w:pPr>
      <w:r>
        <w:t>PART ONE: OVERVIEW</w:t>
      </w:r>
    </w:p>
    <w:p w14:paraId="4C507022" w14:textId="7764F8CE" w:rsidR="00AC140A" w:rsidRDefault="00546A89">
      <w:pPr>
        <w:pStyle w:val="ListParagraph"/>
        <w:numPr>
          <w:ilvl w:val="0"/>
          <w:numId w:val="4"/>
        </w:numPr>
        <w:spacing w:after="120" w:line="312" w:lineRule="auto"/>
        <w:ind w:left="283" w:hanging="357"/>
        <w:contextualSpacing w:val="0"/>
        <w:jc w:val="both"/>
      </w:pPr>
      <w:r>
        <w:rPr>
          <w:rFonts w:ascii="Times New Roman" w:hAnsi="Times New Roman" w:cs="Times New Roman"/>
        </w:rPr>
        <w:t xml:space="preserve">This document is the relevant preferential tariff referred to in column 2 of the table in Schedule 1 of the Customs Tariff (Preferential Trade Arrangements) (EU Exit) Regulations 2020 ("the Regulations") for the </w:t>
      </w:r>
      <w:r w:rsidR="00D1212F">
        <w:rPr>
          <w:rFonts w:ascii="Times New Roman" w:hAnsi="Times New Roman" w:cs="Times New Roman"/>
        </w:rPr>
        <w:t xml:space="preserve">Partnership, </w:t>
      </w:r>
      <w:r>
        <w:rPr>
          <w:rFonts w:ascii="Times New Roman" w:hAnsi="Times New Roman" w:cs="Times New Roman"/>
        </w:rPr>
        <w:t xml:space="preserve">Trade </w:t>
      </w:r>
      <w:r w:rsidR="00D1212F">
        <w:rPr>
          <w:rFonts w:ascii="Times New Roman" w:hAnsi="Times New Roman" w:cs="Times New Roman"/>
        </w:rPr>
        <w:t xml:space="preserve">and Cooperation </w:t>
      </w:r>
      <w:r>
        <w:rPr>
          <w:rFonts w:ascii="Times New Roman" w:hAnsi="Times New Roman" w:cs="Times New Roman"/>
        </w:rPr>
        <w:t>Agreement between the United Kingdom of Great Britain and Northern Ireland and the Republic of Serbia, signed on 16</w:t>
      </w:r>
      <w:r>
        <w:rPr>
          <w:rFonts w:ascii="Times New Roman" w:hAnsi="Times New Roman" w:cs="Times New Roman"/>
          <w:vertAlign w:val="superscript"/>
        </w:rPr>
        <w:t>th</w:t>
      </w:r>
      <w:r>
        <w:rPr>
          <w:rFonts w:ascii="Times New Roman" w:hAnsi="Times New Roman" w:cs="Times New Roman"/>
        </w:rPr>
        <w:t xml:space="preserve"> April 2021 (“the Agreement”).</w:t>
      </w:r>
    </w:p>
    <w:p w14:paraId="44EA97A1" w14:textId="77777777" w:rsidR="00AC140A" w:rsidRDefault="00546A89">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577D226C" w14:textId="77777777" w:rsidR="005E4356" w:rsidRDefault="00546A89" w:rsidP="005E4356">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49153402" w14:textId="207D30D6" w:rsidR="00546A89" w:rsidRPr="005E4356" w:rsidRDefault="00546A89" w:rsidP="005E4356">
      <w:pPr>
        <w:pStyle w:val="ListParagraph"/>
        <w:numPr>
          <w:ilvl w:val="0"/>
          <w:numId w:val="4"/>
        </w:numPr>
        <w:spacing w:after="120" w:line="312" w:lineRule="auto"/>
        <w:ind w:left="284" w:hanging="284"/>
        <w:contextualSpacing w:val="0"/>
        <w:jc w:val="both"/>
        <w:rPr>
          <w:rFonts w:ascii="Times New Roman" w:hAnsi="Times New Roman" w:cs="Times New Roman"/>
        </w:rPr>
      </w:pPr>
      <w:r w:rsidRPr="005E4356">
        <w:rPr>
          <w:rFonts w:ascii="Times New Roman" w:hAnsi="Times New Roman" w:cs="Times New Roman"/>
        </w:rPr>
        <w:t>This document takes effect from</w:t>
      </w:r>
      <w:r w:rsidR="00C96E6E">
        <w:rPr>
          <w:rFonts w:ascii="Times New Roman" w:hAnsi="Times New Roman" w:cs="Times New Roman"/>
        </w:rPr>
        <w:t>1</w:t>
      </w:r>
      <w:r w:rsidR="00C96E6E" w:rsidRPr="00D0511B">
        <w:rPr>
          <w:rFonts w:ascii="Times New Roman" w:hAnsi="Times New Roman" w:cs="Times New Roman"/>
          <w:vertAlign w:val="superscript"/>
        </w:rPr>
        <w:t>st</w:t>
      </w:r>
      <w:r w:rsidR="00C96E6E">
        <w:rPr>
          <w:rFonts w:ascii="Times New Roman" w:hAnsi="Times New Roman" w:cs="Times New Roman"/>
        </w:rPr>
        <w:t xml:space="preserve"> January 2025</w:t>
      </w:r>
      <w:r w:rsidRPr="005E4356">
        <w:rPr>
          <w:rFonts w:ascii="Times New Roman" w:hAnsi="Times New Roman" w:cs="Times New Roman"/>
        </w:rPr>
        <w:t>.</w:t>
      </w:r>
    </w:p>
    <w:p w14:paraId="6A05380F" w14:textId="77777777" w:rsidR="00AC140A" w:rsidRDefault="00546A89">
      <w:pPr>
        <w:pStyle w:val="Heading1"/>
        <w:spacing w:after="120"/>
      </w:pPr>
      <w:r>
        <w:t>PART TWO: UK PREFERENTIAL TARIFF</w:t>
      </w:r>
    </w:p>
    <w:p w14:paraId="65447E79" w14:textId="77777777" w:rsidR="00AC140A" w:rsidRDefault="00546A89">
      <w:pPr>
        <w:pStyle w:val="ListParagraph"/>
        <w:numPr>
          <w:ilvl w:val="0"/>
          <w:numId w:val="5"/>
        </w:numPr>
        <w:spacing w:after="120" w:line="312" w:lineRule="auto"/>
        <w:contextualSpacing w:val="0"/>
        <w:jc w:val="both"/>
        <w:rPr>
          <w:rFonts w:ascii="Times New Roman" w:hAnsi="Times New Roman" w:cs="Times New Roman"/>
        </w:rPr>
      </w:pPr>
      <w:r>
        <w:rPr>
          <w:rFonts w:ascii="Times New Roman" w:hAnsi="Times New Roman" w:cs="Times New Roman"/>
        </w:rPr>
        <w:t xml:space="preserve">In this Part, a “formula” is all the alphanumeric information appearing </w:t>
      </w:r>
      <w:proofErr w:type="gramStart"/>
      <w:r>
        <w:rPr>
          <w:rFonts w:ascii="Times New Roman" w:hAnsi="Times New Roman" w:cs="Times New Roman"/>
        </w:rPr>
        <w:t>in a given</w:t>
      </w:r>
      <w:proofErr w:type="gramEnd"/>
      <w:r>
        <w:rPr>
          <w:rFonts w:ascii="Times New Roman" w:hAnsi="Times New Roman" w:cs="Times New Roman"/>
        </w:rPr>
        <w:t xml:space="preserve"> row of column 2 of the Preferential Duty Tariff Table (Annex I) or of column 4 of the Preferential Quota Table (Annex II).</w:t>
      </w:r>
    </w:p>
    <w:p w14:paraId="0FB4DECC" w14:textId="77777777" w:rsidR="00AC140A" w:rsidRDefault="00546A89">
      <w:pPr>
        <w:pStyle w:val="ListParagraph"/>
        <w:spacing w:after="120" w:line="312" w:lineRule="auto"/>
        <w:ind w:left="284" w:hanging="284"/>
        <w:contextualSpacing w:val="0"/>
        <w:rPr>
          <w:rFonts w:ascii="Times New Roman" w:hAnsi="Times New Roman" w:cs="Times New Roman"/>
          <w:b/>
          <w:bCs/>
          <w:u w:val="single"/>
        </w:rPr>
      </w:pPr>
      <w:r>
        <w:rPr>
          <w:rFonts w:ascii="Times New Roman" w:hAnsi="Times New Roman" w:cs="Times New Roman"/>
          <w:b/>
          <w:bCs/>
          <w:u w:val="single"/>
        </w:rPr>
        <w:t>Calculating the value of formulas</w:t>
      </w:r>
    </w:p>
    <w:p w14:paraId="28D3EEBC"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657A65BB"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14:paraId="239DA30F" w14:textId="77777777" w:rsidR="00AC140A" w:rsidRDefault="00546A89">
      <w:pPr>
        <w:keepNext/>
        <w:spacing w:after="120" w:line="312" w:lineRule="auto"/>
        <w:rPr>
          <w:rFonts w:ascii="Times New Roman" w:hAnsi="Times New Roman" w:cs="Times New Roman"/>
          <w:b/>
          <w:bCs/>
          <w:u w:val="single"/>
        </w:rPr>
      </w:pPr>
      <w:r>
        <w:rPr>
          <w:rFonts w:ascii="Times New Roman" w:hAnsi="Times New Roman" w:cs="Times New Roman"/>
          <w:b/>
          <w:bCs/>
          <w:u w:val="single"/>
        </w:rPr>
        <w:lastRenderedPageBreak/>
        <w:t>Operators</w:t>
      </w:r>
    </w:p>
    <w:p w14:paraId="71852E0B" w14:textId="77777777" w:rsidR="00AC140A" w:rsidRPr="00276684"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b/>
          <w:bCs/>
        </w:rPr>
        <w:t xml:space="preserve">Brackets – </w:t>
      </w:r>
      <w:r>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1D4453A9" w14:textId="3FBAE73F" w:rsidR="00AC140A" w:rsidRPr="00276684"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b/>
          <w:bCs/>
        </w:rPr>
        <w:t>MAX –</w:t>
      </w:r>
      <w:r>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276684">
        <w:rPr>
          <w:rFonts w:ascii="Times New Roman" w:hAnsi="Times New Roman" w:cs="Times New Roman"/>
        </w:rPr>
        <w:t xml:space="preserve">. </w:t>
      </w:r>
    </w:p>
    <w:p w14:paraId="614A3104"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Where MAX appears inside brackets, this operation only applies to the part of the formula inside the same brackets.</w:t>
      </w:r>
    </w:p>
    <w:p w14:paraId="76475040" w14:textId="77777777" w:rsidR="00AC140A" w:rsidRPr="00276684"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b/>
          <w:bCs/>
        </w:rPr>
        <w:t xml:space="preserve">Addition sign – </w:t>
      </w:r>
      <w:r>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28DE9360" w14:textId="77777777" w:rsidR="00AC140A" w:rsidRDefault="00546A89">
      <w:pPr>
        <w:keepNext/>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7DC8818B" w14:textId="77777777" w:rsidR="00AC140A" w:rsidRDefault="00546A89">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By-value components</w:t>
      </w:r>
    </w:p>
    <w:p w14:paraId="101EB021" w14:textId="77777777" w:rsidR="00AC140A" w:rsidRPr="00276684"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p>
    <w:p w14:paraId="04579492"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Such a component, the value of which is found by reference to the customs value of goods, can be referred to as a “by-value” component.</w:t>
      </w:r>
    </w:p>
    <w:p w14:paraId="2EEB4975" w14:textId="77777777" w:rsidR="00AC140A" w:rsidRDefault="00546A89">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Specific components</w:t>
      </w:r>
    </w:p>
    <w:p w14:paraId="136DCB9F" w14:textId="77777777" w:rsidR="00AC140A" w:rsidRPr="00276684"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76295C7D"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2BCE1D6C" w14:textId="77777777" w:rsidR="00AC140A" w:rsidRDefault="00546A8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1D4B955F" w14:textId="77777777" w:rsidR="00AC140A" w:rsidRDefault="00546A89">
      <w:pPr>
        <w:spacing w:after="120" w:line="312" w:lineRule="auto"/>
        <w:ind w:firstLine="284"/>
        <w:jc w:val="both"/>
        <w:rPr>
          <w:rFonts w:ascii="Times New Roman" w:hAnsi="Times New Roman" w:cs="Times New Roman"/>
          <w:b/>
          <w:bCs/>
        </w:rPr>
      </w:pPr>
      <w:r>
        <w:rPr>
          <w:rFonts w:ascii="Times New Roman" w:hAnsi="Times New Roman" w:cs="Times New Roman"/>
          <w:b/>
          <w:bCs/>
        </w:rPr>
        <w:t>Other</w:t>
      </w:r>
    </w:p>
    <w:p w14:paraId="77AE2EE1" w14:textId="77777777" w:rsidR="00AC140A" w:rsidRDefault="00546A89">
      <w:pPr>
        <w:pStyle w:val="ListParagraph"/>
        <w:numPr>
          <w:ilvl w:val="0"/>
          <w:numId w:val="5"/>
        </w:numPr>
        <w:spacing w:after="120" w:line="312" w:lineRule="auto"/>
        <w:contextualSpacing w:val="0"/>
        <w:jc w:val="both"/>
        <w:rPr>
          <w:rFonts w:ascii="Times New Roman" w:hAnsi="Times New Roman" w:cs="Times New Roman"/>
        </w:rPr>
      </w:pPr>
      <w:r>
        <w:rPr>
          <w:rFonts w:ascii="Times New Roman" w:hAnsi="Times New Roman" w:cs="Times New Roman"/>
        </w:rPr>
        <w:t>Where a date range in the format “DD-MM to DD-MM” appears in column 3, the preferential duty rate in that row is only applicable during that date range.</w:t>
      </w:r>
    </w:p>
    <w:p w14:paraId="704977FA" w14:textId="77777777" w:rsidR="00AC140A" w:rsidRDefault="00546A89">
      <w:pPr>
        <w:pStyle w:val="Heading1"/>
        <w:pageBreakBefore/>
      </w:pPr>
      <w:r>
        <w:lastRenderedPageBreak/>
        <w:t xml:space="preserve">ANNEX I </w:t>
      </w:r>
      <w:r>
        <w:br/>
        <w:t>PREFERENTIAL DUTY TARIFF TABLE</w:t>
      </w:r>
    </w:p>
    <w:p w14:paraId="4D8CB6F8" w14:textId="77777777" w:rsidR="00AC140A" w:rsidRDefault="00546A89">
      <w:pPr>
        <w:pStyle w:val="Numberedlist"/>
        <w:numPr>
          <w:ilvl w:val="0"/>
          <w:numId w:val="6"/>
        </w:numPr>
        <w:ind w:left="357" w:hanging="357"/>
        <w:rPr>
          <w:sz w:val="22"/>
          <w:szCs w:val="24"/>
        </w:rPr>
      </w:pPr>
      <w:r>
        <w:rPr>
          <w:sz w:val="22"/>
          <w:szCs w:val="24"/>
        </w:rPr>
        <w:t>This table sets out the preferential duty rates for the Agreement, under regulation 3 of the Regulations.</w:t>
      </w:r>
    </w:p>
    <w:p w14:paraId="2A541965" w14:textId="77777777" w:rsidR="00AC140A" w:rsidRDefault="00546A89">
      <w:pPr>
        <w:pStyle w:val="Numberedlist"/>
        <w:ind w:left="357" w:hanging="357"/>
        <w:rPr>
          <w:sz w:val="22"/>
          <w:szCs w:val="24"/>
        </w:rPr>
      </w:pPr>
      <w:r>
        <w:rPr>
          <w:sz w:val="22"/>
          <w:szCs w:val="24"/>
        </w:rPr>
        <w:t xml:space="preserve">The commodity code in column 1 is defined in regulation 2(3) of the Tariff Regulations. </w:t>
      </w:r>
    </w:p>
    <w:p w14:paraId="775EEE3C" w14:textId="77777777" w:rsidR="00AC140A" w:rsidRDefault="00546A89">
      <w:pPr>
        <w:pStyle w:val="Numberedlist"/>
        <w:ind w:left="357" w:hanging="357"/>
        <w:rPr>
          <w:sz w:val="22"/>
        </w:rPr>
      </w:pPr>
      <w:r>
        <w:rPr>
          <w:sz w:val="22"/>
        </w:rPr>
        <w:t>The preferential duty rate in column 2 is defined in regulation 2(1) of the Regulations.</w:t>
      </w:r>
    </w:p>
    <w:p w14:paraId="0FE67CFE" w14:textId="77777777" w:rsidR="00AC140A" w:rsidRDefault="00546A89">
      <w:pPr>
        <w:pStyle w:val="Heading4"/>
        <w:rPr>
          <w:rFonts w:ascii="Times New Roman" w:hAnsi="Times New Roman"/>
          <w:i w:val="0"/>
          <w:iCs w:val="0"/>
          <w:color w:val="auto"/>
        </w:rPr>
      </w:pPr>
      <w:r>
        <w:rPr>
          <w:rFonts w:ascii="Times New Roman" w:hAnsi="Times New Roman"/>
          <w:i w:val="0"/>
          <w:iCs w:val="0"/>
          <w:color w:val="auto"/>
        </w:rPr>
        <w:t>SERBIA PREFERENTIAL DUTY RATES</w:t>
      </w:r>
    </w:p>
    <w:tbl>
      <w:tblPr>
        <w:tblW w:w="4068" w:type="dxa"/>
        <w:tblCellMar>
          <w:left w:w="10" w:type="dxa"/>
          <w:right w:w="10" w:type="dxa"/>
        </w:tblCellMar>
        <w:tblLook w:val="04A0" w:firstRow="1" w:lastRow="0" w:firstColumn="1" w:lastColumn="0" w:noHBand="0" w:noVBand="1"/>
      </w:tblPr>
      <w:tblGrid>
        <w:gridCol w:w="1811"/>
        <w:gridCol w:w="2257"/>
      </w:tblGrid>
      <w:tr w:rsidR="00AC140A" w14:paraId="21758D26" w14:textId="77777777">
        <w:trPr>
          <w:trHeight w:val="514"/>
          <w:tblHeader/>
        </w:trPr>
        <w:tc>
          <w:tcPr>
            <w:tcW w:w="18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55E63B" w14:textId="77777777" w:rsidR="00AC140A" w:rsidRDefault="00546A89">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326E23A0" w14:textId="77777777" w:rsidR="00AC140A" w:rsidRDefault="00546A89">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Commodity code</w:t>
            </w:r>
          </w:p>
        </w:tc>
        <w:tc>
          <w:tcPr>
            <w:tcW w:w="225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5981D3" w14:textId="77777777" w:rsidR="00AC140A" w:rsidRDefault="00546A89">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2D6472D" w14:textId="77777777" w:rsidR="00AC140A" w:rsidRDefault="00546A89">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Preferential duty rate</w:t>
            </w:r>
          </w:p>
        </w:tc>
      </w:tr>
      <w:tr w:rsidR="00AC140A" w14:paraId="58BB86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4B1C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14603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CE1BB3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3607C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61B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FF6B60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D875A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25D8A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7E5080C" w14:textId="77777777">
        <w:trPr>
          <w:cantSplit/>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B2C9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ECA0E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35DDD8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7277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5393E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A2B222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98C3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50EF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67966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9C32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51781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DE9223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6C424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8037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A60FE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D1ED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FBC2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DAA6E3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105D6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BF74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26BC79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52B40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D25DF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3895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D5A7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8E895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EE9A7E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D5758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09F4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9FB6C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DC552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0301.19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BB0D5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50047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6F868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0301.91.10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7C0E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3873CB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244C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0301.91.90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4EFE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2A7939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C815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DB5C8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1A98194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A76AB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5840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1376E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E8CD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ECC7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BE28D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96892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0301.99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86B8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F4E8D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F2E2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0302.11.10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B2F9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774D35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A59D2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0302.11.20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8B6FC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41288E7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3F59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0302.11.80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F26C1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1396948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EE070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90804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26B82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CD3D1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AC5AD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DF904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72E71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919A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03CD9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BCEB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D6245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999108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B554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432A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CF4953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1C0A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D1429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0348B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0D2A3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191B2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02AD0A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850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B823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C8BB44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93D6A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DEC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A06401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05FB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B42BE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39B9EE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D650F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C984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D9A9E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B26E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0302.34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168B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E0105E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1B1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8ABB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1C3889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4BD7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90100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11EEF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5C4E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45EA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282D97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DB9C4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0615E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B15A3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DCA96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5CB19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E00E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2008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0E72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8618BF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A73CB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1A2D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BE082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44606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33DE3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7423FB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499A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7339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6BE37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92CA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264B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B5D82B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5538B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C9A0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71DCD9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6D6D1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FF02D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43E846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6637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7E959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C9F6BF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AFBA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44F60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4E18C9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FCF0F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5FE1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8A6A75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DAC38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C3A5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CF0D7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FAEE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964B2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5B7C26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43407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D6A6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3C8CB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AA43E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FC0E9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231C3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4588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681E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25E099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C234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830B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68FB433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A3C87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4F584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3C02E0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4F36B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366E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FD80F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B352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77D2A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40C93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316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0417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74D87E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4259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D3B1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ED80AE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64052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25BD3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45A63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26C3F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38AD3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7F6E5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A3943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7A1EA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8A87C8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D3253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48170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A84428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D183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7988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3F44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F7E3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CA9E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E3BA4A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3ABCC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8D18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7910D2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2773E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0303.14.10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54BF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6.30%</w:t>
            </w:r>
          </w:p>
        </w:tc>
      </w:tr>
      <w:tr w:rsidR="00AC140A" w14:paraId="2CED1EC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2EAE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0303.14.20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AC0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725A9F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3ACC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0303.14.90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78C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5FAC099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8631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0303.19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1E9E5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751493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F8342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0303.23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F6922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4E6CA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72B09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0303.24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DD3E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F73321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FD7B1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0303.25.00.00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693DC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3A95A5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55648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0303.29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DCC5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5FD6B5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0BAA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1606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4271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0D0EA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F8E3A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DFFF1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0C3AF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0303.33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F0DC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08CAC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E4227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0303.34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A3B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FB51A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C64A7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0303.39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38BB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4A98AF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25F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3C2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84DC69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44A66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0AF9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FCCC48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C978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391C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0007B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B65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95FE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D04F9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9B513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7F66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3239F8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F3F20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97D71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34FE4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AC709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0303.49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6803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2B72C4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FD804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2E065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CA550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2B4BE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AE2A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CFEE37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0544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A6F5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8F2C02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68BA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C68BE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6E47E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2E6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25F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5DF0F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C904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703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E9F592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53807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0303.59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73054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8FB6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2C028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931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2A83B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4622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A55B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CDD510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012E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50411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6778DC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79DB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E6773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050F46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6281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BCC15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8C9A88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DD5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B7D7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27ACA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5342D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0303.69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393A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BF27BF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C912B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DEC32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1535A1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8BDFF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D04F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24415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B3AAE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F25A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F7478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01E11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25713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E78843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38EBB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B6DE3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44399A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759C8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01EF3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47CCAC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697E3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1CF8A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6A2290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7B3A1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702E0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5AB5D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0B8B7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1287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7C3C4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602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0304.39.00.10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127E1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8EB88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2251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0304.39.00.20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9036A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6.30%</w:t>
            </w:r>
          </w:p>
        </w:tc>
      </w:tr>
      <w:tr w:rsidR="00AC140A" w14:paraId="2BCE19B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4A15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0304.39.00.90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6267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B7A501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BD58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008EF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57A92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5F1D1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0304.42.10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EC68B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1EFCF81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474D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0304.42.50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254D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6.30%</w:t>
            </w:r>
          </w:p>
        </w:tc>
      </w:tr>
      <w:tr w:rsidR="00AC140A" w14:paraId="57A41E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C5A71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0304.42.90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A76A4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775BC7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380C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0D22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7D52E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FEEB4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94E9A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133FF2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535B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89E0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9E3CD5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0A8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4CEF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2C2E2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48674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0304.47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AEFA3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49F1CA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6A025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9F66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376FDA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1BB5F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0304.49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1C45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8852FB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CB4C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0304.51.00.10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E0CF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74A3CC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84BE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0304.51.00.90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6422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F8759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F75B9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0304.52.00.10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82260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585742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2EB8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0304.52.00.90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3830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0C9749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855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9DCD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9009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8B0B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4A684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5A388E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BAB81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5FFC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3E7D2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C8FF7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DF68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418CC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82F4C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466C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0E8F5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661E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0304.59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972EB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77DDC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25F91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D0C76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BD94E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6E17A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8E8D8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BE3D0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9D2E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5E30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7B180A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CD03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0304.69.00.10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00185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E0AF7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A1DE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0304.69.00.20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D4B40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6.30%</w:t>
            </w:r>
          </w:p>
        </w:tc>
      </w:tr>
      <w:tr w:rsidR="00AC140A" w14:paraId="48E4EF5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C912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0304.69.00.90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B3CB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656588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BE41D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14E5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ED3EA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8E60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2159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7E8F4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C9890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B466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0BB462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00469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A1580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2340C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F542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C646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5365F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CA78D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0304.79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AA70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FA89B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F842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D656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65E744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0D0B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0304.82.10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2FAD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58B125E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ED3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0304.82.50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24D94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6.30%</w:t>
            </w:r>
          </w:p>
        </w:tc>
      </w:tr>
      <w:tr w:rsidR="00AC140A" w14:paraId="5A56E49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08F5D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0304.82.90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CB7BB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6EED6D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8B5F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C712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6F54A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93CD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4CCA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E3F27B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356A9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476D7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BC65C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2E41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54BC3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0E56F4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1F3F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89FE1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97291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AD62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275EF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A16A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570DC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0304.88.15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B8124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EED17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6E93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0304.88.18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1D450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28CE2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A57EF5" w14:textId="7DC743C0" w:rsidR="00AC140A" w:rsidRDefault="00DE757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0304.88.22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45DB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DE7573" w14:paraId="79EAE7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6B37FF" w14:textId="332EB1B3" w:rsidR="00DE7573" w:rsidRDefault="00DE757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0304.88.29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503AC2" w14:textId="54E94970" w:rsidR="00DE7573" w:rsidRDefault="00DE757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B9D82F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0426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0304.89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9080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0083F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B7067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7EF16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3F430E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D287E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34F4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084F3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04E1E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0304.93.10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5BB03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9AEDF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6BDF0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0304.93.90.10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7218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24E2FA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4FA7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0304.93.90.90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AAD9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143516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B0457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56E4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7D6AC7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7F46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87EE8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FB0DCD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297D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7C15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4587D8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5848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996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8322A0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D3ED7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4AF1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360D68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828A4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FFDA2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3D30DB2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1289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0304.99.21.12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6BFDD0A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53D3E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0304.99.21.13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F577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4D914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39E96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0304.99.21.15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BC461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5A9597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E4378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418D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w:t>
            </w:r>
          </w:p>
        </w:tc>
      </w:tr>
      <w:tr w:rsidR="00AC140A" w14:paraId="5C46FC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DA7CB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0304.99.21.90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EE80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78BB90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63C66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BF577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715BA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4686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0304.99.29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9971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47F2A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96F6F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0304.99.55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CAFF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8A0C8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34824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6AB9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83AF58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2BCA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CF11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7C7B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ADA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0304.99.99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BBE3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8868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8A6BD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8963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B54223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5DF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0305.31.00.10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31FB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11.20%</w:t>
            </w:r>
          </w:p>
        </w:tc>
      </w:tr>
      <w:tr w:rsidR="00AC140A" w14:paraId="5682E3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B1926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0305.31.00.90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4ABEB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6B83CD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2CCE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BAE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721A3F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0408A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CDFAF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9212A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BB9C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32137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CA615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BBC7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908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11.20%</w:t>
            </w:r>
          </w:p>
        </w:tc>
      </w:tr>
      <w:tr w:rsidR="00AC140A" w14:paraId="64AA71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A59E0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CC2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2871E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D4599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7EB8D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D61E1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BB254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90BAF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DFCFE0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6210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D14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0B9D8D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A97AE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0305.39.90.60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BCF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ECCBE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079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F4F7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A8E8E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AB39C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D528E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30F27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F3AB1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0305.39.90.80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6EDD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94783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F9E0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0305.39.90.90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F405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8DF52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D3ABD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35D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CFE0D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5F9B1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CE14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FF5B10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483BC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2A7C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9.80%</w:t>
            </w:r>
          </w:p>
        </w:tc>
      </w:tr>
      <w:tr w:rsidR="00AC140A" w14:paraId="7176701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5448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0305.44.10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7361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F79E8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B6877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0305.44.90.10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77656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9.80%</w:t>
            </w:r>
          </w:p>
        </w:tc>
      </w:tr>
      <w:tr w:rsidR="00AC140A" w14:paraId="4739CE6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D3868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0305.44.90.90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DDE8D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DFCB3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11B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0305.49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4A5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366D14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9A23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204E4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F38B2B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777D7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41A1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0BE48E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2C638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31E7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026678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43505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0305.54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E790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B86EFC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5D5E6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FCA65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88F05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A8EB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32BA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E3704B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E0680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0305.59.85.45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0349E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A7D5AC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BC228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4F37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64572A7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10346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0305.59.85.64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6F80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6407F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0521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DC3DE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D7FC31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71834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0305.59.85.67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C610D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B8D6D2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6D41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C386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D6E69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A0B2C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0305.59.85.90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F664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D056C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DC665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FAF5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C401B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1B70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B0E4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E15D4E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77787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5543C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9268E2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570D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0305.64.00.10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5E60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022BD74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2878C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0305.64.00.90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E92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1F051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EE27A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3938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A944A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84CD4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C46CF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E22A47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F3ED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B2CC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8353F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0D3E7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21C9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ED318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C5CA3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0305.69.80.25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EC49A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BB6DA9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54A97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F5BF4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6C6962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ED73C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7F82B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7A2F8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7A15D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4357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8A89D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18E00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5706B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5F1B1B0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A392C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0305.69.80.64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1DF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3C508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9EF4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8C848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26320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EFB7E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0305.69.80.67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6F0D6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E800C7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D3A24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05119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FC06DF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A354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0305.69.80.90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B942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E4011D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46BBE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A432D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CC9CA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A335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9135C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87D331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5AE5A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0305.79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8A63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001E32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1DF2A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3409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C06887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44A9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DC97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25479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ADF37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27C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EF6641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6EEA3" w14:textId="77777777" w:rsidR="00AC140A" w:rsidRDefault="00546A89">
            <w:pPr>
              <w:spacing w:after="0" w:line="240" w:lineRule="auto"/>
              <w:rPr>
                <w:rFonts w:ascii="Times New Roman" w:eastAsia="Times New Roman" w:hAnsi="Times New Roman" w:cs="Times New Roman"/>
                <w:color w:val="000000"/>
                <w:lang w:eastAsia="en-GB"/>
              </w:rPr>
            </w:pPr>
            <w:bookmarkStart w:id="0" w:name="_Hlk91241141"/>
            <w:r>
              <w:rPr>
                <w:rFonts w:ascii="Times New Roman" w:eastAsia="Times New Roman" w:hAnsi="Times New Roman" w:cs="Times New Roman"/>
                <w:color w:val="000000"/>
                <w:lang w:eastAsia="en-GB"/>
              </w:rPr>
              <w:t>0309.10.00.10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8DC61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1EE7D4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B5F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40C59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8.40%</w:t>
            </w:r>
          </w:p>
        </w:tc>
      </w:tr>
      <w:tr w:rsidR="00AC140A" w14:paraId="7FDEBC3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D3964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9BB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D062B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E674F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0309.10.00.35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15D5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EC53C0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B3E22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896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bookmarkEnd w:id="0"/>
      <w:tr w:rsidR="00AC140A" w14:paraId="1046FEC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9DBE5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9B5CE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070394" w14:paraId="436CD2BC" w14:textId="77777777" w:rsidTr="00070394">
        <w:trPr>
          <w:trHeight w:val="74"/>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A8E65F" w14:textId="3328675B" w:rsidR="00070394" w:rsidRDefault="00070394" w:rsidP="0007039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A8855" w14:textId="2FA22625" w:rsidR="00070394" w:rsidRDefault="00070394" w:rsidP="00070394">
            <w:pPr>
              <w:spacing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1B1DA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DD566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49A0F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39185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3BE9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36A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8DC72B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A8555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06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E22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036FB5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28B83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3097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626AB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554DC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960AB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C2595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94324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5AD83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5342AE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F1329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2F9A0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6EEC01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F84A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713AE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C1024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4CD17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D375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FCC2BE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4E4E5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1FE62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F58907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BCDAF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9095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7E59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A3BA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F787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46DB4A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2F362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CB80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CA94E0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B8FE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C006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D7A7B8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2278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793F3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D25E95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E157A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EDC1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w:t>
            </w:r>
          </w:p>
        </w:tc>
      </w:tr>
      <w:tr w:rsidR="00AC140A" w14:paraId="4B9B80B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75F9F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1604.12.10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32B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10.50%</w:t>
            </w:r>
          </w:p>
        </w:tc>
      </w:tr>
      <w:tr w:rsidR="00AC140A" w14:paraId="3908F1C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6990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1604.12.91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491DC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307BB3D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31256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1604.12.99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73E74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398FDD7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AEB89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C33E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8.70%</w:t>
            </w:r>
          </w:p>
        </w:tc>
      </w:tr>
      <w:tr w:rsidR="00AC140A" w14:paraId="4E8FAB5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30E39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725B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44AD44C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ADD13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413C2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53E8E6B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33C73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1604.14.28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6DF1F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1442807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E83E6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AF685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018C3A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4610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EFC60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0BBBDC3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A68F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1604.14.38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CF389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2E9AB7A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FCFE0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A9512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52005F0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8573B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5F83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14A4A8E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4A56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1604.14.48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F7F5F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567687E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EF7B8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1604.14.90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2E8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6D5F058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493A2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1604.15.11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49E18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403F45A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449C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1604.15.19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E946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550C71B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5FC72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1604.15.90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68C2F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2834583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73809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18745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23522B7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926A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D758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502242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5B087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6198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4061B2E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704A6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4677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4.90%</w:t>
            </w:r>
          </w:p>
        </w:tc>
      </w:tr>
      <w:tr w:rsidR="00AC140A" w14:paraId="53D066B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18C84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C8BB9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7199095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02625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1604.19.39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44D5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798387E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08CBB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7BF56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8.70%</w:t>
            </w:r>
          </w:p>
        </w:tc>
      </w:tr>
      <w:tr w:rsidR="00AC140A" w14:paraId="68C92A4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00937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4FB4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5.20%</w:t>
            </w:r>
          </w:p>
        </w:tc>
      </w:tr>
      <w:tr w:rsidR="00AC140A" w14:paraId="25668EC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681B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F95CB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02C8471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8142C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EB091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387833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5C1CE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CD210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3482319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69074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948F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2DF8D35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B4FDE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1604.19.97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CE8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2CCB9A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D0315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1604.20.05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242D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059F18C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EE7EB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1604.20.10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80EA0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w:t>
            </w:r>
          </w:p>
        </w:tc>
      </w:tr>
      <w:tr w:rsidR="00AC140A" w14:paraId="7973226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6B5C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9710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4.90%</w:t>
            </w:r>
          </w:p>
        </w:tc>
      </w:tr>
      <w:tr w:rsidR="00AC140A" w14:paraId="06DA403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FB3D4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6ABCC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00AA8C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DF6BB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3C8C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17.50%</w:t>
            </w:r>
          </w:p>
        </w:tc>
      </w:tr>
      <w:tr w:rsidR="00AC140A" w14:paraId="6C823D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D08D5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BFB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16.80%</w:t>
            </w:r>
          </w:p>
        </w:tc>
      </w:tr>
      <w:tr w:rsidR="00AC140A" w14:paraId="48E7E21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780D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1604.20.90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7140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9.80%</w:t>
            </w:r>
          </w:p>
        </w:tc>
      </w:tr>
      <w:tr w:rsidR="00AC140A" w14:paraId="3BEE4B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8E01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9055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531173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E096A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FF6D5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14.00%</w:t>
            </w:r>
          </w:p>
        </w:tc>
      </w:tr>
      <w:tr w:rsidR="00AC140A" w14:paraId="3573AC0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7D3CE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6276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206AC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9B9F8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3B1B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D07456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185CF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B38BC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28482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FDC20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086E8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AE7C1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85CC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2B5E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CCADFB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FA81B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01F3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AFED96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F6568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2AFC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648F8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E762B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3E58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D2327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77261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FDD00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5E105F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C0ECD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4B0A9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BCB68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AE8B6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27C55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12A370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7FC55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C301D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FC2BF1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8EAC1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BC07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45E8AA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28A70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9B6AD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F1A562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FA0CA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C3157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7F107B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69238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43B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C9336E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23BC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CB0B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E057F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D925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D3A7F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1FC919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9BB4D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462B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E3BECF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6A897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28E09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66C30D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DF63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BE1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41993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9B516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F6C7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8BBB9E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F36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00B20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0B1867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D86FD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488F6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9F1ECF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80FB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91BF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1D873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1D19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42B2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8F6EE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12F4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DEF8A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12070A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3DBC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4438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BB28A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8DCCB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F38ED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60A4AD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12FC5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664F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2E4325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E5716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CFDE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1053D1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6C4E1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FD507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FC7FC0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05CDB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B0981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7C8887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1B95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37691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5BB254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279AD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6BF5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45935C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924EC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43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E488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75229F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7168E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D2AD6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01036EC"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1FFC3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C630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07180D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17CFB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89042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70BFF2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67CFA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6321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04DA84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479B5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1EFFF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AE1551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C881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D1F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8CB38A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89399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3AD4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61D2BA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498A4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49B7C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7D2C02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0B35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D967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50BFEE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227F7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1F11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41B0E5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3F29F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39526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DBFE86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0E54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67F8C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874426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6435F6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B0D8A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3CE1A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44B0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5FFF3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5B9DF6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D4B0F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9643F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24AFBD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BB49C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094FE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05682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CB71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F969A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DF402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D7A01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25672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0FB2EA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1EE2A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EA3B8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9BE5D1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39400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AA02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196295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07322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1BA50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6B1195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BC28B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222E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9CCE16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26AF6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24834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8F2A7D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EF34F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D06D0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397F12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1CB85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8E36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F17065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0B5B2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B5D0C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09906A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5AD2E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58E01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6A316E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2150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0D2DC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1A0AA40"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B3227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3E1B0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5F62D3B"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B01BA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1138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3E6A7C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32037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B5CD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20751753"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BF9C8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E44D4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97E9AD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0C9B0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4272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2BE7998"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07399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94FF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E3F750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BB08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BF417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BD26D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7A797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2D33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0880AA7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88D63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F8F7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B1D118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975D2"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C9CF2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05F5D1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35C29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768880"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3E9C10E"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82CC8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CAE5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86D8049"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03AC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BFED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7D711544"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DF511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7317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030A19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9C1A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6BF2C"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B68F10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B34CC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88</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58054"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7B0D73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F3839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0B2C5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135E329A"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3CB84F"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90</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77A76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40413997"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C7EE0D"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0433BA"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8300332"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4B3996"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92</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ED0043"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8B45471"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F794D8"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5E9B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5DE74476"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18652B"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94</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EDEE9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9B741C5"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A5DC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2B6465"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640A564F"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62FC8E"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96</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FB331"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AC140A" w14:paraId="3FD8872D" w14:textId="77777777">
        <w:trPr>
          <w:trHeight w:val="290"/>
        </w:trPr>
        <w:tc>
          <w:tcPr>
            <w:tcW w:w="1811"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E0A09"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97</w:t>
            </w:r>
          </w:p>
        </w:tc>
        <w:tc>
          <w:tcPr>
            <w:tcW w:w="225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F3E657" w14:textId="77777777" w:rsidR="00AC140A" w:rsidRDefault="00546A89">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bl>
    <w:p w14:paraId="70C68EA7" w14:textId="77777777" w:rsidR="00AC140A" w:rsidRDefault="00AC140A">
      <w:pPr>
        <w:sectPr w:rsidR="00AC140A">
          <w:footerReference w:type="default" r:id="rId11"/>
          <w:pgSz w:w="11906" w:h="16838"/>
          <w:pgMar w:top="1440" w:right="1440" w:bottom="1440" w:left="1440" w:header="708" w:footer="708" w:gutter="0"/>
          <w:cols w:space="720"/>
        </w:sectPr>
      </w:pPr>
    </w:p>
    <w:p w14:paraId="0C5B9D8C" w14:textId="77777777" w:rsidR="00AC140A" w:rsidRDefault="00546A89">
      <w:pPr>
        <w:pStyle w:val="Heading1"/>
      </w:pPr>
      <w:bookmarkStart w:id="1" w:name="_Hlk55998536"/>
      <w:r>
        <w:lastRenderedPageBreak/>
        <w:t xml:space="preserve">ANNEX II </w:t>
      </w:r>
      <w:bookmarkEnd w:id="1"/>
      <w:r>
        <w:br/>
        <w:t xml:space="preserve">PREFERENTIAL QUOTA TABLE </w:t>
      </w:r>
    </w:p>
    <w:p w14:paraId="31B7C785" w14:textId="0EF2BAEA" w:rsidR="00AC140A" w:rsidRDefault="00546A89">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This table sets out the quota duty rates for the Agreement, under regulation 4 of the Regulations</w:t>
      </w:r>
      <w:r w:rsidR="00446872">
        <w:rPr>
          <w:rFonts w:cs="Times New Roman"/>
          <w:sz w:val="22"/>
        </w:rPr>
        <w:t xml:space="preserve"> </w:t>
      </w:r>
      <w:r>
        <w:rPr>
          <w:rFonts w:cs="Times New Roman"/>
          <w:sz w:val="22"/>
        </w:rPr>
        <w:t>and</w:t>
      </w:r>
      <w:r w:rsidR="00446872">
        <w:rPr>
          <w:rFonts w:cs="Times New Roman"/>
          <w:sz w:val="22"/>
        </w:rPr>
        <w:t xml:space="preserve"> </w:t>
      </w:r>
      <w:r>
        <w:rPr>
          <w:rFonts w:cs="Times New Roman"/>
          <w:sz w:val="22"/>
        </w:rPr>
        <w:t>the quota number in column 1 is defined in regulation 2(1) of the Regulations. </w:t>
      </w:r>
    </w:p>
    <w:p w14:paraId="726E13FA" w14:textId="77777777"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 xml:space="preserve">Column 2 indicates whether goods classified against the commodity code in that row are subject to an origin quota, as defined in regulation 7(1) of the Regulations. </w:t>
      </w:r>
    </w:p>
    <w:p w14:paraId="040155C9" w14:textId="77777777"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The commodity code in column 3 is defined in regulation 2(3) of the Tariff Regulations. </w:t>
      </w:r>
    </w:p>
    <w:p w14:paraId="4244AC27" w14:textId="202BF662"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The quota duty rate</w:t>
      </w:r>
      <w:r w:rsidR="00446872">
        <w:rPr>
          <w:rFonts w:cs="Times New Roman"/>
          <w:sz w:val="22"/>
        </w:rPr>
        <w:t xml:space="preserve"> </w:t>
      </w:r>
      <w:r>
        <w:rPr>
          <w:rFonts w:cs="Times New Roman"/>
          <w:sz w:val="22"/>
        </w:rPr>
        <w:t>in column 4 is defined in regulation 4(3) of the Regulations</w:t>
      </w:r>
      <w:r w:rsidR="00276684">
        <w:rPr>
          <w:rFonts w:cs="Times New Roman"/>
          <w:sz w:val="22"/>
        </w:rPr>
        <w:t xml:space="preserve">. </w:t>
      </w:r>
    </w:p>
    <w:p w14:paraId="5F8D2D7B" w14:textId="59C60AF0"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The quota volume in column 5 is the maximum quantity of quota goods that can be imported under the quota during the quota period</w:t>
      </w:r>
      <w:r w:rsidR="00446872">
        <w:rPr>
          <w:rFonts w:cs="Times New Roman"/>
          <w:sz w:val="22"/>
        </w:rPr>
        <w:t xml:space="preserve"> </w:t>
      </w:r>
      <w:r>
        <w:rPr>
          <w:rFonts w:cs="Times New Roman"/>
          <w:sz w:val="22"/>
        </w:rPr>
        <w:t xml:space="preserve">under regulation 9 of the Regulations. </w:t>
      </w:r>
    </w:p>
    <w:p w14:paraId="4616B54E" w14:textId="0FD6EBDA"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 xml:space="preserve">Columns 6 and 7 show the quota period as defined in regulation 8(1) of the Regulations. </w:t>
      </w:r>
    </w:p>
    <w:p w14:paraId="73960780" w14:textId="4849A021" w:rsidR="00546A89"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Column 8 indicates the unit for the volume. SME refers to “square metre equivalent</w:t>
      </w:r>
      <w:r w:rsidR="00276684">
        <w:rPr>
          <w:rFonts w:cs="Times New Roman"/>
          <w:sz w:val="22"/>
        </w:rPr>
        <w:t>.”</w:t>
      </w:r>
      <w:r>
        <w:rPr>
          <w:rFonts w:cs="Times New Roman"/>
          <w:sz w:val="22"/>
        </w:rPr>
        <w:t xml:space="preserve"> “hl” refers to hectolitre. </w:t>
      </w:r>
    </w:p>
    <w:p w14:paraId="32F3C8D3" w14:textId="18B88F8C" w:rsidR="00AC140A" w:rsidRDefault="00546A89">
      <w:pPr>
        <w:pStyle w:val="Numberedlist-quotas"/>
        <w:numPr>
          <w:ilvl w:val="0"/>
          <w:numId w:val="7"/>
        </w:numPr>
        <w:tabs>
          <w:tab w:val="clear" w:pos="357"/>
          <w:tab w:val="left" w:pos="360"/>
        </w:tabs>
        <w:spacing w:line="336" w:lineRule="auto"/>
        <w:ind w:left="360"/>
        <w:rPr>
          <w:rFonts w:cs="Times New Roman"/>
          <w:sz w:val="22"/>
        </w:rPr>
      </w:pPr>
      <w:r>
        <w:rPr>
          <w:rFonts w:cs="Times New Roman"/>
          <w:sz w:val="22"/>
        </w:rPr>
        <w:t xml:space="preserve">Column 9 refers to additional notes, if applicable. </w:t>
      </w:r>
      <w:r w:rsidR="00C123F8">
        <w:rPr>
          <w:rFonts w:cs="Times New Roman"/>
          <w:sz w:val="22"/>
        </w:rPr>
        <w:t>Entries in column 9 have the following meaning:</w:t>
      </w:r>
    </w:p>
    <w:p w14:paraId="4D6C1075" w14:textId="0C0ACC93" w:rsidR="00AC140A" w:rsidRDefault="00546A89">
      <w:pPr>
        <w:pStyle w:val="Numberedlist-quotas"/>
        <w:numPr>
          <w:ilvl w:val="0"/>
          <w:numId w:val="0"/>
        </w:numPr>
        <w:tabs>
          <w:tab w:val="clear" w:pos="357"/>
        </w:tabs>
        <w:spacing w:line="336" w:lineRule="auto"/>
        <w:ind w:left="360" w:hanging="360"/>
        <w:sectPr w:rsidR="00AC140A">
          <w:headerReference w:type="default" r:id="rId12"/>
          <w:footerReference w:type="default" r:id="rId13"/>
          <w:pgSz w:w="11906" w:h="16838"/>
          <w:pgMar w:top="1440" w:right="1440" w:bottom="1440" w:left="1440" w:header="720" w:footer="720" w:gutter="0"/>
          <w:cols w:space="720"/>
        </w:sectPr>
      </w:pPr>
      <w:r>
        <w:rPr>
          <w:rFonts w:cs="Times New Roman"/>
          <w:b/>
          <w:bCs/>
          <w:sz w:val="22"/>
        </w:rPr>
        <w:t>A</w:t>
      </w:r>
      <w:r>
        <w:rPr>
          <w:rFonts w:cs="Times New Roman"/>
          <w:sz w:val="22"/>
        </w:rPr>
        <w:t xml:space="preserve">: </w:t>
      </w:r>
      <w:r w:rsidR="007A4037">
        <w:rPr>
          <w:rFonts w:cs="Times New Roman"/>
          <w:sz w:val="22"/>
        </w:rPr>
        <w:t>Q</w:t>
      </w:r>
      <w:r>
        <w:rPr>
          <w:rFonts w:cs="Times New Roman"/>
          <w:sz w:val="22"/>
        </w:rPr>
        <w:t>uota</w:t>
      </w:r>
      <w:r w:rsidR="007A4037">
        <w:rPr>
          <w:rFonts w:cs="Times New Roman"/>
          <w:sz w:val="22"/>
        </w:rPr>
        <w:t xml:space="preserve"> </w:t>
      </w:r>
      <w:r w:rsidR="007A4037" w:rsidRPr="007A4037">
        <w:rPr>
          <w:rFonts w:cs="Times New Roman"/>
          <w:sz w:val="22"/>
        </w:rPr>
        <w:t>05.1534</w:t>
      </w:r>
      <w:r>
        <w:rPr>
          <w:rFonts w:cs="Times New Roman"/>
          <w:sz w:val="22"/>
        </w:rPr>
        <w:t xml:space="preserve"> can only be accessed once the other wine quotas </w:t>
      </w:r>
      <w:r w:rsidR="004754F6">
        <w:rPr>
          <w:rFonts w:cs="Times New Roman"/>
          <w:sz w:val="22"/>
        </w:rPr>
        <w:t>(</w:t>
      </w:r>
      <w:r w:rsidR="00DE69AE">
        <w:rPr>
          <w:rFonts w:cs="Times New Roman"/>
          <w:sz w:val="22"/>
        </w:rPr>
        <w:t xml:space="preserve">quotas </w:t>
      </w:r>
      <w:r w:rsidR="00DE69AE" w:rsidRPr="00DE69AE">
        <w:rPr>
          <w:rFonts w:cs="Times New Roman"/>
          <w:sz w:val="22"/>
        </w:rPr>
        <w:t>05.1526 and 05.1527</w:t>
      </w:r>
      <w:r w:rsidR="00DE69AE">
        <w:rPr>
          <w:rFonts w:cs="Times New Roman"/>
          <w:sz w:val="22"/>
        </w:rPr>
        <w:t xml:space="preserve">) </w:t>
      </w:r>
      <w:r>
        <w:rPr>
          <w:rFonts w:cs="Times New Roman"/>
          <w:sz w:val="22"/>
        </w:rPr>
        <w:t>set out in this table have been exhausted.</w:t>
      </w:r>
    </w:p>
    <w:p w14:paraId="45C02F1F" w14:textId="77777777" w:rsidR="00AC140A" w:rsidRDefault="00546A89">
      <w:pPr>
        <w:spacing w:after="0" w:line="240" w:lineRule="auto"/>
        <w:rPr>
          <w:rFonts w:ascii="Times New Roman" w:hAnsi="Times New Roman" w:cs="Times New Roman"/>
          <w:b/>
          <w:bCs/>
          <w:u w:val="single"/>
        </w:rPr>
      </w:pPr>
      <w:r w:rsidRPr="00276684">
        <w:rPr>
          <w:rFonts w:ascii="Times New Roman" w:hAnsi="Times New Roman" w:cs="Times New Roman"/>
          <w:b/>
          <w:bCs/>
          <w:u w:val="single"/>
        </w:rPr>
        <w:lastRenderedPageBreak/>
        <w:t xml:space="preserve">SERBIA TARIFF QUOTAS </w:t>
      </w:r>
    </w:p>
    <w:p w14:paraId="5081CAC0" w14:textId="77777777" w:rsidR="00EC5362" w:rsidRPr="00276684" w:rsidRDefault="00EC5362">
      <w:pPr>
        <w:spacing w:after="0" w:line="240" w:lineRule="auto"/>
        <w:rPr>
          <w:rFonts w:ascii="Times New Roman" w:hAnsi="Times New Roman" w:cs="Times New Roman"/>
          <w:b/>
          <w:bCs/>
          <w:u w:val="single"/>
        </w:rPr>
      </w:pPr>
    </w:p>
    <w:tbl>
      <w:tblPr>
        <w:tblW w:w="11869" w:type="dxa"/>
        <w:tblCellMar>
          <w:left w:w="10" w:type="dxa"/>
          <w:right w:w="10" w:type="dxa"/>
        </w:tblCellMar>
        <w:tblLook w:val="04A0" w:firstRow="1" w:lastRow="0" w:firstColumn="1" w:lastColumn="0" w:noHBand="0" w:noVBand="1"/>
      </w:tblPr>
      <w:tblGrid>
        <w:gridCol w:w="980"/>
        <w:gridCol w:w="812"/>
        <w:gridCol w:w="1460"/>
        <w:gridCol w:w="2835"/>
        <w:gridCol w:w="1134"/>
        <w:gridCol w:w="1114"/>
        <w:gridCol w:w="1266"/>
        <w:gridCol w:w="1134"/>
        <w:gridCol w:w="1134"/>
      </w:tblGrid>
      <w:tr w:rsidR="001166F8" w14:paraId="581C26AD" w14:textId="77777777" w:rsidTr="001166F8">
        <w:trPr>
          <w:trHeight w:val="909"/>
          <w:tblHeader/>
        </w:trPr>
        <w:tc>
          <w:tcPr>
            <w:tcW w:w="9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78DC9133" w14:textId="4939E139"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(1) Quota number</w:t>
            </w:r>
          </w:p>
        </w:tc>
        <w:tc>
          <w:tcPr>
            <w:tcW w:w="812" w:type="dxa"/>
            <w:tcBorders>
              <w:top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40BB42AB" w14:textId="77777777"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(2) Origin Quota</w:t>
            </w:r>
          </w:p>
        </w:tc>
        <w:tc>
          <w:tcPr>
            <w:tcW w:w="146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AF97EBF" w14:textId="4C822511"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(3) Commodity code</w:t>
            </w:r>
          </w:p>
        </w:tc>
        <w:tc>
          <w:tcPr>
            <w:tcW w:w="2835" w:type="dxa"/>
            <w:tcBorders>
              <w:top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0436FF00" w14:textId="37D4E374" w:rsidR="00546A89" w:rsidRPr="003A08F7" w:rsidRDefault="00546A89" w:rsidP="00276684">
            <w:pPr>
              <w:spacing w:after="0" w:line="240" w:lineRule="auto"/>
              <w:jc w:val="center"/>
              <w:rPr>
                <w:rFonts w:ascii="Times New Roman" w:eastAsia="Times New Roman" w:hAnsi="Times New Roman" w:cs="Times New Roman"/>
                <w:b/>
                <w:bCs/>
                <w:sz w:val="21"/>
                <w:szCs w:val="21"/>
                <w:lang w:eastAsia="en-GB"/>
              </w:rPr>
            </w:pPr>
            <w:r w:rsidRPr="003A08F7">
              <w:rPr>
                <w:rFonts w:ascii="Times New Roman" w:eastAsia="Times New Roman" w:hAnsi="Times New Roman" w:cs="Times New Roman"/>
                <w:b/>
                <w:bCs/>
                <w:sz w:val="21"/>
                <w:szCs w:val="21"/>
                <w:lang w:eastAsia="en-GB"/>
              </w:rPr>
              <w:t>(4)</w:t>
            </w:r>
          </w:p>
          <w:p w14:paraId="0080636C" w14:textId="7D26B0A7" w:rsidR="00546A89" w:rsidRPr="00276684" w:rsidRDefault="00546A89" w:rsidP="00276684">
            <w:pPr>
              <w:spacing w:after="0" w:line="240" w:lineRule="auto"/>
              <w:jc w:val="center"/>
              <w:rPr>
                <w:rFonts w:ascii="Times New Roman" w:eastAsia="Times New Roman" w:hAnsi="Times New Roman" w:cs="Times New Roman"/>
                <w:sz w:val="21"/>
                <w:szCs w:val="21"/>
                <w:lang w:eastAsia="en-GB"/>
              </w:rPr>
            </w:pPr>
            <w:r w:rsidRPr="003A08F7">
              <w:rPr>
                <w:rFonts w:ascii="Times New Roman" w:eastAsia="Times New Roman" w:hAnsi="Times New Roman" w:cs="Times New Roman"/>
                <w:b/>
                <w:bCs/>
                <w:sz w:val="21"/>
                <w:szCs w:val="21"/>
                <w:lang w:eastAsia="en-GB"/>
              </w:rPr>
              <w:t>Quota duty rate</w:t>
            </w:r>
          </w:p>
        </w:tc>
        <w:tc>
          <w:tcPr>
            <w:tcW w:w="1134" w:type="dxa"/>
            <w:tcBorders>
              <w:top w:val="single" w:sz="4" w:space="0" w:color="000000" w:themeColor="text1"/>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6EA90F" w14:textId="77777777" w:rsidR="00546A89" w:rsidRDefault="00546A89" w:rsidP="00546A89">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(5) </w:t>
            </w:r>
          </w:p>
          <w:p w14:paraId="46598C58" w14:textId="00055A87"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volume</w:t>
            </w:r>
          </w:p>
        </w:tc>
        <w:tc>
          <w:tcPr>
            <w:tcW w:w="1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7F7BC" w14:textId="77777777" w:rsidR="00546A89" w:rsidRPr="00356D99" w:rsidRDefault="00546A89" w:rsidP="00546A89">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(6)</w:t>
            </w:r>
          </w:p>
          <w:p w14:paraId="29E56400" w14:textId="4587B958" w:rsidR="00546A89" w:rsidRDefault="00546A89" w:rsidP="00546A89">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A5E8F3" w14:textId="39471FCC" w:rsidR="00546A89" w:rsidRDefault="00546A89" w:rsidP="00546A89">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7469F8E9" w14:textId="080C2C85"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134" w:type="dxa"/>
            <w:tcBorders>
              <w:top w:val="single" w:sz="4" w:space="0" w:color="000000" w:themeColor="text1"/>
              <w:left w:val="single" w:sz="4" w:space="0" w:color="auto"/>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4F168A81" w14:textId="77777777" w:rsidR="00546A89" w:rsidRDefault="00546A89" w:rsidP="00546A89">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(8)</w:t>
            </w:r>
          </w:p>
          <w:p w14:paraId="207F06E5" w14:textId="71153D94"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Units</w:t>
            </w:r>
          </w:p>
        </w:tc>
        <w:tc>
          <w:tcPr>
            <w:tcW w:w="1134" w:type="dxa"/>
            <w:tcBorders>
              <w:top w:val="single" w:sz="4" w:space="0" w:color="000000" w:themeColor="text1"/>
              <w:bottom w:val="single" w:sz="4" w:space="0" w:color="auto"/>
              <w:right w:val="single" w:sz="4" w:space="0" w:color="000000" w:themeColor="text1"/>
            </w:tcBorders>
            <w:shd w:val="clear" w:color="auto" w:fill="D9D9D9" w:themeFill="background1" w:themeFillShade="D9"/>
            <w:tcMar>
              <w:top w:w="0" w:type="dxa"/>
              <w:left w:w="108" w:type="dxa"/>
              <w:bottom w:w="0" w:type="dxa"/>
              <w:right w:w="108" w:type="dxa"/>
            </w:tcMar>
          </w:tcPr>
          <w:p w14:paraId="3E6C3438" w14:textId="261939C0" w:rsidR="00546A89" w:rsidRDefault="00546A89" w:rsidP="0027668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(9) Notes</w:t>
            </w:r>
          </w:p>
        </w:tc>
      </w:tr>
      <w:tr w:rsidR="001166F8" w14:paraId="40D4CA12" w14:textId="77777777" w:rsidTr="001166F8">
        <w:trPr>
          <w:trHeight w:val="192"/>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4AEF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05.1526</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9E838" w14:textId="57DEE935"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00E6AA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2204.10.93</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F9A36"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0981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7,491 </w:t>
            </w:r>
          </w:p>
        </w:tc>
        <w:tc>
          <w:tcPr>
            <w:tcW w:w="1114" w:type="dxa"/>
            <w:vMerge w:val="restart"/>
            <w:tcBorders>
              <w:top w:val="single" w:sz="4" w:space="0" w:color="auto"/>
              <w:left w:val="single" w:sz="4" w:space="0" w:color="auto"/>
              <w:bottom w:val="single" w:sz="4" w:space="0" w:color="auto"/>
              <w:right w:val="single" w:sz="4" w:space="0" w:color="auto"/>
            </w:tcBorders>
          </w:tcPr>
          <w:p w14:paraId="2E48F8F7" w14:textId="10C7BA02"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803A5" w14:textId="30C946F4"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0C7D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hl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3A95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1166F8" w14:paraId="3BFF4C4F" w14:textId="77777777" w:rsidTr="001166F8">
        <w:trPr>
          <w:trHeight w:val="223"/>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58EF5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E32F3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A97B49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2204.10.94</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F8BE4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6C1A6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216DD3D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3C8221" w14:textId="4083F57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5921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551479"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4CC8C18" w14:textId="77777777" w:rsidTr="001166F8">
        <w:trPr>
          <w:trHeight w:val="255"/>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1F512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7A53C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7ED2C7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2204.10.96</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CEF6D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1B5C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6CA4C73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CA2B4D" w14:textId="0D64BC9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EBEC0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7C8936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5641C70" w14:textId="77777777" w:rsidTr="001166F8">
        <w:trPr>
          <w:trHeight w:val="25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6276A4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2525C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926D9B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2204.10.98</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7A676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28A2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32B3426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FF1B94" w14:textId="087CB18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D1C4C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583E8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68A8FF4" w14:textId="77777777" w:rsidTr="001166F8">
        <w:trPr>
          <w:trHeight w:val="135"/>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A3A2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912F4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8CF809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2204.21.06</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854446"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3AFD4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1A08873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12D844" w14:textId="2207A318"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FF9C5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28D54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477DC10" w14:textId="77777777" w:rsidTr="001166F8">
        <w:trPr>
          <w:trHeight w:val="167"/>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C1865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4AA2D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5572FD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2204.21.07</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D3E58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5443E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2E87CF3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D2D70" w14:textId="54391FD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84F09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F3C92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8124410" w14:textId="77777777" w:rsidTr="001166F8">
        <w:trPr>
          <w:trHeight w:val="19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42534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C8212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51CEE2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2204.21.08</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E9492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7F441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633DF6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650D43" w14:textId="2B25C68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BA9F9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84287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D3BDE62" w14:textId="77777777" w:rsidTr="001166F8">
        <w:trPr>
          <w:trHeight w:val="231"/>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C9EEE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E0077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D8C16E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2204.21.09</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56B91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9B936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189B007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71BAB7" w14:textId="5B243F3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14ED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A5946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A11134B" w14:textId="77777777" w:rsidTr="001166F8">
        <w:trPr>
          <w:trHeight w:val="263"/>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CF25B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E6248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51473D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2204.21.93.19</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ABB67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E1E2D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4A11EFF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C8C613" w14:textId="0D6DD85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638A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11986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34B6746" w14:textId="77777777" w:rsidTr="001166F8">
        <w:trPr>
          <w:trHeight w:val="281"/>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1DF69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89F09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ADFED3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2204.21.93.29</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9CCD8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52D52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072E56A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C757B0" w14:textId="2D2F35C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7BC8B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C8680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D6ADB9B" w14:textId="77777777" w:rsidTr="001166F8">
        <w:trPr>
          <w:trHeight w:val="143"/>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C5D20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16479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FC4E31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2204.21.93.31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48B98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EA1C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3CCE421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668533" w14:textId="17C006B6"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10E25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D86A1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0B27F2B" w14:textId="77777777" w:rsidTr="001166F8">
        <w:trPr>
          <w:trHeight w:val="175"/>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77AE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75668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3EC66E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2204.21.93.41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335A9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4626D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46B3488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4D4E9C" w14:textId="4FCB561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CDB99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6646B0"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CA817FF" w14:textId="77777777" w:rsidTr="001166F8">
        <w:trPr>
          <w:trHeight w:val="208"/>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C5551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5D026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E312C9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2204.21.93.51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885F5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981AB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5FFA9A6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46DDD0" w14:textId="66F1A95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B858E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C70F7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EF229DC" w14:textId="77777777" w:rsidTr="001166F8">
        <w:trPr>
          <w:trHeight w:val="23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AD89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7EC55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56555C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2204.21.94.19</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995FF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2B6EE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00CA1CC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4A27D8" w14:textId="2C02C19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9E795D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E42F29"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376A1E2" w14:textId="77777777" w:rsidTr="001166F8">
        <w:trPr>
          <w:trHeight w:val="12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3CC16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D4562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0F9BF7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2204.21.94.29</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32A23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0B83C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7967AF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CA235E" w14:textId="64BE73A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BBC1B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43789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35B951E" w14:textId="77777777" w:rsidTr="001166F8">
        <w:trPr>
          <w:trHeight w:val="161"/>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2D313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C519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5775C9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2204.21.94.31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26E23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324CD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5DBFB0A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BA8C00" w14:textId="19C2B5A8"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99C92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23C57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D1BA032" w14:textId="77777777" w:rsidTr="001166F8">
        <w:trPr>
          <w:trHeight w:val="17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74519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6A5EA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3BDF60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2204.21.94.41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94175A"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89FF8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7914E3D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1CD7A8" w14:textId="1DE86FC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89FF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48CE3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64D4B40" w14:textId="77777777" w:rsidTr="001166F8">
        <w:trPr>
          <w:trHeight w:val="211"/>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7DD68F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0FCA0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CC65EA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2204.21.94.51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2962DD"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E841B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1FEC688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2EB15F" w14:textId="31763C1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1576ED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0649E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28EF0B9" w14:textId="77777777" w:rsidTr="001166F8">
        <w:trPr>
          <w:trHeight w:val="243"/>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4CC28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CF543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9DE8B0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2204.21.95</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88B5E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92294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0239E0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46907D" w14:textId="4B727D3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C21E3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D7DEE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A61ABCA" w14:textId="77777777" w:rsidTr="001166F8">
        <w:trPr>
          <w:trHeight w:val="275"/>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B5DAE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9A8B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2F6168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2204.21.96.11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B0B63"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56BD2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3E96091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A23FA1" w14:textId="01769DF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6FD68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7B4B3C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9BF2C55" w14:textId="77777777" w:rsidTr="001166F8">
        <w:trPr>
          <w:trHeight w:val="137"/>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083DB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33C34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7D7976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2204.21.96.21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D7D6E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1B3BF6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71DAE98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C29987" w14:textId="1CE755F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8891F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6DD63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43B32F9" w14:textId="77777777" w:rsidTr="001166F8">
        <w:trPr>
          <w:trHeight w:val="169"/>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148F9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D4B3F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40837E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2204.21.96.31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A56B0C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B659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41E15F4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87A5EE" w14:textId="763DF4B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F577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346CB4"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FC947D0" w14:textId="77777777" w:rsidTr="001166F8">
        <w:trPr>
          <w:trHeight w:val="201"/>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1F3E6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FAA5F0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60D10A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2204.21.96.41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43859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E11F1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48E53C0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672854D" w14:textId="7E100D9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70D3E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25BCD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477FD05" w14:textId="77777777" w:rsidTr="001166F8">
        <w:trPr>
          <w:trHeight w:val="234"/>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D4BEA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A29B3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42A6CC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2204.21.96.51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9D03C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33BAA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67843CB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8BDBE7" w14:textId="1D3DD0E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57FFAD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5950A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5F69A23" w14:textId="77777777" w:rsidTr="001166F8">
        <w:trPr>
          <w:trHeight w:val="265"/>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3287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F83306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6E5A3C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2204.21.97</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C915D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D3048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366D4EE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625489" w14:textId="571AB3B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51F84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86FF2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3EE346C" w14:textId="77777777" w:rsidTr="001166F8">
        <w:trPr>
          <w:trHeight w:val="274"/>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8401F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4B2A2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59C1AF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2204.21.98.11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C2593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7AC82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19B07BF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5D7E93" w14:textId="1A7871B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CD915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B6DAA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34D85C2" w14:textId="77777777" w:rsidTr="001166F8">
        <w:trPr>
          <w:trHeight w:val="192"/>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45DD63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F00B0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9E38F2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2204.21.98.21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9F7272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7EAD2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181E176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C4AFFE" w14:textId="22906276"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8A0776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F0C1F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2333066" w14:textId="77777777" w:rsidTr="001166F8">
        <w:trPr>
          <w:trHeight w:val="274"/>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112E5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2B37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B0EC47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2204.21.98.31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94CD5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1B901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679FF87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746500" w14:textId="55743EF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B53A15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DD41D4"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70D0AAB" w14:textId="77777777" w:rsidTr="001166F8">
        <w:trPr>
          <w:trHeight w:val="278"/>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D45D0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0169D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746A34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2204.21.98.41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BF2FF1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05216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31266EC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6DEBC51" w14:textId="7F0D028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EB31E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C93396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E55999F" w14:textId="77777777" w:rsidTr="001166F8">
        <w:trPr>
          <w:trHeight w:val="268"/>
        </w:trPr>
        <w:tc>
          <w:tcPr>
            <w:tcW w:w="9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5F001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932E2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E5E3FB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2204.21.98.51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BE6BF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28C468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left w:val="single" w:sz="4" w:space="0" w:color="auto"/>
              <w:bottom w:val="single" w:sz="4" w:space="0" w:color="auto"/>
              <w:right w:val="single" w:sz="4" w:space="0" w:color="auto"/>
            </w:tcBorders>
          </w:tcPr>
          <w:p w14:paraId="2DC3249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7B69F6" w14:textId="2A738BB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9CDAE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E103A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3062CE2" w14:textId="77777777" w:rsidTr="001166F8">
        <w:trPr>
          <w:trHeight w:val="181"/>
        </w:trPr>
        <w:tc>
          <w:tcPr>
            <w:tcW w:w="980" w:type="dxa"/>
            <w:vMerge w:val="restart"/>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14F349F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05.1527</w:t>
            </w:r>
          </w:p>
        </w:tc>
        <w:tc>
          <w:tcPr>
            <w:tcW w:w="812" w:type="dxa"/>
            <w:vMerge w:val="restart"/>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892F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ADA131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2204.22.10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A8C7B"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B526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1,675 </w:t>
            </w:r>
          </w:p>
        </w:tc>
        <w:tc>
          <w:tcPr>
            <w:tcW w:w="1114" w:type="dxa"/>
            <w:vMerge w:val="restart"/>
            <w:tcBorders>
              <w:top w:val="single" w:sz="4" w:space="0" w:color="auto"/>
              <w:left w:val="single" w:sz="4" w:space="0" w:color="auto"/>
              <w:bottom w:val="single" w:sz="4" w:space="0" w:color="auto"/>
              <w:right w:val="single" w:sz="4" w:space="0" w:color="auto"/>
            </w:tcBorders>
          </w:tcPr>
          <w:p w14:paraId="2368C4C9" w14:textId="3FA51995"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5386C" w14:textId="34B3CE11"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25C9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hl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9FA5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1166F8" w14:paraId="08B4CA7D" w14:textId="77777777" w:rsidTr="001166F8">
        <w:trPr>
          <w:trHeight w:val="21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EF499F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8C2831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92C510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2204.22.93</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2DC93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104D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B1FD62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33B78" w14:textId="05522346"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6D272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A7FC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404F7AB" w14:textId="77777777" w:rsidTr="001166F8">
        <w:trPr>
          <w:trHeight w:val="246"/>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AC8E50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807A35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8126AB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2204.22.94.11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93EE9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A58F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6FFE1F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7F7" w14:textId="4F673F9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D8115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9F76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9FBD8CB" w14:textId="77777777" w:rsidTr="001166F8">
        <w:trPr>
          <w:trHeight w:val="13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7D9E3F5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AF2213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5F0FEA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2204.22.94.21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65B43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B76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9C798A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A9AB3" w14:textId="618BC31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EDB78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453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9DD49F6" w14:textId="77777777" w:rsidTr="001166F8">
        <w:trPr>
          <w:trHeight w:val="16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DB8DC1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7DFE0A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2BB3EE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2204.22.94.31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46875D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A8E6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7AF494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5DA77" w14:textId="093815F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FAC0E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81AE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DA6F71F" w14:textId="77777777" w:rsidTr="001166F8">
        <w:trPr>
          <w:trHeight w:val="19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96B631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7C56BF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BCB607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2204.22.94.41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413DA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14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26E9F3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0F67" w14:textId="2A9BB4A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C18C4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35CA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88DCF82" w14:textId="77777777" w:rsidTr="001166F8">
        <w:trPr>
          <w:trHeight w:val="23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963226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B2C71F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31DA7D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2204.22.94.51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BCAE0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40A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5113A8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A3FA" w14:textId="58E0044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A883D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EBD3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7F62A0B" w14:textId="77777777" w:rsidTr="001166F8">
        <w:trPr>
          <w:trHeight w:val="12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35E709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9130E5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B19777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2204.22.95</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081C7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7AE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60556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89B74" w14:textId="20FF87B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B50791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1F1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71F4220" w14:textId="77777777" w:rsidTr="001166F8">
        <w:trPr>
          <w:trHeight w:val="15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9B7B16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71E93B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B169E2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2204.22.96.11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BD94C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E99F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AF453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59077" w14:textId="15DB590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94091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1895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7733FDA" w14:textId="77777777" w:rsidTr="001166F8">
        <w:trPr>
          <w:trHeight w:val="186"/>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53885D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473562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7BC25B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2204.22.96.21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FF2B9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D57E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DD6975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269D4" w14:textId="2A46EBF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F297E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350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6E736E0" w14:textId="77777777" w:rsidTr="001166F8">
        <w:trPr>
          <w:trHeight w:val="21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7B657BE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F4EB0A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8DC7E0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2204.22.96.31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DC317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FDDA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1FAD4A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691A1" w14:textId="2C793BE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1D980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5902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D5B90CD" w14:textId="77777777" w:rsidTr="001166F8">
        <w:trPr>
          <w:trHeight w:val="12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F31170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94C3CD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CC77FF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2204.22.96.41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8406F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F7B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892E12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6BB09" w14:textId="4EBD8B3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9231D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6DDE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09981B5" w14:textId="77777777" w:rsidTr="001166F8">
        <w:trPr>
          <w:trHeight w:val="15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CCEF6E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AE365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0AD0D9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2204.22.96.51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F04EE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0185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BCE554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28C9C" w14:textId="15D447A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990FB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B4CAD"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E7F2824" w14:textId="77777777" w:rsidTr="001166F8">
        <w:trPr>
          <w:trHeight w:val="18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C11D61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34E37C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ABF5CF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2204.22.97</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5EFB2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6B6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D327C3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33C02" w14:textId="05AB06D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31F56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C59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364A2F93" w14:textId="77777777" w:rsidTr="001166F8">
        <w:trPr>
          <w:trHeight w:val="21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F33A6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B77EF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3330E4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2204.22.98.11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B77D6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34E8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030FB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19D6" w14:textId="64D3109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DB123C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04B6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AF416A8" w14:textId="77777777" w:rsidTr="001166F8">
        <w:trPr>
          <w:trHeight w:val="24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70FDCD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1698E88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31E09A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2204.22.98.21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65B18D"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269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67945F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28A68" w14:textId="423F6E5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AF4ABE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F3514"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A06CDAA" w14:textId="77777777" w:rsidTr="001166F8">
        <w:trPr>
          <w:trHeight w:val="11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116156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740F41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1E16CC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2204.22.98.31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17C8C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BFDC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795630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39428" w14:textId="457D00D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47ACB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7A2A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364A72E" w14:textId="77777777" w:rsidTr="001166F8">
        <w:trPr>
          <w:trHeight w:val="15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20C97B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824768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9E51F3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2204.22.98.41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EA938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5A09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D7CE11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B658" w14:textId="6906306E"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B06209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6EBE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42AFF21" w14:textId="77777777" w:rsidTr="001166F8">
        <w:trPr>
          <w:trHeight w:val="176"/>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676E544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EA3BCA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A880CA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2204.22.98.51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5979C6"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AFF1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BE5C40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9BB27" w14:textId="2AD36C1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AD82E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2296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261DC7F" w14:textId="77777777" w:rsidTr="001166F8">
        <w:trPr>
          <w:trHeight w:val="22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08A5D2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7242B3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19A772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2204.29.10</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DD915E3"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A915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B99806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6F680" w14:textId="089E4A6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0B46F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90E2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8E45E5D" w14:textId="77777777" w:rsidTr="001166F8">
        <w:trPr>
          <w:trHeight w:val="11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F54A93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DEB60F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9F4BFD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2204.29.93</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70BDE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EA6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EBB217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BB9D2" w14:textId="0ADEC1B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648FA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02A5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84E9332" w14:textId="77777777" w:rsidTr="001166F8">
        <w:trPr>
          <w:trHeight w:val="14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C04CFB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1FA115E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1D19C1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2204.29.94.11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5D735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C0C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BC3E0C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255F" w14:textId="0C008A3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2A570B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598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05931F0" w14:textId="77777777" w:rsidTr="001166F8">
        <w:trPr>
          <w:trHeight w:val="7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971D39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ECFD77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68A019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2204.29.94.21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76BE66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6643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E4C912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EE9D1" w14:textId="74925ED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8CE95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D6E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FD09821" w14:textId="77777777" w:rsidTr="001166F8">
        <w:trPr>
          <w:trHeight w:val="20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8DD8BB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646E3C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89CDE0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2204.29.94.31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FF5856"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50A3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A0F432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55172" w14:textId="4A69708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612531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B824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3AD1547" w14:textId="77777777" w:rsidTr="001166F8">
        <w:trPr>
          <w:trHeight w:val="19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606923B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C8D369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07447C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2204.29.94.41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F1651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7866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6DCF61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C69C0" w14:textId="468F69D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0D1AB0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955C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B5308BD" w14:textId="77777777" w:rsidTr="001166F8">
        <w:trPr>
          <w:trHeight w:val="27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216180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4A509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A79CDB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2204.29.94.51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D4D2E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A493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58389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79879" w14:textId="65D989A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D13D7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32FF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621802D2" w14:textId="77777777" w:rsidTr="001166F8">
        <w:trPr>
          <w:trHeight w:val="19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B8332D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3426FC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6C7AB1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2204.29.95</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FB843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C89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83AA69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074D" w14:textId="0250939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ED0EDC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5D3B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0220042" w14:textId="77777777" w:rsidTr="001166F8">
        <w:trPr>
          <w:trHeight w:val="19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E312F5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FF222E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730D86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2204.29.96.11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EA7F8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419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379E6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5D010" w14:textId="2D15416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FBD4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9403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39AA076" w14:textId="77777777" w:rsidTr="001166F8">
        <w:trPr>
          <w:trHeight w:val="334"/>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7370C23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7D864F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3A64A9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2204.29.96.21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88948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E72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92E655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824A" w14:textId="169BFC65"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34C1BA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A891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14A816A1" w14:textId="77777777" w:rsidTr="001166F8">
        <w:trPr>
          <w:trHeight w:val="19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E0A85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4B2D61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BCBA54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2204.29.96.31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90000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F5D6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65BBF0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D351" w14:textId="03F197DE"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03DAC4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FC9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5B23003" w14:textId="77777777" w:rsidTr="001166F8">
        <w:trPr>
          <w:trHeight w:val="224"/>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0F78CAB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804EEF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04FA36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2204.29.96.41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3CE9C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A60B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1F5164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E6A63" w14:textId="68BCE6F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341A2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C082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7C5B0A5" w14:textId="77777777" w:rsidTr="001166F8">
        <w:trPr>
          <w:trHeight w:val="11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FE8CD7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1200B8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568039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2204.29.96.51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5E191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533E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6DC14E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406E6" w14:textId="226564E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479560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DD08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5006CFA" w14:textId="77777777" w:rsidTr="001166F8">
        <w:trPr>
          <w:trHeight w:val="14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6168F7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A8ACD2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9ED33D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2204.29.97</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BEAEE2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B9A9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C3B7CF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7EDF" w14:textId="641BDEB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60114D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4077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5B74E084" w14:textId="77777777" w:rsidTr="001166F8">
        <w:trPr>
          <w:trHeight w:val="17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C61849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4278F0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CA7165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2204.29.98.11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122D0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10F9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CCCF9B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F0413" w14:textId="313657A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3BF60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2611F"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0844314E" w14:textId="77777777" w:rsidTr="001166F8">
        <w:trPr>
          <w:trHeight w:val="20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DD6044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66E762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6B77AA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2204.29.98.21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7E9334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551D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2F3155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1EA2B" w14:textId="2E955BE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C91428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C187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486A0C5D" w14:textId="77777777" w:rsidTr="001166F8">
        <w:trPr>
          <w:trHeight w:val="24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B24322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6A52A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96BE23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2204.29.98.31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AD2536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D03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9D656B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C5F5C" w14:textId="328595F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143121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C9E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28E6D110" w14:textId="77777777" w:rsidTr="001166F8">
        <w:trPr>
          <w:trHeight w:val="27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769322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9B5473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A794B3E"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2204.29.98.41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A484996"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EF8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A63AC6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0EBD" w14:textId="3ECA1A6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6951A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1D14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1166F8" w14:paraId="78355E60" w14:textId="77777777" w:rsidTr="008571BB">
        <w:trPr>
          <w:trHeight w:val="26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9EF09B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255509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E0225F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2204.29.98.51</w:t>
            </w:r>
          </w:p>
        </w:tc>
        <w:tc>
          <w:tcPr>
            <w:tcW w:w="283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76945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F254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52A675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62C72" w14:textId="0CDA7E4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9403D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DEC0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5881725" w14:textId="77777777" w:rsidTr="008571BB">
        <w:trPr>
          <w:trHeight w:val="139"/>
        </w:trPr>
        <w:tc>
          <w:tcPr>
            <w:tcW w:w="980" w:type="dxa"/>
            <w:vMerge w:val="restart"/>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327276C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05.1534</w:t>
            </w:r>
          </w:p>
        </w:tc>
        <w:tc>
          <w:tcPr>
            <w:tcW w:w="812" w:type="dxa"/>
            <w:vMerge w:val="restart"/>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4359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FC7E421" w14:textId="77777777" w:rsidR="00546A89" w:rsidRDefault="006037C5">
            <w:pPr>
              <w:spacing w:after="0" w:line="240" w:lineRule="auto"/>
            </w:pPr>
            <w:hyperlink r:id="rId14" w:history="1">
              <w:r w:rsidR="00546A89">
                <w:rPr>
                  <w:rStyle w:val="Hyperlink"/>
                  <w:rFonts w:ascii="Times New Roman" w:eastAsia="Times New Roman" w:hAnsi="Times New Roman" w:cs="Times New Roman"/>
                  <w:sz w:val="21"/>
                  <w:szCs w:val="21"/>
                  <w:lang w:eastAsia="en-GB"/>
                </w:rPr>
                <w:t>2204.21.94.29</w:t>
              </w:r>
            </w:hyperlink>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7818F"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D728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681 </w:t>
            </w:r>
          </w:p>
        </w:tc>
        <w:tc>
          <w:tcPr>
            <w:tcW w:w="1114" w:type="dxa"/>
            <w:vMerge w:val="restart"/>
            <w:tcBorders>
              <w:top w:val="single" w:sz="4" w:space="0" w:color="auto"/>
              <w:left w:val="single" w:sz="4" w:space="0" w:color="auto"/>
              <w:bottom w:val="single" w:sz="4" w:space="0" w:color="auto"/>
              <w:right w:val="single" w:sz="4" w:space="0" w:color="auto"/>
            </w:tcBorders>
          </w:tcPr>
          <w:p w14:paraId="34F12A85" w14:textId="575494C5"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E7FD3" w14:textId="70F52A54"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AAE0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hl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6D3C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A</w:t>
            </w:r>
          </w:p>
        </w:tc>
      </w:tr>
      <w:tr w:rsidR="003A08F7" w14:paraId="73CC333C" w14:textId="77777777" w:rsidTr="008571BB">
        <w:trPr>
          <w:trHeight w:val="17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0ECBEB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55CFE8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B9DFDB4" w14:textId="77777777" w:rsidR="00546A89" w:rsidRDefault="006037C5">
            <w:pPr>
              <w:spacing w:after="0" w:line="240" w:lineRule="auto"/>
            </w:pPr>
            <w:hyperlink r:id="rId15" w:history="1">
              <w:r w:rsidR="00546A89">
                <w:rPr>
                  <w:rStyle w:val="Hyperlink"/>
                  <w:rFonts w:ascii="Times New Roman" w:eastAsia="Times New Roman" w:hAnsi="Times New Roman" w:cs="Times New Roman"/>
                  <w:sz w:val="21"/>
                  <w:szCs w:val="21"/>
                  <w:lang w:eastAsia="en-GB"/>
                </w:rPr>
                <w:t>2204.22.93.10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AA8C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B5AA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6F3531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08C08" w14:textId="22F909A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FB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31D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2BE27B7A" w14:textId="77777777" w:rsidTr="008571BB">
        <w:trPr>
          <w:trHeight w:val="20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7BD68A1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07C99F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72AFA62" w14:textId="77777777" w:rsidR="00546A89" w:rsidRDefault="006037C5">
            <w:pPr>
              <w:spacing w:after="0" w:line="240" w:lineRule="auto"/>
            </w:pPr>
            <w:hyperlink r:id="rId16" w:history="1">
              <w:r w:rsidR="00546A89">
                <w:rPr>
                  <w:rStyle w:val="Hyperlink"/>
                  <w:rFonts w:ascii="Times New Roman" w:eastAsia="Times New Roman" w:hAnsi="Times New Roman" w:cs="Times New Roman"/>
                  <w:sz w:val="21"/>
                  <w:szCs w:val="21"/>
                  <w:lang w:eastAsia="en-GB"/>
                </w:rPr>
                <w:t>2204.22.93.20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6C3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14C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CDB7C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2E41F" w14:textId="7FC8290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62FC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2BDD"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2335873A" w14:textId="77777777" w:rsidTr="008571BB">
        <w:trPr>
          <w:trHeight w:val="236"/>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AA7C80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1B1335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60B9468" w14:textId="77777777" w:rsidR="00546A89" w:rsidRDefault="006037C5">
            <w:pPr>
              <w:spacing w:after="0" w:line="240" w:lineRule="auto"/>
            </w:pPr>
            <w:hyperlink r:id="rId17" w:history="1">
              <w:r w:rsidR="00546A89">
                <w:rPr>
                  <w:rStyle w:val="Hyperlink"/>
                  <w:rFonts w:ascii="Times New Roman" w:eastAsia="Times New Roman" w:hAnsi="Times New Roman" w:cs="Times New Roman"/>
                  <w:sz w:val="21"/>
                  <w:szCs w:val="21"/>
                  <w:lang w:eastAsia="en-GB"/>
                </w:rPr>
                <w:t>2204.22.94.11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920A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6EDB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5C6C7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619E" w14:textId="4B55CDD8"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2945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259A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E112C98" w14:textId="77777777" w:rsidTr="008571BB">
        <w:trPr>
          <w:trHeight w:val="12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7917AB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31D6C4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ACF1F82" w14:textId="77777777" w:rsidR="00546A89" w:rsidRDefault="006037C5">
            <w:pPr>
              <w:spacing w:after="0" w:line="240" w:lineRule="auto"/>
            </w:pPr>
            <w:hyperlink r:id="rId18" w:history="1">
              <w:r w:rsidR="00546A89">
                <w:rPr>
                  <w:rStyle w:val="Hyperlink"/>
                  <w:rFonts w:ascii="Times New Roman" w:eastAsia="Times New Roman" w:hAnsi="Times New Roman" w:cs="Times New Roman"/>
                  <w:sz w:val="21"/>
                  <w:szCs w:val="21"/>
                  <w:lang w:eastAsia="en-GB"/>
                </w:rPr>
                <w:t>2204.22.94.21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8778D"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A72F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45EF06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9805D" w14:textId="25E2AEF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E5BA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2B2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EB0AE87" w14:textId="77777777" w:rsidTr="008571BB">
        <w:trPr>
          <w:trHeight w:val="15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3E88A4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B0C9A9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D931E18" w14:textId="77777777" w:rsidR="00546A89" w:rsidRDefault="006037C5">
            <w:pPr>
              <w:spacing w:after="0" w:line="240" w:lineRule="auto"/>
            </w:pPr>
            <w:hyperlink r:id="rId19" w:history="1">
              <w:r w:rsidR="00546A89">
                <w:rPr>
                  <w:rStyle w:val="Hyperlink"/>
                  <w:rFonts w:ascii="Times New Roman" w:eastAsia="Times New Roman" w:hAnsi="Times New Roman" w:cs="Times New Roman"/>
                  <w:sz w:val="21"/>
                  <w:szCs w:val="21"/>
                  <w:lang w:eastAsia="en-GB"/>
                </w:rPr>
                <w:t>2204.22.95.10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620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AC66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2DBB5C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927F1" w14:textId="493A765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E24F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771A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49AEE80" w14:textId="77777777" w:rsidTr="008571BB">
        <w:trPr>
          <w:trHeight w:val="18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B2418C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2D6884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B377978" w14:textId="77777777" w:rsidR="00546A89" w:rsidRDefault="006037C5">
            <w:pPr>
              <w:spacing w:after="0" w:line="240" w:lineRule="auto"/>
            </w:pPr>
            <w:hyperlink r:id="rId20" w:history="1">
              <w:r w:rsidR="00546A89">
                <w:rPr>
                  <w:rStyle w:val="Hyperlink"/>
                  <w:rFonts w:ascii="Times New Roman" w:eastAsia="Times New Roman" w:hAnsi="Times New Roman" w:cs="Times New Roman"/>
                  <w:sz w:val="21"/>
                  <w:szCs w:val="21"/>
                  <w:lang w:eastAsia="en-GB"/>
                </w:rPr>
                <w:t>2204.22.95.20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BAA5D"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67D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96876D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D0FC" w14:textId="21D9BE5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2A6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BAF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15FE150" w14:textId="77777777" w:rsidTr="008571BB">
        <w:trPr>
          <w:trHeight w:val="7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6BC6AA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553A34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4AC30F1" w14:textId="77777777" w:rsidR="00546A89" w:rsidRDefault="006037C5">
            <w:pPr>
              <w:spacing w:after="0" w:line="240" w:lineRule="auto"/>
            </w:pPr>
            <w:hyperlink r:id="rId21" w:history="1">
              <w:r w:rsidR="00546A89">
                <w:rPr>
                  <w:rStyle w:val="Hyperlink"/>
                  <w:rFonts w:ascii="Times New Roman" w:eastAsia="Times New Roman" w:hAnsi="Times New Roman" w:cs="Times New Roman"/>
                  <w:sz w:val="21"/>
                  <w:szCs w:val="21"/>
                  <w:lang w:eastAsia="en-GB"/>
                </w:rPr>
                <w:t>2204.22.96.11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E45F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8132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ED8891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A61F" w14:textId="77A3B80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8BCE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66FE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ACBC82D" w14:textId="77777777" w:rsidTr="008571BB">
        <w:trPr>
          <w:trHeight w:val="11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6537F3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C447A4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A140E6D" w14:textId="77777777" w:rsidR="00546A89" w:rsidRDefault="006037C5">
            <w:pPr>
              <w:spacing w:after="0" w:line="240" w:lineRule="auto"/>
            </w:pPr>
            <w:hyperlink r:id="rId22" w:history="1">
              <w:r w:rsidR="00546A89">
                <w:rPr>
                  <w:rStyle w:val="Hyperlink"/>
                  <w:rFonts w:ascii="Times New Roman" w:eastAsia="Times New Roman" w:hAnsi="Times New Roman" w:cs="Times New Roman"/>
                  <w:sz w:val="21"/>
                  <w:szCs w:val="21"/>
                  <w:lang w:eastAsia="en-GB"/>
                </w:rPr>
                <w:t>2204.22.96.21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A1F3A"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1CD9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FEA441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84F74" w14:textId="340F097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CE0D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4519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E09A990" w14:textId="77777777" w:rsidTr="008571BB">
        <w:trPr>
          <w:trHeight w:val="12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6CB65E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6410223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9FD314E" w14:textId="77777777" w:rsidR="00546A89" w:rsidRDefault="006037C5">
            <w:pPr>
              <w:spacing w:after="0" w:line="240" w:lineRule="auto"/>
            </w:pPr>
            <w:hyperlink r:id="rId23" w:history="1">
              <w:r w:rsidR="00546A89">
                <w:rPr>
                  <w:rStyle w:val="Hyperlink"/>
                  <w:rFonts w:ascii="Times New Roman" w:eastAsia="Times New Roman" w:hAnsi="Times New Roman" w:cs="Times New Roman"/>
                  <w:sz w:val="21"/>
                  <w:szCs w:val="21"/>
                  <w:lang w:eastAsia="en-GB"/>
                </w:rPr>
                <w:t>2204.22.97.10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9664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C61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2D3D7D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6071" w14:textId="1941F80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185F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AD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1E97AC1" w14:textId="77777777" w:rsidTr="008571BB">
        <w:trPr>
          <w:trHeight w:val="16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03BAE2E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39EF5C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446DE67" w14:textId="77777777" w:rsidR="00546A89" w:rsidRDefault="006037C5">
            <w:pPr>
              <w:spacing w:after="0" w:line="240" w:lineRule="auto"/>
            </w:pPr>
            <w:hyperlink r:id="rId24" w:history="1">
              <w:r w:rsidR="00546A89">
                <w:rPr>
                  <w:rStyle w:val="Hyperlink"/>
                  <w:rFonts w:ascii="Times New Roman" w:eastAsia="Times New Roman" w:hAnsi="Times New Roman" w:cs="Times New Roman"/>
                  <w:sz w:val="21"/>
                  <w:szCs w:val="21"/>
                  <w:lang w:eastAsia="en-GB"/>
                </w:rPr>
                <w:t>2204.22.97.20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F07D5"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ADB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0C0A19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A449" w14:textId="640C23A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972D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7B4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16C6CF1" w14:textId="77777777" w:rsidTr="008571BB">
        <w:trPr>
          <w:trHeight w:val="19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517078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F8939A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E74E965" w14:textId="77777777" w:rsidR="00546A89" w:rsidRDefault="006037C5">
            <w:pPr>
              <w:spacing w:after="0" w:line="240" w:lineRule="auto"/>
            </w:pPr>
            <w:hyperlink r:id="rId25" w:history="1">
              <w:r w:rsidR="00546A89">
                <w:rPr>
                  <w:rStyle w:val="Hyperlink"/>
                  <w:rFonts w:ascii="Times New Roman" w:eastAsia="Times New Roman" w:hAnsi="Times New Roman" w:cs="Times New Roman"/>
                  <w:sz w:val="21"/>
                  <w:szCs w:val="21"/>
                  <w:lang w:eastAsia="en-GB"/>
                </w:rPr>
                <w:t>2204.22.98.11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B6F6"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1156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806533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3D53" w14:textId="3905367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3622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E4AE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B3FFF98" w14:textId="77777777" w:rsidTr="008571BB">
        <w:trPr>
          <w:trHeight w:val="84"/>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79C181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2A56041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0E72A30" w14:textId="77777777" w:rsidR="00546A89" w:rsidRDefault="006037C5">
            <w:pPr>
              <w:spacing w:after="0" w:line="240" w:lineRule="auto"/>
            </w:pPr>
            <w:hyperlink r:id="rId26" w:history="1">
              <w:r w:rsidR="00546A89">
                <w:rPr>
                  <w:rStyle w:val="Hyperlink"/>
                  <w:rFonts w:ascii="Times New Roman" w:eastAsia="Times New Roman" w:hAnsi="Times New Roman" w:cs="Times New Roman"/>
                  <w:sz w:val="21"/>
                  <w:szCs w:val="21"/>
                  <w:lang w:eastAsia="en-GB"/>
                </w:rPr>
                <w:t>2204.22.98.21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A52B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5D6B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A96E0A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AF4A9" w14:textId="45B20C8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CA7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E6D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3E8610F" w14:textId="77777777" w:rsidTr="008571BB">
        <w:trPr>
          <w:trHeight w:val="11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113D6D5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7C989E0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5F2B927" w14:textId="77777777" w:rsidR="00546A89" w:rsidRDefault="006037C5">
            <w:pPr>
              <w:spacing w:after="0" w:line="240" w:lineRule="auto"/>
            </w:pPr>
            <w:hyperlink r:id="rId27" w:history="1">
              <w:r w:rsidR="00546A89">
                <w:rPr>
                  <w:rStyle w:val="Hyperlink"/>
                  <w:rFonts w:ascii="Times New Roman" w:eastAsia="Times New Roman" w:hAnsi="Times New Roman" w:cs="Times New Roman"/>
                  <w:sz w:val="21"/>
                  <w:szCs w:val="21"/>
                  <w:lang w:eastAsia="en-GB"/>
                </w:rPr>
                <w:t>2204.29.93.10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5BB8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7ED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036C8C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9908" w14:textId="6934F8B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C35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1BDB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D00234B" w14:textId="77777777" w:rsidTr="008571BB">
        <w:trPr>
          <w:trHeight w:val="14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64E06A2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1054E44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3C68C01" w14:textId="77777777" w:rsidR="00546A89" w:rsidRDefault="006037C5">
            <w:pPr>
              <w:spacing w:after="0" w:line="240" w:lineRule="auto"/>
            </w:pPr>
            <w:hyperlink r:id="rId28" w:history="1">
              <w:r w:rsidR="00546A89">
                <w:rPr>
                  <w:rStyle w:val="Hyperlink"/>
                  <w:rFonts w:ascii="Times New Roman" w:eastAsia="Times New Roman" w:hAnsi="Times New Roman" w:cs="Times New Roman"/>
                  <w:sz w:val="21"/>
                  <w:szCs w:val="21"/>
                  <w:lang w:eastAsia="en-GB"/>
                </w:rPr>
                <w:t>2204.29.93.20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C0C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71B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A2EEBE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47E7B" w14:textId="40C1E9B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F7F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56C80"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842B162" w14:textId="77777777" w:rsidTr="008571BB">
        <w:trPr>
          <w:trHeight w:val="17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3956E85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61B067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5D43FC0" w14:textId="77777777" w:rsidR="00546A89" w:rsidRDefault="006037C5">
            <w:pPr>
              <w:spacing w:after="0" w:line="240" w:lineRule="auto"/>
            </w:pPr>
            <w:hyperlink r:id="rId29" w:history="1">
              <w:r w:rsidR="00546A89">
                <w:rPr>
                  <w:rStyle w:val="Hyperlink"/>
                  <w:rFonts w:ascii="Times New Roman" w:eastAsia="Times New Roman" w:hAnsi="Times New Roman" w:cs="Times New Roman"/>
                  <w:sz w:val="21"/>
                  <w:szCs w:val="21"/>
                  <w:lang w:eastAsia="en-GB"/>
                </w:rPr>
                <w:t>2204.29.94.11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82E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537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AB5C4F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015C" w14:textId="251C5356"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0A7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1597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507A6A5" w14:textId="77777777" w:rsidTr="008571BB">
        <w:trPr>
          <w:trHeight w:val="225"/>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019BAD1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C4BC61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1FC04F4" w14:textId="77777777" w:rsidR="00546A89" w:rsidRDefault="006037C5">
            <w:pPr>
              <w:spacing w:after="0" w:line="240" w:lineRule="auto"/>
            </w:pPr>
            <w:hyperlink r:id="rId30" w:history="1">
              <w:r w:rsidR="00546A89">
                <w:rPr>
                  <w:rStyle w:val="Hyperlink"/>
                  <w:rFonts w:ascii="Times New Roman" w:eastAsia="Times New Roman" w:hAnsi="Times New Roman" w:cs="Times New Roman"/>
                  <w:sz w:val="21"/>
                  <w:szCs w:val="21"/>
                  <w:lang w:eastAsia="en-GB"/>
                </w:rPr>
                <w:t>2204.29.94.21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6CF5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F7C8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88D79B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9631E" w14:textId="3A52E0F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C5D7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2300"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E0628C3" w14:textId="77777777" w:rsidTr="008571BB">
        <w:trPr>
          <w:trHeight w:val="243"/>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190D44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3C2D1E9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9FC0696" w14:textId="77777777" w:rsidR="00546A89" w:rsidRDefault="006037C5">
            <w:pPr>
              <w:spacing w:after="0" w:line="240" w:lineRule="auto"/>
            </w:pPr>
            <w:hyperlink r:id="rId31" w:history="1">
              <w:r w:rsidR="00546A89">
                <w:rPr>
                  <w:rStyle w:val="Hyperlink"/>
                  <w:rFonts w:ascii="Times New Roman" w:eastAsia="Times New Roman" w:hAnsi="Times New Roman" w:cs="Times New Roman"/>
                  <w:sz w:val="21"/>
                  <w:szCs w:val="21"/>
                  <w:lang w:eastAsia="en-GB"/>
                </w:rPr>
                <w:t>2204.29.95.10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5800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4D00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3FAD4B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C78F9" w14:textId="068413DE"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9D4A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78DC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0F047BA" w14:textId="77777777" w:rsidTr="008571BB">
        <w:trPr>
          <w:trHeight w:val="192"/>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D56A02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F4AAD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EECA782" w14:textId="77777777" w:rsidR="00546A89" w:rsidRDefault="006037C5">
            <w:pPr>
              <w:spacing w:after="0" w:line="240" w:lineRule="auto"/>
            </w:pPr>
            <w:hyperlink r:id="rId32" w:history="1">
              <w:r w:rsidR="00546A89">
                <w:rPr>
                  <w:rStyle w:val="Hyperlink"/>
                  <w:rFonts w:ascii="Times New Roman" w:eastAsia="Times New Roman" w:hAnsi="Times New Roman" w:cs="Times New Roman"/>
                  <w:sz w:val="21"/>
                  <w:szCs w:val="21"/>
                  <w:lang w:eastAsia="en-GB"/>
                </w:rPr>
                <w:t>2204.29.95.20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30FC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E044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52CDE3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64E83" w14:textId="18BF124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EDF1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67A5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B456451" w14:textId="77777777" w:rsidTr="008571BB">
        <w:trPr>
          <w:trHeight w:val="261"/>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CFC888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F0E9AB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E51C84D" w14:textId="77777777" w:rsidR="00546A89" w:rsidRDefault="006037C5">
            <w:pPr>
              <w:spacing w:after="0" w:line="240" w:lineRule="auto"/>
            </w:pPr>
            <w:hyperlink r:id="rId33" w:history="1">
              <w:r w:rsidR="00546A89">
                <w:rPr>
                  <w:rStyle w:val="Hyperlink"/>
                  <w:rFonts w:ascii="Times New Roman" w:eastAsia="Times New Roman" w:hAnsi="Times New Roman" w:cs="Times New Roman"/>
                  <w:sz w:val="21"/>
                  <w:szCs w:val="21"/>
                  <w:lang w:eastAsia="en-GB"/>
                </w:rPr>
                <w:t>2204.29.96.11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E14C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6061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A95679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8EFE" w14:textId="55550B0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197C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5421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F02C01F" w14:textId="77777777" w:rsidTr="008571BB">
        <w:trPr>
          <w:trHeight w:val="18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402649D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17EBDC2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E6A9C17" w14:textId="77777777" w:rsidR="00546A89" w:rsidRDefault="006037C5">
            <w:pPr>
              <w:spacing w:after="0" w:line="240" w:lineRule="auto"/>
            </w:pPr>
            <w:hyperlink r:id="rId34" w:history="1">
              <w:r w:rsidR="00546A89">
                <w:rPr>
                  <w:rStyle w:val="Hyperlink"/>
                  <w:rFonts w:ascii="Times New Roman" w:eastAsia="Times New Roman" w:hAnsi="Times New Roman" w:cs="Times New Roman"/>
                  <w:sz w:val="21"/>
                  <w:szCs w:val="21"/>
                  <w:lang w:eastAsia="en-GB"/>
                </w:rPr>
                <w:t>2204.29.96.21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2EDDA"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F413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A3EE6C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5E898" w14:textId="10B4918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F49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04FCF"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78482232" w14:textId="77777777" w:rsidTr="008571BB">
        <w:trPr>
          <w:trHeight w:val="25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67912BE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474EBB3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2716647" w14:textId="77777777" w:rsidR="00546A89" w:rsidRDefault="006037C5">
            <w:pPr>
              <w:spacing w:after="0" w:line="240" w:lineRule="auto"/>
            </w:pPr>
            <w:hyperlink r:id="rId35" w:history="1">
              <w:r w:rsidR="00546A89">
                <w:rPr>
                  <w:rStyle w:val="Hyperlink"/>
                  <w:rFonts w:ascii="Times New Roman" w:eastAsia="Times New Roman" w:hAnsi="Times New Roman" w:cs="Times New Roman"/>
                  <w:sz w:val="21"/>
                  <w:szCs w:val="21"/>
                  <w:lang w:eastAsia="en-GB"/>
                </w:rPr>
                <w:t>2204.29.97.10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9333"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900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96429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92A3F" w14:textId="5A28C6EC"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743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E6E0"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990D825" w14:textId="77777777" w:rsidTr="008571BB">
        <w:trPr>
          <w:trHeight w:val="187"/>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0254DE1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0CD7D61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F3C243E" w14:textId="77777777" w:rsidR="00546A89" w:rsidRDefault="006037C5">
            <w:pPr>
              <w:spacing w:after="0" w:line="240" w:lineRule="auto"/>
            </w:pPr>
            <w:hyperlink r:id="rId36" w:history="1">
              <w:r w:rsidR="00546A89">
                <w:rPr>
                  <w:rStyle w:val="Hyperlink"/>
                  <w:rFonts w:ascii="Times New Roman" w:eastAsia="Times New Roman" w:hAnsi="Times New Roman" w:cs="Times New Roman"/>
                  <w:sz w:val="21"/>
                  <w:szCs w:val="21"/>
                  <w:lang w:eastAsia="en-GB"/>
                </w:rPr>
                <w:t>2204.29.97.20</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35B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51B8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A146F0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E1495" w14:textId="428C43DE"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92C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E2C9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249AD7C" w14:textId="77777777" w:rsidTr="008571BB">
        <w:trPr>
          <w:trHeight w:val="12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24C0ED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1876E7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4AEB006" w14:textId="77777777" w:rsidR="00546A89" w:rsidRDefault="006037C5">
            <w:pPr>
              <w:spacing w:after="0" w:line="240" w:lineRule="auto"/>
            </w:pPr>
            <w:hyperlink r:id="rId37" w:history="1">
              <w:r w:rsidR="00546A89">
                <w:rPr>
                  <w:rStyle w:val="Hyperlink"/>
                  <w:rFonts w:ascii="Times New Roman" w:eastAsia="Times New Roman" w:hAnsi="Times New Roman" w:cs="Times New Roman"/>
                  <w:sz w:val="21"/>
                  <w:szCs w:val="21"/>
                  <w:lang w:eastAsia="en-GB"/>
                </w:rPr>
                <w:t>2204.29.98.11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3AB3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DF8C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83D826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E86BA" w14:textId="1CF4D935"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32E2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C3EFF"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71184335" w14:textId="77777777" w:rsidTr="008571BB">
        <w:trPr>
          <w:trHeight w:val="199"/>
        </w:trPr>
        <w:tc>
          <w:tcPr>
            <w:tcW w:w="980" w:type="dxa"/>
            <w:vMerge/>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tcPr>
          <w:p w14:paraId="5F91104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14:paraId="5B2AC1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23EC13D" w14:textId="77777777" w:rsidR="00546A89" w:rsidRDefault="006037C5">
            <w:pPr>
              <w:spacing w:after="0" w:line="240" w:lineRule="auto"/>
            </w:pPr>
            <w:hyperlink r:id="rId38" w:history="1">
              <w:r w:rsidR="00546A89">
                <w:rPr>
                  <w:rStyle w:val="Hyperlink"/>
                  <w:rFonts w:ascii="Times New Roman" w:eastAsia="Times New Roman" w:hAnsi="Times New Roman" w:cs="Times New Roman"/>
                  <w:sz w:val="21"/>
                  <w:szCs w:val="21"/>
                  <w:lang w:eastAsia="en-GB"/>
                </w:rPr>
                <w:t>2204.29.98.21</w:t>
              </w:r>
            </w:hyperlink>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7FCE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E77D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2652B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7D116" w14:textId="6AC13D9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D275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ACD0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FEDFC87" w14:textId="77777777" w:rsidTr="008571BB">
        <w:trPr>
          <w:cantSplit/>
          <w:trHeight w:val="149"/>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734E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05.1545</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5441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3E19C0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0301.91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2B1CBF"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84D5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2 </w:t>
            </w:r>
          </w:p>
        </w:tc>
        <w:tc>
          <w:tcPr>
            <w:tcW w:w="1114" w:type="dxa"/>
            <w:vMerge w:val="restart"/>
            <w:tcBorders>
              <w:top w:val="single" w:sz="4" w:space="0" w:color="auto"/>
              <w:left w:val="single" w:sz="4" w:space="0" w:color="auto"/>
              <w:bottom w:val="single" w:sz="4" w:space="0" w:color="auto"/>
              <w:right w:val="single" w:sz="4" w:space="0" w:color="auto"/>
            </w:tcBorders>
          </w:tcPr>
          <w:p w14:paraId="00CD57F4" w14:textId="49337B1D"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C3310" w14:textId="0865D5A6"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FBDA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tonnes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582E1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3A08F7" w14:paraId="5937E87E" w14:textId="77777777" w:rsidTr="008571BB">
        <w:trPr>
          <w:trHeight w:val="19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B9C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C24D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1AE0C0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0302.11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FF36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10D0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18B9C2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EE1CD" w14:textId="60B3ECA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37C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4010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E2CB4DA" w14:textId="77777777" w:rsidTr="008571BB">
        <w:trPr>
          <w:trHeight w:val="22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F152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B117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A19169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0303.14</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3451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8C18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6466882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7697" w14:textId="13F2CB1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3662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8DB2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4AA902C" w14:textId="77777777" w:rsidTr="008571BB">
        <w:trPr>
          <w:trHeight w:val="259"/>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2CA7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E04B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5C7668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0304.42</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5FE0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3AC8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74F32C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DDB1B" w14:textId="4C82F71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798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C941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60900BB" w14:textId="77777777" w:rsidTr="008571BB">
        <w:trPr>
          <w:trHeight w:val="12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9C2F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8C26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FF62F3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0304.52.00.10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D8C3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B4A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55FD40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B83A" w14:textId="145B15C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3626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559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C8DAB51" w14:textId="77777777" w:rsidTr="008571BB">
        <w:trPr>
          <w:trHeight w:val="153"/>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DEA5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CE5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BD0BFE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0304.82</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F770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0611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F10C1C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985C" w14:textId="4854FA3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3E0F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09B2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42C7D11" w14:textId="77777777" w:rsidTr="008571BB">
        <w:trPr>
          <w:trHeight w:val="18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235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902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2F1ED8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0304.99.21.11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22D1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1F78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B5545A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1B715" w14:textId="40E63A3E"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6D9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927E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A0AB422" w14:textId="77777777" w:rsidTr="008571BB">
        <w:trPr>
          <w:trHeight w:val="21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DF3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D823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D28636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0304.99.21.12</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128D"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A494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55E469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95B18" w14:textId="715DC51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88AB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84FD0"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DA2D477" w14:textId="77777777" w:rsidTr="008571BB">
        <w:trPr>
          <w:trHeight w:val="12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D407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ECC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D5A720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0304.99.21.20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657C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B13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74139AC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86A05" w14:textId="7CC6DCD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1B2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8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6B1D5F0" w14:textId="77777777" w:rsidTr="008571BB">
        <w:trPr>
          <w:trHeight w:val="153"/>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D974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11B3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65CFA9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0305.39.90.10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58FB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FE6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577571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FABB4" w14:textId="2F254FE9"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AD16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E201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6ACF559" w14:textId="77777777" w:rsidTr="008571BB">
        <w:trPr>
          <w:trHeight w:val="18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9523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5109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9DADC5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0305.43</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64EE"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2CB4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E89387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C5D59" w14:textId="0E55D99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E5E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E5E8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6709F7B" w14:textId="77777777" w:rsidTr="008571BB">
        <w:trPr>
          <w:trHeight w:val="21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D39C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EC7C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93335D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0305.59.85.61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598C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D8F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6044F8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E74D" w14:textId="4148196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782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31B4"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A00FFB5" w14:textId="77777777" w:rsidTr="008571BB">
        <w:trPr>
          <w:trHeight w:val="10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30A6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2C74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73452B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0305.69.80.61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722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A1C7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5FA30A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2C604" w14:textId="6E6BBB3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3578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389F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6A18F42" w14:textId="77777777" w:rsidTr="008571BB">
        <w:trPr>
          <w:trHeight w:val="21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E8B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2D1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2CB20A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0309.10.00.10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FBC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8E09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C58A09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C7709" w14:textId="5A286FD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F9C5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5E36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747B5824" w14:textId="77777777" w:rsidTr="008571BB">
        <w:trPr>
          <w:trHeight w:val="171"/>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18A3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05.1546</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0B63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6FAA85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0301.93</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97F35"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123A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12 </w:t>
            </w:r>
          </w:p>
        </w:tc>
        <w:tc>
          <w:tcPr>
            <w:tcW w:w="1114" w:type="dxa"/>
            <w:vMerge w:val="restart"/>
            <w:tcBorders>
              <w:top w:val="single" w:sz="4" w:space="0" w:color="auto"/>
              <w:left w:val="single" w:sz="4" w:space="0" w:color="auto"/>
              <w:bottom w:val="single" w:sz="4" w:space="0" w:color="auto"/>
              <w:right w:val="single" w:sz="4" w:space="0" w:color="auto"/>
            </w:tcBorders>
          </w:tcPr>
          <w:p w14:paraId="33541E3F" w14:textId="74C6891F"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11E93" w14:textId="45C201F8"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EB8A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tonnes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719F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3A08F7" w14:paraId="2F9DFFDA" w14:textId="77777777" w:rsidTr="008571BB">
        <w:trPr>
          <w:trHeight w:val="204"/>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1474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74A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B12366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0302.73</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E9C4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031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9836BD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EF984" w14:textId="3D192A95"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08D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56199"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5AB1A9C" w14:textId="77777777" w:rsidTr="008571BB">
        <w:trPr>
          <w:trHeight w:val="216"/>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D1CC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6865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38C955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0303.25</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0D5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6D5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898CE9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7A9F5" w14:textId="11CD35E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FEAA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969C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B8797D2" w14:textId="77777777" w:rsidTr="008571BB">
        <w:trPr>
          <w:trHeight w:val="234"/>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8921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83CE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2C5B35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0304.39.00.20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D68F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075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5213AE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8173" w14:textId="693AF04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6D62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8DF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E7EC857" w14:textId="77777777" w:rsidTr="008571BB">
        <w:trPr>
          <w:trHeight w:val="26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8319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494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5012A5F"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0304.51.00.10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3712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0475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F052EF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DF87A" w14:textId="36DC5DB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1D5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3C2A"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21B97A73" w14:textId="77777777" w:rsidTr="008571BB">
        <w:trPr>
          <w:trHeight w:val="14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641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549F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C740AC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0304.69.00.20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E95E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E5DB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970108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CEB3F" w14:textId="44E7BDF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C69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61D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2061A973" w14:textId="77777777" w:rsidTr="008571BB">
        <w:trPr>
          <w:trHeight w:val="173"/>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B5A5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20F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C8B574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0304.93.90.10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03DCC"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87B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E0C803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41561" w14:textId="2B3652A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4EFE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3FFC"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7A67F586" w14:textId="77777777" w:rsidTr="008571BB">
        <w:trPr>
          <w:trHeight w:val="19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E60D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5FD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79D2E8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0305.31.00.10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F4AF0"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9997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972B83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12C8B" w14:textId="209FB1BF"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6A0D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4049"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B702838" w14:textId="77777777" w:rsidTr="008571BB">
        <w:trPr>
          <w:trHeight w:val="23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210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79D8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742370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0305.44.90.10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F2BA"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0E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721A8D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EE66" w14:textId="3111E8E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8A7B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9007"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7C718C5" w14:textId="77777777" w:rsidTr="008571BB">
        <w:trPr>
          <w:trHeight w:val="12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3D7B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76C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54C8511"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0305.52.00.10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98BD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0F1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18C280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79E3" w14:textId="0157D4D2"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C06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CCED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23CBB042" w14:textId="77777777" w:rsidTr="008571BB">
        <w:trPr>
          <w:trHeight w:val="159"/>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E065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55FF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C0E667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0305.64.00.10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826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DA5C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511328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9C57" w14:textId="18E9313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07A8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CEFE4"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5DBE428D" w14:textId="77777777" w:rsidTr="008571BB">
        <w:trPr>
          <w:trHeight w:val="17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0D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8EA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8CA3F49" w14:textId="77777777" w:rsidR="00546A89" w:rsidRDefault="00546A89">
            <w:pPr>
              <w:spacing w:after="0" w:line="240" w:lineRule="auto"/>
            </w:pPr>
            <w:r>
              <w:rPr>
                <w:rFonts w:ascii="Times New Roman" w:eastAsia="Times New Roman" w:hAnsi="Times New Roman" w:cs="Times New Roman"/>
                <w:sz w:val="21"/>
                <w:szCs w:val="21"/>
                <w:lang w:eastAsia="en-GB"/>
              </w:rPr>
              <w:t>0309.10.00.20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AA3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A36B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A0100F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155F5" w14:textId="3FCC41B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B652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97FF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7B411DC" w14:textId="77777777" w:rsidTr="00E82D2B">
        <w:trPr>
          <w:trHeight w:val="192"/>
        </w:trPr>
        <w:tc>
          <w:tcPr>
            <w:tcW w:w="980"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670BFAAE"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05.1592</w:t>
            </w:r>
          </w:p>
        </w:tc>
        <w:tc>
          <w:tcPr>
            <w:tcW w:w="812" w:type="dxa"/>
            <w:tcBorders>
              <w:top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519CCEC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5CC3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1604</w:t>
            </w:r>
          </w:p>
        </w:tc>
        <w:tc>
          <w:tcPr>
            <w:tcW w:w="2835" w:type="dxa"/>
            <w:tcBorders>
              <w:top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6469041E"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B2ECC"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2 </w:t>
            </w:r>
          </w:p>
        </w:tc>
        <w:tc>
          <w:tcPr>
            <w:tcW w:w="1114" w:type="dxa"/>
            <w:tcBorders>
              <w:top w:val="single" w:sz="4" w:space="0" w:color="auto"/>
              <w:left w:val="single" w:sz="4" w:space="0" w:color="auto"/>
              <w:bottom w:val="single" w:sz="4" w:space="0" w:color="auto"/>
              <w:right w:val="single" w:sz="4" w:space="0" w:color="auto"/>
            </w:tcBorders>
          </w:tcPr>
          <w:p w14:paraId="0561FA91" w14:textId="0073A0D8"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F4265" w14:textId="3ED25791"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1422E0F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tonnes</w:t>
            </w:r>
          </w:p>
        </w:tc>
        <w:tc>
          <w:tcPr>
            <w:tcW w:w="1134" w:type="dxa"/>
            <w:tcBorders>
              <w:top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tcPr>
          <w:p w14:paraId="7D8B652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3A08F7" w14:paraId="6390C56E" w14:textId="77777777" w:rsidTr="008571BB">
        <w:trPr>
          <w:trHeight w:val="269"/>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E017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05.4198</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ACBD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8DB6F0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0102.29.51.10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FEBB6"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2% + 15.40 GBP / 100kg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4689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1,185 </w:t>
            </w:r>
          </w:p>
        </w:tc>
        <w:tc>
          <w:tcPr>
            <w:tcW w:w="1114" w:type="dxa"/>
            <w:vMerge w:val="restart"/>
            <w:tcBorders>
              <w:top w:val="single" w:sz="4" w:space="0" w:color="auto"/>
              <w:left w:val="single" w:sz="4" w:space="0" w:color="auto"/>
              <w:bottom w:val="single" w:sz="4" w:space="0" w:color="auto"/>
              <w:right w:val="single" w:sz="4" w:space="0" w:color="auto"/>
            </w:tcBorders>
          </w:tcPr>
          <w:p w14:paraId="29875CE9" w14:textId="030DCE53"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01-01</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D8D19" w14:textId="267632AA"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31-12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AD7EA"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tonnes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3B26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3A08F7" w14:paraId="1710961E" w14:textId="77777777" w:rsidTr="00E82D2B">
        <w:trPr>
          <w:trHeight w:val="259"/>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3004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DB43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1D7DD2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0102.29.59.11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BF0F8"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AE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C6F48A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6B78C" w14:textId="4904139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2DC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9E70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62BDA15" w14:textId="77777777" w:rsidTr="00E82D2B">
        <w:trPr>
          <w:trHeight w:val="27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BB49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1D4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8101246"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0102.29.59.21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9F89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C010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6461FC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0F901" w14:textId="1442807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9EC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647C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4DBA845" w14:textId="77777777" w:rsidTr="00E82D2B">
        <w:trPr>
          <w:trHeight w:val="139"/>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A341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D35B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A53764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0102.29.59.31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CEA0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B06D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FEF05E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1A25F" w14:textId="5B3D0B8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E88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CB0E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7B7DD68E" w14:textId="77777777" w:rsidTr="00E82D2B">
        <w:trPr>
          <w:trHeight w:val="17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33FC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3620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7C1590F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0102.29.59.91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76AC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20F2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E9BAF4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D251D" w14:textId="1FC2C8B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5955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59B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88095E8" w14:textId="77777777" w:rsidTr="00E82D2B">
        <w:trPr>
          <w:trHeight w:val="7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E2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B55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F0EE980"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0102.29.91.10</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9DC2"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8D7E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EDD51B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06C33" w14:textId="059F647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B6D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DD5D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623D49A" w14:textId="77777777" w:rsidTr="00E82D2B">
        <w:trPr>
          <w:trHeight w:val="23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3BD1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A3D6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2693542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0102.29.99.21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0B9B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A129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1CA2CC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87A67" w14:textId="1B94AD54"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CC72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717E"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472019E" w14:textId="77777777" w:rsidTr="00E82D2B">
        <w:trPr>
          <w:trHeight w:val="26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FEC0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E27A6"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EB3EF1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0102.29.99.91</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DCE9"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A487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8E9BBF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E8B9" w14:textId="3425CB01"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1DA9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EE9F3"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08A0DC3F" w14:textId="77777777" w:rsidTr="00E82D2B">
        <w:trPr>
          <w:trHeight w:val="27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EB6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BD6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9477F4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0201.10.00.92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A6C41"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2.4% + 29.40 GBP / 100kg</w:t>
            </w: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F249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D7D476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E6" w14:textId="29DD652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FBE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5635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C86B499" w14:textId="77777777" w:rsidTr="00E82D2B">
        <w:trPr>
          <w:trHeight w:val="26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160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07A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4D5E7E9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0201.10.00.94</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B04D4"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743F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5693274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3D11" w14:textId="3A291EE6"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8E3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33E38"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2B62F0A" w14:textId="77777777" w:rsidTr="00E82D2B">
        <w:trPr>
          <w:trHeight w:val="137"/>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B2BA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63F8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56CF9E57"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0201.20.20.92</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655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140D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F88ADA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205FF" w14:textId="6656EB2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CEBD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3BC92"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F3E2F11" w14:textId="77777777" w:rsidTr="00E82D2B">
        <w:trPr>
          <w:trHeight w:val="169"/>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22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3A5C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069C7C9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0201.20.20.94</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3C861"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165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0FD94AD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92A0D" w14:textId="297BDCFB"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F06C4"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477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3FAB3441" w14:textId="77777777" w:rsidTr="00E82D2B">
        <w:trPr>
          <w:trHeight w:val="202"/>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8EA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E1AC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1FA50F6B"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0201.20.30.92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D4348"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2.4% + 23.60 GBP / 100kg</w:t>
            </w: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475A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22411FE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30646" w14:textId="1E1838A0"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48D82"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A105"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87E60C4" w14:textId="77777777" w:rsidTr="00E82D2B">
        <w:trPr>
          <w:trHeight w:val="233"/>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0699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C19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616FACF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0201.20.30.94</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BB4AF"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3A58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1E75D46A"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0203" w14:textId="3771A93A"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2D9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30331"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43F1BE74" w14:textId="77777777" w:rsidTr="00E82D2B">
        <w:trPr>
          <w:trHeight w:val="26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3239B"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DA6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000000" w:themeColor="text1"/>
              <w:right w:val="single" w:sz="4" w:space="0" w:color="auto"/>
            </w:tcBorders>
            <w:shd w:val="clear" w:color="auto" w:fill="auto"/>
            <w:tcMar>
              <w:top w:w="0" w:type="dxa"/>
              <w:left w:w="108" w:type="dxa"/>
              <w:bottom w:w="0" w:type="dxa"/>
              <w:right w:w="108" w:type="dxa"/>
            </w:tcMar>
          </w:tcPr>
          <w:p w14:paraId="3E8DA818"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0201.20.50.92</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67D67"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2.4% + 35.40 GBP / 100kg</w:t>
            </w: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B11FF"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477221F1"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402C" w14:textId="29629EC8"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0BE55"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065B"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14A0A34F" w14:textId="77777777" w:rsidTr="00E82D2B">
        <w:trPr>
          <w:trHeight w:val="141"/>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44979"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37EED"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000000" w:themeColor="text1"/>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90703"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0201.20.50.94</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F1C7"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D8118"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B2F2A8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5913" w14:textId="008CF8BD"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C0233"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54B26" w14:textId="77777777" w:rsidR="00546A89" w:rsidRDefault="00546A89">
            <w:pPr>
              <w:spacing w:after="0" w:line="240" w:lineRule="auto"/>
              <w:rPr>
                <w:rFonts w:ascii="Times New Roman" w:eastAsia="Times New Roman" w:hAnsi="Times New Roman" w:cs="Times New Roman"/>
                <w:sz w:val="21"/>
                <w:szCs w:val="21"/>
                <w:lang w:eastAsia="en-GB"/>
              </w:rPr>
            </w:pPr>
          </w:p>
        </w:tc>
      </w:tr>
      <w:tr w:rsidR="003A08F7" w14:paraId="6B552DE1" w14:textId="77777777" w:rsidTr="00641AED">
        <w:trPr>
          <w:trHeight w:val="173"/>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5D182"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05.4326</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35C55"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No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9DA8E"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1701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263D6" w14:textId="77777777" w:rsidR="00546A89" w:rsidRPr="003A08F7" w:rsidRDefault="00546A89">
            <w:pPr>
              <w:spacing w:after="0" w:line="240" w:lineRule="auto"/>
              <w:rPr>
                <w:rFonts w:ascii="Times New Roman" w:eastAsia="Times New Roman" w:hAnsi="Times New Roman" w:cs="Times New Roman"/>
                <w:sz w:val="21"/>
                <w:szCs w:val="21"/>
                <w:lang w:eastAsia="en-GB"/>
              </w:rPr>
            </w:pPr>
            <w:r w:rsidRPr="003A08F7">
              <w:rPr>
                <w:rFonts w:ascii="Times New Roman" w:eastAsia="Times New Roman" w:hAnsi="Times New Roman" w:cs="Times New Roman"/>
                <w:sz w:val="21"/>
                <w:szCs w:val="21"/>
                <w:lang w:eastAsia="en-GB"/>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6E8B9"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 xml:space="preserve">24,652 </w:t>
            </w:r>
          </w:p>
        </w:tc>
        <w:tc>
          <w:tcPr>
            <w:tcW w:w="1114" w:type="dxa"/>
            <w:vMerge w:val="restart"/>
            <w:tcBorders>
              <w:top w:val="single" w:sz="4" w:space="0" w:color="auto"/>
              <w:left w:val="single" w:sz="4" w:space="0" w:color="auto"/>
              <w:bottom w:val="single" w:sz="4" w:space="0" w:color="auto"/>
              <w:right w:val="single" w:sz="4" w:space="0" w:color="auto"/>
            </w:tcBorders>
          </w:tcPr>
          <w:p w14:paraId="559258C7" w14:textId="6F62FAB9"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01-10</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BAEA68" w14:textId="1F826732"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30-09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F7284"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tonnes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51C8E"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w:t>
            </w:r>
          </w:p>
        </w:tc>
      </w:tr>
      <w:tr w:rsidR="003A08F7" w14:paraId="204666C6" w14:textId="77777777" w:rsidTr="00641AED">
        <w:trPr>
          <w:trHeight w:val="205"/>
        </w:trPr>
        <w:tc>
          <w:tcPr>
            <w:tcW w:w="98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F6B7"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8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AC90"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EE13D" w14:textId="77777777" w:rsidR="00546A89" w:rsidRDefault="00546A89">
            <w:pPr>
              <w:spacing w:after="0" w:line="240" w:lineRule="auto"/>
              <w:rPr>
                <w:rFonts w:ascii="Times New Roman" w:eastAsia="Times New Roman" w:hAnsi="Times New Roman" w:cs="Times New Roman"/>
                <w:sz w:val="21"/>
                <w:szCs w:val="21"/>
                <w:lang w:eastAsia="en-GB"/>
              </w:rPr>
            </w:pPr>
            <w:r>
              <w:rPr>
                <w:rFonts w:ascii="Times New Roman" w:eastAsia="Times New Roman" w:hAnsi="Times New Roman" w:cs="Times New Roman"/>
                <w:sz w:val="21"/>
                <w:szCs w:val="21"/>
                <w:lang w:eastAsia="en-GB"/>
              </w:rPr>
              <w:t>1702</w:t>
            </w:r>
          </w:p>
        </w:tc>
        <w:tc>
          <w:tcPr>
            <w:tcW w:w="283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39B3B" w14:textId="77777777" w:rsidR="00546A89" w:rsidRPr="003A08F7"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FE3C"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14" w:type="dxa"/>
            <w:vMerge/>
            <w:tcBorders>
              <w:top w:val="single" w:sz="4" w:space="0" w:color="auto"/>
              <w:left w:val="single" w:sz="4" w:space="0" w:color="auto"/>
              <w:bottom w:val="single" w:sz="4" w:space="0" w:color="auto"/>
              <w:right w:val="single" w:sz="4" w:space="0" w:color="auto"/>
            </w:tcBorders>
          </w:tcPr>
          <w:p w14:paraId="328C176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26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30CA0" w14:textId="6A64A7F3"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8453E" w14:textId="77777777" w:rsidR="00546A89" w:rsidRDefault="00546A89">
            <w:pPr>
              <w:spacing w:after="0" w:line="240" w:lineRule="auto"/>
              <w:rPr>
                <w:rFonts w:ascii="Times New Roman" w:eastAsia="Times New Roman" w:hAnsi="Times New Roman" w:cs="Times New Roman"/>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E9B3" w14:textId="77777777" w:rsidR="00546A89" w:rsidRDefault="00546A89">
            <w:pPr>
              <w:spacing w:after="0" w:line="240" w:lineRule="auto"/>
              <w:rPr>
                <w:rFonts w:ascii="Times New Roman" w:eastAsia="Times New Roman" w:hAnsi="Times New Roman" w:cs="Times New Roman"/>
                <w:sz w:val="21"/>
                <w:szCs w:val="21"/>
                <w:lang w:eastAsia="en-GB"/>
              </w:rPr>
            </w:pPr>
          </w:p>
        </w:tc>
      </w:tr>
    </w:tbl>
    <w:p w14:paraId="47E17F3D" w14:textId="77777777" w:rsidR="00AC140A" w:rsidRDefault="00AC140A">
      <w:pPr>
        <w:spacing w:after="0" w:line="240" w:lineRule="auto"/>
        <w:rPr>
          <w:rFonts w:ascii="Times New Roman" w:hAnsi="Times New Roman" w:cs="Times New Roman"/>
        </w:rPr>
      </w:pPr>
    </w:p>
    <w:p w14:paraId="30DB21AD" w14:textId="77777777" w:rsidR="00AC140A" w:rsidRDefault="00AC140A">
      <w:pPr>
        <w:spacing w:after="0" w:line="240" w:lineRule="auto"/>
        <w:rPr>
          <w:rFonts w:ascii="Times New Roman" w:hAnsi="Times New Roman" w:cs="Times New Roman"/>
        </w:rPr>
      </w:pPr>
    </w:p>
    <w:p w14:paraId="61A7AD82" w14:textId="77777777" w:rsidR="00AC140A" w:rsidRDefault="00AC140A">
      <w:pPr>
        <w:spacing w:after="0" w:line="240" w:lineRule="auto"/>
        <w:rPr>
          <w:rFonts w:ascii="Times New Roman" w:hAnsi="Times New Roman" w:cs="Times New Roman"/>
        </w:rPr>
      </w:pPr>
    </w:p>
    <w:p w14:paraId="78B82EE3" w14:textId="77777777" w:rsidR="00AC140A" w:rsidRDefault="00AC140A">
      <w:pPr>
        <w:rPr>
          <w:rFonts w:ascii="Times New Roman" w:hAnsi="Times New Roman" w:cs="Times New Roman"/>
        </w:rPr>
      </w:pPr>
    </w:p>
    <w:sectPr w:rsidR="00AC140A">
      <w:headerReference w:type="default" r:id="rId39"/>
      <w:footerReference w:type="default" r:id="rId4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4379" w14:textId="77777777" w:rsidR="00380F72" w:rsidRDefault="00380F72">
      <w:pPr>
        <w:spacing w:after="0" w:line="240" w:lineRule="auto"/>
      </w:pPr>
      <w:r>
        <w:separator/>
      </w:r>
    </w:p>
  </w:endnote>
  <w:endnote w:type="continuationSeparator" w:id="0">
    <w:p w14:paraId="0C39E449" w14:textId="77777777" w:rsidR="00380F72" w:rsidRDefault="00380F72">
      <w:pPr>
        <w:spacing w:after="0" w:line="240" w:lineRule="auto"/>
      </w:pPr>
      <w:r>
        <w:continuationSeparator/>
      </w:r>
    </w:p>
  </w:endnote>
  <w:endnote w:type="continuationNotice" w:id="1">
    <w:p w14:paraId="6A9D6275" w14:textId="77777777" w:rsidR="00380F72" w:rsidRDefault="00380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79EE" w14:textId="33BD4BFF" w:rsidR="00546A89" w:rsidRDefault="00546A89">
    <w:pPr>
      <w:pStyle w:val="Footer"/>
      <w:ind w:firstLine="720"/>
    </w:pPr>
    <w:r>
      <w:rPr>
        <w:rFonts w:ascii="Times New Roman" w:hAnsi="Times New Roman" w:cs="Times New Roman"/>
      </w:rPr>
      <w:t>Serbia Preferential Tariff V1.</w:t>
    </w:r>
    <w:r w:rsidR="00C96E6E">
      <w:rPr>
        <w:rFonts w:ascii="Times New Roman" w:hAnsi="Times New Roman" w:cs="Times New Roman"/>
      </w:rPr>
      <w:t>4</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58B16418" w14:textId="77777777" w:rsidR="00546A89" w:rsidRDefault="0054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3C23" w14:textId="00193FBF" w:rsidR="00546A89" w:rsidRDefault="00546A89">
    <w:pPr>
      <w:pStyle w:val="Footer"/>
      <w:ind w:firstLine="720"/>
    </w:pPr>
    <w:r>
      <w:rPr>
        <w:rFonts w:ascii="Times New Roman" w:hAnsi="Times New Roman" w:cs="Times New Roman"/>
      </w:rPr>
      <w:t>Serbia Preferential Tariff V1.</w:t>
    </w:r>
    <w:r w:rsidR="00C96E6E">
      <w:rPr>
        <w:rFonts w:ascii="Times New Roman" w:hAnsi="Times New Roman" w:cs="Times New Roman"/>
      </w:rPr>
      <w:t>4</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4507D6C4" w14:textId="77777777" w:rsidR="00546A89" w:rsidRDefault="0054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3CBC" w14:textId="63AF2826" w:rsidR="00546A89" w:rsidRDefault="00546A89">
    <w:pPr>
      <w:pStyle w:val="Footer"/>
      <w:ind w:firstLine="720"/>
    </w:pPr>
    <w:r>
      <w:rPr>
        <w:rFonts w:ascii="Times New Roman" w:hAnsi="Times New Roman" w:cs="Times New Roman"/>
      </w:rPr>
      <w:t>Serbia Preferential Tariff V1.</w:t>
    </w:r>
    <w:r w:rsidR="00C96E6E">
      <w:rPr>
        <w:rFonts w:ascii="Times New Roman" w:hAnsi="Times New Roman" w:cs="Times New Roman"/>
      </w:rPr>
      <w:t>4</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6E86BDAE" w14:textId="77777777" w:rsidR="00546A89" w:rsidRDefault="0054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B951" w14:textId="77777777" w:rsidR="00380F72" w:rsidRDefault="00380F72">
      <w:pPr>
        <w:spacing w:after="0" w:line="240" w:lineRule="auto"/>
      </w:pPr>
      <w:r>
        <w:rPr>
          <w:color w:val="000000"/>
        </w:rPr>
        <w:separator/>
      </w:r>
    </w:p>
  </w:footnote>
  <w:footnote w:type="continuationSeparator" w:id="0">
    <w:p w14:paraId="52EE845F" w14:textId="77777777" w:rsidR="00380F72" w:rsidRDefault="00380F72">
      <w:pPr>
        <w:spacing w:after="0" w:line="240" w:lineRule="auto"/>
      </w:pPr>
      <w:r>
        <w:continuationSeparator/>
      </w:r>
    </w:p>
  </w:footnote>
  <w:footnote w:type="continuationNotice" w:id="1">
    <w:p w14:paraId="2CD1AF22" w14:textId="77777777" w:rsidR="00380F72" w:rsidRDefault="00380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9447" w14:textId="77777777" w:rsidR="00546A89" w:rsidRDefault="0054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BA7B" w14:textId="77777777" w:rsidR="00546A89" w:rsidRDefault="0054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7A11"/>
    <w:multiLevelType w:val="multilevel"/>
    <w:tmpl w:val="5664B4F0"/>
    <w:styleLink w:val="LFO3"/>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1E43E1"/>
    <w:multiLevelType w:val="multilevel"/>
    <w:tmpl w:val="B28C54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027F76"/>
    <w:multiLevelType w:val="multilevel"/>
    <w:tmpl w:val="3BE89C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EAB591A"/>
    <w:multiLevelType w:val="multilevel"/>
    <w:tmpl w:val="E2A0D376"/>
    <w:styleLink w:val="LFO1"/>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D28362A"/>
    <w:multiLevelType w:val="multilevel"/>
    <w:tmpl w:val="2C6E01C0"/>
    <w:styleLink w:val="LFO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CE128F"/>
    <w:multiLevelType w:val="multilevel"/>
    <w:tmpl w:val="32B6B70C"/>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FA341A3"/>
    <w:multiLevelType w:val="multilevel"/>
    <w:tmpl w:val="AB186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DD0DC8"/>
    <w:multiLevelType w:val="multilevel"/>
    <w:tmpl w:val="E3FAA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816650"/>
    <w:multiLevelType w:val="multilevel"/>
    <w:tmpl w:val="CBB69032"/>
    <w:styleLink w:val="LFO4"/>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056141">
    <w:abstractNumId w:val="3"/>
  </w:num>
  <w:num w:numId="2" w16cid:durableId="1952282481">
    <w:abstractNumId w:val="0"/>
  </w:num>
  <w:num w:numId="3" w16cid:durableId="460274264">
    <w:abstractNumId w:val="8"/>
  </w:num>
  <w:num w:numId="4" w16cid:durableId="701130762">
    <w:abstractNumId w:val="6"/>
  </w:num>
  <w:num w:numId="5" w16cid:durableId="2043358502">
    <w:abstractNumId w:val="5"/>
  </w:num>
  <w:num w:numId="6" w16cid:durableId="1616860321">
    <w:abstractNumId w:val="8"/>
    <w:lvlOverride w:ilvl="0">
      <w:startOverride w:val="1"/>
    </w:lvlOverride>
  </w:num>
  <w:num w:numId="7" w16cid:durableId="1008828073">
    <w:abstractNumId w:val="1"/>
  </w:num>
  <w:num w:numId="8" w16cid:durableId="1944653253">
    <w:abstractNumId w:val="1"/>
    <w:lvlOverride w:ilvl="0">
      <w:startOverride w:val="1"/>
    </w:lvlOverride>
  </w:num>
  <w:num w:numId="9" w16cid:durableId="63184844">
    <w:abstractNumId w:val="7"/>
  </w:num>
  <w:num w:numId="10" w16cid:durableId="2001880689">
    <w:abstractNumId w:val="4"/>
  </w:num>
  <w:num w:numId="11" w16cid:durableId="770392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0A"/>
    <w:rsid w:val="00000D15"/>
    <w:rsid w:val="00001C3B"/>
    <w:rsid w:val="00053D7F"/>
    <w:rsid w:val="00070394"/>
    <w:rsid w:val="000C3A57"/>
    <w:rsid w:val="0010648C"/>
    <w:rsid w:val="001107EF"/>
    <w:rsid w:val="00114DB9"/>
    <w:rsid w:val="001166F8"/>
    <w:rsid w:val="00141D02"/>
    <w:rsid w:val="00142B20"/>
    <w:rsid w:val="002061A0"/>
    <w:rsid w:val="0022420E"/>
    <w:rsid w:val="00263717"/>
    <w:rsid w:val="00276684"/>
    <w:rsid w:val="003061DB"/>
    <w:rsid w:val="00380F72"/>
    <w:rsid w:val="003A08F7"/>
    <w:rsid w:val="003A2089"/>
    <w:rsid w:val="00411187"/>
    <w:rsid w:val="00446872"/>
    <w:rsid w:val="0045276F"/>
    <w:rsid w:val="004754F6"/>
    <w:rsid w:val="004A0B38"/>
    <w:rsid w:val="004B3C0A"/>
    <w:rsid w:val="0052362D"/>
    <w:rsid w:val="00546A89"/>
    <w:rsid w:val="005908D3"/>
    <w:rsid w:val="005B7555"/>
    <w:rsid w:val="005E4356"/>
    <w:rsid w:val="005E78E9"/>
    <w:rsid w:val="006012B3"/>
    <w:rsid w:val="006037C5"/>
    <w:rsid w:val="00641AED"/>
    <w:rsid w:val="006779DF"/>
    <w:rsid w:val="00692875"/>
    <w:rsid w:val="006A1260"/>
    <w:rsid w:val="006A6972"/>
    <w:rsid w:val="006D57A7"/>
    <w:rsid w:val="006F6CF8"/>
    <w:rsid w:val="00737F95"/>
    <w:rsid w:val="007A4037"/>
    <w:rsid w:val="007B1A6D"/>
    <w:rsid w:val="007D1274"/>
    <w:rsid w:val="007F39D6"/>
    <w:rsid w:val="008343D7"/>
    <w:rsid w:val="00852BA1"/>
    <w:rsid w:val="008571BB"/>
    <w:rsid w:val="00891AC7"/>
    <w:rsid w:val="008E070B"/>
    <w:rsid w:val="008F72C7"/>
    <w:rsid w:val="0099014C"/>
    <w:rsid w:val="009A7C89"/>
    <w:rsid w:val="009B113E"/>
    <w:rsid w:val="009F60F3"/>
    <w:rsid w:val="00A5534F"/>
    <w:rsid w:val="00A667C1"/>
    <w:rsid w:val="00A8716B"/>
    <w:rsid w:val="00AC140A"/>
    <w:rsid w:val="00B77194"/>
    <w:rsid w:val="00BD0240"/>
    <w:rsid w:val="00BF16A8"/>
    <w:rsid w:val="00BF24D3"/>
    <w:rsid w:val="00C123F8"/>
    <w:rsid w:val="00C62633"/>
    <w:rsid w:val="00C96E6E"/>
    <w:rsid w:val="00CB039F"/>
    <w:rsid w:val="00CD0462"/>
    <w:rsid w:val="00CF7EE1"/>
    <w:rsid w:val="00D0511B"/>
    <w:rsid w:val="00D1212F"/>
    <w:rsid w:val="00D16B92"/>
    <w:rsid w:val="00D853D2"/>
    <w:rsid w:val="00DE69AE"/>
    <w:rsid w:val="00DE7573"/>
    <w:rsid w:val="00E06258"/>
    <w:rsid w:val="00E64B71"/>
    <w:rsid w:val="00E7643E"/>
    <w:rsid w:val="00E82D2B"/>
    <w:rsid w:val="00EC3FBD"/>
    <w:rsid w:val="00EC5362"/>
    <w:rsid w:val="00F144A0"/>
    <w:rsid w:val="00F46905"/>
    <w:rsid w:val="00F96571"/>
    <w:rsid w:val="00FC50C6"/>
    <w:rsid w:val="00FE58DD"/>
    <w:rsid w:val="0DA8DDE6"/>
    <w:rsid w:val="53EA989B"/>
    <w:rsid w:val="58A8B99C"/>
    <w:rsid w:val="6E968C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B06E"/>
  <w15:docId w15:val="{ED798FA8-3337-43C4-85DD-0EF153C8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1"/>
      </w:numPr>
      <w:tabs>
        <w:tab w:val="left" w:pos="227"/>
      </w:tabs>
      <w:spacing w:before="60" w:after="60" w:line="240" w:lineRule="auto"/>
    </w:pPr>
    <w:rPr>
      <w:sz w:val="18"/>
    </w:rPr>
  </w:style>
  <w:style w:type="paragraph" w:customStyle="1" w:styleId="Numberedlist">
    <w:name w:val="Numbered list"/>
    <w:basedOn w:val="ListParagraph"/>
    <w:pPr>
      <w:numPr>
        <w:numId w:val="3"/>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2"/>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character" w:customStyle="1" w:styleId="ListParagraphChar">
    <w:name w:val="List Paragraph Char"/>
    <w:basedOn w:val="DefaultParagraphFont"/>
  </w:style>
  <w:style w:type="character" w:styleId="PlaceholderText">
    <w:name w:val="Placeholder Text"/>
    <w:basedOn w:val="DefaultParagraphFont"/>
    <w:rPr>
      <w:color w:val="808080"/>
    </w:rPr>
  </w:style>
  <w:style w:type="character" w:customStyle="1" w:styleId="Heading4Char">
    <w:name w:val="Heading 4 Char"/>
    <w:basedOn w:val="DefaultParagraphFont"/>
    <w:rPr>
      <w:rFonts w:ascii="Calibri Light" w:eastAsia="Yu Gothic Light" w:hAnsi="Calibri Light" w:cs="Times New Roman"/>
      <w:i/>
      <w:iCs/>
      <w:color w:val="2F5496"/>
    </w:rPr>
  </w:style>
  <w:style w:type="numbering" w:customStyle="1" w:styleId="LFO2">
    <w:name w:val="LFO2"/>
    <w:basedOn w:val="NoList"/>
    <w:rsid w:val="00546A89"/>
    <w:pPr>
      <w:numPr>
        <w:numId w:val="10"/>
      </w:numPr>
    </w:pPr>
  </w:style>
  <w:style w:type="numbering" w:customStyle="1" w:styleId="LFO1">
    <w:name w:val="LFO1"/>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taxation_customs/dds2/taric/goods_description.jsp?Lang=en&amp;Taric=2204229421&amp;SimDate=20210101" TargetMode="External"/><Relationship Id="rId26" Type="http://schemas.openxmlformats.org/officeDocument/2006/relationships/hyperlink" Target="https://ec.europa.eu/taxation_customs/dds2/taric/goods_description.jsp?Lang=en&amp;Taric=2204229821&amp;SimDate=20210101"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c.europa.eu/taxation_customs/dds2/taric/goods_description.jsp?Lang=en&amp;Taric=2204229611&amp;SimDate=20210101" TargetMode="External"/><Relationship Id="rId34" Type="http://schemas.openxmlformats.org/officeDocument/2006/relationships/hyperlink" Target="https://ec.europa.eu/taxation_customs/dds2/taric/goods_description.jsp?Lang=en&amp;Taric=2204299621&amp;SimDate=20210101"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c.europa.eu/taxation_customs/dds2/taric/goods_description.jsp?Lang=en&amp;Taric=2204229411&amp;SimDate=20210101" TargetMode="External"/><Relationship Id="rId25" Type="http://schemas.openxmlformats.org/officeDocument/2006/relationships/hyperlink" Target="https://ec.europa.eu/taxation_customs/dds2/taric/goods_description.jsp?Lang=en&amp;Taric=2204229811&amp;SimDate=20210101" TargetMode="External"/><Relationship Id="rId33" Type="http://schemas.openxmlformats.org/officeDocument/2006/relationships/hyperlink" Target="https://ec.europa.eu/taxation_customs/dds2/taric/goods_description.jsp?Lang=en&amp;Taric=2204299611&amp;SimDate=20210101" TargetMode="External"/><Relationship Id="rId38" Type="http://schemas.openxmlformats.org/officeDocument/2006/relationships/hyperlink" Target="https://ec.europa.eu/taxation_customs/dds2/taric/goods_description.jsp?Lang=en&amp;Taric=2204299821&amp;SimDate=20210101" TargetMode="External"/><Relationship Id="rId2" Type="http://schemas.openxmlformats.org/officeDocument/2006/relationships/customXml" Target="../customXml/item2.xml"/><Relationship Id="rId16" Type="http://schemas.openxmlformats.org/officeDocument/2006/relationships/hyperlink" Target="https://ec.europa.eu/taxation_customs/dds2/taric/goods_description.jsp?Lang=en&amp;Taric=2204229320&amp;SimDate=20210101" TargetMode="External"/><Relationship Id="rId20" Type="http://schemas.openxmlformats.org/officeDocument/2006/relationships/hyperlink" Target="https://ec.europa.eu/taxation_customs/dds2/taric/goods_description.jsp?Lang=en&amp;Taric=2204229520&amp;SimDate=20210101" TargetMode="External"/><Relationship Id="rId29" Type="http://schemas.openxmlformats.org/officeDocument/2006/relationships/hyperlink" Target="https://ec.europa.eu/taxation_customs/dds2/taric/goods_description.jsp?Lang=en&amp;Taric=2204299411&amp;SimDate=202101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c.europa.eu/taxation_customs/dds2/taric/goods_description.jsp?Lang=en&amp;Taric=2204229720&amp;SimDate=20210101" TargetMode="External"/><Relationship Id="rId32" Type="http://schemas.openxmlformats.org/officeDocument/2006/relationships/hyperlink" Target="https://ec.europa.eu/taxation_customs/dds2/taric/goods_description.jsp?Lang=en&amp;Taric=2204299520&amp;SimDate=20210101" TargetMode="External"/><Relationship Id="rId37" Type="http://schemas.openxmlformats.org/officeDocument/2006/relationships/hyperlink" Target="https://ec.europa.eu/taxation_customs/dds2/taric/goods_description.jsp?Lang=en&amp;Taric=2204299811&amp;SimDate=20210101"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c.europa.eu/taxation_customs/dds2/taric/goods_description.jsp?Lang=en&amp;Taric=2204229310&amp;SimDate=20210101" TargetMode="External"/><Relationship Id="rId23" Type="http://schemas.openxmlformats.org/officeDocument/2006/relationships/hyperlink" Target="https://ec.europa.eu/taxation_customs/dds2/taric/goods_description.jsp?Lang=en&amp;Taric=2204229710&amp;SimDate=20210101" TargetMode="External"/><Relationship Id="rId28" Type="http://schemas.openxmlformats.org/officeDocument/2006/relationships/hyperlink" Target="https://ec.europa.eu/taxation_customs/dds2/taric/goods_description.jsp?Lang=en&amp;Taric=2204299320&amp;SimDate=20210101" TargetMode="External"/><Relationship Id="rId36" Type="http://schemas.openxmlformats.org/officeDocument/2006/relationships/hyperlink" Target="https://ec.europa.eu/taxation_customs/dds2/taric/goods_description.jsp?Lang=en&amp;Taric=2204299720&amp;SimDate=20210101" TargetMode="External"/><Relationship Id="rId10" Type="http://schemas.openxmlformats.org/officeDocument/2006/relationships/endnotes" Target="endnotes.xml"/><Relationship Id="rId19" Type="http://schemas.openxmlformats.org/officeDocument/2006/relationships/hyperlink" Target="https://ec.europa.eu/taxation_customs/dds2/taric/goods_description.jsp?Lang=en&amp;Taric=2204229510&amp;SimDate=20210101" TargetMode="External"/><Relationship Id="rId31" Type="http://schemas.openxmlformats.org/officeDocument/2006/relationships/hyperlink" Target="https://ec.europa.eu/taxation_customs/dds2/taric/goods_description.jsp?Lang=en&amp;Taric=2204299510&amp;SimDate=2021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taxation_customs/dds2/taric/goods_description.jsp?Lang=en&amp;Taric=2204219429&amp;SimDate=20210101" TargetMode="External"/><Relationship Id="rId22" Type="http://schemas.openxmlformats.org/officeDocument/2006/relationships/hyperlink" Target="https://ec.europa.eu/taxation_customs/dds2/taric/goods_description.jsp?Lang=en&amp;Taric=2204229621&amp;SimDate=20210101" TargetMode="External"/><Relationship Id="rId27" Type="http://schemas.openxmlformats.org/officeDocument/2006/relationships/hyperlink" Target="https://ec.europa.eu/taxation_customs/dds2/taric/goods_description.jsp?Lang=en&amp;Taric=2204299310&amp;SimDate=20210101" TargetMode="External"/><Relationship Id="rId30" Type="http://schemas.openxmlformats.org/officeDocument/2006/relationships/hyperlink" Target="https://ec.europa.eu/taxation_customs/dds2/taric/goods_description.jsp?Lang=en&amp;Taric=2204299421&amp;SimDate=20210101" TargetMode="External"/><Relationship Id="rId35" Type="http://schemas.openxmlformats.org/officeDocument/2006/relationships/hyperlink" Target="https://ec.europa.eu/taxation_customs/dds2/taric/goods_description.jsp?Lang=en&amp;Taric=2204299710&amp;SimDate=2021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HMTIG-1402244255-50771</_dlc_DocId>
    <_dlc_DocIdUrl xmlns="e3bb7af6-1ed4-4506-8370-9e20ea83206e">
      <Url>https://tris42.sharepoint.com/sites/hmt_is_ig/_layouts/15/DocIdRedir.aspx?ID=HMTIG-1402244255-50771</Url>
      <Description>HMTIG-1402244255-50771</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7DE5D-DC5A-4E7F-B278-78F8FA50DC29}">
  <ds:schemaRefs>
    <ds:schemaRef ds:uri="http://schemas.microsoft.com/sharepoint/v3"/>
    <ds:schemaRef ds:uri="http://purl.org/dc/terms/"/>
    <ds:schemaRef ds:uri="http://schemas.openxmlformats.org/package/2006/metadata/core-properties"/>
    <ds:schemaRef ds:uri="http://schemas.microsoft.com/office/2006/documentManagement/types"/>
    <ds:schemaRef ds:uri="c43501ac-0cc5-41f2-b622-82c8ab5477b7"/>
    <ds:schemaRef ds:uri="http://schemas.microsoft.com/office/infopath/2007/PartnerControls"/>
    <ds:schemaRef ds:uri="http://purl.org/dc/elements/1.1/"/>
    <ds:schemaRef ds:uri="http://schemas.microsoft.com/office/2006/metadata/properties"/>
    <ds:schemaRef ds:uri="e3bb7af6-1ed4-4506-8370-9e20ea83206e"/>
    <ds:schemaRef ds:uri="http://www.w3.org/XML/1998/namespace"/>
    <ds:schemaRef ds:uri="http://purl.org/dc/dcmitype/"/>
  </ds:schemaRefs>
</ds:datastoreItem>
</file>

<file path=customXml/itemProps2.xml><?xml version="1.0" encoding="utf-8"?>
<ds:datastoreItem xmlns:ds="http://schemas.openxmlformats.org/officeDocument/2006/customXml" ds:itemID="{9FAD4E8F-942B-4FA9-991F-DB4AC14B3591}">
  <ds:schemaRefs>
    <ds:schemaRef ds:uri="http://schemas.microsoft.com/sharepoint/v3/contenttype/forms"/>
  </ds:schemaRefs>
</ds:datastoreItem>
</file>

<file path=customXml/itemProps3.xml><?xml version="1.0" encoding="utf-8"?>
<ds:datastoreItem xmlns:ds="http://schemas.openxmlformats.org/officeDocument/2006/customXml" ds:itemID="{7259AD18-1199-4FAC-A810-6B4AF2904475}">
  <ds:schemaRefs>
    <ds:schemaRef ds:uri="http://schemas.microsoft.com/sharepoint/events"/>
  </ds:schemaRefs>
</ds:datastoreItem>
</file>

<file path=customXml/itemProps4.xml><?xml version="1.0" encoding="utf-8"?>
<ds:datastoreItem xmlns:ds="http://schemas.openxmlformats.org/officeDocument/2006/customXml" ds:itemID="{74FF6A7F-907B-4E8F-B32A-794BD5D3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2800</Words>
  <Characters>15966</Characters>
  <Application>Microsoft Office Word</Application>
  <DocSecurity>4</DocSecurity>
  <Lines>133</Lines>
  <Paragraphs>37</Paragraphs>
  <ScaleCrop>false</ScaleCrop>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The_Serbia_Preferential_Tariff_Reference_Document_v1.4 (002).docx</dc:title>
  <dc:subject/>
  <dc:creator>Shailen MISTRY (DBT)</dc:creator>
  <dc:description/>
  <cp:lastModifiedBy>Agerbaek, Eva - HMT</cp:lastModifiedBy>
  <cp:revision>2</cp:revision>
  <dcterms:created xsi:type="dcterms:W3CDTF">2024-11-18T10:58:00Z</dcterms:created>
  <dcterms:modified xsi:type="dcterms:W3CDTF">2024-11-18T10:58:00Z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1;#TPG Policy|fff92c63-d8b7-4354-b483-af0745cedc3c</vt:lpwstr>
  </property>
  <property fmtid="{D5CDD505-2E9C-101B-9397-08002B2CF9AE}" pid="3" name="HMT_Group">
    <vt:lpwstr>5;#International|0e6e4ff8-af45-47af-a7e5-c4d875875166</vt:lpwstr>
  </property>
  <property fmtid="{D5CDD505-2E9C-101B-9397-08002B2CF9AE}" pid="4" name="ContentTypeId">
    <vt:lpwstr>0x010100F3DA492754083E45834DB37B66A7598000711C03B39D9B704ABD4521119B1037B2</vt:lpwstr>
  </property>
  <property fmtid="{D5CDD505-2E9C-101B-9397-08002B2CF9AE}" pid="5" name="MSIP_Label_c1c05e37-788c-4c59-b50e-5c98323c0a70_Enabled">
    <vt:lpwstr>true</vt:lpwstr>
  </property>
  <property fmtid="{D5CDD505-2E9C-101B-9397-08002B2CF9AE}" pid="6" name="HMT_SubTeam">
    <vt:lpwstr/>
  </property>
  <property fmtid="{D5CDD505-2E9C-101B-9397-08002B2CF9AE}" pid="7" name="MSIP_Label_c1c05e37-788c-4c59-b50e-5c98323c0a70_Name">
    <vt:lpwstr>OFFICIAL</vt:lpwstr>
  </property>
  <property fmtid="{D5CDD505-2E9C-101B-9397-08002B2CF9AE}" pid="8" name="_dlc_DocIdItemGuid">
    <vt:lpwstr>f0414e99-b0ef-4af5-b699-6b5630941a08</vt:lpwstr>
  </property>
  <property fmtid="{D5CDD505-2E9C-101B-9397-08002B2CF9AE}" pid="9" name="HMT_Review">
    <vt:bool>false</vt:bool>
  </property>
  <property fmtid="{D5CDD505-2E9C-101B-9397-08002B2CF9AE}" pid="10" name="MSIP_Label_c1c05e37-788c-4c59-b50e-5c98323c0a70_SetDate">
    <vt:lpwstr>2020-12-04T20:24:10Z</vt:lpwstr>
  </property>
  <property fmtid="{D5CDD505-2E9C-101B-9397-08002B2CF9AE}" pid="11" name="HMT_DocumentType">
    <vt:lpwstr>1;#Other|c235b5c2-f697-427b-a70a-43d69599f998</vt:lpwstr>
  </property>
  <property fmtid="{D5CDD505-2E9C-101B-9397-08002B2CF9AE}" pid="12" name="HMT_Team">
    <vt:lpwstr>11;#Trade Policy|924e1e38-be9e-48dc-a9db-aea646e3697a</vt:lpwstr>
  </property>
  <property fmtid="{D5CDD505-2E9C-101B-9397-08002B2CF9AE}" pid="13" name="MSIP_Label_c1c05e37-788c-4c59-b50e-5c98323c0a70_ContentBits">
    <vt:lpwstr>0</vt:lpwstr>
  </property>
  <property fmtid="{D5CDD505-2E9C-101B-9397-08002B2CF9AE}" pid="14" name="MSIP_Label_c1c05e37-788c-4c59-b50e-5c98323c0a70_ActionId">
    <vt:lpwstr>0879407d-35d0-422e-ab7f-c766857915a8</vt:lpwstr>
  </property>
  <property fmtid="{D5CDD505-2E9C-101B-9397-08002B2CF9AE}" pid="15" name="HMT_Category">
    <vt:lpwstr>3;#Policy Document Types|bd4325a7-7f6a-48f9-b0dc-cc3aef626e65</vt:lpwstr>
  </property>
  <property fmtid="{D5CDD505-2E9C-101B-9397-08002B2CF9AE}" pid="16" name="HMT_Classification">
    <vt:lpwstr>8;#Sensitive|e4b4762f-94f6-4901-a732-9ab10906c6ba</vt:lpwstr>
  </property>
  <property fmtid="{D5CDD505-2E9C-101B-9397-08002B2CF9AE}" pid="17" name="MSIP_Label_c1c05e37-788c-4c59-b50e-5c98323c0a70_SiteId">
    <vt:lpwstr>8fa217ec-33aa-46fb-ad96-dfe68006bb86</vt:lpwstr>
  </property>
  <property fmtid="{D5CDD505-2E9C-101B-9397-08002B2CF9AE}" pid="18" name="MSIP_Label_c1c05e37-788c-4c59-b50e-5c98323c0a70_Method">
    <vt:lpwstr>Privileged</vt:lpwstr>
  </property>
  <property fmtid="{D5CDD505-2E9C-101B-9397-08002B2CF9AE}" pid="19" name="MediaServiceImageTags">
    <vt:lpwstr/>
  </property>
  <property fmtid="{D5CDD505-2E9C-101B-9397-08002B2CF9AE}" pid="20" name="Business_x0020_Unit">
    <vt:lpwstr>1;#TPG Policy|fff92c63-d8b7-4354-b483-af0745cedc3c</vt:lpwstr>
  </property>
</Properties>
</file>