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168"/>
        <w:gridCol w:w="540"/>
        <w:gridCol w:w="5129"/>
      </w:tblGrid>
      <w:tr w:rsidR="0008520D" w:rsidRPr="00C8284F" w14:paraId="7BD56E56" w14:textId="77777777" w:rsidTr="00DB31C5">
        <w:tc>
          <w:tcPr>
            <w:tcW w:w="3168" w:type="dxa"/>
          </w:tcPr>
          <w:p w14:paraId="761D5975" w14:textId="77777777" w:rsidR="0008520D" w:rsidRPr="00C8284F" w:rsidRDefault="0008520D" w:rsidP="00DB31C5">
            <w:pPr>
              <w:rPr>
                <w:rFonts w:ascii="Georgia" w:hAnsi="Georgia"/>
              </w:rPr>
            </w:pPr>
            <w:r w:rsidRPr="00C8284F">
              <w:rPr>
                <w:rFonts w:ascii="Georgia" w:hAnsi="Georgia"/>
                <w:noProof/>
              </w:rPr>
              <w:drawing>
                <wp:inline distT="0" distB="0" distL="0" distR="0" wp14:anchorId="0CFA1981" wp14:editId="71B12CEC">
                  <wp:extent cx="914400" cy="771525"/>
                  <wp:effectExtent l="0" t="0" r="0" b="952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540" w:type="dxa"/>
          </w:tcPr>
          <w:p w14:paraId="5EFDD2D7" w14:textId="77777777" w:rsidR="0008520D" w:rsidRPr="00C8284F" w:rsidRDefault="0008520D" w:rsidP="00DB31C5">
            <w:pPr>
              <w:jc w:val="center"/>
              <w:rPr>
                <w:rFonts w:ascii="Georgia" w:hAnsi="Georgia"/>
              </w:rPr>
            </w:pPr>
          </w:p>
        </w:tc>
        <w:tc>
          <w:tcPr>
            <w:tcW w:w="5129" w:type="dxa"/>
          </w:tcPr>
          <w:p w14:paraId="4A8E6D54" w14:textId="77777777" w:rsidR="0008520D" w:rsidRPr="00C8284F" w:rsidRDefault="0008520D" w:rsidP="00DB31C5">
            <w:pPr>
              <w:pStyle w:val="Title"/>
              <w:ind w:left="3600" w:hanging="3600"/>
              <w:rPr>
                <w:rFonts w:ascii="Georgia" w:hAnsi="Georgia"/>
                <w:sz w:val="24"/>
              </w:rPr>
            </w:pPr>
          </w:p>
          <w:p w14:paraId="55050695" w14:textId="77777777" w:rsidR="0008520D" w:rsidRPr="004C3925" w:rsidRDefault="0008520D" w:rsidP="00DB31C5">
            <w:pPr>
              <w:pStyle w:val="Title"/>
              <w:ind w:left="3600" w:hanging="3600"/>
              <w:rPr>
                <w:rFonts w:ascii="Georgia" w:hAnsi="Georgia"/>
                <w:b/>
                <w:bCs/>
                <w:sz w:val="24"/>
              </w:rPr>
            </w:pPr>
            <w:r w:rsidRPr="004C3925">
              <w:rPr>
                <w:rFonts w:ascii="Georgia" w:hAnsi="Georgia"/>
                <w:b/>
                <w:bCs/>
                <w:sz w:val="24"/>
              </w:rPr>
              <w:t>FIRST-TIER TRIBUNAL</w:t>
            </w:r>
          </w:p>
          <w:p w14:paraId="3CDA5E84" w14:textId="77777777" w:rsidR="0008520D" w:rsidRPr="00C8284F" w:rsidRDefault="0008520D" w:rsidP="00DB31C5">
            <w:pPr>
              <w:rPr>
                <w:rFonts w:ascii="Georgia" w:hAnsi="Georgia"/>
                <w:b/>
              </w:rPr>
            </w:pPr>
            <w:r w:rsidRPr="00C8284F">
              <w:rPr>
                <w:rFonts w:ascii="Georgia" w:hAnsi="Georgia"/>
                <w:b/>
              </w:rPr>
              <w:t xml:space="preserve">PROPERTY CHAMBER </w:t>
            </w:r>
          </w:p>
          <w:p w14:paraId="2068C65F" w14:textId="77777777" w:rsidR="0008520D" w:rsidRPr="00C8284F" w:rsidRDefault="0008520D" w:rsidP="00DB31C5">
            <w:pPr>
              <w:rPr>
                <w:rFonts w:ascii="Georgia" w:hAnsi="Georgia"/>
                <w:b/>
              </w:rPr>
            </w:pPr>
            <w:r w:rsidRPr="00C8284F">
              <w:rPr>
                <w:rFonts w:ascii="Georgia" w:hAnsi="Georgia"/>
                <w:b/>
              </w:rPr>
              <w:t>(RESIDENTIAL PROPERTY)</w:t>
            </w:r>
          </w:p>
          <w:p w14:paraId="6E8EEADF" w14:textId="77777777" w:rsidR="0008520D" w:rsidRPr="00C8284F" w:rsidRDefault="0008520D" w:rsidP="00DB31C5">
            <w:pPr>
              <w:rPr>
                <w:rFonts w:ascii="Georgia" w:hAnsi="Georgia"/>
              </w:rPr>
            </w:pPr>
          </w:p>
        </w:tc>
      </w:tr>
      <w:tr w:rsidR="0008520D" w:rsidRPr="00BE0B7E" w14:paraId="3064A168" w14:textId="77777777" w:rsidTr="00DB31C5">
        <w:tc>
          <w:tcPr>
            <w:tcW w:w="3168" w:type="dxa"/>
          </w:tcPr>
          <w:p w14:paraId="45F6C6DD" w14:textId="77777777" w:rsidR="0008520D" w:rsidRPr="00BE0B7E" w:rsidRDefault="0008520D" w:rsidP="00DB31C5">
            <w:pPr>
              <w:rPr>
                <w:rFonts w:ascii="Georgia" w:hAnsi="Georgia"/>
              </w:rPr>
            </w:pPr>
          </w:p>
          <w:p w14:paraId="2737DC3C" w14:textId="5E4AB037" w:rsidR="0008520D" w:rsidRDefault="0008520D" w:rsidP="00DB31C5">
            <w:pPr>
              <w:rPr>
                <w:rFonts w:ascii="Georgia" w:hAnsi="Georgia" w:cs="Arial"/>
                <w:b/>
                <w:bCs/>
              </w:rPr>
            </w:pPr>
            <w:r w:rsidRPr="00BE0B7E">
              <w:rPr>
                <w:rFonts w:ascii="Georgia" w:hAnsi="Georgia" w:cs="Arial"/>
                <w:b/>
                <w:bCs/>
              </w:rPr>
              <w:t>Case Reference</w:t>
            </w:r>
            <w:r>
              <w:rPr>
                <w:rFonts w:ascii="Georgia" w:hAnsi="Georgia" w:cs="Arial"/>
                <w:b/>
                <w:bCs/>
              </w:rPr>
              <w:t>s</w:t>
            </w:r>
          </w:p>
          <w:p w14:paraId="2508BC5F" w14:textId="77777777" w:rsidR="0008520D" w:rsidRDefault="0008520D" w:rsidP="00DB31C5">
            <w:pPr>
              <w:rPr>
                <w:rFonts w:ascii="Georgia" w:hAnsi="Georgia" w:cs="Arial"/>
                <w:b/>
                <w:bCs/>
              </w:rPr>
            </w:pPr>
          </w:p>
          <w:p w14:paraId="5F18381E" w14:textId="77777777" w:rsidR="0008520D" w:rsidRDefault="0008520D" w:rsidP="00DB31C5">
            <w:pPr>
              <w:rPr>
                <w:rFonts w:ascii="Georgia" w:hAnsi="Georgia" w:cs="Arial"/>
                <w:b/>
                <w:bCs/>
              </w:rPr>
            </w:pPr>
          </w:p>
          <w:p w14:paraId="5B2F426E" w14:textId="658CA163" w:rsidR="0008520D" w:rsidRDefault="0008520D" w:rsidP="00DB31C5">
            <w:pPr>
              <w:rPr>
                <w:rFonts w:ascii="Georgia" w:hAnsi="Georgia" w:cs="Arial"/>
                <w:b/>
                <w:bCs/>
              </w:rPr>
            </w:pPr>
            <w:r>
              <w:rPr>
                <w:rFonts w:ascii="Georgia" w:hAnsi="Georgia" w:cs="Arial"/>
                <w:b/>
                <w:bCs/>
              </w:rPr>
              <w:t>Property</w:t>
            </w:r>
          </w:p>
          <w:p w14:paraId="3F145F76" w14:textId="77777777" w:rsidR="0008520D" w:rsidRDefault="0008520D" w:rsidP="00DB31C5">
            <w:pPr>
              <w:rPr>
                <w:rFonts w:ascii="Georgia" w:hAnsi="Georgia" w:cs="Arial"/>
                <w:b/>
                <w:bCs/>
              </w:rPr>
            </w:pPr>
          </w:p>
          <w:p w14:paraId="786D784E" w14:textId="77777777" w:rsidR="00F764AA" w:rsidRDefault="00F764AA" w:rsidP="00DB31C5">
            <w:pPr>
              <w:rPr>
                <w:rFonts w:ascii="Georgia" w:hAnsi="Georgia" w:cs="Arial"/>
                <w:b/>
                <w:bCs/>
              </w:rPr>
            </w:pPr>
          </w:p>
          <w:p w14:paraId="0B9F021E" w14:textId="6BFA326D" w:rsidR="0008520D" w:rsidRDefault="0008520D" w:rsidP="00DB31C5">
            <w:pPr>
              <w:rPr>
                <w:rFonts w:ascii="Georgia" w:hAnsi="Georgia" w:cs="Arial"/>
                <w:b/>
                <w:bCs/>
              </w:rPr>
            </w:pPr>
            <w:r>
              <w:rPr>
                <w:rFonts w:ascii="Georgia" w:hAnsi="Georgia" w:cs="Arial"/>
                <w:b/>
                <w:bCs/>
              </w:rPr>
              <w:t>Applicant</w:t>
            </w:r>
          </w:p>
          <w:p w14:paraId="36C7D48C" w14:textId="77777777" w:rsidR="00085EB0" w:rsidRDefault="00085EB0" w:rsidP="00DB31C5">
            <w:pPr>
              <w:rPr>
                <w:rFonts w:ascii="Georgia" w:hAnsi="Georgia" w:cs="Arial"/>
                <w:b/>
                <w:bCs/>
              </w:rPr>
            </w:pPr>
          </w:p>
          <w:p w14:paraId="367683E6" w14:textId="77777777" w:rsidR="006C621F" w:rsidRDefault="00EB1CA5" w:rsidP="00DB31C5">
            <w:pPr>
              <w:rPr>
                <w:rFonts w:ascii="Georgia" w:hAnsi="Georgia" w:cs="Arial"/>
                <w:b/>
                <w:bCs/>
              </w:rPr>
            </w:pPr>
            <w:r>
              <w:rPr>
                <w:rFonts w:ascii="Georgia" w:hAnsi="Georgia" w:cs="Arial"/>
                <w:b/>
                <w:bCs/>
              </w:rPr>
              <w:t>Representative</w:t>
            </w:r>
          </w:p>
          <w:p w14:paraId="7CFCE00E" w14:textId="77777777" w:rsidR="006C621F" w:rsidRDefault="006C621F" w:rsidP="00DB31C5">
            <w:pPr>
              <w:rPr>
                <w:rFonts w:ascii="Georgia" w:hAnsi="Georgia" w:cs="Arial"/>
                <w:b/>
                <w:bCs/>
              </w:rPr>
            </w:pPr>
          </w:p>
          <w:p w14:paraId="1F24F56E" w14:textId="59B9DBAD" w:rsidR="006C621F" w:rsidRDefault="006C621F" w:rsidP="00DB31C5">
            <w:pPr>
              <w:rPr>
                <w:rFonts w:ascii="Georgia" w:hAnsi="Georgia" w:cs="Arial"/>
                <w:b/>
                <w:bCs/>
              </w:rPr>
            </w:pPr>
            <w:r>
              <w:rPr>
                <w:rFonts w:ascii="Georgia" w:hAnsi="Georgia" w:cs="Arial"/>
                <w:b/>
                <w:bCs/>
              </w:rPr>
              <w:t>Applicant’s Solicitor</w:t>
            </w:r>
          </w:p>
          <w:p w14:paraId="51382EA0" w14:textId="77777777" w:rsidR="006C621F" w:rsidRDefault="006C621F" w:rsidP="00DB31C5">
            <w:pPr>
              <w:rPr>
                <w:rFonts w:ascii="Georgia" w:hAnsi="Georgia" w:cs="Arial"/>
                <w:b/>
                <w:bCs/>
              </w:rPr>
            </w:pPr>
          </w:p>
          <w:p w14:paraId="2245C1FE" w14:textId="67E82DF6" w:rsidR="006C621F" w:rsidRDefault="0008520D" w:rsidP="00DB31C5">
            <w:pPr>
              <w:rPr>
                <w:rFonts w:ascii="Georgia" w:hAnsi="Georgia" w:cs="Arial"/>
                <w:b/>
                <w:bCs/>
              </w:rPr>
            </w:pPr>
            <w:r>
              <w:rPr>
                <w:rFonts w:ascii="Georgia" w:hAnsi="Georgia" w:cs="Arial"/>
                <w:b/>
                <w:bCs/>
              </w:rPr>
              <w:t>Respondents</w:t>
            </w:r>
          </w:p>
          <w:p w14:paraId="4D74C441" w14:textId="77777777" w:rsidR="0008520D" w:rsidRDefault="0008520D" w:rsidP="00DB31C5">
            <w:pPr>
              <w:rPr>
                <w:rFonts w:ascii="Georgia" w:hAnsi="Georgia" w:cs="Arial"/>
                <w:b/>
                <w:bCs/>
              </w:rPr>
            </w:pPr>
          </w:p>
          <w:p w14:paraId="115DC472" w14:textId="664FB2CA" w:rsidR="0008520D" w:rsidRDefault="0008520D" w:rsidP="00DB31C5">
            <w:pPr>
              <w:rPr>
                <w:rFonts w:ascii="Georgia" w:hAnsi="Georgia" w:cs="Arial"/>
                <w:b/>
                <w:bCs/>
              </w:rPr>
            </w:pPr>
          </w:p>
          <w:p w14:paraId="77545BE5" w14:textId="77777777" w:rsidR="0008520D" w:rsidRDefault="0008520D" w:rsidP="00DB31C5">
            <w:pPr>
              <w:rPr>
                <w:rFonts w:ascii="Georgia" w:hAnsi="Georgia" w:cs="Arial"/>
                <w:b/>
                <w:bCs/>
              </w:rPr>
            </w:pPr>
            <w:r>
              <w:rPr>
                <w:rFonts w:ascii="Georgia" w:hAnsi="Georgia" w:cs="Arial"/>
                <w:b/>
                <w:bCs/>
              </w:rPr>
              <w:t>Type of Application</w:t>
            </w:r>
          </w:p>
          <w:p w14:paraId="7A566449" w14:textId="77777777" w:rsidR="0008520D" w:rsidRDefault="0008520D" w:rsidP="00DB31C5">
            <w:pPr>
              <w:rPr>
                <w:rFonts w:ascii="Georgia" w:hAnsi="Georgia" w:cs="Arial"/>
                <w:b/>
                <w:bCs/>
              </w:rPr>
            </w:pPr>
          </w:p>
          <w:p w14:paraId="7E3499E0" w14:textId="77777777" w:rsidR="0008520D" w:rsidRDefault="0008520D" w:rsidP="00DB31C5">
            <w:pPr>
              <w:rPr>
                <w:rFonts w:ascii="Georgia" w:hAnsi="Georgia" w:cs="Arial"/>
                <w:b/>
                <w:bCs/>
              </w:rPr>
            </w:pPr>
            <w:r>
              <w:rPr>
                <w:rFonts w:ascii="Georgia" w:hAnsi="Georgia" w:cs="Arial"/>
                <w:b/>
                <w:bCs/>
              </w:rPr>
              <w:t>Tribunal</w:t>
            </w:r>
          </w:p>
          <w:p w14:paraId="43001D96" w14:textId="77777777" w:rsidR="0008520D" w:rsidRPr="00BE0B7E" w:rsidRDefault="0008520D" w:rsidP="00DB31C5">
            <w:pPr>
              <w:rPr>
                <w:rFonts w:ascii="Georgia" w:hAnsi="Georgia" w:cs="Arial"/>
                <w:b/>
                <w:bCs/>
              </w:rPr>
            </w:pPr>
          </w:p>
          <w:p w14:paraId="767BDD07" w14:textId="77777777" w:rsidR="0008520D" w:rsidRDefault="0008520D" w:rsidP="00DB31C5">
            <w:pPr>
              <w:rPr>
                <w:rFonts w:ascii="Georgia" w:hAnsi="Georgia"/>
              </w:rPr>
            </w:pPr>
          </w:p>
          <w:p w14:paraId="08DB5812" w14:textId="77777777" w:rsidR="0008520D" w:rsidRDefault="0008520D" w:rsidP="00DB31C5">
            <w:pPr>
              <w:rPr>
                <w:rFonts w:ascii="Georgia" w:hAnsi="Georgia"/>
              </w:rPr>
            </w:pPr>
          </w:p>
          <w:p w14:paraId="61CE6E33" w14:textId="77777777" w:rsidR="0008520D" w:rsidRDefault="0008520D" w:rsidP="00DB31C5">
            <w:pPr>
              <w:rPr>
                <w:rFonts w:ascii="Georgia" w:hAnsi="Georgia"/>
                <w:b/>
                <w:bCs/>
              </w:rPr>
            </w:pPr>
            <w:r w:rsidRPr="006E508E">
              <w:rPr>
                <w:rFonts w:ascii="Georgia" w:hAnsi="Georgia"/>
                <w:b/>
                <w:bCs/>
              </w:rPr>
              <w:t>Date of Hearing</w:t>
            </w:r>
          </w:p>
          <w:p w14:paraId="47667531" w14:textId="77777777" w:rsidR="0008520D" w:rsidRDefault="0008520D" w:rsidP="00DB31C5">
            <w:pPr>
              <w:rPr>
                <w:rFonts w:ascii="Georgia" w:hAnsi="Georgia"/>
                <w:b/>
                <w:bCs/>
              </w:rPr>
            </w:pPr>
          </w:p>
          <w:p w14:paraId="40AAAA66" w14:textId="77777777" w:rsidR="0008520D" w:rsidRPr="006E508E" w:rsidRDefault="0008520D" w:rsidP="00DB31C5">
            <w:pPr>
              <w:rPr>
                <w:rFonts w:ascii="Georgia" w:hAnsi="Georgia"/>
                <w:b/>
                <w:bCs/>
              </w:rPr>
            </w:pPr>
            <w:r>
              <w:rPr>
                <w:rFonts w:ascii="Georgia" w:hAnsi="Georgia"/>
                <w:b/>
                <w:bCs/>
              </w:rPr>
              <w:t xml:space="preserve">Venue: </w:t>
            </w:r>
          </w:p>
        </w:tc>
        <w:tc>
          <w:tcPr>
            <w:tcW w:w="540" w:type="dxa"/>
          </w:tcPr>
          <w:p w14:paraId="6E57DD79" w14:textId="77777777" w:rsidR="0008520D" w:rsidRDefault="0008520D" w:rsidP="00DB31C5">
            <w:pPr>
              <w:rPr>
                <w:rFonts w:ascii="Georgia" w:hAnsi="Georgia"/>
                <w:b/>
              </w:rPr>
            </w:pPr>
          </w:p>
          <w:p w14:paraId="3BD863AB" w14:textId="77777777" w:rsidR="0008520D" w:rsidRDefault="0008520D" w:rsidP="00DB31C5">
            <w:pPr>
              <w:rPr>
                <w:rFonts w:ascii="Georgia" w:hAnsi="Georgia"/>
                <w:b/>
              </w:rPr>
            </w:pPr>
            <w:r>
              <w:rPr>
                <w:rFonts w:ascii="Georgia" w:hAnsi="Georgia"/>
                <w:b/>
              </w:rPr>
              <w:t>:</w:t>
            </w:r>
          </w:p>
          <w:p w14:paraId="77746292" w14:textId="77777777" w:rsidR="0008520D" w:rsidRDefault="0008520D" w:rsidP="00DB31C5">
            <w:pPr>
              <w:rPr>
                <w:rFonts w:ascii="Georgia" w:hAnsi="Georgia"/>
                <w:b/>
              </w:rPr>
            </w:pPr>
          </w:p>
          <w:p w14:paraId="581E461B" w14:textId="77777777" w:rsidR="0008520D" w:rsidRDefault="0008520D" w:rsidP="00DB31C5">
            <w:pPr>
              <w:rPr>
                <w:rFonts w:ascii="Georgia" w:hAnsi="Georgia"/>
                <w:b/>
              </w:rPr>
            </w:pPr>
          </w:p>
          <w:p w14:paraId="46F677DF" w14:textId="3F2DB8FB" w:rsidR="0008520D" w:rsidRDefault="0008520D" w:rsidP="00DB31C5">
            <w:pPr>
              <w:rPr>
                <w:rFonts w:ascii="Georgia" w:hAnsi="Georgia"/>
                <w:b/>
              </w:rPr>
            </w:pPr>
            <w:r>
              <w:rPr>
                <w:rFonts w:ascii="Georgia" w:hAnsi="Georgia"/>
                <w:b/>
              </w:rPr>
              <w:t>:</w:t>
            </w:r>
          </w:p>
          <w:p w14:paraId="78617129" w14:textId="77777777" w:rsidR="0008520D" w:rsidRDefault="0008520D" w:rsidP="00DB31C5">
            <w:pPr>
              <w:rPr>
                <w:rFonts w:ascii="Georgia" w:hAnsi="Georgia"/>
                <w:b/>
              </w:rPr>
            </w:pPr>
          </w:p>
          <w:p w14:paraId="029CC0B7" w14:textId="77777777" w:rsidR="00F764AA" w:rsidRDefault="00F764AA" w:rsidP="00DB31C5">
            <w:pPr>
              <w:rPr>
                <w:rFonts w:ascii="Georgia" w:hAnsi="Georgia"/>
                <w:b/>
              </w:rPr>
            </w:pPr>
          </w:p>
          <w:p w14:paraId="4D3F3937" w14:textId="1AAD3A28" w:rsidR="0008520D" w:rsidRDefault="0008520D" w:rsidP="00DB31C5">
            <w:pPr>
              <w:rPr>
                <w:rFonts w:ascii="Georgia" w:hAnsi="Georgia"/>
                <w:b/>
              </w:rPr>
            </w:pPr>
            <w:r>
              <w:rPr>
                <w:rFonts w:ascii="Georgia" w:hAnsi="Georgia"/>
                <w:b/>
              </w:rPr>
              <w:t>:</w:t>
            </w:r>
          </w:p>
          <w:p w14:paraId="0D82CE9F" w14:textId="77777777" w:rsidR="0008520D" w:rsidRDefault="0008520D" w:rsidP="00DB31C5">
            <w:pPr>
              <w:rPr>
                <w:rFonts w:ascii="Georgia" w:hAnsi="Georgia"/>
                <w:b/>
              </w:rPr>
            </w:pPr>
          </w:p>
          <w:p w14:paraId="6E3D62DB" w14:textId="77777777" w:rsidR="0008520D" w:rsidRDefault="0008520D" w:rsidP="00DB31C5">
            <w:pPr>
              <w:rPr>
                <w:rFonts w:ascii="Georgia" w:hAnsi="Georgia"/>
                <w:b/>
              </w:rPr>
            </w:pPr>
            <w:r>
              <w:rPr>
                <w:rFonts w:ascii="Georgia" w:hAnsi="Georgia"/>
                <w:b/>
              </w:rPr>
              <w:t>:</w:t>
            </w:r>
          </w:p>
          <w:p w14:paraId="44065522" w14:textId="77777777" w:rsidR="0008520D" w:rsidRDefault="0008520D" w:rsidP="00DB31C5">
            <w:pPr>
              <w:rPr>
                <w:rFonts w:ascii="Georgia" w:hAnsi="Georgia"/>
                <w:b/>
              </w:rPr>
            </w:pPr>
          </w:p>
          <w:p w14:paraId="1ADD14DF" w14:textId="28146403" w:rsidR="0008520D" w:rsidRDefault="00EB1CA5" w:rsidP="00DB31C5">
            <w:pPr>
              <w:rPr>
                <w:rFonts w:ascii="Georgia" w:hAnsi="Georgia"/>
                <w:b/>
              </w:rPr>
            </w:pPr>
            <w:r>
              <w:rPr>
                <w:rFonts w:ascii="Georgia" w:hAnsi="Georgia"/>
                <w:b/>
              </w:rPr>
              <w:t>:</w:t>
            </w:r>
          </w:p>
          <w:p w14:paraId="2E767B11" w14:textId="77777777" w:rsidR="0008520D" w:rsidRDefault="0008520D" w:rsidP="00DB31C5">
            <w:pPr>
              <w:rPr>
                <w:rFonts w:ascii="Georgia" w:hAnsi="Georgia"/>
                <w:b/>
              </w:rPr>
            </w:pPr>
          </w:p>
          <w:p w14:paraId="125BFCAB" w14:textId="77777777" w:rsidR="0008520D" w:rsidRDefault="0008520D" w:rsidP="00DB31C5">
            <w:pPr>
              <w:rPr>
                <w:rFonts w:ascii="Georgia" w:hAnsi="Georgia"/>
                <w:b/>
              </w:rPr>
            </w:pPr>
            <w:r>
              <w:rPr>
                <w:rFonts w:ascii="Georgia" w:hAnsi="Georgia"/>
                <w:b/>
              </w:rPr>
              <w:t>:</w:t>
            </w:r>
          </w:p>
          <w:p w14:paraId="6DF8D627" w14:textId="324CE54C" w:rsidR="0008520D" w:rsidRDefault="00640487" w:rsidP="00DB31C5">
            <w:pPr>
              <w:rPr>
                <w:rFonts w:ascii="Georgia" w:hAnsi="Georgia"/>
                <w:b/>
              </w:rPr>
            </w:pPr>
            <w:r>
              <w:rPr>
                <w:rFonts w:ascii="Georgia" w:hAnsi="Georgia"/>
                <w:b/>
              </w:rPr>
              <w:t>:</w:t>
            </w:r>
          </w:p>
          <w:p w14:paraId="5EF2490F" w14:textId="77777777" w:rsidR="0008520D" w:rsidRDefault="0008520D" w:rsidP="00DB31C5">
            <w:pPr>
              <w:rPr>
                <w:rFonts w:ascii="Georgia" w:hAnsi="Georgia"/>
                <w:b/>
              </w:rPr>
            </w:pPr>
          </w:p>
          <w:p w14:paraId="0FE9AD34" w14:textId="77777777" w:rsidR="0008520D" w:rsidRDefault="0008520D" w:rsidP="00DB31C5">
            <w:pPr>
              <w:rPr>
                <w:rFonts w:ascii="Georgia" w:hAnsi="Georgia"/>
                <w:b/>
              </w:rPr>
            </w:pPr>
          </w:p>
          <w:p w14:paraId="12A654D2" w14:textId="77777777" w:rsidR="0008520D" w:rsidRDefault="0008520D" w:rsidP="00DB31C5">
            <w:pPr>
              <w:rPr>
                <w:rFonts w:ascii="Georgia" w:hAnsi="Georgia"/>
                <w:b/>
              </w:rPr>
            </w:pPr>
          </w:p>
          <w:p w14:paraId="1210C738" w14:textId="77777777" w:rsidR="0008520D" w:rsidRDefault="0008520D" w:rsidP="00DB31C5">
            <w:pPr>
              <w:rPr>
                <w:rFonts w:ascii="Georgia" w:hAnsi="Georgia"/>
                <w:b/>
              </w:rPr>
            </w:pPr>
            <w:r>
              <w:rPr>
                <w:rFonts w:ascii="Georgia" w:hAnsi="Georgia"/>
                <w:b/>
              </w:rPr>
              <w:t>:</w:t>
            </w:r>
          </w:p>
          <w:p w14:paraId="28B77B66" w14:textId="77777777" w:rsidR="0008520D" w:rsidRDefault="0008520D" w:rsidP="00DB31C5">
            <w:pPr>
              <w:rPr>
                <w:rFonts w:ascii="Georgia" w:hAnsi="Georgia"/>
                <w:b/>
              </w:rPr>
            </w:pPr>
          </w:p>
          <w:p w14:paraId="2205B98B" w14:textId="651C45CD" w:rsidR="0008520D" w:rsidRDefault="0008520D" w:rsidP="00DB31C5">
            <w:pPr>
              <w:rPr>
                <w:rFonts w:ascii="Georgia" w:hAnsi="Georgia"/>
                <w:b/>
              </w:rPr>
            </w:pPr>
          </w:p>
          <w:p w14:paraId="2F075082" w14:textId="77777777" w:rsidR="0008520D" w:rsidRDefault="0008520D" w:rsidP="00DB31C5">
            <w:pPr>
              <w:rPr>
                <w:rFonts w:ascii="Georgia" w:hAnsi="Georgia"/>
                <w:b/>
              </w:rPr>
            </w:pPr>
          </w:p>
          <w:p w14:paraId="22FA254D" w14:textId="77777777" w:rsidR="006129BD" w:rsidRDefault="006129BD" w:rsidP="00DB31C5">
            <w:pPr>
              <w:rPr>
                <w:rFonts w:ascii="Georgia" w:hAnsi="Georgia"/>
                <w:b/>
              </w:rPr>
            </w:pPr>
            <w:r>
              <w:rPr>
                <w:rFonts w:ascii="Georgia" w:hAnsi="Georgia"/>
                <w:b/>
              </w:rPr>
              <w:t>:</w:t>
            </w:r>
          </w:p>
          <w:p w14:paraId="4BC3572A" w14:textId="77777777" w:rsidR="006129BD" w:rsidRDefault="006129BD" w:rsidP="00DB31C5">
            <w:pPr>
              <w:rPr>
                <w:rFonts w:ascii="Georgia" w:hAnsi="Georgia"/>
                <w:b/>
              </w:rPr>
            </w:pPr>
          </w:p>
          <w:p w14:paraId="50ABD9E5" w14:textId="1FF3B7DB" w:rsidR="006129BD" w:rsidRPr="00BE0B7E" w:rsidRDefault="006129BD" w:rsidP="00DB31C5">
            <w:pPr>
              <w:rPr>
                <w:rFonts w:ascii="Georgia" w:hAnsi="Georgia"/>
                <w:b/>
              </w:rPr>
            </w:pPr>
            <w:r>
              <w:rPr>
                <w:rFonts w:ascii="Georgia" w:hAnsi="Georgia"/>
                <w:b/>
              </w:rPr>
              <w:t>:</w:t>
            </w:r>
          </w:p>
        </w:tc>
        <w:tc>
          <w:tcPr>
            <w:tcW w:w="5129" w:type="dxa"/>
          </w:tcPr>
          <w:p w14:paraId="6BD2FC35" w14:textId="77777777" w:rsidR="0008520D" w:rsidRPr="00BE0B7E" w:rsidRDefault="0008520D" w:rsidP="00DB31C5">
            <w:pPr>
              <w:rPr>
                <w:rFonts w:ascii="Georgia" w:hAnsi="Georgia"/>
                <w:color w:val="000000"/>
              </w:rPr>
            </w:pPr>
          </w:p>
          <w:p w14:paraId="2FB0F1C3" w14:textId="26AA623F" w:rsidR="0008520D" w:rsidRDefault="00435EF1" w:rsidP="00DB31C5">
            <w:pPr>
              <w:rPr>
                <w:rFonts w:ascii="Georgia" w:hAnsi="Georgia"/>
                <w:color w:val="000000"/>
              </w:rPr>
            </w:pPr>
            <w:r w:rsidRPr="00BE0B7E">
              <w:rPr>
                <w:rFonts w:ascii="Georgia" w:hAnsi="Georgia"/>
                <w:color w:val="000000"/>
              </w:rPr>
              <w:t>CHI/</w:t>
            </w:r>
            <w:r>
              <w:rPr>
                <w:rFonts w:ascii="Georgia" w:hAnsi="Georgia"/>
                <w:color w:val="000000"/>
              </w:rPr>
              <w:t>19UJ</w:t>
            </w:r>
            <w:r w:rsidRPr="00BE0B7E">
              <w:rPr>
                <w:rFonts w:ascii="Georgia" w:hAnsi="Georgia"/>
                <w:color w:val="000000"/>
              </w:rPr>
              <w:t>/</w:t>
            </w:r>
            <w:r>
              <w:rPr>
                <w:rFonts w:ascii="Georgia" w:hAnsi="Georgia"/>
                <w:color w:val="000000"/>
              </w:rPr>
              <w:t>PHI</w:t>
            </w:r>
            <w:r w:rsidRPr="00BE0B7E">
              <w:rPr>
                <w:rFonts w:ascii="Georgia" w:hAnsi="Georgia"/>
                <w:color w:val="000000"/>
              </w:rPr>
              <w:t>/20</w:t>
            </w:r>
            <w:r>
              <w:rPr>
                <w:rFonts w:ascii="Georgia" w:hAnsi="Georgia"/>
                <w:color w:val="000000"/>
              </w:rPr>
              <w:t>24</w:t>
            </w:r>
            <w:r w:rsidRPr="00BE0B7E">
              <w:rPr>
                <w:rFonts w:ascii="Georgia" w:hAnsi="Georgia"/>
                <w:color w:val="000000"/>
              </w:rPr>
              <w:t>/</w:t>
            </w:r>
            <w:r w:rsidR="0008520D" w:rsidRPr="00BE0B7E">
              <w:rPr>
                <w:rFonts w:ascii="Georgia" w:hAnsi="Georgia"/>
                <w:color w:val="000000"/>
              </w:rPr>
              <w:t>00</w:t>
            </w:r>
            <w:r w:rsidR="0008520D">
              <w:rPr>
                <w:rFonts w:ascii="Georgia" w:hAnsi="Georgia"/>
                <w:color w:val="000000"/>
              </w:rPr>
              <w:t xml:space="preserve">67 </w:t>
            </w:r>
          </w:p>
          <w:p w14:paraId="18226B2D" w14:textId="183287B3" w:rsidR="0008520D" w:rsidRDefault="0008520D" w:rsidP="00DB31C5">
            <w:pPr>
              <w:rPr>
                <w:rFonts w:ascii="Georgia" w:hAnsi="Georgia"/>
                <w:color w:val="000000"/>
              </w:rPr>
            </w:pPr>
            <w:r w:rsidRPr="00BE0B7E">
              <w:rPr>
                <w:rFonts w:ascii="Georgia" w:hAnsi="Georgia"/>
                <w:color w:val="000000"/>
              </w:rPr>
              <w:t>CHI/</w:t>
            </w:r>
            <w:r>
              <w:rPr>
                <w:rFonts w:ascii="Georgia" w:hAnsi="Georgia"/>
                <w:color w:val="000000"/>
              </w:rPr>
              <w:t>19UJ</w:t>
            </w:r>
            <w:r w:rsidRPr="00BE0B7E">
              <w:rPr>
                <w:rFonts w:ascii="Georgia" w:hAnsi="Georgia"/>
                <w:color w:val="000000"/>
              </w:rPr>
              <w:t>/</w:t>
            </w:r>
            <w:r>
              <w:rPr>
                <w:rFonts w:ascii="Georgia" w:hAnsi="Georgia"/>
                <w:color w:val="000000"/>
              </w:rPr>
              <w:t>PHI</w:t>
            </w:r>
            <w:r w:rsidRPr="00BE0B7E">
              <w:rPr>
                <w:rFonts w:ascii="Georgia" w:hAnsi="Georgia"/>
                <w:color w:val="000000"/>
              </w:rPr>
              <w:t>/20</w:t>
            </w:r>
            <w:r>
              <w:rPr>
                <w:rFonts w:ascii="Georgia" w:hAnsi="Georgia"/>
                <w:color w:val="000000"/>
              </w:rPr>
              <w:t>24/0068</w:t>
            </w:r>
          </w:p>
          <w:p w14:paraId="7B7662CE" w14:textId="77777777" w:rsidR="0008520D" w:rsidRDefault="0008520D" w:rsidP="00DB31C5">
            <w:pPr>
              <w:rPr>
                <w:rFonts w:ascii="Georgia" w:hAnsi="Georgia"/>
                <w:color w:val="000000"/>
              </w:rPr>
            </w:pPr>
          </w:p>
          <w:p w14:paraId="07B9614A" w14:textId="66D09BE9" w:rsidR="0008520D" w:rsidRDefault="0008520D" w:rsidP="00DB31C5">
            <w:pPr>
              <w:rPr>
                <w:rFonts w:ascii="Georgia" w:hAnsi="Georgia"/>
                <w:color w:val="000000"/>
              </w:rPr>
            </w:pPr>
            <w:r>
              <w:rPr>
                <w:rFonts w:ascii="Georgia" w:hAnsi="Georgia"/>
                <w:color w:val="000000"/>
              </w:rPr>
              <w:t>White Horse Park</w:t>
            </w:r>
            <w:r w:rsidR="00484B97">
              <w:rPr>
                <w:rFonts w:ascii="Georgia" w:hAnsi="Georgia"/>
                <w:color w:val="000000"/>
              </w:rPr>
              <w:t xml:space="preserve">, </w:t>
            </w:r>
            <w:r w:rsidR="00F764AA">
              <w:rPr>
                <w:rFonts w:ascii="Georgia" w:hAnsi="Georgia"/>
                <w:color w:val="000000"/>
              </w:rPr>
              <w:t>O</w:t>
            </w:r>
            <w:r w:rsidR="00484B97">
              <w:rPr>
                <w:rFonts w:ascii="Georgia" w:hAnsi="Georgia"/>
                <w:color w:val="000000"/>
              </w:rPr>
              <w:t>smington, Weymouth, Dorset</w:t>
            </w:r>
            <w:r w:rsidR="00F764AA">
              <w:rPr>
                <w:rFonts w:ascii="Georgia" w:hAnsi="Georgia"/>
                <w:color w:val="000000"/>
              </w:rPr>
              <w:t>,</w:t>
            </w:r>
            <w:r>
              <w:rPr>
                <w:rFonts w:ascii="Georgia" w:hAnsi="Georgia"/>
                <w:color w:val="000000"/>
              </w:rPr>
              <w:t xml:space="preserve"> DT3 6ED</w:t>
            </w:r>
          </w:p>
          <w:p w14:paraId="6DD60F73" w14:textId="77777777" w:rsidR="0008520D" w:rsidRDefault="0008520D" w:rsidP="00DB31C5">
            <w:pPr>
              <w:rPr>
                <w:rFonts w:ascii="Georgia" w:hAnsi="Georgia"/>
                <w:color w:val="000000"/>
              </w:rPr>
            </w:pPr>
          </w:p>
          <w:p w14:paraId="481B9820" w14:textId="1AA2EE24" w:rsidR="0008520D" w:rsidRPr="00BE0B7E" w:rsidRDefault="0008520D" w:rsidP="00DB31C5">
            <w:pPr>
              <w:rPr>
                <w:rFonts w:ascii="Georgia" w:hAnsi="Georgia"/>
                <w:color w:val="000000"/>
              </w:rPr>
            </w:pPr>
            <w:r>
              <w:rPr>
                <w:rFonts w:ascii="Georgia" w:hAnsi="Georgia"/>
                <w:color w:val="000000"/>
              </w:rPr>
              <w:t>White Horse Park Ltd</w:t>
            </w:r>
          </w:p>
          <w:p w14:paraId="65A7EC73" w14:textId="77777777" w:rsidR="0008520D" w:rsidRDefault="0008520D" w:rsidP="00DB31C5">
            <w:pPr>
              <w:rPr>
                <w:rFonts w:ascii="Georgia" w:hAnsi="Georgia"/>
                <w:color w:val="000000"/>
              </w:rPr>
            </w:pPr>
          </w:p>
          <w:p w14:paraId="3C41D11F" w14:textId="7BC295F9" w:rsidR="00EB1CA5" w:rsidRDefault="006C621F" w:rsidP="00DB31C5">
            <w:pPr>
              <w:rPr>
                <w:rFonts w:ascii="Georgia" w:hAnsi="Georgia"/>
                <w:color w:val="000000"/>
              </w:rPr>
            </w:pPr>
            <w:r>
              <w:rPr>
                <w:rFonts w:ascii="Georgia" w:hAnsi="Georgia"/>
                <w:color w:val="000000"/>
              </w:rPr>
              <w:t>Victoria Ostler, Counsel</w:t>
            </w:r>
          </w:p>
          <w:p w14:paraId="72269CCC" w14:textId="77777777" w:rsidR="006C621F" w:rsidRDefault="006C621F" w:rsidP="00DB31C5">
            <w:pPr>
              <w:rPr>
                <w:rFonts w:ascii="Georgia" w:hAnsi="Georgia"/>
                <w:color w:val="000000"/>
              </w:rPr>
            </w:pPr>
          </w:p>
          <w:p w14:paraId="768B5B04" w14:textId="67F4EA7F" w:rsidR="006C621F" w:rsidRDefault="006C621F" w:rsidP="00DB31C5">
            <w:pPr>
              <w:rPr>
                <w:rFonts w:ascii="Georgia" w:hAnsi="Georgia"/>
                <w:color w:val="000000"/>
              </w:rPr>
            </w:pPr>
            <w:r>
              <w:rPr>
                <w:rFonts w:ascii="Georgia" w:hAnsi="Georgia"/>
                <w:color w:val="000000"/>
              </w:rPr>
              <w:t>Apps Legal</w:t>
            </w:r>
          </w:p>
          <w:p w14:paraId="5C183775" w14:textId="77777777" w:rsidR="00EB1CA5" w:rsidRDefault="00EB1CA5" w:rsidP="00DB31C5">
            <w:pPr>
              <w:rPr>
                <w:rFonts w:ascii="Georgia" w:hAnsi="Georgia"/>
                <w:color w:val="000000"/>
              </w:rPr>
            </w:pPr>
          </w:p>
          <w:p w14:paraId="7626D609" w14:textId="4400570C" w:rsidR="0008520D" w:rsidRDefault="0008520D" w:rsidP="00DB31C5">
            <w:pPr>
              <w:rPr>
                <w:rFonts w:ascii="Georgia" w:hAnsi="Georgia"/>
                <w:color w:val="000000"/>
              </w:rPr>
            </w:pPr>
            <w:r>
              <w:rPr>
                <w:rFonts w:ascii="Georgia" w:hAnsi="Georgia"/>
                <w:color w:val="000000"/>
              </w:rPr>
              <w:t>Susan Davies – case 0067</w:t>
            </w:r>
          </w:p>
          <w:p w14:paraId="636EACA2" w14:textId="2B35CC64" w:rsidR="0008520D" w:rsidRDefault="0008520D" w:rsidP="00DB31C5">
            <w:pPr>
              <w:rPr>
                <w:rFonts w:ascii="Georgia" w:hAnsi="Georgia"/>
                <w:color w:val="000000"/>
              </w:rPr>
            </w:pPr>
            <w:r>
              <w:rPr>
                <w:rFonts w:ascii="Georgia" w:hAnsi="Georgia"/>
                <w:color w:val="000000"/>
              </w:rPr>
              <w:t>Stephanie Roskelly – case 0068</w:t>
            </w:r>
          </w:p>
          <w:p w14:paraId="282D2F8E" w14:textId="21E2768B" w:rsidR="0008520D" w:rsidRDefault="0008520D" w:rsidP="00DB31C5">
            <w:pPr>
              <w:rPr>
                <w:rFonts w:ascii="Georgia" w:hAnsi="Georgia"/>
                <w:color w:val="000000"/>
              </w:rPr>
            </w:pPr>
          </w:p>
          <w:p w14:paraId="7C740F59" w14:textId="41B3BB4F" w:rsidR="0008520D" w:rsidRPr="0008520D" w:rsidRDefault="0008520D" w:rsidP="00DB31C5">
            <w:pPr>
              <w:rPr>
                <w:rFonts w:ascii="Georgia" w:hAnsi="Georgia"/>
              </w:rPr>
            </w:pPr>
            <w:r w:rsidRPr="00C8284F">
              <w:rPr>
                <w:rFonts w:ascii="Georgia" w:hAnsi="Georgia"/>
              </w:rPr>
              <w:t>Review of Pitch Fee</w:t>
            </w:r>
            <w:r>
              <w:rPr>
                <w:rFonts w:ascii="Georgia" w:hAnsi="Georgia"/>
              </w:rPr>
              <w:t>: Mobile Homes Act 1983</w:t>
            </w:r>
          </w:p>
          <w:p w14:paraId="0B7DC7F7" w14:textId="77777777" w:rsidR="0008520D" w:rsidRDefault="0008520D" w:rsidP="00DB31C5">
            <w:pPr>
              <w:rPr>
                <w:rFonts w:ascii="Georgia" w:hAnsi="Georgia"/>
                <w:color w:val="000000"/>
              </w:rPr>
            </w:pPr>
          </w:p>
          <w:p w14:paraId="736D014E" w14:textId="2725A2C4" w:rsidR="0008520D" w:rsidRDefault="0008520D" w:rsidP="00DB31C5">
            <w:pPr>
              <w:rPr>
                <w:rFonts w:ascii="Georgia" w:hAnsi="Georgia"/>
                <w:color w:val="000000"/>
              </w:rPr>
            </w:pPr>
            <w:r>
              <w:rPr>
                <w:rFonts w:ascii="Georgia" w:hAnsi="Georgia"/>
                <w:color w:val="000000"/>
              </w:rPr>
              <w:t xml:space="preserve">Judge David Clarke </w:t>
            </w:r>
          </w:p>
          <w:p w14:paraId="37D7FE7A" w14:textId="77777777" w:rsidR="0008520D" w:rsidRDefault="0008520D" w:rsidP="00DB31C5">
            <w:pPr>
              <w:rPr>
                <w:rFonts w:ascii="Georgia" w:hAnsi="Georgia"/>
                <w:color w:val="000000"/>
              </w:rPr>
            </w:pPr>
            <w:r>
              <w:rPr>
                <w:rFonts w:ascii="Georgia" w:hAnsi="Georgia"/>
                <w:color w:val="000000"/>
              </w:rPr>
              <w:t>Johann Reichel BSc MRICS</w:t>
            </w:r>
          </w:p>
          <w:p w14:paraId="744A72F2" w14:textId="77777777" w:rsidR="0008520D" w:rsidRDefault="0008520D" w:rsidP="00DB31C5">
            <w:pPr>
              <w:rPr>
                <w:rFonts w:ascii="Georgia" w:hAnsi="Georgia"/>
                <w:color w:val="000000"/>
              </w:rPr>
            </w:pPr>
            <w:r>
              <w:rPr>
                <w:rFonts w:ascii="Georgia" w:hAnsi="Georgia"/>
                <w:color w:val="000000"/>
              </w:rPr>
              <w:t>Michael Jenkinson</w:t>
            </w:r>
          </w:p>
          <w:p w14:paraId="6728ABF1" w14:textId="77777777" w:rsidR="0008520D" w:rsidRDefault="0008520D" w:rsidP="00DB31C5">
            <w:pPr>
              <w:rPr>
                <w:rFonts w:ascii="Georgia" w:hAnsi="Georgia"/>
                <w:color w:val="000000"/>
              </w:rPr>
            </w:pPr>
          </w:p>
          <w:p w14:paraId="1E592A79" w14:textId="1382122F" w:rsidR="0008520D" w:rsidRDefault="0008520D" w:rsidP="00DB31C5">
            <w:pPr>
              <w:rPr>
                <w:rFonts w:ascii="Georgia" w:hAnsi="Georgia"/>
                <w:color w:val="000000"/>
              </w:rPr>
            </w:pPr>
            <w:r>
              <w:rPr>
                <w:rFonts w:ascii="Georgia" w:hAnsi="Georgia"/>
                <w:color w:val="000000"/>
              </w:rPr>
              <w:t>11 November 2024</w:t>
            </w:r>
          </w:p>
          <w:p w14:paraId="5DBF2957" w14:textId="77777777" w:rsidR="0008520D" w:rsidRDefault="0008520D" w:rsidP="00DB31C5">
            <w:pPr>
              <w:rPr>
                <w:rFonts w:ascii="Georgia" w:hAnsi="Georgia"/>
                <w:color w:val="000000"/>
              </w:rPr>
            </w:pPr>
          </w:p>
          <w:p w14:paraId="09A1D017" w14:textId="79D40DC8" w:rsidR="0008520D" w:rsidRDefault="0008520D" w:rsidP="00DB31C5">
            <w:pPr>
              <w:rPr>
                <w:rFonts w:ascii="Georgia" w:hAnsi="Georgia"/>
                <w:color w:val="000000"/>
              </w:rPr>
            </w:pPr>
            <w:r>
              <w:rPr>
                <w:rFonts w:ascii="Georgia" w:hAnsi="Georgia"/>
                <w:color w:val="000000"/>
              </w:rPr>
              <w:t>Weymout</w:t>
            </w:r>
            <w:r w:rsidR="006129BD">
              <w:rPr>
                <w:rFonts w:ascii="Georgia" w:hAnsi="Georgia"/>
                <w:color w:val="000000"/>
              </w:rPr>
              <w:t>h</w:t>
            </w:r>
            <w:r>
              <w:rPr>
                <w:rFonts w:ascii="Georgia" w:hAnsi="Georgia"/>
                <w:color w:val="000000"/>
              </w:rPr>
              <w:t xml:space="preserve"> Magistrates Court and Tribunal Centre</w:t>
            </w:r>
          </w:p>
          <w:p w14:paraId="1FB8C1E6" w14:textId="77777777" w:rsidR="0008520D" w:rsidRDefault="0008520D" w:rsidP="00DB31C5">
            <w:pPr>
              <w:rPr>
                <w:rFonts w:ascii="Georgia" w:hAnsi="Georgia"/>
                <w:color w:val="000000"/>
              </w:rPr>
            </w:pPr>
          </w:p>
          <w:p w14:paraId="0DF3493C" w14:textId="77777777" w:rsidR="0008520D" w:rsidRDefault="0008520D" w:rsidP="00DB31C5">
            <w:pPr>
              <w:rPr>
                <w:rFonts w:ascii="Georgia" w:hAnsi="Georgia"/>
                <w:color w:val="000000"/>
              </w:rPr>
            </w:pPr>
          </w:p>
          <w:p w14:paraId="494D2A82" w14:textId="77777777" w:rsidR="0008520D" w:rsidRPr="00BE0B7E" w:rsidRDefault="0008520D" w:rsidP="00DB31C5">
            <w:pPr>
              <w:rPr>
                <w:rFonts w:ascii="Georgia" w:hAnsi="Georgia"/>
                <w:color w:val="000000"/>
              </w:rPr>
            </w:pPr>
          </w:p>
        </w:tc>
      </w:tr>
    </w:tbl>
    <w:p w14:paraId="1F90E701" w14:textId="08AEA3C4" w:rsidR="0008520D" w:rsidRDefault="00640487" w:rsidP="0008520D">
      <w:pPr>
        <w:pBdr>
          <w:bottom w:val="single" w:sz="12" w:space="1" w:color="auto"/>
        </w:pBdr>
      </w:pPr>
      <w:r>
        <w:t>:</w:t>
      </w:r>
    </w:p>
    <w:p w14:paraId="14FACB23" w14:textId="77777777" w:rsidR="0008520D" w:rsidRDefault="0008520D" w:rsidP="0008520D"/>
    <w:p w14:paraId="744FB2E9" w14:textId="77777777" w:rsidR="0008520D" w:rsidRDefault="0008520D" w:rsidP="0008520D">
      <w:pPr>
        <w:jc w:val="center"/>
        <w:rPr>
          <w:rFonts w:ascii="Georgia" w:hAnsi="Georgia"/>
          <w:b/>
          <w:bCs/>
          <w:sz w:val="28"/>
          <w:szCs w:val="28"/>
        </w:rPr>
      </w:pPr>
      <w:r w:rsidRPr="006E508E">
        <w:rPr>
          <w:rFonts w:ascii="Georgia" w:hAnsi="Georgia"/>
          <w:b/>
          <w:bCs/>
          <w:sz w:val="28"/>
          <w:szCs w:val="28"/>
        </w:rPr>
        <w:t>DETERMINATION AND STATEMENT OF REASONS</w:t>
      </w:r>
    </w:p>
    <w:p w14:paraId="308F9380" w14:textId="77777777" w:rsidR="0008520D" w:rsidRDefault="0008520D" w:rsidP="0008520D">
      <w:pPr>
        <w:jc w:val="center"/>
        <w:rPr>
          <w:rFonts w:ascii="Georgia" w:hAnsi="Georgia"/>
          <w:b/>
          <w:bCs/>
          <w:sz w:val="28"/>
          <w:szCs w:val="28"/>
        </w:rPr>
      </w:pPr>
    </w:p>
    <w:p w14:paraId="0F1A5CE9" w14:textId="77777777" w:rsidR="0008520D" w:rsidRDefault="0008520D" w:rsidP="0008520D">
      <w:pPr>
        <w:jc w:val="center"/>
        <w:rPr>
          <w:rFonts w:ascii="Georgia" w:hAnsi="Georgia"/>
          <w:b/>
          <w:bCs/>
          <w:sz w:val="28"/>
          <w:szCs w:val="28"/>
        </w:rPr>
      </w:pPr>
      <w:r>
        <w:rPr>
          <w:rFonts w:ascii="Georgia" w:hAnsi="Georgia"/>
          <w:b/>
          <w:bCs/>
          <w:sz w:val="28"/>
          <w:szCs w:val="28"/>
        </w:rPr>
        <w:t>_____________________________________________</w:t>
      </w:r>
    </w:p>
    <w:p w14:paraId="016B0E18" w14:textId="77777777" w:rsidR="0008520D" w:rsidRDefault="0008520D" w:rsidP="0008520D">
      <w:pPr>
        <w:jc w:val="center"/>
        <w:rPr>
          <w:rFonts w:ascii="Georgia" w:hAnsi="Georgia"/>
          <w:b/>
          <w:bCs/>
          <w:sz w:val="28"/>
          <w:szCs w:val="28"/>
        </w:rPr>
      </w:pPr>
    </w:p>
    <w:p w14:paraId="03087215" w14:textId="77777777" w:rsidR="0008520D" w:rsidRDefault="0008520D" w:rsidP="0008520D">
      <w:pPr>
        <w:jc w:val="center"/>
        <w:rPr>
          <w:rFonts w:ascii="Georgia" w:hAnsi="Georgia"/>
          <w:b/>
          <w:bCs/>
          <w:sz w:val="28"/>
          <w:szCs w:val="28"/>
        </w:rPr>
      </w:pPr>
    </w:p>
    <w:p w14:paraId="760D4E6B" w14:textId="77777777" w:rsidR="0008520D" w:rsidRDefault="0008520D" w:rsidP="0008520D">
      <w:pPr>
        <w:jc w:val="center"/>
        <w:rPr>
          <w:rFonts w:ascii="Georgia" w:hAnsi="Georgia"/>
          <w:b/>
          <w:bCs/>
          <w:sz w:val="28"/>
          <w:szCs w:val="28"/>
        </w:rPr>
      </w:pPr>
    </w:p>
    <w:p w14:paraId="77864C73" w14:textId="77777777" w:rsidR="0008520D" w:rsidRDefault="0008520D" w:rsidP="0008520D">
      <w:pPr>
        <w:jc w:val="center"/>
        <w:rPr>
          <w:rFonts w:ascii="Georgia" w:hAnsi="Georgia"/>
          <w:b/>
          <w:bCs/>
          <w:sz w:val="28"/>
          <w:szCs w:val="28"/>
        </w:rPr>
      </w:pPr>
    </w:p>
    <w:p w14:paraId="762FC6BE" w14:textId="77777777" w:rsidR="0008520D" w:rsidRDefault="0008520D" w:rsidP="0008520D">
      <w:pPr>
        <w:jc w:val="center"/>
        <w:rPr>
          <w:rFonts w:ascii="Georgia" w:hAnsi="Georgia"/>
          <w:b/>
          <w:bCs/>
          <w:sz w:val="28"/>
          <w:szCs w:val="28"/>
        </w:rPr>
      </w:pPr>
    </w:p>
    <w:p w14:paraId="21E867AD" w14:textId="77777777" w:rsidR="0008520D" w:rsidRDefault="0008520D" w:rsidP="0008520D">
      <w:pPr>
        <w:jc w:val="center"/>
        <w:rPr>
          <w:rFonts w:ascii="Georgia" w:hAnsi="Georgia"/>
          <w:b/>
          <w:bCs/>
          <w:sz w:val="28"/>
          <w:szCs w:val="28"/>
        </w:rPr>
      </w:pPr>
    </w:p>
    <w:p w14:paraId="6BDE2D0A" w14:textId="77777777" w:rsidR="0008520D" w:rsidRDefault="0008520D" w:rsidP="0008520D">
      <w:pPr>
        <w:jc w:val="center"/>
        <w:rPr>
          <w:rFonts w:ascii="Georgia" w:hAnsi="Georgia"/>
          <w:b/>
          <w:bCs/>
          <w:sz w:val="28"/>
          <w:szCs w:val="28"/>
        </w:rPr>
      </w:pPr>
    </w:p>
    <w:p w14:paraId="09C48683" w14:textId="77777777" w:rsidR="0008520D" w:rsidRDefault="0008520D" w:rsidP="0008520D">
      <w:pPr>
        <w:jc w:val="center"/>
        <w:rPr>
          <w:rFonts w:ascii="Georgia" w:hAnsi="Georgia"/>
          <w:b/>
          <w:bCs/>
          <w:sz w:val="28"/>
          <w:szCs w:val="28"/>
        </w:rPr>
      </w:pPr>
    </w:p>
    <w:p w14:paraId="536900D1" w14:textId="77777777" w:rsidR="0008520D" w:rsidRPr="003F0B7E" w:rsidRDefault="0008520D" w:rsidP="0008520D">
      <w:pPr>
        <w:jc w:val="center"/>
        <w:rPr>
          <w:rFonts w:ascii="Georgia" w:hAnsi="Georg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3D60">
        <w:rPr>
          <w:rFonts w:ascii="Georgia" w:hAnsi="Georgia"/>
          <w:sz w:val="28"/>
          <w:szCs w:val="28"/>
        </w:rPr>
        <w:t>© Crown Copyright 2024</w:t>
      </w:r>
    </w:p>
    <w:p w14:paraId="7E5138B9" w14:textId="49A100AF" w:rsidR="0008520D" w:rsidRPr="003F0B7E" w:rsidRDefault="003F0B7E" w:rsidP="003F0B7E">
      <w:pPr>
        <w:spacing w:after="160" w:line="259" w:lineRule="auto"/>
        <w:jc w:val="center"/>
        <w:rPr>
          <w:rFonts w:ascii="Georgia" w:hAnsi="Georgia"/>
          <w:b/>
          <w:bCs/>
          <w:sz w:val="28"/>
          <w:szCs w:val="28"/>
        </w:rPr>
      </w:pPr>
      <w:r>
        <w:rPr>
          <w:rFonts w:ascii="Georgia" w:hAnsi="Georgia"/>
          <w:b/>
          <w:bCs/>
          <w:sz w:val="28"/>
          <w:szCs w:val="28"/>
        </w:rPr>
        <w:br w:type="page"/>
      </w:r>
      <w:r w:rsidR="0008520D">
        <w:rPr>
          <w:rFonts w:ascii="Georgia" w:hAnsi="Georgia"/>
          <w:b/>
          <w:bCs/>
          <w:sz w:val="28"/>
          <w:szCs w:val="28"/>
        </w:rPr>
        <w:lastRenderedPageBreak/>
        <w:t>DETERMINATION</w:t>
      </w:r>
    </w:p>
    <w:p w14:paraId="01339CB4" w14:textId="77777777" w:rsidR="007F3E53" w:rsidRDefault="007F3E53"/>
    <w:p w14:paraId="1F875AE3" w14:textId="77777777" w:rsidR="00984F4B" w:rsidRPr="00435EF1" w:rsidRDefault="00984F4B" w:rsidP="00984F4B">
      <w:pPr>
        <w:jc w:val="both"/>
        <w:rPr>
          <w:rFonts w:ascii="Georgia" w:hAnsi="Georgia"/>
          <w:b/>
          <w:bCs/>
          <w:sz w:val="28"/>
          <w:szCs w:val="28"/>
        </w:rPr>
      </w:pPr>
      <w:r w:rsidRPr="00435EF1">
        <w:rPr>
          <w:rFonts w:ascii="Georgia" w:hAnsi="Georgia"/>
          <w:b/>
          <w:bCs/>
          <w:sz w:val="28"/>
          <w:szCs w:val="28"/>
        </w:rPr>
        <w:t xml:space="preserve">The Tribunal determines that in the case </w:t>
      </w:r>
      <w:r w:rsidRPr="00435EF1">
        <w:rPr>
          <w:rFonts w:ascii="Georgia" w:hAnsi="Georgia"/>
          <w:b/>
          <w:bCs/>
          <w:color w:val="000000"/>
          <w:sz w:val="28"/>
          <w:szCs w:val="28"/>
        </w:rPr>
        <w:t xml:space="preserve">CHI/19UJ/PHI/2024/0067 </w:t>
      </w:r>
      <w:r w:rsidRPr="00435EF1">
        <w:rPr>
          <w:rFonts w:ascii="Georgia" w:hAnsi="Georgia"/>
          <w:b/>
          <w:bCs/>
          <w:sz w:val="28"/>
          <w:szCs w:val="28"/>
        </w:rPr>
        <w:t>the weekly pitch fee in relation to 13 White Horse Park will increase from 1 January 2024 by 4.60% which represents the percentage increase in the Consumer Prices Index for October 2023. The pitch fee, previously £64.90, will increase to £67.89, an increase of £2.99 per week.</w:t>
      </w:r>
    </w:p>
    <w:p w14:paraId="26B68A3D" w14:textId="77777777" w:rsidR="00984F4B" w:rsidRPr="00435EF1" w:rsidRDefault="00984F4B" w:rsidP="00984F4B">
      <w:pPr>
        <w:jc w:val="both"/>
        <w:rPr>
          <w:rFonts w:ascii="Georgia" w:hAnsi="Georgia"/>
          <w:b/>
          <w:bCs/>
          <w:sz w:val="28"/>
          <w:szCs w:val="28"/>
        </w:rPr>
      </w:pPr>
    </w:p>
    <w:p w14:paraId="43E1FC7C" w14:textId="77777777" w:rsidR="00984F4B" w:rsidRPr="00435EF1" w:rsidRDefault="00984F4B" w:rsidP="00984F4B">
      <w:pPr>
        <w:jc w:val="both"/>
        <w:rPr>
          <w:rFonts w:ascii="Georgia" w:hAnsi="Georgia"/>
          <w:b/>
          <w:bCs/>
          <w:sz w:val="28"/>
          <w:szCs w:val="28"/>
        </w:rPr>
      </w:pPr>
      <w:r w:rsidRPr="00435EF1">
        <w:rPr>
          <w:rFonts w:ascii="Georgia" w:hAnsi="Georgia"/>
          <w:b/>
          <w:bCs/>
          <w:sz w:val="28"/>
          <w:szCs w:val="28"/>
        </w:rPr>
        <w:t xml:space="preserve">The Tribunal determines that in the case </w:t>
      </w:r>
      <w:r w:rsidRPr="00435EF1">
        <w:rPr>
          <w:rFonts w:ascii="Georgia" w:hAnsi="Georgia"/>
          <w:b/>
          <w:bCs/>
          <w:color w:val="000000"/>
          <w:sz w:val="28"/>
          <w:szCs w:val="28"/>
        </w:rPr>
        <w:t xml:space="preserve">CHI/19UJ/PHI/2024/0068 </w:t>
      </w:r>
      <w:r w:rsidRPr="00435EF1">
        <w:rPr>
          <w:rFonts w:ascii="Georgia" w:hAnsi="Georgia"/>
          <w:b/>
          <w:bCs/>
          <w:sz w:val="28"/>
          <w:szCs w:val="28"/>
        </w:rPr>
        <w:t>the weekly pitch fee in relation to 14 White Horse Park will increase from 1 January 2024 by 4.60% which represents the percentage increase in the Consumer Prices Index for October 2023. The pitch fee, previously £64.90, will increase to £67.89, an increase of £2.99 per week.</w:t>
      </w:r>
    </w:p>
    <w:p w14:paraId="4F9FEEF9" w14:textId="77777777" w:rsidR="00984F4B" w:rsidRPr="00435EF1" w:rsidRDefault="00984F4B" w:rsidP="00984F4B">
      <w:pPr>
        <w:jc w:val="both"/>
        <w:rPr>
          <w:rFonts w:ascii="Georgia" w:hAnsi="Georgia"/>
          <w:sz w:val="28"/>
          <w:szCs w:val="28"/>
        </w:rPr>
      </w:pPr>
    </w:p>
    <w:p w14:paraId="0AA10019" w14:textId="77777777" w:rsidR="00435EF1" w:rsidRDefault="00435EF1" w:rsidP="00435EF1">
      <w:pPr>
        <w:jc w:val="both"/>
        <w:rPr>
          <w:rFonts w:ascii="Georgia" w:hAnsi="Georgia"/>
          <w:sz w:val="28"/>
          <w:szCs w:val="28"/>
        </w:rPr>
      </w:pPr>
    </w:p>
    <w:p w14:paraId="70F9E1A5" w14:textId="77777777" w:rsidR="003F0B7E" w:rsidRDefault="003F0B7E" w:rsidP="00435EF1">
      <w:pPr>
        <w:jc w:val="both"/>
        <w:rPr>
          <w:rFonts w:ascii="Georgia" w:hAnsi="Georgia"/>
          <w:sz w:val="28"/>
          <w:szCs w:val="28"/>
        </w:rPr>
      </w:pPr>
    </w:p>
    <w:p w14:paraId="1C02C29C" w14:textId="77777777" w:rsidR="003F0B7E" w:rsidRDefault="003F0B7E" w:rsidP="00435EF1">
      <w:pPr>
        <w:jc w:val="both"/>
        <w:rPr>
          <w:rFonts w:ascii="Georgia" w:hAnsi="Georgia"/>
          <w:sz w:val="28"/>
          <w:szCs w:val="28"/>
        </w:rPr>
      </w:pPr>
    </w:p>
    <w:p w14:paraId="19DD1EB5" w14:textId="77777777" w:rsidR="003F0B7E" w:rsidRPr="00435EF1" w:rsidRDefault="003F0B7E" w:rsidP="00435EF1">
      <w:pPr>
        <w:jc w:val="both"/>
        <w:rPr>
          <w:rFonts w:ascii="Georgia" w:hAnsi="Georgia"/>
          <w:sz w:val="28"/>
          <w:szCs w:val="28"/>
        </w:rPr>
      </w:pPr>
    </w:p>
    <w:p w14:paraId="18A41047" w14:textId="32C3062E" w:rsidR="00435EF1" w:rsidRPr="00435EF1" w:rsidRDefault="00435EF1" w:rsidP="00435EF1">
      <w:pPr>
        <w:jc w:val="center"/>
        <w:rPr>
          <w:rFonts w:ascii="Georgia" w:hAnsi="Georgia"/>
          <w:b/>
          <w:bCs/>
          <w:sz w:val="28"/>
          <w:szCs w:val="28"/>
        </w:rPr>
      </w:pPr>
      <w:r w:rsidRPr="00435EF1">
        <w:rPr>
          <w:rFonts w:ascii="Georgia" w:hAnsi="Georgia"/>
          <w:b/>
          <w:bCs/>
          <w:sz w:val="28"/>
          <w:szCs w:val="28"/>
        </w:rPr>
        <w:t>STATEMENT OF REASONS</w:t>
      </w:r>
    </w:p>
    <w:p w14:paraId="2E8331EC" w14:textId="77777777" w:rsidR="00435EF1" w:rsidRPr="0008520D" w:rsidRDefault="00435EF1" w:rsidP="00435EF1">
      <w:pPr>
        <w:jc w:val="both"/>
        <w:rPr>
          <w:rFonts w:ascii="Georgia" w:hAnsi="Georgia"/>
          <w:b/>
          <w:bCs/>
        </w:rPr>
      </w:pPr>
    </w:p>
    <w:p w14:paraId="113EE141" w14:textId="362466FA" w:rsidR="0008520D" w:rsidRPr="00125A69" w:rsidRDefault="00435EF1" w:rsidP="00125A69">
      <w:pPr>
        <w:spacing w:after="160" w:line="259" w:lineRule="auto"/>
        <w:jc w:val="both"/>
        <w:rPr>
          <w:rFonts w:ascii="Georgia" w:hAnsi="Georgia"/>
          <w:b/>
          <w:bCs/>
        </w:rPr>
      </w:pPr>
      <w:r w:rsidRPr="00125A69">
        <w:rPr>
          <w:rFonts w:ascii="Georgia" w:hAnsi="Georgia"/>
          <w:b/>
          <w:bCs/>
        </w:rPr>
        <w:t>The Applications</w:t>
      </w:r>
    </w:p>
    <w:p w14:paraId="6F57B4C3" w14:textId="4A31B403" w:rsidR="00435EF1" w:rsidRDefault="001C1BB2" w:rsidP="00125A69">
      <w:pPr>
        <w:spacing w:after="160" w:line="259" w:lineRule="auto"/>
        <w:jc w:val="both"/>
        <w:rPr>
          <w:rFonts w:ascii="Georgia" w:hAnsi="Georgia"/>
        </w:rPr>
      </w:pPr>
      <w:r>
        <w:rPr>
          <w:rFonts w:ascii="Georgia" w:hAnsi="Georgia"/>
        </w:rPr>
        <w:t xml:space="preserve">1. </w:t>
      </w:r>
      <w:r w:rsidR="00125A69">
        <w:rPr>
          <w:rFonts w:ascii="Georgia" w:hAnsi="Georgia"/>
        </w:rPr>
        <w:t>Two applications were made</w:t>
      </w:r>
      <w:r w:rsidR="00BD7673">
        <w:rPr>
          <w:rFonts w:ascii="Georgia" w:hAnsi="Georgia"/>
        </w:rPr>
        <w:t xml:space="preserve"> on 2</w:t>
      </w:r>
      <w:r w:rsidR="00E07571">
        <w:rPr>
          <w:rFonts w:ascii="Georgia" w:hAnsi="Georgia"/>
        </w:rPr>
        <w:t>5</w:t>
      </w:r>
      <w:r w:rsidR="00BD7673">
        <w:rPr>
          <w:rFonts w:ascii="Georgia" w:hAnsi="Georgia"/>
        </w:rPr>
        <w:t xml:space="preserve"> March 2024 </w:t>
      </w:r>
      <w:r w:rsidR="00125A69">
        <w:rPr>
          <w:rFonts w:ascii="Georgia" w:hAnsi="Georgia"/>
        </w:rPr>
        <w:t>by the Applicant, White Horse Park Ltd, for the determination of a new level of pitch fee in relation to two pitches on the site at Osmington Hill, Osmington, Weymouth, Dorset DT3 6ED. The Applicant had, in each case, served a pitch fee review notice dated 17 November 2023 on the Respondent Ms Susan Davies at 13 White Horse Park and on the Respondent Ms Stephanie Roskelly</w:t>
      </w:r>
      <w:r w:rsidR="00335D9D">
        <w:rPr>
          <w:rFonts w:ascii="Georgia" w:hAnsi="Georgia"/>
        </w:rPr>
        <w:t xml:space="preserve"> at 14 White Horse Park</w:t>
      </w:r>
      <w:r w:rsidR="00125A69">
        <w:rPr>
          <w:rFonts w:ascii="Georgia" w:hAnsi="Georgia"/>
        </w:rPr>
        <w:t>. In each case, the increase proposed was an amount that the Applicant contended was the adjustment represent</w:t>
      </w:r>
      <w:r w:rsidR="00335D9D">
        <w:rPr>
          <w:rFonts w:ascii="Georgia" w:hAnsi="Georgia"/>
        </w:rPr>
        <w:t>ed by the</w:t>
      </w:r>
      <w:r w:rsidR="00125A69">
        <w:rPr>
          <w:rFonts w:ascii="Georgia" w:hAnsi="Georgia"/>
        </w:rPr>
        <w:t xml:space="preserve"> movement in the Consumer Prices Index </w:t>
      </w:r>
      <w:r w:rsidR="00BD7673">
        <w:rPr>
          <w:rFonts w:ascii="Georgia" w:hAnsi="Georgia"/>
        </w:rPr>
        <w:t xml:space="preserve">(“CPI”) </w:t>
      </w:r>
      <w:r w:rsidR="00125A69">
        <w:rPr>
          <w:rFonts w:ascii="Georgia" w:hAnsi="Georgia"/>
        </w:rPr>
        <w:t>over the relevant 12</w:t>
      </w:r>
      <w:r w:rsidR="00335D9D">
        <w:rPr>
          <w:rFonts w:ascii="Georgia" w:hAnsi="Georgia"/>
        </w:rPr>
        <w:t>-</w:t>
      </w:r>
      <w:r w:rsidR="00125A69">
        <w:rPr>
          <w:rFonts w:ascii="Georgia" w:hAnsi="Georgia"/>
        </w:rPr>
        <w:t xml:space="preserve">month period preceding the pitch fee notice. </w:t>
      </w:r>
    </w:p>
    <w:p w14:paraId="5245ECB1" w14:textId="7CDDED57" w:rsidR="00335D9D" w:rsidRDefault="001C1BB2" w:rsidP="00125A69">
      <w:pPr>
        <w:spacing w:after="160" w:line="259" w:lineRule="auto"/>
        <w:jc w:val="both"/>
        <w:rPr>
          <w:rFonts w:ascii="Georgia" w:hAnsi="Georgia"/>
        </w:rPr>
      </w:pPr>
      <w:r>
        <w:rPr>
          <w:rFonts w:ascii="Georgia" w:hAnsi="Georgia"/>
        </w:rPr>
        <w:t xml:space="preserve">2. </w:t>
      </w:r>
      <w:r w:rsidR="00335D9D">
        <w:rPr>
          <w:rFonts w:ascii="Georgia" w:hAnsi="Georgia"/>
        </w:rPr>
        <w:t>In each case, the Application</w:t>
      </w:r>
      <w:r w:rsidR="00BD7673">
        <w:rPr>
          <w:rFonts w:ascii="Georgia" w:hAnsi="Georgia"/>
        </w:rPr>
        <w:t>s</w:t>
      </w:r>
      <w:r w:rsidR="00335D9D">
        <w:rPr>
          <w:rFonts w:ascii="Georgia" w:hAnsi="Georgia"/>
        </w:rPr>
        <w:t xml:space="preserve"> proposed an increase of 4.6% in the weekly pitch fee. This was to take effect on 1 January 2024 being a calendar year from the previous review date of 1 January 2023. The pitch fee at the time of the notice was £64.90 per week. The increase of 4.6% amounted to £2.99 and therefore the proposed pitch fee in each notice was £67.89 per week.</w:t>
      </w:r>
    </w:p>
    <w:p w14:paraId="54B0708C" w14:textId="638D98F4" w:rsidR="00335D9D" w:rsidRDefault="001C1BB2" w:rsidP="00125A69">
      <w:pPr>
        <w:spacing w:after="160" w:line="259" w:lineRule="auto"/>
        <w:jc w:val="both"/>
        <w:rPr>
          <w:rFonts w:ascii="Georgia" w:hAnsi="Georgia"/>
        </w:rPr>
      </w:pPr>
      <w:r>
        <w:rPr>
          <w:rFonts w:ascii="Georgia" w:hAnsi="Georgia"/>
        </w:rPr>
        <w:t xml:space="preserve">3. </w:t>
      </w:r>
      <w:r w:rsidR="00335D9D">
        <w:rPr>
          <w:rFonts w:ascii="Georgia" w:hAnsi="Georgia"/>
        </w:rPr>
        <w:t xml:space="preserve">The Respondents were each invited to agree to the pitch fee increase in the notice sent to them by returning an amended standing order </w:t>
      </w:r>
      <w:r w:rsidR="00BD7673">
        <w:rPr>
          <w:rFonts w:ascii="Georgia" w:hAnsi="Georgia"/>
        </w:rPr>
        <w:t>mandate</w:t>
      </w:r>
      <w:r w:rsidR="00335D9D">
        <w:rPr>
          <w:rFonts w:ascii="Georgia" w:hAnsi="Georgia"/>
        </w:rPr>
        <w:t xml:space="preserve">. Neither Respondent agreed to the increase. </w:t>
      </w:r>
      <w:r w:rsidR="00BD7673">
        <w:rPr>
          <w:rFonts w:ascii="Georgia" w:hAnsi="Georgia"/>
        </w:rPr>
        <w:t xml:space="preserve">In the absence of such agreement, these applications were made. Initial Directions were issued in April 2024 recording a then current delay in dealing with applications. Directions were then issued on 12 September 2024 and the matter was heard on 11 November 2024. </w:t>
      </w:r>
    </w:p>
    <w:p w14:paraId="61679645" w14:textId="4A7C1B74" w:rsidR="00125A69" w:rsidRDefault="00BD7673" w:rsidP="00125A69">
      <w:pPr>
        <w:spacing w:after="160" w:line="259" w:lineRule="auto"/>
        <w:jc w:val="both"/>
        <w:rPr>
          <w:rFonts w:ascii="Georgia" w:hAnsi="Georgia"/>
        </w:rPr>
      </w:pPr>
      <w:r>
        <w:rPr>
          <w:rFonts w:ascii="Georgia" w:hAnsi="Georgia"/>
          <w:b/>
          <w:bCs/>
        </w:rPr>
        <w:lastRenderedPageBreak/>
        <w:t>The Site</w:t>
      </w:r>
    </w:p>
    <w:p w14:paraId="08DB5CD9" w14:textId="60B78537" w:rsidR="0069178D" w:rsidRDefault="00F42A15" w:rsidP="00125A69">
      <w:pPr>
        <w:spacing w:after="160" w:line="259" w:lineRule="auto"/>
        <w:jc w:val="both"/>
        <w:rPr>
          <w:rFonts w:ascii="Georgia" w:hAnsi="Georgia"/>
        </w:rPr>
      </w:pPr>
      <w:r>
        <w:rPr>
          <w:rFonts w:ascii="Georgia" w:hAnsi="Georgia"/>
        </w:rPr>
        <w:t xml:space="preserve">4. </w:t>
      </w:r>
      <w:r w:rsidR="00BD7673">
        <w:rPr>
          <w:rFonts w:ascii="Georgia" w:hAnsi="Georgia"/>
        </w:rPr>
        <w:t xml:space="preserve">The Tribunal inspected White Horse Park prior to the hearing on 11 November 2024. It is a site of only 17 pitches on a hillside with views on one side towards Weymouth and the sea </w:t>
      </w:r>
      <w:r w:rsidR="0069178D">
        <w:rPr>
          <w:rFonts w:ascii="Georgia" w:hAnsi="Georgia"/>
        </w:rPr>
        <w:t xml:space="preserve">to the south </w:t>
      </w:r>
      <w:r w:rsidR="00BD7673">
        <w:rPr>
          <w:rFonts w:ascii="Georgia" w:hAnsi="Georgia"/>
        </w:rPr>
        <w:t xml:space="preserve">and to the </w:t>
      </w:r>
      <w:r w:rsidR="0069178D">
        <w:rPr>
          <w:rFonts w:ascii="Georgia" w:hAnsi="Georgia"/>
        </w:rPr>
        <w:t xml:space="preserve">Osmington </w:t>
      </w:r>
      <w:r w:rsidR="00BD7673">
        <w:rPr>
          <w:rFonts w:ascii="Georgia" w:hAnsi="Georgia"/>
        </w:rPr>
        <w:t xml:space="preserve">White Horse and hills on the other. It was substantially redeveloped </w:t>
      </w:r>
      <w:r w:rsidR="003F1EBA">
        <w:rPr>
          <w:rFonts w:ascii="Georgia" w:hAnsi="Georgia"/>
        </w:rPr>
        <w:t>between</w:t>
      </w:r>
      <w:r w:rsidR="00BD7673">
        <w:rPr>
          <w:rFonts w:ascii="Georgia" w:hAnsi="Georgia"/>
        </w:rPr>
        <w:t xml:space="preserve"> 2018</w:t>
      </w:r>
      <w:r w:rsidR="00D23832">
        <w:rPr>
          <w:rFonts w:ascii="Georgia" w:hAnsi="Georgia"/>
        </w:rPr>
        <w:t xml:space="preserve"> and 2020</w:t>
      </w:r>
      <w:r w:rsidR="00BD7673">
        <w:rPr>
          <w:rFonts w:ascii="Georgia" w:hAnsi="Georgia"/>
        </w:rPr>
        <w:t xml:space="preserve"> from (the Tribunal was told) a holiday caravan site into a residential mobile home park. </w:t>
      </w:r>
      <w:r w:rsidR="0069178D">
        <w:rPr>
          <w:rFonts w:ascii="Georgia" w:hAnsi="Georgia"/>
        </w:rPr>
        <w:t xml:space="preserve">The </w:t>
      </w:r>
      <w:r w:rsidR="00826028">
        <w:rPr>
          <w:rFonts w:ascii="Georgia" w:hAnsi="Georgia"/>
        </w:rPr>
        <w:t xml:space="preserve">site is compact and the </w:t>
      </w:r>
      <w:r w:rsidR="0069178D">
        <w:rPr>
          <w:rFonts w:ascii="Georgia" w:hAnsi="Georgia"/>
        </w:rPr>
        <w:t xml:space="preserve">homes are either side of a </w:t>
      </w:r>
      <w:r w:rsidR="00C37FBD">
        <w:rPr>
          <w:rFonts w:ascii="Georgia" w:hAnsi="Georgia"/>
        </w:rPr>
        <w:t xml:space="preserve">single </w:t>
      </w:r>
      <w:r w:rsidR="0069178D">
        <w:rPr>
          <w:rFonts w:ascii="Georgia" w:hAnsi="Georgia"/>
        </w:rPr>
        <w:t xml:space="preserve">fairly steep estate access road which is accessed from Osmington Hill on the main A353 road. There is a well-made surface to the </w:t>
      </w:r>
      <w:r w:rsidR="00D8148D">
        <w:rPr>
          <w:rFonts w:ascii="Georgia" w:hAnsi="Georgia"/>
        </w:rPr>
        <w:t xml:space="preserve">estate </w:t>
      </w:r>
      <w:r w:rsidR="0069178D">
        <w:rPr>
          <w:rFonts w:ascii="Georgia" w:hAnsi="Georgia"/>
        </w:rPr>
        <w:t xml:space="preserve">road, low level street </w:t>
      </w:r>
      <w:r w:rsidR="00C37FBD">
        <w:rPr>
          <w:rFonts w:ascii="Georgia" w:hAnsi="Georgia"/>
        </w:rPr>
        <w:t>l</w:t>
      </w:r>
      <w:r w:rsidR="0069178D">
        <w:rPr>
          <w:rFonts w:ascii="Georgia" w:hAnsi="Georgia"/>
        </w:rPr>
        <w:t>ighting, a communal sewage treatment plant, three visitors car parking spaces</w:t>
      </w:r>
      <w:r w:rsidR="00C37FBD">
        <w:rPr>
          <w:rFonts w:ascii="Georgia" w:hAnsi="Georgia"/>
        </w:rPr>
        <w:t>, a defibrillator</w:t>
      </w:r>
      <w:r w:rsidR="0069178D">
        <w:rPr>
          <w:rFonts w:ascii="Georgia" w:hAnsi="Georgia"/>
        </w:rPr>
        <w:t xml:space="preserve"> and fire safety boxes.</w:t>
      </w:r>
      <w:r w:rsidR="00281D6A">
        <w:rPr>
          <w:rFonts w:ascii="Georgia" w:hAnsi="Georgia"/>
        </w:rPr>
        <w:t xml:space="preserve"> There are no communal facilities or gree</w:t>
      </w:r>
      <w:r w:rsidR="003B33BD">
        <w:rPr>
          <w:rFonts w:ascii="Georgia" w:hAnsi="Georgia"/>
        </w:rPr>
        <w:t xml:space="preserve">n, </w:t>
      </w:r>
      <w:r w:rsidR="00281D6A">
        <w:rPr>
          <w:rFonts w:ascii="Georgia" w:hAnsi="Georgia"/>
        </w:rPr>
        <w:t>open or shared spaces on the site</w:t>
      </w:r>
      <w:r w:rsidR="003B33BD">
        <w:rPr>
          <w:rFonts w:ascii="Georgia" w:hAnsi="Georgia"/>
        </w:rPr>
        <w:t>.</w:t>
      </w:r>
      <w:r w:rsidR="0069178D">
        <w:rPr>
          <w:rFonts w:ascii="Georgia" w:hAnsi="Georgia"/>
        </w:rPr>
        <w:t xml:space="preserve"> </w:t>
      </w:r>
    </w:p>
    <w:p w14:paraId="34E5331D" w14:textId="448196EB" w:rsidR="00BD7673" w:rsidRDefault="00F42A15" w:rsidP="00125A69">
      <w:pPr>
        <w:spacing w:after="160" w:line="259" w:lineRule="auto"/>
        <w:jc w:val="both"/>
        <w:rPr>
          <w:rFonts w:ascii="Georgia" w:hAnsi="Georgia"/>
        </w:rPr>
      </w:pPr>
      <w:r>
        <w:rPr>
          <w:rFonts w:ascii="Georgia" w:hAnsi="Georgia"/>
        </w:rPr>
        <w:t xml:space="preserve">5. </w:t>
      </w:r>
      <w:r w:rsidR="0069178D">
        <w:rPr>
          <w:rFonts w:ascii="Georgia" w:hAnsi="Georgia"/>
        </w:rPr>
        <w:t xml:space="preserve">The site is undoubtedly attractive in its location and still retains after </w:t>
      </w:r>
      <w:r w:rsidR="006D4681">
        <w:rPr>
          <w:rFonts w:ascii="Georgia" w:hAnsi="Georgia"/>
        </w:rPr>
        <w:t>five or so</w:t>
      </w:r>
      <w:r w:rsidR="0069178D">
        <w:rPr>
          <w:rFonts w:ascii="Georgia" w:hAnsi="Georgia"/>
        </w:rPr>
        <w:t xml:space="preserve"> years the feel of a well</w:t>
      </w:r>
      <w:r w:rsidR="002F494D">
        <w:rPr>
          <w:rFonts w:ascii="Georgia" w:hAnsi="Georgia"/>
        </w:rPr>
        <w:t>-</w:t>
      </w:r>
      <w:r w:rsidR="0069178D">
        <w:rPr>
          <w:rFonts w:ascii="Georgia" w:hAnsi="Georgia"/>
        </w:rPr>
        <w:t xml:space="preserve">presented site. </w:t>
      </w:r>
      <w:r w:rsidR="002F494D">
        <w:rPr>
          <w:rFonts w:ascii="Georgia" w:hAnsi="Georgia"/>
        </w:rPr>
        <w:t xml:space="preserve">It was </w:t>
      </w:r>
      <w:r w:rsidR="00D8148D">
        <w:rPr>
          <w:rFonts w:ascii="Georgia" w:hAnsi="Georgia"/>
        </w:rPr>
        <w:t xml:space="preserve">apparently </w:t>
      </w:r>
      <w:r w:rsidR="002F494D">
        <w:rPr>
          <w:rFonts w:ascii="Georgia" w:hAnsi="Georgia"/>
        </w:rPr>
        <w:t xml:space="preserve">described by the owner, in an advert for sale of the site, as a ‘high pitch fee low maintenance’ site and </w:t>
      </w:r>
      <w:r w:rsidR="00DF0DCA">
        <w:rPr>
          <w:rFonts w:ascii="Georgia" w:hAnsi="Georgia"/>
        </w:rPr>
        <w:t xml:space="preserve">certainly </w:t>
      </w:r>
      <w:r w:rsidR="002F494D">
        <w:rPr>
          <w:rFonts w:ascii="Georgia" w:hAnsi="Georgia"/>
        </w:rPr>
        <w:t xml:space="preserve">at the moment little maintenance is required. </w:t>
      </w:r>
      <w:r w:rsidR="00DF0DCA">
        <w:rPr>
          <w:rFonts w:ascii="Georgia" w:hAnsi="Georgia"/>
        </w:rPr>
        <w:t>Q</w:t>
      </w:r>
      <w:r w:rsidR="002F494D">
        <w:rPr>
          <w:rFonts w:ascii="Georgia" w:hAnsi="Georgia"/>
        </w:rPr>
        <w:t xml:space="preserve">uite substantial investment must have been made </w:t>
      </w:r>
      <w:r w:rsidR="005C2AEE">
        <w:rPr>
          <w:rFonts w:ascii="Georgia" w:hAnsi="Georgia"/>
        </w:rPr>
        <w:t>from</w:t>
      </w:r>
      <w:r w:rsidR="002F494D">
        <w:rPr>
          <w:rFonts w:ascii="Georgia" w:hAnsi="Georgia"/>
        </w:rPr>
        <w:t xml:space="preserve"> 2018 </w:t>
      </w:r>
      <w:r w:rsidR="005C2AEE">
        <w:rPr>
          <w:rFonts w:ascii="Georgia" w:hAnsi="Georgia"/>
        </w:rPr>
        <w:t xml:space="preserve">onwards </w:t>
      </w:r>
      <w:r w:rsidR="002F494D">
        <w:rPr>
          <w:rFonts w:ascii="Georgia" w:hAnsi="Georgia"/>
        </w:rPr>
        <w:t>by the then owner to prepare the pitches for occupation. Because of the slope of the hill, the levelling of each pitch required the construction of some retaining walls. Each pitch has the benefit of extensive paving and landscaping with some necessary railings and fences. However, while the site is low maintenance from the perspective of the site owner, the maintenance of each pitch, its walls</w:t>
      </w:r>
      <w:r w:rsidR="001827DB">
        <w:rPr>
          <w:rFonts w:ascii="Georgia" w:hAnsi="Georgia"/>
        </w:rPr>
        <w:t>,</w:t>
      </w:r>
      <w:r w:rsidR="002F494D">
        <w:rPr>
          <w:rFonts w:ascii="Georgia" w:hAnsi="Georgia"/>
        </w:rPr>
        <w:t xml:space="preserve"> paving and </w:t>
      </w:r>
      <w:r w:rsidR="00CE23AD">
        <w:rPr>
          <w:rFonts w:ascii="Georgia" w:hAnsi="Georgia"/>
        </w:rPr>
        <w:t xml:space="preserve">internal </w:t>
      </w:r>
      <w:r w:rsidR="002F494D">
        <w:rPr>
          <w:rFonts w:ascii="Georgia" w:hAnsi="Georgia"/>
        </w:rPr>
        <w:t xml:space="preserve">fences, falls to the owner of each pitch and </w:t>
      </w:r>
      <w:r w:rsidR="001827DB">
        <w:rPr>
          <w:rFonts w:ascii="Georgia" w:hAnsi="Georgia"/>
        </w:rPr>
        <w:t xml:space="preserve">cost </w:t>
      </w:r>
      <w:r w:rsidR="002F494D">
        <w:rPr>
          <w:rFonts w:ascii="Georgia" w:hAnsi="Georgia"/>
        </w:rPr>
        <w:t xml:space="preserve">may </w:t>
      </w:r>
      <w:r w:rsidR="001827DB">
        <w:rPr>
          <w:rFonts w:ascii="Georgia" w:hAnsi="Georgia"/>
        </w:rPr>
        <w:t>not be i</w:t>
      </w:r>
      <w:r w:rsidR="00AC69C2">
        <w:rPr>
          <w:rFonts w:ascii="Georgia" w:hAnsi="Georgia"/>
        </w:rPr>
        <w:t>n</w:t>
      </w:r>
      <w:r w:rsidR="002F494D">
        <w:rPr>
          <w:rFonts w:ascii="Georgia" w:hAnsi="Georgia"/>
        </w:rPr>
        <w:t>significant in future years.</w:t>
      </w:r>
    </w:p>
    <w:p w14:paraId="1AD553D3" w14:textId="47E01D5C" w:rsidR="002F494D" w:rsidRPr="00BD7673" w:rsidRDefault="00F42A15" w:rsidP="00125A69">
      <w:pPr>
        <w:spacing w:after="160" w:line="259" w:lineRule="auto"/>
        <w:jc w:val="both"/>
        <w:rPr>
          <w:rFonts w:ascii="Georgia" w:hAnsi="Georgia"/>
        </w:rPr>
      </w:pPr>
      <w:r>
        <w:rPr>
          <w:rFonts w:ascii="Georgia" w:hAnsi="Georgia"/>
        </w:rPr>
        <w:t xml:space="preserve">6. </w:t>
      </w:r>
      <w:r w:rsidR="002F494D">
        <w:rPr>
          <w:rFonts w:ascii="Georgia" w:hAnsi="Georgia"/>
        </w:rPr>
        <w:t>Ms Davies</w:t>
      </w:r>
      <w:r>
        <w:rPr>
          <w:rFonts w:ascii="Georgia" w:hAnsi="Georgia"/>
        </w:rPr>
        <w:t>’</w:t>
      </w:r>
      <w:r w:rsidR="002F494D">
        <w:rPr>
          <w:rFonts w:ascii="Georgia" w:hAnsi="Georgia"/>
        </w:rPr>
        <w:t xml:space="preserve"> pitch, number 13, adjoins the park site boundary </w:t>
      </w:r>
      <w:r w:rsidR="00AC69C2">
        <w:rPr>
          <w:rFonts w:ascii="Georgia" w:hAnsi="Georgia"/>
        </w:rPr>
        <w:t xml:space="preserve">at the top end </w:t>
      </w:r>
      <w:r w:rsidR="002F494D">
        <w:rPr>
          <w:rFonts w:ascii="Georgia" w:hAnsi="Georgia"/>
        </w:rPr>
        <w:t>with open land beyond. She pointed out to the Tribunal that weeds and growth were growing over the low</w:t>
      </w:r>
      <w:r w:rsidR="00353759">
        <w:rPr>
          <w:rFonts w:ascii="Georgia" w:hAnsi="Georgia"/>
        </w:rPr>
        <w:t>-</w:t>
      </w:r>
      <w:r w:rsidR="002F494D">
        <w:rPr>
          <w:rFonts w:ascii="Georgia" w:hAnsi="Georgia"/>
        </w:rPr>
        <w:t xml:space="preserve">level </w:t>
      </w:r>
      <w:r w:rsidR="00353759">
        <w:rPr>
          <w:rFonts w:ascii="Georgia" w:hAnsi="Georgia"/>
        </w:rPr>
        <w:t xml:space="preserve">site boundary </w:t>
      </w:r>
      <w:r w:rsidR="002F494D">
        <w:rPr>
          <w:rFonts w:ascii="Georgia" w:hAnsi="Georgia"/>
        </w:rPr>
        <w:t>fence onto her pitch</w:t>
      </w:r>
      <w:r w:rsidR="00B66A17">
        <w:rPr>
          <w:rFonts w:ascii="Georgia" w:hAnsi="Georgia"/>
        </w:rPr>
        <w:t>.</w:t>
      </w:r>
    </w:p>
    <w:p w14:paraId="35DD9DD8" w14:textId="0D2334C4" w:rsidR="00435EF1" w:rsidRPr="002D2497" w:rsidRDefault="00353759" w:rsidP="00435EF1">
      <w:pPr>
        <w:spacing w:after="160" w:line="259" w:lineRule="auto"/>
        <w:rPr>
          <w:rFonts w:ascii="Georgia" w:hAnsi="Georgia"/>
          <w:b/>
          <w:bCs/>
        </w:rPr>
      </w:pPr>
      <w:r w:rsidRPr="002D2497">
        <w:rPr>
          <w:rFonts w:ascii="Georgia" w:hAnsi="Georgia"/>
          <w:b/>
          <w:bCs/>
        </w:rPr>
        <w:t xml:space="preserve">The </w:t>
      </w:r>
      <w:r w:rsidR="000D0559">
        <w:rPr>
          <w:rFonts w:ascii="Georgia" w:hAnsi="Georgia"/>
          <w:b/>
          <w:bCs/>
        </w:rPr>
        <w:t>Mobile Homes Act 1983</w:t>
      </w:r>
    </w:p>
    <w:p w14:paraId="163F7452" w14:textId="3F47DAA3" w:rsidR="00FD6A17" w:rsidRDefault="00F42A15" w:rsidP="00DB3A84">
      <w:pPr>
        <w:spacing w:after="160" w:line="259" w:lineRule="auto"/>
        <w:jc w:val="both"/>
        <w:rPr>
          <w:rFonts w:ascii="Georgia" w:hAnsi="Georgia"/>
        </w:rPr>
      </w:pPr>
      <w:r>
        <w:rPr>
          <w:rFonts w:ascii="Georgia" w:hAnsi="Georgia"/>
        </w:rPr>
        <w:t xml:space="preserve">7. </w:t>
      </w:r>
      <w:r w:rsidR="009714D6">
        <w:rPr>
          <w:rFonts w:ascii="Georgia" w:hAnsi="Georgia"/>
        </w:rPr>
        <w:t xml:space="preserve">Under the provisions of the </w:t>
      </w:r>
      <w:r w:rsidR="00DB3A84">
        <w:rPr>
          <w:rFonts w:ascii="Georgia" w:hAnsi="Georgia"/>
        </w:rPr>
        <w:t>M</w:t>
      </w:r>
      <w:r w:rsidR="009714D6">
        <w:rPr>
          <w:rFonts w:ascii="Georgia" w:hAnsi="Georgia"/>
        </w:rPr>
        <w:t xml:space="preserve">obile Homes Act </w:t>
      </w:r>
      <w:r w:rsidR="00B36A9F">
        <w:rPr>
          <w:rFonts w:ascii="Georgia" w:hAnsi="Georgia"/>
        </w:rPr>
        <w:t xml:space="preserve">1983, as subsequently amended, </w:t>
      </w:r>
      <w:r w:rsidR="00CB20BC">
        <w:rPr>
          <w:rFonts w:ascii="Georgia" w:hAnsi="Georgia"/>
        </w:rPr>
        <w:t xml:space="preserve">(“the 1983 Act”) </w:t>
      </w:r>
      <w:r w:rsidR="00B36A9F">
        <w:rPr>
          <w:rFonts w:ascii="Georgia" w:hAnsi="Georgia"/>
        </w:rPr>
        <w:t xml:space="preserve">the implied terms </w:t>
      </w:r>
      <w:r w:rsidR="00D245E4">
        <w:rPr>
          <w:rFonts w:ascii="Georgia" w:hAnsi="Georgia"/>
        </w:rPr>
        <w:t xml:space="preserve">of all pitch agreements, </w:t>
      </w:r>
      <w:r w:rsidR="00B36A9F">
        <w:rPr>
          <w:rFonts w:ascii="Georgia" w:hAnsi="Georgia"/>
        </w:rPr>
        <w:t xml:space="preserve">set out in Schedule </w:t>
      </w:r>
      <w:r w:rsidR="006317EB">
        <w:rPr>
          <w:rFonts w:ascii="Georgia" w:hAnsi="Georgia"/>
        </w:rPr>
        <w:t xml:space="preserve">1, part </w:t>
      </w:r>
      <w:r w:rsidR="009F468F">
        <w:rPr>
          <w:rFonts w:ascii="Georgia" w:hAnsi="Georgia"/>
        </w:rPr>
        <w:t>1, chapter 2</w:t>
      </w:r>
      <w:r w:rsidR="00D245E4">
        <w:rPr>
          <w:rFonts w:ascii="Georgia" w:hAnsi="Georgia"/>
        </w:rPr>
        <w:t xml:space="preserve"> of the Act</w:t>
      </w:r>
      <w:r w:rsidR="00374578">
        <w:rPr>
          <w:rFonts w:ascii="Georgia" w:hAnsi="Georgia"/>
        </w:rPr>
        <w:t>,</w:t>
      </w:r>
      <w:r w:rsidR="00D245E4">
        <w:rPr>
          <w:rFonts w:ascii="Georgia" w:hAnsi="Georgia"/>
        </w:rPr>
        <w:t xml:space="preserve"> provide </w:t>
      </w:r>
      <w:r w:rsidR="00ED7744">
        <w:rPr>
          <w:rFonts w:ascii="Georgia" w:hAnsi="Georgia"/>
        </w:rPr>
        <w:t>for an annual review of pitch fees (</w:t>
      </w:r>
      <w:r w:rsidR="00B63B90">
        <w:rPr>
          <w:rFonts w:ascii="Georgia" w:hAnsi="Georgia"/>
        </w:rPr>
        <w:t xml:space="preserve">paragraph 17) </w:t>
      </w:r>
      <w:r w:rsidR="00ED7744">
        <w:rPr>
          <w:rFonts w:ascii="Georgia" w:hAnsi="Georgia"/>
        </w:rPr>
        <w:t xml:space="preserve">which can only be changed by either agreement or </w:t>
      </w:r>
      <w:r w:rsidR="00F37DB7">
        <w:rPr>
          <w:rFonts w:ascii="Georgia" w:hAnsi="Georgia"/>
        </w:rPr>
        <w:t>a d</w:t>
      </w:r>
      <w:r w:rsidR="00B63B90">
        <w:rPr>
          <w:rFonts w:ascii="Georgia" w:hAnsi="Georgia"/>
        </w:rPr>
        <w:t>e</w:t>
      </w:r>
      <w:r w:rsidR="00F37DB7">
        <w:rPr>
          <w:rFonts w:ascii="Georgia" w:hAnsi="Georgia"/>
        </w:rPr>
        <w:t xml:space="preserve">termination </w:t>
      </w:r>
      <w:r w:rsidR="00B63B90">
        <w:rPr>
          <w:rFonts w:ascii="Georgia" w:hAnsi="Georgia"/>
        </w:rPr>
        <w:t>by</w:t>
      </w:r>
      <w:r w:rsidR="00F37DB7">
        <w:rPr>
          <w:rFonts w:ascii="Georgia" w:hAnsi="Georgia"/>
        </w:rPr>
        <w:t xml:space="preserve"> this Tribuna</w:t>
      </w:r>
      <w:r w:rsidR="00745D22">
        <w:rPr>
          <w:rFonts w:ascii="Georgia" w:hAnsi="Georgia"/>
        </w:rPr>
        <w:t>l</w:t>
      </w:r>
      <w:r w:rsidR="00B63B90">
        <w:rPr>
          <w:rFonts w:ascii="Georgia" w:hAnsi="Georgia"/>
        </w:rPr>
        <w:t xml:space="preserve"> </w:t>
      </w:r>
      <w:r w:rsidR="00745D22">
        <w:rPr>
          <w:rFonts w:ascii="Georgia" w:hAnsi="Georgia"/>
        </w:rPr>
        <w:t>(paragraph 16)</w:t>
      </w:r>
      <w:r w:rsidR="00F37DB7">
        <w:rPr>
          <w:rFonts w:ascii="Georgia" w:hAnsi="Georgia"/>
        </w:rPr>
        <w:t>.</w:t>
      </w:r>
      <w:r w:rsidR="000C15EA">
        <w:rPr>
          <w:rFonts w:ascii="Georgia" w:hAnsi="Georgia"/>
        </w:rPr>
        <w:t xml:space="preserve"> </w:t>
      </w:r>
      <w:r w:rsidR="00B6769A">
        <w:rPr>
          <w:rFonts w:ascii="Georgia" w:hAnsi="Georgia"/>
        </w:rPr>
        <w:t xml:space="preserve">By virtue of paragraph 20, there is a presumption that </w:t>
      </w:r>
      <w:r w:rsidR="008325FB">
        <w:rPr>
          <w:rFonts w:ascii="Georgia" w:hAnsi="Georgia"/>
        </w:rPr>
        <w:t>the pitch fee shall increase or decrease</w:t>
      </w:r>
      <w:r w:rsidR="00374578">
        <w:rPr>
          <w:rFonts w:ascii="Georgia" w:hAnsi="Georgia"/>
        </w:rPr>
        <w:t xml:space="preserve"> </w:t>
      </w:r>
      <w:r w:rsidR="006073BF">
        <w:rPr>
          <w:rFonts w:ascii="Georgia" w:hAnsi="Georgia"/>
        </w:rPr>
        <w:t xml:space="preserve">by a percentage that is no more than any percentage increase or decrease </w:t>
      </w:r>
      <w:r w:rsidR="00D16AF4">
        <w:rPr>
          <w:rFonts w:ascii="Georgia" w:hAnsi="Georgia"/>
        </w:rPr>
        <w:t>in the retail prices index</w:t>
      </w:r>
      <w:r w:rsidR="00374578">
        <w:rPr>
          <w:rFonts w:ascii="Georgia" w:hAnsi="Georgia"/>
        </w:rPr>
        <w:t xml:space="preserve"> </w:t>
      </w:r>
      <w:r w:rsidR="00EA47D2">
        <w:rPr>
          <w:rFonts w:ascii="Georgia" w:hAnsi="Georgia"/>
        </w:rPr>
        <w:t xml:space="preserve">calculated by reference to the latest index and the index published </w:t>
      </w:r>
      <w:r w:rsidR="008F5875">
        <w:rPr>
          <w:rFonts w:ascii="Georgia" w:hAnsi="Georgia"/>
        </w:rPr>
        <w:t xml:space="preserve">for a month that was 12 months before that to which the latest index relates. </w:t>
      </w:r>
    </w:p>
    <w:p w14:paraId="23B1EAC1" w14:textId="720459ED" w:rsidR="000D0559" w:rsidRDefault="00F42A15" w:rsidP="00DB3A84">
      <w:pPr>
        <w:spacing w:after="160" w:line="259" w:lineRule="auto"/>
        <w:jc w:val="both"/>
        <w:rPr>
          <w:rFonts w:ascii="Georgia" w:hAnsi="Georgia"/>
        </w:rPr>
      </w:pPr>
      <w:r>
        <w:rPr>
          <w:rFonts w:ascii="Georgia" w:hAnsi="Georgia"/>
        </w:rPr>
        <w:t xml:space="preserve">8. </w:t>
      </w:r>
      <w:r w:rsidR="00374578">
        <w:rPr>
          <w:rFonts w:ascii="Georgia" w:hAnsi="Georgia"/>
        </w:rPr>
        <w:t>Until 20</w:t>
      </w:r>
      <w:r w:rsidR="002A5B3D">
        <w:rPr>
          <w:rFonts w:ascii="Georgia" w:hAnsi="Georgia"/>
        </w:rPr>
        <w:t>24, the relevant index was the Retail Prices Index (“RPI”) but from 2024 onwards it is the CPI.</w:t>
      </w:r>
    </w:p>
    <w:p w14:paraId="66FC2F58" w14:textId="1E85FD96" w:rsidR="008E2F93" w:rsidRDefault="00F42A15" w:rsidP="00DB3A84">
      <w:pPr>
        <w:spacing w:after="160" w:line="259" w:lineRule="auto"/>
        <w:jc w:val="both"/>
        <w:rPr>
          <w:rFonts w:ascii="Georgia" w:hAnsi="Georgia"/>
        </w:rPr>
      </w:pPr>
      <w:r>
        <w:rPr>
          <w:rFonts w:ascii="Georgia" w:hAnsi="Georgia"/>
        </w:rPr>
        <w:t xml:space="preserve">9. </w:t>
      </w:r>
      <w:r w:rsidR="000552AE">
        <w:rPr>
          <w:rFonts w:ascii="Georgia" w:hAnsi="Georgia"/>
        </w:rPr>
        <w:t xml:space="preserve">When determining the amount of the new pitch fee, the Tribunal must have regard to </w:t>
      </w:r>
      <w:r w:rsidR="006205CD">
        <w:rPr>
          <w:rFonts w:ascii="Georgia" w:hAnsi="Georgia"/>
        </w:rPr>
        <w:t>the matters set out in paragraph 1</w:t>
      </w:r>
      <w:r w:rsidR="00E13BDD">
        <w:rPr>
          <w:rFonts w:ascii="Georgia" w:hAnsi="Georgia"/>
        </w:rPr>
        <w:t>8 of the Schedule</w:t>
      </w:r>
      <w:r w:rsidR="00557CE1">
        <w:rPr>
          <w:rFonts w:ascii="Georgia" w:hAnsi="Georgia"/>
        </w:rPr>
        <w:t xml:space="preserve"> which primarily relate to improvements to the site </w:t>
      </w:r>
      <w:r w:rsidR="009B1A93">
        <w:rPr>
          <w:rFonts w:ascii="Georgia" w:hAnsi="Georgia"/>
        </w:rPr>
        <w:t xml:space="preserve"> or deterioration in the site or </w:t>
      </w:r>
      <w:r w:rsidR="00F83DEA">
        <w:rPr>
          <w:rFonts w:ascii="Georgia" w:hAnsi="Georgia"/>
        </w:rPr>
        <w:t xml:space="preserve">reduction in the services that the owner supplies to the site. </w:t>
      </w:r>
    </w:p>
    <w:p w14:paraId="2BCCBAC2" w14:textId="7D69CE36" w:rsidR="000D0559" w:rsidRDefault="00F42A15" w:rsidP="00DB3A84">
      <w:pPr>
        <w:spacing w:after="160" w:line="259" w:lineRule="auto"/>
        <w:jc w:val="both"/>
        <w:rPr>
          <w:rFonts w:ascii="Georgia" w:hAnsi="Georgia"/>
        </w:rPr>
      </w:pPr>
      <w:r>
        <w:rPr>
          <w:rFonts w:ascii="Georgia" w:hAnsi="Georgia"/>
        </w:rPr>
        <w:t xml:space="preserve">10. </w:t>
      </w:r>
      <w:r w:rsidR="00C67A76">
        <w:rPr>
          <w:rFonts w:ascii="Georgia" w:hAnsi="Georgia"/>
        </w:rPr>
        <w:t xml:space="preserve">The Tribunal makes further reference to paragraphs 18 and 20 </w:t>
      </w:r>
      <w:r>
        <w:rPr>
          <w:rFonts w:ascii="Georgia" w:hAnsi="Georgia"/>
        </w:rPr>
        <w:t xml:space="preserve">of that Schedule </w:t>
      </w:r>
      <w:r w:rsidR="00C67A76">
        <w:rPr>
          <w:rFonts w:ascii="Georgia" w:hAnsi="Georgia"/>
        </w:rPr>
        <w:t>below</w:t>
      </w:r>
      <w:r w:rsidR="008E2F93">
        <w:rPr>
          <w:rFonts w:ascii="Georgia" w:hAnsi="Georgia"/>
        </w:rPr>
        <w:t xml:space="preserve"> in the context of the submissions of the parties</w:t>
      </w:r>
      <w:r w:rsidR="0008494A">
        <w:rPr>
          <w:rFonts w:ascii="Georgia" w:hAnsi="Georgia"/>
        </w:rPr>
        <w:t>.</w:t>
      </w:r>
    </w:p>
    <w:p w14:paraId="73CB62A4" w14:textId="77777777" w:rsidR="0008494A" w:rsidRDefault="0008494A" w:rsidP="00DB3A84">
      <w:pPr>
        <w:spacing w:after="160" w:line="259" w:lineRule="auto"/>
        <w:jc w:val="both"/>
        <w:rPr>
          <w:rFonts w:ascii="Georgia" w:hAnsi="Georgia"/>
        </w:rPr>
      </w:pPr>
    </w:p>
    <w:p w14:paraId="6C6CE8A0" w14:textId="05A9176F" w:rsidR="002D2497" w:rsidRDefault="00C67A76" w:rsidP="00DB3A84">
      <w:pPr>
        <w:spacing w:after="160" w:line="259" w:lineRule="auto"/>
        <w:jc w:val="both"/>
        <w:rPr>
          <w:rFonts w:ascii="Georgia" w:hAnsi="Georgia"/>
        </w:rPr>
      </w:pPr>
      <w:r>
        <w:rPr>
          <w:rFonts w:ascii="Georgia" w:hAnsi="Georgia"/>
          <w:b/>
          <w:bCs/>
        </w:rPr>
        <w:t xml:space="preserve">The </w:t>
      </w:r>
      <w:r w:rsidR="000D0559" w:rsidRPr="002D2497">
        <w:rPr>
          <w:rFonts w:ascii="Georgia" w:hAnsi="Georgia"/>
          <w:b/>
          <w:bCs/>
        </w:rPr>
        <w:t>Applicant</w:t>
      </w:r>
      <w:r w:rsidR="000D0559">
        <w:rPr>
          <w:rFonts w:ascii="Georgia" w:hAnsi="Georgia"/>
          <w:b/>
          <w:bCs/>
        </w:rPr>
        <w:t>’</w:t>
      </w:r>
      <w:r w:rsidR="000D0559" w:rsidRPr="002D2497">
        <w:rPr>
          <w:rFonts w:ascii="Georgia" w:hAnsi="Georgia"/>
          <w:b/>
          <w:bCs/>
        </w:rPr>
        <w:t>s case</w:t>
      </w:r>
    </w:p>
    <w:p w14:paraId="13CAD135" w14:textId="29D02D4D" w:rsidR="007356C0" w:rsidRDefault="003E6519" w:rsidP="00DB3A84">
      <w:pPr>
        <w:spacing w:after="160" w:line="259" w:lineRule="auto"/>
        <w:jc w:val="both"/>
        <w:rPr>
          <w:rFonts w:ascii="Georgia" w:hAnsi="Georgia"/>
        </w:rPr>
      </w:pPr>
      <w:r>
        <w:rPr>
          <w:rFonts w:ascii="Georgia" w:hAnsi="Georgia"/>
        </w:rPr>
        <w:t xml:space="preserve">11. </w:t>
      </w:r>
      <w:r w:rsidR="007356C0">
        <w:rPr>
          <w:rFonts w:ascii="Georgia" w:hAnsi="Georgia"/>
        </w:rPr>
        <w:t xml:space="preserve">In presenting her client’s case, Ms </w:t>
      </w:r>
      <w:r w:rsidR="00FD6A17">
        <w:rPr>
          <w:rFonts w:ascii="Georgia" w:hAnsi="Georgia"/>
        </w:rPr>
        <w:t>O</w:t>
      </w:r>
      <w:r w:rsidR="007356C0">
        <w:rPr>
          <w:rFonts w:ascii="Georgia" w:hAnsi="Georgia"/>
        </w:rPr>
        <w:t xml:space="preserve">stler </w:t>
      </w:r>
      <w:r w:rsidR="000E3A33">
        <w:rPr>
          <w:rFonts w:ascii="Georgia" w:hAnsi="Georgia"/>
        </w:rPr>
        <w:t xml:space="preserve">began by </w:t>
      </w:r>
      <w:r w:rsidR="007356C0">
        <w:rPr>
          <w:rFonts w:ascii="Georgia" w:hAnsi="Georgia"/>
        </w:rPr>
        <w:t>ma</w:t>
      </w:r>
      <w:r w:rsidR="000E3A33">
        <w:rPr>
          <w:rFonts w:ascii="Georgia" w:hAnsi="Georgia"/>
        </w:rPr>
        <w:t>king</w:t>
      </w:r>
      <w:r w:rsidR="007356C0">
        <w:rPr>
          <w:rFonts w:ascii="Georgia" w:hAnsi="Georgia"/>
        </w:rPr>
        <w:t xml:space="preserve"> </w:t>
      </w:r>
      <w:r w:rsidR="002B2292">
        <w:rPr>
          <w:rFonts w:ascii="Georgia" w:hAnsi="Georgia"/>
        </w:rPr>
        <w:t>refe</w:t>
      </w:r>
      <w:r w:rsidR="000E3A33">
        <w:rPr>
          <w:rFonts w:ascii="Georgia" w:hAnsi="Georgia"/>
        </w:rPr>
        <w:t>re</w:t>
      </w:r>
      <w:r w:rsidR="002B2292">
        <w:rPr>
          <w:rFonts w:ascii="Georgia" w:hAnsi="Georgia"/>
        </w:rPr>
        <w:t xml:space="preserve">nce to </w:t>
      </w:r>
      <w:r w:rsidR="007356C0">
        <w:rPr>
          <w:rFonts w:ascii="Georgia" w:hAnsi="Georgia"/>
        </w:rPr>
        <w:t xml:space="preserve">three </w:t>
      </w:r>
      <w:r w:rsidR="000E3A33">
        <w:rPr>
          <w:rFonts w:ascii="Georgia" w:hAnsi="Georgia"/>
        </w:rPr>
        <w:t>re</w:t>
      </w:r>
      <w:r w:rsidR="00410967">
        <w:rPr>
          <w:rFonts w:ascii="Georgia" w:hAnsi="Georgia"/>
        </w:rPr>
        <w:t>cent decisions of the Upper Tribunal relating to pitch fees</w:t>
      </w:r>
      <w:r w:rsidR="00FD6A17">
        <w:rPr>
          <w:rFonts w:ascii="Georgia" w:hAnsi="Georgia"/>
        </w:rPr>
        <w:t>.</w:t>
      </w:r>
    </w:p>
    <w:p w14:paraId="3751D595" w14:textId="4113DD16" w:rsidR="0008494A" w:rsidRDefault="00594F8A" w:rsidP="00594F8A">
      <w:pPr>
        <w:pStyle w:val="ListParagraph"/>
        <w:numPr>
          <w:ilvl w:val="0"/>
          <w:numId w:val="1"/>
        </w:numPr>
        <w:jc w:val="both"/>
        <w:rPr>
          <w:rFonts w:ascii="Georgia" w:hAnsi="Georgia"/>
          <w:sz w:val="24"/>
          <w:szCs w:val="24"/>
        </w:rPr>
      </w:pPr>
      <w:r w:rsidRPr="0083447D">
        <w:rPr>
          <w:rFonts w:ascii="Georgia" w:hAnsi="Georgia"/>
          <w:sz w:val="24"/>
          <w:szCs w:val="24"/>
        </w:rPr>
        <w:t>When a pitch fee is initially agreed between a site owner</w:t>
      </w:r>
      <w:r w:rsidR="0083447D" w:rsidRPr="0083447D">
        <w:rPr>
          <w:rFonts w:ascii="Georgia" w:hAnsi="Georgia"/>
          <w:sz w:val="24"/>
          <w:szCs w:val="24"/>
        </w:rPr>
        <w:t xml:space="preserve"> and </w:t>
      </w:r>
      <w:r w:rsidR="0083447D">
        <w:rPr>
          <w:rFonts w:ascii="Georgia" w:hAnsi="Georgia"/>
          <w:sz w:val="24"/>
          <w:szCs w:val="24"/>
        </w:rPr>
        <w:t>a</w:t>
      </w:r>
      <w:r w:rsidR="00606173">
        <w:rPr>
          <w:rFonts w:ascii="Georgia" w:hAnsi="Georgia"/>
          <w:sz w:val="24"/>
          <w:szCs w:val="24"/>
        </w:rPr>
        <w:t xml:space="preserve"> mobile</w:t>
      </w:r>
      <w:r w:rsidR="0083447D">
        <w:rPr>
          <w:rFonts w:ascii="Georgia" w:hAnsi="Georgia"/>
          <w:sz w:val="24"/>
          <w:szCs w:val="24"/>
        </w:rPr>
        <w:t xml:space="preserve"> homeowner, </w:t>
      </w:r>
      <w:r w:rsidR="00214FF7">
        <w:rPr>
          <w:rFonts w:ascii="Georgia" w:hAnsi="Georgia"/>
          <w:sz w:val="24"/>
          <w:szCs w:val="24"/>
        </w:rPr>
        <w:t xml:space="preserve">there is no restriction on the amount originally agreed citing </w:t>
      </w:r>
      <w:r w:rsidR="00BA7E65" w:rsidRPr="0032118D">
        <w:rPr>
          <w:rFonts w:ascii="Georgia" w:hAnsi="Georgia"/>
          <w:i/>
          <w:iCs/>
          <w:sz w:val="24"/>
          <w:szCs w:val="24"/>
        </w:rPr>
        <w:t xml:space="preserve">Wildcrest Parks Management Ltd </w:t>
      </w:r>
      <w:r w:rsidR="0001348E" w:rsidRPr="0032118D">
        <w:rPr>
          <w:rFonts w:ascii="Georgia" w:hAnsi="Georgia"/>
          <w:i/>
          <w:iCs/>
          <w:sz w:val="24"/>
          <w:szCs w:val="24"/>
        </w:rPr>
        <w:t>v Whiteley</w:t>
      </w:r>
      <w:r w:rsidR="0001348E">
        <w:rPr>
          <w:rFonts w:ascii="Georgia" w:hAnsi="Georgia"/>
          <w:sz w:val="24"/>
          <w:szCs w:val="24"/>
        </w:rPr>
        <w:t xml:space="preserve"> </w:t>
      </w:r>
      <w:r w:rsidR="0083447D">
        <w:rPr>
          <w:rFonts w:ascii="Georgia" w:hAnsi="Georgia"/>
          <w:sz w:val="24"/>
          <w:szCs w:val="24"/>
        </w:rPr>
        <w:t xml:space="preserve"> </w:t>
      </w:r>
      <w:r w:rsidR="0032118D">
        <w:rPr>
          <w:rFonts w:ascii="Georgia" w:hAnsi="Georgia"/>
          <w:sz w:val="24"/>
          <w:szCs w:val="24"/>
        </w:rPr>
        <w:t xml:space="preserve">[2024] </w:t>
      </w:r>
      <w:r w:rsidR="00F64101">
        <w:rPr>
          <w:rFonts w:ascii="Georgia" w:hAnsi="Georgia"/>
          <w:sz w:val="24"/>
          <w:szCs w:val="24"/>
        </w:rPr>
        <w:t>UKUT 55, a</w:t>
      </w:r>
      <w:r w:rsidR="00752A03">
        <w:rPr>
          <w:rFonts w:ascii="Georgia" w:hAnsi="Georgia"/>
          <w:sz w:val="24"/>
          <w:szCs w:val="24"/>
        </w:rPr>
        <w:t>t</w:t>
      </w:r>
      <w:r w:rsidR="00F64101">
        <w:rPr>
          <w:rFonts w:ascii="Georgia" w:hAnsi="Georgia"/>
          <w:sz w:val="24"/>
          <w:szCs w:val="24"/>
        </w:rPr>
        <w:t xml:space="preserve"> paragraph 14.</w:t>
      </w:r>
    </w:p>
    <w:p w14:paraId="1336F078" w14:textId="0AD26543" w:rsidR="00F64101" w:rsidRDefault="00CB31CD" w:rsidP="00594F8A">
      <w:pPr>
        <w:pStyle w:val="ListParagraph"/>
        <w:numPr>
          <w:ilvl w:val="0"/>
          <w:numId w:val="1"/>
        </w:numPr>
        <w:jc w:val="both"/>
        <w:rPr>
          <w:rFonts w:ascii="Georgia" w:hAnsi="Georgia"/>
          <w:sz w:val="24"/>
          <w:szCs w:val="24"/>
        </w:rPr>
      </w:pPr>
      <w:r>
        <w:rPr>
          <w:rFonts w:ascii="Georgia" w:hAnsi="Georgia"/>
          <w:sz w:val="24"/>
          <w:szCs w:val="24"/>
        </w:rPr>
        <w:t xml:space="preserve">When an application is made to the Tribunal for determination of a new pitch fee, </w:t>
      </w:r>
      <w:r w:rsidR="00ED1A92">
        <w:rPr>
          <w:rFonts w:ascii="Georgia" w:hAnsi="Georgia"/>
          <w:sz w:val="24"/>
          <w:szCs w:val="24"/>
        </w:rPr>
        <w:t xml:space="preserve">the application is only able to consider the </w:t>
      </w:r>
      <w:r w:rsidR="004125E9">
        <w:rPr>
          <w:rFonts w:ascii="Georgia" w:hAnsi="Georgia"/>
          <w:sz w:val="24"/>
          <w:szCs w:val="24"/>
        </w:rPr>
        <w:t>statutory</w:t>
      </w:r>
      <w:r w:rsidR="00383055">
        <w:rPr>
          <w:rFonts w:ascii="Georgia" w:hAnsi="Georgia"/>
          <w:sz w:val="24"/>
          <w:szCs w:val="24"/>
        </w:rPr>
        <w:t xml:space="preserve"> factors set out in the implied terms</w:t>
      </w:r>
      <w:r w:rsidR="004125E9">
        <w:rPr>
          <w:rFonts w:ascii="Georgia" w:hAnsi="Georgia"/>
          <w:sz w:val="24"/>
          <w:szCs w:val="24"/>
        </w:rPr>
        <w:t xml:space="preserve"> in </w:t>
      </w:r>
      <w:r w:rsidR="004125E9">
        <w:rPr>
          <w:rFonts w:ascii="Georgia" w:hAnsi="Georgia"/>
        </w:rPr>
        <w:t>paragraph 18</w:t>
      </w:r>
      <w:r w:rsidR="00383055">
        <w:rPr>
          <w:rFonts w:ascii="Georgia" w:hAnsi="Georgia"/>
          <w:sz w:val="24"/>
          <w:szCs w:val="24"/>
        </w:rPr>
        <w:t xml:space="preserve">; the application does not extend to </w:t>
      </w:r>
      <w:r w:rsidR="00752A03">
        <w:rPr>
          <w:rFonts w:ascii="Georgia" w:hAnsi="Georgia"/>
          <w:sz w:val="24"/>
          <w:szCs w:val="24"/>
        </w:rPr>
        <w:t xml:space="preserve">general </w:t>
      </w:r>
      <w:r w:rsidR="00383055">
        <w:rPr>
          <w:rFonts w:ascii="Georgia" w:hAnsi="Georgia"/>
          <w:sz w:val="24"/>
          <w:szCs w:val="24"/>
        </w:rPr>
        <w:t xml:space="preserve">consideration of </w:t>
      </w:r>
      <w:r w:rsidR="00752A03">
        <w:rPr>
          <w:rFonts w:ascii="Georgia" w:hAnsi="Georgia"/>
          <w:sz w:val="24"/>
          <w:szCs w:val="24"/>
        </w:rPr>
        <w:t xml:space="preserve">the </w:t>
      </w:r>
      <w:r w:rsidR="00383055">
        <w:rPr>
          <w:rFonts w:ascii="Georgia" w:hAnsi="Georgia"/>
          <w:sz w:val="24"/>
          <w:szCs w:val="24"/>
        </w:rPr>
        <w:t>reasonablene</w:t>
      </w:r>
      <w:r w:rsidR="004125E9">
        <w:rPr>
          <w:rFonts w:ascii="Georgia" w:hAnsi="Georgia"/>
          <w:sz w:val="24"/>
          <w:szCs w:val="24"/>
        </w:rPr>
        <w:t>ss</w:t>
      </w:r>
      <w:r w:rsidR="00752A03">
        <w:rPr>
          <w:rFonts w:ascii="Georgia" w:hAnsi="Georgia"/>
          <w:sz w:val="24"/>
          <w:szCs w:val="24"/>
        </w:rPr>
        <w:t xml:space="preserve"> of the proposed fee</w:t>
      </w:r>
      <w:r w:rsidR="004125E9">
        <w:rPr>
          <w:rFonts w:ascii="Georgia" w:hAnsi="Georgia"/>
          <w:sz w:val="24"/>
          <w:szCs w:val="24"/>
        </w:rPr>
        <w:t>.</w:t>
      </w:r>
      <w:r w:rsidR="00752A03">
        <w:rPr>
          <w:rFonts w:ascii="Georgia" w:hAnsi="Georgia"/>
          <w:sz w:val="24"/>
          <w:szCs w:val="24"/>
        </w:rPr>
        <w:t xml:space="preserve"> </w:t>
      </w:r>
      <w:r w:rsidR="003255AC">
        <w:rPr>
          <w:rFonts w:ascii="Georgia" w:hAnsi="Georgia"/>
          <w:sz w:val="24"/>
          <w:szCs w:val="24"/>
        </w:rPr>
        <w:t>I</w:t>
      </w:r>
      <w:r w:rsidR="00752A03">
        <w:rPr>
          <w:rFonts w:ascii="Georgia" w:hAnsi="Georgia"/>
          <w:sz w:val="24"/>
          <w:szCs w:val="24"/>
        </w:rPr>
        <w:t xml:space="preserve">n </w:t>
      </w:r>
      <w:r w:rsidR="00B543E7">
        <w:rPr>
          <w:rFonts w:ascii="Georgia" w:hAnsi="Georgia"/>
          <w:i/>
          <w:iCs/>
          <w:sz w:val="24"/>
          <w:szCs w:val="24"/>
        </w:rPr>
        <w:t xml:space="preserve">Teignbridge District Council v Clark, </w:t>
      </w:r>
      <w:r w:rsidR="00BF606F">
        <w:rPr>
          <w:rFonts w:ascii="Georgia" w:hAnsi="Georgia"/>
          <w:sz w:val="24"/>
          <w:szCs w:val="24"/>
        </w:rPr>
        <w:t xml:space="preserve">[2024] </w:t>
      </w:r>
      <w:r w:rsidR="00D340A3">
        <w:rPr>
          <w:rFonts w:ascii="Georgia" w:hAnsi="Georgia"/>
          <w:sz w:val="24"/>
          <w:szCs w:val="24"/>
        </w:rPr>
        <w:t>UKUT 279</w:t>
      </w:r>
      <w:r w:rsidR="00DA48FA">
        <w:rPr>
          <w:rFonts w:ascii="Georgia" w:hAnsi="Georgia"/>
          <w:sz w:val="24"/>
          <w:szCs w:val="24"/>
        </w:rPr>
        <w:t xml:space="preserve">, at paragraph 12, </w:t>
      </w:r>
      <w:r w:rsidR="00BF606F">
        <w:rPr>
          <w:rFonts w:ascii="Georgia" w:hAnsi="Georgia"/>
          <w:sz w:val="24"/>
          <w:szCs w:val="24"/>
        </w:rPr>
        <w:t xml:space="preserve">Judge Cooke </w:t>
      </w:r>
      <w:r w:rsidR="007001D7">
        <w:rPr>
          <w:rFonts w:ascii="Georgia" w:hAnsi="Georgia"/>
          <w:sz w:val="24"/>
          <w:szCs w:val="24"/>
        </w:rPr>
        <w:t>said that a Tribunal cannot impose what it regards as a reasonable fee.</w:t>
      </w:r>
      <w:r w:rsidR="0051228D">
        <w:rPr>
          <w:rFonts w:ascii="Georgia" w:hAnsi="Georgia"/>
          <w:sz w:val="24"/>
          <w:szCs w:val="24"/>
        </w:rPr>
        <w:t xml:space="preserve"> It must follow the reasoning process set out in the 1983 Act.</w:t>
      </w:r>
    </w:p>
    <w:p w14:paraId="3771A945" w14:textId="3DE1D589" w:rsidR="004125E9" w:rsidRPr="0083447D" w:rsidRDefault="003255AC" w:rsidP="00594F8A">
      <w:pPr>
        <w:pStyle w:val="ListParagraph"/>
        <w:numPr>
          <w:ilvl w:val="0"/>
          <w:numId w:val="1"/>
        </w:numPr>
        <w:jc w:val="both"/>
        <w:rPr>
          <w:rFonts w:ascii="Georgia" w:hAnsi="Georgia"/>
          <w:sz w:val="24"/>
          <w:szCs w:val="24"/>
        </w:rPr>
      </w:pPr>
      <w:r>
        <w:rPr>
          <w:rFonts w:ascii="Georgia" w:hAnsi="Georgia"/>
          <w:sz w:val="24"/>
          <w:szCs w:val="24"/>
        </w:rPr>
        <w:t xml:space="preserve">The Tribunal can therefore only take into account </w:t>
      </w:r>
      <w:r w:rsidR="004959AE">
        <w:rPr>
          <w:rFonts w:ascii="Georgia" w:hAnsi="Georgia"/>
          <w:sz w:val="24"/>
          <w:szCs w:val="24"/>
        </w:rPr>
        <w:t>relevant statutory considerations</w:t>
      </w:r>
      <w:r w:rsidR="00BA7E65">
        <w:rPr>
          <w:rFonts w:ascii="Georgia" w:hAnsi="Georgia"/>
          <w:sz w:val="24"/>
          <w:szCs w:val="24"/>
        </w:rPr>
        <w:t xml:space="preserve"> </w:t>
      </w:r>
      <w:r w:rsidR="006A3C7E">
        <w:rPr>
          <w:rFonts w:ascii="Georgia" w:hAnsi="Georgia"/>
          <w:sz w:val="24"/>
          <w:szCs w:val="24"/>
        </w:rPr>
        <w:t>such as deterioration in the amenity of the site or</w:t>
      </w:r>
      <w:r w:rsidR="00BB1319">
        <w:rPr>
          <w:rFonts w:ascii="Georgia" w:hAnsi="Georgia"/>
          <w:sz w:val="24"/>
          <w:szCs w:val="24"/>
        </w:rPr>
        <w:t xml:space="preserve"> a reduction in</w:t>
      </w:r>
      <w:r w:rsidR="006A3C7E">
        <w:rPr>
          <w:rFonts w:ascii="Georgia" w:hAnsi="Georgia"/>
          <w:sz w:val="24"/>
          <w:szCs w:val="24"/>
        </w:rPr>
        <w:t xml:space="preserve"> the services </w:t>
      </w:r>
      <w:r w:rsidR="00BB1319">
        <w:rPr>
          <w:rFonts w:ascii="Georgia" w:hAnsi="Georgia"/>
          <w:sz w:val="24"/>
          <w:szCs w:val="24"/>
        </w:rPr>
        <w:t xml:space="preserve">provided </w:t>
      </w:r>
      <w:r w:rsidR="00BA7E65">
        <w:rPr>
          <w:rFonts w:ascii="Georgia" w:hAnsi="Georgia"/>
          <w:sz w:val="24"/>
          <w:szCs w:val="24"/>
        </w:rPr>
        <w:t xml:space="preserve">- </w:t>
      </w:r>
      <w:r w:rsidR="00BA7E65" w:rsidRPr="0032118D">
        <w:rPr>
          <w:rFonts w:ascii="Georgia" w:hAnsi="Georgia"/>
          <w:i/>
          <w:iCs/>
          <w:sz w:val="24"/>
          <w:szCs w:val="24"/>
        </w:rPr>
        <w:t>Wildcrest Parks Management Ltd</w:t>
      </w:r>
      <w:r w:rsidR="00BA7E65">
        <w:rPr>
          <w:rFonts w:ascii="Georgia" w:hAnsi="Georgia"/>
          <w:i/>
          <w:iCs/>
          <w:sz w:val="24"/>
          <w:szCs w:val="24"/>
        </w:rPr>
        <w:t xml:space="preserve"> v Finch </w:t>
      </w:r>
      <w:r w:rsidR="0028045E">
        <w:rPr>
          <w:rFonts w:ascii="Georgia" w:hAnsi="Georgia"/>
          <w:sz w:val="24"/>
          <w:szCs w:val="24"/>
        </w:rPr>
        <w:t xml:space="preserve">[2024] UKUT </w:t>
      </w:r>
      <w:r w:rsidR="00B06687">
        <w:rPr>
          <w:rFonts w:ascii="Georgia" w:hAnsi="Georgia"/>
          <w:sz w:val="24"/>
          <w:szCs w:val="24"/>
        </w:rPr>
        <w:t xml:space="preserve">197. </w:t>
      </w:r>
    </w:p>
    <w:p w14:paraId="7BB98BA7" w14:textId="58694312" w:rsidR="00FD6A17" w:rsidRDefault="003E6519" w:rsidP="00DB3A84">
      <w:pPr>
        <w:spacing w:after="160" w:line="259" w:lineRule="auto"/>
        <w:jc w:val="both"/>
        <w:rPr>
          <w:rFonts w:ascii="Georgia" w:hAnsi="Georgia"/>
        </w:rPr>
      </w:pPr>
      <w:r>
        <w:rPr>
          <w:rFonts w:ascii="Georgia" w:hAnsi="Georgia"/>
        </w:rPr>
        <w:t xml:space="preserve">12. </w:t>
      </w:r>
      <w:r w:rsidR="00BA4D54">
        <w:rPr>
          <w:rFonts w:ascii="Georgia" w:hAnsi="Georgia"/>
        </w:rPr>
        <w:t xml:space="preserve">These decisions – and others made by the Upper Tribunal </w:t>
      </w:r>
      <w:r w:rsidR="00F54FBF">
        <w:rPr>
          <w:rFonts w:ascii="Georgia" w:hAnsi="Georgia"/>
        </w:rPr>
        <w:t xml:space="preserve">- </w:t>
      </w:r>
      <w:r w:rsidR="00BA4D54">
        <w:rPr>
          <w:rFonts w:ascii="Georgia" w:hAnsi="Georgia"/>
        </w:rPr>
        <w:t>are binding upon us as a First</w:t>
      </w:r>
      <w:r w:rsidR="00795315">
        <w:rPr>
          <w:rFonts w:ascii="Georgia" w:hAnsi="Georgia"/>
        </w:rPr>
        <w:t>-tier Tribunal</w:t>
      </w:r>
      <w:r w:rsidR="00F54FBF">
        <w:rPr>
          <w:rFonts w:ascii="Georgia" w:hAnsi="Georgia"/>
        </w:rPr>
        <w:t xml:space="preserve">. We have no jurisdiction or discretion except that which is given to us by the </w:t>
      </w:r>
      <w:r w:rsidR="00CB20BC">
        <w:rPr>
          <w:rFonts w:ascii="Georgia" w:hAnsi="Georgia"/>
        </w:rPr>
        <w:t>1983 Act and the guidance on the meaning of the 1983 Act subsequently given by the courts and Upper Tribunal.</w:t>
      </w:r>
    </w:p>
    <w:p w14:paraId="7BE998F2" w14:textId="774EA866" w:rsidR="008412BA" w:rsidRDefault="003E6519" w:rsidP="00DB3A84">
      <w:pPr>
        <w:spacing w:after="160" w:line="259" w:lineRule="auto"/>
        <w:jc w:val="both"/>
        <w:rPr>
          <w:rFonts w:ascii="Georgia" w:hAnsi="Georgia"/>
        </w:rPr>
      </w:pPr>
      <w:r>
        <w:rPr>
          <w:rFonts w:ascii="Georgia" w:hAnsi="Georgia"/>
        </w:rPr>
        <w:t xml:space="preserve">13. </w:t>
      </w:r>
      <w:r w:rsidR="007142DD">
        <w:rPr>
          <w:rFonts w:ascii="Georgia" w:hAnsi="Georgia"/>
        </w:rPr>
        <w:t xml:space="preserve">The Applicant’s Statement of Case records </w:t>
      </w:r>
      <w:r w:rsidR="00CA59A0">
        <w:rPr>
          <w:rFonts w:ascii="Georgia" w:hAnsi="Georgia"/>
        </w:rPr>
        <w:t>the giving of the pitch fee notices, evidences the relevant increases in the CPI</w:t>
      </w:r>
      <w:r w:rsidR="007B7977">
        <w:rPr>
          <w:rFonts w:ascii="Georgia" w:hAnsi="Georgia"/>
        </w:rPr>
        <w:t xml:space="preserve"> and the Respondents’ decisions not to agree the increases proposed. </w:t>
      </w:r>
      <w:r w:rsidR="00B7423D">
        <w:rPr>
          <w:rFonts w:ascii="Georgia" w:hAnsi="Georgia"/>
        </w:rPr>
        <w:t>The Applicant also noted, as is accepted by both Respondents, that there is no challenge to the correctness of the procedural st</w:t>
      </w:r>
      <w:r w:rsidR="000456EB">
        <w:rPr>
          <w:rFonts w:ascii="Georgia" w:hAnsi="Georgia"/>
        </w:rPr>
        <w:t>e</w:t>
      </w:r>
      <w:r w:rsidR="00B7423D">
        <w:rPr>
          <w:rFonts w:ascii="Georgia" w:hAnsi="Georgia"/>
        </w:rPr>
        <w:t xml:space="preserve">ps </w:t>
      </w:r>
      <w:r w:rsidR="000456EB">
        <w:rPr>
          <w:rFonts w:ascii="Georgia" w:hAnsi="Georgia"/>
        </w:rPr>
        <w:t>taken</w:t>
      </w:r>
      <w:r w:rsidR="00475165">
        <w:rPr>
          <w:rFonts w:ascii="Georgia" w:hAnsi="Georgia"/>
        </w:rPr>
        <w:t xml:space="preserve"> </w:t>
      </w:r>
      <w:r w:rsidR="00B7423D">
        <w:rPr>
          <w:rFonts w:ascii="Georgia" w:hAnsi="Georgia"/>
        </w:rPr>
        <w:t>to propose the pitch fee increases</w:t>
      </w:r>
      <w:r w:rsidR="000456EB">
        <w:rPr>
          <w:rFonts w:ascii="Georgia" w:hAnsi="Georgia"/>
        </w:rPr>
        <w:t>.</w:t>
      </w:r>
      <w:r w:rsidR="00B7423D">
        <w:rPr>
          <w:rFonts w:ascii="Georgia" w:hAnsi="Georgia"/>
        </w:rPr>
        <w:t xml:space="preserve"> </w:t>
      </w:r>
      <w:r w:rsidR="000456EB">
        <w:rPr>
          <w:rFonts w:ascii="Georgia" w:hAnsi="Georgia"/>
        </w:rPr>
        <w:t>Similarly, the Respondents do not challenge</w:t>
      </w:r>
      <w:r w:rsidR="00984F4B" w:rsidRPr="00984F4B">
        <w:rPr>
          <w:rFonts w:ascii="Georgia" w:hAnsi="Georgia"/>
        </w:rPr>
        <w:t xml:space="preserve"> </w:t>
      </w:r>
      <w:r w:rsidR="00984F4B">
        <w:rPr>
          <w:rFonts w:ascii="Georgia" w:hAnsi="Georgia"/>
        </w:rPr>
        <w:t>the figure of 4.6% as the amount of increase in inflation over the relevant 12-month period as shown by the CPI</w:t>
      </w:r>
      <w:r w:rsidR="00911E0D">
        <w:rPr>
          <w:rFonts w:ascii="Georgia" w:hAnsi="Georgia"/>
        </w:rPr>
        <w:t>.</w:t>
      </w:r>
    </w:p>
    <w:p w14:paraId="079417EC" w14:textId="4BB71991" w:rsidR="009E1219" w:rsidRDefault="003E6519" w:rsidP="00DB3A84">
      <w:pPr>
        <w:spacing w:after="160" w:line="259" w:lineRule="auto"/>
        <w:jc w:val="both"/>
        <w:rPr>
          <w:rFonts w:ascii="Georgia" w:hAnsi="Georgia"/>
        </w:rPr>
      </w:pPr>
      <w:r>
        <w:rPr>
          <w:rFonts w:ascii="Georgia" w:hAnsi="Georgia"/>
        </w:rPr>
        <w:t xml:space="preserve">14. </w:t>
      </w:r>
      <w:r w:rsidR="00083033">
        <w:rPr>
          <w:rFonts w:ascii="Georgia" w:hAnsi="Georgia"/>
        </w:rPr>
        <w:t xml:space="preserve">In the light of the above, </w:t>
      </w:r>
      <w:r w:rsidR="00BF7CCB">
        <w:rPr>
          <w:rFonts w:ascii="Georgia" w:hAnsi="Georgia"/>
        </w:rPr>
        <w:t xml:space="preserve">Ms </w:t>
      </w:r>
      <w:r w:rsidR="009E1219">
        <w:rPr>
          <w:rFonts w:ascii="Georgia" w:hAnsi="Georgia"/>
        </w:rPr>
        <w:t>O</w:t>
      </w:r>
      <w:r w:rsidR="00BF7CCB">
        <w:rPr>
          <w:rFonts w:ascii="Georgia" w:hAnsi="Georgia"/>
        </w:rPr>
        <w:t xml:space="preserve">stler submitted that the various points made in the Respondents’ cases, outlined below, were not </w:t>
      </w:r>
      <w:r w:rsidR="007D74E9">
        <w:rPr>
          <w:rFonts w:ascii="Georgia" w:hAnsi="Georgia"/>
        </w:rPr>
        <w:t>allowed as factors that the Tribunal could take into account</w:t>
      </w:r>
      <w:r w:rsidR="00916756">
        <w:rPr>
          <w:rFonts w:ascii="Georgia" w:hAnsi="Georgia"/>
        </w:rPr>
        <w:t xml:space="preserve"> in setting the amount of the pitch fee.</w:t>
      </w:r>
      <w:r w:rsidR="00407140">
        <w:rPr>
          <w:rFonts w:ascii="Georgia" w:hAnsi="Georgia"/>
        </w:rPr>
        <w:t xml:space="preserve"> </w:t>
      </w:r>
      <w:r w:rsidR="00916756">
        <w:rPr>
          <w:rFonts w:ascii="Georgia" w:hAnsi="Georgia"/>
        </w:rPr>
        <w:t>There had been some minor improvements by the site owner</w:t>
      </w:r>
      <w:r w:rsidR="00F93FA6">
        <w:rPr>
          <w:rFonts w:ascii="Georgia" w:hAnsi="Georgia"/>
        </w:rPr>
        <w:t>, namely, painting white lines for the visitor’s cars</w:t>
      </w:r>
      <w:r w:rsidR="00407140">
        <w:rPr>
          <w:rFonts w:ascii="Georgia" w:hAnsi="Georgia"/>
        </w:rPr>
        <w:t xml:space="preserve"> and</w:t>
      </w:r>
      <w:r w:rsidR="00F93FA6">
        <w:rPr>
          <w:rFonts w:ascii="Georgia" w:hAnsi="Georgia"/>
        </w:rPr>
        <w:t xml:space="preserve"> </w:t>
      </w:r>
      <w:r w:rsidR="004C2264">
        <w:rPr>
          <w:rFonts w:ascii="Georgia" w:hAnsi="Georgia"/>
        </w:rPr>
        <w:t xml:space="preserve">some railing around the </w:t>
      </w:r>
      <w:r w:rsidR="00407140">
        <w:rPr>
          <w:rFonts w:ascii="Georgia" w:hAnsi="Georgia"/>
        </w:rPr>
        <w:t>sewage</w:t>
      </w:r>
      <w:r w:rsidR="004C2264">
        <w:rPr>
          <w:rFonts w:ascii="Georgia" w:hAnsi="Georgia"/>
        </w:rPr>
        <w:t xml:space="preserve"> treatment plant </w:t>
      </w:r>
      <w:r w:rsidR="00407140">
        <w:rPr>
          <w:rFonts w:ascii="Georgia" w:hAnsi="Georgia"/>
        </w:rPr>
        <w:t>while</w:t>
      </w:r>
      <w:r w:rsidR="004C2264">
        <w:rPr>
          <w:rFonts w:ascii="Georgia" w:hAnsi="Georgia"/>
        </w:rPr>
        <w:t xml:space="preserve"> some road resurfacing</w:t>
      </w:r>
      <w:r w:rsidR="00407140">
        <w:rPr>
          <w:rFonts w:ascii="Georgia" w:hAnsi="Georgia"/>
        </w:rPr>
        <w:t xml:space="preserve"> had also been undertaken</w:t>
      </w:r>
      <w:r w:rsidR="00E256E7">
        <w:rPr>
          <w:rFonts w:ascii="Georgia" w:hAnsi="Georgia"/>
        </w:rPr>
        <w:t xml:space="preserve"> </w:t>
      </w:r>
      <w:r w:rsidR="00316F83">
        <w:rPr>
          <w:rFonts w:ascii="Georgia" w:hAnsi="Georgia"/>
        </w:rPr>
        <w:t>(</w:t>
      </w:r>
      <w:r w:rsidR="00E256E7">
        <w:rPr>
          <w:rFonts w:ascii="Georgia" w:hAnsi="Georgia"/>
        </w:rPr>
        <w:t xml:space="preserve">the </w:t>
      </w:r>
      <w:r w:rsidR="00316F83">
        <w:rPr>
          <w:rFonts w:ascii="Georgia" w:hAnsi="Georgia"/>
        </w:rPr>
        <w:t xml:space="preserve">Tribunal notes that </w:t>
      </w:r>
      <w:r w:rsidR="00E256E7">
        <w:rPr>
          <w:rFonts w:ascii="Georgia" w:hAnsi="Georgia"/>
        </w:rPr>
        <w:t xml:space="preserve">site owner was not seeking any increase to the pitch fee as a result of these </w:t>
      </w:r>
      <w:r w:rsidR="00944DFD">
        <w:rPr>
          <w:rFonts w:ascii="Georgia" w:hAnsi="Georgia"/>
        </w:rPr>
        <w:t>works</w:t>
      </w:r>
      <w:r w:rsidR="00316F83">
        <w:rPr>
          <w:rFonts w:ascii="Georgia" w:hAnsi="Georgia"/>
        </w:rPr>
        <w:t xml:space="preserve"> and they would not qualify in any event under paragraph 18 </w:t>
      </w:r>
      <w:r w:rsidR="00E17F2B">
        <w:rPr>
          <w:rFonts w:ascii="Georgia" w:hAnsi="Georgia"/>
        </w:rPr>
        <w:t>(1)(a)(i) of the 1983 Act)</w:t>
      </w:r>
      <w:r w:rsidR="00944DFD">
        <w:rPr>
          <w:rFonts w:ascii="Georgia" w:hAnsi="Georgia"/>
        </w:rPr>
        <w:t xml:space="preserve">. </w:t>
      </w:r>
      <w:r w:rsidR="00EB77AC">
        <w:rPr>
          <w:rFonts w:ascii="Georgia" w:hAnsi="Georgia"/>
        </w:rPr>
        <w:t xml:space="preserve">The Applicant therefore contended that the </w:t>
      </w:r>
      <w:r w:rsidR="003945C0">
        <w:rPr>
          <w:rFonts w:ascii="Georgia" w:hAnsi="Georgia"/>
        </w:rPr>
        <w:t xml:space="preserve">statutory presumption contained in paragraph 20 </w:t>
      </w:r>
      <w:r w:rsidR="002B37B6">
        <w:rPr>
          <w:rFonts w:ascii="Georgia" w:hAnsi="Georgia"/>
        </w:rPr>
        <w:t xml:space="preserve">(A1) of the 1983 Act applied. </w:t>
      </w:r>
      <w:r w:rsidR="007D5B9D">
        <w:rPr>
          <w:rFonts w:ascii="Georgia" w:hAnsi="Georgia"/>
        </w:rPr>
        <w:t>The Respondents</w:t>
      </w:r>
      <w:r w:rsidR="00054510">
        <w:rPr>
          <w:rFonts w:ascii="Georgia" w:hAnsi="Georgia"/>
        </w:rPr>
        <w:t>,</w:t>
      </w:r>
      <w:r w:rsidR="007D5B9D">
        <w:rPr>
          <w:rFonts w:ascii="Georgia" w:hAnsi="Georgia"/>
        </w:rPr>
        <w:t xml:space="preserve"> </w:t>
      </w:r>
      <w:r w:rsidR="00DA490C">
        <w:rPr>
          <w:rFonts w:ascii="Georgia" w:hAnsi="Georgia"/>
        </w:rPr>
        <w:t>it was submitted</w:t>
      </w:r>
      <w:r w:rsidR="00054510">
        <w:rPr>
          <w:rFonts w:ascii="Georgia" w:hAnsi="Georgia"/>
        </w:rPr>
        <w:t>,</w:t>
      </w:r>
      <w:r w:rsidR="00DA490C">
        <w:rPr>
          <w:rFonts w:ascii="Georgia" w:hAnsi="Georgia"/>
        </w:rPr>
        <w:t xml:space="preserve"> </w:t>
      </w:r>
      <w:r w:rsidR="007D5B9D">
        <w:rPr>
          <w:rFonts w:ascii="Georgia" w:hAnsi="Georgia"/>
        </w:rPr>
        <w:t xml:space="preserve">had not made out any case that there was either a deterioration </w:t>
      </w:r>
      <w:r w:rsidR="0072234D">
        <w:rPr>
          <w:rFonts w:ascii="Georgia" w:hAnsi="Georgia"/>
        </w:rPr>
        <w:t>in the condition</w:t>
      </w:r>
      <w:r w:rsidR="002562F5">
        <w:rPr>
          <w:rFonts w:ascii="Georgia" w:hAnsi="Georgia"/>
        </w:rPr>
        <w:t>,</w:t>
      </w:r>
      <w:r w:rsidR="0072234D">
        <w:rPr>
          <w:rFonts w:ascii="Georgia" w:hAnsi="Georgia"/>
        </w:rPr>
        <w:t xml:space="preserve"> or decrease in the amenity</w:t>
      </w:r>
      <w:r w:rsidR="002562F5">
        <w:rPr>
          <w:rFonts w:ascii="Georgia" w:hAnsi="Georgia"/>
        </w:rPr>
        <w:t>,</w:t>
      </w:r>
      <w:r w:rsidR="0072234D">
        <w:rPr>
          <w:rFonts w:ascii="Georgia" w:hAnsi="Georgia"/>
        </w:rPr>
        <w:t xml:space="preserve"> of the site within </w:t>
      </w:r>
      <w:r w:rsidR="006171A5">
        <w:rPr>
          <w:rFonts w:ascii="Georgia" w:hAnsi="Georgia"/>
        </w:rPr>
        <w:t>paragraph 18(1)(aa) nor had there been</w:t>
      </w:r>
      <w:r w:rsidR="00F61CE8" w:rsidRPr="00F61CE8">
        <w:rPr>
          <w:rFonts w:ascii="Georgia" w:hAnsi="Georgia"/>
        </w:rPr>
        <w:t xml:space="preserve"> </w:t>
      </w:r>
      <w:r w:rsidR="00F61CE8">
        <w:rPr>
          <w:rFonts w:ascii="Georgia" w:hAnsi="Georgia"/>
        </w:rPr>
        <w:t>any reduction in the services that the owner applies to the site or deterioration in the quality of those services within paragraph 18(1)(ab) of the Act</w:t>
      </w:r>
      <w:r w:rsidR="0027046B">
        <w:rPr>
          <w:rFonts w:ascii="Georgia" w:hAnsi="Georgia"/>
        </w:rPr>
        <w:t xml:space="preserve">. </w:t>
      </w:r>
      <w:r w:rsidR="006F1DAC">
        <w:rPr>
          <w:rFonts w:ascii="Georgia" w:hAnsi="Georgia"/>
        </w:rPr>
        <w:t xml:space="preserve"> </w:t>
      </w:r>
    </w:p>
    <w:p w14:paraId="33A51F56" w14:textId="117E6F02" w:rsidR="003909C9" w:rsidRPr="0064452E" w:rsidRDefault="0064452E" w:rsidP="00DB3A84">
      <w:pPr>
        <w:spacing w:after="160" w:line="259" w:lineRule="auto"/>
        <w:jc w:val="both"/>
        <w:rPr>
          <w:rFonts w:ascii="Georgia" w:hAnsi="Georgia"/>
          <w:b/>
          <w:bCs/>
        </w:rPr>
      </w:pPr>
      <w:r>
        <w:rPr>
          <w:rFonts w:ascii="Georgia" w:hAnsi="Georgia"/>
          <w:b/>
          <w:bCs/>
        </w:rPr>
        <w:lastRenderedPageBreak/>
        <w:t>The Respondents’ cases</w:t>
      </w:r>
    </w:p>
    <w:p w14:paraId="3011BB5E" w14:textId="3DA034F3" w:rsidR="0064452E" w:rsidRDefault="003E6519" w:rsidP="00DB3A84">
      <w:pPr>
        <w:spacing w:after="160" w:line="259" w:lineRule="auto"/>
        <w:jc w:val="both"/>
        <w:rPr>
          <w:rFonts w:ascii="Georgia" w:hAnsi="Georgia"/>
        </w:rPr>
      </w:pPr>
      <w:r>
        <w:rPr>
          <w:rFonts w:ascii="Georgia" w:hAnsi="Georgia"/>
        </w:rPr>
        <w:t xml:space="preserve">15. </w:t>
      </w:r>
      <w:r w:rsidR="0064452E">
        <w:rPr>
          <w:rFonts w:ascii="Georgia" w:hAnsi="Georgia"/>
        </w:rPr>
        <w:t xml:space="preserve">Each </w:t>
      </w:r>
      <w:r w:rsidR="002562F5">
        <w:rPr>
          <w:rFonts w:ascii="Georgia" w:hAnsi="Georgia"/>
        </w:rPr>
        <w:t>R</w:t>
      </w:r>
      <w:r w:rsidR="0064452E">
        <w:rPr>
          <w:rFonts w:ascii="Georgia" w:hAnsi="Georgia"/>
        </w:rPr>
        <w:t xml:space="preserve">espondent submitted quite detailed </w:t>
      </w:r>
      <w:r w:rsidR="00EC7FD5">
        <w:rPr>
          <w:rFonts w:ascii="Georgia" w:hAnsi="Georgia"/>
        </w:rPr>
        <w:t xml:space="preserve">documentation setting out the reasons that they opposed the pitch increases. </w:t>
      </w:r>
      <w:r w:rsidR="004423B5">
        <w:rPr>
          <w:rFonts w:ascii="Georgia" w:hAnsi="Georgia"/>
        </w:rPr>
        <w:t>Their submissions, both in writin</w:t>
      </w:r>
      <w:r w:rsidR="00E80790">
        <w:rPr>
          <w:rFonts w:ascii="Georgia" w:hAnsi="Georgia"/>
        </w:rPr>
        <w:t>g and orally at the hearing, were independent and by no means identical. But they raised many of the same points.</w:t>
      </w:r>
      <w:r w:rsidR="005E1433">
        <w:rPr>
          <w:rFonts w:ascii="Georgia" w:hAnsi="Georgia"/>
        </w:rPr>
        <w:t xml:space="preserve"> By the end of the hearing, after </w:t>
      </w:r>
      <w:r w:rsidR="00F21771">
        <w:rPr>
          <w:rFonts w:ascii="Georgia" w:hAnsi="Georgia"/>
        </w:rPr>
        <w:t>listen</w:t>
      </w:r>
      <w:r w:rsidR="005E1433">
        <w:rPr>
          <w:rFonts w:ascii="Georgia" w:hAnsi="Georgia"/>
        </w:rPr>
        <w:t xml:space="preserve">ing </w:t>
      </w:r>
      <w:r w:rsidR="007B00D2">
        <w:rPr>
          <w:rFonts w:ascii="Georgia" w:hAnsi="Georgia"/>
        </w:rPr>
        <w:t xml:space="preserve">to </w:t>
      </w:r>
      <w:r w:rsidR="005E1433">
        <w:rPr>
          <w:rFonts w:ascii="Georgia" w:hAnsi="Georgia"/>
        </w:rPr>
        <w:t>the Applicant’s argument and having the benefit of explanation by the Tribunal of the limits of the jurisdiction</w:t>
      </w:r>
      <w:r w:rsidR="0018662A">
        <w:rPr>
          <w:rFonts w:ascii="Georgia" w:hAnsi="Georgia"/>
        </w:rPr>
        <w:t xml:space="preserve">, both Respondents reluctantly accepted that many of their </w:t>
      </w:r>
      <w:r w:rsidR="00FE6DB5">
        <w:rPr>
          <w:rFonts w:ascii="Georgia" w:hAnsi="Georgia"/>
        </w:rPr>
        <w:t>grounds</w:t>
      </w:r>
      <w:r w:rsidR="007B00D2">
        <w:rPr>
          <w:rFonts w:ascii="Georgia" w:hAnsi="Georgia"/>
        </w:rPr>
        <w:t xml:space="preserve"> </w:t>
      </w:r>
      <w:r w:rsidR="00F80918">
        <w:rPr>
          <w:rFonts w:ascii="Georgia" w:hAnsi="Georgia"/>
        </w:rPr>
        <w:t xml:space="preserve">set out </w:t>
      </w:r>
      <w:r w:rsidR="007B00D2">
        <w:rPr>
          <w:rFonts w:ascii="Georgia" w:hAnsi="Georgia"/>
        </w:rPr>
        <w:t>for</w:t>
      </w:r>
      <w:r w:rsidR="00F21771">
        <w:rPr>
          <w:rFonts w:ascii="Georgia" w:hAnsi="Georgia"/>
        </w:rPr>
        <w:t xml:space="preserve"> opposing a pitch fee increase</w:t>
      </w:r>
      <w:r w:rsidR="00DD5C5B">
        <w:rPr>
          <w:rFonts w:ascii="Georgia" w:hAnsi="Georgia"/>
        </w:rPr>
        <w:t>, however strongly fel</w:t>
      </w:r>
      <w:r w:rsidR="00FE6DB5">
        <w:rPr>
          <w:rFonts w:ascii="Georgia" w:hAnsi="Georgia"/>
        </w:rPr>
        <w:t>t</w:t>
      </w:r>
      <w:r w:rsidR="00DD5C5B">
        <w:rPr>
          <w:rFonts w:ascii="Georgia" w:hAnsi="Georgia"/>
        </w:rPr>
        <w:t xml:space="preserve"> or even in some cases</w:t>
      </w:r>
      <w:r w:rsidR="00FE6DB5">
        <w:rPr>
          <w:rFonts w:ascii="Georgia" w:hAnsi="Georgia"/>
        </w:rPr>
        <w:t xml:space="preserve"> perhaps reasonable, were not </w:t>
      </w:r>
      <w:r w:rsidR="00D10A7F">
        <w:rPr>
          <w:rFonts w:ascii="Georgia" w:hAnsi="Georgia"/>
        </w:rPr>
        <w:t>allowed by the 1983 Act</w:t>
      </w:r>
      <w:r w:rsidR="00F80918">
        <w:rPr>
          <w:rFonts w:ascii="Georgia" w:hAnsi="Georgia"/>
        </w:rPr>
        <w:t xml:space="preserve"> to be used to oppose pitch increases.</w:t>
      </w:r>
    </w:p>
    <w:p w14:paraId="6CC8A934" w14:textId="5F0F97CC" w:rsidR="002367A1" w:rsidRPr="00444D37" w:rsidRDefault="003E6519" w:rsidP="00DB3A84">
      <w:pPr>
        <w:spacing w:after="160" w:line="259" w:lineRule="auto"/>
        <w:jc w:val="both"/>
        <w:rPr>
          <w:rFonts w:ascii="Georgia" w:hAnsi="Georgia"/>
        </w:rPr>
      </w:pPr>
      <w:r>
        <w:rPr>
          <w:rFonts w:ascii="Georgia" w:hAnsi="Georgia"/>
        </w:rPr>
        <w:t xml:space="preserve">16. </w:t>
      </w:r>
      <w:r w:rsidR="00D135D2">
        <w:rPr>
          <w:rFonts w:ascii="Georgia" w:hAnsi="Georgia"/>
        </w:rPr>
        <w:t xml:space="preserve">In brief, the issues </w:t>
      </w:r>
      <w:r w:rsidR="00054510">
        <w:rPr>
          <w:rFonts w:ascii="Georgia" w:hAnsi="Georgia"/>
        </w:rPr>
        <w:t xml:space="preserve">raised by the Respondents </w:t>
      </w:r>
      <w:r w:rsidR="00D135D2">
        <w:rPr>
          <w:rFonts w:ascii="Georgia" w:hAnsi="Georgia"/>
        </w:rPr>
        <w:t xml:space="preserve">that the Tribunal is not allowed to consider in making its decision include </w:t>
      </w:r>
      <w:r w:rsidR="00D135D2" w:rsidRPr="00444D37">
        <w:rPr>
          <w:rFonts w:ascii="Georgia" w:hAnsi="Georgia"/>
        </w:rPr>
        <w:t>the following:</w:t>
      </w:r>
    </w:p>
    <w:p w14:paraId="6081446D" w14:textId="4749E025" w:rsidR="00D135D2" w:rsidRPr="00444D37" w:rsidRDefault="00444D37" w:rsidP="00580DE9">
      <w:pPr>
        <w:pStyle w:val="ListParagraph"/>
        <w:numPr>
          <w:ilvl w:val="0"/>
          <w:numId w:val="2"/>
        </w:numPr>
        <w:jc w:val="both"/>
        <w:rPr>
          <w:rFonts w:ascii="Georgia" w:hAnsi="Georgia"/>
          <w:sz w:val="24"/>
          <w:szCs w:val="24"/>
        </w:rPr>
      </w:pPr>
      <w:r w:rsidRPr="00444D37">
        <w:rPr>
          <w:rFonts w:ascii="Georgia" w:hAnsi="Georgia"/>
          <w:sz w:val="24"/>
          <w:szCs w:val="24"/>
        </w:rPr>
        <w:t>The level of pitch fees</w:t>
      </w:r>
      <w:r w:rsidR="00CF0337">
        <w:rPr>
          <w:rFonts w:ascii="Georgia" w:hAnsi="Georgia"/>
          <w:sz w:val="24"/>
          <w:szCs w:val="24"/>
        </w:rPr>
        <w:t xml:space="preserve">, or the </w:t>
      </w:r>
      <w:r w:rsidR="00B95872">
        <w:rPr>
          <w:rFonts w:ascii="Georgia" w:hAnsi="Georgia"/>
          <w:sz w:val="24"/>
          <w:szCs w:val="24"/>
        </w:rPr>
        <w:t>nature</w:t>
      </w:r>
      <w:r w:rsidR="00CF0337">
        <w:rPr>
          <w:rFonts w:ascii="Georgia" w:hAnsi="Georgia"/>
          <w:sz w:val="24"/>
          <w:szCs w:val="24"/>
        </w:rPr>
        <w:t xml:space="preserve"> of communal facilities</w:t>
      </w:r>
      <w:r w:rsidR="00807C8F">
        <w:rPr>
          <w:rFonts w:ascii="Georgia" w:hAnsi="Georgia"/>
          <w:sz w:val="24"/>
          <w:szCs w:val="24"/>
        </w:rPr>
        <w:t>,</w:t>
      </w:r>
      <w:r w:rsidRPr="00444D37">
        <w:rPr>
          <w:rFonts w:ascii="Georgia" w:hAnsi="Georgia"/>
          <w:sz w:val="24"/>
          <w:szCs w:val="24"/>
        </w:rPr>
        <w:t xml:space="preserve"> compared to other sites.</w:t>
      </w:r>
    </w:p>
    <w:p w14:paraId="1A3B0A5E" w14:textId="4712AF30" w:rsidR="00444D37" w:rsidRDefault="00B95872" w:rsidP="00580DE9">
      <w:pPr>
        <w:pStyle w:val="ListParagraph"/>
        <w:numPr>
          <w:ilvl w:val="0"/>
          <w:numId w:val="2"/>
        </w:numPr>
        <w:jc w:val="both"/>
        <w:rPr>
          <w:rFonts w:ascii="Georgia" w:hAnsi="Georgia"/>
          <w:sz w:val="24"/>
          <w:szCs w:val="24"/>
        </w:rPr>
      </w:pPr>
      <w:r>
        <w:rPr>
          <w:rFonts w:ascii="Georgia" w:hAnsi="Georgia"/>
          <w:sz w:val="24"/>
          <w:szCs w:val="24"/>
        </w:rPr>
        <w:t xml:space="preserve">The fact that the </w:t>
      </w:r>
      <w:r w:rsidR="00315114">
        <w:rPr>
          <w:rFonts w:ascii="Georgia" w:hAnsi="Georgia"/>
          <w:sz w:val="24"/>
          <w:szCs w:val="24"/>
        </w:rPr>
        <w:t xml:space="preserve">nature of the site has required little expenditure since the </w:t>
      </w:r>
      <w:r w:rsidR="00FC173A">
        <w:rPr>
          <w:rFonts w:ascii="Georgia" w:hAnsi="Georgia"/>
          <w:sz w:val="24"/>
          <w:szCs w:val="24"/>
        </w:rPr>
        <w:t>redevelopment.</w:t>
      </w:r>
    </w:p>
    <w:p w14:paraId="47487C21" w14:textId="22782663" w:rsidR="000C023E" w:rsidRDefault="000C023E" w:rsidP="00580DE9">
      <w:pPr>
        <w:pStyle w:val="ListParagraph"/>
        <w:numPr>
          <w:ilvl w:val="0"/>
          <w:numId w:val="2"/>
        </w:numPr>
        <w:jc w:val="both"/>
        <w:rPr>
          <w:rFonts w:ascii="Georgia" w:hAnsi="Georgia"/>
          <w:sz w:val="24"/>
          <w:szCs w:val="24"/>
        </w:rPr>
      </w:pPr>
      <w:r>
        <w:rPr>
          <w:rFonts w:ascii="Georgia" w:hAnsi="Georgia"/>
          <w:sz w:val="24"/>
          <w:szCs w:val="24"/>
        </w:rPr>
        <w:t>The compact nature of the park with no communal facilities</w:t>
      </w:r>
      <w:r w:rsidR="00237E6D">
        <w:rPr>
          <w:rFonts w:ascii="Georgia" w:hAnsi="Georgia"/>
          <w:sz w:val="24"/>
          <w:szCs w:val="24"/>
        </w:rPr>
        <w:t xml:space="preserve"> or green space.</w:t>
      </w:r>
    </w:p>
    <w:p w14:paraId="1319AFE7" w14:textId="75E28C01" w:rsidR="00FC173A" w:rsidRDefault="00FC173A" w:rsidP="00580DE9">
      <w:pPr>
        <w:pStyle w:val="ListParagraph"/>
        <w:numPr>
          <w:ilvl w:val="0"/>
          <w:numId w:val="2"/>
        </w:numPr>
        <w:jc w:val="both"/>
        <w:rPr>
          <w:rFonts w:ascii="Georgia" w:hAnsi="Georgia"/>
          <w:sz w:val="24"/>
          <w:szCs w:val="24"/>
        </w:rPr>
      </w:pPr>
      <w:r>
        <w:rPr>
          <w:rFonts w:ascii="Georgia" w:hAnsi="Georgia"/>
          <w:sz w:val="24"/>
          <w:szCs w:val="24"/>
        </w:rPr>
        <w:t>The fact that the pre</w:t>
      </w:r>
      <w:r w:rsidR="00721A4B">
        <w:rPr>
          <w:rFonts w:ascii="Georgia" w:hAnsi="Georgia"/>
          <w:sz w:val="24"/>
          <w:szCs w:val="24"/>
        </w:rPr>
        <w:t>v</w:t>
      </w:r>
      <w:r>
        <w:rPr>
          <w:rFonts w:ascii="Georgia" w:hAnsi="Georgia"/>
          <w:sz w:val="24"/>
          <w:szCs w:val="24"/>
        </w:rPr>
        <w:t xml:space="preserve">ious owner was more amenable and responsive </w:t>
      </w:r>
      <w:r w:rsidR="00EA2A16">
        <w:rPr>
          <w:rFonts w:ascii="Georgia" w:hAnsi="Georgia"/>
          <w:sz w:val="24"/>
          <w:szCs w:val="24"/>
        </w:rPr>
        <w:t>to site residents or the fact that there has been unpleasantness with the current site owner</w:t>
      </w:r>
      <w:r w:rsidR="00721A4B">
        <w:rPr>
          <w:rFonts w:ascii="Georgia" w:hAnsi="Georgia"/>
          <w:sz w:val="24"/>
          <w:szCs w:val="24"/>
        </w:rPr>
        <w:t>.</w:t>
      </w:r>
    </w:p>
    <w:p w14:paraId="7509564E" w14:textId="42958DA3" w:rsidR="00721A4B" w:rsidRDefault="00721A4B" w:rsidP="00580DE9">
      <w:pPr>
        <w:pStyle w:val="ListParagraph"/>
        <w:numPr>
          <w:ilvl w:val="0"/>
          <w:numId w:val="2"/>
        </w:numPr>
        <w:jc w:val="both"/>
        <w:rPr>
          <w:rFonts w:ascii="Georgia" w:hAnsi="Georgia"/>
          <w:sz w:val="24"/>
          <w:szCs w:val="24"/>
        </w:rPr>
      </w:pPr>
      <w:r>
        <w:rPr>
          <w:rFonts w:ascii="Georgia" w:hAnsi="Georgia"/>
          <w:sz w:val="24"/>
          <w:szCs w:val="24"/>
        </w:rPr>
        <w:t xml:space="preserve">The fact that some residents are vulnerable or, as with both Respondents, </w:t>
      </w:r>
      <w:r w:rsidR="007C09E5">
        <w:rPr>
          <w:rFonts w:ascii="Georgia" w:hAnsi="Georgia"/>
          <w:sz w:val="24"/>
          <w:szCs w:val="24"/>
        </w:rPr>
        <w:t>have a degree of disability.</w:t>
      </w:r>
    </w:p>
    <w:p w14:paraId="243606E9" w14:textId="77777777" w:rsidR="00237E6D" w:rsidRDefault="00FD40D6" w:rsidP="00237E6D">
      <w:pPr>
        <w:pStyle w:val="ListParagraph"/>
        <w:numPr>
          <w:ilvl w:val="0"/>
          <w:numId w:val="2"/>
        </w:numPr>
        <w:jc w:val="both"/>
        <w:rPr>
          <w:rFonts w:ascii="Georgia" w:hAnsi="Georgia"/>
          <w:sz w:val="24"/>
          <w:szCs w:val="24"/>
        </w:rPr>
      </w:pPr>
      <w:r>
        <w:rPr>
          <w:rFonts w:ascii="Georgia" w:hAnsi="Georgia"/>
          <w:sz w:val="24"/>
          <w:szCs w:val="24"/>
        </w:rPr>
        <w:t>The problem that arose with boilers fitted</w:t>
      </w:r>
      <w:r w:rsidR="001363F0">
        <w:rPr>
          <w:rFonts w:ascii="Georgia" w:hAnsi="Georgia"/>
          <w:sz w:val="24"/>
          <w:szCs w:val="24"/>
        </w:rPr>
        <w:t xml:space="preserve"> when the homes were sold.</w:t>
      </w:r>
    </w:p>
    <w:p w14:paraId="139C35D4" w14:textId="7FE235C7" w:rsidR="001363F0" w:rsidRDefault="001363F0" w:rsidP="00237E6D">
      <w:pPr>
        <w:pStyle w:val="ListParagraph"/>
        <w:numPr>
          <w:ilvl w:val="0"/>
          <w:numId w:val="2"/>
        </w:numPr>
        <w:jc w:val="both"/>
        <w:rPr>
          <w:rFonts w:ascii="Georgia" w:hAnsi="Georgia"/>
          <w:sz w:val="24"/>
          <w:szCs w:val="24"/>
        </w:rPr>
      </w:pPr>
      <w:r w:rsidRPr="00BF44EF">
        <w:rPr>
          <w:rFonts w:ascii="Georgia" w:hAnsi="Georgia"/>
          <w:sz w:val="24"/>
          <w:szCs w:val="24"/>
        </w:rPr>
        <w:t>The decision of the site owner to opt for the full rate of increase of 4.6%; the site owner does not have to give reasons or justification for that decision.</w:t>
      </w:r>
    </w:p>
    <w:p w14:paraId="6CD80D8C" w14:textId="2CCAAEE1" w:rsidR="00536920" w:rsidRDefault="00536920" w:rsidP="00237E6D">
      <w:pPr>
        <w:pStyle w:val="ListParagraph"/>
        <w:numPr>
          <w:ilvl w:val="0"/>
          <w:numId w:val="2"/>
        </w:numPr>
        <w:jc w:val="both"/>
        <w:rPr>
          <w:rFonts w:ascii="Georgia" w:hAnsi="Georgia"/>
          <w:sz w:val="24"/>
          <w:szCs w:val="24"/>
        </w:rPr>
      </w:pPr>
      <w:r>
        <w:rPr>
          <w:rFonts w:ascii="Georgia" w:hAnsi="Georgia"/>
          <w:sz w:val="24"/>
          <w:szCs w:val="24"/>
        </w:rPr>
        <w:t xml:space="preserve">Any </w:t>
      </w:r>
      <w:r w:rsidR="001A42F5">
        <w:rPr>
          <w:rFonts w:ascii="Georgia" w:hAnsi="Georgia"/>
          <w:sz w:val="24"/>
          <w:szCs w:val="24"/>
        </w:rPr>
        <w:t>discussion of the financial resources of the site owner.</w:t>
      </w:r>
    </w:p>
    <w:p w14:paraId="0940D587" w14:textId="22DC378E" w:rsidR="001F1510" w:rsidRDefault="001F1510" w:rsidP="00237E6D">
      <w:pPr>
        <w:pStyle w:val="ListParagraph"/>
        <w:numPr>
          <w:ilvl w:val="0"/>
          <w:numId w:val="2"/>
        </w:numPr>
        <w:jc w:val="both"/>
        <w:rPr>
          <w:rFonts w:ascii="Georgia" w:hAnsi="Georgia"/>
          <w:sz w:val="24"/>
          <w:szCs w:val="24"/>
        </w:rPr>
      </w:pPr>
      <w:r>
        <w:rPr>
          <w:rFonts w:ascii="Georgia" w:hAnsi="Georgia"/>
          <w:sz w:val="24"/>
          <w:szCs w:val="24"/>
        </w:rPr>
        <w:t xml:space="preserve">The difficulty of </w:t>
      </w:r>
      <w:r w:rsidR="00EE34D0">
        <w:rPr>
          <w:rFonts w:ascii="Georgia" w:hAnsi="Georgia"/>
          <w:sz w:val="24"/>
          <w:szCs w:val="24"/>
        </w:rPr>
        <w:t>selling</w:t>
      </w:r>
      <w:r>
        <w:rPr>
          <w:rFonts w:ascii="Georgia" w:hAnsi="Georgia"/>
          <w:sz w:val="24"/>
          <w:szCs w:val="24"/>
        </w:rPr>
        <w:t xml:space="preserve"> </w:t>
      </w:r>
      <w:r w:rsidR="00EE34D0">
        <w:rPr>
          <w:rFonts w:ascii="Georgia" w:hAnsi="Georgia"/>
          <w:sz w:val="24"/>
          <w:szCs w:val="24"/>
        </w:rPr>
        <w:t>park</w:t>
      </w:r>
      <w:r>
        <w:rPr>
          <w:rFonts w:ascii="Georgia" w:hAnsi="Georgia"/>
          <w:sz w:val="24"/>
          <w:szCs w:val="24"/>
        </w:rPr>
        <w:t xml:space="preserve"> homes on the site, especially as the site owner is </w:t>
      </w:r>
      <w:r w:rsidR="00EE34D0">
        <w:rPr>
          <w:rFonts w:ascii="Georgia" w:hAnsi="Georgia"/>
          <w:sz w:val="24"/>
          <w:szCs w:val="24"/>
        </w:rPr>
        <w:t>entitled</w:t>
      </w:r>
      <w:r>
        <w:rPr>
          <w:rFonts w:ascii="Georgia" w:hAnsi="Georgia"/>
          <w:sz w:val="24"/>
          <w:szCs w:val="24"/>
        </w:rPr>
        <w:t xml:space="preserve"> to 10%, when pitch fee</w:t>
      </w:r>
      <w:r w:rsidR="00EE34D0">
        <w:rPr>
          <w:rFonts w:ascii="Georgia" w:hAnsi="Georgia"/>
          <w:sz w:val="24"/>
          <w:szCs w:val="24"/>
        </w:rPr>
        <w:t>s are high compared to other sites.</w:t>
      </w:r>
    </w:p>
    <w:p w14:paraId="3694E0AF" w14:textId="7DE5E41D" w:rsidR="005B5CCB" w:rsidRDefault="005B5CCB" w:rsidP="00237E6D">
      <w:pPr>
        <w:pStyle w:val="ListParagraph"/>
        <w:numPr>
          <w:ilvl w:val="0"/>
          <w:numId w:val="2"/>
        </w:numPr>
        <w:jc w:val="both"/>
        <w:rPr>
          <w:rFonts w:ascii="Georgia" w:hAnsi="Georgia"/>
          <w:sz w:val="24"/>
          <w:szCs w:val="24"/>
        </w:rPr>
      </w:pPr>
      <w:r>
        <w:rPr>
          <w:rFonts w:ascii="Georgia" w:hAnsi="Georgia"/>
          <w:sz w:val="24"/>
          <w:szCs w:val="24"/>
        </w:rPr>
        <w:t xml:space="preserve">The </w:t>
      </w:r>
      <w:r w:rsidR="00D95DE9">
        <w:rPr>
          <w:rFonts w:ascii="Georgia" w:hAnsi="Georgia"/>
          <w:sz w:val="24"/>
          <w:szCs w:val="24"/>
        </w:rPr>
        <w:t>fact</w:t>
      </w:r>
      <w:r>
        <w:rPr>
          <w:rFonts w:ascii="Georgia" w:hAnsi="Georgia"/>
          <w:sz w:val="24"/>
          <w:szCs w:val="24"/>
        </w:rPr>
        <w:t xml:space="preserve"> that </w:t>
      </w:r>
      <w:r w:rsidR="00D95DE9">
        <w:rPr>
          <w:rFonts w:ascii="Georgia" w:hAnsi="Georgia"/>
          <w:sz w:val="24"/>
          <w:szCs w:val="24"/>
        </w:rPr>
        <w:t>pitch number 10 is in dispute with the site owner and the home has been empty for some time.</w:t>
      </w:r>
    </w:p>
    <w:p w14:paraId="514FC981" w14:textId="0F2208F0" w:rsidR="00737709" w:rsidRDefault="00737709" w:rsidP="00237E6D">
      <w:pPr>
        <w:pStyle w:val="ListParagraph"/>
        <w:numPr>
          <w:ilvl w:val="0"/>
          <w:numId w:val="2"/>
        </w:numPr>
        <w:jc w:val="both"/>
        <w:rPr>
          <w:rFonts w:ascii="Georgia" w:hAnsi="Georgia"/>
          <w:sz w:val="24"/>
          <w:szCs w:val="24"/>
        </w:rPr>
      </w:pPr>
      <w:r>
        <w:rPr>
          <w:rFonts w:ascii="Georgia" w:hAnsi="Georgia"/>
          <w:sz w:val="24"/>
          <w:szCs w:val="24"/>
        </w:rPr>
        <w:t>The nature of the pitches, with walls</w:t>
      </w:r>
      <w:r w:rsidR="00092CF7">
        <w:rPr>
          <w:rFonts w:ascii="Georgia" w:hAnsi="Georgia"/>
          <w:sz w:val="24"/>
          <w:szCs w:val="24"/>
        </w:rPr>
        <w:t xml:space="preserve"> and paving that require maintenance by the homeowner.</w:t>
      </w:r>
    </w:p>
    <w:p w14:paraId="19F5FBD8" w14:textId="2D0FB228" w:rsidR="00867F9E" w:rsidRDefault="003E6519" w:rsidP="00867F9E">
      <w:pPr>
        <w:jc w:val="both"/>
        <w:rPr>
          <w:rFonts w:ascii="Georgia" w:hAnsi="Georgia"/>
        </w:rPr>
      </w:pPr>
      <w:r>
        <w:rPr>
          <w:rFonts w:ascii="Georgia" w:hAnsi="Georgia"/>
        </w:rPr>
        <w:t xml:space="preserve">17. </w:t>
      </w:r>
      <w:r w:rsidR="00867F9E">
        <w:rPr>
          <w:rFonts w:ascii="Georgia" w:hAnsi="Georgia"/>
        </w:rPr>
        <w:t xml:space="preserve">Both Respondents raised the </w:t>
      </w:r>
      <w:r w:rsidR="003D0EC9">
        <w:rPr>
          <w:rFonts w:ascii="Georgia" w:hAnsi="Georgia"/>
        </w:rPr>
        <w:t xml:space="preserve">fact that inflation over the past three years has been high and the pitch fees have increased significantly. Though they </w:t>
      </w:r>
      <w:r w:rsidR="00204CDA">
        <w:rPr>
          <w:rFonts w:ascii="Georgia" w:hAnsi="Georgia"/>
        </w:rPr>
        <w:t>said that the</w:t>
      </w:r>
      <w:r w:rsidR="00B556F1">
        <w:rPr>
          <w:rFonts w:ascii="Georgia" w:hAnsi="Georgia"/>
        </w:rPr>
        <w:t>se increases</w:t>
      </w:r>
      <w:r w:rsidR="00204CDA">
        <w:rPr>
          <w:rFonts w:ascii="Georgia" w:hAnsi="Georgia"/>
        </w:rPr>
        <w:t xml:space="preserve"> had been to the maximum figure each year, in fact the previous owner chose to moderate the increases </w:t>
      </w:r>
      <w:r w:rsidR="00B556F1">
        <w:rPr>
          <w:rFonts w:ascii="Georgia" w:hAnsi="Georgia"/>
        </w:rPr>
        <w:t xml:space="preserve">on 1 </w:t>
      </w:r>
      <w:r w:rsidR="009F522B">
        <w:rPr>
          <w:rFonts w:ascii="Georgia" w:hAnsi="Georgia"/>
        </w:rPr>
        <w:t>J</w:t>
      </w:r>
      <w:r w:rsidR="00B556F1">
        <w:rPr>
          <w:rFonts w:ascii="Georgia" w:hAnsi="Georgia"/>
        </w:rPr>
        <w:t>anuary 2022 and 2023</w:t>
      </w:r>
      <w:r w:rsidR="00CD08F8">
        <w:rPr>
          <w:rFonts w:ascii="Georgia" w:hAnsi="Georgia"/>
        </w:rPr>
        <w:t xml:space="preserve"> (possibly to reflect the increases in those years as measured by the CPI rather than RPI).</w:t>
      </w:r>
      <w:r w:rsidR="00C5034D">
        <w:rPr>
          <w:rFonts w:ascii="Georgia" w:hAnsi="Georgia"/>
        </w:rPr>
        <w:t xml:space="preserve"> </w:t>
      </w:r>
      <w:r w:rsidR="00892681">
        <w:rPr>
          <w:rFonts w:ascii="Georgia" w:hAnsi="Georgia"/>
        </w:rPr>
        <w:t>O</w:t>
      </w:r>
      <w:r w:rsidR="00C5034D">
        <w:rPr>
          <w:rFonts w:ascii="Georgia" w:hAnsi="Georgia"/>
        </w:rPr>
        <w:t xml:space="preserve">n 1 </w:t>
      </w:r>
      <w:r w:rsidR="00B50085">
        <w:rPr>
          <w:rFonts w:ascii="Georgia" w:hAnsi="Georgia"/>
        </w:rPr>
        <w:t>January</w:t>
      </w:r>
      <w:r w:rsidR="00C5034D">
        <w:rPr>
          <w:rFonts w:ascii="Georgia" w:hAnsi="Georgia"/>
        </w:rPr>
        <w:t xml:space="preserve"> 2022 the pitch fee was </w:t>
      </w:r>
      <w:r w:rsidR="00B50085">
        <w:rPr>
          <w:rFonts w:ascii="Georgia" w:hAnsi="Georgia"/>
        </w:rPr>
        <w:t>increased by 5</w:t>
      </w:r>
      <w:r w:rsidR="00892681">
        <w:rPr>
          <w:rFonts w:ascii="Georgia" w:hAnsi="Georgia"/>
        </w:rPr>
        <w:t>%</w:t>
      </w:r>
      <w:r w:rsidR="00B50085">
        <w:rPr>
          <w:rFonts w:ascii="Georgia" w:hAnsi="Georgia"/>
        </w:rPr>
        <w:t>, when the RPI increase would have been to 6%. On 1 January 2023</w:t>
      </w:r>
      <w:r w:rsidR="00475AA2">
        <w:rPr>
          <w:rFonts w:ascii="Georgia" w:hAnsi="Georgia"/>
        </w:rPr>
        <w:t>, the pitch fee</w:t>
      </w:r>
      <w:r w:rsidR="00892681">
        <w:rPr>
          <w:rFonts w:ascii="Georgia" w:hAnsi="Georgia"/>
        </w:rPr>
        <w:t xml:space="preserve"> </w:t>
      </w:r>
      <w:r w:rsidR="00475AA2">
        <w:rPr>
          <w:rFonts w:ascii="Georgia" w:hAnsi="Georgia"/>
        </w:rPr>
        <w:t>was increased by 11% when t</w:t>
      </w:r>
      <w:r w:rsidR="00892681">
        <w:rPr>
          <w:rFonts w:ascii="Georgia" w:hAnsi="Georgia"/>
        </w:rPr>
        <w:t>h</w:t>
      </w:r>
      <w:r w:rsidR="00475AA2">
        <w:rPr>
          <w:rFonts w:ascii="Georgia" w:hAnsi="Georgia"/>
        </w:rPr>
        <w:t xml:space="preserve">e relevant percentage change in RPI was 14.2%. </w:t>
      </w:r>
      <w:r w:rsidR="00E173FE">
        <w:rPr>
          <w:rFonts w:ascii="Georgia" w:hAnsi="Georgia"/>
        </w:rPr>
        <w:t xml:space="preserve">Therefore, </w:t>
      </w:r>
      <w:r w:rsidR="00DE38B9">
        <w:rPr>
          <w:rFonts w:ascii="Georgia" w:hAnsi="Georgia"/>
        </w:rPr>
        <w:t xml:space="preserve">although there have been increases over three years which the Respondents </w:t>
      </w:r>
      <w:r w:rsidR="00C10143">
        <w:rPr>
          <w:rFonts w:ascii="Georgia" w:hAnsi="Georgia"/>
        </w:rPr>
        <w:t>find to be a financial challenge for the</w:t>
      </w:r>
      <w:r w:rsidR="00E173FE">
        <w:rPr>
          <w:rFonts w:ascii="Georgia" w:hAnsi="Georgia"/>
        </w:rPr>
        <w:t>m</w:t>
      </w:r>
      <w:r w:rsidR="00C10143">
        <w:rPr>
          <w:rFonts w:ascii="Georgia" w:hAnsi="Georgia"/>
        </w:rPr>
        <w:t xml:space="preserve">, </w:t>
      </w:r>
      <w:r w:rsidR="00CD08F8">
        <w:rPr>
          <w:rFonts w:ascii="Georgia" w:hAnsi="Georgia"/>
        </w:rPr>
        <w:t>the amount could have been higher still.</w:t>
      </w:r>
    </w:p>
    <w:p w14:paraId="06281C64" w14:textId="77777777" w:rsidR="00867F9E" w:rsidRPr="00867F9E" w:rsidRDefault="00867F9E" w:rsidP="00867F9E">
      <w:pPr>
        <w:jc w:val="both"/>
        <w:rPr>
          <w:rFonts w:ascii="Georgia" w:hAnsi="Georgia"/>
        </w:rPr>
      </w:pPr>
    </w:p>
    <w:p w14:paraId="4C4B2EC6" w14:textId="16820716" w:rsidR="0064452E" w:rsidRDefault="003E6519" w:rsidP="00DB3A84">
      <w:pPr>
        <w:spacing w:after="160" w:line="259" w:lineRule="auto"/>
        <w:jc w:val="both"/>
        <w:rPr>
          <w:rFonts w:ascii="Georgia" w:hAnsi="Georgia"/>
        </w:rPr>
      </w:pPr>
      <w:r>
        <w:rPr>
          <w:rFonts w:ascii="Georgia" w:hAnsi="Georgia"/>
        </w:rPr>
        <w:t xml:space="preserve">18. </w:t>
      </w:r>
      <w:r w:rsidR="00C90AF4">
        <w:rPr>
          <w:rFonts w:ascii="Georgia" w:hAnsi="Georgia"/>
        </w:rPr>
        <w:t xml:space="preserve">A few issues raised by the Respondents </w:t>
      </w:r>
      <w:r w:rsidR="00E81F4F">
        <w:rPr>
          <w:rFonts w:ascii="Georgia" w:hAnsi="Georgia"/>
        </w:rPr>
        <w:t>did give rise to careful consideration by the Tribunal. The most significant was a claim</w:t>
      </w:r>
      <w:r w:rsidR="00766179">
        <w:rPr>
          <w:rFonts w:ascii="Georgia" w:hAnsi="Georgia"/>
        </w:rPr>
        <w:t xml:space="preserve"> that the level of maintenance has been reduced</w:t>
      </w:r>
      <w:r w:rsidR="00BF4191">
        <w:rPr>
          <w:rFonts w:ascii="Georgia" w:hAnsi="Georgia"/>
        </w:rPr>
        <w:t xml:space="preserve">. While both Respondents accepted that the </w:t>
      </w:r>
      <w:r w:rsidR="002609CC">
        <w:rPr>
          <w:rFonts w:ascii="Georgia" w:hAnsi="Georgia"/>
        </w:rPr>
        <w:t>site was in a good condition overall, u</w:t>
      </w:r>
      <w:r w:rsidR="00766179">
        <w:rPr>
          <w:rFonts w:ascii="Georgia" w:hAnsi="Georgia"/>
        </w:rPr>
        <w:t xml:space="preserve">nder the previous owner, </w:t>
      </w:r>
      <w:r w:rsidR="00F614E6">
        <w:rPr>
          <w:rFonts w:ascii="Georgia" w:hAnsi="Georgia"/>
        </w:rPr>
        <w:t xml:space="preserve">a person </w:t>
      </w:r>
      <w:r w:rsidR="008B0DEB">
        <w:rPr>
          <w:rFonts w:ascii="Georgia" w:hAnsi="Georgia"/>
        </w:rPr>
        <w:t xml:space="preserve">was engaged as gardener and site </w:t>
      </w:r>
      <w:r w:rsidR="008B0DEB">
        <w:rPr>
          <w:rFonts w:ascii="Georgia" w:hAnsi="Georgia"/>
        </w:rPr>
        <w:lastRenderedPageBreak/>
        <w:t>maintenance. He re</w:t>
      </w:r>
      <w:r w:rsidR="001031F5">
        <w:rPr>
          <w:rFonts w:ascii="Georgia" w:hAnsi="Georgia"/>
        </w:rPr>
        <w:t>m</w:t>
      </w:r>
      <w:r w:rsidR="008B0DEB">
        <w:rPr>
          <w:rFonts w:ascii="Georgia" w:hAnsi="Georgia"/>
        </w:rPr>
        <w:t>oved weeds</w:t>
      </w:r>
      <w:r w:rsidR="005B6861">
        <w:rPr>
          <w:rFonts w:ascii="Georgia" w:hAnsi="Georgia"/>
        </w:rPr>
        <w:t xml:space="preserve"> </w:t>
      </w:r>
      <w:r w:rsidR="001D505F">
        <w:rPr>
          <w:rFonts w:ascii="Georgia" w:hAnsi="Georgia"/>
        </w:rPr>
        <w:t>and got the roots out</w:t>
      </w:r>
      <w:r w:rsidR="008B0DEB">
        <w:rPr>
          <w:rFonts w:ascii="Georgia" w:hAnsi="Georgia"/>
        </w:rPr>
        <w:t xml:space="preserve"> and ke</w:t>
      </w:r>
      <w:r w:rsidR="001031F5">
        <w:rPr>
          <w:rFonts w:ascii="Georgia" w:hAnsi="Georgia"/>
        </w:rPr>
        <w:t>pt</w:t>
      </w:r>
      <w:r w:rsidR="008B0DEB">
        <w:rPr>
          <w:rFonts w:ascii="Georgia" w:hAnsi="Georgia"/>
        </w:rPr>
        <w:t xml:space="preserve"> the roadway clean and also </w:t>
      </w:r>
      <w:r w:rsidR="00D84020">
        <w:rPr>
          <w:rFonts w:ascii="Georgia" w:hAnsi="Georgia"/>
        </w:rPr>
        <w:t>atten</w:t>
      </w:r>
      <w:r w:rsidR="001031F5">
        <w:rPr>
          <w:rFonts w:ascii="Georgia" w:hAnsi="Georgia"/>
        </w:rPr>
        <w:t>d</w:t>
      </w:r>
      <w:r w:rsidR="00D84020">
        <w:rPr>
          <w:rFonts w:ascii="Georgia" w:hAnsi="Georgia"/>
        </w:rPr>
        <w:t xml:space="preserve">ed to the site boundary at the top </w:t>
      </w:r>
      <w:r w:rsidR="001031F5">
        <w:rPr>
          <w:rFonts w:ascii="Georgia" w:hAnsi="Georgia"/>
        </w:rPr>
        <w:t>o</w:t>
      </w:r>
      <w:r w:rsidR="00D84020">
        <w:rPr>
          <w:rFonts w:ascii="Georgia" w:hAnsi="Georgia"/>
        </w:rPr>
        <w:t xml:space="preserve">f the site keeping ivy, bracken and weeds </w:t>
      </w:r>
      <w:r w:rsidR="001031F5">
        <w:rPr>
          <w:rFonts w:ascii="Georgia" w:hAnsi="Georgia"/>
        </w:rPr>
        <w:t xml:space="preserve">at bay. </w:t>
      </w:r>
      <w:r w:rsidR="00F85BA7">
        <w:rPr>
          <w:rFonts w:ascii="Georgia" w:hAnsi="Georgia"/>
        </w:rPr>
        <w:t>The fact that there is some growth no</w:t>
      </w:r>
      <w:r w:rsidR="005B17CE">
        <w:rPr>
          <w:rFonts w:ascii="Georgia" w:hAnsi="Georgia"/>
        </w:rPr>
        <w:t>w</w:t>
      </w:r>
      <w:r w:rsidR="00C6432D">
        <w:rPr>
          <w:rFonts w:ascii="Georgia" w:hAnsi="Georgia"/>
        </w:rPr>
        <w:t>,</w:t>
      </w:r>
      <w:r w:rsidR="005B17CE">
        <w:rPr>
          <w:rFonts w:ascii="Georgia" w:hAnsi="Georgia"/>
        </w:rPr>
        <w:t xml:space="preserve"> </w:t>
      </w:r>
      <w:r w:rsidR="00F85BA7">
        <w:rPr>
          <w:rFonts w:ascii="Georgia" w:hAnsi="Georgia"/>
        </w:rPr>
        <w:t xml:space="preserve">through the site fence and especially onto </w:t>
      </w:r>
      <w:r w:rsidR="00395238">
        <w:rPr>
          <w:rFonts w:ascii="Georgia" w:hAnsi="Georgia"/>
        </w:rPr>
        <w:t>Susan Davies</w:t>
      </w:r>
      <w:r w:rsidR="00A7284B">
        <w:rPr>
          <w:rFonts w:ascii="Georgia" w:hAnsi="Georgia"/>
        </w:rPr>
        <w:t>’</w:t>
      </w:r>
      <w:r w:rsidR="00395238">
        <w:rPr>
          <w:rFonts w:ascii="Georgia" w:hAnsi="Georgia"/>
        </w:rPr>
        <w:t xml:space="preserve"> pitch 13</w:t>
      </w:r>
      <w:r w:rsidR="00C6432D">
        <w:rPr>
          <w:rFonts w:ascii="Georgia" w:hAnsi="Georgia"/>
        </w:rPr>
        <w:t>,</w:t>
      </w:r>
      <w:r w:rsidR="00395238">
        <w:rPr>
          <w:rFonts w:ascii="Georgia" w:hAnsi="Georgia"/>
        </w:rPr>
        <w:t xml:space="preserve"> was p</w:t>
      </w:r>
      <w:r w:rsidR="002E40BD">
        <w:rPr>
          <w:rFonts w:ascii="Georgia" w:hAnsi="Georgia"/>
        </w:rPr>
        <w:t>o</w:t>
      </w:r>
      <w:r w:rsidR="00395238">
        <w:rPr>
          <w:rFonts w:ascii="Georgia" w:hAnsi="Georgia"/>
        </w:rPr>
        <w:t xml:space="preserve">inted out to the Tribunal on inspection. </w:t>
      </w:r>
      <w:r w:rsidR="005B6861">
        <w:rPr>
          <w:rFonts w:ascii="Georgia" w:hAnsi="Georgia"/>
        </w:rPr>
        <w:t xml:space="preserve">The </w:t>
      </w:r>
      <w:r w:rsidR="00C6432D">
        <w:rPr>
          <w:rFonts w:ascii="Georgia" w:hAnsi="Georgia"/>
        </w:rPr>
        <w:t>Applicant</w:t>
      </w:r>
      <w:r w:rsidR="005B6861">
        <w:rPr>
          <w:rFonts w:ascii="Georgia" w:hAnsi="Georgia"/>
        </w:rPr>
        <w:t xml:space="preserve"> owner</w:t>
      </w:r>
      <w:r w:rsidR="00B7628F">
        <w:rPr>
          <w:rFonts w:ascii="Georgia" w:hAnsi="Georgia"/>
        </w:rPr>
        <w:t>, who owns a number of sites,</w:t>
      </w:r>
      <w:r w:rsidR="005B6861">
        <w:rPr>
          <w:rFonts w:ascii="Georgia" w:hAnsi="Georgia"/>
        </w:rPr>
        <w:t xml:space="preserve"> sends </w:t>
      </w:r>
      <w:r w:rsidR="002C49D6">
        <w:rPr>
          <w:rFonts w:ascii="Georgia" w:hAnsi="Georgia"/>
        </w:rPr>
        <w:t xml:space="preserve">a person more infrequently </w:t>
      </w:r>
      <w:r w:rsidR="00B7628F">
        <w:rPr>
          <w:rFonts w:ascii="Georgia" w:hAnsi="Georgia"/>
        </w:rPr>
        <w:t xml:space="preserve">from an employed ground team </w:t>
      </w:r>
      <w:r w:rsidR="002C49D6">
        <w:rPr>
          <w:rFonts w:ascii="Georgia" w:hAnsi="Georgia"/>
        </w:rPr>
        <w:t>who sprays any weeds rather than removing them and does not do any work on the site boundary.</w:t>
      </w:r>
    </w:p>
    <w:p w14:paraId="0711D404" w14:textId="6FC74D1A" w:rsidR="00DF59C1" w:rsidRDefault="003E6519" w:rsidP="00DB3A84">
      <w:pPr>
        <w:spacing w:after="160" w:line="259" w:lineRule="auto"/>
        <w:jc w:val="both"/>
        <w:rPr>
          <w:rFonts w:ascii="Georgia" w:hAnsi="Georgia"/>
        </w:rPr>
      </w:pPr>
      <w:r>
        <w:rPr>
          <w:rFonts w:ascii="Georgia" w:hAnsi="Georgia"/>
        </w:rPr>
        <w:t xml:space="preserve">19. </w:t>
      </w:r>
      <w:r w:rsidR="00E7684E">
        <w:rPr>
          <w:rFonts w:ascii="Georgia" w:hAnsi="Georgia"/>
        </w:rPr>
        <w:t>A second issue was the claim that the request of the residents for a gritting box</w:t>
      </w:r>
      <w:r w:rsidR="00654E1C">
        <w:rPr>
          <w:rFonts w:ascii="Georgia" w:hAnsi="Georgia"/>
        </w:rPr>
        <w:t xml:space="preserve"> to assist in winter icy conditions was </w:t>
      </w:r>
      <w:r w:rsidR="00477343">
        <w:rPr>
          <w:rFonts w:ascii="Georgia" w:hAnsi="Georgia"/>
        </w:rPr>
        <w:t>dismissed</w:t>
      </w:r>
      <w:r w:rsidR="00654E1C">
        <w:rPr>
          <w:rFonts w:ascii="Georgia" w:hAnsi="Georgia"/>
        </w:rPr>
        <w:t xml:space="preserve"> by the site owner and it was </w:t>
      </w:r>
      <w:r w:rsidR="00477343">
        <w:rPr>
          <w:rFonts w:ascii="Georgia" w:hAnsi="Georgia"/>
        </w:rPr>
        <w:t>considered</w:t>
      </w:r>
      <w:r w:rsidR="00654E1C">
        <w:rPr>
          <w:rFonts w:ascii="Georgia" w:hAnsi="Georgia"/>
        </w:rPr>
        <w:t xml:space="preserve"> that</w:t>
      </w:r>
      <w:r w:rsidR="00477343">
        <w:rPr>
          <w:rFonts w:ascii="Georgia" w:hAnsi="Georgia"/>
        </w:rPr>
        <w:t xml:space="preserve"> such a provision is required for health and safety of the residents.</w:t>
      </w:r>
    </w:p>
    <w:p w14:paraId="4D740DBE" w14:textId="162F8638" w:rsidR="00DF59C1" w:rsidRDefault="003E6519" w:rsidP="00DB3A84">
      <w:pPr>
        <w:spacing w:after="160" w:line="259" w:lineRule="auto"/>
        <w:jc w:val="both"/>
        <w:rPr>
          <w:rFonts w:ascii="Georgia" w:hAnsi="Georgia"/>
        </w:rPr>
      </w:pPr>
      <w:r>
        <w:rPr>
          <w:rFonts w:ascii="Georgia" w:hAnsi="Georgia"/>
        </w:rPr>
        <w:t xml:space="preserve">20. </w:t>
      </w:r>
      <w:r w:rsidR="00DF59C1">
        <w:rPr>
          <w:rFonts w:ascii="Georgia" w:hAnsi="Georgia"/>
        </w:rPr>
        <w:t xml:space="preserve">Both Respondents were dismissive of the claim that there had been some improvements by road surfacing, white lining and </w:t>
      </w:r>
      <w:r w:rsidR="00476D95">
        <w:rPr>
          <w:rFonts w:ascii="Georgia" w:hAnsi="Georgia"/>
        </w:rPr>
        <w:t>railings around the sewage treatment plant as these were in place when they purchased.</w:t>
      </w:r>
      <w:r w:rsidR="00E275A2">
        <w:rPr>
          <w:rFonts w:ascii="Georgia" w:hAnsi="Georgia"/>
        </w:rPr>
        <w:t xml:space="preserve"> Moreover</w:t>
      </w:r>
      <w:r w:rsidR="00EB602D">
        <w:rPr>
          <w:rFonts w:ascii="Georgia" w:hAnsi="Georgia"/>
        </w:rPr>
        <w:t>,</w:t>
      </w:r>
      <w:r w:rsidR="00E275A2">
        <w:rPr>
          <w:rFonts w:ascii="Georgia" w:hAnsi="Georgia"/>
        </w:rPr>
        <w:t xml:space="preserve"> while they had the benefit of the sewage treatment plant, water charges were not included in the pitch fees.</w:t>
      </w:r>
    </w:p>
    <w:p w14:paraId="73D29F9C" w14:textId="5CB53B8F" w:rsidR="00E81F4F" w:rsidRPr="00A7284B" w:rsidRDefault="00A7284B" w:rsidP="00DB3A84">
      <w:pPr>
        <w:spacing w:after="160" w:line="259" w:lineRule="auto"/>
        <w:jc w:val="both"/>
        <w:rPr>
          <w:rFonts w:ascii="Georgia" w:hAnsi="Georgia"/>
          <w:b/>
          <w:bCs/>
        </w:rPr>
      </w:pPr>
      <w:r>
        <w:rPr>
          <w:rFonts w:ascii="Georgia" w:hAnsi="Georgia"/>
          <w:b/>
          <w:bCs/>
        </w:rPr>
        <w:t>Decision</w:t>
      </w:r>
    </w:p>
    <w:p w14:paraId="0E768D9D" w14:textId="17030C69" w:rsidR="00A7284B" w:rsidRDefault="003E6519" w:rsidP="00DB3A84">
      <w:pPr>
        <w:spacing w:after="160" w:line="259" w:lineRule="auto"/>
        <w:jc w:val="both"/>
        <w:rPr>
          <w:rFonts w:ascii="Georgia" w:hAnsi="Georgia"/>
        </w:rPr>
      </w:pPr>
      <w:r>
        <w:rPr>
          <w:rFonts w:ascii="Georgia" w:hAnsi="Georgia"/>
        </w:rPr>
        <w:t xml:space="preserve">21. </w:t>
      </w:r>
      <w:r w:rsidR="00261563">
        <w:rPr>
          <w:rFonts w:ascii="Georgia" w:hAnsi="Georgia"/>
        </w:rPr>
        <w:t xml:space="preserve">The only issue that the Tribunal has to decide prior to setting the </w:t>
      </w:r>
      <w:r w:rsidR="00DA490C">
        <w:rPr>
          <w:rFonts w:ascii="Georgia" w:hAnsi="Georgia"/>
        </w:rPr>
        <w:t>p</w:t>
      </w:r>
      <w:r w:rsidR="00261563">
        <w:rPr>
          <w:rFonts w:ascii="Georgia" w:hAnsi="Georgia"/>
        </w:rPr>
        <w:t xml:space="preserve">itch fee is whether there is </w:t>
      </w:r>
      <w:r w:rsidR="00737427">
        <w:rPr>
          <w:rFonts w:ascii="Georgia" w:hAnsi="Georgia"/>
        </w:rPr>
        <w:t xml:space="preserve">any reduction in the services that the owner applies to the site or deterioration in the quality of those services </w:t>
      </w:r>
      <w:r w:rsidR="00F61CE8">
        <w:rPr>
          <w:rFonts w:ascii="Georgia" w:hAnsi="Georgia"/>
        </w:rPr>
        <w:t>within paragraph 18(1)(ab) of the 1983 Act which might lead to a reduction in the proposed pitch fee increase.</w:t>
      </w:r>
      <w:r w:rsidR="00FD795A">
        <w:rPr>
          <w:rFonts w:ascii="Georgia" w:hAnsi="Georgia"/>
        </w:rPr>
        <w:t xml:space="preserve"> </w:t>
      </w:r>
      <w:r w:rsidR="0049499B">
        <w:rPr>
          <w:rFonts w:ascii="Georgia" w:hAnsi="Georgia"/>
        </w:rPr>
        <w:t xml:space="preserve">The only </w:t>
      </w:r>
      <w:r w:rsidR="00FD795A">
        <w:rPr>
          <w:rFonts w:ascii="Georgia" w:hAnsi="Georgia"/>
        </w:rPr>
        <w:t>basis</w:t>
      </w:r>
      <w:r w:rsidR="0049499B">
        <w:rPr>
          <w:rFonts w:ascii="Georgia" w:hAnsi="Georgia"/>
        </w:rPr>
        <w:t xml:space="preserve"> for such a finding would be that previously the the</w:t>
      </w:r>
      <w:r w:rsidR="00FD795A">
        <w:rPr>
          <w:rFonts w:ascii="Georgia" w:hAnsi="Georgia"/>
        </w:rPr>
        <w:t>n</w:t>
      </w:r>
      <w:r w:rsidR="0049499B">
        <w:rPr>
          <w:rFonts w:ascii="Georgia" w:hAnsi="Georgia"/>
        </w:rPr>
        <w:t xml:space="preserve"> </w:t>
      </w:r>
      <w:r w:rsidR="00FD795A">
        <w:rPr>
          <w:rFonts w:ascii="Georgia" w:hAnsi="Georgia"/>
        </w:rPr>
        <w:t>owner</w:t>
      </w:r>
      <w:r w:rsidR="0049499B">
        <w:rPr>
          <w:rFonts w:ascii="Georgia" w:hAnsi="Georgia"/>
        </w:rPr>
        <w:t xml:space="preserve"> employed a gardener or han</w:t>
      </w:r>
      <w:r w:rsidR="00FD795A">
        <w:rPr>
          <w:rFonts w:ascii="Georgia" w:hAnsi="Georgia"/>
        </w:rPr>
        <w:t>dym</w:t>
      </w:r>
      <w:r w:rsidR="0049499B">
        <w:rPr>
          <w:rFonts w:ascii="Georgia" w:hAnsi="Georgia"/>
        </w:rPr>
        <w:t>a</w:t>
      </w:r>
      <w:r w:rsidR="00FD795A">
        <w:rPr>
          <w:rFonts w:ascii="Georgia" w:hAnsi="Georgia"/>
        </w:rPr>
        <w:t>n</w:t>
      </w:r>
      <w:r w:rsidR="0049499B">
        <w:rPr>
          <w:rFonts w:ascii="Georgia" w:hAnsi="Georgia"/>
        </w:rPr>
        <w:t>, ref</w:t>
      </w:r>
      <w:r w:rsidR="00715A29">
        <w:rPr>
          <w:rFonts w:ascii="Georgia" w:hAnsi="Georgia"/>
        </w:rPr>
        <w:t>err</w:t>
      </w:r>
      <w:r w:rsidR="0049499B">
        <w:rPr>
          <w:rFonts w:ascii="Georgia" w:hAnsi="Georgia"/>
        </w:rPr>
        <w:t xml:space="preserve">ed to </w:t>
      </w:r>
      <w:r w:rsidR="00FD795A">
        <w:rPr>
          <w:rFonts w:ascii="Georgia" w:hAnsi="Georgia"/>
        </w:rPr>
        <w:t>at t</w:t>
      </w:r>
      <w:r w:rsidR="00715A29">
        <w:rPr>
          <w:rFonts w:ascii="Georgia" w:hAnsi="Georgia"/>
        </w:rPr>
        <w:t>he</w:t>
      </w:r>
      <w:r w:rsidR="00FD795A">
        <w:rPr>
          <w:rFonts w:ascii="Georgia" w:hAnsi="Georgia"/>
        </w:rPr>
        <w:t xml:space="preserve"> hearing as Danny, </w:t>
      </w:r>
      <w:r w:rsidR="00715A29">
        <w:rPr>
          <w:rFonts w:ascii="Georgia" w:hAnsi="Georgia"/>
        </w:rPr>
        <w:t xml:space="preserve">who provided a much better service that is now given </w:t>
      </w:r>
      <w:r w:rsidR="00945483">
        <w:rPr>
          <w:rFonts w:ascii="Georgia" w:hAnsi="Georgia"/>
        </w:rPr>
        <w:t xml:space="preserve">by the owner’s grounds team. It was said that the weeds were dealt with more efficiently </w:t>
      </w:r>
      <w:r w:rsidR="00F810EF">
        <w:rPr>
          <w:rFonts w:ascii="Georgia" w:hAnsi="Georgia"/>
        </w:rPr>
        <w:t xml:space="preserve">and in particular the top site boundary was maintained and cleared by </w:t>
      </w:r>
      <w:r w:rsidR="0099586F">
        <w:rPr>
          <w:rFonts w:ascii="Georgia" w:hAnsi="Georgia"/>
        </w:rPr>
        <w:t>D</w:t>
      </w:r>
      <w:r w:rsidR="00F810EF">
        <w:rPr>
          <w:rFonts w:ascii="Georgia" w:hAnsi="Georgia"/>
        </w:rPr>
        <w:t xml:space="preserve">anny going into the field and </w:t>
      </w:r>
      <w:r w:rsidR="002D7B45">
        <w:rPr>
          <w:rFonts w:ascii="Georgia" w:hAnsi="Georgia"/>
        </w:rPr>
        <w:t>cutting back a strip of vegetation along the boundary to stop weeds, ivy and bracken.</w:t>
      </w:r>
      <w:r w:rsidR="0099586F">
        <w:rPr>
          <w:rFonts w:ascii="Georgia" w:hAnsi="Georgia"/>
        </w:rPr>
        <w:t xml:space="preserve"> The Tribunal could see on inspection that</w:t>
      </w:r>
      <w:r w:rsidR="00A72AA4">
        <w:rPr>
          <w:rFonts w:ascii="Georgia" w:hAnsi="Georgia"/>
        </w:rPr>
        <w:t xml:space="preserve"> such work was no longer done and growth was coming through.</w:t>
      </w:r>
    </w:p>
    <w:p w14:paraId="7F97B070" w14:textId="079854F9" w:rsidR="00A72AA4" w:rsidRDefault="003E6519" w:rsidP="00DB3A84">
      <w:pPr>
        <w:spacing w:after="160" w:line="259" w:lineRule="auto"/>
        <w:jc w:val="both"/>
        <w:rPr>
          <w:rFonts w:ascii="Georgia" w:hAnsi="Georgia"/>
        </w:rPr>
      </w:pPr>
      <w:r>
        <w:rPr>
          <w:rFonts w:ascii="Georgia" w:hAnsi="Georgia"/>
        </w:rPr>
        <w:t xml:space="preserve">22. </w:t>
      </w:r>
      <w:r w:rsidR="00A72AA4">
        <w:rPr>
          <w:rFonts w:ascii="Georgia" w:hAnsi="Georgia"/>
        </w:rPr>
        <w:t xml:space="preserve">The Applicants response was to suggest that Danny </w:t>
      </w:r>
      <w:r w:rsidR="000E5F99">
        <w:rPr>
          <w:rFonts w:ascii="Georgia" w:hAnsi="Georgia"/>
        </w:rPr>
        <w:t>offered such a service personally and  was not authorised by the then site owner</w:t>
      </w:r>
      <w:r w:rsidR="00227116">
        <w:rPr>
          <w:rFonts w:ascii="Georgia" w:hAnsi="Georgia"/>
        </w:rPr>
        <w:t xml:space="preserve"> but neither party could offer a</w:t>
      </w:r>
      <w:r w:rsidR="00DF00DB">
        <w:rPr>
          <w:rFonts w:ascii="Georgia" w:hAnsi="Georgia"/>
        </w:rPr>
        <w:t xml:space="preserve"> definitive</w:t>
      </w:r>
      <w:r w:rsidR="00227116">
        <w:rPr>
          <w:rFonts w:ascii="Georgia" w:hAnsi="Georgia"/>
        </w:rPr>
        <w:t xml:space="preserve"> answer on that point – though it was clear from the Respondent’s evidence that Danny was helpful in assisting residents.</w:t>
      </w:r>
    </w:p>
    <w:p w14:paraId="377E9B9E" w14:textId="5E569AC1" w:rsidR="00B16537" w:rsidRDefault="003E6519" w:rsidP="00DB3A84">
      <w:pPr>
        <w:spacing w:after="160" w:line="259" w:lineRule="auto"/>
        <w:jc w:val="both"/>
        <w:rPr>
          <w:rFonts w:ascii="Georgia" w:hAnsi="Georgia"/>
        </w:rPr>
      </w:pPr>
      <w:r>
        <w:rPr>
          <w:rFonts w:ascii="Georgia" w:hAnsi="Georgia"/>
        </w:rPr>
        <w:t xml:space="preserve">23. </w:t>
      </w:r>
      <w:r w:rsidR="00B16537">
        <w:rPr>
          <w:rFonts w:ascii="Georgia" w:hAnsi="Georgia"/>
        </w:rPr>
        <w:t xml:space="preserve">On behalf of the Applicant, Ms </w:t>
      </w:r>
      <w:r w:rsidR="00412F90">
        <w:rPr>
          <w:rFonts w:ascii="Georgia" w:hAnsi="Georgia"/>
        </w:rPr>
        <w:t>Ostler submitted that the fence between pitch 13 an</w:t>
      </w:r>
      <w:r w:rsidR="00124176">
        <w:rPr>
          <w:rFonts w:ascii="Georgia" w:hAnsi="Georgia"/>
        </w:rPr>
        <w:t>d</w:t>
      </w:r>
      <w:r w:rsidR="00412F90">
        <w:rPr>
          <w:rFonts w:ascii="Georgia" w:hAnsi="Georgia"/>
        </w:rPr>
        <w:t xml:space="preserve"> the adjoining field was the responsibility of Ms Davies as </w:t>
      </w:r>
      <w:r w:rsidR="00DD1AE3">
        <w:rPr>
          <w:rFonts w:ascii="Georgia" w:hAnsi="Georgia"/>
        </w:rPr>
        <w:t xml:space="preserve">homeowner on the pitch, referring the Tribunal to </w:t>
      </w:r>
      <w:r w:rsidR="006C4003">
        <w:rPr>
          <w:rFonts w:ascii="Georgia" w:hAnsi="Georgia"/>
        </w:rPr>
        <w:t xml:space="preserve">paragraph 21 </w:t>
      </w:r>
      <w:r w:rsidR="0069338B">
        <w:rPr>
          <w:rFonts w:ascii="Georgia" w:hAnsi="Georgia"/>
        </w:rPr>
        <w:t>of the terms implied into all agreements that the occupier should pay</w:t>
      </w:r>
      <w:r w:rsidR="00220DB6">
        <w:rPr>
          <w:rFonts w:ascii="Georgia" w:hAnsi="Georgia"/>
        </w:rPr>
        <w:t xml:space="preserve"> to maintain the pitch ‘including all fences’</w:t>
      </w:r>
      <w:r w:rsidR="00C418F8">
        <w:rPr>
          <w:rFonts w:ascii="Georgia" w:hAnsi="Georgia"/>
        </w:rPr>
        <w:t xml:space="preserve">. On the other hand, paragraph 22 of the Implied Terms requires the </w:t>
      </w:r>
      <w:r w:rsidR="00746446">
        <w:rPr>
          <w:rFonts w:ascii="Georgia" w:hAnsi="Georgia"/>
        </w:rPr>
        <w:t>owner to maintain ‘ site boundary fences and trees</w:t>
      </w:r>
      <w:r w:rsidR="00A91E88">
        <w:rPr>
          <w:rFonts w:ascii="Georgia" w:hAnsi="Georgia"/>
        </w:rPr>
        <w:t xml:space="preserve">’. She suggested that as the pitch abutted the boundary fence, Ms </w:t>
      </w:r>
      <w:r w:rsidR="007C4155">
        <w:rPr>
          <w:rFonts w:ascii="Georgia" w:hAnsi="Georgia"/>
        </w:rPr>
        <w:t>Davies</w:t>
      </w:r>
      <w:r w:rsidR="00A91E88">
        <w:rPr>
          <w:rFonts w:ascii="Georgia" w:hAnsi="Georgia"/>
        </w:rPr>
        <w:t xml:space="preserve"> was responsible for maintenance of the fence.</w:t>
      </w:r>
      <w:r w:rsidR="00124176">
        <w:rPr>
          <w:rFonts w:ascii="Georgia" w:hAnsi="Georgia"/>
        </w:rPr>
        <w:t xml:space="preserve"> The Tribunal </w:t>
      </w:r>
      <w:r w:rsidR="00CD5406">
        <w:rPr>
          <w:rFonts w:ascii="Georgia" w:hAnsi="Georgia"/>
        </w:rPr>
        <w:t xml:space="preserve">considers the implied terms are clear and the site owner is responsible for maintenance </w:t>
      </w:r>
      <w:r w:rsidR="0041409F">
        <w:rPr>
          <w:rFonts w:ascii="Georgia" w:hAnsi="Georgia"/>
        </w:rPr>
        <w:t xml:space="preserve">of the site boundary fence, clearly marked as such on the plan attached to the </w:t>
      </w:r>
      <w:r w:rsidR="00871BC4">
        <w:rPr>
          <w:rFonts w:ascii="Georgia" w:hAnsi="Georgia"/>
        </w:rPr>
        <w:t xml:space="preserve">Written </w:t>
      </w:r>
      <w:r w:rsidR="00B40D94">
        <w:rPr>
          <w:rFonts w:ascii="Georgia" w:hAnsi="Georgia"/>
        </w:rPr>
        <w:t>S</w:t>
      </w:r>
      <w:r w:rsidR="00871BC4">
        <w:rPr>
          <w:rFonts w:ascii="Georgia" w:hAnsi="Georgia"/>
        </w:rPr>
        <w:t xml:space="preserve">tatement </w:t>
      </w:r>
      <w:r w:rsidR="00B40D94">
        <w:rPr>
          <w:rFonts w:ascii="Georgia" w:hAnsi="Georgia"/>
        </w:rPr>
        <w:t xml:space="preserve">for </w:t>
      </w:r>
      <w:r w:rsidR="00715575">
        <w:rPr>
          <w:rFonts w:ascii="Georgia" w:hAnsi="Georgia"/>
        </w:rPr>
        <w:t>pitch 13.</w:t>
      </w:r>
    </w:p>
    <w:p w14:paraId="3909BC2B" w14:textId="150F8940" w:rsidR="00984F4B" w:rsidRDefault="003E6519" w:rsidP="00DB3A84">
      <w:pPr>
        <w:spacing w:after="160" w:line="259" w:lineRule="auto"/>
        <w:jc w:val="both"/>
        <w:rPr>
          <w:rFonts w:ascii="Georgia" w:hAnsi="Georgia"/>
        </w:rPr>
      </w:pPr>
      <w:r>
        <w:rPr>
          <w:rFonts w:ascii="Georgia" w:hAnsi="Georgia"/>
        </w:rPr>
        <w:t xml:space="preserve">24. </w:t>
      </w:r>
      <w:r w:rsidR="00E22E86">
        <w:rPr>
          <w:rFonts w:ascii="Georgia" w:hAnsi="Georgia"/>
        </w:rPr>
        <w:t xml:space="preserve">The Tribunal concludes that it is not possible to determine that </w:t>
      </w:r>
      <w:r w:rsidR="00737427">
        <w:rPr>
          <w:rFonts w:ascii="Georgia" w:hAnsi="Georgia"/>
        </w:rPr>
        <w:t>there is</w:t>
      </w:r>
      <w:r w:rsidR="00773952">
        <w:rPr>
          <w:rFonts w:ascii="Georgia" w:hAnsi="Georgia"/>
        </w:rPr>
        <w:t xml:space="preserve"> </w:t>
      </w:r>
      <w:r w:rsidR="00737427">
        <w:rPr>
          <w:rFonts w:ascii="Georgia" w:hAnsi="Georgia"/>
        </w:rPr>
        <w:t xml:space="preserve">any reduction in the services that the owner applies to the site or deterioration in the quality of those services. </w:t>
      </w:r>
      <w:r w:rsidR="00715575">
        <w:rPr>
          <w:rFonts w:ascii="Georgia" w:hAnsi="Georgia"/>
        </w:rPr>
        <w:t>The Tribunal</w:t>
      </w:r>
      <w:r w:rsidR="00B16537">
        <w:rPr>
          <w:rFonts w:ascii="Georgia" w:hAnsi="Georgia"/>
        </w:rPr>
        <w:t xml:space="preserve"> </w:t>
      </w:r>
      <w:r w:rsidR="007C4155">
        <w:rPr>
          <w:rFonts w:ascii="Georgia" w:hAnsi="Georgia"/>
        </w:rPr>
        <w:t xml:space="preserve">is clear in determining that </w:t>
      </w:r>
      <w:r w:rsidR="00A81FB2">
        <w:rPr>
          <w:rFonts w:ascii="Georgia" w:hAnsi="Georgia"/>
        </w:rPr>
        <w:t>the fence dividing pitch 13 from the adjoining field is a boundary fence and repairable and maintainable by the site owner, not Ms Davies.</w:t>
      </w:r>
      <w:r w:rsidR="00C423E0">
        <w:rPr>
          <w:rFonts w:ascii="Georgia" w:hAnsi="Georgia"/>
        </w:rPr>
        <w:t xml:space="preserve"> </w:t>
      </w:r>
      <w:r w:rsidR="007762FD">
        <w:rPr>
          <w:rFonts w:ascii="Georgia" w:hAnsi="Georgia"/>
        </w:rPr>
        <w:t xml:space="preserve">However, it would be wrong to conclude that the site owner had a responsibility to go over the fence to clear a strip of vegetation when there is no evidence that </w:t>
      </w:r>
      <w:r w:rsidR="00A81FB2">
        <w:rPr>
          <w:rFonts w:ascii="Georgia" w:hAnsi="Georgia"/>
        </w:rPr>
        <w:t xml:space="preserve"> </w:t>
      </w:r>
      <w:r w:rsidR="007762FD">
        <w:rPr>
          <w:rFonts w:ascii="Georgia" w:hAnsi="Georgia"/>
        </w:rPr>
        <w:t>the owner of the field has given licence or permission for such work.</w:t>
      </w:r>
      <w:r w:rsidR="00C423E0">
        <w:rPr>
          <w:rFonts w:ascii="Georgia" w:hAnsi="Georgia"/>
        </w:rPr>
        <w:t xml:space="preserve"> While the Respondents consider that the </w:t>
      </w:r>
      <w:r w:rsidR="00CB5DCE">
        <w:rPr>
          <w:rFonts w:ascii="Georgia" w:hAnsi="Georgia"/>
        </w:rPr>
        <w:t>owner’s ground staff do a poorer jo</w:t>
      </w:r>
      <w:r w:rsidR="00984F4B">
        <w:rPr>
          <w:rFonts w:ascii="Georgia" w:hAnsi="Georgia"/>
        </w:rPr>
        <w:t>b</w:t>
      </w:r>
      <w:r w:rsidR="00CB5DCE">
        <w:rPr>
          <w:rFonts w:ascii="Georgia" w:hAnsi="Georgia"/>
        </w:rPr>
        <w:t xml:space="preserve"> </w:t>
      </w:r>
      <w:r w:rsidR="00984F4B">
        <w:rPr>
          <w:rFonts w:ascii="Georgia" w:hAnsi="Georgia"/>
        </w:rPr>
        <w:t xml:space="preserve">now </w:t>
      </w:r>
      <w:r w:rsidR="00CB5DCE">
        <w:rPr>
          <w:rFonts w:ascii="Georgia" w:hAnsi="Georgia"/>
        </w:rPr>
        <w:t>of cleaning and weeding that Danny did for the previous owner, there is insufficient evidence</w:t>
      </w:r>
      <w:r w:rsidR="007E2B8F">
        <w:rPr>
          <w:rFonts w:ascii="Georgia" w:hAnsi="Georgia"/>
        </w:rPr>
        <w:t xml:space="preserve"> </w:t>
      </w:r>
      <w:r w:rsidR="008F095E">
        <w:rPr>
          <w:rFonts w:ascii="Georgia" w:hAnsi="Georgia"/>
        </w:rPr>
        <w:t xml:space="preserve">before the Tribunal </w:t>
      </w:r>
      <w:r w:rsidR="007E2B8F">
        <w:rPr>
          <w:rFonts w:ascii="Georgia" w:hAnsi="Georgia"/>
        </w:rPr>
        <w:t>to justify a conclusion that the current service amounts to a deterioration.</w:t>
      </w:r>
    </w:p>
    <w:p w14:paraId="1725244B" w14:textId="38F004E5" w:rsidR="00DA490C" w:rsidRPr="007E2B8F" w:rsidRDefault="007E2B8F" w:rsidP="00DB3A84">
      <w:pPr>
        <w:spacing w:after="160" w:line="259" w:lineRule="auto"/>
        <w:jc w:val="both"/>
        <w:rPr>
          <w:rFonts w:ascii="Georgia" w:hAnsi="Georgia"/>
          <w:b/>
          <w:bCs/>
        </w:rPr>
      </w:pPr>
      <w:r>
        <w:rPr>
          <w:rFonts w:ascii="Georgia" w:hAnsi="Georgia"/>
          <w:b/>
          <w:bCs/>
        </w:rPr>
        <w:t>Determination</w:t>
      </w:r>
    </w:p>
    <w:p w14:paraId="75B36DCE" w14:textId="77A12757" w:rsidR="00DA490C" w:rsidRDefault="003E6519" w:rsidP="00DB3A84">
      <w:pPr>
        <w:spacing w:after="160" w:line="259" w:lineRule="auto"/>
        <w:jc w:val="both"/>
        <w:rPr>
          <w:rFonts w:ascii="Georgia" w:hAnsi="Georgia"/>
        </w:rPr>
      </w:pPr>
      <w:r>
        <w:rPr>
          <w:rFonts w:ascii="Georgia" w:hAnsi="Georgia"/>
        </w:rPr>
        <w:t xml:space="preserve">25. </w:t>
      </w:r>
      <w:r w:rsidR="00677D22">
        <w:rPr>
          <w:rFonts w:ascii="Georgia" w:hAnsi="Georgia"/>
        </w:rPr>
        <w:t xml:space="preserve">There is therefore nothing in this case or factors arising under paragraph 18 to justify </w:t>
      </w:r>
      <w:r w:rsidR="008320AA">
        <w:rPr>
          <w:rFonts w:ascii="Georgia" w:hAnsi="Georgia"/>
        </w:rPr>
        <w:t xml:space="preserve">the Tribunal having regard to any issues. </w:t>
      </w:r>
      <w:r w:rsidR="00F51A14">
        <w:rPr>
          <w:rFonts w:ascii="Georgia" w:hAnsi="Georgia"/>
        </w:rPr>
        <w:t xml:space="preserve">The presumption in paragraph 20 that the pitch fee may increase </w:t>
      </w:r>
      <w:r w:rsidR="00984F4B">
        <w:rPr>
          <w:rFonts w:ascii="Georgia" w:hAnsi="Georgia"/>
        </w:rPr>
        <w:t>the amount of increase in inflation over the relevant 12-month period as shown by the CPI therefore applies.</w:t>
      </w:r>
    </w:p>
    <w:p w14:paraId="4758B4FC" w14:textId="2F1D0485" w:rsidR="008F095E" w:rsidRPr="008F095E" w:rsidRDefault="003E6519" w:rsidP="008F095E">
      <w:pPr>
        <w:jc w:val="both"/>
        <w:rPr>
          <w:rFonts w:ascii="Georgia" w:hAnsi="Georgia"/>
        </w:rPr>
      </w:pPr>
      <w:r>
        <w:rPr>
          <w:rFonts w:ascii="Georgia" w:hAnsi="Georgia"/>
        </w:rPr>
        <w:t xml:space="preserve">26. </w:t>
      </w:r>
      <w:r w:rsidR="008F095E" w:rsidRPr="008F095E">
        <w:rPr>
          <w:rFonts w:ascii="Georgia" w:hAnsi="Georgia"/>
        </w:rPr>
        <w:t xml:space="preserve">The Tribunal determines that in the case </w:t>
      </w:r>
      <w:r w:rsidR="008F095E" w:rsidRPr="008F095E">
        <w:rPr>
          <w:rFonts w:ascii="Georgia" w:hAnsi="Georgia"/>
          <w:color w:val="000000"/>
        </w:rPr>
        <w:t xml:space="preserve">CHI/19UJ/PHI/2024/0067 </w:t>
      </w:r>
      <w:r w:rsidR="008F095E" w:rsidRPr="008F095E">
        <w:rPr>
          <w:rFonts w:ascii="Georgia" w:hAnsi="Georgia"/>
        </w:rPr>
        <w:t>the weekly pitch fee in relation to 13 White Horse Park will increase from 1 January 2024 by 4.60% which represents the percentage increase in the Consumer Prices Index for October 2023. The pitch fee, previously £64.90, will increase to £67.89, an increase of £2.99 per week.</w:t>
      </w:r>
    </w:p>
    <w:p w14:paraId="31240BA7" w14:textId="77777777" w:rsidR="008F095E" w:rsidRPr="008F095E" w:rsidRDefault="008F095E" w:rsidP="008F095E">
      <w:pPr>
        <w:jc w:val="both"/>
        <w:rPr>
          <w:rFonts w:ascii="Georgia" w:hAnsi="Georgia"/>
        </w:rPr>
      </w:pPr>
    </w:p>
    <w:p w14:paraId="4EDFD2EB" w14:textId="5EBE3F0D" w:rsidR="008F095E" w:rsidRPr="008F095E" w:rsidRDefault="003E6519" w:rsidP="008F095E">
      <w:pPr>
        <w:jc w:val="both"/>
        <w:rPr>
          <w:rFonts w:ascii="Georgia" w:hAnsi="Georgia"/>
        </w:rPr>
      </w:pPr>
      <w:r>
        <w:rPr>
          <w:rFonts w:ascii="Georgia" w:hAnsi="Georgia"/>
        </w:rPr>
        <w:t xml:space="preserve">27. </w:t>
      </w:r>
      <w:r w:rsidR="008F095E" w:rsidRPr="008F095E">
        <w:rPr>
          <w:rFonts w:ascii="Georgia" w:hAnsi="Georgia"/>
        </w:rPr>
        <w:t xml:space="preserve">The Tribunal determines that in the case </w:t>
      </w:r>
      <w:r w:rsidR="008F095E" w:rsidRPr="008F095E">
        <w:rPr>
          <w:rFonts w:ascii="Georgia" w:hAnsi="Georgia"/>
          <w:color w:val="000000"/>
        </w:rPr>
        <w:t xml:space="preserve">CHI/19UJ/PHI/2024/0068 </w:t>
      </w:r>
      <w:r w:rsidR="008F095E" w:rsidRPr="008F095E">
        <w:rPr>
          <w:rFonts w:ascii="Georgia" w:hAnsi="Georgia"/>
        </w:rPr>
        <w:t>the weekly pitch fee in relation to 14 White Horse Park will increase from 1 January 2024 by 4.60% which represents the percentage increase in the Consumer Prices Index for October 2023. The pitch fee, previously £64.90, will increase to £67.89, an increase of £2.99 per week.</w:t>
      </w:r>
    </w:p>
    <w:p w14:paraId="7BAB659F" w14:textId="77777777" w:rsidR="008F095E" w:rsidRPr="008F095E" w:rsidRDefault="008F095E" w:rsidP="008F095E">
      <w:pPr>
        <w:jc w:val="both"/>
        <w:rPr>
          <w:rFonts w:ascii="Georgia" w:hAnsi="Georgia"/>
        </w:rPr>
      </w:pPr>
    </w:p>
    <w:p w14:paraId="67CF5415" w14:textId="1E975597" w:rsidR="00984F4B" w:rsidRPr="008559F5" w:rsidRDefault="008559F5" w:rsidP="00DB3A84">
      <w:pPr>
        <w:spacing w:after="160" w:line="259" w:lineRule="auto"/>
        <w:jc w:val="both"/>
        <w:rPr>
          <w:rFonts w:ascii="Georgia" w:hAnsi="Georgia"/>
          <w:b/>
          <w:bCs/>
        </w:rPr>
      </w:pPr>
      <w:r w:rsidRPr="008559F5">
        <w:rPr>
          <w:rFonts w:ascii="Georgia" w:hAnsi="Georgia"/>
          <w:b/>
          <w:bCs/>
        </w:rPr>
        <w:t>Closing remarks</w:t>
      </w:r>
    </w:p>
    <w:p w14:paraId="6277C754" w14:textId="3133624D" w:rsidR="008559F5" w:rsidRPr="008F095E" w:rsidRDefault="003E6519" w:rsidP="00DB3A84">
      <w:pPr>
        <w:spacing w:after="160" w:line="259" w:lineRule="auto"/>
        <w:jc w:val="both"/>
        <w:rPr>
          <w:rFonts w:ascii="Georgia" w:hAnsi="Georgia"/>
        </w:rPr>
      </w:pPr>
      <w:r>
        <w:rPr>
          <w:rFonts w:ascii="Georgia" w:hAnsi="Georgia"/>
        </w:rPr>
        <w:t xml:space="preserve">28. </w:t>
      </w:r>
      <w:r w:rsidR="008559F5">
        <w:rPr>
          <w:rFonts w:ascii="Georgia" w:hAnsi="Georgia"/>
        </w:rPr>
        <w:t xml:space="preserve">The site owner will need to </w:t>
      </w:r>
      <w:r w:rsidR="00C45BFA">
        <w:rPr>
          <w:rFonts w:ascii="Georgia" w:hAnsi="Georgia"/>
        </w:rPr>
        <w:t>repair and maintain the site boundary fence</w:t>
      </w:r>
      <w:r w:rsidR="00280C27">
        <w:rPr>
          <w:rFonts w:ascii="Georgia" w:hAnsi="Georgia"/>
        </w:rPr>
        <w:t xml:space="preserve"> at the top end of the site. Where the fence is where the field meets pitch 13</w:t>
      </w:r>
      <w:r w:rsidR="001D2C66">
        <w:rPr>
          <w:rFonts w:ascii="Georgia" w:hAnsi="Georgia"/>
        </w:rPr>
        <w:t xml:space="preserve">, it will be necessary </w:t>
      </w:r>
      <w:r w:rsidR="0033654F">
        <w:rPr>
          <w:rFonts w:ascii="Georgia" w:hAnsi="Georgia"/>
        </w:rPr>
        <w:t xml:space="preserve">for the site owner </w:t>
      </w:r>
      <w:r w:rsidR="001D2C66">
        <w:rPr>
          <w:rFonts w:ascii="Georgia" w:hAnsi="Georgia"/>
        </w:rPr>
        <w:t>to exercise power to enter pitch 13 to do so (unless the field owner consents to entry into the field)</w:t>
      </w:r>
      <w:r w:rsidR="00EA4546">
        <w:rPr>
          <w:rFonts w:ascii="Georgia" w:hAnsi="Georgia"/>
        </w:rPr>
        <w:t xml:space="preserve">. </w:t>
      </w:r>
      <w:r w:rsidR="002773DC">
        <w:rPr>
          <w:rFonts w:ascii="Georgia" w:hAnsi="Georgia"/>
        </w:rPr>
        <w:t>But the responsibility of weedi</w:t>
      </w:r>
      <w:r w:rsidR="0033654F">
        <w:rPr>
          <w:rFonts w:ascii="Georgia" w:hAnsi="Georgia"/>
        </w:rPr>
        <w:t>n</w:t>
      </w:r>
      <w:r w:rsidR="002773DC">
        <w:rPr>
          <w:rFonts w:ascii="Georgia" w:hAnsi="Georgia"/>
        </w:rPr>
        <w:t>g between the pavers</w:t>
      </w:r>
      <w:r w:rsidR="00A7249A">
        <w:rPr>
          <w:rFonts w:ascii="Georgia" w:hAnsi="Georgia"/>
        </w:rPr>
        <w:t xml:space="preserve"> on the pitch is the responsibility of Ms Davies.</w:t>
      </w:r>
      <w:r w:rsidR="00280C27">
        <w:rPr>
          <w:rFonts w:ascii="Georgia" w:hAnsi="Georgia"/>
        </w:rPr>
        <w:t xml:space="preserve"> </w:t>
      </w:r>
      <w:r w:rsidR="00C45BFA">
        <w:rPr>
          <w:rFonts w:ascii="Georgia" w:hAnsi="Georgia"/>
        </w:rPr>
        <w:t xml:space="preserve"> </w:t>
      </w:r>
    </w:p>
    <w:p w14:paraId="431E8563" w14:textId="74DE138F" w:rsidR="00DA490C" w:rsidRPr="008F095E" w:rsidRDefault="007641D6" w:rsidP="00DA490C">
      <w:pPr>
        <w:jc w:val="both"/>
        <w:rPr>
          <w:rFonts w:ascii="Georgia" w:hAnsi="Georgia"/>
        </w:rPr>
      </w:pPr>
      <w:r>
        <w:rPr>
          <w:rFonts w:ascii="Georgia" w:hAnsi="Georgia"/>
        </w:rPr>
        <w:t xml:space="preserve">29. </w:t>
      </w:r>
      <w:r w:rsidR="00DA490C" w:rsidRPr="008F095E">
        <w:rPr>
          <w:rFonts w:ascii="Georgia" w:hAnsi="Georgia"/>
        </w:rPr>
        <w:t>The refusal of the site owner to provide a gritting tub</w:t>
      </w:r>
      <w:r w:rsidR="00A7249A">
        <w:rPr>
          <w:rFonts w:ascii="Georgia" w:hAnsi="Georgia"/>
        </w:rPr>
        <w:t xml:space="preserve"> is not a decision that this Tribunal has jurisdiction to </w:t>
      </w:r>
      <w:r w:rsidR="009856B4">
        <w:rPr>
          <w:rFonts w:ascii="Georgia" w:hAnsi="Georgia"/>
        </w:rPr>
        <w:t xml:space="preserve">decide. However, it is right to comment that </w:t>
      </w:r>
      <w:r w:rsidR="00A2345A">
        <w:rPr>
          <w:rFonts w:ascii="Georgia" w:hAnsi="Georgia"/>
        </w:rPr>
        <w:t xml:space="preserve">provision of gritting </w:t>
      </w:r>
      <w:r w:rsidR="000C1AB8">
        <w:rPr>
          <w:rFonts w:ascii="Georgia" w:hAnsi="Georgia"/>
        </w:rPr>
        <w:t>for application to the road in icy conditions would be a sensible move for the site owner</w:t>
      </w:r>
      <w:r w:rsidR="00FC25A9">
        <w:rPr>
          <w:rFonts w:ascii="Georgia" w:hAnsi="Georgia"/>
        </w:rPr>
        <w:t xml:space="preserve"> given the requirement </w:t>
      </w:r>
      <w:r w:rsidR="00307166">
        <w:rPr>
          <w:rFonts w:ascii="Georgia" w:hAnsi="Georgia"/>
        </w:rPr>
        <w:t xml:space="preserve">imposed </w:t>
      </w:r>
      <w:r w:rsidR="00FC25A9">
        <w:rPr>
          <w:rFonts w:ascii="Georgia" w:hAnsi="Georgia"/>
        </w:rPr>
        <w:t xml:space="preserve">to maintain the access ways on the site under paragraph 22 of the implied terms. </w:t>
      </w:r>
      <w:r w:rsidR="007C78C2">
        <w:rPr>
          <w:rFonts w:ascii="Georgia" w:hAnsi="Georgia"/>
        </w:rPr>
        <w:t>There are undoubtedly health and safety concerns given the steep nature of the access road</w:t>
      </w:r>
      <w:r w:rsidR="00307166">
        <w:rPr>
          <w:rFonts w:ascii="Georgia" w:hAnsi="Georgia"/>
        </w:rPr>
        <w:t xml:space="preserve"> and in wintry conditions it may be necessary to </w:t>
      </w:r>
      <w:r w:rsidR="00DC5271">
        <w:rPr>
          <w:rFonts w:ascii="Georgia" w:hAnsi="Georgia"/>
        </w:rPr>
        <w:t>add gritting to maintain access.</w:t>
      </w:r>
    </w:p>
    <w:p w14:paraId="3058360E" w14:textId="77777777" w:rsidR="00DA490C" w:rsidRDefault="00DA490C" w:rsidP="00DB3A84">
      <w:pPr>
        <w:spacing w:after="160" w:line="259" w:lineRule="auto"/>
        <w:jc w:val="both"/>
        <w:rPr>
          <w:rFonts w:ascii="Georgia" w:hAnsi="Georgia"/>
        </w:rPr>
      </w:pPr>
    </w:p>
    <w:p w14:paraId="35AAAF59" w14:textId="77777777" w:rsidR="00AD4546" w:rsidRDefault="00AD4546" w:rsidP="00DB3A84">
      <w:pPr>
        <w:spacing w:after="160" w:line="259" w:lineRule="auto"/>
        <w:jc w:val="both"/>
        <w:rPr>
          <w:rFonts w:ascii="Georgia" w:hAnsi="Georgia"/>
        </w:rPr>
      </w:pPr>
    </w:p>
    <w:p w14:paraId="0F04141D" w14:textId="77777777" w:rsidR="00AD4546" w:rsidRDefault="00AD4546" w:rsidP="00DB3A84">
      <w:pPr>
        <w:spacing w:after="160" w:line="259" w:lineRule="auto"/>
        <w:jc w:val="both"/>
        <w:rPr>
          <w:rFonts w:ascii="Georgia" w:hAnsi="Georgia"/>
        </w:rPr>
      </w:pPr>
    </w:p>
    <w:p w14:paraId="3445AF00" w14:textId="77777777" w:rsidR="00AD4546" w:rsidRDefault="00AD4546" w:rsidP="00DB3A84">
      <w:pPr>
        <w:spacing w:after="160" w:line="259" w:lineRule="auto"/>
        <w:jc w:val="both"/>
        <w:rPr>
          <w:rFonts w:ascii="Georgia" w:hAnsi="Georgia"/>
        </w:rPr>
      </w:pPr>
    </w:p>
    <w:p w14:paraId="3F329846" w14:textId="77777777" w:rsidR="00B723D2" w:rsidRPr="00474B68" w:rsidRDefault="00B723D2" w:rsidP="00B723D2">
      <w:pPr>
        <w:jc w:val="center"/>
        <w:rPr>
          <w:rFonts w:ascii="Georgia" w:hAnsi="Georgia"/>
          <w:sz w:val="28"/>
          <w:szCs w:val="28"/>
        </w:rPr>
      </w:pPr>
      <w:r w:rsidRPr="00474B68">
        <w:rPr>
          <w:rFonts w:ascii="Georgia" w:hAnsi="Georgia"/>
          <w:b/>
          <w:bCs/>
          <w:sz w:val="28"/>
          <w:szCs w:val="28"/>
        </w:rPr>
        <w:t>Right of Appeal</w:t>
      </w:r>
    </w:p>
    <w:p w14:paraId="13089B09" w14:textId="77777777" w:rsidR="00B723D2" w:rsidRPr="00A829E7" w:rsidRDefault="00B723D2" w:rsidP="00B723D2">
      <w:pPr>
        <w:jc w:val="both"/>
        <w:rPr>
          <w:rFonts w:ascii="Georgia" w:hAnsi="Georgia"/>
          <w:i/>
          <w:iCs/>
        </w:rPr>
      </w:pPr>
    </w:p>
    <w:p w14:paraId="4C30676F" w14:textId="5CCB632B" w:rsidR="00B723D2" w:rsidRPr="00DD646E" w:rsidRDefault="007641D6" w:rsidP="00B723D2">
      <w:pPr>
        <w:jc w:val="both"/>
        <w:rPr>
          <w:rFonts w:ascii="Georgia" w:hAnsi="Georgia" w:cs="Arial"/>
          <w:color w:val="222222"/>
          <w:shd w:val="clear" w:color="auto" w:fill="FFFFFF"/>
        </w:rPr>
      </w:pPr>
      <w:r>
        <w:rPr>
          <w:rFonts w:ascii="Georgia" w:hAnsi="Georgia" w:cs="Arial"/>
          <w:color w:val="222222"/>
          <w:shd w:val="clear" w:color="auto" w:fill="FFFFFF"/>
        </w:rPr>
        <w:t xml:space="preserve">30. </w:t>
      </w:r>
      <w:r w:rsidR="00B723D2" w:rsidRPr="00DD646E">
        <w:rPr>
          <w:rFonts w:ascii="Georgia" w:hAnsi="Georgia" w:cs="Arial"/>
          <w:color w:val="222222"/>
          <w:shd w:val="clear" w:color="auto" w:fill="FFFFFF"/>
        </w:rPr>
        <w:t>A person wishing to appeal this decision to the Upper Tribunal (Lands Chamber) must seek permission to do so by making written application to the First-tier Tribunal at the Regional office which has been dealing with the case (</w:t>
      </w:r>
      <w:hyperlink r:id="rId8" w:history="1">
        <w:r w:rsidR="00B723D2" w:rsidRPr="00DD646E">
          <w:rPr>
            <w:rStyle w:val="Hyperlink"/>
            <w:rFonts w:ascii="Georgia" w:hAnsi="Georgia" w:cs="Arial"/>
            <w:shd w:val="clear" w:color="auto" w:fill="FFFFFF"/>
          </w:rPr>
          <w:t>RPSouthern@justice.gov.uk</w:t>
        </w:r>
      </w:hyperlink>
      <w:r w:rsidR="00B723D2" w:rsidRPr="00DD646E">
        <w:rPr>
          <w:rFonts w:ascii="Georgia" w:hAnsi="Georgia" w:cs="Arial"/>
          <w:color w:val="222222"/>
          <w:shd w:val="clear" w:color="auto" w:fill="FFFFFF"/>
        </w:rPr>
        <w:t xml:space="preserve"> ). The application must arrive at the Tribunal within 28 days after the Tribunal sends to the person making the application written reasons for the decision. </w:t>
      </w:r>
    </w:p>
    <w:p w14:paraId="77FCEBE1" w14:textId="77777777" w:rsidR="00B723D2" w:rsidRPr="00DD646E" w:rsidRDefault="00B723D2" w:rsidP="00B723D2">
      <w:pPr>
        <w:rPr>
          <w:rFonts w:ascii="Georgia" w:hAnsi="Georgia" w:cs="Arial"/>
          <w:color w:val="222222"/>
          <w:shd w:val="clear" w:color="auto" w:fill="FFFFFF"/>
        </w:rPr>
      </w:pPr>
    </w:p>
    <w:p w14:paraId="3CF21FC8" w14:textId="1D61C9F9" w:rsidR="00B723D2" w:rsidRPr="00DD646E" w:rsidRDefault="007641D6" w:rsidP="00B723D2">
      <w:pPr>
        <w:jc w:val="both"/>
        <w:rPr>
          <w:rFonts w:ascii="Georgia" w:hAnsi="Georgia" w:cs="Arial"/>
          <w:color w:val="222222"/>
          <w:shd w:val="clear" w:color="auto" w:fill="FFFFFF"/>
        </w:rPr>
      </w:pPr>
      <w:r>
        <w:rPr>
          <w:rFonts w:ascii="Georgia" w:hAnsi="Georgia" w:cs="Arial"/>
          <w:color w:val="222222"/>
          <w:shd w:val="clear" w:color="auto" w:fill="FFFFFF"/>
        </w:rPr>
        <w:t xml:space="preserve">31. </w:t>
      </w:r>
      <w:r w:rsidR="00B723D2" w:rsidRPr="00DD646E">
        <w:rPr>
          <w:rFonts w:ascii="Georgia" w:hAnsi="Georgia" w:cs="Arial"/>
          <w:color w:val="222222"/>
          <w:shd w:val="clear" w:color="auto" w:fill="FFFFFF"/>
        </w:rPr>
        <w:t>If the person wishing to appeal does not comply with the 28-day time limit, the person shall include with the application for permission to appeal a request for an extension of time and the reason for not complying with the 28-day time limit; the Tribunal will then decide whether to extend time or not to allow the application for permission to appeal to proceed.</w:t>
      </w:r>
    </w:p>
    <w:p w14:paraId="2FBA1E0A" w14:textId="0A1418FC" w:rsidR="00B723D2" w:rsidRPr="00DD646E" w:rsidRDefault="00B723D2" w:rsidP="00B723D2">
      <w:pPr>
        <w:jc w:val="both"/>
        <w:rPr>
          <w:rFonts w:ascii="Georgia" w:hAnsi="Georgia" w:cs="Arial"/>
          <w:color w:val="222222"/>
          <w:shd w:val="clear" w:color="auto" w:fill="FFFFFF"/>
        </w:rPr>
      </w:pPr>
      <w:r w:rsidRPr="00DD646E">
        <w:rPr>
          <w:rFonts w:ascii="Georgia" w:hAnsi="Georgia" w:cs="Arial"/>
          <w:color w:val="222222"/>
        </w:rPr>
        <w:br/>
      </w:r>
      <w:r w:rsidR="00903ADB">
        <w:rPr>
          <w:rFonts w:ascii="Georgia" w:hAnsi="Georgia" w:cs="Arial"/>
          <w:color w:val="222222"/>
          <w:shd w:val="clear" w:color="auto" w:fill="FFFFFF"/>
        </w:rPr>
        <w:t xml:space="preserve">32. </w:t>
      </w:r>
      <w:r w:rsidRPr="00DD646E">
        <w:rPr>
          <w:rFonts w:ascii="Georgia" w:hAnsi="Georgia" w:cs="Arial"/>
          <w:color w:val="222222"/>
          <w:shd w:val="clear" w:color="auto" w:fill="FFFFFF"/>
        </w:rPr>
        <w:t xml:space="preserve">The application for permission to appeal must identify the decision of the Tribunal to which it relates, state the grounds of appeal, and state the result that the party who is making the application for permission to appeal is seeking. </w:t>
      </w:r>
    </w:p>
    <w:p w14:paraId="121F2C12" w14:textId="77777777" w:rsidR="00B723D2" w:rsidRPr="00DD646E" w:rsidRDefault="00B723D2" w:rsidP="00B723D2">
      <w:pPr>
        <w:jc w:val="both"/>
        <w:rPr>
          <w:rFonts w:ascii="Georgia" w:hAnsi="Georgia"/>
        </w:rPr>
      </w:pPr>
    </w:p>
    <w:p w14:paraId="50EA5820" w14:textId="6A5B7D3F" w:rsidR="00B723D2" w:rsidRPr="00B82219" w:rsidRDefault="00EC39A4" w:rsidP="00B723D2">
      <w:pPr>
        <w:jc w:val="both"/>
        <w:rPr>
          <w:rFonts w:ascii="Georgia" w:hAnsi="Georgia"/>
        </w:rPr>
      </w:pPr>
      <w:r>
        <w:rPr>
          <w:rFonts w:ascii="Georgia" w:hAnsi="Georgia"/>
        </w:rPr>
        <w:t>Nov</w:t>
      </w:r>
      <w:r w:rsidR="00B723D2">
        <w:rPr>
          <w:rFonts w:ascii="Georgia" w:hAnsi="Georgia"/>
        </w:rPr>
        <w:t xml:space="preserve">ember </w:t>
      </w:r>
      <w:r w:rsidR="00B723D2" w:rsidRPr="00DD646E">
        <w:rPr>
          <w:rFonts w:ascii="Georgia" w:hAnsi="Georgia"/>
        </w:rPr>
        <w:t>202</w:t>
      </w:r>
      <w:r>
        <w:rPr>
          <w:rFonts w:ascii="Georgia" w:hAnsi="Georgia"/>
        </w:rPr>
        <w:t>4</w:t>
      </w:r>
    </w:p>
    <w:p w14:paraId="3A935002" w14:textId="77777777" w:rsidR="00F12710" w:rsidRPr="008F095E" w:rsidRDefault="00F12710" w:rsidP="00DB3A84">
      <w:pPr>
        <w:spacing w:after="160" w:line="259" w:lineRule="auto"/>
        <w:jc w:val="both"/>
        <w:rPr>
          <w:rFonts w:ascii="Georgia" w:hAnsi="Georgia"/>
        </w:rPr>
      </w:pPr>
    </w:p>
    <w:sectPr w:rsidR="00F12710" w:rsidRPr="008F09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1404" w14:textId="77777777" w:rsidR="00003126" w:rsidRDefault="00003126" w:rsidP="00E6716C">
      <w:r>
        <w:separator/>
      </w:r>
    </w:p>
  </w:endnote>
  <w:endnote w:type="continuationSeparator" w:id="0">
    <w:p w14:paraId="2CDB9138" w14:textId="77777777" w:rsidR="00003126" w:rsidRDefault="00003126" w:rsidP="00E6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D521" w14:textId="77777777" w:rsidR="00003126" w:rsidRDefault="00003126" w:rsidP="00E6716C">
      <w:r>
        <w:separator/>
      </w:r>
    </w:p>
  </w:footnote>
  <w:footnote w:type="continuationSeparator" w:id="0">
    <w:p w14:paraId="0B5341D2" w14:textId="77777777" w:rsidR="00003126" w:rsidRDefault="00003126" w:rsidP="00E67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1EA9"/>
    <w:multiLevelType w:val="hybridMultilevel"/>
    <w:tmpl w:val="D8B059A8"/>
    <w:lvl w:ilvl="0" w:tplc="488472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4162BE"/>
    <w:multiLevelType w:val="hybridMultilevel"/>
    <w:tmpl w:val="B74A18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7FEB268A"/>
    <w:multiLevelType w:val="hybridMultilevel"/>
    <w:tmpl w:val="B74A1896"/>
    <w:lvl w:ilvl="0" w:tplc="312843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003766">
    <w:abstractNumId w:val="0"/>
  </w:num>
  <w:num w:numId="2" w16cid:durableId="1016469181">
    <w:abstractNumId w:val="2"/>
  </w:num>
  <w:num w:numId="3" w16cid:durableId="1886017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0D"/>
    <w:rsid w:val="000001A9"/>
    <w:rsid w:val="00003126"/>
    <w:rsid w:val="0001348E"/>
    <w:rsid w:val="000456EB"/>
    <w:rsid w:val="00054510"/>
    <w:rsid w:val="000552AE"/>
    <w:rsid w:val="00083033"/>
    <w:rsid w:val="0008494A"/>
    <w:rsid w:val="0008520D"/>
    <w:rsid w:val="00085EB0"/>
    <w:rsid w:val="00092CF7"/>
    <w:rsid w:val="000A333B"/>
    <w:rsid w:val="000C023E"/>
    <w:rsid w:val="000C15EA"/>
    <w:rsid w:val="000C1AB8"/>
    <w:rsid w:val="000D0559"/>
    <w:rsid w:val="000E3A33"/>
    <w:rsid w:val="000E5F99"/>
    <w:rsid w:val="000F0716"/>
    <w:rsid w:val="001031F5"/>
    <w:rsid w:val="00124176"/>
    <w:rsid w:val="00125A69"/>
    <w:rsid w:val="001363F0"/>
    <w:rsid w:val="001819D9"/>
    <w:rsid w:val="001827DB"/>
    <w:rsid w:val="0018662A"/>
    <w:rsid w:val="001A42F5"/>
    <w:rsid w:val="001C1BB2"/>
    <w:rsid w:val="001D2C66"/>
    <w:rsid w:val="001D505F"/>
    <w:rsid w:val="001F1510"/>
    <w:rsid w:val="00204CDA"/>
    <w:rsid w:val="00214FF7"/>
    <w:rsid w:val="00220DB6"/>
    <w:rsid w:val="00227116"/>
    <w:rsid w:val="002367A1"/>
    <w:rsid w:val="00237E6D"/>
    <w:rsid w:val="0024593E"/>
    <w:rsid w:val="002562F5"/>
    <w:rsid w:val="002609CC"/>
    <w:rsid w:val="00261563"/>
    <w:rsid w:val="0027046B"/>
    <w:rsid w:val="002773DC"/>
    <w:rsid w:val="0028045E"/>
    <w:rsid w:val="00280C27"/>
    <w:rsid w:val="00281D6A"/>
    <w:rsid w:val="002A5B3D"/>
    <w:rsid w:val="002B2292"/>
    <w:rsid w:val="002B37B6"/>
    <w:rsid w:val="002C49D6"/>
    <w:rsid w:val="002D2497"/>
    <w:rsid w:val="002D255B"/>
    <w:rsid w:val="002D7B45"/>
    <w:rsid w:val="002E40BD"/>
    <w:rsid w:val="002F494D"/>
    <w:rsid w:val="002F53CD"/>
    <w:rsid w:val="00307166"/>
    <w:rsid w:val="00315114"/>
    <w:rsid w:val="00316F83"/>
    <w:rsid w:val="0032118D"/>
    <w:rsid w:val="003255AC"/>
    <w:rsid w:val="00335D9D"/>
    <w:rsid w:val="0033654F"/>
    <w:rsid w:val="00353759"/>
    <w:rsid w:val="00374578"/>
    <w:rsid w:val="00383055"/>
    <w:rsid w:val="003909C9"/>
    <w:rsid w:val="003945C0"/>
    <w:rsid w:val="00395238"/>
    <w:rsid w:val="003B33BD"/>
    <w:rsid w:val="003D0EC9"/>
    <w:rsid w:val="003E6519"/>
    <w:rsid w:val="003F0B7E"/>
    <w:rsid w:val="003F1EBA"/>
    <w:rsid w:val="00407140"/>
    <w:rsid w:val="00410967"/>
    <w:rsid w:val="004125E9"/>
    <w:rsid w:val="00412F90"/>
    <w:rsid w:val="0041409F"/>
    <w:rsid w:val="00435EF1"/>
    <w:rsid w:val="004423B5"/>
    <w:rsid w:val="00444D37"/>
    <w:rsid w:val="00475165"/>
    <w:rsid w:val="00475AA2"/>
    <w:rsid w:val="00476D95"/>
    <w:rsid w:val="00477343"/>
    <w:rsid w:val="00484B97"/>
    <w:rsid w:val="0049499B"/>
    <w:rsid w:val="004959AE"/>
    <w:rsid w:val="004C2264"/>
    <w:rsid w:val="00510CAE"/>
    <w:rsid w:val="0051228D"/>
    <w:rsid w:val="00536920"/>
    <w:rsid w:val="00557CE1"/>
    <w:rsid w:val="00580DE9"/>
    <w:rsid w:val="00594F8A"/>
    <w:rsid w:val="005B17CE"/>
    <w:rsid w:val="005B5CCB"/>
    <w:rsid w:val="005B6861"/>
    <w:rsid w:val="005C2AEE"/>
    <w:rsid w:val="005E1433"/>
    <w:rsid w:val="00606173"/>
    <w:rsid w:val="006073BF"/>
    <w:rsid w:val="006129BD"/>
    <w:rsid w:val="006171A5"/>
    <w:rsid w:val="006205CD"/>
    <w:rsid w:val="006317EB"/>
    <w:rsid w:val="00640487"/>
    <w:rsid w:val="0064452E"/>
    <w:rsid w:val="00654E1C"/>
    <w:rsid w:val="00677D22"/>
    <w:rsid w:val="0069178D"/>
    <w:rsid w:val="0069338B"/>
    <w:rsid w:val="006A3C7E"/>
    <w:rsid w:val="006B7D57"/>
    <w:rsid w:val="006C4003"/>
    <w:rsid w:val="006C621F"/>
    <w:rsid w:val="006D2455"/>
    <w:rsid w:val="006D4681"/>
    <w:rsid w:val="006F1DAC"/>
    <w:rsid w:val="007001D7"/>
    <w:rsid w:val="007142DD"/>
    <w:rsid w:val="00715575"/>
    <w:rsid w:val="00715A29"/>
    <w:rsid w:val="00721A4B"/>
    <w:rsid w:val="0072234D"/>
    <w:rsid w:val="007356C0"/>
    <w:rsid w:val="00737427"/>
    <w:rsid w:val="00737709"/>
    <w:rsid w:val="00745D22"/>
    <w:rsid w:val="00746446"/>
    <w:rsid w:val="00752A03"/>
    <w:rsid w:val="00764025"/>
    <w:rsid w:val="007641D6"/>
    <w:rsid w:val="00766179"/>
    <w:rsid w:val="00773952"/>
    <w:rsid w:val="007762FD"/>
    <w:rsid w:val="00795315"/>
    <w:rsid w:val="007B00D2"/>
    <w:rsid w:val="007B57BA"/>
    <w:rsid w:val="007B7977"/>
    <w:rsid w:val="007C09E5"/>
    <w:rsid w:val="007C4155"/>
    <w:rsid w:val="007C78C2"/>
    <w:rsid w:val="007D5B9D"/>
    <w:rsid w:val="007D74E9"/>
    <w:rsid w:val="007E2B8F"/>
    <w:rsid w:val="007F3E53"/>
    <w:rsid w:val="00807C8F"/>
    <w:rsid w:val="0081117D"/>
    <w:rsid w:val="00826028"/>
    <w:rsid w:val="008320AA"/>
    <w:rsid w:val="008325FB"/>
    <w:rsid w:val="0083447D"/>
    <w:rsid w:val="008412BA"/>
    <w:rsid w:val="00851E6F"/>
    <w:rsid w:val="008559F5"/>
    <w:rsid w:val="00867F9E"/>
    <w:rsid w:val="00871BC4"/>
    <w:rsid w:val="00892681"/>
    <w:rsid w:val="008B0DEB"/>
    <w:rsid w:val="008E2F93"/>
    <w:rsid w:val="008F095E"/>
    <w:rsid w:val="008F5875"/>
    <w:rsid w:val="00903ADB"/>
    <w:rsid w:val="00911E0D"/>
    <w:rsid w:val="00916756"/>
    <w:rsid w:val="00944DFD"/>
    <w:rsid w:val="00945483"/>
    <w:rsid w:val="009714D6"/>
    <w:rsid w:val="00984F4B"/>
    <w:rsid w:val="009856B4"/>
    <w:rsid w:val="0099586F"/>
    <w:rsid w:val="009B1A93"/>
    <w:rsid w:val="009E1219"/>
    <w:rsid w:val="009F3748"/>
    <w:rsid w:val="009F468F"/>
    <w:rsid w:val="009F522B"/>
    <w:rsid w:val="00A2345A"/>
    <w:rsid w:val="00A55AD4"/>
    <w:rsid w:val="00A7249A"/>
    <w:rsid w:val="00A7284B"/>
    <w:rsid w:val="00A72AA4"/>
    <w:rsid w:val="00A81FB2"/>
    <w:rsid w:val="00A91E88"/>
    <w:rsid w:val="00AC69C2"/>
    <w:rsid w:val="00AD4546"/>
    <w:rsid w:val="00AF4608"/>
    <w:rsid w:val="00B06687"/>
    <w:rsid w:val="00B16537"/>
    <w:rsid w:val="00B31881"/>
    <w:rsid w:val="00B36A9F"/>
    <w:rsid w:val="00B40D94"/>
    <w:rsid w:val="00B50085"/>
    <w:rsid w:val="00B543E7"/>
    <w:rsid w:val="00B556F1"/>
    <w:rsid w:val="00B63B90"/>
    <w:rsid w:val="00B66A17"/>
    <w:rsid w:val="00B6769A"/>
    <w:rsid w:val="00B723D2"/>
    <w:rsid w:val="00B7423D"/>
    <w:rsid w:val="00B7628F"/>
    <w:rsid w:val="00B95872"/>
    <w:rsid w:val="00BA4D54"/>
    <w:rsid w:val="00BA7E65"/>
    <w:rsid w:val="00BB1319"/>
    <w:rsid w:val="00BD7673"/>
    <w:rsid w:val="00BE1E04"/>
    <w:rsid w:val="00BF4191"/>
    <w:rsid w:val="00BF44EF"/>
    <w:rsid w:val="00BF606F"/>
    <w:rsid w:val="00BF7CCB"/>
    <w:rsid w:val="00C10143"/>
    <w:rsid w:val="00C37FBD"/>
    <w:rsid w:val="00C418F8"/>
    <w:rsid w:val="00C423E0"/>
    <w:rsid w:val="00C45BFA"/>
    <w:rsid w:val="00C5034D"/>
    <w:rsid w:val="00C6432D"/>
    <w:rsid w:val="00C67A76"/>
    <w:rsid w:val="00C76C3C"/>
    <w:rsid w:val="00C90AF4"/>
    <w:rsid w:val="00CA59A0"/>
    <w:rsid w:val="00CB20BC"/>
    <w:rsid w:val="00CB31CD"/>
    <w:rsid w:val="00CB5DCE"/>
    <w:rsid w:val="00CD08F8"/>
    <w:rsid w:val="00CD5406"/>
    <w:rsid w:val="00CE23AD"/>
    <w:rsid w:val="00CF0337"/>
    <w:rsid w:val="00D008FB"/>
    <w:rsid w:val="00D10A7F"/>
    <w:rsid w:val="00D135D2"/>
    <w:rsid w:val="00D16AF4"/>
    <w:rsid w:val="00D23832"/>
    <w:rsid w:val="00D245E4"/>
    <w:rsid w:val="00D340A3"/>
    <w:rsid w:val="00D42964"/>
    <w:rsid w:val="00D8148D"/>
    <w:rsid w:val="00D84020"/>
    <w:rsid w:val="00D95DE9"/>
    <w:rsid w:val="00DA48FA"/>
    <w:rsid w:val="00DA490C"/>
    <w:rsid w:val="00DB3A84"/>
    <w:rsid w:val="00DC5271"/>
    <w:rsid w:val="00DD1AE3"/>
    <w:rsid w:val="00DD5C5B"/>
    <w:rsid w:val="00DE38B9"/>
    <w:rsid w:val="00DF00DB"/>
    <w:rsid w:val="00DF0DCA"/>
    <w:rsid w:val="00DF59C1"/>
    <w:rsid w:val="00E07571"/>
    <w:rsid w:val="00E13BDD"/>
    <w:rsid w:val="00E173FE"/>
    <w:rsid w:val="00E17F2B"/>
    <w:rsid w:val="00E22E86"/>
    <w:rsid w:val="00E256E7"/>
    <w:rsid w:val="00E275A2"/>
    <w:rsid w:val="00E6716C"/>
    <w:rsid w:val="00E7684E"/>
    <w:rsid w:val="00E80225"/>
    <w:rsid w:val="00E80790"/>
    <w:rsid w:val="00E81F4F"/>
    <w:rsid w:val="00EA2A16"/>
    <w:rsid w:val="00EA4546"/>
    <w:rsid w:val="00EA47D2"/>
    <w:rsid w:val="00EB1CA5"/>
    <w:rsid w:val="00EB602D"/>
    <w:rsid w:val="00EB77AC"/>
    <w:rsid w:val="00EC39A4"/>
    <w:rsid w:val="00EC7FD5"/>
    <w:rsid w:val="00ED1A92"/>
    <w:rsid w:val="00ED7744"/>
    <w:rsid w:val="00EE34D0"/>
    <w:rsid w:val="00EF1B32"/>
    <w:rsid w:val="00F12710"/>
    <w:rsid w:val="00F21771"/>
    <w:rsid w:val="00F37DB7"/>
    <w:rsid w:val="00F42A15"/>
    <w:rsid w:val="00F51A14"/>
    <w:rsid w:val="00F54FBF"/>
    <w:rsid w:val="00F614E6"/>
    <w:rsid w:val="00F61CE8"/>
    <w:rsid w:val="00F64101"/>
    <w:rsid w:val="00F764AA"/>
    <w:rsid w:val="00F80918"/>
    <w:rsid w:val="00F810EF"/>
    <w:rsid w:val="00F83DEA"/>
    <w:rsid w:val="00F85BA7"/>
    <w:rsid w:val="00F93FA6"/>
    <w:rsid w:val="00FC173A"/>
    <w:rsid w:val="00FC25A9"/>
    <w:rsid w:val="00FD40D6"/>
    <w:rsid w:val="00FD6A17"/>
    <w:rsid w:val="00FD795A"/>
    <w:rsid w:val="00FE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04AA"/>
  <w15:chartTrackingRefBased/>
  <w15:docId w15:val="{9FFDC786-C7BF-4421-A966-8AB340F1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0D"/>
    <w:pPr>
      <w:spacing w:after="0" w:line="240" w:lineRule="auto"/>
    </w:pPr>
    <w:rPr>
      <w:sz w:val="24"/>
      <w:szCs w:val="24"/>
    </w:rPr>
  </w:style>
  <w:style w:type="paragraph" w:styleId="Heading1">
    <w:name w:val="heading 1"/>
    <w:basedOn w:val="Normal"/>
    <w:next w:val="Normal"/>
    <w:link w:val="Heading1Char"/>
    <w:uiPriority w:val="9"/>
    <w:qFormat/>
    <w:rsid w:val="000852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20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20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20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08520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08520D"/>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08520D"/>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08520D"/>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08520D"/>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2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2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2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2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0D"/>
    <w:rPr>
      <w:rFonts w:eastAsiaTheme="majorEastAsia" w:cstheme="majorBidi"/>
      <w:color w:val="272727" w:themeColor="text1" w:themeTint="D8"/>
    </w:rPr>
  </w:style>
  <w:style w:type="paragraph" w:styleId="Title">
    <w:name w:val="Title"/>
    <w:basedOn w:val="Normal"/>
    <w:next w:val="Normal"/>
    <w:link w:val="TitleChar"/>
    <w:qFormat/>
    <w:rsid w:val="000852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85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0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0D"/>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08520D"/>
    <w:rPr>
      <w:i/>
      <w:iCs/>
      <w:color w:val="404040" w:themeColor="text1" w:themeTint="BF"/>
    </w:rPr>
  </w:style>
  <w:style w:type="paragraph" w:styleId="ListParagraph">
    <w:name w:val="List Paragraph"/>
    <w:basedOn w:val="Normal"/>
    <w:uiPriority w:val="34"/>
    <w:qFormat/>
    <w:rsid w:val="0008520D"/>
    <w:pPr>
      <w:spacing w:after="160" w:line="259" w:lineRule="auto"/>
      <w:ind w:left="720"/>
      <w:contextualSpacing/>
    </w:pPr>
    <w:rPr>
      <w:sz w:val="22"/>
      <w:szCs w:val="22"/>
    </w:rPr>
  </w:style>
  <w:style w:type="character" w:styleId="IntenseEmphasis">
    <w:name w:val="Intense Emphasis"/>
    <w:basedOn w:val="DefaultParagraphFont"/>
    <w:uiPriority w:val="21"/>
    <w:qFormat/>
    <w:rsid w:val="0008520D"/>
    <w:rPr>
      <w:i/>
      <w:iCs/>
      <w:color w:val="0F4761" w:themeColor="accent1" w:themeShade="BF"/>
    </w:rPr>
  </w:style>
  <w:style w:type="paragraph" w:styleId="IntenseQuote">
    <w:name w:val="Intense Quote"/>
    <w:basedOn w:val="Normal"/>
    <w:next w:val="Normal"/>
    <w:link w:val="IntenseQuoteChar"/>
    <w:uiPriority w:val="30"/>
    <w:qFormat/>
    <w:rsid w:val="0008520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08520D"/>
    <w:rPr>
      <w:i/>
      <w:iCs/>
      <w:color w:val="0F4761" w:themeColor="accent1" w:themeShade="BF"/>
    </w:rPr>
  </w:style>
  <w:style w:type="character" w:styleId="IntenseReference">
    <w:name w:val="Intense Reference"/>
    <w:basedOn w:val="DefaultParagraphFont"/>
    <w:uiPriority w:val="32"/>
    <w:qFormat/>
    <w:rsid w:val="0008520D"/>
    <w:rPr>
      <w:b/>
      <w:bCs/>
      <w:smallCaps/>
      <w:color w:val="0F4761" w:themeColor="accent1" w:themeShade="BF"/>
      <w:spacing w:val="5"/>
    </w:rPr>
  </w:style>
  <w:style w:type="character" w:styleId="Hyperlink">
    <w:name w:val="Hyperlink"/>
    <w:basedOn w:val="DefaultParagraphFont"/>
    <w:unhideWhenUsed/>
    <w:rsid w:val="00B723D2"/>
    <w:rPr>
      <w:color w:val="0A2F41" w:themeColor="accent1" w:themeShade="80"/>
      <w:u w:val="single"/>
    </w:rPr>
  </w:style>
  <w:style w:type="paragraph" w:styleId="Header">
    <w:name w:val="header"/>
    <w:basedOn w:val="Normal"/>
    <w:link w:val="HeaderChar"/>
    <w:uiPriority w:val="99"/>
    <w:unhideWhenUsed/>
    <w:rsid w:val="00E6716C"/>
    <w:pPr>
      <w:tabs>
        <w:tab w:val="center" w:pos="4513"/>
        <w:tab w:val="right" w:pos="9026"/>
      </w:tabs>
    </w:pPr>
  </w:style>
  <w:style w:type="character" w:customStyle="1" w:styleId="HeaderChar">
    <w:name w:val="Header Char"/>
    <w:basedOn w:val="DefaultParagraphFont"/>
    <w:link w:val="Header"/>
    <w:uiPriority w:val="99"/>
    <w:rsid w:val="00E6716C"/>
    <w:rPr>
      <w:sz w:val="24"/>
      <w:szCs w:val="24"/>
    </w:rPr>
  </w:style>
  <w:style w:type="paragraph" w:styleId="Footer">
    <w:name w:val="footer"/>
    <w:basedOn w:val="Normal"/>
    <w:link w:val="FooterChar"/>
    <w:uiPriority w:val="99"/>
    <w:unhideWhenUsed/>
    <w:rsid w:val="00E6716C"/>
    <w:pPr>
      <w:tabs>
        <w:tab w:val="center" w:pos="4513"/>
        <w:tab w:val="right" w:pos="9026"/>
      </w:tabs>
    </w:pPr>
  </w:style>
  <w:style w:type="character" w:customStyle="1" w:styleId="FooterChar">
    <w:name w:val="Footer Char"/>
    <w:basedOn w:val="DefaultParagraphFont"/>
    <w:link w:val="Footer"/>
    <w:uiPriority w:val="99"/>
    <w:rsid w:val="00E671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Southern@justice.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2905</Words>
  <Characters>16559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Clarke</dc:creator>
  <cp:keywords/>
  <dc:description/>
  <cp:lastModifiedBy>Mintah-Ghansah, Elizabeth</cp:lastModifiedBy>
  <cp:revision>2</cp:revision>
  <dcterms:created xsi:type="dcterms:W3CDTF">2024-11-27T12:43:00Z</dcterms:created>
  <dcterms:modified xsi:type="dcterms:W3CDTF">2024-11-27T12:43:00Z</dcterms:modified>
</cp:coreProperties>
</file>