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5816D" w14:textId="77777777" w:rsidR="000B0589" w:rsidRDefault="000B0589" w:rsidP="00BC2702">
      <w:pPr>
        <w:pStyle w:val="Conditions1"/>
        <w:numPr>
          <w:ilvl w:val="0"/>
          <w:numId w:val="0"/>
        </w:numPr>
      </w:pPr>
      <w:r>
        <w:rPr>
          <w:noProof/>
        </w:rPr>
        <w:drawing>
          <wp:inline distT="0" distB="0" distL="0" distR="0" wp14:anchorId="2610C121" wp14:editId="6BCDD678">
            <wp:extent cx="3419475" cy="361950"/>
            <wp:effectExtent l="0" t="0" r="9525" b="0"/>
            <wp:docPr id="4" name="Picture 1"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654329BB" w14:textId="77777777" w:rsidR="000B0589" w:rsidRDefault="000B0589" w:rsidP="00A5760C"/>
    <w:p w14:paraId="5CA4E3CB"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3C127912" w14:textId="77777777" w:rsidTr="00207E49">
        <w:trPr>
          <w:cantSplit/>
          <w:trHeight w:val="23"/>
        </w:trPr>
        <w:tc>
          <w:tcPr>
            <w:tcW w:w="9356" w:type="dxa"/>
            <w:shd w:val="clear" w:color="auto" w:fill="auto"/>
          </w:tcPr>
          <w:p w14:paraId="3CC3BC10" w14:textId="77777777" w:rsidR="000B0589" w:rsidRPr="00207E49" w:rsidRDefault="00207E49" w:rsidP="00704CF4">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3C5BBB94" w14:textId="77777777" w:rsidTr="00207E49">
        <w:trPr>
          <w:cantSplit/>
          <w:trHeight w:val="23"/>
        </w:trPr>
        <w:tc>
          <w:tcPr>
            <w:tcW w:w="9356" w:type="dxa"/>
            <w:shd w:val="clear" w:color="auto" w:fill="auto"/>
            <w:vAlign w:val="center"/>
          </w:tcPr>
          <w:p w14:paraId="51E0E91C" w14:textId="2EDF3EF7" w:rsidR="000B0589" w:rsidRPr="00207E49" w:rsidRDefault="00207E49" w:rsidP="00D472F2">
            <w:pPr>
              <w:spacing w:before="60"/>
              <w:ind w:left="-108" w:right="34"/>
              <w:rPr>
                <w:color w:val="000000"/>
                <w:szCs w:val="22"/>
              </w:rPr>
            </w:pPr>
            <w:r>
              <w:rPr>
                <w:color w:val="000000"/>
                <w:szCs w:val="22"/>
              </w:rPr>
              <w:t>Site visit made on</w:t>
            </w:r>
            <w:r w:rsidR="00DF659D">
              <w:rPr>
                <w:color w:val="000000"/>
                <w:szCs w:val="22"/>
              </w:rPr>
              <w:t xml:space="preserve"> </w:t>
            </w:r>
            <w:r w:rsidR="00AE4313">
              <w:rPr>
                <w:color w:val="000000"/>
                <w:szCs w:val="22"/>
              </w:rPr>
              <w:t>14 March</w:t>
            </w:r>
            <w:r w:rsidR="002843E7">
              <w:rPr>
                <w:color w:val="000000"/>
                <w:szCs w:val="22"/>
              </w:rPr>
              <w:t xml:space="preserve"> </w:t>
            </w:r>
            <w:r w:rsidR="00941D4A">
              <w:rPr>
                <w:color w:val="000000"/>
                <w:szCs w:val="22"/>
              </w:rPr>
              <w:t>202</w:t>
            </w:r>
            <w:r w:rsidR="002843E7">
              <w:rPr>
                <w:color w:val="000000"/>
                <w:szCs w:val="22"/>
              </w:rPr>
              <w:t>4</w:t>
            </w:r>
          </w:p>
        </w:tc>
      </w:tr>
      <w:tr w:rsidR="000B0589" w:rsidRPr="00361890" w14:paraId="488711D0" w14:textId="77777777" w:rsidTr="00207E49">
        <w:trPr>
          <w:cantSplit/>
          <w:trHeight w:val="23"/>
        </w:trPr>
        <w:tc>
          <w:tcPr>
            <w:tcW w:w="9356" w:type="dxa"/>
            <w:shd w:val="clear" w:color="auto" w:fill="auto"/>
          </w:tcPr>
          <w:p w14:paraId="2637DF87" w14:textId="7EF12921" w:rsidR="000B0589" w:rsidRPr="00207E49" w:rsidRDefault="00207E49" w:rsidP="00207E49">
            <w:pPr>
              <w:spacing w:before="180"/>
              <w:ind w:left="-108" w:right="34"/>
              <w:rPr>
                <w:b/>
                <w:color w:val="000000"/>
                <w:sz w:val="16"/>
                <w:szCs w:val="22"/>
              </w:rPr>
            </w:pPr>
            <w:r>
              <w:rPr>
                <w:b/>
                <w:color w:val="000000"/>
                <w:szCs w:val="22"/>
              </w:rPr>
              <w:t xml:space="preserve">by </w:t>
            </w:r>
            <w:r w:rsidR="00FE5CF5" w:rsidRPr="00FE5CF5">
              <w:rPr>
                <w:b/>
                <w:color w:val="000000"/>
                <w:szCs w:val="22"/>
              </w:rPr>
              <w:t xml:space="preserve">Grahame Kean B.A. (Hons), </w:t>
            </w:r>
            <w:r w:rsidR="002843E7">
              <w:rPr>
                <w:b/>
                <w:color w:val="000000"/>
                <w:szCs w:val="22"/>
              </w:rPr>
              <w:t xml:space="preserve">Solicitor, </w:t>
            </w:r>
            <w:r w:rsidR="00941D4A">
              <w:rPr>
                <w:b/>
                <w:color w:val="000000"/>
                <w:szCs w:val="22"/>
              </w:rPr>
              <w:t>MIPROW</w:t>
            </w:r>
          </w:p>
        </w:tc>
      </w:tr>
      <w:tr w:rsidR="000B0589" w:rsidRPr="00361890" w14:paraId="5BDEA62D" w14:textId="77777777" w:rsidTr="00207E49">
        <w:trPr>
          <w:cantSplit/>
          <w:trHeight w:val="23"/>
        </w:trPr>
        <w:tc>
          <w:tcPr>
            <w:tcW w:w="9356" w:type="dxa"/>
            <w:shd w:val="clear" w:color="auto" w:fill="auto"/>
          </w:tcPr>
          <w:p w14:paraId="00C33541" w14:textId="77777777" w:rsidR="000B0589" w:rsidRPr="00361890" w:rsidRDefault="00D472F2" w:rsidP="00AC5B32">
            <w:pPr>
              <w:spacing w:before="120"/>
              <w:ind w:left="-108" w:right="34"/>
              <w:rPr>
                <w:b/>
                <w:color w:val="000000"/>
                <w:sz w:val="16"/>
                <w:szCs w:val="16"/>
              </w:rPr>
            </w:pPr>
            <w:r>
              <w:rPr>
                <w:b/>
                <w:color w:val="000000"/>
                <w:sz w:val="16"/>
                <w:szCs w:val="16"/>
              </w:rPr>
              <w:t>An Inspector appointed by the Secretary of State</w:t>
            </w:r>
            <w:r w:rsidR="009029C1">
              <w:t xml:space="preserve"> </w:t>
            </w:r>
            <w:r w:rsidR="009029C1" w:rsidRPr="009029C1">
              <w:rPr>
                <w:b/>
                <w:color w:val="000000"/>
                <w:sz w:val="16"/>
                <w:szCs w:val="16"/>
              </w:rPr>
              <w:t>for Environment, Food and Rural Affairs</w:t>
            </w:r>
          </w:p>
        </w:tc>
      </w:tr>
      <w:tr w:rsidR="000B0589" w:rsidRPr="00A101CD" w14:paraId="3596A2C8" w14:textId="77777777" w:rsidTr="00207E49">
        <w:trPr>
          <w:cantSplit/>
          <w:trHeight w:val="23"/>
        </w:trPr>
        <w:tc>
          <w:tcPr>
            <w:tcW w:w="9356" w:type="dxa"/>
            <w:shd w:val="clear" w:color="auto" w:fill="auto"/>
          </w:tcPr>
          <w:p w14:paraId="0799E298" w14:textId="2AFFCC6C" w:rsidR="000B0589" w:rsidRPr="00A101CD" w:rsidRDefault="000B0589" w:rsidP="00AC5B32">
            <w:pPr>
              <w:spacing w:before="120"/>
              <w:ind w:left="-108" w:right="176"/>
              <w:rPr>
                <w:b/>
                <w:color w:val="000000"/>
                <w:sz w:val="16"/>
                <w:szCs w:val="16"/>
              </w:rPr>
            </w:pPr>
            <w:r w:rsidRPr="00A101CD">
              <w:rPr>
                <w:b/>
                <w:color w:val="000000"/>
                <w:sz w:val="16"/>
                <w:szCs w:val="16"/>
              </w:rPr>
              <w:t>Decision date:</w:t>
            </w:r>
            <w:r w:rsidR="00FE5CF5">
              <w:rPr>
                <w:b/>
                <w:color w:val="000000"/>
                <w:sz w:val="16"/>
                <w:szCs w:val="16"/>
              </w:rPr>
              <w:t xml:space="preserve"> </w:t>
            </w:r>
            <w:r w:rsidR="0093513C">
              <w:rPr>
                <w:b/>
                <w:color w:val="000000"/>
                <w:sz w:val="16"/>
                <w:szCs w:val="16"/>
              </w:rPr>
              <w:t>11 November 2024</w:t>
            </w:r>
          </w:p>
        </w:tc>
      </w:tr>
    </w:tbl>
    <w:p w14:paraId="6EEFAA05" w14:textId="77777777" w:rsidR="00FE5CF5" w:rsidRDefault="00FE5CF5" w:rsidP="000B0589"/>
    <w:tbl>
      <w:tblPr>
        <w:tblW w:w="0" w:type="auto"/>
        <w:tblLayout w:type="fixed"/>
        <w:tblLook w:val="0000" w:firstRow="0" w:lastRow="0" w:firstColumn="0" w:lastColumn="0" w:noHBand="0" w:noVBand="0"/>
      </w:tblPr>
      <w:tblGrid>
        <w:gridCol w:w="9520"/>
      </w:tblGrid>
      <w:tr w:rsidR="00FE5CF5" w14:paraId="590A1945" w14:textId="77777777" w:rsidTr="00FE5CF5">
        <w:tc>
          <w:tcPr>
            <w:tcW w:w="9520" w:type="dxa"/>
            <w:shd w:val="clear" w:color="auto" w:fill="auto"/>
          </w:tcPr>
          <w:p w14:paraId="7B5A7A13" w14:textId="3AA59FD3" w:rsidR="00FE5CF5" w:rsidRPr="00FE5CF5" w:rsidRDefault="00FE5CF5" w:rsidP="00250707">
            <w:pPr>
              <w:spacing w:after="60"/>
              <w:rPr>
                <w:b/>
                <w:color w:val="000000"/>
              </w:rPr>
            </w:pPr>
            <w:r>
              <w:rPr>
                <w:b/>
                <w:color w:val="000000"/>
              </w:rPr>
              <w:t xml:space="preserve">Order Ref: </w:t>
            </w:r>
            <w:r w:rsidR="00425C46">
              <w:rPr>
                <w:b/>
                <w:color w:val="000000"/>
              </w:rPr>
              <w:t>ROW</w:t>
            </w:r>
            <w:r>
              <w:rPr>
                <w:b/>
                <w:color w:val="000000"/>
              </w:rPr>
              <w:t>/</w:t>
            </w:r>
            <w:r w:rsidR="00DF659D" w:rsidRPr="00DF659D">
              <w:rPr>
                <w:b/>
                <w:color w:val="000000"/>
              </w:rPr>
              <w:t>3</w:t>
            </w:r>
            <w:r w:rsidR="00B34FB9">
              <w:rPr>
                <w:b/>
                <w:color w:val="000000"/>
              </w:rPr>
              <w:t>30</w:t>
            </w:r>
            <w:r w:rsidR="002843E7">
              <w:rPr>
                <w:b/>
                <w:color w:val="000000"/>
              </w:rPr>
              <w:t>19</w:t>
            </w:r>
            <w:r w:rsidR="00B34FB9">
              <w:rPr>
                <w:b/>
                <w:color w:val="000000"/>
              </w:rPr>
              <w:t>4</w:t>
            </w:r>
            <w:r w:rsidR="002843E7">
              <w:rPr>
                <w:b/>
                <w:color w:val="000000"/>
              </w:rPr>
              <w:t>5</w:t>
            </w:r>
          </w:p>
        </w:tc>
      </w:tr>
      <w:tr w:rsidR="00FE5CF5" w14:paraId="6B54C1F7" w14:textId="77777777" w:rsidTr="00FE5CF5">
        <w:tc>
          <w:tcPr>
            <w:tcW w:w="9520" w:type="dxa"/>
            <w:shd w:val="clear" w:color="auto" w:fill="auto"/>
          </w:tcPr>
          <w:p w14:paraId="73785B55" w14:textId="56BB6B0E" w:rsidR="00FE5CF5" w:rsidRDefault="00FE5CF5" w:rsidP="004E558D">
            <w:pPr>
              <w:pStyle w:val="TBullet"/>
            </w:pPr>
            <w:r>
              <w:t xml:space="preserve">This Order is made under </w:t>
            </w:r>
            <w:r w:rsidR="00250707">
              <w:t xml:space="preserve">Section 53 (2) (b) of the Wildlife and Countryside Act 1981 (the 1981 Act) and is known as </w:t>
            </w:r>
            <w:r w:rsidR="003A6F57" w:rsidRPr="003A6F57">
              <w:t xml:space="preserve">The </w:t>
            </w:r>
            <w:r w:rsidR="002843E7">
              <w:t>Nottinghamshire County Council (Everton Bridleway No.30 and Footway No.31 and Gringley on the Hill Footpath No.24 and Bridleway No.25) Modification Order 2021</w:t>
            </w:r>
            <w:r w:rsidR="004E558D">
              <w:t>.</w:t>
            </w:r>
          </w:p>
        </w:tc>
      </w:tr>
      <w:tr w:rsidR="00FE5CF5" w14:paraId="3B9D7333" w14:textId="77777777" w:rsidTr="00FE5CF5">
        <w:tc>
          <w:tcPr>
            <w:tcW w:w="9520" w:type="dxa"/>
            <w:shd w:val="clear" w:color="auto" w:fill="auto"/>
          </w:tcPr>
          <w:p w14:paraId="2DA204C3" w14:textId="692F18E0" w:rsidR="00FE5CF5" w:rsidRDefault="00FE5CF5" w:rsidP="003E6B7C">
            <w:pPr>
              <w:pStyle w:val="TBullet"/>
            </w:pPr>
            <w:r>
              <w:t xml:space="preserve">The Order is dated </w:t>
            </w:r>
            <w:r w:rsidR="004E558D">
              <w:t>27 August 2</w:t>
            </w:r>
            <w:r w:rsidR="00CA788D">
              <w:t>0</w:t>
            </w:r>
            <w:r w:rsidR="004E558D">
              <w:t>21</w:t>
            </w:r>
            <w:r w:rsidR="00250707">
              <w:t xml:space="preserve"> </w:t>
            </w:r>
            <w:r>
              <w:t xml:space="preserve">and proposes to </w:t>
            </w:r>
            <w:r w:rsidR="00250707">
              <w:t xml:space="preserve">modify the Definitive Map and Statement for the area by </w:t>
            </w:r>
            <w:r w:rsidR="00941D4A">
              <w:t xml:space="preserve">adding </w:t>
            </w:r>
            <w:r w:rsidR="004E558D">
              <w:t xml:space="preserve">public bridleways and a public footpath and amending the definitive statement </w:t>
            </w:r>
            <w:r w:rsidR="00EB5D8D">
              <w:t>as shown on the Order Map</w:t>
            </w:r>
            <w:r w:rsidR="004E558D">
              <w:t>s</w:t>
            </w:r>
            <w:r w:rsidR="00EB5D8D">
              <w:t xml:space="preserve"> and Schedule.</w:t>
            </w:r>
          </w:p>
        </w:tc>
      </w:tr>
      <w:tr w:rsidR="00FE5CF5" w14:paraId="534035EB" w14:textId="77777777" w:rsidTr="00FE5CF5">
        <w:tc>
          <w:tcPr>
            <w:tcW w:w="9520" w:type="dxa"/>
            <w:shd w:val="clear" w:color="auto" w:fill="auto"/>
          </w:tcPr>
          <w:p w14:paraId="22593482" w14:textId="5C4E39FA" w:rsidR="00FE5CF5" w:rsidRDefault="00FE5CF5" w:rsidP="00250707">
            <w:pPr>
              <w:pStyle w:val="TBullet"/>
            </w:pPr>
            <w:r>
              <w:t>There w</w:t>
            </w:r>
            <w:r w:rsidR="003E6B7C">
              <w:t>ere</w:t>
            </w:r>
            <w:r w:rsidR="00EB5D8D">
              <w:t xml:space="preserve"> </w:t>
            </w:r>
            <w:r w:rsidR="00941D4A">
              <w:t>tw</w:t>
            </w:r>
            <w:r w:rsidR="004E558D">
              <w:t>o</w:t>
            </w:r>
            <w:r w:rsidR="00334CEA">
              <w:t xml:space="preserve"> </w:t>
            </w:r>
            <w:r>
              <w:t>objection</w:t>
            </w:r>
            <w:r w:rsidR="003E6B7C">
              <w:t>s</w:t>
            </w:r>
            <w:r>
              <w:t xml:space="preserve"> outstanding when </w:t>
            </w:r>
            <w:r w:rsidR="004E558D">
              <w:t xml:space="preserve">Nottinghamshire County </w:t>
            </w:r>
            <w:r w:rsidR="00EB5D8D">
              <w:t xml:space="preserve">Council </w:t>
            </w:r>
            <w:r w:rsidR="00C13D04">
              <w:t xml:space="preserve">(the “Council”) </w:t>
            </w:r>
            <w:r>
              <w:t>submitted the Order to the Secretary of State for Environment, Food and Rural Affairs for confirmation.</w:t>
            </w:r>
          </w:p>
        </w:tc>
      </w:tr>
      <w:tr w:rsidR="00FE5CF5" w14:paraId="6E8488D0" w14:textId="77777777" w:rsidTr="00FE5CF5">
        <w:tc>
          <w:tcPr>
            <w:tcW w:w="9520" w:type="dxa"/>
            <w:shd w:val="clear" w:color="auto" w:fill="auto"/>
          </w:tcPr>
          <w:p w14:paraId="61615847" w14:textId="3F6C1AC7" w:rsidR="00FE5CF5" w:rsidRPr="00FE5CF5" w:rsidRDefault="00FE5CF5" w:rsidP="00A00E37">
            <w:pPr>
              <w:spacing w:before="60"/>
              <w:rPr>
                <w:b/>
                <w:color w:val="000000"/>
              </w:rPr>
            </w:pPr>
            <w:r>
              <w:rPr>
                <w:b/>
                <w:color w:val="000000"/>
              </w:rPr>
              <w:t>Summary of Decision:</w:t>
            </w:r>
            <w:r w:rsidR="00F3039A">
              <w:rPr>
                <w:b/>
                <w:color w:val="000000"/>
              </w:rPr>
              <w:t xml:space="preserve">  The Order is </w:t>
            </w:r>
            <w:r w:rsidR="001D7B14">
              <w:rPr>
                <w:b/>
                <w:color w:val="000000"/>
              </w:rPr>
              <w:t>confirmed</w:t>
            </w:r>
            <w:r w:rsidR="008B71E4">
              <w:rPr>
                <w:b/>
                <w:color w:val="000000"/>
              </w:rPr>
              <w:t xml:space="preserve"> </w:t>
            </w:r>
          </w:p>
        </w:tc>
      </w:tr>
      <w:tr w:rsidR="00FE5CF5" w14:paraId="1AF5673B" w14:textId="77777777" w:rsidTr="00FE5CF5">
        <w:tc>
          <w:tcPr>
            <w:tcW w:w="9520" w:type="dxa"/>
            <w:tcBorders>
              <w:bottom w:val="single" w:sz="6" w:space="0" w:color="000000"/>
            </w:tcBorders>
            <w:shd w:val="clear" w:color="auto" w:fill="auto"/>
          </w:tcPr>
          <w:p w14:paraId="6D81786A" w14:textId="77777777" w:rsidR="00FE5CF5" w:rsidRPr="00FE5CF5" w:rsidRDefault="00FE5CF5" w:rsidP="00FE5CF5">
            <w:pPr>
              <w:spacing w:before="60"/>
              <w:rPr>
                <w:b/>
                <w:color w:val="000000"/>
                <w:sz w:val="2"/>
              </w:rPr>
            </w:pPr>
            <w:bookmarkStart w:id="1" w:name="bmkReturn"/>
            <w:bookmarkEnd w:id="1"/>
          </w:p>
        </w:tc>
      </w:tr>
    </w:tbl>
    <w:p w14:paraId="53860B7D" w14:textId="21FED07A" w:rsidR="00835DEF" w:rsidRPr="00835DEF" w:rsidRDefault="00835DEF" w:rsidP="00835DEF">
      <w:pPr>
        <w:pStyle w:val="Style1"/>
        <w:numPr>
          <w:ilvl w:val="0"/>
          <w:numId w:val="0"/>
        </w:numPr>
        <w:rPr>
          <w:b/>
        </w:rPr>
      </w:pPr>
      <w:r w:rsidRPr="00835DEF">
        <w:rPr>
          <w:b/>
        </w:rPr>
        <w:t>Preliminary matters</w:t>
      </w:r>
    </w:p>
    <w:p w14:paraId="514DAD85" w14:textId="457F606C" w:rsidR="00A8038B" w:rsidRDefault="00A8038B" w:rsidP="00A8038B">
      <w:pPr>
        <w:pStyle w:val="Style1"/>
      </w:pPr>
      <w:r>
        <w:t>I made an unaccompanied site inspection of the Order route.</w:t>
      </w:r>
      <w:r w:rsidR="00ED001F">
        <w:t xml:space="preserve"> No request was made for a hearing or an inquiry, therefore I have determined the application on the written representations received. </w:t>
      </w:r>
    </w:p>
    <w:p w14:paraId="19D9936F" w14:textId="3664923B" w:rsidR="004E558D" w:rsidRDefault="004F734F" w:rsidP="00C9597F">
      <w:pPr>
        <w:pStyle w:val="Style1"/>
      </w:pPr>
      <w:r>
        <w:t xml:space="preserve">The </w:t>
      </w:r>
      <w:r w:rsidR="004E558D">
        <w:t>effect of the Order if confirmed, would be to:</w:t>
      </w:r>
    </w:p>
    <w:p w14:paraId="6E082DFF" w14:textId="77777777" w:rsidR="004E558D" w:rsidRDefault="004E558D" w:rsidP="004E558D">
      <w:pPr>
        <w:pStyle w:val="Style1"/>
        <w:numPr>
          <w:ilvl w:val="0"/>
          <w:numId w:val="0"/>
        </w:numPr>
        <w:spacing w:before="0"/>
        <w:ind w:left="1151"/>
      </w:pPr>
    </w:p>
    <w:p w14:paraId="648FBB49" w14:textId="764FB4E4" w:rsidR="004E558D" w:rsidRDefault="004E558D" w:rsidP="004E558D">
      <w:pPr>
        <w:pStyle w:val="Style1"/>
        <w:numPr>
          <w:ilvl w:val="0"/>
          <w:numId w:val="28"/>
        </w:numPr>
        <w:spacing w:before="0"/>
        <w:ind w:hanging="357"/>
      </w:pPr>
      <w:r w:rsidRPr="004E558D">
        <w:t xml:space="preserve">add a public bridleway </w:t>
      </w:r>
      <w:r w:rsidR="00BD6B56">
        <w:t xml:space="preserve">(No30) </w:t>
      </w:r>
      <w:r w:rsidRPr="004E558D">
        <w:t>along the flood bank of the River Idle from the junction with Everton Bridleway No.27 at grid reference SK6878 9380 to a point SK7016 9444</w:t>
      </w:r>
    </w:p>
    <w:p w14:paraId="3EE73717" w14:textId="03C4648C" w:rsidR="004E558D" w:rsidRDefault="004E558D" w:rsidP="004E558D">
      <w:pPr>
        <w:pStyle w:val="Style1"/>
        <w:numPr>
          <w:ilvl w:val="0"/>
          <w:numId w:val="28"/>
        </w:numPr>
        <w:spacing w:before="0"/>
        <w:ind w:hanging="357"/>
      </w:pPr>
      <w:r w:rsidRPr="004E558D">
        <w:t xml:space="preserve">add a public bridleway </w:t>
      </w:r>
      <w:r w:rsidR="00BD6B56">
        <w:t xml:space="preserve">(No25) </w:t>
      </w:r>
      <w:r w:rsidRPr="004E558D">
        <w:t>along the flood bank from the junction with Everton Bridleway No.24 (Polly Bell Bank), SK7017 9442 to the junction with Gringley on the Hill Footpath No.17, SK7130 9500</w:t>
      </w:r>
    </w:p>
    <w:p w14:paraId="28D0C2F0" w14:textId="31C6B811" w:rsidR="004E558D" w:rsidRDefault="004E558D" w:rsidP="004E558D">
      <w:pPr>
        <w:pStyle w:val="Style1"/>
        <w:numPr>
          <w:ilvl w:val="0"/>
          <w:numId w:val="28"/>
        </w:numPr>
        <w:spacing w:before="0"/>
        <w:ind w:hanging="357"/>
      </w:pPr>
      <w:r w:rsidRPr="004E558D">
        <w:t>add a footpath</w:t>
      </w:r>
      <w:r w:rsidR="00BD6B56">
        <w:t xml:space="preserve"> (No31)</w:t>
      </w:r>
      <w:r w:rsidRPr="004E558D">
        <w:t xml:space="preserve"> from the northern end of Everton Bridleway No.24 leading to the River Idle between points SK7017 9442, SK7016 9444 and SK7018 9447 and</w:t>
      </w:r>
    </w:p>
    <w:p w14:paraId="6C5678EA" w14:textId="634F82E4" w:rsidR="004E558D" w:rsidRDefault="004E558D" w:rsidP="004E558D">
      <w:pPr>
        <w:pStyle w:val="Style1"/>
        <w:numPr>
          <w:ilvl w:val="0"/>
          <w:numId w:val="28"/>
        </w:numPr>
        <w:spacing w:before="0"/>
        <w:ind w:hanging="357"/>
      </w:pPr>
      <w:r w:rsidRPr="004E558D">
        <w:t>amend the definitive statement in respect of the northern termini of Everton Bridleway No.24</w:t>
      </w:r>
      <w:r>
        <w:t>.</w:t>
      </w:r>
    </w:p>
    <w:p w14:paraId="52E19E73" w14:textId="77777777" w:rsidR="00A8038B" w:rsidRDefault="00A8038B" w:rsidP="00A8038B">
      <w:pPr>
        <w:pStyle w:val="Style1"/>
      </w:pPr>
      <w:r w:rsidRPr="00A8038B">
        <w:t>The Order is made under s53(2)(b) of the 1981 Act and more particularly</w:t>
      </w:r>
      <w:r>
        <w:t>:</w:t>
      </w:r>
    </w:p>
    <w:p w14:paraId="0757CCD9" w14:textId="3C7DD485" w:rsidR="00A8038B" w:rsidRDefault="00A8038B" w:rsidP="00A8038B">
      <w:pPr>
        <w:pStyle w:val="Style1"/>
        <w:numPr>
          <w:ilvl w:val="0"/>
          <w:numId w:val="29"/>
        </w:numPr>
      </w:pPr>
      <w:r w:rsidRPr="00A8038B">
        <w:t xml:space="preserve">s53(3)(c)(i) </w:t>
      </w:r>
      <w:r>
        <w:t xml:space="preserve">which </w:t>
      </w:r>
      <w:r w:rsidRPr="00A8038B">
        <w:t>states that an order should be made to modify the DMS for an area on the discovery of evidence which, when considered with all other relevant evidence available, shows that: “</w:t>
      </w:r>
      <w:r w:rsidRPr="00BD6B56">
        <w:rPr>
          <w:i/>
          <w:iCs/>
        </w:rPr>
        <w:t>a right of way which is not shown in the map and statement subsists or is reasonably alleged to subsist over land in the area to which the map relates, being a right of way to which this Part applies</w:t>
      </w:r>
      <w:r>
        <w:t>;</w:t>
      </w:r>
      <w:r w:rsidRPr="00A8038B">
        <w:t>”</w:t>
      </w:r>
      <w:r>
        <w:t xml:space="preserve"> and</w:t>
      </w:r>
    </w:p>
    <w:p w14:paraId="65DDD679" w14:textId="3BC78ED9" w:rsidR="00A8038B" w:rsidRDefault="00A8038B" w:rsidP="00A8038B">
      <w:pPr>
        <w:pStyle w:val="Style1"/>
        <w:numPr>
          <w:ilvl w:val="0"/>
          <w:numId w:val="29"/>
        </w:numPr>
      </w:pPr>
      <w:r w:rsidRPr="00A8038B">
        <w:lastRenderedPageBreak/>
        <w:t>53(3)(c)(iii)</w:t>
      </w:r>
      <w:r>
        <w:t xml:space="preserve"> which applies when </w:t>
      </w:r>
      <w:r w:rsidRPr="00A8038B">
        <w:t>other particulars contained in the definitive statement require modification</w:t>
      </w:r>
      <w:r>
        <w:t>.</w:t>
      </w:r>
    </w:p>
    <w:p w14:paraId="30B95EC1" w14:textId="5C554D64" w:rsidR="00E14351" w:rsidRPr="00E14351" w:rsidRDefault="00E14351" w:rsidP="00E14351">
      <w:pPr>
        <w:pStyle w:val="Style1"/>
        <w:numPr>
          <w:ilvl w:val="0"/>
          <w:numId w:val="0"/>
        </w:numPr>
        <w:rPr>
          <w:b/>
          <w:bCs/>
        </w:rPr>
      </w:pPr>
      <w:r w:rsidRPr="00E14351">
        <w:rPr>
          <w:b/>
          <w:bCs/>
        </w:rPr>
        <w:t>Procedural matter</w:t>
      </w:r>
    </w:p>
    <w:p w14:paraId="4C1DC8F2" w14:textId="3F49022A" w:rsidR="00E14351" w:rsidRDefault="0036351C" w:rsidP="00E50052">
      <w:pPr>
        <w:pStyle w:val="Style1"/>
      </w:pPr>
      <w:r>
        <w:t xml:space="preserve">The applicant submitted </w:t>
      </w:r>
      <w:r w:rsidR="005022DE">
        <w:t>late evidence</w:t>
      </w:r>
      <w:r w:rsidR="00A66558">
        <w:t xml:space="preserve"> </w:t>
      </w:r>
      <w:r w:rsidR="004F075F">
        <w:t xml:space="preserve">in support of </w:t>
      </w:r>
      <w:r w:rsidR="00AA1B58">
        <w:t xml:space="preserve">the application. It </w:t>
      </w:r>
      <w:r w:rsidR="00300743" w:rsidRPr="00300743">
        <w:t>do</w:t>
      </w:r>
      <w:r w:rsidR="00A66558">
        <w:t>es</w:t>
      </w:r>
      <w:r w:rsidR="00300743" w:rsidRPr="00300743">
        <w:t xml:space="preserve"> not materially add to my </w:t>
      </w:r>
      <w:r w:rsidR="00A21518">
        <w:t xml:space="preserve">consideration of the evidence </w:t>
      </w:r>
      <w:r w:rsidR="009F1EF5">
        <w:t xml:space="preserve">or </w:t>
      </w:r>
      <w:r w:rsidR="00F7673C">
        <w:t xml:space="preserve">the </w:t>
      </w:r>
      <w:r w:rsidR="00300743" w:rsidRPr="00300743">
        <w:t>decision</w:t>
      </w:r>
      <w:r w:rsidR="00F7673C">
        <w:t>,</w:t>
      </w:r>
      <w:r w:rsidR="00A66558">
        <w:t xml:space="preserve"> </w:t>
      </w:r>
      <w:r w:rsidR="00121DCB">
        <w:t xml:space="preserve">which is to confirm the Order, </w:t>
      </w:r>
      <w:r w:rsidR="00300743" w:rsidRPr="00300743">
        <w:t xml:space="preserve">and therefore I have not considered </w:t>
      </w:r>
      <w:r w:rsidR="00D52256">
        <w:t>it</w:t>
      </w:r>
      <w:r w:rsidR="00AA1B58">
        <w:t xml:space="preserve"> further</w:t>
      </w:r>
      <w:r w:rsidR="00300743" w:rsidRPr="00300743">
        <w:t>.</w:t>
      </w:r>
      <w:r w:rsidRPr="0036351C">
        <w:t xml:space="preserve"> </w:t>
      </w:r>
    </w:p>
    <w:p w14:paraId="45AD6F27" w14:textId="188BF409" w:rsidR="00E14351" w:rsidRPr="00E14351" w:rsidRDefault="00E14351" w:rsidP="00E14351">
      <w:pPr>
        <w:pStyle w:val="Style1"/>
        <w:numPr>
          <w:ilvl w:val="0"/>
          <w:numId w:val="0"/>
        </w:numPr>
        <w:rPr>
          <w:b/>
          <w:bCs/>
        </w:rPr>
      </w:pPr>
      <w:r w:rsidRPr="00E14351">
        <w:rPr>
          <w:b/>
          <w:bCs/>
        </w:rPr>
        <w:t>Objections</w:t>
      </w:r>
    </w:p>
    <w:p w14:paraId="37DA7EE9" w14:textId="4D68B9D1" w:rsidR="003F0B7D" w:rsidRDefault="00DF1009" w:rsidP="00E50052">
      <w:pPr>
        <w:pStyle w:val="Style1"/>
      </w:pPr>
      <w:r>
        <w:t xml:space="preserve">The first objection is made by </w:t>
      </w:r>
      <w:r w:rsidR="006C077F">
        <w:t>the owner of land through which the Order route lies</w:t>
      </w:r>
      <w:r w:rsidR="008F5A2D">
        <w:t xml:space="preserve"> </w:t>
      </w:r>
      <w:r w:rsidR="00277B4D" w:rsidRPr="00277B4D">
        <w:t xml:space="preserve">Lapwing Estate Limited </w:t>
      </w:r>
      <w:r w:rsidR="00277B4D">
        <w:t>(LEL)</w:t>
      </w:r>
      <w:r w:rsidR="006C077F">
        <w:t>.</w:t>
      </w:r>
      <w:r w:rsidR="008F5A2D">
        <w:t xml:space="preserve"> </w:t>
      </w:r>
      <w:r w:rsidR="00A70439">
        <w:t xml:space="preserve">In essence it is said that on the balance of probability the rights alleged do not exist. </w:t>
      </w:r>
      <w:r w:rsidR="008F5A2D">
        <w:t>The se</w:t>
      </w:r>
      <w:r w:rsidR="00F23AEF">
        <w:t>co</w:t>
      </w:r>
      <w:r w:rsidR="008F5A2D">
        <w:t xml:space="preserve">nd objection is </w:t>
      </w:r>
      <w:r w:rsidR="00A70439">
        <w:t xml:space="preserve">from </w:t>
      </w:r>
      <w:r w:rsidR="008F5A2D">
        <w:t xml:space="preserve">the </w:t>
      </w:r>
      <w:r w:rsidR="00277B4D">
        <w:t>applicant</w:t>
      </w:r>
      <w:r w:rsidR="00A70439">
        <w:t xml:space="preserve">, but it is only as to </w:t>
      </w:r>
      <w:r w:rsidR="00641E99">
        <w:t xml:space="preserve">what is omitted from the Order, ie the </w:t>
      </w:r>
      <w:r w:rsidR="00641E99" w:rsidRPr="00641E99">
        <w:t xml:space="preserve">addition of short section of bridleway between the Everton flood bank and the embarkation point for Misson Ferry. </w:t>
      </w:r>
      <w:r w:rsidR="00641E99">
        <w:t xml:space="preserve">The applicant seeks a modification to the Order </w:t>
      </w:r>
      <w:r w:rsidR="00641E99" w:rsidRPr="00641E99">
        <w:t>that would add this short link</w:t>
      </w:r>
      <w:r w:rsidR="00641E99">
        <w:t xml:space="preserve">. </w:t>
      </w:r>
      <w:r w:rsidR="00277B4D">
        <w:t>LEL</w:t>
      </w:r>
      <w:r w:rsidR="00641E99">
        <w:t xml:space="preserve"> asserts that my </w:t>
      </w:r>
      <w:r w:rsidR="00641E99" w:rsidRPr="00641E99">
        <w:t>powers to modify the Order do not stretch that far.</w:t>
      </w:r>
      <w:r w:rsidR="00641E99">
        <w:t xml:space="preserve"> I consider the proposed modification </w:t>
      </w:r>
      <w:r w:rsidR="00BD6B56">
        <w:t xml:space="preserve">separately </w:t>
      </w:r>
      <w:r w:rsidR="00641E99">
        <w:t>below.</w:t>
      </w:r>
      <w:r w:rsidR="00641E99" w:rsidRPr="00641E99">
        <w:t xml:space="preserve"> </w:t>
      </w:r>
    </w:p>
    <w:p w14:paraId="5D3B8ADD" w14:textId="77777777" w:rsidR="003F0B7D" w:rsidRPr="003F0B7D" w:rsidRDefault="003F0B7D" w:rsidP="003F0B7D">
      <w:pPr>
        <w:pStyle w:val="Style1"/>
        <w:numPr>
          <w:ilvl w:val="0"/>
          <w:numId w:val="0"/>
        </w:numPr>
        <w:rPr>
          <w:b/>
          <w:bCs/>
        </w:rPr>
      </w:pPr>
      <w:r w:rsidRPr="003F0B7D">
        <w:rPr>
          <w:b/>
          <w:bCs/>
        </w:rPr>
        <w:t>The main issue and legal framework</w:t>
      </w:r>
    </w:p>
    <w:p w14:paraId="5160FED7" w14:textId="38774699" w:rsidR="00E50052" w:rsidRDefault="00235EB4" w:rsidP="00E50052">
      <w:pPr>
        <w:pStyle w:val="Style1"/>
      </w:pPr>
      <w:r>
        <w:t xml:space="preserve">The main issue is whether </w:t>
      </w:r>
      <w:r w:rsidR="0067496C">
        <w:t xml:space="preserve">the </w:t>
      </w:r>
      <w:r>
        <w:t xml:space="preserve">evidence discovered by the Council, taken with all other relevant evidence is sufficient to show on a balance of probabilities that </w:t>
      </w:r>
      <w:r w:rsidR="008A720B">
        <w:t xml:space="preserve">public </w:t>
      </w:r>
      <w:r>
        <w:t>right</w:t>
      </w:r>
      <w:r w:rsidR="00A8038B">
        <w:t>s</w:t>
      </w:r>
      <w:r>
        <w:t xml:space="preserve"> of way</w:t>
      </w:r>
      <w:r w:rsidR="008A720B">
        <w:t xml:space="preserve"> of the status claimed</w:t>
      </w:r>
      <w:r w:rsidR="00C13D04">
        <w:t>,</w:t>
      </w:r>
      <w:r>
        <w:t xml:space="preserve"> not shown in the Definitive Map and Statement</w:t>
      </w:r>
      <w:r w:rsidR="00F765D4">
        <w:t xml:space="preserve"> (DMS),</w:t>
      </w:r>
      <w:r>
        <w:t xml:space="preserve"> subsist over land </w:t>
      </w:r>
      <w:r w:rsidR="00F765D4">
        <w:t>as</w:t>
      </w:r>
      <w:r>
        <w:t xml:space="preserve"> </w:t>
      </w:r>
      <w:r w:rsidR="009A1D29">
        <w:t xml:space="preserve">shown on </w:t>
      </w:r>
      <w:r>
        <w:t xml:space="preserve">the </w:t>
      </w:r>
      <w:r w:rsidR="000649A6">
        <w:t xml:space="preserve">Order </w:t>
      </w:r>
      <w:r>
        <w:t>Map.</w:t>
      </w:r>
      <w:r w:rsidR="00E50052" w:rsidRPr="00E50052">
        <w:t xml:space="preserve"> </w:t>
      </w:r>
    </w:p>
    <w:p w14:paraId="05849CAD" w14:textId="57DD1E0F" w:rsidR="00587C4F" w:rsidRDefault="00587C4F" w:rsidP="00587C4F">
      <w:pPr>
        <w:pStyle w:val="Style1"/>
      </w:pPr>
      <w:r>
        <w:t xml:space="preserve">There is a statutory presumption of dedication in s31 HA1980: if public use of a way for twenty years or more is shown, the way is deemed to have been dedicated as a highway of that description unless </w:t>
      </w:r>
      <w:r w:rsidRPr="00C13D04">
        <w:t xml:space="preserve">there is sufficient evidence </w:t>
      </w:r>
      <w:r>
        <w:t>from which it can be concluded that</w:t>
      </w:r>
      <w:r w:rsidRPr="00C13D04">
        <w:t xml:space="preserve"> there was no </w:t>
      </w:r>
      <w:r>
        <w:t xml:space="preserve">such </w:t>
      </w:r>
      <w:r w:rsidRPr="00C13D04">
        <w:t>intention during that period to dedicate it</w:t>
      </w:r>
      <w:r>
        <w:t xml:space="preserve">. </w:t>
      </w:r>
      <w:r w:rsidRPr="00C13D04">
        <w:t xml:space="preserve">The </w:t>
      </w:r>
      <w:r>
        <w:t>twenty-</w:t>
      </w:r>
      <w:r w:rsidRPr="00C13D04">
        <w:t>year</w:t>
      </w:r>
      <w:r>
        <w:t xml:space="preserve"> period is calculated retrospectively from </w:t>
      </w:r>
      <w:r w:rsidRPr="00C13D04">
        <w:t>the date when the public</w:t>
      </w:r>
      <w:r>
        <w:t xml:space="preserve">’s right </w:t>
      </w:r>
      <w:r w:rsidRPr="00C13D04">
        <w:t xml:space="preserve">to use the way </w:t>
      </w:r>
      <w:r>
        <w:t xml:space="preserve">as claimed </w:t>
      </w:r>
      <w:r w:rsidRPr="00C13D04">
        <w:t xml:space="preserve">is </w:t>
      </w:r>
      <w:r>
        <w:t xml:space="preserve">first </w:t>
      </w:r>
      <w:r w:rsidRPr="00C13D04">
        <w:t>brought into question</w:t>
      </w:r>
      <w:r>
        <w:t xml:space="preserve">. Also, at common law, periods of less than 20 years may be sufficient from which to infer that a way was dedicated and accepted for public use. </w:t>
      </w:r>
    </w:p>
    <w:p w14:paraId="1583D997" w14:textId="281708E4" w:rsidR="00B75E7E" w:rsidRPr="00277B4D" w:rsidRDefault="0067496C" w:rsidP="00277B4D">
      <w:pPr>
        <w:pStyle w:val="Style1"/>
      </w:pPr>
      <w:r>
        <w:t xml:space="preserve">By s32 Highways Act 1980 </w:t>
      </w:r>
      <w:r w:rsidR="008A720B">
        <w:t xml:space="preserve">(HA1980) </w:t>
      </w:r>
      <w:r w:rsidR="00C13D04">
        <w:t xml:space="preserve">I </w:t>
      </w:r>
      <w:r w:rsidR="008A720B">
        <w:t>must consider</w:t>
      </w:r>
      <w:r w:rsidR="000D0C98" w:rsidRPr="000D0C98">
        <w:t xml:space="preserve"> any </w:t>
      </w:r>
      <w:r w:rsidR="00C13D04">
        <w:t>“</w:t>
      </w:r>
      <w:r w:rsidR="000D0C98" w:rsidRPr="00334CEA">
        <w:rPr>
          <w:i/>
          <w:iCs/>
        </w:rPr>
        <w:t>map, plan or history of the locality or other relevant document</w:t>
      </w:r>
      <w:r w:rsidR="00C13D04" w:rsidRPr="00334CEA">
        <w:rPr>
          <w:i/>
          <w:iCs/>
        </w:rPr>
        <w:t xml:space="preserve">” </w:t>
      </w:r>
      <w:r w:rsidR="00C13D04">
        <w:t xml:space="preserve">offered in evidence </w:t>
      </w:r>
      <w:r w:rsidR="000D0C98" w:rsidRPr="000D0C98">
        <w:t>and give such weight to it as is justified by the circumstances</w:t>
      </w:r>
      <w:r w:rsidR="00C13D04">
        <w:t xml:space="preserve">, including its antiquity, </w:t>
      </w:r>
      <w:r w:rsidR="00C13D04" w:rsidRPr="00C13D04">
        <w:t xml:space="preserve">the status of the person </w:t>
      </w:r>
      <w:r w:rsidR="00B7583B">
        <w:t xml:space="preserve">who made or compiled it, including for what purpose, </w:t>
      </w:r>
      <w:r w:rsidR="00C13D04" w:rsidRPr="00C13D04">
        <w:t xml:space="preserve">and </w:t>
      </w:r>
      <w:bookmarkStart w:id="2" w:name="_Hlk148943710"/>
      <w:r w:rsidR="00C13D04" w:rsidRPr="00C13D04">
        <w:t>the custody in which it has been kept and from wh</w:t>
      </w:r>
      <w:r w:rsidR="00334CEA">
        <w:t xml:space="preserve">ence </w:t>
      </w:r>
      <w:r w:rsidR="00C13D04" w:rsidRPr="00C13D04">
        <w:t>it is produced</w:t>
      </w:r>
      <w:r w:rsidR="000D0C98" w:rsidRPr="000D0C98">
        <w:t>.</w:t>
      </w:r>
      <w:r w:rsidR="00587C4F" w:rsidRPr="00587C4F">
        <w:rPr>
          <w:color w:val="auto"/>
          <w:kern w:val="0"/>
        </w:rPr>
        <w:t xml:space="preserve"> </w:t>
      </w:r>
      <w:bookmarkEnd w:id="2"/>
    </w:p>
    <w:p w14:paraId="4867D151" w14:textId="602DB17A" w:rsidR="00B75E7E" w:rsidRPr="00F52C90" w:rsidRDefault="00B75E7E" w:rsidP="00B75E7E">
      <w:pPr>
        <w:pStyle w:val="Style1"/>
        <w:numPr>
          <w:ilvl w:val="0"/>
          <w:numId w:val="0"/>
        </w:numPr>
        <w:rPr>
          <w:b/>
          <w:bCs/>
        </w:rPr>
      </w:pPr>
      <w:r w:rsidRPr="00F52C90">
        <w:rPr>
          <w:b/>
          <w:bCs/>
        </w:rPr>
        <w:t>Everton Bridleway No.30</w:t>
      </w:r>
    </w:p>
    <w:p w14:paraId="673B4BD3" w14:textId="63B3C508" w:rsidR="00F52C90" w:rsidRPr="00F52C90" w:rsidRDefault="00F52C90" w:rsidP="00F52C90">
      <w:pPr>
        <w:pStyle w:val="Style1"/>
        <w:numPr>
          <w:ilvl w:val="0"/>
          <w:numId w:val="0"/>
        </w:numPr>
        <w:rPr>
          <w:i/>
          <w:iCs/>
        </w:rPr>
      </w:pPr>
      <w:r w:rsidRPr="00F52C90">
        <w:rPr>
          <w:i/>
          <w:iCs/>
        </w:rPr>
        <w:t>Inclosure award</w:t>
      </w:r>
      <w:r>
        <w:rPr>
          <w:i/>
          <w:iCs/>
        </w:rPr>
        <w:t xml:space="preserve"> and tithe maps</w:t>
      </w:r>
    </w:p>
    <w:p w14:paraId="14EB1700" w14:textId="302A70EF" w:rsidR="00B75E7E" w:rsidRDefault="00B75E7E" w:rsidP="00496E52">
      <w:pPr>
        <w:pStyle w:val="Style1"/>
      </w:pPr>
      <w:r w:rsidRPr="00B75E7E">
        <w:t xml:space="preserve">The Everton Inclosure Act 1759 authorised Commissioners to set out public roads to a width to 40ft or more. </w:t>
      </w:r>
      <w:r>
        <w:t>It</w:t>
      </w:r>
      <w:r w:rsidRPr="00B75E7E">
        <w:t xml:space="preserve"> distin</w:t>
      </w:r>
      <w:r>
        <w:t xml:space="preserve">guished </w:t>
      </w:r>
      <w:r w:rsidRPr="00B75E7E">
        <w:t>“</w:t>
      </w:r>
      <w:r w:rsidRPr="00BD6B56">
        <w:rPr>
          <w:i/>
          <w:iCs/>
        </w:rPr>
        <w:t>public Roads…public bridges, Causeways, Sluices, Drains and Banks</w:t>
      </w:r>
      <w:r w:rsidRPr="00B75E7E">
        <w:t xml:space="preserve">” </w:t>
      </w:r>
      <w:r>
        <w:t xml:space="preserve">from </w:t>
      </w:r>
      <w:r w:rsidRPr="00B75E7E">
        <w:t>“</w:t>
      </w:r>
      <w:r w:rsidRPr="00BD6B56">
        <w:rPr>
          <w:i/>
          <w:iCs/>
        </w:rPr>
        <w:t>private ways, Hedges, fences, bridges, Sluices, Drains Banks</w:t>
      </w:r>
      <w:r w:rsidRPr="00B75E7E">
        <w:t>…”</w:t>
      </w:r>
      <w:r>
        <w:t xml:space="preserve">. </w:t>
      </w:r>
      <w:r w:rsidR="00A46137">
        <w:t>P</w:t>
      </w:r>
      <w:r w:rsidRPr="00B75E7E">
        <w:t xml:space="preserve">ublic assets </w:t>
      </w:r>
      <w:r w:rsidR="00A46137">
        <w:t xml:space="preserve">were to be repaired by </w:t>
      </w:r>
      <w:r w:rsidRPr="00B75E7E">
        <w:t xml:space="preserve">the Surveyor of </w:t>
      </w:r>
      <w:r w:rsidR="00BD6B56" w:rsidRPr="00B75E7E">
        <w:t>Highways,</w:t>
      </w:r>
      <w:r w:rsidR="00A46137">
        <w:t xml:space="preserve"> but </w:t>
      </w:r>
      <w:r w:rsidRPr="00B75E7E">
        <w:t xml:space="preserve">private assets were the responsibility of the owners and occupiers of </w:t>
      </w:r>
      <w:r w:rsidR="00A46137">
        <w:t xml:space="preserve">the </w:t>
      </w:r>
      <w:r w:rsidRPr="00B75E7E">
        <w:t>allotted lands.</w:t>
      </w:r>
    </w:p>
    <w:p w14:paraId="797ED1BA" w14:textId="0136E308" w:rsidR="00B75E7E" w:rsidRDefault="00B75E7E" w:rsidP="00496E52">
      <w:pPr>
        <w:pStyle w:val="Style1"/>
      </w:pPr>
      <w:r>
        <w:t>T</w:t>
      </w:r>
      <w:r w:rsidRPr="00B75E7E">
        <w:t xml:space="preserve">he Everton Inclosure Award (1761) </w:t>
      </w:r>
      <w:r>
        <w:t xml:space="preserve">set out </w:t>
      </w:r>
      <w:r w:rsidRPr="00B75E7E">
        <w:t xml:space="preserve">four “public roads” of which </w:t>
      </w:r>
      <w:r w:rsidR="00A46137">
        <w:t xml:space="preserve">three were </w:t>
      </w:r>
      <w:r w:rsidRPr="00B75E7E">
        <w:t>less than the authorised width of 40ft</w:t>
      </w:r>
      <w:r>
        <w:t xml:space="preserve"> (and so </w:t>
      </w:r>
      <w:r w:rsidRPr="00B75E7E">
        <w:t>not set out in accordance with the 1759 Act</w:t>
      </w:r>
      <w:r>
        <w:t>)</w:t>
      </w:r>
      <w:r w:rsidRPr="00B75E7E">
        <w:t xml:space="preserve">. </w:t>
      </w:r>
      <w:r>
        <w:t xml:space="preserve">However, </w:t>
      </w:r>
      <w:r w:rsidRPr="00B75E7E">
        <w:t xml:space="preserve">the OMA contends that </w:t>
      </w:r>
      <w:r>
        <w:t xml:space="preserve">most </w:t>
      </w:r>
      <w:r w:rsidRPr="00B75E7E">
        <w:t xml:space="preserve">roads and ways in Everton and Harwell were dedicated </w:t>
      </w:r>
      <w:r>
        <w:t xml:space="preserve">after </w:t>
      </w:r>
      <w:r w:rsidRPr="00B75E7E">
        <w:t xml:space="preserve">the award </w:t>
      </w:r>
      <w:r>
        <w:t xml:space="preserve">by </w:t>
      </w:r>
      <w:r w:rsidRPr="00B75E7E">
        <w:t xml:space="preserve">actual public use as </w:t>
      </w:r>
      <w:r w:rsidRPr="00B75E7E">
        <w:lastRenderedPageBreak/>
        <w:t xml:space="preserve">demonstrated </w:t>
      </w:r>
      <w:r>
        <w:t xml:space="preserve">by </w:t>
      </w:r>
      <w:r w:rsidRPr="00B75E7E">
        <w:t xml:space="preserve">documentary evidence. The award </w:t>
      </w:r>
      <w:r>
        <w:t xml:space="preserve">states </w:t>
      </w:r>
      <w:r w:rsidRPr="00B75E7E">
        <w:t xml:space="preserve">that monies raised by the Surveyor of Highways </w:t>
      </w:r>
      <w:r>
        <w:t>we</w:t>
      </w:r>
      <w:r w:rsidRPr="00B75E7E">
        <w:t xml:space="preserve">re to be used </w:t>
      </w:r>
      <w:r>
        <w:t xml:space="preserve">to maintain the </w:t>
      </w:r>
      <w:r w:rsidRPr="00B75E7E">
        <w:t xml:space="preserve">banks of the River Idle </w:t>
      </w:r>
      <w:r w:rsidR="00BD6B56">
        <w:t xml:space="preserve">suggesting that </w:t>
      </w:r>
      <w:r w:rsidRPr="00B75E7E">
        <w:t>public status</w:t>
      </w:r>
      <w:r>
        <w:t xml:space="preserve"> </w:t>
      </w:r>
      <w:r w:rsidR="00BD6B56">
        <w:t>wa</w:t>
      </w:r>
      <w:r>
        <w:t xml:space="preserve">s </w:t>
      </w:r>
      <w:r w:rsidR="00BD6B56">
        <w:t xml:space="preserve">being </w:t>
      </w:r>
      <w:r>
        <w:t>given to ways along the banks</w:t>
      </w:r>
      <w:r w:rsidRPr="00B75E7E">
        <w:t>.</w:t>
      </w:r>
    </w:p>
    <w:p w14:paraId="7D222380" w14:textId="4231747F" w:rsidR="00B75E7E" w:rsidRDefault="00FF5110" w:rsidP="0041796A">
      <w:pPr>
        <w:pStyle w:val="Style1"/>
      </w:pPr>
      <w:r w:rsidRPr="00FF5110">
        <w:t>The route correspond</w:t>
      </w:r>
      <w:r>
        <w:t>ing</w:t>
      </w:r>
      <w:r w:rsidRPr="00FF5110">
        <w:t xml:space="preserve"> with Everton Bridleway No.30 is awarded to a width of 12 ft and is named “Bank of the River Idle or Toft Carr Bank”. It is noted that the bank (being maintained by the Surveyor of Highways) formed the only means of accessing an awarded “free public</w:t>
      </w:r>
      <w:r w:rsidR="0067099F">
        <w:t>k</w:t>
      </w:r>
      <w:r w:rsidRPr="00FF5110">
        <w:t xml:space="preserve"> wharf” and the Misson Ferry</w:t>
      </w:r>
      <w:r>
        <w:t>.</w:t>
      </w:r>
    </w:p>
    <w:p w14:paraId="163DCEBD" w14:textId="6659BFAE" w:rsidR="004650E9" w:rsidRDefault="00A94FAA" w:rsidP="0041796A">
      <w:pPr>
        <w:pStyle w:val="Style1"/>
      </w:pPr>
      <w:r>
        <w:t xml:space="preserve">With regard to the public wharf set out in the </w:t>
      </w:r>
      <w:r w:rsidR="006B3DA9">
        <w:t>I</w:t>
      </w:r>
      <w:r>
        <w:t xml:space="preserve">nclosure </w:t>
      </w:r>
      <w:r w:rsidR="006B3DA9">
        <w:t>A</w:t>
      </w:r>
      <w:r>
        <w:t>ward</w:t>
      </w:r>
      <w:r w:rsidR="006B3DA9">
        <w:t xml:space="preserve"> </w:t>
      </w:r>
      <w:r w:rsidR="00277B4D">
        <w:t>LEL</w:t>
      </w:r>
      <w:r w:rsidR="006B3DA9">
        <w:t xml:space="preserve"> asserts that </w:t>
      </w:r>
      <w:r>
        <w:t xml:space="preserve">by reference to its description </w:t>
      </w:r>
      <w:r w:rsidR="006B3DA9">
        <w:t xml:space="preserve">in </w:t>
      </w:r>
      <w:r>
        <w:t xml:space="preserve">the </w:t>
      </w:r>
      <w:r w:rsidR="006B3DA9">
        <w:t>a</w:t>
      </w:r>
      <w:r>
        <w:t>ward, the 1822 Tithe Map</w:t>
      </w:r>
      <w:r w:rsidR="006B3DA9">
        <w:t xml:space="preserve"> </w:t>
      </w:r>
      <w:r>
        <w:t>and the 1848 Tithe Map</w:t>
      </w:r>
      <w:r w:rsidR="006B3DA9">
        <w:t xml:space="preserve">, it </w:t>
      </w:r>
      <w:r>
        <w:t xml:space="preserve">was located at Point A1 on </w:t>
      </w:r>
      <w:r w:rsidR="00277B4D">
        <w:t>LEL</w:t>
      </w:r>
      <w:r>
        <w:t xml:space="preserve">’s </w:t>
      </w:r>
      <w:r w:rsidR="0049357A">
        <w:t>“</w:t>
      </w:r>
      <w:r>
        <w:t>Map A</w:t>
      </w:r>
      <w:r w:rsidR="0049357A">
        <w:t>”</w:t>
      </w:r>
      <w:r w:rsidR="006B3DA9">
        <w:t xml:space="preserve"> </w:t>
      </w:r>
      <w:r w:rsidR="009B6858">
        <w:t xml:space="preserve">between </w:t>
      </w:r>
      <w:r w:rsidR="001E31DD">
        <w:t xml:space="preserve">Grid Refs SK6878 9380 and </w:t>
      </w:r>
      <w:r w:rsidR="00001321">
        <w:t xml:space="preserve">SK6893 9414, ie </w:t>
      </w:r>
      <w:r w:rsidR="009B6858">
        <w:t>farther south than the landing place opposite Misson</w:t>
      </w:r>
      <w:r>
        <w:t xml:space="preserve">. </w:t>
      </w:r>
      <w:r w:rsidR="00001321">
        <w:t xml:space="preserve">There it is said, </w:t>
      </w:r>
      <w:r>
        <w:t>the public wharf was accessible via Green Lane/Misson Bank Lane/Toft Hill Lane (</w:t>
      </w:r>
      <w:r w:rsidR="00E351EE">
        <w:t xml:space="preserve">having </w:t>
      </w:r>
      <w:r>
        <w:t>differing names over time)</w:t>
      </w:r>
      <w:r w:rsidR="00E351EE">
        <w:t xml:space="preserve"> and t</w:t>
      </w:r>
      <w:r>
        <w:t>here was no need to use the Order Route.</w:t>
      </w:r>
    </w:p>
    <w:p w14:paraId="0A570150" w14:textId="0472DF67" w:rsidR="00777007" w:rsidRPr="00777007" w:rsidRDefault="0000038D" w:rsidP="00777007">
      <w:pPr>
        <w:pStyle w:val="Style1"/>
      </w:pPr>
      <w:r>
        <w:t xml:space="preserve">The word “wharf” is annotated clearly on the 1822 tithe map </w:t>
      </w:r>
      <w:r w:rsidR="002838E4">
        <w:t>corresponding to the faint pencil note on the inclosure map</w:t>
      </w:r>
      <w:r w:rsidR="00A67124">
        <w:t xml:space="preserve">. </w:t>
      </w:r>
      <w:r w:rsidR="00D20E67">
        <w:t xml:space="preserve">On the 1848 tithe map </w:t>
      </w:r>
      <w:r w:rsidR="00BD0CB5">
        <w:t>parcel</w:t>
      </w:r>
      <w:r w:rsidR="00D20E67">
        <w:t xml:space="preserve"> 426 is clearly marked as </w:t>
      </w:r>
      <w:r w:rsidR="007E2B6E">
        <w:t xml:space="preserve">a </w:t>
      </w:r>
      <w:r w:rsidR="00D20E67">
        <w:t>wharf in a similar position</w:t>
      </w:r>
      <w:r w:rsidR="00F2081A">
        <w:t xml:space="preserve"> and </w:t>
      </w:r>
      <w:r w:rsidR="00E96985">
        <w:t xml:space="preserve">412 as Misson Bank </w:t>
      </w:r>
      <w:r w:rsidR="00F2081A">
        <w:t xml:space="preserve">both owned by </w:t>
      </w:r>
      <w:r w:rsidR="004B4FFA">
        <w:t xml:space="preserve">the then relevant highway authority </w:t>
      </w:r>
      <w:r w:rsidR="00836EDC">
        <w:t>(and Gr</w:t>
      </w:r>
      <w:r w:rsidR="009939FD">
        <w:t>i</w:t>
      </w:r>
      <w:r w:rsidR="00836EDC">
        <w:t>ngley Bank, p</w:t>
      </w:r>
      <w:r w:rsidR="00BD0CB5">
        <w:t>arcel</w:t>
      </w:r>
      <w:r w:rsidR="00836EDC">
        <w:t xml:space="preserve"> 413</w:t>
      </w:r>
      <w:r w:rsidR="001A650A">
        <w:t>)</w:t>
      </w:r>
      <w:r w:rsidR="0086503E">
        <w:t xml:space="preserve">, and </w:t>
      </w:r>
      <w:r w:rsidR="007B2418">
        <w:t>417 (Flag Piece) located in the are</w:t>
      </w:r>
      <w:r w:rsidR="00280A25">
        <w:t>a</w:t>
      </w:r>
      <w:r w:rsidR="007B2418">
        <w:t xml:space="preserve"> south of the ferry across to Misson</w:t>
      </w:r>
      <w:r w:rsidR="001A650A">
        <w:t>.</w:t>
      </w:r>
      <w:r w:rsidR="009939FD">
        <w:t xml:space="preserve"> </w:t>
      </w:r>
      <w:r w:rsidR="00280A25">
        <w:t xml:space="preserve">The public wharf in the general vicinity of point A on the objector’s map </w:t>
      </w:r>
      <w:r w:rsidR="00113705">
        <w:t xml:space="preserve">would have been, I agree, accessible via Green </w:t>
      </w:r>
      <w:r w:rsidR="007B4B8A">
        <w:t>Lane</w:t>
      </w:r>
      <w:r w:rsidR="00777007">
        <w:t>/</w:t>
      </w:r>
      <w:r w:rsidR="00777007" w:rsidRPr="00777007">
        <w:t>Misson Bank Lane/Toft Hill Lane</w:t>
      </w:r>
      <w:r w:rsidR="007B4B8A">
        <w:t xml:space="preserve">, however that does not imply there was no need to use the route along the </w:t>
      </w:r>
      <w:r w:rsidR="007E2B6E">
        <w:t>riverbank</w:t>
      </w:r>
      <w:r w:rsidR="007B4B8A">
        <w:t xml:space="preserve"> </w:t>
      </w:r>
      <w:r w:rsidR="000A09F3">
        <w:t xml:space="preserve">ie Misson Bank up to </w:t>
      </w:r>
      <w:r w:rsidR="007D0C48">
        <w:t>the crossing to Misson by the ferry.</w:t>
      </w:r>
      <w:r w:rsidR="00777007">
        <w:t xml:space="preserve"> Nor does a wharf imply a crossing point over the river, but at any rate the evidence does not suggest that a crossing point, if it existed would have been used to the exclusion of a more direct rout by Misson Bank up to the ferry or beyond and along the rest of the Order route.  </w:t>
      </w:r>
      <w:r w:rsidR="00777007" w:rsidRPr="00777007">
        <w:t xml:space="preserve"> </w:t>
      </w:r>
    </w:p>
    <w:p w14:paraId="69BF692E" w14:textId="6B4A28C4" w:rsidR="00BD6B56" w:rsidRDefault="00C63DE7" w:rsidP="00BD6B56">
      <w:pPr>
        <w:pStyle w:val="Style1"/>
      </w:pPr>
      <w:r>
        <w:t xml:space="preserve">As stated by the Council </w:t>
      </w:r>
      <w:r w:rsidR="00AE57D6">
        <w:t>the 175</w:t>
      </w:r>
      <w:r w:rsidR="00132A8D">
        <w:t>9</w:t>
      </w:r>
      <w:r w:rsidR="00AE57D6">
        <w:t xml:space="preserve"> Act</w:t>
      </w:r>
      <w:r w:rsidR="00BD6B56">
        <w:t xml:space="preserve">, whose full title is </w:t>
      </w:r>
      <w:r w:rsidR="00BD6B56" w:rsidRPr="00BD6B56">
        <w:rPr>
          <w:i/>
          <w:iCs/>
        </w:rPr>
        <w:t>An Act for dividing and enclosing several Fields, Meadows, Pastures, Common and Waste Grounds, in the Parish of Everton, in the County of Nottingham, 32 Geo. 2. c. 46</w:t>
      </w:r>
      <w:r w:rsidR="00BD6B56">
        <w:t>,</w:t>
      </w:r>
      <w:r w:rsidR="00AE57D6">
        <w:t xml:space="preserve"> </w:t>
      </w:r>
      <w:r>
        <w:t xml:space="preserve">authorises the setting out of public roads. </w:t>
      </w:r>
      <w:r w:rsidR="00347273">
        <w:t xml:space="preserve">Highways </w:t>
      </w:r>
      <w:r w:rsidR="00BD6B56">
        <w:t xml:space="preserve">have </w:t>
      </w:r>
      <w:r w:rsidR="00347273">
        <w:t>a wide variety of names</w:t>
      </w:r>
      <w:r w:rsidR="00BD6B56">
        <w:t xml:space="preserve">, </w:t>
      </w:r>
      <w:r w:rsidR="00347273">
        <w:t>often associated with the character</w:t>
      </w:r>
      <w:r w:rsidR="008D75BB">
        <w:t xml:space="preserve"> of the way</w:t>
      </w:r>
      <w:r w:rsidR="00347273">
        <w:t>, for example in the 1761 Award “Double Drain Bank” is a road set out “</w:t>
      </w:r>
      <w:r w:rsidR="00347273" w:rsidRPr="00BD6B56">
        <w:rPr>
          <w:i/>
          <w:iCs/>
        </w:rPr>
        <w:t>between Drain and Drain</w:t>
      </w:r>
      <w:r w:rsidR="00347273">
        <w:t xml:space="preserve">” </w:t>
      </w:r>
      <w:r w:rsidR="00132881">
        <w:t xml:space="preserve">and </w:t>
      </w:r>
      <w:r w:rsidR="00347273">
        <w:t>itself referred to in the Award as another “</w:t>
      </w:r>
      <w:r w:rsidR="00347273" w:rsidRPr="00BD6B56">
        <w:rPr>
          <w:i/>
          <w:iCs/>
        </w:rPr>
        <w:t>Road or Bank</w:t>
      </w:r>
      <w:r w:rsidR="00347273">
        <w:t>”.</w:t>
      </w:r>
      <w:r w:rsidR="001C2811">
        <w:t xml:space="preserve"> Thus</w:t>
      </w:r>
      <w:r w:rsidR="00AF2893">
        <w:t>,</w:t>
      </w:r>
      <w:r w:rsidR="001C2811">
        <w:t xml:space="preserve"> in that instance, the words road and bank are </w:t>
      </w:r>
      <w:r w:rsidR="00A91A45">
        <w:t xml:space="preserve">interchangeable. </w:t>
      </w:r>
      <w:r w:rsidR="00BD6B56">
        <w:t xml:space="preserve">The character of the land on which a highway may come into existence could include several features such as a river, a bridge or </w:t>
      </w:r>
      <w:r w:rsidR="00264D04">
        <w:t>an embankment</w:t>
      </w:r>
      <w:r w:rsidR="00BD6B56">
        <w:t>.</w:t>
      </w:r>
    </w:p>
    <w:p w14:paraId="63E1B214" w14:textId="77777777" w:rsidR="00277B4D" w:rsidRDefault="00277B4D" w:rsidP="00277B4D">
      <w:pPr>
        <w:pStyle w:val="Style1"/>
      </w:pPr>
      <w:r>
        <w:t xml:space="preserve">Although this part of the Award may be ultra vires in that it set out the road at less than the authorised width, it is not to be discounted altogether since it appears the intention was to award a road along the Order route and there is no evidence that it was not set out or used specifically for lack of authority. It </w:t>
      </w:r>
      <w:r w:rsidRPr="007B3197">
        <w:t>provides some supporting evidence of a public way by virtue of its proximity to the awarded public wharf and Misson Ferry</w:t>
      </w:r>
      <w:r>
        <w:t xml:space="preserve"> which suggests</w:t>
      </w:r>
      <w:r w:rsidRPr="007B3197">
        <w:t xml:space="preserve"> it was not only a flood bank but </w:t>
      </w:r>
      <w:r>
        <w:t>would</w:t>
      </w:r>
      <w:r w:rsidRPr="007B3197">
        <w:t xml:space="preserve"> have carried traffic of some kind.</w:t>
      </w:r>
    </w:p>
    <w:p w14:paraId="50CB8D62" w14:textId="257BDDD5" w:rsidR="00BC5701" w:rsidRDefault="00E75DB3" w:rsidP="00107AB9">
      <w:pPr>
        <w:pStyle w:val="Style1"/>
      </w:pPr>
      <w:r w:rsidRPr="00E75DB3">
        <w:t>LEL also assert</w:t>
      </w:r>
      <w:r>
        <w:t>ed</w:t>
      </w:r>
      <w:r w:rsidRPr="00E75DB3">
        <w:t xml:space="preserve"> that a “bank” cannot have public highway status and therefore such a status should not be inferred from the enclosure award. The river Idle is a navigable river for its length by which the Order route runs.</w:t>
      </w:r>
      <w:r>
        <w:t xml:space="preserve"> </w:t>
      </w:r>
      <w:r w:rsidR="00BC5701">
        <w:t xml:space="preserve">It </w:t>
      </w:r>
      <w:r w:rsidR="008360FA">
        <w:t xml:space="preserve">was observed in </w:t>
      </w:r>
      <w:r w:rsidR="0088333B" w:rsidRPr="00E75DB3">
        <w:rPr>
          <w:i/>
          <w:iCs/>
        </w:rPr>
        <w:t xml:space="preserve">R v </w:t>
      </w:r>
      <w:r w:rsidR="008360FA" w:rsidRPr="00E75DB3">
        <w:rPr>
          <w:i/>
          <w:iCs/>
        </w:rPr>
        <w:t xml:space="preserve">Inhabitants of Clueworth </w:t>
      </w:r>
      <w:r w:rsidR="008E2419" w:rsidRPr="00E75DB3">
        <w:rPr>
          <w:i/>
          <w:iCs/>
        </w:rPr>
        <w:t>(</w:t>
      </w:r>
      <w:r>
        <w:rPr>
          <w:i/>
          <w:iCs/>
        </w:rPr>
        <w:t>Pasch 3 Ann</w:t>
      </w:r>
      <w:r w:rsidR="004E0E19">
        <w:rPr>
          <w:i/>
          <w:iCs/>
        </w:rPr>
        <w:t>)</w:t>
      </w:r>
      <w:r>
        <w:rPr>
          <w:i/>
          <w:iCs/>
        </w:rPr>
        <w:t xml:space="preserve"> 1 Salk. 358</w:t>
      </w:r>
      <w:r w:rsidR="008E2419">
        <w:t xml:space="preserve"> </w:t>
      </w:r>
      <w:r w:rsidR="00BC5701">
        <w:t>that</w:t>
      </w:r>
      <w:r w:rsidR="00965544">
        <w:t>:</w:t>
      </w:r>
      <w:r w:rsidR="00BC5701">
        <w:t xml:space="preserve">  </w:t>
      </w:r>
    </w:p>
    <w:p w14:paraId="5786FE8B" w14:textId="77777777" w:rsidR="00E75DB3" w:rsidRDefault="009B449A" w:rsidP="00A752DB">
      <w:pPr>
        <w:pStyle w:val="Style1"/>
        <w:numPr>
          <w:ilvl w:val="0"/>
          <w:numId w:val="0"/>
        </w:numPr>
        <w:ind w:left="431"/>
      </w:pPr>
      <w:r w:rsidRPr="00A752DB">
        <w:rPr>
          <w:i/>
          <w:iCs/>
        </w:rPr>
        <w:lastRenderedPageBreak/>
        <w:t>“</w:t>
      </w:r>
      <w:r w:rsidR="002F2B9C" w:rsidRPr="00A752DB">
        <w:rPr>
          <w:i/>
          <w:iCs/>
        </w:rPr>
        <w:t>A man has land adjoining to a navigable river</w:t>
      </w:r>
      <w:r w:rsidR="00913453" w:rsidRPr="00A752DB">
        <w:rPr>
          <w:i/>
          <w:iCs/>
        </w:rPr>
        <w:t>; every one that uses that river has if occasion be</w:t>
      </w:r>
      <w:r w:rsidR="00913453" w:rsidRPr="00FB3C87">
        <w:rPr>
          <w:i/>
          <w:iCs/>
        </w:rPr>
        <w:t xml:space="preserve">, a right to </w:t>
      </w:r>
      <w:r w:rsidR="00864E44" w:rsidRPr="00FB3C87">
        <w:rPr>
          <w:i/>
          <w:iCs/>
        </w:rPr>
        <w:t>a way by brink of water over such land, or farther in if necessary</w:t>
      </w:r>
      <w:r w:rsidR="00864E44" w:rsidRPr="00FB3C87">
        <w:t>.”</w:t>
      </w:r>
      <w:r w:rsidR="00A752DB" w:rsidRPr="00FB3C87">
        <w:rPr>
          <w:rStyle w:val="FootnoteReference"/>
        </w:rPr>
        <w:footnoteReference w:id="2"/>
      </w:r>
      <w:r w:rsidR="00864E44" w:rsidRPr="00FB3C87">
        <w:t xml:space="preserve"> </w:t>
      </w:r>
    </w:p>
    <w:p w14:paraId="557E6241" w14:textId="1E1DC06B" w:rsidR="00E43429" w:rsidRDefault="00E43429" w:rsidP="00496E52">
      <w:pPr>
        <w:pStyle w:val="Style1"/>
      </w:pPr>
      <w:r>
        <w:t>The</w:t>
      </w:r>
      <w:r w:rsidRPr="00E43429">
        <w:t xml:space="preserve"> </w:t>
      </w:r>
      <w:r>
        <w:t>OED defines brink as “</w:t>
      </w:r>
      <w:r w:rsidRPr="00FB3C87">
        <w:t>edge; especially: the edge at the top of a steep place. 2. a bank; especially of a river.</w:t>
      </w:r>
      <w:r>
        <w:t>” The way in question is on top of a bank which goes alongside the river. The statement in Clueworth seems to be obiter. There is no reason why a bank such as the present, which is capable of bearing pedestrian and equestrian traffic, may not in principle be subject to public rights of passage. The case is interesting because it raises the question of the extent of “brink of water”. “</w:t>
      </w:r>
      <w:r w:rsidRPr="00777007">
        <w:rPr>
          <w:i/>
          <w:iCs/>
        </w:rPr>
        <w:t>If occasion be</w:t>
      </w:r>
      <w:r>
        <w:t>” indicates that</w:t>
      </w:r>
      <w:r w:rsidRPr="00E43429">
        <w:t xml:space="preserve"> </w:t>
      </w:r>
      <w:r>
        <w:t xml:space="preserve">its scope might be limited to that found necessary to divert from the navigable river itself used as a highway and in any event the part of the bank claimed for public rights is not at the water’s edge. Therefore, the case is of limited assistance here. </w:t>
      </w:r>
    </w:p>
    <w:p w14:paraId="4F3C8619" w14:textId="3E2967C2" w:rsidR="00B75E7E" w:rsidRDefault="008F2693" w:rsidP="00496E52">
      <w:pPr>
        <w:pStyle w:val="Style1"/>
      </w:pPr>
      <w:r w:rsidRPr="008F2693">
        <w:t>Chapman’s Map of Nottinghamshire (1774)</w:t>
      </w:r>
      <w:r w:rsidR="00820753">
        <w:t>,</w:t>
      </w:r>
      <w:r w:rsidRPr="008F2693">
        <w:t xml:space="preserve"> </w:t>
      </w:r>
      <w:r w:rsidR="005D50ED">
        <w:t>although it is small scale</w:t>
      </w:r>
      <w:r w:rsidR="00B609C9">
        <w:t>, i</w:t>
      </w:r>
      <w:r w:rsidR="00CA2335">
        <w:t xml:space="preserve">t </w:t>
      </w:r>
      <w:r w:rsidR="00CA2335" w:rsidRPr="0091008C">
        <w:t>show</w:t>
      </w:r>
      <w:r w:rsidR="00CA2335">
        <w:t>s</w:t>
      </w:r>
      <w:r w:rsidR="00CA2335" w:rsidRPr="0091008C">
        <w:t xml:space="preserve"> access to the Ferry along the bank of the River Idle</w:t>
      </w:r>
      <w:r w:rsidR="009E0C18">
        <w:t xml:space="preserve"> and </w:t>
      </w:r>
      <w:r w:rsidRPr="008F2693">
        <w:t>a route between Everton and Misson Ferry</w:t>
      </w:r>
      <w:r w:rsidR="009E0C18">
        <w:t>,</w:t>
      </w:r>
      <w:r w:rsidRPr="008F2693">
        <w:t xml:space="preserve"> part of which </w:t>
      </w:r>
      <w:r>
        <w:t xml:space="preserve">goes </w:t>
      </w:r>
      <w:r w:rsidRPr="008F2693">
        <w:t>along the bank</w:t>
      </w:r>
      <w:r w:rsidR="009E0C18">
        <w:t>. T</w:t>
      </w:r>
      <w:r w:rsidRPr="008F2693">
        <w:t xml:space="preserve">he map key </w:t>
      </w:r>
      <w:r>
        <w:t xml:space="preserve">suggests it has </w:t>
      </w:r>
      <w:r w:rsidRPr="008F2693">
        <w:t xml:space="preserve">the status of a “Bridle Road”. </w:t>
      </w:r>
      <w:r w:rsidR="00B609C9">
        <w:t>F</w:t>
      </w:r>
      <w:r w:rsidRPr="008F2693">
        <w:t xml:space="preserve">ew bridle roads appear on </w:t>
      </w:r>
      <w:r>
        <w:t>this map</w:t>
      </w:r>
      <w:r w:rsidR="007056BE">
        <w:t xml:space="preserve"> and </w:t>
      </w:r>
      <w:r w:rsidR="00FA2AB2">
        <w:t xml:space="preserve">it may be </w:t>
      </w:r>
      <w:r w:rsidRPr="008F2693">
        <w:t>a bridleway of some significance</w:t>
      </w:r>
      <w:r>
        <w:t xml:space="preserve"> but </w:t>
      </w:r>
      <w:r w:rsidR="00E51E30">
        <w:t xml:space="preserve">the map alone is not conclusive of </w:t>
      </w:r>
      <w:r>
        <w:t xml:space="preserve">whether </w:t>
      </w:r>
      <w:r w:rsidR="00E51E30">
        <w:t xml:space="preserve">a </w:t>
      </w:r>
      <w:r w:rsidRPr="008F2693">
        <w:t>public way</w:t>
      </w:r>
      <w:r>
        <w:t xml:space="preserve"> </w:t>
      </w:r>
      <w:r w:rsidR="00104FC7">
        <w:t>exists</w:t>
      </w:r>
      <w:r w:rsidRPr="008F2693">
        <w:t>.</w:t>
      </w:r>
      <w:r w:rsidR="0091008C">
        <w:t xml:space="preserve"> </w:t>
      </w:r>
    </w:p>
    <w:p w14:paraId="2672A658" w14:textId="69625B41" w:rsidR="008F2693" w:rsidRDefault="008F2693" w:rsidP="008F2693">
      <w:pPr>
        <w:pStyle w:val="Style1"/>
      </w:pPr>
      <w:r w:rsidRPr="008F2693">
        <w:t xml:space="preserve">The Everton Tithe Award and Plan (1848) </w:t>
      </w:r>
      <w:r>
        <w:t xml:space="preserve">shows that </w:t>
      </w:r>
      <w:r w:rsidRPr="008F2693">
        <w:t xml:space="preserve">the owners of the bank (parcel 412) </w:t>
      </w:r>
      <w:r>
        <w:t>were</w:t>
      </w:r>
      <w:r w:rsidRPr="008F2693">
        <w:t xml:space="preserve"> the Everton Overseers of Highways. Other lands are listed in the</w:t>
      </w:r>
      <w:r>
        <w:t>ir</w:t>
      </w:r>
      <w:r w:rsidRPr="008F2693">
        <w:t xml:space="preserve"> ownership namely: Parcel 413 - Gringley Bank (Polly Bell Bank)</w:t>
      </w:r>
      <w:r>
        <w:t>;</w:t>
      </w:r>
      <w:r w:rsidRPr="008F2693">
        <w:t xml:space="preserve"> Parcel 414 – Land alongside the bank</w:t>
      </w:r>
      <w:r>
        <w:t>;</w:t>
      </w:r>
      <w:r w:rsidRPr="008F2693">
        <w:t xml:space="preserve"> Parcel 417 </w:t>
      </w:r>
      <w:r w:rsidR="00A46137">
        <w:t>which c</w:t>
      </w:r>
      <w:r w:rsidRPr="008F2693">
        <w:t>orrespond</w:t>
      </w:r>
      <w:r w:rsidR="00A46137">
        <w:t>s</w:t>
      </w:r>
      <w:r w:rsidRPr="008F2693">
        <w:t xml:space="preserve"> with the Misson Ferry embarkation point</w:t>
      </w:r>
      <w:r>
        <w:t>;</w:t>
      </w:r>
      <w:r w:rsidRPr="008F2693">
        <w:t xml:space="preserve"> and Parcel 426 </w:t>
      </w:r>
      <w:r w:rsidR="00A46137">
        <w:t xml:space="preserve">which </w:t>
      </w:r>
      <w:r w:rsidRPr="008F2693">
        <w:t>correspond</w:t>
      </w:r>
      <w:r w:rsidR="00A46137">
        <w:t>s</w:t>
      </w:r>
      <w:r w:rsidRPr="008F2693">
        <w:t xml:space="preserve"> with the awarded </w:t>
      </w:r>
      <w:r w:rsidR="000C5A3C">
        <w:t>“</w:t>
      </w:r>
      <w:r w:rsidRPr="008F2693">
        <w:t>public</w:t>
      </w:r>
      <w:r w:rsidR="000C5A3C">
        <w:t>k</w:t>
      </w:r>
      <w:r w:rsidRPr="008F2693">
        <w:t xml:space="preserve"> wharf</w:t>
      </w:r>
      <w:r w:rsidR="000C5A3C">
        <w:t>”</w:t>
      </w:r>
      <w:r w:rsidRPr="008F2693">
        <w:t xml:space="preserve">. </w:t>
      </w:r>
    </w:p>
    <w:p w14:paraId="4C8CEE87" w14:textId="48ADA7DA" w:rsidR="00B70263" w:rsidRDefault="00B70263" w:rsidP="00B70263">
      <w:pPr>
        <w:pStyle w:val="Style1"/>
      </w:pPr>
      <w:r>
        <w:t>T</w:t>
      </w:r>
      <w:r w:rsidRPr="008F2693">
        <w:t xml:space="preserve">he Tithe Award </w:t>
      </w:r>
      <w:r>
        <w:t xml:space="preserve">provides strong evidence </w:t>
      </w:r>
      <w:r w:rsidRPr="008F2693">
        <w:t>th</w:t>
      </w:r>
      <w:r>
        <w:t xml:space="preserve">at these ways </w:t>
      </w:r>
      <w:r w:rsidRPr="008F2693">
        <w:t>w</w:t>
      </w:r>
      <w:r>
        <w:t>ere</w:t>
      </w:r>
      <w:r w:rsidRPr="008F2693">
        <w:t xml:space="preserve"> held as highway land.</w:t>
      </w:r>
      <w:r>
        <w:t xml:space="preserve"> Some support that this was a public through route is also provided by the </w:t>
      </w:r>
      <w:r w:rsidRPr="008F2693">
        <w:t>“Plan of the Lands Titheable in Everton cum Harwell” (1822)</w:t>
      </w:r>
      <w:r>
        <w:t xml:space="preserve">, </w:t>
      </w:r>
      <w:r w:rsidRPr="008F2693">
        <w:t>denot</w:t>
      </w:r>
      <w:r>
        <w:t>ing</w:t>
      </w:r>
      <w:r w:rsidRPr="008F2693">
        <w:t xml:space="preserve"> the flood bank as ‘Misson Bank’</w:t>
      </w:r>
      <w:r>
        <w:t xml:space="preserve"> and </w:t>
      </w:r>
      <w:r w:rsidRPr="008F2693">
        <w:t>annotat</w:t>
      </w:r>
      <w:r>
        <w:t>ing</w:t>
      </w:r>
      <w:r w:rsidRPr="008F2693">
        <w:t xml:space="preserve"> in the margins ‘From Everton’ and ‘To Misson’.</w:t>
      </w:r>
    </w:p>
    <w:p w14:paraId="40D9F2B8" w14:textId="77777777" w:rsidR="009D6FB7" w:rsidRPr="009D6FB7" w:rsidRDefault="009D6FB7" w:rsidP="009D6FB7">
      <w:pPr>
        <w:pStyle w:val="Style1"/>
        <w:numPr>
          <w:ilvl w:val="0"/>
          <w:numId w:val="0"/>
        </w:numPr>
        <w:rPr>
          <w:i/>
          <w:iCs/>
        </w:rPr>
      </w:pPr>
      <w:r w:rsidRPr="009D6FB7">
        <w:rPr>
          <w:i/>
          <w:iCs/>
        </w:rPr>
        <w:t>Whether a public ferry</w:t>
      </w:r>
    </w:p>
    <w:p w14:paraId="301307F2" w14:textId="34050D3F" w:rsidR="002037B2" w:rsidRPr="00767475" w:rsidRDefault="00BD0CB5" w:rsidP="002037B2">
      <w:pPr>
        <w:pStyle w:val="Style1"/>
      </w:pPr>
      <w:r>
        <w:t>LEL</w:t>
      </w:r>
      <w:r w:rsidR="0010666E">
        <w:t xml:space="preserve"> </w:t>
      </w:r>
      <w:r w:rsidR="002037B2">
        <w:t xml:space="preserve">alleges that the OMA </w:t>
      </w:r>
      <w:r w:rsidR="002037B2" w:rsidRPr="00E2401A">
        <w:t>failed to provide evidence that the ferry was a “public ferry”</w:t>
      </w:r>
      <w:r w:rsidR="002037B2">
        <w:t xml:space="preserve"> since </w:t>
      </w:r>
      <w:r w:rsidR="002037B2" w:rsidRPr="00435A51">
        <w:t xml:space="preserve">the Ferryboat Inn Conveyance (1877) relates only to the owner of </w:t>
      </w:r>
      <w:r w:rsidR="002037B2" w:rsidRPr="00767475">
        <w:t>the Inn having “exclusive use” of the ferry, albeit to transport travellers across the river. If the ferry w</w:t>
      </w:r>
      <w:r w:rsidR="0010666E">
        <w:t>ere</w:t>
      </w:r>
      <w:r w:rsidR="002037B2" w:rsidRPr="00767475">
        <w:t xml:space="preserve"> public then</w:t>
      </w:r>
      <w:r w:rsidR="00DE5FBE">
        <w:t>,</w:t>
      </w:r>
      <w:r w:rsidR="002037B2" w:rsidRPr="00767475">
        <w:t xml:space="preserve"> </w:t>
      </w:r>
      <w:r w:rsidR="00DE5FBE">
        <w:t xml:space="preserve">it is argued, </w:t>
      </w:r>
      <w:r w:rsidR="002037B2" w:rsidRPr="00767475">
        <w:t>given that the river was navigable any public ferry would have been subject to some form of statutory approval of which no evidence has been demonstrated.</w:t>
      </w:r>
    </w:p>
    <w:p w14:paraId="2663D8D7" w14:textId="5AA85F72" w:rsidR="00612170" w:rsidRPr="00612170" w:rsidRDefault="005B3665" w:rsidP="00C777BB">
      <w:pPr>
        <w:pStyle w:val="Style1"/>
        <w:rPr>
          <w:i/>
          <w:iCs/>
        </w:rPr>
      </w:pPr>
      <w:r>
        <w:t xml:space="preserve">I disagree. </w:t>
      </w:r>
      <w:r w:rsidR="00D8668C" w:rsidRPr="00D8668C">
        <w:t xml:space="preserve">In </w:t>
      </w:r>
      <w:r w:rsidR="00D8668C" w:rsidRPr="00D8668C">
        <w:rPr>
          <w:i/>
          <w:iCs/>
        </w:rPr>
        <w:t xml:space="preserve">Huzzey v Field </w:t>
      </w:r>
      <w:r w:rsidR="00547243">
        <w:rPr>
          <w:i/>
          <w:iCs/>
        </w:rPr>
        <w:t xml:space="preserve">(1835) </w:t>
      </w:r>
      <w:r w:rsidR="00D8668C" w:rsidRPr="00D8668C">
        <w:rPr>
          <w:i/>
          <w:iCs/>
        </w:rPr>
        <w:t>150 E.R. 186</w:t>
      </w:r>
      <w:r w:rsidR="00547243">
        <w:rPr>
          <w:i/>
          <w:iCs/>
        </w:rPr>
        <w:t>,</w:t>
      </w:r>
      <w:r w:rsidR="00D8668C" w:rsidRPr="00D8668C">
        <w:rPr>
          <w:i/>
          <w:iCs/>
        </w:rPr>
        <w:t xml:space="preserve"> 2 Cr. M. &amp; R. 432</w:t>
      </w:r>
      <w:r w:rsidR="00D8668C" w:rsidRPr="00D8668C">
        <w:t xml:space="preserve">, it was said to be quite clear that a ferry is a franchise which </w:t>
      </w:r>
      <w:r w:rsidR="00BD0CB5">
        <w:t xml:space="preserve">can be </w:t>
      </w:r>
      <w:r w:rsidR="00D8668C" w:rsidRPr="00D8668C">
        <w:t>set up with a licence from the Crown; and in the case of a ferry by prescription, a grant or licence is presumed.</w:t>
      </w:r>
      <w:r w:rsidR="00612170">
        <w:t xml:space="preserve"> The court added:</w:t>
      </w:r>
    </w:p>
    <w:p w14:paraId="6C2A3FE4" w14:textId="43F166A0" w:rsidR="00C777BB" w:rsidRPr="00C777BB" w:rsidRDefault="00C777BB" w:rsidP="00612170">
      <w:pPr>
        <w:pStyle w:val="Style1"/>
        <w:numPr>
          <w:ilvl w:val="0"/>
          <w:numId w:val="0"/>
        </w:numPr>
        <w:ind w:left="431"/>
        <w:rPr>
          <w:i/>
          <w:iCs/>
        </w:rPr>
      </w:pPr>
      <w:r w:rsidRPr="00C777BB">
        <w:rPr>
          <w:i/>
          <w:iCs/>
        </w:rPr>
        <w:t xml:space="preserve">“A public ferry, then, is a public highway, of a special description, and its termini must be in places where the public have rights, as, towns or vills, or highways leading to towns or vills. The right of the grantee is, in the one case, </w:t>
      </w:r>
      <w:r w:rsidRPr="00C777BB">
        <w:rPr>
          <w:i/>
          <w:iCs/>
          <w:u w:val="single"/>
        </w:rPr>
        <w:t xml:space="preserve">an exclusive right of carrying from town to town, in the other, of carrying from </w:t>
      </w:r>
      <w:r w:rsidRPr="00C777BB">
        <w:rPr>
          <w:i/>
          <w:iCs/>
          <w:u w:val="single"/>
        </w:rPr>
        <w:lastRenderedPageBreak/>
        <w:t xml:space="preserve">one point to the other, all who are going </w:t>
      </w:r>
      <w:r w:rsidR="00BD0CB5">
        <w:rPr>
          <w:i/>
          <w:iCs/>
          <w:u w:val="single"/>
        </w:rPr>
        <w:t>t</w:t>
      </w:r>
      <w:r w:rsidRPr="00C777BB">
        <w:rPr>
          <w:i/>
          <w:iCs/>
          <w:u w:val="single"/>
        </w:rPr>
        <w:t>o use the highway to the nearest town or vill to which the highway leads on the other side</w:t>
      </w:r>
      <w:r w:rsidRPr="00C777BB">
        <w:rPr>
          <w:i/>
          <w:iCs/>
        </w:rPr>
        <w:t>”</w:t>
      </w:r>
      <w:r w:rsidR="007932D2">
        <w:rPr>
          <w:i/>
          <w:iCs/>
        </w:rPr>
        <w:t xml:space="preserve"> (emphasis supplied).</w:t>
      </w:r>
    </w:p>
    <w:p w14:paraId="6524AD8C" w14:textId="4D9BE1CE" w:rsidR="002037B2" w:rsidRPr="00767475" w:rsidRDefault="00441217" w:rsidP="003E1168">
      <w:pPr>
        <w:pStyle w:val="Style1"/>
      </w:pPr>
      <w:r>
        <w:t>Th</w:t>
      </w:r>
      <w:r w:rsidRPr="005B3A27">
        <w:t>e 1877</w:t>
      </w:r>
      <w:r w:rsidR="00F62EDE">
        <w:t xml:space="preserve"> conveyance </w:t>
      </w:r>
      <w:r w:rsidRPr="005B3A27">
        <w:t>describ</w:t>
      </w:r>
      <w:r w:rsidR="00F62EDE">
        <w:t>es</w:t>
      </w:r>
      <w:r w:rsidRPr="005B3A27">
        <w:t xml:space="preserve"> the ferry as being "</w:t>
      </w:r>
      <w:r w:rsidRPr="005B3665">
        <w:rPr>
          <w:i/>
          <w:iCs/>
        </w:rPr>
        <w:t>for the passage of… travellers, horses, cattle, carts, carriages and goods and commodities</w:t>
      </w:r>
      <w:r w:rsidRPr="005B3A27">
        <w:t>"</w:t>
      </w:r>
      <w:r w:rsidR="00F62EDE">
        <w:t>.</w:t>
      </w:r>
      <w:r w:rsidR="005B3665">
        <w:t xml:space="preserve"> In </w:t>
      </w:r>
      <w:r w:rsidR="002037B2" w:rsidRPr="00767475">
        <w:t>Letton v Goodden</w:t>
      </w:r>
      <w:r w:rsidR="002037B2">
        <w:t xml:space="preserve"> </w:t>
      </w:r>
      <w:r w:rsidR="002037B2" w:rsidRPr="00074387">
        <w:t>(1866) L.R. 2 Eq. 123</w:t>
      </w:r>
      <w:r w:rsidR="002037B2">
        <w:t xml:space="preserve"> </w:t>
      </w:r>
      <w:r w:rsidR="005B3665">
        <w:t xml:space="preserve">it was </w:t>
      </w:r>
      <w:r w:rsidR="002037B2">
        <w:t>held that:</w:t>
      </w:r>
    </w:p>
    <w:p w14:paraId="4B22BD82" w14:textId="77777777" w:rsidR="002037B2" w:rsidRPr="00074387" w:rsidRDefault="002037B2" w:rsidP="002037B2">
      <w:pPr>
        <w:pStyle w:val="Style1"/>
        <w:numPr>
          <w:ilvl w:val="0"/>
          <w:numId w:val="0"/>
        </w:numPr>
        <w:ind w:left="431"/>
        <w:rPr>
          <w:i/>
          <w:iCs/>
        </w:rPr>
      </w:pPr>
      <w:r w:rsidRPr="00074387">
        <w:rPr>
          <w:i/>
          <w:iCs/>
        </w:rPr>
        <w:t>"A ferry has been said to be the continuation of a public highway across a river or other water for the purpose of public traffic from the termination of the highway on the one side to its recommencement on the other side; and as such the existence of a ferry is obviously for the benefit of the public. The advantage to the public is so great that the Crown has from time to time granted rights of ferry, and all common ferries have their origin in Royal grant, or in prescription, which presumes such grant.”</w:t>
      </w:r>
    </w:p>
    <w:p w14:paraId="69E25C58" w14:textId="67DAC9CC" w:rsidR="002037B2" w:rsidRDefault="00B966C1" w:rsidP="00616F9D">
      <w:pPr>
        <w:pStyle w:val="Style1"/>
      </w:pPr>
      <w:r>
        <w:t xml:space="preserve">Although some ferries are creatures of statute, </w:t>
      </w:r>
      <w:r w:rsidR="00704D46">
        <w:t xml:space="preserve">it is not uncommon to have claims of </w:t>
      </w:r>
      <w:r w:rsidR="00A64449">
        <w:t xml:space="preserve">ownership of ancient franchise ferries to be accepted, </w:t>
      </w:r>
      <w:r w:rsidR="00A64449" w:rsidRPr="00586DAA">
        <w:t>having its origin in a franchise from the Crown</w:t>
      </w:r>
      <w:r w:rsidR="00D8275A">
        <w:t>.</w:t>
      </w:r>
      <w:r w:rsidR="00A12745">
        <w:t xml:space="preserve"> </w:t>
      </w:r>
      <w:r w:rsidR="00BD0CB5">
        <w:t xml:space="preserve">(see eg the House of Lords in </w:t>
      </w:r>
      <w:r w:rsidR="00D20B24" w:rsidRPr="00D20B24">
        <w:t>Hammerton v. Dysart (Earl) [1916] 1 A.C. 57</w:t>
      </w:r>
      <w:r w:rsidR="00BD0CB5">
        <w:t xml:space="preserve">). </w:t>
      </w:r>
      <w:r w:rsidR="002037B2">
        <w:t>Lord Parker noted</w:t>
      </w:r>
      <w:r w:rsidR="00E04242">
        <w:t xml:space="preserve"> that</w:t>
      </w:r>
      <w:r w:rsidR="002037B2">
        <w:t xml:space="preserve"> a “common ferry”, ie for the common use of all of the King’s subjects, requires a grant from the Crown and “</w:t>
      </w:r>
      <w:r w:rsidR="002037B2" w:rsidRPr="00BD0CB5">
        <w:rPr>
          <w:i/>
          <w:iCs/>
        </w:rPr>
        <w:t>it doeth in consequent tend to a common charge, and is become a thing of public benefit and u</w:t>
      </w:r>
      <w:r w:rsidR="002037B2" w:rsidRPr="00344D9E">
        <w:t>se</w:t>
      </w:r>
      <w:r w:rsidR="002037B2">
        <w:t>”</w:t>
      </w:r>
      <w:r w:rsidR="00BD0CB5">
        <w:t>. S</w:t>
      </w:r>
      <w:r w:rsidR="002037B2">
        <w:t xml:space="preserve">uch a </w:t>
      </w:r>
      <w:r w:rsidR="002037B2" w:rsidRPr="00B44048">
        <w:t>ferry is therefore primarily a toll franchise</w:t>
      </w:r>
      <w:r w:rsidR="002037B2">
        <w:t xml:space="preserve"> where the necessary consideration moving to the public is found in “</w:t>
      </w:r>
      <w:r w:rsidR="002037B2" w:rsidRPr="00BD0CB5">
        <w:rPr>
          <w:i/>
          <w:iCs/>
        </w:rPr>
        <w:t>the ferry owner's obligation to provide boats for the public convenience and the right of the public to avail themselves of these boats at their pleasure</w:t>
      </w:r>
      <w:r w:rsidR="002037B2">
        <w:t>.”</w:t>
      </w:r>
    </w:p>
    <w:p w14:paraId="070F9C2D" w14:textId="50928262" w:rsidR="005C6BD3" w:rsidRDefault="005C6BD3" w:rsidP="005C6BD3">
      <w:pPr>
        <w:pStyle w:val="Style1"/>
        <w:ind w:left="425" w:hanging="425"/>
      </w:pPr>
      <w:r>
        <w:t>As to how the grant of a franchise of a ferry can come about Lord Parker said:</w:t>
      </w:r>
    </w:p>
    <w:p w14:paraId="7CE7192D" w14:textId="0C422E69" w:rsidR="005C6BD3" w:rsidRDefault="005C6BD3" w:rsidP="005C6BD3">
      <w:pPr>
        <w:pStyle w:val="Style1"/>
        <w:numPr>
          <w:ilvl w:val="0"/>
          <w:numId w:val="0"/>
        </w:numPr>
        <w:ind w:left="425"/>
      </w:pPr>
      <w:r>
        <w:t>“…</w:t>
      </w:r>
      <w:r w:rsidRPr="00AE1735">
        <w:rPr>
          <w:i/>
          <w:iCs/>
        </w:rPr>
        <w:t>a franchise of ferry</w:t>
      </w:r>
      <w:r w:rsidR="004C1078">
        <w:rPr>
          <w:i/>
          <w:iCs/>
        </w:rPr>
        <w:t>…</w:t>
      </w:r>
      <w:r w:rsidRPr="00AE1735">
        <w:rPr>
          <w:i/>
          <w:iCs/>
        </w:rPr>
        <w:t>can be acquired by prescription at common law, which presumes such a grant prior to the reign of Richard I, or by the proof of facts from which a grant of more modern date can be inferred</w:t>
      </w:r>
      <w:r w:rsidR="004C1078">
        <w:rPr>
          <w:i/>
          <w:iCs/>
        </w:rPr>
        <w:t>…</w:t>
      </w:r>
      <w:r w:rsidRPr="00AE1735">
        <w:rPr>
          <w:i/>
          <w:iCs/>
        </w:rPr>
        <w:t>prescription at common law as by the presumption of lost grant, depends on the proof of long user or practice for which a legal origin will, if possible, be presumed</w:t>
      </w:r>
      <w:r w:rsidR="00CB1CAF">
        <w:rPr>
          <w:i/>
          <w:iCs/>
        </w:rPr>
        <w:t>..</w:t>
      </w:r>
      <w:r w:rsidRPr="00AE1735">
        <w:rPr>
          <w:i/>
          <w:iCs/>
        </w:rPr>
        <w:t>.</w:t>
      </w:r>
      <w:r>
        <w:t>”</w:t>
      </w:r>
    </w:p>
    <w:p w14:paraId="223F2B80" w14:textId="0E1E5A1F" w:rsidR="009D6FB7" w:rsidRDefault="009D6FB7" w:rsidP="00D23776">
      <w:pPr>
        <w:pStyle w:val="Style1"/>
      </w:pPr>
      <w:r>
        <w:t xml:space="preserve">Now, </w:t>
      </w:r>
      <w:r w:rsidR="00BD0CB5">
        <w:t xml:space="preserve">the objection refers to </w:t>
      </w:r>
      <w:r w:rsidR="00BD0CB5" w:rsidRPr="00BD0CB5">
        <w:t>“exclusive use” of the ferry</w:t>
      </w:r>
      <w:r w:rsidR="00BD0CB5">
        <w:t xml:space="preserve"> in the 1877 conveya</w:t>
      </w:r>
      <w:r w:rsidR="00BD0CB5" w:rsidRPr="00BD0CB5">
        <w:t xml:space="preserve">nce, </w:t>
      </w:r>
      <w:r>
        <w:t xml:space="preserve">but </w:t>
      </w:r>
      <w:r w:rsidR="00BD0CB5" w:rsidRPr="00BD0CB5">
        <w:t xml:space="preserve">this actually refers to the exclusive right of the owner to operate the ferry subject to the </w:t>
      </w:r>
      <w:r w:rsidR="00BD0CB5">
        <w:t xml:space="preserve">corresponding </w:t>
      </w:r>
      <w:r w:rsidR="00BD0CB5" w:rsidRPr="00BD0CB5">
        <w:t xml:space="preserve">obligation to the right of the public to </w:t>
      </w:r>
      <w:r w:rsidR="0044545D">
        <w:t>use the ferry. The material supplied by way of the history of the use of the ferry leave</w:t>
      </w:r>
      <w:r>
        <w:t>s</w:t>
      </w:r>
      <w:r w:rsidR="0044545D">
        <w:t xml:space="preserve"> me in no reasonable doubt that the ferry operated by way of a common ferry at least as far back as the 1870’s. </w:t>
      </w:r>
      <w:r>
        <w:t>The conveyance was not referring to a right to use a ferry that was exclusive (ie private) to the grantee, but in the nature of a transfer of a franchise to that person for the express purpose of:</w:t>
      </w:r>
    </w:p>
    <w:p w14:paraId="6C74882B" w14:textId="77777777" w:rsidR="009D6FB7" w:rsidRDefault="009D6FB7" w:rsidP="009D6FB7">
      <w:pPr>
        <w:pStyle w:val="Style1"/>
        <w:numPr>
          <w:ilvl w:val="0"/>
          <w:numId w:val="0"/>
        </w:numPr>
        <w:ind w:left="431"/>
      </w:pPr>
      <w:r>
        <w:t>“</w:t>
      </w:r>
      <w:r w:rsidRPr="002B0244">
        <w:rPr>
          <w:i/>
          <w:iCs/>
        </w:rPr>
        <w:t>use for the passage of Travellers, Horses, Cattle, Carts, Carriages and other Vehicles and goods and commodities of all kinds over and across the said River Idle together with all…Ferries and rights of Ferry and all…liberties, privileges, and appurtenances whatsoever to the said messuage, hereditaments and premises belonging or in any wise appertaining or usually held or occupied therewith or reputed to belong or be appurt</w:t>
      </w:r>
      <w:r>
        <w:rPr>
          <w:i/>
          <w:iCs/>
        </w:rPr>
        <w:t>en</w:t>
      </w:r>
      <w:r w:rsidRPr="002B0244">
        <w:rPr>
          <w:i/>
          <w:iCs/>
        </w:rPr>
        <w:t>ant thereto</w:t>
      </w:r>
      <w:r>
        <w:t>.”</w:t>
      </w:r>
    </w:p>
    <w:p w14:paraId="7775845F" w14:textId="07EEB65F" w:rsidR="00BD0CB5" w:rsidRDefault="009D6FB7" w:rsidP="000E2364">
      <w:pPr>
        <w:pStyle w:val="Style1"/>
      </w:pPr>
      <w:r>
        <w:t>It seems clear from this extract that what was being passed was the franchise of a ferry that was public in nature. And, a</w:t>
      </w:r>
      <w:r w:rsidR="0044545D">
        <w:t xml:space="preserve">s Lord Parker said in </w:t>
      </w:r>
      <w:r w:rsidR="0044545D" w:rsidRPr="009D6FB7">
        <w:rPr>
          <w:u w:val="single"/>
        </w:rPr>
        <w:t>Hammerton</w:t>
      </w:r>
      <w:r w:rsidR="0044545D">
        <w:t>:</w:t>
      </w:r>
    </w:p>
    <w:p w14:paraId="359A50C8" w14:textId="28D53A70" w:rsidR="0044545D" w:rsidRDefault="0044545D" w:rsidP="0044545D">
      <w:pPr>
        <w:pStyle w:val="Style1"/>
        <w:numPr>
          <w:ilvl w:val="0"/>
          <w:numId w:val="0"/>
        </w:numPr>
        <w:ind w:left="431"/>
      </w:pPr>
      <w:r>
        <w:rPr>
          <w:i/>
          <w:iCs/>
        </w:rPr>
        <w:t>“</w:t>
      </w:r>
      <w:r w:rsidRPr="00816A3B">
        <w:rPr>
          <w:i/>
          <w:iCs/>
        </w:rPr>
        <w:t xml:space="preserve">the acceptance of a grant of a franchise of ferry by a person who owned the landing place on either side of the stream would operate as a dedication by him </w:t>
      </w:r>
      <w:r w:rsidRPr="00816A3B">
        <w:rPr>
          <w:i/>
          <w:iCs/>
        </w:rPr>
        <w:lastRenderedPageBreak/>
        <w:t>to the use of the public, not only of the landing place itself, but of a convenient way from such landing place to the nearest highway for the purpose of getting to or from the ferry</w:t>
      </w:r>
      <w:r>
        <w:rPr>
          <w:i/>
          <w:iCs/>
        </w:rPr>
        <w:t>…</w:t>
      </w:r>
      <w:r w:rsidRPr="00816A3B">
        <w:rPr>
          <w:i/>
          <w:iCs/>
        </w:rPr>
        <w:t>A ferry may thus be regarded as a link between two highways on either side of the water, or as part of a continuous highway crossing the water</w:t>
      </w:r>
      <w:r>
        <w:t>.”</w:t>
      </w:r>
    </w:p>
    <w:p w14:paraId="7530FEB8" w14:textId="3E432766" w:rsidR="007E7AC6" w:rsidRDefault="009D6FB7" w:rsidP="006B7527">
      <w:pPr>
        <w:pStyle w:val="Style1"/>
      </w:pPr>
      <w:r>
        <w:t xml:space="preserve">The other historic </w:t>
      </w:r>
      <w:r w:rsidR="007E7AC6">
        <w:t>documentary sources</w:t>
      </w:r>
      <w:r>
        <w:t xml:space="preserve"> </w:t>
      </w:r>
      <w:r w:rsidR="007E7AC6">
        <w:t>includ</w:t>
      </w:r>
      <w:r>
        <w:t>e</w:t>
      </w:r>
      <w:r w:rsidR="007E7AC6">
        <w:t xml:space="preserve"> extracts from the </w:t>
      </w:r>
      <w:r>
        <w:t>d</w:t>
      </w:r>
      <w:r w:rsidR="007E7AC6">
        <w:t>iaries of Henry Seymour Metcalf (1874-87) providing contemporaneous evidence that the ferry carried horses and carriages; various directories advertising the ferry’s existence; and an OS boundary sketch map (1883) showing the flood bank as parallel dashed lines labelled “Flood Bank and Road”. These sources are indicative of the public nature of the ferry and use of the bank as a highway to and from the ferry.</w:t>
      </w:r>
      <w:r w:rsidR="0049604E" w:rsidRPr="0049604E">
        <w:t xml:space="preserve"> The ferry</w:t>
      </w:r>
      <w:r w:rsidR="0049604E">
        <w:t xml:space="preserve"> seems </w:t>
      </w:r>
      <w:r w:rsidR="0049604E" w:rsidRPr="0049604E">
        <w:t xml:space="preserve">to have </w:t>
      </w:r>
      <w:r w:rsidR="0049604E">
        <w:t xml:space="preserve">closed </w:t>
      </w:r>
      <w:r w:rsidR="0049604E" w:rsidRPr="0049604E">
        <w:t>in the 1950s. Some weight is added to the Council’s case through reported conversations with Misson residents born in the 1930s describ</w:t>
      </w:r>
      <w:r w:rsidR="0049604E">
        <w:t>ing</w:t>
      </w:r>
      <w:r w:rsidR="0049604E" w:rsidRPr="0049604E">
        <w:t xml:space="preserve"> the ferry, the ferryman’s rates and several instances of seeing others walking on both sides of the riverbank, including a statement from a long-standing Everton resident who used the ferry to attend social events in Misson in the 1930s. </w:t>
      </w:r>
    </w:p>
    <w:p w14:paraId="764F24A6" w14:textId="77777777" w:rsidR="009D6FB7" w:rsidRPr="009D6FB7" w:rsidRDefault="009D6FB7" w:rsidP="009D6FB7">
      <w:pPr>
        <w:pStyle w:val="Style1"/>
        <w:numPr>
          <w:ilvl w:val="0"/>
          <w:numId w:val="0"/>
        </w:numPr>
        <w:rPr>
          <w:i/>
          <w:iCs/>
        </w:rPr>
      </w:pPr>
      <w:r w:rsidRPr="009D6FB7">
        <w:rPr>
          <w:i/>
          <w:iCs/>
        </w:rPr>
        <w:t>Other documentary evidence</w:t>
      </w:r>
    </w:p>
    <w:p w14:paraId="73A8BED1" w14:textId="64D263E5" w:rsidR="007E7AC6" w:rsidRDefault="007E7AC6" w:rsidP="007E7AC6">
      <w:pPr>
        <w:pStyle w:val="Style1"/>
      </w:pPr>
      <w:r>
        <w:t>Further support is found in the Finance Act (1910) records that show a deduction of £25 claimed for the flood bank (parcel 901 annotated “Barrier Bank” owned by Everton Parish Council). The bank is not shown excluded from the adjacent land on the valuation map which is often the case where a public carriage road is believed to subsist.</w:t>
      </w:r>
    </w:p>
    <w:p w14:paraId="2BAD605F" w14:textId="04818D3C" w:rsidR="007E7AC6" w:rsidRDefault="007E7AC6" w:rsidP="007E7AC6">
      <w:pPr>
        <w:pStyle w:val="Style1"/>
      </w:pPr>
      <w:r>
        <w:t xml:space="preserve">As to the Nottinghamshire (Area 6) Definitive Map and Statement, published on 26 September 1969 which recorded cul-de-sac leading to the Barrier Bank this is relied on to suggest that if the flood bank were then still owned by Everton Parish Council who did not think it had to safeguard rights along it, it would be unusual for the public to turn around when reaching the end of cul-de-sac, rather than proceeding along flood bank. This is conjectural and I give little weight individually to their presence. </w:t>
      </w:r>
    </w:p>
    <w:p w14:paraId="0D170C6E" w14:textId="77777777" w:rsidR="009D6FB7" w:rsidRPr="009D6FB7" w:rsidRDefault="009D6FB7" w:rsidP="009D6FB7">
      <w:pPr>
        <w:pStyle w:val="Style1"/>
        <w:numPr>
          <w:ilvl w:val="0"/>
          <w:numId w:val="0"/>
        </w:numPr>
        <w:rPr>
          <w:i/>
          <w:iCs/>
        </w:rPr>
      </w:pPr>
      <w:r w:rsidRPr="009D6FB7">
        <w:rPr>
          <w:i/>
          <w:iCs/>
        </w:rPr>
        <w:t>Conclusion on Everton Bridleway No.30</w:t>
      </w:r>
    </w:p>
    <w:p w14:paraId="07D8FBC7" w14:textId="2265C75F" w:rsidR="00440419" w:rsidRPr="00440419" w:rsidRDefault="009D6FB7" w:rsidP="00440419">
      <w:pPr>
        <w:pStyle w:val="Style1"/>
      </w:pPr>
      <w:r>
        <w:t>T</w:t>
      </w:r>
      <w:r w:rsidR="006352CC">
        <w:t>aken together, t</w:t>
      </w:r>
      <w:r w:rsidR="00ED001F">
        <w:t>he documentary evidence is such that it can be inferred on the balance of probability that</w:t>
      </w:r>
      <w:r w:rsidR="005B3A27" w:rsidRPr="005B3A27">
        <w:t xml:space="preserve"> </w:t>
      </w:r>
      <w:r w:rsidR="00440419">
        <w:t xml:space="preserve">it was used as a bridleway by the public such as to infer dedication by </w:t>
      </w:r>
      <w:r w:rsidR="005B3A27" w:rsidRPr="005B3A27">
        <w:t xml:space="preserve">the owner </w:t>
      </w:r>
      <w:r w:rsidR="00440419">
        <w:t xml:space="preserve">and acceptance thereof by the public, </w:t>
      </w:r>
      <w:r w:rsidR="005B3A27" w:rsidRPr="005B3A27">
        <w:t>of the</w:t>
      </w:r>
      <w:r w:rsidR="00440419">
        <w:t xml:space="preserve"> Order route from </w:t>
      </w:r>
      <w:r w:rsidR="00440419" w:rsidRPr="00440419">
        <w:t>grid reference SK6878 9380 to SK7016 9444</w:t>
      </w:r>
      <w:r w:rsidR="00440419">
        <w:t xml:space="preserve">. For the avoidance of </w:t>
      </w:r>
      <w:r w:rsidR="00E75DB3">
        <w:t>doubt,</w:t>
      </w:r>
      <w:r w:rsidR="00440419">
        <w:t xml:space="preserve"> I have considered the statutory declaration made under 31(6) but clearly the land affected excludes this section of the Order route.</w:t>
      </w:r>
    </w:p>
    <w:p w14:paraId="05AE8B0F" w14:textId="01D83719" w:rsidR="00ED001F" w:rsidRPr="00ED001F" w:rsidRDefault="00ED001F" w:rsidP="00ED001F">
      <w:pPr>
        <w:pStyle w:val="Style1"/>
        <w:numPr>
          <w:ilvl w:val="0"/>
          <w:numId w:val="0"/>
        </w:numPr>
        <w:rPr>
          <w:i/>
          <w:iCs/>
        </w:rPr>
      </w:pPr>
      <w:r>
        <w:rPr>
          <w:i/>
          <w:iCs/>
        </w:rPr>
        <w:t xml:space="preserve">Footpath 31 and </w:t>
      </w:r>
      <w:r w:rsidRPr="00ED001F">
        <w:rPr>
          <w:i/>
          <w:iCs/>
        </w:rPr>
        <w:t>Gringley on the Hill Inclosure Award 1801</w:t>
      </w:r>
    </w:p>
    <w:p w14:paraId="2B101C9F" w14:textId="77777777" w:rsidR="00AA062B" w:rsidRDefault="00AA062B" w:rsidP="00AA062B">
      <w:pPr>
        <w:pStyle w:val="Style1"/>
      </w:pPr>
      <w:r>
        <w:t>The</w:t>
      </w:r>
      <w:r w:rsidRPr="00ED001F">
        <w:t xml:space="preserve"> parish boundar</w:t>
      </w:r>
      <w:r>
        <w:t xml:space="preserve">ies were slightly </w:t>
      </w:r>
      <w:r w:rsidRPr="00ED001F">
        <w:t>change</w:t>
      </w:r>
      <w:r>
        <w:t>d</w:t>
      </w:r>
      <w:r w:rsidRPr="00ED001F">
        <w:t xml:space="preserve"> </w:t>
      </w:r>
      <w:r>
        <w:t xml:space="preserve">during </w:t>
      </w:r>
      <w:r w:rsidRPr="00ED001F">
        <w:t>the twentieth century</w:t>
      </w:r>
      <w:r>
        <w:t xml:space="preserve"> and it would now appear that </w:t>
      </w:r>
      <w:r w:rsidRPr="00ED001F">
        <w:t xml:space="preserve">part of this footpath </w:t>
      </w:r>
      <w:r>
        <w:t xml:space="preserve">(No.31) </w:t>
      </w:r>
      <w:r w:rsidRPr="00ED001F">
        <w:t xml:space="preserve">now </w:t>
      </w:r>
      <w:r>
        <w:t xml:space="preserve">lies </w:t>
      </w:r>
      <w:r w:rsidRPr="00ED001F">
        <w:t xml:space="preserve">in the parish of Everton and that it connects to Everton Bridleway No.24. </w:t>
      </w:r>
      <w:r>
        <w:t xml:space="preserve">The Council has not brought in for consideration as part of this Order </w:t>
      </w:r>
      <w:r w:rsidRPr="00ED001F">
        <w:t>the remainder of the awarded footpath south of the flood bank</w:t>
      </w:r>
      <w:r>
        <w:t xml:space="preserve"> so that particular matter is not before me</w:t>
      </w:r>
      <w:r w:rsidRPr="00ED001F">
        <w:t>.</w:t>
      </w:r>
    </w:p>
    <w:p w14:paraId="174A4A74" w14:textId="6B3F948F" w:rsidR="00AA062B" w:rsidRDefault="00AA062B" w:rsidP="004805F5">
      <w:pPr>
        <w:pStyle w:val="Style1"/>
      </w:pPr>
      <w:r>
        <w:t>However, a</w:t>
      </w:r>
      <w:r w:rsidR="00ED001F" w:rsidRPr="00ED001F">
        <w:t xml:space="preserve">n awarded “public footway…to the River Idle” was set out in the Gringley on the Hill Inclosure Award 1801. </w:t>
      </w:r>
      <w:r w:rsidR="00ED001F">
        <w:t>I have considered this description together with the award map, and there is little doubt in my view that</w:t>
      </w:r>
      <w:r w:rsidR="00ED001F" w:rsidRPr="00ED001F">
        <w:t xml:space="preserve"> an </w:t>
      </w:r>
      <w:r w:rsidR="00ED001F" w:rsidRPr="00ED001F">
        <w:lastRenderedPageBreak/>
        <w:t xml:space="preserve">unrecorded footpath subsists across the bank to the edge of the River Idle (the northern end of the awarded footpath). </w:t>
      </w:r>
    </w:p>
    <w:p w14:paraId="632E0AC7" w14:textId="4EC38CE3" w:rsidR="00C72C2A" w:rsidRPr="00387A94" w:rsidRDefault="00387A94" w:rsidP="00387A94">
      <w:pPr>
        <w:pStyle w:val="Style1"/>
        <w:numPr>
          <w:ilvl w:val="0"/>
          <w:numId w:val="0"/>
        </w:numPr>
        <w:rPr>
          <w:i/>
          <w:iCs/>
        </w:rPr>
      </w:pPr>
      <w:r w:rsidRPr="00387A94">
        <w:rPr>
          <w:i/>
          <w:iCs/>
        </w:rPr>
        <w:t>Gringley Bridleway No.25</w:t>
      </w:r>
    </w:p>
    <w:p w14:paraId="48657C67" w14:textId="77777777" w:rsidR="00913A76" w:rsidRDefault="00D14A9A" w:rsidP="00913A76">
      <w:pPr>
        <w:pStyle w:val="Style1"/>
      </w:pPr>
      <w:r>
        <w:t>A</w:t>
      </w:r>
      <w:r w:rsidR="00387A94" w:rsidRPr="00387A94">
        <w:t xml:space="preserve"> </w:t>
      </w:r>
      <w:r>
        <w:t>s</w:t>
      </w:r>
      <w:r w:rsidR="00387A94" w:rsidRPr="00387A94">
        <w:t>tatement</w:t>
      </w:r>
      <w:r>
        <w:t>, p</w:t>
      </w:r>
      <w:r w:rsidR="00387A94" w:rsidRPr="00387A94">
        <w:t xml:space="preserve">lan and </w:t>
      </w:r>
      <w:r>
        <w:t>s</w:t>
      </w:r>
      <w:r w:rsidR="00387A94" w:rsidRPr="00387A94">
        <w:t xml:space="preserve">tatutory </w:t>
      </w:r>
      <w:r>
        <w:t>d</w:t>
      </w:r>
      <w:r w:rsidR="00387A94" w:rsidRPr="00387A94">
        <w:t xml:space="preserve">eclaration under </w:t>
      </w:r>
      <w:r w:rsidR="00387A94">
        <w:t xml:space="preserve">s31(6) </w:t>
      </w:r>
      <w:r w:rsidR="00387A94" w:rsidRPr="00387A94">
        <w:t>Highways Act 1980</w:t>
      </w:r>
      <w:r w:rsidR="00387A94">
        <w:t xml:space="preserve"> was made by </w:t>
      </w:r>
      <w:r w:rsidR="00387A94" w:rsidRPr="00387A94">
        <w:t xml:space="preserve">Loveden Holdings Ltd on 22 March 2004. </w:t>
      </w:r>
      <w:r w:rsidR="00387A94">
        <w:t>N</w:t>
      </w:r>
      <w:r w:rsidR="00387A94" w:rsidRPr="00387A94">
        <w:t xml:space="preserve">o public rights of way were acknowledged along the flood bank, </w:t>
      </w:r>
      <w:r w:rsidR="00387A94">
        <w:t xml:space="preserve">therefore the </w:t>
      </w:r>
      <w:r w:rsidR="00387A94" w:rsidRPr="00387A94">
        <w:t xml:space="preserve">declaration ended any period of use ‘as of right’ </w:t>
      </w:r>
      <w:r w:rsidR="00387A94">
        <w:t xml:space="preserve">and </w:t>
      </w:r>
      <w:r w:rsidR="00387A94" w:rsidRPr="00387A94">
        <w:t>br</w:t>
      </w:r>
      <w:r w:rsidR="00387A94">
        <w:t xml:space="preserve">ought </w:t>
      </w:r>
      <w:r w:rsidR="00387A94" w:rsidRPr="00387A94">
        <w:t xml:space="preserve">use of the way into question. </w:t>
      </w:r>
      <w:r w:rsidR="00387A94">
        <w:t xml:space="preserve">So, </w:t>
      </w:r>
      <w:r w:rsidR="00387A94" w:rsidRPr="00387A94">
        <w:t xml:space="preserve">for the purposes of </w:t>
      </w:r>
      <w:r w:rsidR="00387A94">
        <w:t>s31</w:t>
      </w:r>
      <w:r w:rsidR="00387A94" w:rsidRPr="00387A94">
        <w:t xml:space="preserve">, the relevant 20-year period </w:t>
      </w:r>
      <w:r w:rsidR="00387A94">
        <w:t xml:space="preserve">is </w:t>
      </w:r>
      <w:r w:rsidR="00387A94" w:rsidRPr="00387A94">
        <w:t>March 1984 to March 2004.</w:t>
      </w:r>
      <w:r w:rsidRPr="00D14A9A">
        <w:rPr>
          <w:color w:val="auto"/>
          <w:kern w:val="0"/>
        </w:rPr>
        <w:t xml:space="preserve"> </w:t>
      </w:r>
      <w:r w:rsidR="00913A76">
        <w:t>M</w:t>
      </w:r>
      <w:r w:rsidR="00913A76" w:rsidRPr="00AC4EEC">
        <w:t xml:space="preserve">ost of the user period </w:t>
      </w:r>
      <w:r w:rsidR="00913A76">
        <w:t xml:space="preserve">up to </w:t>
      </w:r>
      <w:r w:rsidR="00913A76" w:rsidRPr="00AC4EEC">
        <w:t>2004 was before the current owners purchased the estate</w:t>
      </w:r>
      <w:r w:rsidR="00913A76">
        <w:t xml:space="preserve">. </w:t>
      </w:r>
    </w:p>
    <w:p w14:paraId="2899C286" w14:textId="0C372FD7" w:rsidR="00D14A9A" w:rsidRPr="00D14A9A" w:rsidRDefault="00913A76" w:rsidP="00496E52">
      <w:pPr>
        <w:pStyle w:val="Style1"/>
      </w:pPr>
      <w:r>
        <w:rPr>
          <w:color w:val="auto"/>
          <w:kern w:val="0"/>
        </w:rPr>
        <w:t xml:space="preserve">LEL </w:t>
      </w:r>
      <w:r w:rsidR="00D14A9A">
        <w:rPr>
          <w:color w:val="auto"/>
          <w:kern w:val="0"/>
        </w:rPr>
        <w:t>take</w:t>
      </w:r>
      <w:r>
        <w:rPr>
          <w:color w:val="auto"/>
          <w:kern w:val="0"/>
        </w:rPr>
        <w:t>s</w:t>
      </w:r>
      <w:r w:rsidR="00D14A9A">
        <w:rPr>
          <w:color w:val="auto"/>
          <w:kern w:val="0"/>
        </w:rPr>
        <w:t xml:space="preserve"> issue with the </w:t>
      </w:r>
      <w:r>
        <w:rPr>
          <w:color w:val="auto"/>
          <w:kern w:val="0"/>
        </w:rPr>
        <w:t xml:space="preserve">OMA by </w:t>
      </w:r>
      <w:r w:rsidR="00D14A9A">
        <w:rPr>
          <w:color w:val="auto"/>
          <w:kern w:val="0"/>
        </w:rPr>
        <w:t>assert</w:t>
      </w:r>
      <w:r>
        <w:rPr>
          <w:color w:val="auto"/>
          <w:kern w:val="0"/>
        </w:rPr>
        <w:t>ing</w:t>
      </w:r>
      <w:r w:rsidR="00D14A9A">
        <w:rPr>
          <w:color w:val="auto"/>
          <w:kern w:val="0"/>
        </w:rPr>
        <w:t xml:space="preserve"> there is no date when the right to use the way public</w:t>
      </w:r>
      <w:r w:rsidR="00022F21">
        <w:rPr>
          <w:color w:val="auto"/>
          <w:kern w:val="0"/>
        </w:rPr>
        <w:t>l</w:t>
      </w:r>
      <w:r w:rsidR="00D14A9A">
        <w:rPr>
          <w:color w:val="auto"/>
          <w:kern w:val="0"/>
        </w:rPr>
        <w:t xml:space="preserve">y was brought into question. I disagree because the statutory declaration has the legal effect under s31(6) of the 1980 Act of enabling the deposit of </w:t>
      </w:r>
      <w:r w:rsidR="00D14A9A" w:rsidRPr="00D14A9A">
        <w:rPr>
          <w:color w:val="auto"/>
          <w:kern w:val="0"/>
        </w:rPr>
        <w:t xml:space="preserve">a statement with a map, followed by </w:t>
      </w:r>
      <w:r w:rsidR="00D14A9A">
        <w:rPr>
          <w:color w:val="auto"/>
          <w:kern w:val="0"/>
        </w:rPr>
        <w:t xml:space="preserve">the </w:t>
      </w:r>
      <w:r w:rsidR="00D14A9A" w:rsidRPr="00D14A9A">
        <w:rPr>
          <w:color w:val="auto"/>
          <w:kern w:val="0"/>
        </w:rPr>
        <w:t xml:space="preserve">declaration, </w:t>
      </w:r>
      <w:r w:rsidR="00D14A9A">
        <w:rPr>
          <w:color w:val="auto"/>
          <w:kern w:val="0"/>
        </w:rPr>
        <w:t xml:space="preserve">of demonstrating to the world at large that the owners as makers of the declaration </w:t>
      </w:r>
      <w:r w:rsidR="00D14A9A" w:rsidRPr="00D14A9A">
        <w:rPr>
          <w:color w:val="auto"/>
          <w:kern w:val="0"/>
        </w:rPr>
        <w:t>have no intention to dedicate any additional route to the public</w:t>
      </w:r>
      <w:r w:rsidR="00D14A9A">
        <w:rPr>
          <w:color w:val="auto"/>
          <w:kern w:val="0"/>
        </w:rPr>
        <w:t xml:space="preserve"> not otherwise</w:t>
      </w:r>
      <w:r w:rsidR="00D14A9A" w:rsidRPr="00D14A9A">
        <w:rPr>
          <w:color w:val="auto"/>
          <w:kern w:val="0"/>
        </w:rPr>
        <w:t> acknowledg</w:t>
      </w:r>
      <w:r w:rsidR="00D14A9A">
        <w:rPr>
          <w:color w:val="auto"/>
          <w:kern w:val="0"/>
        </w:rPr>
        <w:t>ed</w:t>
      </w:r>
      <w:r w:rsidR="00D14A9A" w:rsidRPr="00D14A9A">
        <w:rPr>
          <w:color w:val="auto"/>
          <w:kern w:val="0"/>
        </w:rPr>
        <w:t xml:space="preserve"> </w:t>
      </w:r>
      <w:r w:rsidR="00D14A9A">
        <w:rPr>
          <w:color w:val="auto"/>
          <w:kern w:val="0"/>
        </w:rPr>
        <w:t xml:space="preserve">in the statement and declaration as an </w:t>
      </w:r>
      <w:r w:rsidR="00D14A9A" w:rsidRPr="00D14A9A">
        <w:rPr>
          <w:color w:val="auto"/>
          <w:kern w:val="0"/>
        </w:rPr>
        <w:t>existing public right of way across their land</w:t>
      </w:r>
      <w:r w:rsidR="00D14A9A">
        <w:rPr>
          <w:color w:val="auto"/>
          <w:kern w:val="0"/>
        </w:rPr>
        <w:t xml:space="preserve">. </w:t>
      </w:r>
    </w:p>
    <w:p w14:paraId="02A60CBB" w14:textId="6674EA6E" w:rsidR="00913A76" w:rsidRDefault="00913A76" w:rsidP="00913A76">
      <w:pPr>
        <w:pStyle w:val="Style1"/>
      </w:pPr>
      <w:r>
        <w:t xml:space="preserve">Insofar as the documents deposited under s31(6) do not affect </w:t>
      </w:r>
      <w:r w:rsidRPr="00D14A9A">
        <w:t>parts of the claimed route outside the deposit area</w:t>
      </w:r>
      <w:r>
        <w:t xml:space="preserve">, I accept that </w:t>
      </w:r>
      <w:r w:rsidRPr="00D14A9A">
        <w:t xml:space="preserve">the making of the </w:t>
      </w:r>
      <w:r>
        <w:t>a</w:t>
      </w:r>
      <w:r w:rsidRPr="00D14A9A">
        <w:t xml:space="preserve">pplication </w:t>
      </w:r>
      <w:r>
        <w:t xml:space="preserve">for the present Order is capable of being </w:t>
      </w:r>
      <w:r w:rsidRPr="00D14A9A">
        <w:t xml:space="preserve">the date of bringing into question under </w:t>
      </w:r>
      <w:r>
        <w:t>s</w:t>
      </w:r>
      <w:r w:rsidRPr="00D14A9A">
        <w:t xml:space="preserve">31(7A) </w:t>
      </w:r>
      <w:r>
        <w:t xml:space="preserve">and </w:t>
      </w:r>
      <w:r w:rsidRPr="00D14A9A">
        <w:t>(7B) of the 1980</w:t>
      </w:r>
      <w:r>
        <w:t xml:space="preserve"> Act.</w:t>
      </w:r>
      <w:r w:rsidRPr="00D14A9A">
        <w:t xml:space="preserve"> </w:t>
      </w:r>
      <w:r>
        <w:t xml:space="preserve">This would however only apply to the small section of the Order route at the eastern end by the pumping station, which appears to be excluded from the land edged red in the plan attached to the declaration. </w:t>
      </w:r>
    </w:p>
    <w:p w14:paraId="77AE0186" w14:textId="27E00E6F" w:rsidR="003F6A1C" w:rsidRDefault="00321762" w:rsidP="00637229">
      <w:pPr>
        <w:pStyle w:val="Style1"/>
      </w:pPr>
      <w:r>
        <w:t>T</w:t>
      </w:r>
      <w:r w:rsidR="00637229" w:rsidRPr="00637229">
        <w:t xml:space="preserve">he 1923 OS map appears to show a bridge over the mother drain at the north end of Carr Road where there is now a foot bridge. </w:t>
      </w:r>
      <w:r w:rsidR="00EF1353">
        <w:t>T</w:t>
      </w:r>
      <w:r w:rsidR="00637229" w:rsidRPr="00637229">
        <w:t xml:space="preserve">he bridge </w:t>
      </w:r>
      <w:r w:rsidR="00EF1353">
        <w:t xml:space="preserve">may </w:t>
      </w:r>
      <w:r w:rsidR="00637229" w:rsidRPr="00637229">
        <w:t>have permitted passage by horse or cart/carriage to pass through to the riverbank at the end of Carr Road</w:t>
      </w:r>
      <w:r w:rsidR="00EF1353">
        <w:t xml:space="preserve">, however </w:t>
      </w:r>
      <w:r w:rsidR="00913A76">
        <w:t xml:space="preserve">this suggestion </w:t>
      </w:r>
      <w:r w:rsidR="00EF1353">
        <w:t xml:space="preserve">does not add significantly to the </w:t>
      </w:r>
      <w:r w:rsidR="0018359F">
        <w:t>evidence supporting the use of the Order route itself</w:t>
      </w:r>
      <w:r w:rsidR="00637229" w:rsidRPr="00637229">
        <w:t xml:space="preserve">. </w:t>
      </w:r>
    </w:p>
    <w:p w14:paraId="7B13753E" w14:textId="1CDA3EAC" w:rsidR="00637229" w:rsidRPr="00637229" w:rsidRDefault="00FC6446" w:rsidP="00637229">
      <w:pPr>
        <w:pStyle w:val="Style1"/>
      </w:pPr>
      <w:r>
        <w:t xml:space="preserve">I have come to a similar conclusion regarding the </w:t>
      </w:r>
      <w:r w:rsidRPr="00FC6446">
        <w:t>Stevens Map of Isle of Axholme 1820</w:t>
      </w:r>
      <w:r w:rsidR="00282EC9">
        <w:t xml:space="preserve"> although in any event the </w:t>
      </w:r>
      <w:r w:rsidR="002A4916">
        <w:t>copy supplied is indistinct</w:t>
      </w:r>
      <w:r w:rsidR="00E63501">
        <w:t xml:space="preserve">. The extract from </w:t>
      </w:r>
      <w:r w:rsidR="00282EC9">
        <w:t xml:space="preserve">the </w:t>
      </w:r>
      <w:r w:rsidR="00E63501" w:rsidRPr="00E63501">
        <w:t>Gringley Drainage map 1860 showing Gringley Road Bridge</w:t>
      </w:r>
      <w:r w:rsidR="0025375A">
        <w:t xml:space="preserve"> </w:t>
      </w:r>
      <w:r w:rsidR="002A3A1E">
        <w:t xml:space="preserve">has brown coloured sections which are possibly roads or ways of some description, but </w:t>
      </w:r>
      <w:r w:rsidR="00601F11">
        <w:t>such colouring is not repeated on the Order route itself</w:t>
      </w:r>
      <w:r w:rsidR="007C5C8C">
        <w:t>, ie the route along the section named in that map as Barrier Bank</w:t>
      </w:r>
      <w:r w:rsidR="00D62EDF">
        <w:t>.</w:t>
      </w:r>
      <w:r w:rsidR="00214B59">
        <w:t xml:space="preserve"> </w:t>
      </w:r>
      <w:r w:rsidR="003F6A1C">
        <w:t xml:space="preserve">Also submitted </w:t>
      </w:r>
      <w:r w:rsidR="00214B59">
        <w:t xml:space="preserve">is </w:t>
      </w:r>
      <w:r w:rsidR="003F6A1C">
        <w:t>a</w:t>
      </w:r>
      <w:r w:rsidR="00214B59">
        <w:t xml:space="preserve"> valuation book</w:t>
      </w:r>
      <w:r w:rsidR="00B63BD0">
        <w:t xml:space="preserve"> entry for </w:t>
      </w:r>
      <w:r w:rsidR="008A3C1F">
        <w:t>a</w:t>
      </w:r>
      <w:r w:rsidR="00B63BD0">
        <w:t xml:space="preserve"> tenant </w:t>
      </w:r>
      <w:r w:rsidR="005C2DC0">
        <w:t xml:space="preserve">of </w:t>
      </w:r>
      <w:r w:rsidR="00BD0CB5">
        <w:t>parcel</w:t>
      </w:r>
      <w:r w:rsidR="00B63BD0">
        <w:t xml:space="preserve"> 181 </w:t>
      </w:r>
      <w:r w:rsidR="005C2DC0">
        <w:t xml:space="preserve">shown on the corresponding </w:t>
      </w:r>
      <w:r w:rsidR="008262C6">
        <w:t xml:space="preserve">1838 map </w:t>
      </w:r>
      <w:r w:rsidR="006921EA">
        <w:t xml:space="preserve">which, whilst it does show Carr Road, </w:t>
      </w:r>
      <w:r w:rsidR="00065D2E">
        <w:t>bears no indication of a way immediately south of the River Idle on the Order route.</w:t>
      </w:r>
      <w:r w:rsidR="00E17157">
        <w:t xml:space="preserve"> </w:t>
      </w:r>
    </w:p>
    <w:p w14:paraId="4BE23A6E" w14:textId="77777777" w:rsidR="00913A76" w:rsidRDefault="00913A76" w:rsidP="005434F5">
      <w:pPr>
        <w:pStyle w:val="Style1"/>
      </w:pPr>
      <w:r>
        <w:t>T</w:t>
      </w:r>
      <w:r w:rsidR="00D14A9A" w:rsidRPr="00D14A9A">
        <w:t xml:space="preserve">he applicant submitted 41 </w:t>
      </w:r>
      <w:r w:rsidR="00D14A9A">
        <w:t>u</w:t>
      </w:r>
      <w:r w:rsidR="00D14A9A" w:rsidRPr="00D14A9A">
        <w:t xml:space="preserve">ser </w:t>
      </w:r>
      <w:r w:rsidR="00D14A9A">
        <w:t>e</w:t>
      </w:r>
      <w:r w:rsidR="00D14A9A" w:rsidRPr="00D14A9A">
        <w:t xml:space="preserve">vidence </w:t>
      </w:r>
      <w:r w:rsidR="00D14A9A">
        <w:t>s</w:t>
      </w:r>
      <w:r w:rsidR="00D14A9A" w:rsidRPr="00D14A9A">
        <w:t>tatements</w:t>
      </w:r>
      <w:r w:rsidR="00D14A9A">
        <w:t xml:space="preserve"> </w:t>
      </w:r>
      <w:r w:rsidR="00D14A9A" w:rsidRPr="00D14A9A">
        <w:t>as to the use of the flood bank between Polly Bell Bank and Carr Road which remain to be considered.</w:t>
      </w:r>
      <w:r>
        <w:t xml:space="preserve"> </w:t>
      </w:r>
      <w:r w:rsidR="002B5537" w:rsidRPr="004531E5">
        <w:t xml:space="preserve">Use of a way by different persons, each for periods of less than 20 years, </w:t>
      </w:r>
      <w:r w:rsidR="002B5537">
        <w:t xml:space="preserve">may </w:t>
      </w:r>
      <w:r w:rsidR="002B5537" w:rsidRPr="004531E5">
        <w:t>suffice if taken together they total a continuous period of 20 years or more</w:t>
      </w:r>
      <w:r w:rsidR="002B5537">
        <w:t>. I have taken account of the fact that, as the OMA point</w:t>
      </w:r>
      <w:r>
        <w:t>s</w:t>
      </w:r>
      <w:r w:rsidR="002B5537">
        <w:t xml:space="preserve"> out, one can aggregate the individual periods of use </w:t>
      </w:r>
      <w:r>
        <w:t xml:space="preserve">here </w:t>
      </w:r>
      <w:r w:rsidR="002B5537">
        <w:t>to provide a combined total of 20 years.</w:t>
      </w:r>
    </w:p>
    <w:p w14:paraId="18030E93" w14:textId="77777777" w:rsidR="0081524F" w:rsidRDefault="0081524F" w:rsidP="0081524F">
      <w:pPr>
        <w:pStyle w:val="Style1"/>
      </w:pPr>
      <w:r>
        <w:t>The stated use is mainly on foot. However, t</w:t>
      </w:r>
      <w:r w:rsidR="00913A76">
        <w:t xml:space="preserve">here </w:t>
      </w:r>
      <w:r w:rsidR="002B5537">
        <w:t xml:space="preserve">are </w:t>
      </w:r>
      <w:r w:rsidR="00913A76">
        <w:t xml:space="preserve">also </w:t>
      </w:r>
      <w:r w:rsidR="009B4C7B">
        <w:t xml:space="preserve">11 </w:t>
      </w:r>
      <w:r w:rsidR="00B72584" w:rsidRPr="00B72584">
        <w:t xml:space="preserve">user evidence statements </w:t>
      </w:r>
      <w:r w:rsidR="00417EED">
        <w:t xml:space="preserve">that </w:t>
      </w:r>
      <w:r w:rsidR="00B72584" w:rsidRPr="00B72584">
        <w:t xml:space="preserve">refer to continuous use throughout the whole of the relevant </w:t>
      </w:r>
      <w:r w:rsidR="00B72584" w:rsidRPr="00B72584">
        <w:lastRenderedPageBreak/>
        <w:t>20-year period</w:t>
      </w:r>
      <w:r w:rsidR="001860D9">
        <w:t>,</w:t>
      </w:r>
      <w:r w:rsidR="009B4C7B">
        <w:t xml:space="preserve"> </w:t>
      </w:r>
      <w:r>
        <w:t xml:space="preserve">including statements that </w:t>
      </w:r>
      <w:r w:rsidR="009B4C7B">
        <w:t>refer to use on horseback or by cycle</w:t>
      </w:r>
      <w:r w:rsidR="00B72584" w:rsidRPr="00B72584">
        <w:t>.</w:t>
      </w:r>
      <w:r w:rsidR="00387A94" w:rsidRPr="00387A94">
        <w:t xml:space="preserve"> </w:t>
      </w:r>
      <w:r>
        <w:t>Although</w:t>
      </w:r>
      <w:r w:rsidR="00D71A36">
        <w:t xml:space="preserve"> t</w:t>
      </w:r>
      <w:r w:rsidR="007952CE">
        <w:t xml:space="preserve">he number of </w:t>
      </w:r>
      <w:r w:rsidR="00387A94" w:rsidRPr="00387A94">
        <w:t>statements refer</w:t>
      </w:r>
      <w:r w:rsidR="007952CE">
        <w:t xml:space="preserve">ring to </w:t>
      </w:r>
      <w:r w:rsidR="00387A94" w:rsidRPr="00387A94">
        <w:t>equestrian and cycle use</w:t>
      </w:r>
      <w:r w:rsidR="002C450D">
        <w:t xml:space="preserve"> throughout the 20 year period</w:t>
      </w:r>
      <w:r w:rsidR="007952CE">
        <w:t xml:space="preserve"> is low </w:t>
      </w:r>
      <w:r>
        <w:t xml:space="preserve">in comparison to the statements that refer to pedestrian use this might be expected </w:t>
      </w:r>
      <w:r w:rsidR="002C450D">
        <w:t>in any event</w:t>
      </w:r>
      <w:r>
        <w:t>.</w:t>
      </w:r>
      <w:r w:rsidR="00387A94" w:rsidRPr="00387A94">
        <w:t xml:space="preserve"> Some </w:t>
      </w:r>
      <w:r w:rsidR="00D71A36">
        <w:t xml:space="preserve">statements </w:t>
      </w:r>
      <w:r w:rsidR="00387A94" w:rsidRPr="00387A94">
        <w:t xml:space="preserve">refer to use as far back as the 1950s. </w:t>
      </w:r>
      <w:r w:rsidR="00F90DAE">
        <w:t>The f</w:t>
      </w:r>
      <w:r w:rsidR="00387A94" w:rsidRPr="00387A94">
        <w:t xml:space="preserve">requency of use is typically monthly or every few months. </w:t>
      </w:r>
      <w:r w:rsidRPr="00387A94">
        <w:t>Use during the relevant period appears to have been as of right and no evidence has been discovered to suggest that any challenge took place during the relevant 20-year period.</w:t>
      </w:r>
      <w:r>
        <w:t xml:space="preserve"> Some users added that </w:t>
      </w:r>
      <w:r w:rsidRPr="00F90DAE">
        <w:t>the flood bank in Gringley was used on foot, horseback, and on cycles mainly in conjunction with Everton Bridleway No.24 (Polly Bell Bank).</w:t>
      </w:r>
    </w:p>
    <w:p w14:paraId="5C707368" w14:textId="4D1DB90C" w:rsidR="00AD324B" w:rsidRDefault="0081524F" w:rsidP="005434F5">
      <w:pPr>
        <w:pStyle w:val="Style1"/>
      </w:pPr>
      <w:r>
        <w:t xml:space="preserve">The purpose of the use is generally stated to be recreational, including the use of this section of the Order route as part of various circular tours making use of existing Bridleway No 24, Footpath No 17 (Carr Road) but also the Order route considered above, namely along the riverbank towards Misson. There is a particular mention in several statements of going to the river as an end in itself for fishing and bird watching. </w:t>
      </w:r>
    </w:p>
    <w:p w14:paraId="08F52984" w14:textId="132FB8AB" w:rsidR="005157F1" w:rsidRDefault="00C86B39" w:rsidP="005157F1">
      <w:pPr>
        <w:pStyle w:val="Style1"/>
      </w:pPr>
      <w:r>
        <w:t xml:space="preserve">Correspondence </w:t>
      </w:r>
      <w:r w:rsidR="00F90DAE">
        <w:t xml:space="preserve">held by the </w:t>
      </w:r>
      <w:r>
        <w:t xml:space="preserve">OMA </w:t>
      </w:r>
      <w:r w:rsidR="00F90DAE">
        <w:t xml:space="preserve">from </w:t>
      </w:r>
      <w:r w:rsidR="00F90DAE" w:rsidRPr="00F90DAE">
        <w:t xml:space="preserve">19 October 2004 </w:t>
      </w:r>
      <w:r>
        <w:t>include</w:t>
      </w:r>
      <w:r w:rsidR="0081524F">
        <w:t>s</w:t>
      </w:r>
      <w:r>
        <w:t xml:space="preserve"> </w:t>
      </w:r>
      <w:r w:rsidR="00F90DAE" w:rsidRPr="00F90DAE">
        <w:t>a Sheffield resident</w:t>
      </w:r>
      <w:r>
        <w:t xml:space="preserve">’s claim that he was </w:t>
      </w:r>
      <w:r w:rsidR="00F90DAE" w:rsidRPr="00F90DAE">
        <w:t xml:space="preserve">verbally challenged by the “Lovedon Estate” when walking the flood bank behind Gringley pumping </w:t>
      </w:r>
      <w:r w:rsidR="0081524F" w:rsidRPr="00F90DAE">
        <w:t>station,</w:t>
      </w:r>
      <w:r w:rsidR="00F90DAE">
        <w:t xml:space="preserve"> but </w:t>
      </w:r>
      <w:r w:rsidR="0081524F">
        <w:t xml:space="preserve">he </w:t>
      </w:r>
      <w:r w:rsidR="00F90DAE" w:rsidRPr="00F90DAE">
        <w:t>had been walking and fishing the flood bank “for some 30 years”.</w:t>
      </w:r>
      <w:r w:rsidR="00F90DAE">
        <w:t xml:space="preserve"> </w:t>
      </w:r>
      <w:r w:rsidR="0081524F">
        <w:t>This</w:t>
      </w:r>
      <w:r w:rsidR="002E7B10">
        <w:t xml:space="preserve"> falls outside the relevant 20-year period</w:t>
      </w:r>
      <w:r w:rsidR="009C0343">
        <w:t xml:space="preserve">, being some 6 months after the deposit made under s31(6). </w:t>
      </w:r>
      <w:r w:rsidR="004E1015">
        <w:t>P</w:t>
      </w:r>
      <w:r w:rsidR="00F90DAE" w:rsidRPr="00F90DAE">
        <w:t>art of the bank</w:t>
      </w:r>
      <w:r w:rsidR="00F90DAE">
        <w:t xml:space="preserve"> </w:t>
      </w:r>
      <w:r w:rsidR="004E1015">
        <w:t xml:space="preserve">in the immediate vicinity may be </w:t>
      </w:r>
      <w:r w:rsidR="00F90DAE" w:rsidRPr="00F90DAE">
        <w:t xml:space="preserve">designated access land </w:t>
      </w:r>
      <w:r w:rsidR="00F90DAE">
        <w:t xml:space="preserve">under </w:t>
      </w:r>
      <w:r w:rsidR="004E1015">
        <w:t xml:space="preserve">the </w:t>
      </w:r>
      <w:r w:rsidR="00F90DAE" w:rsidRPr="00F90DAE">
        <w:t>Countryside and Rights of Way Act 2000</w:t>
      </w:r>
      <w:r w:rsidR="004E1015">
        <w:t xml:space="preserve">, however </w:t>
      </w:r>
      <w:r w:rsidR="00F9346C">
        <w:t xml:space="preserve">the rights that obtain for the public under such designation are quite distinct from </w:t>
      </w:r>
      <w:r w:rsidR="00A24F82">
        <w:t xml:space="preserve">the question whether </w:t>
      </w:r>
      <w:r w:rsidR="00F9346C">
        <w:t xml:space="preserve">any </w:t>
      </w:r>
      <w:r w:rsidR="00A24F82">
        <w:t xml:space="preserve">public </w:t>
      </w:r>
      <w:r w:rsidR="00F9346C">
        <w:t xml:space="preserve">footpath or bridleway </w:t>
      </w:r>
      <w:r w:rsidR="00A24F82">
        <w:t xml:space="preserve">has also come into existence over </w:t>
      </w:r>
      <w:r w:rsidR="00A346EB">
        <w:t>or beside it</w:t>
      </w:r>
      <w:r w:rsidR="0081524F">
        <w:t xml:space="preserve"> and this has not affected my consideration of the matter</w:t>
      </w:r>
      <w:r w:rsidR="00A346EB">
        <w:t>.</w:t>
      </w:r>
      <w:r w:rsidR="005157F1">
        <w:t xml:space="preserve"> </w:t>
      </w:r>
    </w:p>
    <w:p w14:paraId="4C113BEE" w14:textId="2C5FBDC2" w:rsidR="00F90DAE" w:rsidRDefault="0081524F" w:rsidP="00EA7D64">
      <w:pPr>
        <w:pStyle w:val="Style1"/>
      </w:pPr>
      <w:r>
        <w:t>A few statements are provided by the OMA that</w:t>
      </w:r>
      <w:r w:rsidR="005B5338">
        <w:t xml:space="preserve"> relate to an </w:t>
      </w:r>
      <w:r>
        <w:t>o</w:t>
      </w:r>
      <w:r w:rsidR="005B5338">
        <w:t>rder that is not before me</w:t>
      </w:r>
      <w:r w:rsidR="00F44AA3">
        <w:t xml:space="preserve">, claiming a footpath between </w:t>
      </w:r>
      <w:r w:rsidR="00F44AA3" w:rsidRPr="00F90DAE">
        <w:t>Gringley Footpath No.17 (Carr Road) and Misson Bridleway No.4 via the flood bank</w:t>
      </w:r>
      <w:r w:rsidR="00F44AA3">
        <w:t>.</w:t>
      </w:r>
      <w:r w:rsidR="005600AA">
        <w:t xml:space="preserve"> </w:t>
      </w:r>
      <w:r w:rsidR="0049604E">
        <w:t xml:space="preserve">Whether the public use </w:t>
      </w:r>
      <w:r w:rsidR="0049604E" w:rsidRPr="00F90DAE">
        <w:t xml:space="preserve">extended </w:t>
      </w:r>
      <w:r w:rsidR="0049604E">
        <w:t xml:space="preserve">contiguously with the Order route in this direction is therefore conjectural for present purposes but, as the </w:t>
      </w:r>
      <w:r>
        <w:t xml:space="preserve">statements partially relate to </w:t>
      </w:r>
      <w:r w:rsidR="0049604E">
        <w:t xml:space="preserve">use </w:t>
      </w:r>
      <w:r w:rsidRPr="00F90DAE">
        <w:t xml:space="preserve">between the ends of Polly Bell Bank and </w:t>
      </w:r>
      <w:r w:rsidR="0049604E" w:rsidRPr="00F90DAE">
        <w:t>Carr Road,</w:t>
      </w:r>
      <w:r>
        <w:t xml:space="preserve"> I have taken </w:t>
      </w:r>
      <w:r w:rsidR="0049604E">
        <w:t xml:space="preserve">these </w:t>
      </w:r>
      <w:r>
        <w:t xml:space="preserve">into account. </w:t>
      </w:r>
    </w:p>
    <w:p w14:paraId="7DCD0DB6" w14:textId="5ECAB335" w:rsidR="0049604E" w:rsidRPr="0049604E" w:rsidRDefault="0049604E" w:rsidP="00A17267">
      <w:pPr>
        <w:pStyle w:val="Style1"/>
        <w:rPr>
          <w:szCs w:val="22"/>
        </w:rPr>
      </w:pPr>
      <w:r>
        <w:t>T</w:t>
      </w:r>
      <w:r w:rsidR="004B56A3">
        <w:t xml:space="preserve">his part of the Order route ends in </w:t>
      </w:r>
      <w:bookmarkStart w:id="3" w:name="_Hlk177655621"/>
      <w:r w:rsidR="004B56A3">
        <w:t>a cul-de-sac at Grid Ref SK7130 9550</w:t>
      </w:r>
      <w:r>
        <w:t xml:space="preserve">. LEL cites </w:t>
      </w:r>
      <w:bookmarkEnd w:id="3"/>
      <w:r w:rsidR="004B56A3" w:rsidRPr="0049604E">
        <w:rPr>
          <w:i/>
          <w:iCs/>
        </w:rPr>
        <w:t>Highway Law by Sauvain, Stockley and Westway (6th Edition – 2022)</w:t>
      </w:r>
      <w:r w:rsidR="004B56A3">
        <w:t>. I take from the extract supplied th</w:t>
      </w:r>
      <w:r>
        <w:t xml:space="preserve">e following </w:t>
      </w:r>
      <w:r w:rsidR="00A70439">
        <w:t xml:space="preserve">relevant </w:t>
      </w:r>
      <w:r>
        <w:t>considerations:</w:t>
      </w:r>
    </w:p>
    <w:p w14:paraId="1C3775AC" w14:textId="32E878FC" w:rsidR="0049604E" w:rsidRPr="0049604E" w:rsidRDefault="004B56A3" w:rsidP="0049604E">
      <w:pPr>
        <w:pStyle w:val="Style1"/>
        <w:numPr>
          <w:ilvl w:val="0"/>
          <w:numId w:val="31"/>
        </w:numPr>
        <w:spacing w:before="0"/>
        <w:rPr>
          <w:szCs w:val="22"/>
        </w:rPr>
      </w:pPr>
      <w:r>
        <w:t xml:space="preserve">where </w:t>
      </w:r>
      <w:r w:rsidR="0049604E">
        <w:t xml:space="preserve">there is </w:t>
      </w:r>
      <w:r>
        <w:t xml:space="preserve">no obvious reason for public use of a cul-de-sac, other evidence will assume greater importance in establishing a highway. </w:t>
      </w:r>
    </w:p>
    <w:p w14:paraId="72F4D40D" w14:textId="77777777" w:rsidR="0049604E" w:rsidRPr="0049604E" w:rsidRDefault="004B56A3" w:rsidP="0049604E">
      <w:pPr>
        <w:pStyle w:val="Style1"/>
        <w:numPr>
          <w:ilvl w:val="0"/>
          <w:numId w:val="31"/>
        </w:numPr>
        <w:spacing w:before="0"/>
        <w:rPr>
          <w:szCs w:val="22"/>
        </w:rPr>
      </w:pPr>
      <w:r>
        <w:t xml:space="preserve">over time cul-de-sacs were found to be capable of being highways so long as the public at large were free to, and did, use them, and this became a principal test of whether a way was public rather than private. </w:t>
      </w:r>
    </w:p>
    <w:p w14:paraId="5257C129" w14:textId="77777777" w:rsidR="0049604E" w:rsidRPr="0049604E" w:rsidRDefault="004B56A3" w:rsidP="0049604E">
      <w:pPr>
        <w:pStyle w:val="Style1"/>
        <w:numPr>
          <w:ilvl w:val="0"/>
          <w:numId w:val="31"/>
        </w:numPr>
        <w:spacing w:before="0"/>
        <w:rPr>
          <w:szCs w:val="22"/>
        </w:rPr>
      </w:pPr>
      <w:r>
        <w:t xml:space="preserve">However, there is no rule of law that a cul-de-sac may not be highway, whether it be in a town or in the country. </w:t>
      </w:r>
    </w:p>
    <w:p w14:paraId="1A88C29A" w14:textId="03A21674" w:rsidR="003D6F6E" w:rsidRPr="002027E7" w:rsidRDefault="004B56A3" w:rsidP="00A17267">
      <w:pPr>
        <w:pStyle w:val="Style1"/>
        <w:rPr>
          <w:szCs w:val="22"/>
        </w:rPr>
      </w:pPr>
      <w:r>
        <w:t xml:space="preserve">It has long been accepted that roads </w:t>
      </w:r>
      <w:r w:rsidRPr="002027E7">
        <w:rPr>
          <w:szCs w:val="22"/>
        </w:rPr>
        <w:t>leading to places of interest, for example to a river, may be highways.</w:t>
      </w:r>
      <w:r w:rsidR="00A33904" w:rsidRPr="002027E7">
        <w:rPr>
          <w:szCs w:val="22"/>
        </w:rPr>
        <w:t xml:space="preserve"> </w:t>
      </w:r>
      <w:r w:rsidR="0049604E">
        <w:rPr>
          <w:szCs w:val="22"/>
        </w:rPr>
        <w:t xml:space="preserve">I have already given instances in the user statements of the reasons why the public might find this part of the river Idle a place of interest in itself. </w:t>
      </w:r>
      <w:r w:rsidR="00A70439">
        <w:rPr>
          <w:szCs w:val="22"/>
        </w:rPr>
        <w:t xml:space="preserve">These are logical and obvious reasons for the use. </w:t>
      </w:r>
      <w:r w:rsidR="0049604E">
        <w:rPr>
          <w:szCs w:val="22"/>
        </w:rPr>
        <w:t xml:space="preserve">Given </w:t>
      </w:r>
      <w:r w:rsidR="00A70439">
        <w:rPr>
          <w:szCs w:val="22"/>
        </w:rPr>
        <w:t>the river’s</w:t>
      </w:r>
      <w:r w:rsidR="0049604E">
        <w:rPr>
          <w:szCs w:val="22"/>
        </w:rPr>
        <w:t xml:space="preserve"> </w:t>
      </w:r>
      <w:r w:rsidR="00A33904" w:rsidRPr="002027E7">
        <w:rPr>
          <w:szCs w:val="22"/>
        </w:rPr>
        <w:t xml:space="preserve">proximity to the Order route </w:t>
      </w:r>
      <w:r w:rsidR="0049604E">
        <w:rPr>
          <w:szCs w:val="22"/>
        </w:rPr>
        <w:t xml:space="preserve">and the user statements, I give little </w:t>
      </w:r>
      <w:r w:rsidR="002027E7">
        <w:rPr>
          <w:szCs w:val="22"/>
        </w:rPr>
        <w:t>weight to the fact th</w:t>
      </w:r>
      <w:r w:rsidR="00D93681">
        <w:rPr>
          <w:szCs w:val="22"/>
        </w:rPr>
        <w:t xml:space="preserve">ere would be </w:t>
      </w:r>
      <w:r w:rsidR="00D93681" w:rsidRPr="002027E7">
        <w:rPr>
          <w:szCs w:val="22"/>
        </w:rPr>
        <w:t>a cul-de-sac at Grid Ref SK7130 9550</w:t>
      </w:r>
      <w:r w:rsidR="00D93681">
        <w:rPr>
          <w:szCs w:val="22"/>
        </w:rPr>
        <w:t>.</w:t>
      </w:r>
    </w:p>
    <w:p w14:paraId="47B2464B" w14:textId="5DF12B2B" w:rsidR="001C4ED0" w:rsidRDefault="001C4ED0" w:rsidP="001C4ED0">
      <w:pPr>
        <w:pStyle w:val="Style1"/>
      </w:pPr>
      <w:r>
        <w:lastRenderedPageBreak/>
        <w:t>T</w:t>
      </w:r>
      <w:r w:rsidRPr="009D3D17">
        <w:t>he quality and quantity of use relied on to infer the probability of</w:t>
      </w:r>
      <w:r>
        <w:t xml:space="preserve"> the Order route carrying public bridleway rights, is sufficiently cogent in my view such that t</w:t>
      </w:r>
      <w:r w:rsidRPr="00281263">
        <w:t xml:space="preserve">he dedication of a bridleway can be inferred following public use </w:t>
      </w:r>
      <w:r>
        <w:t xml:space="preserve">on horseback as well as use by cyclists. </w:t>
      </w:r>
      <w:r w:rsidR="0049604E" w:rsidRPr="001C4ED0">
        <w:rPr>
          <w:rFonts w:cs="Arial"/>
          <w:color w:val="1F1F1F"/>
          <w:szCs w:val="22"/>
          <w:shd w:val="clear" w:color="auto" w:fill="FFFFFF"/>
        </w:rPr>
        <w:t xml:space="preserve">Overall, </w:t>
      </w:r>
      <w:r w:rsidR="003D6F6E" w:rsidRPr="001C4ED0">
        <w:rPr>
          <w:rFonts w:cs="Arial"/>
          <w:color w:val="1F1F1F"/>
          <w:szCs w:val="22"/>
          <w:shd w:val="clear" w:color="auto" w:fill="FFFFFF"/>
        </w:rPr>
        <w:t xml:space="preserve">I </w:t>
      </w:r>
      <w:r w:rsidR="0049604E" w:rsidRPr="001C4ED0">
        <w:rPr>
          <w:rFonts w:cs="Arial"/>
          <w:color w:val="1F1F1F"/>
          <w:szCs w:val="22"/>
          <w:shd w:val="clear" w:color="auto" w:fill="FFFFFF"/>
        </w:rPr>
        <w:t xml:space="preserve">am </w:t>
      </w:r>
      <w:r w:rsidR="00AF174E" w:rsidRPr="001C4ED0">
        <w:rPr>
          <w:rFonts w:cs="Arial"/>
          <w:color w:val="1F1F1F"/>
          <w:szCs w:val="22"/>
          <w:shd w:val="clear" w:color="auto" w:fill="FFFFFF"/>
        </w:rPr>
        <w:t xml:space="preserve">persuaded on the evidence that </w:t>
      </w:r>
      <w:r w:rsidR="0049604E" w:rsidRPr="001C4ED0">
        <w:rPr>
          <w:rFonts w:cs="Arial"/>
          <w:color w:val="1F1F1F"/>
          <w:szCs w:val="22"/>
          <w:shd w:val="clear" w:color="auto" w:fill="FFFFFF"/>
        </w:rPr>
        <w:t xml:space="preserve">on the balance of probability </w:t>
      </w:r>
      <w:r w:rsidR="00AF174E" w:rsidRPr="001C4ED0">
        <w:rPr>
          <w:rFonts w:cs="Arial"/>
          <w:color w:val="1F1F1F"/>
          <w:szCs w:val="22"/>
          <w:shd w:val="clear" w:color="auto" w:fill="FFFFFF"/>
        </w:rPr>
        <w:t xml:space="preserve">the user endured throughout the whole </w:t>
      </w:r>
      <w:r w:rsidR="0049604E" w:rsidRPr="001C4ED0">
        <w:rPr>
          <w:rFonts w:cs="Arial"/>
          <w:color w:val="1F1F1F"/>
          <w:szCs w:val="22"/>
          <w:shd w:val="clear" w:color="auto" w:fill="FFFFFF"/>
        </w:rPr>
        <w:t xml:space="preserve">of the relevant </w:t>
      </w:r>
      <w:r w:rsidR="00AF174E" w:rsidRPr="001C4ED0">
        <w:rPr>
          <w:rFonts w:cs="Arial"/>
          <w:color w:val="1F1F1F"/>
          <w:szCs w:val="22"/>
          <w:shd w:val="clear" w:color="auto" w:fill="FFFFFF"/>
        </w:rPr>
        <w:t>period</w:t>
      </w:r>
      <w:r w:rsidR="003B52D5" w:rsidRPr="001C4ED0">
        <w:rPr>
          <w:rFonts w:cs="Arial"/>
          <w:color w:val="1F1F1F"/>
          <w:szCs w:val="22"/>
          <w:shd w:val="clear" w:color="auto" w:fill="FFFFFF"/>
        </w:rPr>
        <w:t xml:space="preserve"> </w:t>
      </w:r>
      <w:r w:rsidR="0049604E" w:rsidRPr="001C4ED0">
        <w:rPr>
          <w:rFonts w:cs="Arial"/>
          <w:color w:val="1F1F1F"/>
          <w:szCs w:val="22"/>
          <w:shd w:val="clear" w:color="auto" w:fill="FFFFFF"/>
        </w:rPr>
        <w:t xml:space="preserve">in question as to use on horseback, cycle and foot, </w:t>
      </w:r>
      <w:r w:rsidR="003B52D5" w:rsidRPr="001C4ED0">
        <w:rPr>
          <w:rFonts w:cs="Arial"/>
          <w:color w:val="1F1F1F"/>
          <w:szCs w:val="22"/>
          <w:shd w:val="clear" w:color="auto" w:fill="FFFFFF"/>
        </w:rPr>
        <w:t>and was of a sufficient quantity and quality</w:t>
      </w:r>
      <w:r w:rsidR="00AF174E" w:rsidRPr="001C4ED0">
        <w:rPr>
          <w:rFonts w:cs="Arial"/>
          <w:color w:val="1F1F1F"/>
          <w:szCs w:val="22"/>
          <w:shd w:val="clear" w:color="auto" w:fill="FFFFFF"/>
        </w:rPr>
        <w:t>.</w:t>
      </w:r>
      <w:r w:rsidR="003D6F6E" w:rsidRPr="001C4ED0">
        <w:rPr>
          <w:rFonts w:cs="Arial"/>
          <w:color w:val="1F1F1F"/>
          <w:szCs w:val="22"/>
          <w:shd w:val="clear" w:color="auto" w:fill="FFFFFF"/>
        </w:rPr>
        <w:t xml:space="preserve"> </w:t>
      </w:r>
      <w:r w:rsidRPr="001C4ED0">
        <w:rPr>
          <w:rFonts w:cs="Arial"/>
          <w:color w:val="1F1F1F"/>
          <w:szCs w:val="22"/>
          <w:shd w:val="clear" w:color="auto" w:fill="FFFFFF"/>
        </w:rPr>
        <w:t>T</w:t>
      </w:r>
      <w:r w:rsidR="00A173A6">
        <w:t xml:space="preserve">he user statements taken with the other evidence adduced by the Council are sufficient to raise a statutory presumption of 20 years’ </w:t>
      </w:r>
      <w:r w:rsidR="00C239B3">
        <w:t>continuous and uninterrupted use of this part of the claimed Order route</w:t>
      </w:r>
      <w:r>
        <w:t xml:space="preserve">. </w:t>
      </w:r>
      <w:r w:rsidR="00C95CA3">
        <w:t xml:space="preserve">Insofar as concerns the use of the </w:t>
      </w:r>
      <w:r w:rsidR="00146FA4">
        <w:t xml:space="preserve">small section of </w:t>
      </w:r>
      <w:r w:rsidR="00C95CA3">
        <w:t>Order route excluded fr</w:t>
      </w:r>
      <w:r w:rsidR="00146FA4">
        <w:t>o</w:t>
      </w:r>
      <w:r w:rsidR="00C95CA3">
        <w:t xml:space="preserve">m </w:t>
      </w:r>
      <w:r w:rsidR="00146FA4">
        <w:t>the statutory declaration</w:t>
      </w:r>
      <w:r w:rsidR="00C96A73">
        <w:t>,</w:t>
      </w:r>
      <w:r w:rsidR="00146FA4">
        <w:t xml:space="preserve"> </w:t>
      </w:r>
      <w:r w:rsidR="002254AA">
        <w:t xml:space="preserve">user evidence also </w:t>
      </w:r>
      <w:r w:rsidR="00241FEB">
        <w:t xml:space="preserve">relates to </w:t>
      </w:r>
      <w:r w:rsidR="007A4486">
        <w:t xml:space="preserve">this section during </w:t>
      </w:r>
      <w:r w:rsidR="002254AA">
        <w:t>the relevant 20 year period up to the application date</w:t>
      </w:r>
      <w:r w:rsidR="00241FEB">
        <w:t>,</w:t>
      </w:r>
      <w:r w:rsidR="004B627B">
        <w:t xml:space="preserve"> such that taken with the </w:t>
      </w:r>
      <w:r w:rsidR="007A4486">
        <w:t xml:space="preserve">rest of the evidence </w:t>
      </w:r>
      <w:r w:rsidR="00136787">
        <w:t xml:space="preserve">it is a reasonable inference on the balance of probability that </w:t>
      </w:r>
      <w:r w:rsidR="007611E9">
        <w:t xml:space="preserve">public bridleway rights continued to Grid </w:t>
      </w:r>
      <w:r w:rsidR="00E227A9">
        <w:t>R</w:t>
      </w:r>
      <w:r w:rsidR="007611E9">
        <w:t xml:space="preserve">ef </w:t>
      </w:r>
      <w:r w:rsidR="00E227A9" w:rsidRPr="00E227A9">
        <w:t>SK7130 9500</w:t>
      </w:r>
      <w:r w:rsidR="00E227A9">
        <w:t>.</w:t>
      </w:r>
    </w:p>
    <w:p w14:paraId="33CECD53" w14:textId="0B08077E" w:rsidR="001C4ED0" w:rsidRDefault="001C4ED0" w:rsidP="00237113">
      <w:pPr>
        <w:pStyle w:val="Style1"/>
      </w:pPr>
      <w:r w:rsidRPr="00A47564">
        <w:t xml:space="preserve">General comments by the landowner about what he knew and what steps he took or did not take in consequence and why, his evidence of user or non-user, the extent to </w:t>
      </w:r>
      <w:r w:rsidRPr="007C752B">
        <w:rPr>
          <w:szCs w:val="22"/>
        </w:rPr>
        <w:t>which evidence of others to the contrary is challenged, and the submissions made about it, are potentially relevant.</w:t>
      </w:r>
      <w:r w:rsidRPr="007C752B">
        <w:rPr>
          <w:rFonts w:cs="Arial"/>
          <w:color w:val="1F1F1F"/>
          <w:kern w:val="0"/>
          <w:szCs w:val="22"/>
          <w:shd w:val="clear" w:color="auto" w:fill="FFFFFF"/>
        </w:rPr>
        <w:t xml:space="preserve"> </w:t>
      </w:r>
      <w:r w:rsidR="007C752B" w:rsidRPr="007C752B">
        <w:rPr>
          <w:rFonts w:cs="Arial"/>
          <w:color w:val="1F1F1F"/>
          <w:kern w:val="0"/>
          <w:szCs w:val="22"/>
          <w:shd w:val="clear" w:color="auto" w:fill="FFFFFF"/>
        </w:rPr>
        <w:t>The presence of a locked gate and broken-down adjoining fence is noted</w:t>
      </w:r>
      <w:r w:rsidR="007C752B">
        <w:rPr>
          <w:rFonts w:cs="Arial"/>
          <w:color w:val="1F1F1F"/>
          <w:kern w:val="0"/>
          <w:szCs w:val="22"/>
          <w:shd w:val="clear" w:color="auto" w:fill="FFFFFF"/>
        </w:rPr>
        <w:t xml:space="preserve"> but </w:t>
      </w:r>
      <w:r w:rsidR="007C752B" w:rsidRPr="007C752B">
        <w:rPr>
          <w:rFonts w:cs="Arial"/>
          <w:color w:val="1F1F1F"/>
          <w:kern w:val="0"/>
          <w:szCs w:val="22"/>
          <w:shd w:val="clear" w:color="auto" w:fill="FFFFFF"/>
        </w:rPr>
        <w:t>it does not appear to have prevented users from negotiating the way during the relevant period. It is established that under s31(1) of the 1980 Act there can only be sufficient evidence that a landowner had no intention to dedicate a path as a public way if the landowner performed overt acts so that the relevant audience, namely the users of the way, would reasonably have understood his intention.</w:t>
      </w:r>
      <w:r w:rsidR="007C752B">
        <w:rPr>
          <w:rFonts w:cs="Arial"/>
          <w:color w:val="1F1F1F"/>
          <w:kern w:val="0"/>
          <w:szCs w:val="22"/>
          <w:shd w:val="clear" w:color="auto" w:fill="FFFFFF"/>
        </w:rPr>
        <w:t xml:space="preserve"> However, </w:t>
      </w:r>
      <w:r w:rsidR="007C752B" w:rsidRPr="007C752B">
        <w:rPr>
          <w:rFonts w:cs="Arial"/>
          <w:color w:val="1F1F1F"/>
          <w:kern w:val="0"/>
          <w:szCs w:val="22"/>
          <w:shd w:val="clear" w:color="auto" w:fill="FFFFFF"/>
        </w:rPr>
        <w:t>I find</w:t>
      </w:r>
      <w:r>
        <w:t xml:space="preserve"> no evidence that any owner has effectively demonstrated during th</w:t>
      </w:r>
      <w:r w:rsidR="007C752B">
        <w:t>e</w:t>
      </w:r>
      <w:r>
        <w:t xml:space="preserve"> period</w:t>
      </w:r>
      <w:r w:rsidR="007C752B">
        <w:t xml:space="preserve"> in question</w:t>
      </w:r>
      <w:r>
        <w:t xml:space="preserve">, </w:t>
      </w:r>
      <w:r w:rsidRPr="00C239B3">
        <w:t xml:space="preserve">that there was no intention during that period </w:t>
      </w:r>
      <w:r>
        <w:t xml:space="preserve">so </w:t>
      </w:r>
      <w:r w:rsidRPr="00C239B3">
        <w:t>to dedicate it</w:t>
      </w:r>
      <w:r>
        <w:t xml:space="preserve"> as a public bridleway</w:t>
      </w:r>
      <w:r w:rsidRPr="00C239B3">
        <w:t>.</w:t>
      </w:r>
    </w:p>
    <w:p w14:paraId="3A368027" w14:textId="34C7D107" w:rsidR="00C239B3" w:rsidRPr="00C239B3" w:rsidRDefault="00C239B3" w:rsidP="00C239B3">
      <w:pPr>
        <w:pStyle w:val="Style1"/>
        <w:numPr>
          <w:ilvl w:val="0"/>
          <w:numId w:val="0"/>
        </w:numPr>
        <w:rPr>
          <w:i/>
          <w:iCs/>
        </w:rPr>
      </w:pPr>
      <w:r w:rsidRPr="00C239B3">
        <w:rPr>
          <w:i/>
          <w:iCs/>
        </w:rPr>
        <w:t>Everton Bridleway No.24</w:t>
      </w:r>
      <w:r>
        <w:rPr>
          <w:i/>
          <w:iCs/>
        </w:rPr>
        <w:t xml:space="preserve"> and the statement of particulars</w:t>
      </w:r>
    </w:p>
    <w:p w14:paraId="123ECD1D" w14:textId="2B323975" w:rsidR="00C239B3" w:rsidRDefault="00C239B3" w:rsidP="00496E52">
      <w:pPr>
        <w:pStyle w:val="Style1"/>
      </w:pPr>
      <w:r>
        <w:t xml:space="preserve">As part of the Order the Council proposes two amendments to the </w:t>
      </w:r>
      <w:r w:rsidRPr="00C239B3">
        <w:t>particulars in the Definitive Statement</w:t>
      </w:r>
      <w:r>
        <w:t xml:space="preserve">. Firstly, </w:t>
      </w:r>
      <w:r w:rsidRPr="00C239B3">
        <w:t>to replace the current six-figure grid reference (702944) to an eight-figure grid reference (SK7017 9442) in accordance with the route denoted on the Definitive Map</w:t>
      </w:r>
      <w:r>
        <w:t xml:space="preserve">. Secondly, </w:t>
      </w:r>
      <w:r w:rsidRPr="00C239B3">
        <w:t>to change the description of the termini from the ‘Mother Drain’</w:t>
      </w:r>
      <w:r>
        <w:t xml:space="preserve"> </w:t>
      </w:r>
      <w:r w:rsidRPr="00C239B3">
        <w:t xml:space="preserve">to the ‘Delve Drain’ </w:t>
      </w:r>
      <w:r>
        <w:t xml:space="preserve">to be consistent </w:t>
      </w:r>
      <w:r w:rsidRPr="00C239B3">
        <w:t xml:space="preserve">with OS annotations </w:t>
      </w:r>
      <w:r>
        <w:t xml:space="preserve">on </w:t>
      </w:r>
      <w:r w:rsidRPr="00C239B3">
        <w:t xml:space="preserve">the </w:t>
      </w:r>
      <w:r>
        <w:t>O</w:t>
      </w:r>
      <w:r w:rsidRPr="00C239B3">
        <w:t>rder plan.</w:t>
      </w:r>
    </w:p>
    <w:p w14:paraId="03699532" w14:textId="33A104B9" w:rsidR="00C239B3" w:rsidRDefault="00C239B3" w:rsidP="00496E52">
      <w:pPr>
        <w:pStyle w:val="Style1"/>
      </w:pPr>
      <w:r>
        <w:t>I have been given</w:t>
      </w:r>
      <w:r w:rsidRPr="00C239B3">
        <w:t xml:space="preserve"> </w:t>
      </w:r>
      <w:r>
        <w:t xml:space="preserve">no good reason why I should not confirm the Order in </w:t>
      </w:r>
      <w:r w:rsidR="005672A1">
        <w:t>this regard</w:t>
      </w:r>
      <w:r>
        <w:t>.</w:t>
      </w:r>
    </w:p>
    <w:p w14:paraId="34070366" w14:textId="71D680CB" w:rsidR="00EA3D36" w:rsidRPr="00BC6433" w:rsidRDefault="00070A5F" w:rsidP="00BC6433">
      <w:pPr>
        <w:pStyle w:val="Style1"/>
        <w:numPr>
          <w:ilvl w:val="0"/>
          <w:numId w:val="0"/>
        </w:numPr>
        <w:rPr>
          <w:i/>
          <w:iCs/>
        </w:rPr>
      </w:pPr>
      <w:r w:rsidRPr="00BC6433">
        <w:rPr>
          <w:i/>
          <w:iCs/>
        </w:rPr>
        <w:t>Request to modify the Order</w:t>
      </w:r>
    </w:p>
    <w:p w14:paraId="51814D24" w14:textId="270E81A9" w:rsidR="0031148E" w:rsidRDefault="0031148E" w:rsidP="0031148E">
      <w:pPr>
        <w:pStyle w:val="Style1"/>
        <w:ind w:left="425" w:hanging="425"/>
      </w:pPr>
      <w:r>
        <w:t xml:space="preserve">The applicant correctly observes that the 1891 </w:t>
      </w:r>
      <w:r w:rsidRPr="007152B9">
        <w:t xml:space="preserve">OS 6 inch to the mile map </w:t>
      </w:r>
      <w:r>
        <w:t xml:space="preserve">shows </w:t>
      </w:r>
      <w:r w:rsidRPr="007152B9">
        <w:t>the track leading away from the ferry onto the bank head</w:t>
      </w:r>
      <w:r>
        <w:t>ing</w:t>
      </w:r>
      <w:r w:rsidRPr="007152B9">
        <w:t xml:space="preserve"> only to the east </w:t>
      </w:r>
      <w:r>
        <w:t>whilst o</w:t>
      </w:r>
      <w:r w:rsidRPr="007152B9">
        <w:t>ther maps show a forked track at this point, one leg going to the southwest onto the bank and the other eastward</w:t>
      </w:r>
      <w:r>
        <w:t xml:space="preserve"> and the </w:t>
      </w:r>
      <w:r w:rsidRPr="007152B9">
        <w:t xml:space="preserve">1921 2500 map </w:t>
      </w:r>
      <w:r>
        <w:t xml:space="preserve">having </w:t>
      </w:r>
      <w:r w:rsidRPr="007152B9">
        <w:t>the easterly fork larger</w:t>
      </w:r>
      <w:r>
        <w:t xml:space="preserve">. This may </w:t>
      </w:r>
      <w:r w:rsidRPr="007152B9">
        <w:t xml:space="preserve">suggest more horse drawn traffic </w:t>
      </w:r>
      <w:r>
        <w:t xml:space="preserve">in the latter </w:t>
      </w:r>
      <w:r w:rsidR="005672A1">
        <w:t>direction,</w:t>
      </w:r>
      <w:r>
        <w:t xml:space="preserve"> but such a suggestion is largely conjectural.</w:t>
      </w:r>
    </w:p>
    <w:p w14:paraId="687941F5" w14:textId="43C74359" w:rsidR="0031148E" w:rsidRDefault="0031148E" w:rsidP="0031148E">
      <w:pPr>
        <w:pStyle w:val="Style1"/>
        <w:ind w:left="425" w:hanging="425"/>
      </w:pPr>
      <w:r>
        <w:t>For the avoidance of doubt I have still taken into account for the purposes of determining the public nature of the claimed Order route, the evidence surrounding the use of the ferry and the historic mapping information which taken together lead to the likelihood t</w:t>
      </w:r>
      <w:r w:rsidRPr="000E0E9D">
        <w:t>h</w:t>
      </w:r>
      <w:r>
        <w:t xml:space="preserve">at </w:t>
      </w:r>
      <w:r w:rsidR="00A13C08">
        <w:t>there was a public right of way</w:t>
      </w:r>
      <w:r>
        <w:t xml:space="preserve"> </w:t>
      </w:r>
      <w:r>
        <w:lastRenderedPageBreak/>
        <w:t>between the ferry landing and the barrier bank</w:t>
      </w:r>
      <w:r w:rsidR="005406A3">
        <w:t xml:space="preserve"> which was </w:t>
      </w:r>
      <w:r w:rsidRPr="000E0E9D">
        <w:t>necessarily part of the access to the ferry</w:t>
      </w:r>
      <w:r>
        <w:t>.</w:t>
      </w:r>
    </w:p>
    <w:p w14:paraId="37093C39" w14:textId="41B2DF38" w:rsidR="003A1F8B" w:rsidRDefault="00D6793B" w:rsidP="00E00720">
      <w:pPr>
        <w:pStyle w:val="Style1"/>
      </w:pPr>
      <w:r>
        <w:t xml:space="preserve">I have </w:t>
      </w:r>
      <w:r w:rsidR="0031148E">
        <w:t>carefully considered</w:t>
      </w:r>
      <w:r>
        <w:t xml:space="preserve"> the </w:t>
      </w:r>
      <w:r w:rsidR="005A237E">
        <w:t xml:space="preserve">comments of </w:t>
      </w:r>
      <w:r>
        <w:t>the</w:t>
      </w:r>
      <w:r w:rsidR="005A237E">
        <w:t xml:space="preserve"> OMA, </w:t>
      </w:r>
      <w:r w:rsidR="0091299E">
        <w:t>LEL</w:t>
      </w:r>
      <w:r w:rsidR="005A237E">
        <w:t xml:space="preserve"> and applicant as well as reviewing the actual application form and appendices. In my view </w:t>
      </w:r>
      <w:r w:rsidR="00497FA7">
        <w:t xml:space="preserve">the application does not make it clear in any event the exact route desired to be </w:t>
      </w:r>
      <w:r w:rsidR="00E65A82">
        <w:t xml:space="preserve">recorded on </w:t>
      </w:r>
      <w:r w:rsidR="00497FA7">
        <w:t xml:space="preserve">the </w:t>
      </w:r>
      <w:r w:rsidR="00E65A82">
        <w:t xml:space="preserve">network by </w:t>
      </w:r>
      <w:r w:rsidR="00497FA7">
        <w:t xml:space="preserve">the </w:t>
      </w:r>
      <w:r w:rsidR="00E65A82">
        <w:t xml:space="preserve">addition of </w:t>
      </w:r>
      <w:r w:rsidR="00943033">
        <w:t xml:space="preserve">what is described as </w:t>
      </w:r>
      <w:r w:rsidR="00E95FFC">
        <w:t>“</w:t>
      </w:r>
      <w:r w:rsidR="00943033" w:rsidRPr="00943033">
        <w:t>the spur</w:t>
      </w:r>
      <w:r w:rsidR="00E95FFC">
        <w:t>”</w:t>
      </w:r>
      <w:r w:rsidR="00943033" w:rsidRPr="00943033">
        <w:t xml:space="preserve"> from the Barrier Bank to the old ferry landing</w:t>
      </w:r>
      <w:r w:rsidR="00FA086F">
        <w:t>.</w:t>
      </w:r>
      <w:r w:rsidR="00943033" w:rsidRPr="00943033">
        <w:t xml:space="preserve"> </w:t>
      </w:r>
    </w:p>
    <w:p w14:paraId="05902CA8" w14:textId="7C1ABD2C" w:rsidR="0096546D" w:rsidRDefault="00B53DF8" w:rsidP="000B6BE5">
      <w:pPr>
        <w:pStyle w:val="Style1"/>
      </w:pPr>
      <w:r>
        <w:t xml:space="preserve">The effect of the requirements </w:t>
      </w:r>
      <w:r w:rsidR="00F96B81">
        <w:t>in the</w:t>
      </w:r>
      <w:r w:rsidR="00F96B81" w:rsidRPr="00F96B81">
        <w:t xml:space="preserve"> Wildlife and Countryside (Definitive Maps and Statements) Regulations 1993</w:t>
      </w:r>
      <w:r w:rsidR="00F96B81">
        <w:t xml:space="preserve"> </w:t>
      </w:r>
      <w:r>
        <w:t xml:space="preserve">as to applications and accompanying maps includes that </w:t>
      </w:r>
      <w:r w:rsidR="00CB3E62">
        <w:t xml:space="preserve">one may </w:t>
      </w:r>
      <w:r w:rsidR="00CB3E62" w:rsidRPr="00CB3E62">
        <w:t xml:space="preserve">show </w:t>
      </w:r>
      <w:r w:rsidR="00AA543B">
        <w:t>“</w:t>
      </w:r>
      <w:r w:rsidR="00CB3E62" w:rsidRPr="0031148E">
        <w:rPr>
          <w:i/>
          <w:iCs/>
        </w:rPr>
        <w:t>on a larger scale any particulars required to be shown on the map</w:t>
      </w:r>
      <w:r w:rsidR="00E75140" w:rsidRPr="0031148E">
        <w:rPr>
          <w:i/>
          <w:iCs/>
        </w:rPr>
        <w:t xml:space="preserve">, in addition, </w:t>
      </w:r>
      <w:r w:rsidR="00CB3E62" w:rsidRPr="0031148E">
        <w:rPr>
          <w:i/>
          <w:iCs/>
        </w:rPr>
        <w:t>an inset map</w:t>
      </w:r>
      <w:r w:rsidR="00B53A4C">
        <w:t>”</w:t>
      </w:r>
      <w:r w:rsidR="00465F9E">
        <w:t>.</w:t>
      </w:r>
      <w:r w:rsidR="0014186B">
        <w:t xml:space="preserve"> </w:t>
      </w:r>
      <w:r w:rsidR="0014186B" w:rsidRPr="0014186B">
        <w:t>The route of the claimed right of way should be clearly marked on the map</w:t>
      </w:r>
      <w:r w:rsidR="00D72799">
        <w:t xml:space="preserve"> and </w:t>
      </w:r>
      <w:r w:rsidR="00B53A4C">
        <w:t xml:space="preserve">any inset map and </w:t>
      </w:r>
      <w:r w:rsidR="00D72799">
        <w:t>the n</w:t>
      </w:r>
      <w:r w:rsidR="002F14FF">
        <w:t>o</w:t>
      </w:r>
      <w:r w:rsidR="00D72799">
        <w:t xml:space="preserve">tation used should be </w:t>
      </w:r>
      <w:r w:rsidR="007B7FF6">
        <w:t xml:space="preserve">similar to that </w:t>
      </w:r>
      <w:r w:rsidR="00D72799">
        <w:t>used</w:t>
      </w:r>
      <w:r w:rsidR="002F14FF">
        <w:t xml:space="preserve"> </w:t>
      </w:r>
      <w:r w:rsidR="00D72799">
        <w:t xml:space="preserve">on </w:t>
      </w:r>
      <w:r w:rsidR="002F14FF">
        <w:t xml:space="preserve">definitive maps. </w:t>
      </w:r>
    </w:p>
    <w:p w14:paraId="5E85C279" w14:textId="2C6DEDE8" w:rsidR="00993F2F" w:rsidRDefault="0096546D" w:rsidP="006E778E">
      <w:pPr>
        <w:pStyle w:val="Style1"/>
      </w:pPr>
      <w:r>
        <w:t>The applicant made several applications from which</w:t>
      </w:r>
      <w:r w:rsidR="00D1247A">
        <w:t xml:space="preserve"> the OMA </w:t>
      </w:r>
      <w:r w:rsidR="00E526D7">
        <w:t xml:space="preserve">produced </w:t>
      </w:r>
      <w:r w:rsidR="00D1247A">
        <w:t>the current Order.</w:t>
      </w:r>
      <w:r>
        <w:t xml:space="preserve"> </w:t>
      </w:r>
      <w:r w:rsidR="006343D7">
        <w:t xml:space="preserve">The </w:t>
      </w:r>
      <w:r w:rsidR="00876B3D">
        <w:t xml:space="preserve">map </w:t>
      </w:r>
      <w:r w:rsidR="00D1247A">
        <w:t xml:space="preserve">that accompanied the first (and relevant) application, </w:t>
      </w:r>
      <w:r w:rsidR="00876B3D">
        <w:t xml:space="preserve">adequately shows the route corresponding to the section </w:t>
      </w:r>
      <w:r w:rsidR="00876B3D" w:rsidRPr="00F72515">
        <w:t>grid reference SK6878 9380 to SK7016 9444</w:t>
      </w:r>
      <w:r w:rsidR="00876B3D">
        <w:t xml:space="preserve"> on the Order map. It is </w:t>
      </w:r>
      <w:r w:rsidR="006343D7">
        <w:t>marked “</w:t>
      </w:r>
      <w:r w:rsidR="00251ECC" w:rsidRPr="002C6D43">
        <w:rPr>
          <w:i/>
          <w:iCs/>
        </w:rPr>
        <w:t xml:space="preserve">precise position of bridleway route to ferry shown on Appendix </w:t>
      </w:r>
      <w:r w:rsidR="00AD22C8" w:rsidRPr="002C6D43">
        <w:rPr>
          <w:i/>
          <w:iCs/>
        </w:rPr>
        <w:t>8</w:t>
      </w:r>
      <w:r w:rsidR="00251ECC">
        <w:t>”.</w:t>
      </w:r>
      <w:r w:rsidR="003E3C31">
        <w:t xml:space="preserve"> </w:t>
      </w:r>
      <w:r w:rsidR="00324A22">
        <w:t>Appendi</w:t>
      </w:r>
      <w:r w:rsidR="006E7CC7">
        <w:t>x</w:t>
      </w:r>
      <w:r w:rsidR="00324A22">
        <w:t xml:space="preserve"> 8</w:t>
      </w:r>
      <w:r w:rsidR="006E7CC7">
        <w:t xml:space="preserve"> is </w:t>
      </w:r>
      <w:r w:rsidR="008A7ACA">
        <w:t xml:space="preserve">a 1921 </w:t>
      </w:r>
      <w:r w:rsidR="0091299E">
        <w:t>25-inch</w:t>
      </w:r>
      <w:r w:rsidR="008A7ACA">
        <w:t xml:space="preserve"> map</w:t>
      </w:r>
      <w:r w:rsidR="00DC0FE3">
        <w:t xml:space="preserve"> </w:t>
      </w:r>
      <w:r w:rsidR="004735B5">
        <w:t>(annotated by</w:t>
      </w:r>
      <w:r w:rsidR="00396CD9">
        <w:t xml:space="preserve"> </w:t>
      </w:r>
      <w:r w:rsidR="004735B5">
        <w:t>han</w:t>
      </w:r>
      <w:r w:rsidR="00396CD9">
        <w:t>d</w:t>
      </w:r>
      <w:r w:rsidR="004735B5">
        <w:t xml:space="preserve"> </w:t>
      </w:r>
      <w:r w:rsidR="00396CD9">
        <w:t xml:space="preserve">“1921 2500 map) </w:t>
      </w:r>
      <w:r w:rsidR="00DC0FE3">
        <w:t xml:space="preserve">said to show </w:t>
      </w:r>
      <w:r w:rsidR="005345BF">
        <w:t>“</w:t>
      </w:r>
      <w:r w:rsidR="00DC0FE3" w:rsidRPr="00576C4D">
        <w:rPr>
          <w:i/>
          <w:iCs/>
        </w:rPr>
        <w:t xml:space="preserve">the </w:t>
      </w:r>
      <w:r w:rsidR="00BD155F" w:rsidRPr="00576C4D">
        <w:rPr>
          <w:i/>
          <w:iCs/>
        </w:rPr>
        <w:t>F</w:t>
      </w:r>
      <w:r w:rsidR="00DC0FE3" w:rsidRPr="00576C4D">
        <w:rPr>
          <w:i/>
          <w:iCs/>
        </w:rPr>
        <w:t>erry, its approach tracks and lanes</w:t>
      </w:r>
      <w:r w:rsidR="005E37F1" w:rsidRPr="00576C4D">
        <w:rPr>
          <w:i/>
          <w:iCs/>
        </w:rPr>
        <w:t>…</w:t>
      </w:r>
      <w:r w:rsidR="005345BF" w:rsidRPr="00576C4D">
        <w:rPr>
          <w:i/>
          <w:iCs/>
        </w:rPr>
        <w:t>all clearly visible</w:t>
      </w:r>
      <w:r w:rsidR="00A136AF">
        <w:t>.</w:t>
      </w:r>
      <w:r w:rsidR="005345BF">
        <w:t>”</w:t>
      </w:r>
      <w:r w:rsidR="00924681">
        <w:t xml:space="preserve"> </w:t>
      </w:r>
    </w:p>
    <w:p w14:paraId="2A6115DA" w14:textId="5DEF4D4C" w:rsidR="00AE6FA6" w:rsidRDefault="00833726" w:rsidP="00394995">
      <w:pPr>
        <w:pStyle w:val="Style1"/>
      </w:pPr>
      <w:r>
        <w:t>In addition</w:t>
      </w:r>
      <w:r w:rsidR="002C6D43">
        <w:t>,</w:t>
      </w:r>
      <w:r>
        <w:t xml:space="preserve"> a</w:t>
      </w:r>
      <w:r w:rsidR="004E1890">
        <w:t xml:space="preserve"> location plan at scale </w:t>
      </w:r>
      <w:r w:rsidR="00C7186D">
        <w:t xml:space="preserve">1:20000 </w:t>
      </w:r>
      <w:r w:rsidR="004E1890">
        <w:t xml:space="preserve">was provided for all three applications, </w:t>
      </w:r>
      <w:r w:rsidR="00642ECB">
        <w:t xml:space="preserve">which </w:t>
      </w:r>
      <w:r w:rsidR="00ED7A22">
        <w:t xml:space="preserve">appears at the end of </w:t>
      </w:r>
      <w:r w:rsidR="000C23CE">
        <w:t xml:space="preserve">the “application submissions”. It </w:t>
      </w:r>
      <w:r w:rsidR="00642ECB">
        <w:t>include</w:t>
      </w:r>
      <w:r w:rsidR="000C23CE">
        <w:t>s</w:t>
      </w:r>
      <w:r w:rsidR="009C3365">
        <w:t xml:space="preserve"> an annotation of a short section X-Y </w:t>
      </w:r>
      <w:r w:rsidR="00E672B6">
        <w:t xml:space="preserve">together with the other </w:t>
      </w:r>
      <w:r w:rsidR="00BE2977">
        <w:t>letters correspond</w:t>
      </w:r>
      <w:r w:rsidR="00E672B6">
        <w:t>ing</w:t>
      </w:r>
      <w:r w:rsidR="00BE2977">
        <w:t xml:space="preserve"> to those used in the </w:t>
      </w:r>
      <w:r w:rsidR="00E672B6">
        <w:t>individual maps accompanying the several applications</w:t>
      </w:r>
      <w:r w:rsidR="00BE2977">
        <w:t>.</w:t>
      </w:r>
      <w:r w:rsidR="00E4482B">
        <w:t xml:space="preserve"> </w:t>
      </w:r>
      <w:r w:rsidR="00993F2F">
        <w:t xml:space="preserve">At </w:t>
      </w:r>
      <w:r w:rsidR="00E4482B">
        <w:t>the location by the ferry, it is annotated “</w:t>
      </w:r>
      <w:r w:rsidR="000A34E2">
        <w:t>D-A-X-B Everton BW30”</w:t>
      </w:r>
      <w:r w:rsidR="005725FD">
        <w:t xml:space="preserve"> and above that “X-Y Everton BW32&amp;33”</w:t>
      </w:r>
      <w:r w:rsidR="001E1E6E">
        <w:t>, ie a single spur</w:t>
      </w:r>
      <w:r w:rsidR="005725FD">
        <w:t>.</w:t>
      </w:r>
      <w:r w:rsidR="001A6BE1">
        <w:t xml:space="preserve"> </w:t>
      </w:r>
    </w:p>
    <w:p w14:paraId="586026ED" w14:textId="738CF255" w:rsidR="000A34E2" w:rsidRDefault="00AE6FA6" w:rsidP="00394995">
      <w:pPr>
        <w:pStyle w:val="Style1"/>
      </w:pPr>
      <w:r>
        <w:t>N</w:t>
      </w:r>
      <w:r w:rsidR="001813F2">
        <w:t>either in th</w:t>
      </w:r>
      <w:r w:rsidR="001E1E6E">
        <w:t xml:space="preserve">e location </w:t>
      </w:r>
      <w:r w:rsidR="001813F2">
        <w:t xml:space="preserve">plan nor in the map referred to </w:t>
      </w:r>
      <w:r w:rsidR="00A412E9">
        <w:t>as Appendix 8</w:t>
      </w:r>
      <w:r w:rsidR="001A5B22">
        <w:t xml:space="preserve"> </w:t>
      </w:r>
      <w:r w:rsidR="001813F2">
        <w:t xml:space="preserve">has the exact route of the “spur” been clarified. </w:t>
      </w:r>
      <w:r>
        <w:t xml:space="preserve">Importantly, </w:t>
      </w:r>
      <w:r w:rsidR="00F03EB2">
        <w:t xml:space="preserve">Appendix 8, </w:t>
      </w:r>
      <w:r w:rsidR="00D565A6">
        <w:t xml:space="preserve">which is supposed to contain the precise position of the bridleway route is not </w:t>
      </w:r>
      <w:r w:rsidR="006A43E9">
        <w:t xml:space="preserve">annotated </w:t>
      </w:r>
      <w:r w:rsidR="00D565A6">
        <w:t>in any way</w:t>
      </w:r>
      <w:r w:rsidR="006A43E9">
        <w:t xml:space="preserve"> to mark out or differentiate </w:t>
      </w:r>
      <w:r w:rsidR="008547CF">
        <w:t>the desired route to be added.</w:t>
      </w:r>
      <w:r w:rsidR="00D565A6">
        <w:t xml:space="preserve"> </w:t>
      </w:r>
    </w:p>
    <w:p w14:paraId="5E56B714" w14:textId="2219A32D" w:rsidR="00811DF3" w:rsidRPr="00811DF3" w:rsidRDefault="006E5473" w:rsidP="00811DF3">
      <w:pPr>
        <w:pStyle w:val="Style1"/>
      </w:pPr>
      <w:r>
        <w:t xml:space="preserve">The description of the route on the form is merely from “point D (Green Lane) to Point B (Polly Bell Bank) on application map”. </w:t>
      </w:r>
      <w:r w:rsidR="001A37B8">
        <w:t>The general proposition of</w:t>
      </w:r>
      <w:r w:rsidR="001A37B8" w:rsidRPr="00811DF3">
        <w:t xml:space="preserve"> add</w:t>
      </w:r>
      <w:r w:rsidR="001A37B8">
        <w:t>ing</w:t>
      </w:r>
      <w:r w:rsidR="001A37B8" w:rsidRPr="00811DF3">
        <w:t xml:space="preserve"> a spur from Everton Bridleway No.30 to the former ferry wharf on the Idle</w:t>
      </w:r>
      <w:r w:rsidR="001A37B8">
        <w:t xml:space="preserve"> is clear enough but a</w:t>
      </w:r>
      <w:r w:rsidR="00675A3D">
        <w:t xml:space="preserve">s appears from the historical mapping evidence, there are several paths marked between the landing place of the ferry to the rest of the claimed Order route. </w:t>
      </w:r>
      <w:r w:rsidR="00811DF3" w:rsidRPr="00811DF3">
        <w:t xml:space="preserve">The Council </w:t>
      </w:r>
      <w:r w:rsidR="00FD5B87">
        <w:t xml:space="preserve">has latterly </w:t>
      </w:r>
      <w:r w:rsidR="00811DF3" w:rsidRPr="00811DF3">
        <w:t xml:space="preserve">supplied the </w:t>
      </w:r>
      <w:r w:rsidR="00FD5B87">
        <w:t>“</w:t>
      </w:r>
      <w:r w:rsidR="00811DF3" w:rsidRPr="00811DF3">
        <w:t>necessary Order Plan C</w:t>
      </w:r>
      <w:r w:rsidR="00FD5B87">
        <w:t>”</w:t>
      </w:r>
      <w:r w:rsidR="00811DF3" w:rsidRPr="00811DF3">
        <w:t xml:space="preserve"> and grid references to allow this addition.</w:t>
      </w:r>
      <w:r w:rsidR="00FD5B87">
        <w:t xml:space="preserve"> I have considered this plan but whilst it </w:t>
      </w:r>
      <w:r w:rsidR="00137ED7">
        <w:t xml:space="preserve">shows a route in sufficient detail </w:t>
      </w:r>
      <w:r w:rsidR="00F86089">
        <w:t>the exact route is not made clear on the application plan in the way prescribed by the 1993 regulations, or substantially</w:t>
      </w:r>
      <w:r w:rsidR="004D05DE">
        <w:t xml:space="preserve"> so</w:t>
      </w:r>
      <w:r w:rsidR="00F86089">
        <w:t>.</w:t>
      </w:r>
      <w:r w:rsidR="00D06D48">
        <w:t xml:space="preserve"> </w:t>
      </w:r>
    </w:p>
    <w:p w14:paraId="6255CF27" w14:textId="78A128BC" w:rsidR="00CC5409" w:rsidRDefault="006D6A44" w:rsidP="006D6A44">
      <w:pPr>
        <w:pStyle w:val="Style1"/>
      </w:pPr>
      <w:r>
        <w:t xml:space="preserve">The Order itself does not contain any error as such, therefore no modifications fall to be considered within that context. </w:t>
      </w:r>
      <w:r w:rsidR="0031148E">
        <w:t>However,</w:t>
      </w:r>
      <w:r w:rsidR="00A1640A">
        <w:t xml:space="preserve"> </w:t>
      </w:r>
      <w:r>
        <w:t xml:space="preserve">it </w:t>
      </w:r>
      <w:r w:rsidR="00A1640A">
        <w:t xml:space="preserve">would </w:t>
      </w:r>
      <w:r>
        <w:t xml:space="preserve">not in my view </w:t>
      </w:r>
      <w:r w:rsidR="00A1640A">
        <w:t xml:space="preserve">be </w:t>
      </w:r>
      <w:r>
        <w:t xml:space="preserve">a </w:t>
      </w:r>
      <w:r w:rsidRPr="00C8702D">
        <w:t xml:space="preserve">minor addition </w:t>
      </w:r>
      <w:r>
        <w:t xml:space="preserve">in relation </w:t>
      </w:r>
      <w:r w:rsidRPr="00C8702D">
        <w:t>to the Order as made</w:t>
      </w:r>
      <w:r>
        <w:t xml:space="preserve"> or</w:t>
      </w:r>
      <w:r w:rsidRPr="00C8702D">
        <w:t xml:space="preserve"> sufficiently similar to </w:t>
      </w:r>
      <w:r>
        <w:t xml:space="preserve">it as the OMA suggests. </w:t>
      </w:r>
      <w:r w:rsidR="0001629E">
        <w:t xml:space="preserve">I have sympathy with the applicant and the basis of the request is supported by evidence from which I have already inferred a general link </w:t>
      </w:r>
      <w:r w:rsidR="0031148E">
        <w:t xml:space="preserve">in the landing area of the ferry </w:t>
      </w:r>
      <w:r w:rsidR="0001629E">
        <w:t>to be public</w:t>
      </w:r>
      <w:r w:rsidR="0031148E">
        <w:t>. However, t</w:t>
      </w:r>
      <w:r>
        <w:t xml:space="preserve">he application form describes the route only as proceeding from Green Lane to Polly Bank without mention of a detour </w:t>
      </w:r>
      <w:r w:rsidR="0001629E">
        <w:t xml:space="preserve">to the ferry landing </w:t>
      </w:r>
      <w:r>
        <w:t xml:space="preserve">(for that is what OMA’s Plan C would </w:t>
      </w:r>
      <w:r>
        <w:lastRenderedPageBreak/>
        <w:t xml:space="preserve">put in place) </w:t>
      </w:r>
      <w:r w:rsidR="003D7EA5">
        <w:t xml:space="preserve">and </w:t>
      </w:r>
      <w:r w:rsidR="0001629E">
        <w:t>d</w:t>
      </w:r>
      <w:r w:rsidR="0031148E">
        <w:t>oes</w:t>
      </w:r>
      <w:r w:rsidR="0001629E">
        <w:t xml:space="preserve"> not therefore provide a </w:t>
      </w:r>
      <w:r w:rsidR="003D7EA5">
        <w:t xml:space="preserve">full </w:t>
      </w:r>
      <w:r w:rsidR="0001629E">
        <w:t xml:space="preserve">or proper </w:t>
      </w:r>
      <w:r w:rsidR="003D7EA5">
        <w:t xml:space="preserve">description of the </w:t>
      </w:r>
      <w:r w:rsidR="00671829">
        <w:t xml:space="preserve">desired </w:t>
      </w:r>
      <w:r w:rsidR="003D7EA5">
        <w:t>route</w:t>
      </w:r>
      <w:r w:rsidR="00671829">
        <w:t xml:space="preserve">. </w:t>
      </w:r>
      <w:r w:rsidR="0031148E">
        <w:t>I will have to leave it to the OMA in due course to consider f</w:t>
      </w:r>
      <w:r w:rsidR="0001629E">
        <w:t xml:space="preserve">or example, </w:t>
      </w:r>
      <w:r>
        <w:t xml:space="preserve">whether the addition would be a simple spur (X-Y on the location plan submitted) or a fork and a spur as in Plan C. </w:t>
      </w:r>
      <w:r w:rsidR="0031148E">
        <w:t>In summary, t</w:t>
      </w:r>
      <w:r>
        <w:t xml:space="preserve">o accept the modification would be to alter the Order in a </w:t>
      </w:r>
      <w:r w:rsidRPr="00AC3684">
        <w:t xml:space="preserve">substantially different </w:t>
      </w:r>
      <w:r>
        <w:t xml:space="preserve">way </w:t>
      </w:r>
      <w:r w:rsidRPr="00AC3684">
        <w:t xml:space="preserve">from the </w:t>
      </w:r>
      <w:r>
        <w:t>submitted Order</w:t>
      </w:r>
      <w:r w:rsidR="00CC5409">
        <w:t>.</w:t>
      </w:r>
    </w:p>
    <w:p w14:paraId="54C3B1F4" w14:textId="477EE3F5" w:rsidR="006D6A44" w:rsidRDefault="00CC5409" w:rsidP="006D6A44">
      <w:pPr>
        <w:pStyle w:val="Style1"/>
      </w:pPr>
      <w:r>
        <w:t>Therefore,</w:t>
      </w:r>
      <w:r w:rsidR="006D6A44">
        <w:t xml:space="preserve"> the modification proposed is not accepted.</w:t>
      </w:r>
    </w:p>
    <w:p w14:paraId="4523A55F" w14:textId="2CFDA488" w:rsidR="00664F6D" w:rsidRPr="00664F6D" w:rsidRDefault="00664F6D" w:rsidP="00664F6D">
      <w:pPr>
        <w:pStyle w:val="Style1"/>
        <w:numPr>
          <w:ilvl w:val="0"/>
          <w:numId w:val="0"/>
        </w:numPr>
        <w:rPr>
          <w:i/>
          <w:iCs/>
        </w:rPr>
      </w:pPr>
      <w:r w:rsidRPr="00664F6D">
        <w:rPr>
          <w:i/>
          <w:iCs/>
        </w:rPr>
        <w:t>Other matter</w:t>
      </w:r>
    </w:p>
    <w:p w14:paraId="3748DB38" w14:textId="3027CF2F" w:rsidR="00C3278B" w:rsidRDefault="00664F6D" w:rsidP="007F3513">
      <w:pPr>
        <w:pStyle w:val="Style1"/>
      </w:pPr>
      <w:r>
        <w:t>A general objection was made that</w:t>
      </w:r>
      <w:r w:rsidRPr="00664F6D">
        <w:t xml:space="preserve"> </w:t>
      </w:r>
      <w:r w:rsidR="003B17DC">
        <w:t>the OMA “</w:t>
      </w:r>
      <w:r w:rsidR="003B17DC" w:rsidRPr="007C752B">
        <w:rPr>
          <w:i/>
          <w:iCs/>
        </w:rPr>
        <w:t>failed to submit copies of the actual evidence that it relies upon, and therefore it has failed to discharge its burden of proof”.</w:t>
      </w:r>
      <w:r w:rsidR="00A1455D">
        <w:t xml:space="preserve"> </w:t>
      </w:r>
      <w:r w:rsidR="007C752B">
        <w:t xml:space="preserve">LEL </w:t>
      </w:r>
      <w:r w:rsidR="00AD4618">
        <w:t>through its agent, an experienced rights of way practitioner,</w:t>
      </w:r>
      <w:r w:rsidR="00315DAD" w:rsidRPr="007C752B">
        <w:rPr>
          <w:color w:val="auto"/>
          <w:kern w:val="0"/>
        </w:rPr>
        <w:t xml:space="preserve"> anticipated that the OMA would </w:t>
      </w:r>
      <w:r w:rsidR="00315DAD" w:rsidRPr="00315DAD">
        <w:t xml:space="preserve">produce copies of </w:t>
      </w:r>
      <w:r w:rsidR="00A91F99">
        <w:t xml:space="preserve">this omitted evidence but </w:t>
      </w:r>
      <w:r w:rsidR="00F0688F">
        <w:t>assert</w:t>
      </w:r>
      <w:r w:rsidR="008575B1">
        <w:t xml:space="preserve">s </w:t>
      </w:r>
      <w:r w:rsidR="00F0688F">
        <w:t xml:space="preserve">that </w:t>
      </w:r>
      <w:r w:rsidR="00315DAD" w:rsidRPr="00315DAD">
        <w:t xml:space="preserve">in the interests of natural justice, </w:t>
      </w:r>
      <w:r w:rsidR="00F0688F">
        <w:t xml:space="preserve">it </w:t>
      </w:r>
      <w:r w:rsidR="00315DAD" w:rsidRPr="00315DAD">
        <w:t xml:space="preserve">be given the opportunity to consider </w:t>
      </w:r>
      <w:r w:rsidR="001355C2">
        <w:t xml:space="preserve">and respond to </w:t>
      </w:r>
      <w:r w:rsidR="00315DAD" w:rsidRPr="00315DAD">
        <w:t>this new/additional evidence.</w:t>
      </w:r>
    </w:p>
    <w:p w14:paraId="5EE6ED10" w14:textId="25A76CEF" w:rsidR="007E5D00" w:rsidRDefault="007C752B" w:rsidP="00E9587D">
      <w:pPr>
        <w:pStyle w:val="Style1"/>
      </w:pPr>
      <w:r>
        <w:t xml:space="preserve">It appears that </w:t>
      </w:r>
      <w:r w:rsidR="00664F6D" w:rsidRPr="00664F6D">
        <w:t xml:space="preserve">some document pages and user evidence forms </w:t>
      </w:r>
      <w:r w:rsidR="00664F6D">
        <w:t xml:space="preserve">were not </w:t>
      </w:r>
      <w:r w:rsidR="00664F6D" w:rsidRPr="00664F6D">
        <w:t xml:space="preserve">in the </w:t>
      </w:r>
      <w:r w:rsidR="00664F6D">
        <w:t>a</w:t>
      </w:r>
      <w:r w:rsidR="00664F6D" w:rsidRPr="00664F6D">
        <w:t>ppendices to the OMA</w:t>
      </w:r>
      <w:r w:rsidR="00664F6D">
        <w:t>’</w:t>
      </w:r>
      <w:r w:rsidR="00664F6D" w:rsidRPr="00664F6D">
        <w:t>s statement of case.</w:t>
      </w:r>
      <w:r>
        <w:t xml:space="preserve"> However, t</w:t>
      </w:r>
      <w:r w:rsidR="000C200D" w:rsidRPr="000C200D">
        <w:t xml:space="preserve">hose </w:t>
      </w:r>
      <w:r w:rsidR="000C200D">
        <w:t xml:space="preserve">documents </w:t>
      </w:r>
      <w:r w:rsidR="000C200D" w:rsidRPr="000C200D">
        <w:t xml:space="preserve">noted as missing </w:t>
      </w:r>
      <w:r>
        <w:t>were</w:t>
      </w:r>
      <w:r w:rsidR="000C200D" w:rsidRPr="000C200D">
        <w:t xml:space="preserve"> </w:t>
      </w:r>
      <w:r w:rsidR="000C200D">
        <w:t xml:space="preserve">specifically noted </w:t>
      </w:r>
      <w:r w:rsidR="004A6530">
        <w:t xml:space="preserve">in </w:t>
      </w:r>
      <w:r w:rsidR="000C200D">
        <w:t xml:space="preserve">the Council’s comments in response to the objections. </w:t>
      </w:r>
      <w:r w:rsidR="00887110">
        <w:t>The owner’s comments seem to me to be essentially concerned with the inherent fairness or otherwise of the procedure</w:t>
      </w:r>
      <w:r w:rsidR="00951465">
        <w:t xml:space="preserve"> thus far adopted.</w:t>
      </w:r>
    </w:p>
    <w:p w14:paraId="445B7B87" w14:textId="7EEBB60A" w:rsidR="007E5D00" w:rsidRDefault="007E5D00" w:rsidP="007E5D00">
      <w:pPr>
        <w:pStyle w:val="Style1"/>
      </w:pPr>
      <w:r>
        <w:t xml:space="preserve">Clearly </w:t>
      </w:r>
      <w:r w:rsidR="005672A1">
        <w:t>LEL</w:t>
      </w:r>
      <w:r>
        <w:t xml:space="preserve"> was not, subsequent to </w:t>
      </w:r>
      <w:r w:rsidR="00250830">
        <w:t>representation</w:t>
      </w:r>
      <w:r w:rsidR="005672A1">
        <w:t>s</w:t>
      </w:r>
      <w:r w:rsidR="00250830">
        <w:t xml:space="preserve"> b</w:t>
      </w:r>
      <w:r w:rsidR="00D92DAA">
        <w:t>e</w:t>
      </w:r>
      <w:r w:rsidR="00250830">
        <w:t xml:space="preserve">ing made </w:t>
      </w:r>
      <w:r w:rsidR="00D92DAA">
        <w:t xml:space="preserve">to the </w:t>
      </w:r>
      <w:r w:rsidR="00250830">
        <w:t xml:space="preserve">OMA, </w:t>
      </w:r>
      <w:r>
        <w:t xml:space="preserve">supplied </w:t>
      </w:r>
      <w:r w:rsidR="00250830">
        <w:t xml:space="preserve">with the further evidence that the OMA </w:t>
      </w:r>
      <w:r w:rsidR="00D92DAA">
        <w:t xml:space="preserve">considered before making the Order. </w:t>
      </w:r>
      <w:r w:rsidR="00A10DFD">
        <w:t xml:space="preserve">That would not be unusual </w:t>
      </w:r>
      <w:r w:rsidR="007C752B">
        <w:t xml:space="preserve">because </w:t>
      </w:r>
      <w:r w:rsidR="00925F4E">
        <w:t>a finite period is set for interested persons t</w:t>
      </w:r>
      <w:r w:rsidR="00B70A5D">
        <w:t>o</w:t>
      </w:r>
      <w:r w:rsidR="00925F4E">
        <w:t xml:space="preserve"> make representations.</w:t>
      </w:r>
      <w:r w:rsidR="007C752B">
        <w:t xml:space="preserve"> I</w:t>
      </w:r>
      <w:r w:rsidR="003F79CD">
        <w:t>t is not for me to revisit the OMA’s procedures</w:t>
      </w:r>
      <w:r w:rsidR="00B70A5D">
        <w:t>, other than t</w:t>
      </w:r>
      <w:r w:rsidR="00E00A10">
        <w:t>o</w:t>
      </w:r>
      <w:r w:rsidR="00B70A5D">
        <w:t xml:space="preserve"> satisfy myself that </w:t>
      </w:r>
      <w:r w:rsidR="006E58C0">
        <w:t>it has complied with its statutory responsibilities before submitting the Order in question.</w:t>
      </w:r>
      <w:r w:rsidR="003F79CD">
        <w:t xml:space="preserve"> </w:t>
      </w:r>
    </w:p>
    <w:p w14:paraId="31981F98" w14:textId="1E1447BC" w:rsidR="006E58C0" w:rsidRDefault="006E58C0" w:rsidP="006E58C0">
      <w:pPr>
        <w:pStyle w:val="Style1"/>
      </w:pPr>
      <w:r w:rsidRPr="00286BBA">
        <w:t xml:space="preserve">I note that in </w:t>
      </w:r>
      <w:r w:rsidRPr="006E58C0">
        <w:rPr>
          <w:i/>
          <w:iCs/>
        </w:rPr>
        <w:t>Isaac &amp; Isaac v Secretary of State for the Environment &amp; Devon County Council</w:t>
      </w:r>
      <w:r>
        <w:t xml:space="preserve"> </w:t>
      </w:r>
      <w:r w:rsidRPr="006C77FD">
        <w:t>CO-2527-94</w:t>
      </w:r>
      <w:r>
        <w:t xml:space="preserve"> </w:t>
      </w:r>
      <w:r w:rsidR="004410A9">
        <w:t>(</w:t>
      </w:r>
      <w:r w:rsidRPr="00DC54EE">
        <w:t>10 November 1995</w:t>
      </w:r>
      <w:r w:rsidR="004410A9">
        <w:t>)</w:t>
      </w:r>
      <w:r>
        <w:t xml:space="preserve">, </w:t>
      </w:r>
      <w:r w:rsidR="006E33D7">
        <w:t xml:space="preserve">it was </w:t>
      </w:r>
      <w:r>
        <w:t xml:space="preserve">argued that </w:t>
      </w:r>
      <w:r w:rsidRPr="00286BBA">
        <w:t xml:space="preserve">full evidence </w:t>
      </w:r>
      <w:r w:rsidR="003C036A">
        <w:t xml:space="preserve">was not provided </w:t>
      </w:r>
      <w:r w:rsidRPr="00286BBA">
        <w:t xml:space="preserve">in time to deal with it before the </w:t>
      </w:r>
      <w:r>
        <w:t>OMA made its decision. It was held:</w:t>
      </w:r>
    </w:p>
    <w:p w14:paraId="3400C9E9" w14:textId="7EC74EA9" w:rsidR="006E58C0" w:rsidRPr="00C71941" w:rsidRDefault="006E58C0" w:rsidP="002F4695">
      <w:pPr>
        <w:pStyle w:val="Style1"/>
        <w:numPr>
          <w:ilvl w:val="0"/>
          <w:numId w:val="0"/>
        </w:numPr>
        <w:ind w:left="431"/>
        <w:rPr>
          <w:i/>
          <w:iCs/>
        </w:rPr>
      </w:pPr>
      <w:r w:rsidRPr="002F4695">
        <w:rPr>
          <w:i/>
          <w:iCs/>
        </w:rPr>
        <w:t>“…failures of procedure as opposed to errors of substance in the [OMA’s] decision-making process are not a topic for the Inspector to consider in the inquiry.</w:t>
      </w:r>
      <w:r w:rsidR="005672A1">
        <w:rPr>
          <w:i/>
          <w:iCs/>
        </w:rPr>
        <w:t>”</w:t>
      </w:r>
    </w:p>
    <w:p w14:paraId="0E0AA11F" w14:textId="2F8EDCE5" w:rsidR="00951465" w:rsidRPr="001204C8" w:rsidRDefault="006459EE" w:rsidP="00C70726">
      <w:pPr>
        <w:pStyle w:val="Style1"/>
      </w:pPr>
      <w:r>
        <w:t xml:space="preserve">Similar </w:t>
      </w:r>
      <w:r w:rsidRPr="001204C8">
        <w:t xml:space="preserve">considerations would appear to apply to </w:t>
      </w:r>
      <w:r w:rsidR="005440DB" w:rsidRPr="001204C8">
        <w:t xml:space="preserve">orders dealt with by written representations. </w:t>
      </w:r>
      <w:r w:rsidR="005672A1">
        <w:t>A hearing was offered but not taken up. T</w:t>
      </w:r>
      <w:r w:rsidR="00F33055" w:rsidRPr="001204C8">
        <w:t xml:space="preserve">he Council was </w:t>
      </w:r>
      <w:r w:rsidR="005672A1">
        <w:t xml:space="preserve">told </w:t>
      </w:r>
      <w:r w:rsidR="00F33055" w:rsidRPr="001204C8">
        <w:t xml:space="preserve">on 28 May 2023 that </w:t>
      </w:r>
      <w:r w:rsidR="005672A1">
        <w:t>LEL</w:t>
      </w:r>
      <w:r w:rsidR="00F33055" w:rsidRPr="001204C8">
        <w:t xml:space="preserve"> </w:t>
      </w:r>
      <w:r w:rsidR="00F124F3" w:rsidRPr="001204C8">
        <w:t xml:space="preserve">agreed to </w:t>
      </w:r>
      <w:r w:rsidR="005672A1">
        <w:t xml:space="preserve">the </w:t>
      </w:r>
      <w:r w:rsidR="00F124F3" w:rsidRPr="001204C8">
        <w:t>written representation procedure</w:t>
      </w:r>
      <w:r w:rsidR="00951465" w:rsidRPr="001204C8">
        <w:t xml:space="preserve">.  </w:t>
      </w:r>
    </w:p>
    <w:p w14:paraId="4F5C748E" w14:textId="529EBB2A" w:rsidR="00060583" w:rsidRDefault="00F9592C" w:rsidP="00956292">
      <w:pPr>
        <w:pStyle w:val="Style1"/>
      </w:pPr>
      <w:r w:rsidRPr="001204C8">
        <w:t xml:space="preserve">The procedure for written representations is set out in Annex B </w:t>
      </w:r>
      <w:r w:rsidR="001204C8">
        <w:t xml:space="preserve">to </w:t>
      </w:r>
      <w:r w:rsidR="001204C8" w:rsidRPr="001204C8">
        <w:t>Guidance on Procedures for Considering Objections to Definitive Map and Public Path Orders</w:t>
      </w:r>
      <w:r w:rsidR="001204C8">
        <w:t>,</w:t>
      </w:r>
      <w:r w:rsidR="001204C8" w:rsidRPr="001204C8">
        <w:t xml:space="preserve"> Updated 22 June 2022</w:t>
      </w:r>
      <w:r w:rsidR="00C81183">
        <w:t xml:space="preserve"> (the Guidance)</w:t>
      </w:r>
      <w:r w:rsidR="001204C8">
        <w:t>.</w:t>
      </w:r>
      <w:r w:rsidR="00C81183">
        <w:t xml:space="preserve"> </w:t>
      </w:r>
      <w:r w:rsidR="00F8244D" w:rsidRPr="00F8244D">
        <w:t>Where th</w:t>
      </w:r>
      <w:r w:rsidR="00DE6238">
        <w:t xml:space="preserve">is </w:t>
      </w:r>
      <w:r w:rsidR="00F8244D" w:rsidRPr="00F8244D">
        <w:t xml:space="preserve">procedure is followed, </w:t>
      </w:r>
      <w:r w:rsidR="00DE6238">
        <w:t xml:space="preserve">any </w:t>
      </w:r>
      <w:r w:rsidR="00F8244D" w:rsidRPr="00F8244D">
        <w:t>person who wishes to give evidence shall submit a statement of case</w:t>
      </w:r>
      <w:r w:rsidR="005672A1">
        <w:t>. LEL</w:t>
      </w:r>
      <w:r w:rsidR="00836B3D">
        <w:t xml:space="preserve"> did supply a full written statement of case</w:t>
      </w:r>
      <w:r w:rsidR="005672A1">
        <w:t xml:space="preserve"> which I have considered</w:t>
      </w:r>
      <w:r w:rsidR="00836B3D">
        <w:t>.</w:t>
      </w:r>
    </w:p>
    <w:p w14:paraId="57DE2D8C" w14:textId="639679CE" w:rsidR="000C200D" w:rsidRDefault="000C200D" w:rsidP="002A73E1">
      <w:pPr>
        <w:pStyle w:val="Style1"/>
      </w:pPr>
      <w:r w:rsidRPr="001A7F2D">
        <w:rPr>
          <w:szCs w:val="22"/>
        </w:rPr>
        <w:t xml:space="preserve">I note </w:t>
      </w:r>
      <w:r w:rsidR="00836B3D">
        <w:rPr>
          <w:szCs w:val="22"/>
        </w:rPr>
        <w:t xml:space="preserve">also </w:t>
      </w:r>
      <w:r w:rsidRPr="001A7F2D">
        <w:rPr>
          <w:szCs w:val="22"/>
        </w:rPr>
        <w:t xml:space="preserve">that under Schedule 15 of the Wildlife and Countryside Act 1981, paragraph 3(8) </w:t>
      </w:r>
      <w:r w:rsidR="00F44F4A">
        <w:rPr>
          <w:szCs w:val="22"/>
        </w:rPr>
        <w:t xml:space="preserve">a </w:t>
      </w:r>
      <w:r w:rsidRPr="001A7F2D">
        <w:rPr>
          <w:szCs w:val="22"/>
        </w:rPr>
        <w:t xml:space="preserve">request </w:t>
      </w:r>
      <w:r w:rsidR="00F44F4A">
        <w:rPr>
          <w:szCs w:val="22"/>
        </w:rPr>
        <w:t xml:space="preserve">could have been made </w:t>
      </w:r>
      <w:r w:rsidR="005672A1">
        <w:rPr>
          <w:szCs w:val="22"/>
        </w:rPr>
        <w:t xml:space="preserve">by LEL </w:t>
      </w:r>
      <w:r w:rsidR="00F44F4A">
        <w:rPr>
          <w:szCs w:val="22"/>
        </w:rPr>
        <w:t xml:space="preserve">to </w:t>
      </w:r>
      <w:r w:rsidRPr="001A7F2D">
        <w:rPr>
          <w:szCs w:val="22"/>
        </w:rPr>
        <w:t xml:space="preserve">the OMA </w:t>
      </w:r>
      <w:r w:rsidR="005672A1">
        <w:rPr>
          <w:szCs w:val="22"/>
        </w:rPr>
        <w:t xml:space="preserve">as to </w:t>
      </w:r>
      <w:r w:rsidRPr="001A7F2D">
        <w:rPr>
          <w:szCs w:val="22"/>
        </w:rPr>
        <w:t>what documents it had taken into account and to make those available for inspection</w:t>
      </w:r>
      <w:r>
        <w:t xml:space="preserve">. </w:t>
      </w:r>
      <w:r w:rsidR="00FD1D1E">
        <w:t xml:space="preserve">No </w:t>
      </w:r>
      <w:r>
        <w:t xml:space="preserve">such request </w:t>
      </w:r>
      <w:r w:rsidR="00FD1D1E">
        <w:t>was</w:t>
      </w:r>
      <w:r>
        <w:t xml:space="preserve"> made at the appropriate time</w:t>
      </w:r>
      <w:r w:rsidR="00FD1D1E">
        <w:t xml:space="preserve">. </w:t>
      </w:r>
      <w:r w:rsidR="005133C6">
        <w:t>I</w:t>
      </w:r>
      <w:r w:rsidR="00973DAA">
        <w:t>n</w:t>
      </w:r>
      <w:r w:rsidR="005133C6" w:rsidRPr="00BB5974">
        <w:t xml:space="preserve"> the event the objector </w:t>
      </w:r>
      <w:r w:rsidR="005133C6">
        <w:t>was</w:t>
      </w:r>
      <w:r w:rsidR="005133C6" w:rsidRPr="00BB5974">
        <w:t xml:space="preserve"> able to make full representations</w:t>
      </w:r>
      <w:r w:rsidR="00973DAA">
        <w:t xml:space="preserve">. </w:t>
      </w:r>
      <w:r w:rsidR="007C752B" w:rsidRPr="007C752B">
        <w:t>No complaint is made of non-compliance with the procedural requirements of Schedule 15</w:t>
      </w:r>
      <w:r w:rsidR="007C752B">
        <w:t xml:space="preserve"> and </w:t>
      </w:r>
      <w:r w:rsidR="00973DAA">
        <w:t xml:space="preserve">I am satisfied </w:t>
      </w:r>
      <w:r w:rsidR="00973DAA">
        <w:lastRenderedPageBreak/>
        <w:t xml:space="preserve">that </w:t>
      </w:r>
      <w:r w:rsidR="00965E3E">
        <w:t xml:space="preserve">my determination of the issues has not been prejudiced by any </w:t>
      </w:r>
      <w:r w:rsidR="00142124">
        <w:t xml:space="preserve">initial </w:t>
      </w:r>
      <w:r w:rsidR="00965E3E">
        <w:t xml:space="preserve">failure by the OMA to </w:t>
      </w:r>
      <w:r w:rsidR="00142124">
        <w:t xml:space="preserve">append </w:t>
      </w:r>
      <w:r w:rsidR="005640E4">
        <w:t xml:space="preserve">all the </w:t>
      </w:r>
      <w:r w:rsidR="00255451">
        <w:t xml:space="preserve">evidence to its list of </w:t>
      </w:r>
      <w:r w:rsidR="00142124">
        <w:t>documents</w:t>
      </w:r>
      <w:r w:rsidR="00255451">
        <w:t>.</w:t>
      </w:r>
      <w:r w:rsidR="00142124">
        <w:t xml:space="preserve"> </w:t>
      </w:r>
    </w:p>
    <w:p w14:paraId="1F850F71" w14:textId="688A308D" w:rsidR="00890CDD" w:rsidRPr="00890CDD" w:rsidRDefault="00DB1B07" w:rsidP="00890CDD">
      <w:pPr>
        <w:pStyle w:val="Style1"/>
        <w:numPr>
          <w:ilvl w:val="0"/>
          <w:numId w:val="0"/>
        </w:numPr>
        <w:rPr>
          <w:i/>
          <w:iCs/>
        </w:rPr>
      </w:pPr>
      <w:r>
        <w:rPr>
          <w:i/>
          <w:iCs/>
        </w:rPr>
        <w:t>W</w:t>
      </w:r>
      <w:r w:rsidR="00890CDD" w:rsidRPr="00890CDD">
        <w:rPr>
          <w:i/>
          <w:iCs/>
        </w:rPr>
        <w:t xml:space="preserve">idths specified in the Order </w:t>
      </w:r>
    </w:p>
    <w:p w14:paraId="4EAE2A82" w14:textId="1E829C49" w:rsidR="00890CDD" w:rsidRDefault="00890CDD" w:rsidP="00890CDD">
      <w:pPr>
        <w:pStyle w:val="Style1"/>
      </w:pPr>
      <w:r>
        <w:t xml:space="preserve">The </w:t>
      </w:r>
      <w:r w:rsidR="00EA3D36">
        <w:t xml:space="preserve">Order specifies </w:t>
      </w:r>
      <w:r>
        <w:t>width</w:t>
      </w:r>
      <w:r w:rsidR="00DB1B07">
        <w:t>s</w:t>
      </w:r>
      <w:r>
        <w:t xml:space="preserve"> of the order route </w:t>
      </w:r>
      <w:r w:rsidR="00EA3D36">
        <w:t xml:space="preserve">which </w:t>
      </w:r>
      <w:r w:rsidR="00C80B65">
        <w:t>var</w:t>
      </w:r>
      <w:r w:rsidR="00DB1B07">
        <w:t>y</w:t>
      </w:r>
      <w:r w:rsidR="00C80B65">
        <w:t xml:space="preserve"> from</w:t>
      </w:r>
      <w:r w:rsidR="007F6539">
        <w:t xml:space="preserve"> section to section </w:t>
      </w:r>
      <w:r w:rsidR="00C80B65">
        <w:t xml:space="preserve">and the map </w:t>
      </w:r>
      <w:r w:rsidR="00EA3D36">
        <w:t xml:space="preserve">clearly </w:t>
      </w:r>
      <w:r w:rsidR="00C80B65">
        <w:t xml:space="preserve">indicates </w:t>
      </w:r>
      <w:r w:rsidR="00EA3D36">
        <w:t xml:space="preserve">the </w:t>
      </w:r>
      <w:r w:rsidR="00C80B65">
        <w:t>sections with the width claimed.</w:t>
      </w:r>
      <w:r>
        <w:t xml:space="preserve"> </w:t>
      </w:r>
      <w:r w:rsidR="00C80B65">
        <w:t xml:space="preserve">This is </w:t>
      </w:r>
      <w:r>
        <w:t xml:space="preserve">consistent </w:t>
      </w:r>
      <w:r w:rsidR="00C80B65">
        <w:t xml:space="preserve">with the evidence </w:t>
      </w:r>
      <w:r>
        <w:t>and corresponds with observations during my visit. I therefore consider the claimed width</w:t>
      </w:r>
      <w:r w:rsidR="00C80B65">
        <w:t>s</w:t>
      </w:r>
      <w:r>
        <w:t xml:space="preserve"> reflect both the way and the use made of it and </w:t>
      </w:r>
      <w:r w:rsidR="007F6539">
        <w:t>are</w:t>
      </w:r>
      <w:r>
        <w:t xml:space="preserve"> appropriate.</w:t>
      </w:r>
    </w:p>
    <w:p w14:paraId="6B271F17" w14:textId="4F7145F0" w:rsidR="0015595F" w:rsidRPr="003C100C" w:rsidRDefault="003C100C" w:rsidP="003C100C">
      <w:pPr>
        <w:pStyle w:val="Style1"/>
        <w:numPr>
          <w:ilvl w:val="0"/>
          <w:numId w:val="0"/>
        </w:numPr>
        <w:rPr>
          <w:b/>
          <w:bCs/>
        </w:rPr>
      </w:pPr>
      <w:r w:rsidRPr="003C100C">
        <w:rPr>
          <w:b/>
          <w:bCs/>
        </w:rPr>
        <w:t>Conclusion</w:t>
      </w:r>
    </w:p>
    <w:p w14:paraId="4794D9A2" w14:textId="66599ABC" w:rsidR="003C100C" w:rsidRDefault="003C100C" w:rsidP="005000F1">
      <w:pPr>
        <w:pStyle w:val="Style1"/>
      </w:pPr>
      <w:r w:rsidRPr="003C100C">
        <w:t>Having regard to these and all other matters raised in the written representations I conclude that the Order should be confirmed</w:t>
      </w:r>
      <w:r w:rsidR="005672A1">
        <w:t xml:space="preserve"> as made</w:t>
      </w:r>
      <w:r w:rsidRPr="003C100C">
        <w:t>.</w:t>
      </w:r>
    </w:p>
    <w:p w14:paraId="09CAB4EF" w14:textId="77777777" w:rsidR="00DB17BE" w:rsidRPr="00DB17BE" w:rsidRDefault="00DB17BE" w:rsidP="00DB17BE">
      <w:pPr>
        <w:pStyle w:val="Style1"/>
        <w:numPr>
          <w:ilvl w:val="0"/>
          <w:numId w:val="0"/>
        </w:numPr>
        <w:rPr>
          <w:b/>
        </w:rPr>
      </w:pPr>
      <w:r w:rsidRPr="00DB17BE">
        <w:rPr>
          <w:b/>
        </w:rPr>
        <w:t xml:space="preserve">Formal </w:t>
      </w:r>
      <w:r w:rsidR="00630FF0">
        <w:rPr>
          <w:b/>
        </w:rPr>
        <w:t>D</w:t>
      </w:r>
      <w:r w:rsidRPr="00DB17BE">
        <w:rPr>
          <w:b/>
        </w:rPr>
        <w:t xml:space="preserve">ecision </w:t>
      </w:r>
    </w:p>
    <w:p w14:paraId="408BEDFF" w14:textId="78248B37" w:rsidR="00745C48" w:rsidRDefault="00026342" w:rsidP="000D7F20">
      <w:pPr>
        <w:pStyle w:val="Style1"/>
      </w:pPr>
      <w:r>
        <w:t>I confirm t</w:t>
      </w:r>
      <w:r w:rsidR="00B84B8E">
        <w:t>he Order</w:t>
      </w:r>
      <w:r w:rsidR="005672A1">
        <w:t>.</w:t>
      </w:r>
    </w:p>
    <w:p w14:paraId="533619D1" w14:textId="77777777" w:rsidR="00FE5CF5" w:rsidRPr="00745C48" w:rsidRDefault="00FE5CF5" w:rsidP="00FE5CF5">
      <w:pPr>
        <w:pStyle w:val="Style1"/>
        <w:numPr>
          <w:ilvl w:val="0"/>
          <w:numId w:val="0"/>
        </w:numPr>
        <w:rPr>
          <w:rFonts w:ascii="Monotype Corsiva" w:hAnsi="Monotype Corsiva"/>
          <w:sz w:val="40"/>
          <w:szCs w:val="36"/>
        </w:rPr>
      </w:pPr>
      <w:r w:rsidRPr="00745C48">
        <w:rPr>
          <w:rFonts w:ascii="Monotype Corsiva" w:hAnsi="Monotype Corsiva"/>
          <w:sz w:val="36"/>
          <w:szCs w:val="36"/>
        </w:rPr>
        <w:t>Grahame Kean</w:t>
      </w:r>
    </w:p>
    <w:p w14:paraId="5D893A05" w14:textId="63B0C0C9" w:rsidR="006C7232" w:rsidRDefault="00FE5CF5" w:rsidP="00FE5CF5">
      <w:pPr>
        <w:pStyle w:val="Style1"/>
        <w:numPr>
          <w:ilvl w:val="0"/>
          <w:numId w:val="0"/>
        </w:numPr>
      </w:pPr>
      <w:r>
        <w:t>INSPECTOR</w:t>
      </w:r>
    </w:p>
    <w:p w14:paraId="0EE0D8A2" w14:textId="77777777" w:rsidR="006C7232" w:rsidRDefault="006C7232">
      <w:pPr>
        <w:rPr>
          <w:color w:val="000000"/>
          <w:kern w:val="28"/>
        </w:rPr>
      </w:pPr>
      <w:r>
        <w:br w:type="page"/>
      </w:r>
    </w:p>
    <w:p w14:paraId="2A3F912A" w14:textId="46C8D99A" w:rsidR="000D7F20" w:rsidRDefault="006C7232" w:rsidP="00FE5CF5">
      <w:pPr>
        <w:pStyle w:val="Style1"/>
        <w:numPr>
          <w:ilvl w:val="0"/>
          <w:numId w:val="0"/>
        </w:numPr>
      </w:pPr>
      <w:r>
        <w:lastRenderedPageBreak/>
        <w:t>Order Map</w:t>
      </w:r>
      <w:r w:rsidR="00B36093">
        <w:t xml:space="preserve"> Plan A</w:t>
      </w:r>
      <w:r>
        <w:t xml:space="preserve"> – Copy Not to Scale</w:t>
      </w:r>
    </w:p>
    <w:p w14:paraId="459B6B53" w14:textId="74CDC11F" w:rsidR="006C7232" w:rsidRDefault="00BA1A62" w:rsidP="00FE5CF5">
      <w:pPr>
        <w:pStyle w:val="Style1"/>
        <w:numPr>
          <w:ilvl w:val="0"/>
          <w:numId w:val="0"/>
        </w:numPr>
      </w:pPr>
      <w:r>
        <w:rPr>
          <w:noProof/>
        </w:rPr>
        <w:drawing>
          <wp:inline distT="0" distB="0" distL="0" distR="0" wp14:anchorId="1476CA09" wp14:editId="37800277">
            <wp:extent cx="8059471" cy="5208381"/>
            <wp:effectExtent l="0" t="3175" r="0" b="0"/>
            <wp:docPr id="1832629922" name="Picture 1" descr="Order Pla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29922" name="Picture 1" descr="Order Plan A"/>
                    <pic:cNvPicPr/>
                  </pic:nvPicPr>
                  <pic:blipFill>
                    <a:blip r:embed="rId10"/>
                    <a:stretch>
                      <a:fillRect/>
                    </a:stretch>
                  </pic:blipFill>
                  <pic:spPr>
                    <a:xfrm rot="5400000">
                      <a:off x="0" y="0"/>
                      <a:ext cx="8124626" cy="5250487"/>
                    </a:xfrm>
                    <a:prstGeom prst="rect">
                      <a:avLst/>
                    </a:prstGeom>
                  </pic:spPr>
                </pic:pic>
              </a:graphicData>
            </a:graphic>
          </wp:inline>
        </w:drawing>
      </w:r>
    </w:p>
    <w:p w14:paraId="6CCE7A7F" w14:textId="483E5073" w:rsidR="006C7232" w:rsidRDefault="006C7232">
      <w:pPr>
        <w:rPr>
          <w:color w:val="000000"/>
          <w:kern w:val="28"/>
        </w:rPr>
      </w:pPr>
      <w:r>
        <w:br w:type="page"/>
      </w:r>
    </w:p>
    <w:p w14:paraId="50B8049F" w14:textId="2AD384CD" w:rsidR="00B36093" w:rsidRDefault="00B36093" w:rsidP="00B36093">
      <w:pPr>
        <w:pStyle w:val="Style1"/>
        <w:numPr>
          <w:ilvl w:val="0"/>
          <w:numId w:val="0"/>
        </w:numPr>
      </w:pPr>
      <w:r>
        <w:lastRenderedPageBreak/>
        <w:t>Order Map Plan B – Copy Not to Scale</w:t>
      </w:r>
    </w:p>
    <w:p w14:paraId="19A11E6D" w14:textId="3C8CDFF7" w:rsidR="006C7232" w:rsidRDefault="004B0A32" w:rsidP="00FE5CF5">
      <w:pPr>
        <w:pStyle w:val="Style1"/>
        <w:numPr>
          <w:ilvl w:val="0"/>
          <w:numId w:val="0"/>
        </w:numPr>
      </w:pPr>
      <w:r w:rsidRPr="004B0A32">
        <w:rPr>
          <w:noProof/>
        </w:rPr>
        <w:drawing>
          <wp:inline distT="0" distB="0" distL="0" distR="0" wp14:anchorId="4669886C" wp14:editId="2E7F1DDD">
            <wp:extent cx="5684944" cy="8221649"/>
            <wp:effectExtent l="0" t="0" r="0" b="8255"/>
            <wp:docPr id="1020479915" name="Picture 4" descr="Order Plan B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9915" name="Picture 4" descr="Order Plan B (Ins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7108" cy="8253702"/>
                    </a:xfrm>
                    <a:prstGeom prst="rect">
                      <a:avLst/>
                    </a:prstGeom>
                    <a:noFill/>
                    <a:ln>
                      <a:noFill/>
                    </a:ln>
                  </pic:spPr>
                </pic:pic>
              </a:graphicData>
            </a:graphic>
          </wp:inline>
        </w:drawing>
      </w:r>
    </w:p>
    <w:sectPr w:rsidR="006C7232" w:rsidSect="00E674DD">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F3EA4" w14:textId="77777777" w:rsidR="00997D61" w:rsidRDefault="00997D61" w:rsidP="00F62916">
      <w:r>
        <w:separator/>
      </w:r>
    </w:p>
  </w:endnote>
  <w:endnote w:type="continuationSeparator" w:id="0">
    <w:p w14:paraId="09E68604" w14:textId="77777777" w:rsidR="00997D61" w:rsidRDefault="00997D61" w:rsidP="00F62916">
      <w:r>
        <w:continuationSeparator/>
      </w:r>
    </w:p>
  </w:endnote>
  <w:endnote w:type="continuationNotice" w:id="1">
    <w:p w14:paraId="5AD83B82" w14:textId="77777777" w:rsidR="00997D61" w:rsidRDefault="00997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B78A" w14:textId="77777777" w:rsidR="00C9597F" w:rsidRDefault="00C959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9C10FC" w14:textId="77777777" w:rsidR="00C9597F" w:rsidRDefault="00C959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D0AD" w14:textId="77777777" w:rsidR="00C9597F" w:rsidRDefault="00C9597F">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512A6851" wp14:editId="6D2E3CE9">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8D8AA" id="Line 1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B123C2A" w14:textId="77777777" w:rsidR="00C9597F" w:rsidRDefault="00C9597F" w:rsidP="00354809">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413C4" w14:textId="77777777" w:rsidR="00C9597F" w:rsidRDefault="00C9597F" w:rsidP="00207E49">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4C22787A" wp14:editId="21E3B0E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5C230"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8026A" w14:textId="77777777" w:rsidR="00997D61" w:rsidRDefault="00997D61" w:rsidP="00F62916">
      <w:r>
        <w:separator/>
      </w:r>
    </w:p>
  </w:footnote>
  <w:footnote w:type="continuationSeparator" w:id="0">
    <w:p w14:paraId="26C50D3F" w14:textId="77777777" w:rsidR="00997D61" w:rsidRDefault="00997D61" w:rsidP="00F62916">
      <w:r>
        <w:continuationSeparator/>
      </w:r>
    </w:p>
  </w:footnote>
  <w:footnote w:type="continuationNotice" w:id="1">
    <w:p w14:paraId="5F9387FB" w14:textId="77777777" w:rsidR="00997D61" w:rsidRDefault="00997D61"/>
  </w:footnote>
  <w:footnote w:id="2">
    <w:p w14:paraId="7D5B0CDD" w14:textId="77777777" w:rsidR="00A752DB" w:rsidRPr="00A752DB" w:rsidRDefault="00A752DB" w:rsidP="00A752DB">
      <w:pPr>
        <w:pStyle w:val="FootnoteText"/>
      </w:pPr>
      <w:r w:rsidRPr="00A752DB">
        <w:rPr>
          <w:rStyle w:val="FootnoteReference"/>
        </w:rPr>
        <w:footnoteRef/>
      </w:r>
      <w:r w:rsidRPr="00A752DB">
        <w:t xml:space="preserve"> A report of all the cases determined by Sir John Holt, knt., from 1688 to 1710</w:t>
      </w:r>
    </w:p>
    <w:p w14:paraId="1035B6B3" w14:textId="29098222" w:rsidR="00A752DB" w:rsidRDefault="00A752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9597F" w14:paraId="32AE2AD4" w14:textId="77777777">
      <w:tc>
        <w:tcPr>
          <w:tcW w:w="9520" w:type="dxa"/>
        </w:tcPr>
        <w:p w14:paraId="62F38124" w14:textId="5912EABE" w:rsidR="00C9597F" w:rsidRDefault="00C9597F" w:rsidP="005000F1">
          <w:pPr>
            <w:pStyle w:val="Footer"/>
          </w:pPr>
          <w:r>
            <w:t>Order Decision ROW/</w:t>
          </w:r>
          <w:r w:rsidR="003C100C">
            <w:t>330</w:t>
          </w:r>
          <w:r w:rsidR="00387A94">
            <w:t>1945</w:t>
          </w:r>
        </w:p>
      </w:tc>
    </w:tr>
  </w:tbl>
  <w:p w14:paraId="5EADDE4E" w14:textId="77777777" w:rsidR="00C9597F" w:rsidRDefault="00C9597F" w:rsidP="00087477">
    <w:pPr>
      <w:pStyle w:val="Footer"/>
      <w:spacing w:after="180"/>
    </w:pPr>
    <w:r>
      <w:rPr>
        <w:noProof/>
      </w:rPr>
      <mc:AlternateContent>
        <mc:Choice Requires="wps">
          <w:drawing>
            <wp:anchor distT="0" distB="0" distL="114300" distR="114300" simplePos="0" relativeHeight="251658241" behindDoc="0" locked="0" layoutInCell="1" allowOverlap="1" wp14:anchorId="27847B11" wp14:editId="48187430">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8049D" id="Line 1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1FC5" w14:textId="77777777" w:rsidR="00C9597F" w:rsidRDefault="00C9597F">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636997"/>
    <w:multiLevelType w:val="hybridMultilevel"/>
    <w:tmpl w:val="273C9A2C"/>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09FA7034"/>
    <w:multiLevelType w:val="hybridMultilevel"/>
    <w:tmpl w:val="A9D2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5" w15:restartNumberingAfterBreak="0">
    <w:nsid w:val="14FB19E8"/>
    <w:multiLevelType w:val="hybridMultilevel"/>
    <w:tmpl w:val="1960F94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15:restartNumberingAfterBreak="0">
    <w:nsid w:val="18564A46"/>
    <w:multiLevelType w:val="hybridMultilevel"/>
    <w:tmpl w:val="64EC2B34"/>
    <w:lvl w:ilvl="0" w:tplc="08090005">
      <w:start w:val="1"/>
      <w:numFmt w:val="bullet"/>
      <w:lvlText w:val=""/>
      <w:lvlJc w:val="left"/>
      <w:pPr>
        <w:ind w:left="791" w:hanging="360"/>
      </w:pPr>
      <w:rPr>
        <w:rFonts w:ascii="Wingdings" w:hAnsi="Wingdings"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8"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9" w15:restartNumberingAfterBreak="0">
    <w:nsid w:val="2682857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4238AD"/>
    <w:multiLevelType w:val="multilevel"/>
    <w:tmpl w:val="A22611FC"/>
    <w:numStyleLink w:val="ConditionsList"/>
  </w:abstractNum>
  <w:abstractNum w:abstractNumId="11"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2" w15:restartNumberingAfterBreak="0">
    <w:nsid w:val="297D571E"/>
    <w:multiLevelType w:val="multilevel"/>
    <w:tmpl w:val="A22611FC"/>
    <w:numStyleLink w:val="ConditionsList"/>
  </w:abstractNum>
  <w:abstractNum w:abstractNumId="13" w15:restartNumberingAfterBreak="0">
    <w:nsid w:val="302C49E2"/>
    <w:multiLevelType w:val="hybridMultilevel"/>
    <w:tmpl w:val="A36AB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6618D8"/>
    <w:multiLevelType w:val="hybridMultilevel"/>
    <w:tmpl w:val="750AA52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48DD7A15"/>
    <w:multiLevelType w:val="multilevel"/>
    <w:tmpl w:val="734A3922"/>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7" w15:restartNumberingAfterBreak="0">
    <w:nsid w:val="4AB7177F"/>
    <w:multiLevelType w:val="multilevel"/>
    <w:tmpl w:val="A22611FC"/>
    <w:numStyleLink w:val="ConditionsList"/>
  </w:abstractNum>
  <w:abstractNum w:abstractNumId="18"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F2342F1"/>
    <w:multiLevelType w:val="multilevel"/>
    <w:tmpl w:val="A22611FC"/>
    <w:numStyleLink w:val="ConditionsList"/>
  </w:abstractNum>
  <w:abstractNum w:abstractNumId="20" w15:restartNumberingAfterBreak="0">
    <w:nsid w:val="5137716E"/>
    <w:multiLevelType w:val="multilevel"/>
    <w:tmpl w:val="A22611FC"/>
    <w:numStyleLink w:val="ConditionsList"/>
  </w:abstractNum>
  <w:abstractNum w:abstractNumId="21" w15:restartNumberingAfterBreak="0">
    <w:nsid w:val="53F51752"/>
    <w:multiLevelType w:val="multilevel"/>
    <w:tmpl w:val="A22611FC"/>
    <w:numStyleLink w:val="ConditionsList"/>
  </w:abstractNum>
  <w:abstractNum w:abstractNumId="22"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3" w15:restartNumberingAfterBreak="0">
    <w:nsid w:val="5C9637D5"/>
    <w:multiLevelType w:val="multilevel"/>
    <w:tmpl w:val="4440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6" w15:restartNumberingAfterBreak="0">
    <w:nsid w:val="65B7639F"/>
    <w:multiLevelType w:val="multilevel"/>
    <w:tmpl w:val="A22611FC"/>
    <w:numStyleLink w:val="ConditionsList"/>
  </w:abstractNum>
  <w:abstractNum w:abstractNumId="2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8"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6850240">
    <w:abstractNumId w:val="25"/>
  </w:num>
  <w:num w:numId="2" w16cid:durableId="431585069">
    <w:abstractNumId w:val="25"/>
  </w:num>
  <w:num w:numId="3" w16cid:durableId="1073040043">
    <w:abstractNumId w:val="27"/>
  </w:num>
  <w:num w:numId="4" w16cid:durableId="949118795">
    <w:abstractNumId w:val="0"/>
  </w:num>
  <w:num w:numId="5" w16cid:durableId="629826376">
    <w:abstractNumId w:val="15"/>
  </w:num>
  <w:num w:numId="6" w16cid:durableId="949236635">
    <w:abstractNumId w:val="24"/>
  </w:num>
  <w:num w:numId="7" w16cid:durableId="1411080635">
    <w:abstractNumId w:val="28"/>
  </w:num>
  <w:num w:numId="8" w16cid:durableId="1698192213">
    <w:abstractNumId w:val="22"/>
  </w:num>
  <w:num w:numId="9" w16cid:durableId="1402946823">
    <w:abstractNumId w:val="7"/>
  </w:num>
  <w:num w:numId="10" w16cid:durableId="1850829303">
    <w:abstractNumId w:val="8"/>
  </w:num>
  <w:num w:numId="11" w16cid:durableId="1395927399">
    <w:abstractNumId w:val="18"/>
  </w:num>
  <w:num w:numId="12" w16cid:durableId="38939694">
    <w:abstractNumId w:val="19"/>
  </w:num>
  <w:num w:numId="13" w16cid:durableId="1091783224">
    <w:abstractNumId w:val="12"/>
  </w:num>
  <w:num w:numId="14" w16cid:durableId="1544561668">
    <w:abstractNumId w:val="17"/>
  </w:num>
  <w:num w:numId="15" w16cid:durableId="1900438618">
    <w:abstractNumId w:val="20"/>
  </w:num>
  <w:num w:numId="16" w16cid:durableId="34352531">
    <w:abstractNumId w:val="2"/>
  </w:num>
  <w:num w:numId="17" w16cid:durableId="1825316479">
    <w:abstractNumId w:val="21"/>
  </w:num>
  <w:num w:numId="18" w16cid:durableId="1641037118">
    <w:abstractNumId w:val="10"/>
  </w:num>
  <w:num w:numId="19" w16cid:durableId="823088972">
    <w:abstractNumId w:val="4"/>
  </w:num>
  <w:num w:numId="20" w16cid:durableId="594752628">
    <w:abstractNumId w:val="11"/>
  </w:num>
  <w:num w:numId="21" w16cid:durableId="1853377209">
    <w:abstractNumId w:val="16"/>
  </w:num>
  <w:num w:numId="22" w16cid:durableId="2105566204">
    <w:abstractNumId w:val="16"/>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55465584">
    <w:abstractNumId w:val="26"/>
  </w:num>
  <w:num w:numId="24" w16cid:durableId="1748333696">
    <w:abstractNumId w:val="3"/>
  </w:num>
  <w:num w:numId="25" w16cid:durableId="971446547">
    <w:abstractNumId w:val="13"/>
  </w:num>
  <w:num w:numId="26" w16cid:durableId="683559036">
    <w:abstractNumId w:val="9"/>
  </w:num>
  <w:num w:numId="27" w16cid:durableId="18049288">
    <w:abstractNumId w:val="6"/>
  </w:num>
  <w:num w:numId="28" w16cid:durableId="2067364388">
    <w:abstractNumId w:val="1"/>
  </w:num>
  <w:num w:numId="29" w16cid:durableId="1371538646">
    <w:abstractNumId w:val="14"/>
  </w:num>
  <w:num w:numId="30" w16cid:durableId="874537992">
    <w:abstractNumId w:val="23"/>
  </w:num>
  <w:num w:numId="31" w16cid:durableId="18220509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207E49"/>
    <w:rsid w:val="0000038D"/>
    <w:rsid w:val="00001321"/>
    <w:rsid w:val="0000167D"/>
    <w:rsid w:val="0000179F"/>
    <w:rsid w:val="0000335F"/>
    <w:rsid w:val="00003E74"/>
    <w:rsid w:val="0000458D"/>
    <w:rsid w:val="00006D93"/>
    <w:rsid w:val="00012F7D"/>
    <w:rsid w:val="000152DC"/>
    <w:rsid w:val="0001629E"/>
    <w:rsid w:val="0002267F"/>
    <w:rsid w:val="00022F21"/>
    <w:rsid w:val="000247B2"/>
    <w:rsid w:val="00024DCF"/>
    <w:rsid w:val="00026342"/>
    <w:rsid w:val="000319E0"/>
    <w:rsid w:val="000323B2"/>
    <w:rsid w:val="000359C8"/>
    <w:rsid w:val="00036D31"/>
    <w:rsid w:val="00037756"/>
    <w:rsid w:val="00037CFC"/>
    <w:rsid w:val="000426A0"/>
    <w:rsid w:val="00042E22"/>
    <w:rsid w:val="000430EB"/>
    <w:rsid w:val="000440D8"/>
    <w:rsid w:val="00046145"/>
    <w:rsid w:val="0004625F"/>
    <w:rsid w:val="0004759D"/>
    <w:rsid w:val="00050B1D"/>
    <w:rsid w:val="00053135"/>
    <w:rsid w:val="00054354"/>
    <w:rsid w:val="00057201"/>
    <w:rsid w:val="00060583"/>
    <w:rsid w:val="000649A6"/>
    <w:rsid w:val="00065D2E"/>
    <w:rsid w:val="000667EE"/>
    <w:rsid w:val="00070A5F"/>
    <w:rsid w:val="00072893"/>
    <w:rsid w:val="00074387"/>
    <w:rsid w:val="00076249"/>
    <w:rsid w:val="00077358"/>
    <w:rsid w:val="0008013B"/>
    <w:rsid w:val="00081E0A"/>
    <w:rsid w:val="0008234D"/>
    <w:rsid w:val="00084E82"/>
    <w:rsid w:val="00085318"/>
    <w:rsid w:val="00086E10"/>
    <w:rsid w:val="00087477"/>
    <w:rsid w:val="00087DEC"/>
    <w:rsid w:val="00092336"/>
    <w:rsid w:val="000959D5"/>
    <w:rsid w:val="00095E2F"/>
    <w:rsid w:val="00095FB0"/>
    <w:rsid w:val="000A09F3"/>
    <w:rsid w:val="000A1D27"/>
    <w:rsid w:val="000A1EF4"/>
    <w:rsid w:val="000A1FA9"/>
    <w:rsid w:val="000A34E2"/>
    <w:rsid w:val="000A4AEB"/>
    <w:rsid w:val="000A6137"/>
    <w:rsid w:val="000A6377"/>
    <w:rsid w:val="000A64AE"/>
    <w:rsid w:val="000A6A4E"/>
    <w:rsid w:val="000B02BC"/>
    <w:rsid w:val="000B0589"/>
    <w:rsid w:val="000B1A88"/>
    <w:rsid w:val="000B2836"/>
    <w:rsid w:val="000B579F"/>
    <w:rsid w:val="000B5F31"/>
    <w:rsid w:val="000B71DA"/>
    <w:rsid w:val="000C06B7"/>
    <w:rsid w:val="000C12E0"/>
    <w:rsid w:val="000C200D"/>
    <w:rsid w:val="000C23CE"/>
    <w:rsid w:val="000C3F13"/>
    <w:rsid w:val="000C5098"/>
    <w:rsid w:val="000C5A3C"/>
    <w:rsid w:val="000C698E"/>
    <w:rsid w:val="000C75B5"/>
    <w:rsid w:val="000D0673"/>
    <w:rsid w:val="000D0C98"/>
    <w:rsid w:val="000D4C79"/>
    <w:rsid w:val="000D7F20"/>
    <w:rsid w:val="000E0E9D"/>
    <w:rsid w:val="000E0EB8"/>
    <w:rsid w:val="000E15DD"/>
    <w:rsid w:val="000E1BD7"/>
    <w:rsid w:val="000E2BEE"/>
    <w:rsid w:val="000E57C1"/>
    <w:rsid w:val="000F16F4"/>
    <w:rsid w:val="000F2B99"/>
    <w:rsid w:val="000F3EF5"/>
    <w:rsid w:val="000F5B3F"/>
    <w:rsid w:val="000F6EC2"/>
    <w:rsid w:val="001000CB"/>
    <w:rsid w:val="001010F2"/>
    <w:rsid w:val="00103B44"/>
    <w:rsid w:val="00104D93"/>
    <w:rsid w:val="00104FC7"/>
    <w:rsid w:val="0010666E"/>
    <w:rsid w:val="00113705"/>
    <w:rsid w:val="0011464C"/>
    <w:rsid w:val="00114826"/>
    <w:rsid w:val="001151B4"/>
    <w:rsid w:val="00116CDC"/>
    <w:rsid w:val="00116FB5"/>
    <w:rsid w:val="001204C8"/>
    <w:rsid w:val="00121D7B"/>
    <w:rsid w:val="00121DCB"/>
    <w:rsid w:val="0012434D"/>
    <w:rsid w:val="001272C9"/>
    <w:rsid w:val="00132881"/>
    <w:rsid w:val="00132A8D"/>
    <w:rsid w:val="001339A0"/>
    <w:rsid w:val="00133B24"/>
    <w:rsid w:val="00133E3E"/>
    <w:rsid w:val="001348E7"/>
    <w:rsid w:val="00134A0F"/>
    <w:rsid w:val="00134B46"/>
    <w:rsid w:val="001355C2"/>
    <w:rsid w:val="00136787"/>
    <w:rsid w:val="00136EA9"/>
    <w:rsid w:val="00137ED7"/>
    <w:rsid w:val="0014186B"/>
    <w:rsid w:val="00142124"/>
    <w:rsid w:val="00142990"/>
    <w:rsid w:val="001440C3"/>
    <w:rsid w:val="00145CB7"/>
    <w:rsid w:val="00146FA4"/>
    <w:rsid w:val="001519CC"/>
    <w:rsid w:val="00151DA8"/>
    <w:rsid w:val="00152C92"/>
    <w:rsid w:val="00153048"/>
    <w:rsid w:val="0015342B"/>
    <w:rsid w:val="001552DA"/>
    <w:rsid w:val="0015595F"/>
    <w:rsid w:val="00161633"/>
    <w:rsid w:val="00161B5C"/>
    <w:rsid w:val="0016526E"/>
    <w:rsid w:val="00165460"/>
    <w:rsid w:val="00165E21"/>
    <w:rsid w:val="00177167"/>
    <w:rsid w:val="001813F2"/>
    <w:rsid w:val="0018359F"/>
    <w:rsid w:val="001860D9"/>
    <w:rsid w:val="00190805"/>
    <w:rsid w:val="00193574"/>
    <w:rsid w:val="00197B5B"/>
    <w:rsid w:val="001A1D4C"/>
    <w:rsid w:val="001A2475"/>
    <w:rsid w:val="001A37B8"/>
    <w:rsid w:val="001A3BFE"/>
    <w:rsid w:val="001A3E5D"/>
    <w:rsid w:val="001A413D"/>
    <w:rsid w:val="001A512A"/>
    <w:rsid w:val="001A5B22"/>
    <w:rsid w:val="001A650A"/>
    <w:rsid w:val="001A6BE1"/>
    <w:rsid w:val="001A7F2D"/>
    <w:rsid w:val="001B37BF"/>
    <w:rsid w:val="001C1690"/>
    <w:rsid w:val="001C1B98"/>
    <w:rsid w:val="001C22A9"/>
    <w:rsid w:val="001C2811"/>
    <w:rsid w:val="001C4ED0"/>
    <w:rsid w:val="001C5443"/>
    <w:rsid w:val="001D2079"/>
    <w:rsid w:val="001D6077"/>
    <w:rsid w:val="001D7B14"/>
    <w:rsid w:val="001E1E6E"/>
    <w:rsid w:val="001E31DD"/>
    <w:rsid w:val="001E6E12"/>
    <w:rsid w:val="001E7E11"/>
    <w:rsid w:val="001F4324"/>
    <w:rsid w:val="001F5041"/>
    <w:rsid w:val="001F5990"/>
    <w:rsid w:val="00200CFD"/>
    <w:rsid w:val="00202166"/>
    <w:rsid w:val="002027E7"/>
    <w:rsid w:val="002037B2"/>
    <w:rsid w:val="002051A0"/>
    <w:rsid w:val="00207816"/>
    <w:rsid w:val="00207E49"/>
    <w:rsid w:val="00210C54"/>
    <w:rsid w:val="0021195F"/>
    <w:rsid w:val="00212C8F"/>
    <w:rsid w:val="00214083"/>
    <w:rsid w:val="00214316"/>
    <w:rsid w:val="00214B59"/>
    <w:rsid w:val="00214D38"/>
    <w:rsid w:val="00215676"/>
    <w:rsid w:val="002167D4"/>
    <w:rsid w:val="0022013B"/>
    <w:rsid w:val="00220AEB"/>
    <w:rsid w:val="00220CBD"/>
    <w:rsid w:val="002254AA"/>
    <w:rsid w:val="002256A9"/>
    <w:rsid w:val="00226422"/>
    <w:rsid w:val="002329BC"/>
    <w:rsid w:val="00234574"/>
    <w:rsid w:val="00235EB4"/>
    <w:rsid w:val="00241FEB"/>
    <w:rsid w:val="00242A5E"/>
    <w:rsid w:val="002439F4"/>
    <w:rsid w:val="00246976"/>
    <w:rsid w:val="00247FC1"/>
    <w:rsid w:val="00250707"/>
    <w:rsid w:val="00250830"/>
    <w:rsid w:val="00251ECC"/>
    <w:rsid w:val="0025375A"/>
    <w:rsid w:val="00255451"/>
    <w:rsid w:val="00260D4B"/>
    <w:rsid w:val="00264D04"/>
    <w:rsid w:val="00265AAC"/>
    <w:rsid w:val="002702A4"/>
    <w:rsid w:val="00271584"/>
    <w:rsid w:val="00271AA3"/>
    <w:rsid w:val="0027215A"/>
    <w:rsid w:val="0027353C"/>
    <w:rsid w:val="002743E1"/>
    <w:rsid w:val="002749A0"/>
    <w:rsid w:val="00277B4D"/>
    <w:rsid w:val="00280A25"/>
    <w:rsid w:val="00281263"/>
    <w:rsid w:val="002819AB"/>
    <w:rsid w:val="00282EC9"/>
    <w:rsid w:val="002838E4"/>
    <w:rsid w:val="002843E7"/>
    <w:rsid w:val="00286BBA"/>
    <w:rsid w:val="00291F5D"/>
    <w:rsid w:val="00292729"/>
    <w:rsid w:val="002958D9"/>
    <w:rsid w:val="002A35EF"/>
    <w:rsid w:val="002A3A1E"/>
    <w:rsid w:val="002A4916"/>
    <w:rsid w:val="002A7807"/>
    <w:rsid w:val="002B0244"/>
    <w:rsid w:val="002B4324"/>
    <w:rsid w:val="002B433B"/>
    <w:rsid w:val="002B5537"/>
    <w:rsid w:val="002B5A3A"/>
    <w:rsid w:val="002B6569"/>
    <w:rsid w:val="002B6623"/>
    <w:rsid w:val="002B7A18"/>
    <w:rsid w:val="002C04B7"/>
    <w:rsid w:val="002C05D0"/>
    <w:rsid w:val="002C068A"/>
    <w:rsid w:val="002C2524"/>
    <w:rsid w:val="002C450D"/>
    <w:rsid w:val="002C5570"/>
    <w:rsid w:val="002C6D43"/>
    <w:rsid w:val="002D08AB"/>
    <w:rsid w:val="002D11D2"/>
    <w:rsid w:val="002D128D"/>
    <w:rsid w:val="002D4B54"/>
    <w:rsid w:val="002D75EB"/>
    <w:rsid w:val="002D7EB0"/>
    <w:rsid w:val="002E1039"/>
    <w:rsid w:val="002E1B8B"/>
    <w:rsid w:val="002E2E3F"/>
    <w:rsid w:val="002E7B10"/>
    <w:rsid w:val="002F06F9"/>
    <w:rsid w:val="002F14FF"/>
    <w:rsid w:val="002F2B9C"/>
    <w:rsid w:val="002F3336"/>
    <w:rsid w:val="002F4695"/>
    <w:rsid w:val="002F5113"/>
    <w:rsid w:val="002F5A5D"/>
    <w:rsid w:val="00300743"/>
    <w:rsid w:val="00300CE4"/>
    <w:rsid w:val="0030135B"/>
    <w:rsid w:val="00302825"/>
    <w:rsid w:val="00303CA5"/>
    <w:rsid w:val="0030500E"/>
    <w:rsid w:val="003052EA"/>
    <w:rsid w:val="0031148E"/>
    <w:rsid w:val="003115F2"/>
    <w:rsid w:val="00311D6F"/>
    <w:rsid w:val="003138F9"/>
    <w:rsid w:val="00315DAD"/>
    <w:rsid w:val="00317E05"/>
    <w:rsid w:val="003206FD"/>
    <w:rsid w:val="0032125E"/>
    <w:rsid w:val="00321762"/>
    <w:rsid w:val="00321ECE"/>
    <w:rsid w:val="00323786"/>
    <w:rsid w:val="00324A22"/>
    <w:rsid w:val="003276BC"/>
    <w:rsid w:val="003312BC"/>
    <w:rsid w:val="00331C85"/>
    <w:rsid w:val="00332D4A"/>
    <w:rsid w:val="00334358"/>
    <w:rsid w:val="00334CEA"/>
    <w:rsid w:val="00340E32"/>
    <w:rsid w:val="00343A1F"/>
    <w:rsid w:val="00344294"/>
    <w:rsid w:val="00344CD1"/>
    <w:rsid w:val="00344D9E"/>
    <w:rsid w:val="00347273"/>
    <w:rsid w:val="00351526"/>
    <w:rsid w:val="003525C5"/>
    <w:rsid w:val="003538BE"/>
    <w:rsid w:val="00353AB2"/>
    <w:rsid w:val="00354809"/>
    <w:rsid w:val="00355102"/>
    <w:rsid w:val="00355FCC"/>
    <w:rsid w:val="003567F7"/>
    <w:rsid w:val="00356A60"/>
    <w:rsid w:val="00360664"/>
    <w:rsid w:val="00361890"/>
    <w:rsid w:val="003618F6"/>
    <w:rsid w:val="00361DC1"/>
    <w:rsid w:val="0036228C"/>
    <w:rsid w:val="0036351C"/>
    <w:rsid w:val="00363DA4"/>
    <w:rsid w:val="00364E17"/>
    <w:rsid w:val="00365BF1"/>
    <w:rsid w:val="00366F95"/>
    <w:rsid w:val="003671D3"/>
    <w:rsid w:val="003753FE"/>
    <w:rsid w:val="0037663B"/>
    <w:rsid w:val="0037786A"/>
    <w:rsid w:val="003854FE"/>
    <w:rsid w:val="0038656A"/>
    <w:rsid w:val="00387A94"/>
    <w:rsid w:val="00387DE7"/>
    <w:rsid w:val="0039087F"/>
    <w:rsid w:val="0039258B"/>
    <w:rsid w:val="003925C5"/>
    <w:rsid w:val="00392ACD"/>
    <w:rsid w:val="00393306"/>
    <w:rsid w:val="003941CF"/>
    <w:rsid w:val="00396CD9"/>
    <w:rsid w:val="00397BF4"/>
    <w:rsid w:val="003A1F8B"/>
    <w:rsid w:val="003A2465"/>
    <w:rsid w:val="003A40C8"/>
    <w:rsid w:val="003A4C02"/>
    <w:rsid w:val="003A6F57"/>
    <w:rsid w:val="003B0815"/>
    <w:rsid w:val="003B17DC"/>
    <w:rsid w:val="003B2FE6"/>
    <w:rsid w:val="003B52D5"/>
    <w:rsid w:val="003B678D"/>
    <w:rsid w:val="003C036A"/>
    <w:rsid w:val="003C0B05"/>
    <w:rsid w:val="003C100C"/>
    <w:rsid w:val="003C3249"/>
    <w:rsid w:val="003D1026"/>
    <w:rsid w:val="003D1D4A"/>
    <w:rsid w:val="003D2040"/>
    <w:rsid w:val="003D2E97"/>
    <w:rsid w:val="003D3715"/>
    <w:rsid w:val="003D4587"/>
    <w:rsid w:val="003D65EA"/>
    <w:rsid w:val="003D6F6E"/>
    <w:rsid w:val="003D7EA5"/>
    <w:rsid w:val="003E31DB"/>
    <w:rsid w:val="003E3C31"/>
    <w:rsid w:val="003E54CC"/>
    <w:rsid w:val="003E6B3D"/>
    <w:rsid w:val="003E6B7C"/>
    <w:rsid w:val="003F0B7D"/>
    <w:rsid w:val="003F2DD9"/>
    <w:rsid w:val="003F3533"/>
    <w:rsid w:val="003F3EA8"/>
    <w:rsid w:val="003F430E"/>
    <w:rsid w:val="003F6A1C"/>
    <w:rsid w:val="003F79CD"/>
    <w:rsid w:val="003F7DFB"/>
    <w:rsid w:val="00400C6F"/>
    <w:rsid w:val="00401247"/>
    <w:rsid w:val="004029F3"/>
    <w:rsid w:val="0040496E"/>
    <w:rsid w:val="00404EF0"/>
    <w:rsid w:val="00405491"/>
    <w:rsid w:val="00411838"/>
    <w:rsid w:val="004156F0"/>
    <w:rsid w:val="00417B13"/>
    <w:rsid w:val="00417EED"/>
    <w:rsid w:val="00420110"/>
    <w:rsid w:val="00421EFC"/>
    <w:rsid w:val="0042231D"/>
    <w:rsid w:val="00425481"/>
    <w:rsid w:val="00425C46"/>
    <w:rsid w:val="00427084"/>
    <w:rsid w:val="004307A3"/>
    <w:rsid w:val="004322A5"/>
    <w:rsid w:val="00432AEF"/>
    <w:rsid w:val="00432EBB"/>
    <w:rsid w:val="00433772"/>
    <w:rsid w:val="00433CE5"/>
    <w:rsid w:val="00434739"/>
    <w:rsid w:val="00435A51"/>
    <w:rsid w:val="00435B09"/>
    <w:rsid w:val="0044018C"/>
    <w:rsid w:val="00440419"/>
    <w:rsid w:val="00440C13"/>
    <w:rsid w:val="004410A9"/>
    <w:rsid w:val="00441217"/>
    <w:rsid w:val="004447D1"/>
    <w:rsid w:val="0044545D"/>
    <w:rsid w:val="004474DE"/>
    <w:rsid w:val="00450C87"/>
    <w:rsid w:val="00450DE1"/>
    <w:rsid w:val="00451600"/>
    <w:rsid w:val="00451EE4"/>
    <w:rsid w:val="004522C1"/>
    <w:rsid w:val="004531E5"/>
    <w:rsid w:val="004536BB"/>
    <w:rsid w:val="00453E15"/>
    <w:rsid w:val="0045405B"/>
    <w:rsid w:val="00454A93"/>
    <w:rsid w:val="004550D2"/>
    <w:rsid w:val="00460352"/>
    <w:rsid w:val="00460B48"/>
    <w:rsid w:val="0046210C"/>
    <w:rsid w:val="004650E9"/>
    <w:rsid w:val="00465571"/>
    <w:rsid w:val="00465A22"/>
    <w:rsid w:val="00465BDA"/>
    <w:rsid w:val="00465F9E"/>
    <w:rsid w:val="004700AE"/>
    <w:rsid w:val="004733BA"/>
    <w:rsid w:val="004735B5"/>
    <w:rsid w:val="004739DA"/>
    <w:rsid w:val="00475409"/>
    <w:rsid w:val="0047697B"/>
    <w:rsid w:val="0047718B"/>
    <w:rsid w:val="0048041A"/>
    <w:rsid w:val="004807A6"/>
    <w:rsid w:val="00481C29"/>
    <w:rsid w:val="00483497"/>
    <w:rsid w:val="00483D15"/>
    <w:rsid w:val="00484FB0"/>
    <w:rsid w:val="004929E9"/>
    <w:rsid w:val="0049357A"/>
    <w:rsid w:val="004935BF"/>
    <w:rsid w:val="0049604E"/>
    <w:rsid w:val="00496C55"/>
    <w:rsid w:val="00496E52"/>
    <w:rsid w:val="004971A5"/>
    <w:rsid w:val="004971BA"/>
    <w:rsid w:val="004976CF"/>
    <w:rsid w:val="004977FE"/>
    <w:rsid w:val="00497FA7"/>
    <w:rsid w:val="004A1442"/>
    <w:rsid w:val="004A2E6F"/>
    <w:rsid w:val="004A2EB8"/>
    <w:rsid w:val="004A3738"/>
    <w:rsid w:val="004A4BE7"/>
    <w:rsid w:val="004A5A24"/>
    <w:rsid w:val="004A5DD6"/>
    <w:rsid w:val="004A616E"/>
    <w:rsid w:val="004A6530"/>
    <w:rsid w:val="004A70C3"/>
    <w:rsid w:val="004B0A32"/>
    <w:rsid w:val="004B1271"/>
    <w:rsid w:val="004B352E"/>
    <w:rsid w:val="004B47C1"/>
    <w:rsid w:val="004B4D49"/>
    <w:rsid w:val="004B4FFA"/>
    <w:rsid w:val="004B5687"/>
    <w:rsid w:val="004B56A3"/>
    <w:rsid w:val="004B5CFF"/>
    <w:rsid w:val="004B61C7"/>
    <w:rsid w:val="004B627B"/>
    <w:rsid w:val="004C07CB"/>
    <w:rsid w:val="004C08D7"/>
    <w:rsid w:val="004C1078"/>
    <w:rsid w:val="004C10D3"/>
    <w:rsid w:val="004C466C"/>
    <w:rsid w:val="004D05DE"/>
    <w:rsid w:val="004D17C6"/>
    <w:rsid w:val="004D24CB"/>
    <w:rsid w:val="004D335A"/>
    <w:rsid w:val="004D4660"/>
    <w:rsid w:val="004D5D70"/>
    <w:rsid w:val="004D60E9"/>
    <w:rsid w:val="004E04E0"/>
    <w:rsid w:val="004E0E19"/>
    <w:rsid w:val="004E1015"/>
    <w:rsid w:val="004E17CB"/>
    <w:rsid w:val="004E1890"/>
    <w:rsid w:val="004E1F84"/>
    <w:rsid w:val="004E558D"/>
    <w:rsid w:val="004E6091"/>
    <w:rsid w:val="004E655E"/>
    <w:rsid w:val="004F075F"/>
    <w:rsid w:val="004F2C47"/>
    <w:rsid w:val="004F3727"/>
    <w:rsid w:val="004F67D1"/>
    <w:rsid w:val="004F67E0"/>
    <w:rsid w:val="004F734F"/>
    <w:rsid w:val="005000F1"/>
    <w:rsid w:val="005012A2"/>
    <w:rsid w:val="005021C8"/>
    <w:rsid w:val="005022DE"/>
    <w:rsid w:val="005033F8"/>
    <w:rsid w:val="00506851"/>
    <w:rsid w:val="005114A0"/>
    <w:rsid w:val="005124C5"/>
    <w:rsid w:val="005133C6"/>
    <w:rsid w:val="00514B45"/>
    <w:rsid w:val="005157F1"/>
    <w:rsid w:val="00517569"/>
    <w:rsid w:val="0052277D"/>
    <w:rsid w:val="0052347F"/>
    <w:rsid w:val="00523706"/>
    <w:rsid w:val="00523BDF"/>
    <w:rsid w:val="00525D29"/>
    <w:rsid w:val="005345BF"/>
    <w:rsid w:val="0053587E"/>
    <w:rsid w:val="005359D2"/>
    <w:rsid w:val="005406A3"/>
    <w:rsid w:val="00541734"/>
    <w:rsid w:val="0054276C"/>
    <w:rsid w:val="00542B4C"/>
    <w:rsid w:val="005440DB"/>
    <w:rsid w:val="005453AA"/>
    <w:rsid w:val="00547243"/>
    <w:rsid w:val="00547AB1"/>
    <w:rsid w:val="00547BA5"/>
    <w:rsid w:val="00552966"/>
    <w:rsid w:val="005556F0"/>
    <w:rsid w:val="005600AA"/>
    <w:rsid w:val="00560580"/>
    <w:rsid w:val="00561E69"/>
    <w:rsid w:val="005623D0"/>
    <w:rsid w:val="00562A02"/>
    <w:rsid w:val="005640E4"/>
    <w:rsid w:val="00564E92"/>
    <w:rsid w:val="0056560A"/>
    <w:rsid w:val="0056634F"/>
    <w:rsid w:val="0056674B"/>
    <w:rsid w:val="005672A1"/>
    <w:rsid w:val="00567A1B"/>
    <w:rsid w:val="00567ADF"/>
    <w:rsid w:val="005702E8"/>
    <w:rsid w:val="0057098A"/>
    <w:rsid w:val="00570D04"/>
    <w:rsid w:val="005718AF"/>
    <w:rsid w:val="00571FD4"/>
    <w:rsid w:val="005725FD"/>
    <w:rsid w:val="00572879"/>
    <w:rsid w:val="00572BCE"/>
    <w:rsid w:val="0057471E"/>
    <w:rsid w:val="005750DB"/>
    <w:rsid w:val="00576C4D"/>
    <w:rsid w:val="0057782A"/>
    <w:rsid w:val="00581164"/>
    <w:rsid w:val="005812D2"/>
    <w:rsid w:val="00581D2D"/>
    <w:rsid w:val="00582997"/>
    <w:rsid w:val="005829B2"/>
    <w:rsid w:val="00582A52"/>
    <w:rsid w:val="00584761"/>
    <w:rsid w:val="00586DAA"/>
    <w:rsid w:val="00587C4F"/>
    <w:rsid w:val="00590D5A"/>
    <w:rsid w:val="00591235"/>
    <w:rsid w:val="00593473"/>
    <w:rsid w:val="0059449C"/>
    <w:rsid w:val="005956B2"/>
    <w:rsid w:val="00597275"/>
    <w:rsid w:val="00597282"/>
    <w:rsid w:val="005A0799"/>
    <w:rsid w:val="005A1CEC"/>
    <w:rsid w:val="005A237E"/>
    <w:rsid w:val="005A29A1"/>
    <w:rsid w:val="005A3136"/>
    <w:rsid w:val="005A3A64"/>
    <w:rsid w:val="005A5091"/>
    <w:rsid w:val="005A5CBE"/>
    <w:rsid w:val="005A5D88"/>
    <w:rsid w:val="005A602F"/>
    <w:rsid w:val="005A6374"/>
    <w:rsid w:val="005B27A2"/>
    <w:rsid w:val="005B2CB7"/>
    <w:rsid w:val="005B3665"/>
    <w:rsid w:val="005B3A27"/>
    <w:rsid w:val="005B5338"/>
    <w:rsid w:val="005C11F9"/>
    <w:rsid w:val="005C2DC0"/>
    <w:rsid w:val="005C3F13"/>
    <w:rsid w:val="005C6BD3"/>
    <w:rsid w:val="005D0AA0"/>
    <w:rsid w:val="005D4683"/>
    <w:rsid w:val="005D50ED"/>
    <w:rsid w:val="005D643E"/>
    <w:rsid w:val="005D739E"/>
    <w:rsid w:val="005E019E"/>
    <w:rsid w:val="005E145D"/>
    <w:rsid w:val="005E34E1"/>
    <w:rsid w:val="005E34FF"/>
    <w:rsid w:val="005E3542"/>
    <w:rsid w:val="005E37F1"/>
    <w:rsid w:val="005E52F9"/>
    <w:rsid w:val="005F0E16"/>
    <w:rsid w:val="005F1261"/>
    <w:rsid w:val="005F34BE"/>
    <w:rsid w:val="005F4284"/>
    <w:rsid w:val="005F5136"/>
    <w:rsid w:val="00601656"/>
    <w:rsid w:val="00601F11"/>
    <w:rsid w:val="00602315"/>
    <w:rsid w:val="00603FB3"/>
    <w:rsid w:val="006052EF"/>
    <w:rsid w:val="006056B4"/>
    <w:rsid w:val="00611DC0"/>
    <w:rsid w:val="00612170"/>
    <w:rsid w:val="006127F0"/>
    <w:rsid w:val="00614E46"/>
    <w:rsid w:val="00615462"/>
    <w:rsid w:val="00617722"/>
    <w:rsid w:val="00622E40"/>
    <w:rsid w:val="006252EE"/>
    <w:rsid w:val="00625DC0"/>
    <w:rsid w:val="00627FF9"/>
    <w:rsid w:val="006307F1"/>
    <w:rsid w:val="00630FF0"/>
    <w:rsid w:val="006319E6"/>
    <w:rsid w:val="00633722"/>
    <w:rsid w:val="0063373D"/>
    <w:rsid w:val="006343D7"/>
    <w:rsid w:val="00634DC9"/>
    <w:rsid w:val="006352CC"/>
    <w:rsid w:val="00637229"/>
    <w:rsid w:val="00640DAD"/>
    <w:rsid w:val="00641E99"/>
    <w:rsid w:val="00642ECB"/>
    <w:rsid w:val="006459EE"/>
    <w:rsid w:val="00646B7D"/>
    <w:rsid w:val="00653D0C"/>
    <w:rsid w:val="0065705A"/>
    <w:rsid w:val="0065719B"/>
    <w:rsid w:val="00657228"/>
    <w:rsid w:val="00660499"/>
    <w:rsid w:val="00661F0F"/>
    <w:rsid w:val="0066322F"/>
    <w:rsid w:val="00664F6D"/>
    <w:rsid w:val="006676FE"/>
    <w:rsid w:val="0067099F"/>
    <w:rsid w:val="00671829"/>
    <w:rsid w:val="006727BA"/>
    <w:rsid w:val="00672CA9"/>
    <w:rsid w:val="0067496C"/>
    <w:rsid w:val="00675A3D"/>
    <w:rsid w:val="00676E62"/>
    <w:rsid w:val="00681108"/>
    <w:rsid w:val="0068140D"/>
    <w:rsid w:val="00681C82"/>
    <w:rsid w:val="00683417"/>
    <w:rsid w:val="00684DCA"/>
    <w:rsid w:val="00685A46"/>
    <w:rsid w:val="0068627C"/>
    <w:rsid w:val="00691A8F"/>
    <w:rsid w:val="006921EA"/>
    <w:rsid w:val="00692926"/>
    <w:rsid w:val="00693438"/>
    <w:rsid w:val="0069559D"/>
    <w:rsid w:val="00696368"/>
    <w:rsid w:val="006972B2"/>
    <w:rsid w:val="006A03BF"/>
    <w:rsid w:val="006A1320"/>
    <w:rsid w:val="006A21B4"/>
    <w:rsid w:val="006A43E9"/>
    <w:rsid w:val="006A536C"/>
    <w:rsid w:val="006A5BB3"/>
    <w:rsid w:val="006A7B8B"/>
    <w:rsid w:val="006B3C90"/>
    <w:rsid w:val="006B3DA9"/>
    <w:rsid w:val="006B5BD4"/>
    <w:rsid w:val="006C077F"/>
    <w:rsid w:val="006C0819"/>
    <w:rsid w:val="006C0FD4"/>
    <w:rsid w:val="006C4C25"/>
    <w:rsid w:val="006C6D1A"/>
    <w:rsid w:val="006C7232"/>
    <w:rsid w:val="006C77FD"/>
    <w:rsid w:val="006C7F45"/>
    <w:rsid w:val="006D0956"/>
    <w:rsid w:val="006D0A37"/>
    <w:rsid w:val="006D109D"/>
    <w:rsid w:val="006D2842"/>
    <w:rsid w:val="006D40BA"/>
    <w:rsid w:val="006D5133"/>
    <w:rsid w:val="006D6777"/>
    <w:rsid w:val="006D6A44"/>
    <w:rsid w:val="006D71D5"/>
    <w:rsid w:val="006E04EB"/>
    <w:rsid w:val="006E2283"/>
    <w:rsid w:val="006E33D7"/>
    <w:rsid w:val="006E3F6F"/>
    <w:rsid w:val="006E5473"/>
    <w:rsid w:val="006E565B"/>
    <w:rsid w:val="006E58C0"/>
    <w:rsid w:val="006E7CC7"/>
    <w:rsid w:val="006F16D9"/>
    <w:rsid w:val="006F2734"/>
    <w:rsid w:val="006F34E6"/>
    <w:rsid w:val="006F6496"/>
    <w:rsid w:val="006F76D1"/>
    <w:rsid w:val="006F7A88"/>
    <w:rsid w:val="00703479"/>
    <w:rsid w:val="00704126"/>
    <w:rsid w:val="00704CF4"/>
    <w:rsid w:val="00704D46"/>
    <w:rsid w:val="007056BE"/>
    <w:rsid w:val="00705AF3"/>
    <w:rsid w:val="00705CAE"/>
    <w:rsid w:val="00706695"/>
    <w:rsid w:val="00706F81"/>
    <w:rsid w:val="0071340E"/>
    <w:rsid w:val="00713B13"/>
    <w:rsid w:val="00715236"/>
    <w:rsid w:val="007152B9"/>
    <w:rsid w:val="00715F54"/>
    <w:rsid w:val="00715FC6"/>
    <w:rsid w:val="0071604A"/>
    <w:rsid w:val="00716170"/>
    <w:rsid w:val="0072064C"/>
    <w:rsid w:val="00720FF6"/>
    <w:rsid w:val="007264E6"/>
    <w:rsid w:val="00726739"/>
    <w:rsid w:val="00726818"/>
    <w:rsid w:val="00727D8E"/>
    <w:rsid w:val="007325E6"/>
    <w:rsid w:val="007334F2"/>
    <w:rsid w:val="007345C5"/>
    <w:rsid w:val="0074058F"/>
    <w:rsid w:val="00740FF5"/>
    <w:rsid w:val="0074186B"/>
    <w:rsid w:val="0074259C"/>
    <w:rsid w:val="00745690"/>
    <w:rsid w:val="00745C48"/>
    <w:rsid w:val="00747461"/>
    <w:rsid w:val="00750E12"/>
    <w:rsid w:val="00751984"/>
    <w:rsid w:val="00751A68"/>
    <w:rsid w:val="00751A96"/>
    <w:rsid w:val="00752725"/>
    <w:rsid w:val="007547DF"/>
    <w:rsid w:val="0075638C"/>
    <w:rsid w:val="00756D18"/>
    <w:rsid w:val="007611E9"/>
    <w:rsid w:val="0076618F"/>
    <w:rsid w:val="00767475"/>
    <w:rsid w:val="0077106B"/>
    <w:rsid w:val="00773A3C"/>
    <w:rsid w:val="00774FB2"/>
    <w:rsid w:val="00775DC6"/>
    <w:rsid w:val="0077613A"/>
    <w:rsid w:val="00777007"/>
    <w:rsid w:val="00780766"/>
    <w:rsid w:val="00780E04"/>
    <w:rsid w:val="00781497"/>
    <w:rsid w:val="00785862"/>
    <w:rsid w:val="0079167E"/>
    <w:rsid w:val="007932D2"/>
    <w:rsid w:val="007952CE"/>
    <w:rsid w:val="007A0537"/>
    <w:rsid w:val="007A07BE"/>
    <w:rsid w:val="007A1634"/>
    <w:rsid w:val="007A184F"/>
    <w:rsid w:val="007A4486"/>
    <w:rsid w:val="007A4DC7"/>
    <w:rsid w:val="007A54AF"/>
    <w:rsid w:val="007A6F9E"/>
    <w:rsid w:val="007B1BA4"/>
    <w:rsid w:val="007B2418"/>
    <w:rsid w:val="007B3197"/>
    <w:rsid w:val="007B3428"/>
    <w:rsid w:val="007B4B8A"/>
    <w:rsid w:val="007B4C9B"/>
    <w:rsid w:val="007B75CD"/>
    <w:rsid w:val="007B7FF6"/>
    <w:rsid w:val="007C1DBC"/>
    <w:rsid w:val="007C21F2"/>
    <w:rsid w:val="007C220F"/>
    <w:rsid w:val="007C30DD"/>
    <w:rsid w:val="007C5C8C"/>
    <w:rsid w:val="007C752B"/>
    <w:rsid w:val="007D0C48"/>
    <w:rsid w:val="007D2695"/>
    <w:rsid w:val="007D31BF"/>
    <w:rsid w:val="007D608B"/>
    <w:rsid w:val="007D65B4"/>
    <w:rsid w:val="007D7488"/>
    <w:rsid w:val="007E2B6E"/>
    <w:rsid w:val="007E5471"/>
    <w:rsid w:val="007E5D00"/>
    <w:rsid w:val="007E5FD2"/>
    <w:rsid w:val="007E77F5"/>
    <w:rsid w:val="007E7AC6"/>
    <w:rsid w:val="007F07A1"/>
    <w:rsid w:val="007F1352"/>
    <w:rsid w:val="007F191B"/>
    <w:rsid w:val="007F2B05"/>
    <w:rsid w:val="007F3F10"/>
    <w:rsid w:val="007F4246"/>
    <w:rsid w:val="007F48E4"/>
    <w:rsid w:val="007F49D8"/>
    <w:rsid w:val="007F55C2"/>
    <w:rsid w:val="007F59EB"/>
    <w:rsid w:val="007F6539"/>
    <w:rsid w:val="007F757E"/>
    <w:rsid w:val="00800F75"/>
    <w:rsid w:val="00801362"/>
    <w:rsid w:val="00801E42"/>
    <w:rsid w:val="00803002"/>
    <w:rsid w:val="0080500E"/>
    <w:rsid w:val="00805F88"/>
    <w:rsid w:val="0080655C"/>
    <w:rsid w:val="00811DF3"/>
    <w:rsid w:val="00812C4C"/>
    <w:rsid w:val="00812F61"/>
    <w:rsid w:val="00813F83"/>
    <w:rsid w:val="0081524F"/>
    <w:rsid w:val="0081569D"/>
    <w:rsid w:val="00816A3B"/>
    <w:rsid w:val="0081761F"/>
    <w:rsid w:val="00820753"/>
    <w:rsid w:val="008262C6"/>
    <w:rsid w:val="00826EE1"/>
    <w:rsid w:val="008278D7"/>
    <w:rsid w:val="00827937"/>
    <w:rsid w:val="00830664"/>
    <w:rsid w:val="00831B86"/>
    <w:rsid w:val="00832098"/>
    <w:rsid w:val="00832A67"/>
    <w:rsid w:val="00833726"/>
    <w:rsid w:val="00834368"/>
    <w:rsid w:val="008347AF"/>
    <w:rsid w:val="00834F2E"/>
    <w:rsid w:val="00835078"/>
    <w:rsid w:val="008354A6"/>
    <w:rsid w:val="00835DEF"/>
    <w:rsid w:val="008360FA"/>
    <w:rsid w:val="00836B3D"/>
    <w:rsid w:val="00836EDC"/>
    <w:rsid w:val="008411A4"/>
    <w:rsid w:val="008438C0"/>
    <w:rsid w:val="00843A47"/>
    <w:rsid w:val="0084449D"/>
    <w:rsid w:val="0084762E"/>
    <w:rsid w:val="00847A29"/>
    <w:rsid w:val="0085068E"/>
    <w:rsid w:val="00853158"/>
    <w:rsid w:val="008547CF"/>
    <w:rsid w:val="008575B1"/>
    <w:rsid w:val="00863668"/>
    <w:rsid w:val="00864E44"/>
    <w:rsid w:val="0086503E"/>
    <w:rsid w:val="00867802"/>
    <w:rsid w:val="00873C1D"/>
    <w:rsid w:val="008751AA"/>
    <w:rsid w:val="00875A51"/>
    <w:rsid w:val="00876B3D"/>
    <w:rsid w:val="008805FA"/>
    <w:rsid w:val="00882B66"/>
    <w:rsid w:val="00882F11"/>
    <w:rsid w:val="0088333B"/>
    <w:rsid w:val="00887110"/>
    <w:rsid w:val="00890CDD"/>
    <w:rsid w:val="00892D32"/>
    <w:rsid w:val="00894E98"/>
    <w:rsid w:val="008975E4"/>
    <w:rsid w:val="008A00FE"/>
    <w:rsid w:val="008A033D"/>
    <w:rsid w:val="008A03E3"/>
    <w:rsid w:val="008A3C1F"/>
    <w:rsid w:val="008A52B3"/>
    <w:rsid w:val="008A701F"/>
    <w:rsid w:val="008A720B"/>
    <w:rsid w:val="008A7ACA"/>
    <w:rsid w:val="008B1EB5"/>
    <w:rsid w:val="008B71E4"/>
    <w:rsid w:val="008C4FCB"/>
    <w:rsid w:val="008C66A4"/>
    <w:rsid w:val="008C6FA3"/>
    <w:rsid w:val="008D38F9"/>
    <w:rsid w:val="008D75BB"/>
    <w:rsid w:val="008E2419"/>
    <w:rsid w:val="008E249B"/>
    <w:rsid w:val="008E359C"/>
    <w:rsid w:val="008E46F2"/>
    <w:rsid w:val="008F2693"/>
    <w:rsid w:val="008F31A0"/>
    <w:rsid w:val="008F5A2D"/>
    <w:rsid w:val="008F5F01"/>
    <w:rsid w:val="008F616A"/>
    <w:rsid w:val="008F7CD9"/>
    <w:rsid w:val="00901334"/>
    <w:rsid w:val="009029C1"/>
    <w:rsid w:val="00905BE6"/>
    <w:rsid w:val="00905EC7"/>
    <w:rsid w:val="0091008C"/>
    <w:rsid w:val="009124CE"/>
    <w:rsid w:val="0091291F"/>
    <w:rsid w:val="00912954"/>
    <w:rsid w:val="0091299E"/>
    <w:rsid w:val="00913453"/>
    <w:rsid w:val="00913932"/>
    <w:rsid w:val="00913A76"/>
    <w:rsid w:val="00913A79"/>
    <w:rsid w:val="009143A8"/>
    <w:rsid w:val="00917BAF"/>
    <w:rsid w:val="00920405"/>
    <w:rsid w:val="00921F34"/>
    <w:rsid w:val="00922D0B"/>
    <w:rsid w:val="0092304C"/>
    <w:rsid w:val="0092309C"/>
    <w:rsid w:val="00923F06"/>
    <w:rsid w:val="00924681"/>
    <w:rsid w:val="0092562E"/>
    <w:rsid w:val="00925F4E"/>
    <w:rsid w:val="009276B1"/>
    <w:rsid w:val="00930D33"/>
    <w:rsid w:val="00933109"/>
    <w:rsid w:val="0093513C"/>
    <w:rsid w:val="00936CAC"/>
    <w:rsid w:val="00941D4A"/>
    <w:rsid w:val="00943033"/>
    <w:rsid w:val="009436C0"/>
    <w:rsid w:val="00943D39"/>
    <w:rsid w:val="00947223"/>
    <w:rsid w:val="00951465"/>
    <w:rsid w:val="0095148F"/>
    <w:rsid w:val="00956FC1"/>
    <w:rsid w:val="0095799F"/>
    <w:rsid w:val="00960B10"/>
    <w:rsid w:val="00960C20"/>
    <w:rsid w:val="00962068"/>
    <w:rsid w:val="0096213D"/>
    <w:rsid w:val="00963D6A"/>
    <w:rsid w:val="0096546D"/>
    <w:rsid w:val="00965544"/>
    <w:rsid w:val="00965E3E"/>
    <w:rsid w:val="00970932"/>
    <w:rsid w:val="00973DAA"/>
    <w:rsid w:val="009759F9"/>
    <w:rsid w:val="00975AC1"/>
    <w:rsid w:val="00976BE5"/>
    <w:rsid w:val="009841DA"/>
    <w:rsid w:val="00986627"/>
    <w:rsid w:val="00986A3C"/>
    <w:rsid w:val="00990A9A"/>
    <w:rsid w:val="009939FD"/>
    <w:rsid w:val="00993F2F"/>
    <w:rsid w:val="00994A8E"/>
    <w:rsid w:val="00994C46"/>
    <w:rsid w:val="00995F39"/>
    <w:rsid w:val="00997D61"/>
    <w:rsid w:val="009A0A27"/>
    <w:rsid w:val="009A1D29"/>
    <w:rsid w:val="009A39BB"/>
    <w:rsid w:val="009A3F66"/>
    <w:rsid w:val="009A5AEE"/>
    <w:rsid w:val="009A6E3C"/>
    <w:rsid w:val="009B1C69"/>
    <w:rsid w:val="009B2AE9"/>
    <w:rsid w:val="009B3075"/>
    <w:rsid w:val="009B449A"/>
    <w:rsid w:val="009B4C7B"/>
    <w:rsid w:val="009B4F8F"/>
    <w:rsid w:val="009B644E"/>
    <w:rsid w:val="009B6858"/>
    <w:rsid w:val="009B6FF4"/>
    <w:rsid w:val="009B72ED"/>
    <w:rsid w:val="009B73B3"/>
    <w:rsid w:val="009B7BD4"/>
    <w:rsid w:val="009B7C86"/>
    <w:rsid w:val="009B7F3F"/>
    <w:rsid w:val="009C0343"/>
    <w:rsid w:val="009C1BA7"/>
    <w:rsid w:val="009C21A0"/>
    <w:rsid w:val="009C2B61"/>
    <w:rsid w:val="009C3365"/>
    <w:rsid w:val="009D0E14"/>
    <w:rsid w:val="009D2F86"/>
    <w:rsid w:val="009D34CF"/>
    <w:rsid w:val="009D3860"/>
    <w:rsid w:val="009D3D17"/>
    <w:rsid w:val="009D40EF"/>
    <w:rsid w:val="009D6FB7"/>
    <w:rsid w:val="009D7B47"/>
    <w:rsid w:val="009E0C18"/>
    <w:rsid w:val="009E1447"/>
    <w:rsid w:val="009E179D"/>
    <w:rsid w:val="009E2F99"/>
    <w:rsid w:val="009E3C69"/>
    <w:rsid w:val="009E4076"/>
    <w:rsid w:val="009E6BD0"/>
    <w:rsid w:val="009E6FB7"/>
    <w:rsid w:val="009F1846"/>
    <w:rsid w:val="009F1EF5"/>
    <w:rsid w:val="009F4B63"/>
    <w:rsid w:val="009F5398"/>
    <w:rsid w:val="00A003F3"/>
    <w:rsid w:val="00A00E37"/>
    <w:rsid w:val="00A00FCD"/>
    <w:rsid w:val="00A01161"/>
    <w:rsid w:val="00A02152"/>
    <w:rsid w:val="00A101CD"/>
    <w:rsid w:val="00A10DFD"/>
    <w:rsid w:val="00A12745"/>
    <w:rsid w:val="00A1291C"/>
    <w:rsid w:val="00A136AF"/>
    <w:rsid w:val="00A13C08"/>
    <w:rsid w:val="00A1455D"/>
    <w:rsid w:val="00A14F8E"/>
    <w:rsid w:val="00A1640A"/>
    <w:rsid w:val="00A173A6"/>
    <w:rsid w:val="00A21518"/>
    <w:rsid w:val="00A22419"/>
    <w:rsid w:val="00A22DE2"/>
    <w:rsid w:val="00A23FC7"/>
    <w:rsid w:val="00A24F82"/>
    <w:rsid w:val="00A2670A"/>
    <w:rsid w:val="00A27DF6"/>
    <w:rsid w:val="00A33904"/>
    <w:rsid w:val="00A33BB9"/>
    <w:rsid w:val="00A346EB"/>
    <w:rsid w:val="00A3547E"/>
    <w:rsid w:val="00A36A4A"/>
    <w:rsid w:val="00A412E9"/>
    <w:rsid w:val="00A418A7"/>
    <w:rsid w:val="00A41921"/>
    <w:rsid w:val="00A46137"/>
    <w:rsid w:val="00A47564"/>
    <w:rsid w:val="00A51170"/>
    <w:rsid w:val="00A51BC7"/>
    <w:rsid w:val="00A52785"/>
    <w:rsid w:val="00A52C0C"/>
    <w:rsid w:val="00A53453"/>
    <w:rsid w:val="00A5364C"/>
    <w:rsid w:val="00A570E3"/>
    <w:rsid w:val="00A57181"/>
    <w:rsid w:val="00A5760C"/>
    <w:rsid w:val="00A5786D"/>
    <w:rsid w:val="00A60DB3"/>
    <w:rsid w:val="00A62AF4"/>
    <w:rsid w:val="00A62C5E"/>
    <w:rsid w:val="00A64449"/>
    <w:rsid w:val="00A64916"/>
    <w:rsid w:val="00A65495"/>
    <w:rsid w:val="00A65639"/>
    <w:rsid w:val="00A661BD"/>
    <w:rsid w:val="00A66558"/>
    <w:rsid w:val="00A67124"/>
    <w:rsid w:val="00A70439"/>
    <w:rsid w:val="00A73270"/>
    <w:rsid w:val="00A73486"/>
    <w:rsid w:val="00A752DB"/>
    <w:rsid w:val="00A8038B"/>
    <w:rsid w:val="00A810D0"/>
    <w:rsid w:val="00A81C4A"/>
    <w:rsid w:val="00A82B7A"/>
    <w:rsid w:val="00A845D7"/>
    <w:rsid w:val="00A85726"/>
    <w:rsid w:val="00A8668E"/>
    <w:rsid w:val="00A87023"/>
    <w:rsid w:val="00A879C7"/>
    <w:rsid w:val="00A91972"/>
    <w:rsid w:val="00A91A45"/>
    <w:rsid w:val="00A91F99"/>
    <w:rsid w:val="00A94FAA"/>
    <w:rsid w:val="00A961C0"/>
    <w:rsid w:val="00A978CE"/>
    <w:rsid w:val="00A97B58"/>
    <w:rsid w:val="00AA062B"/>
    <w:rsid w:val="00AA1B58"/>
    <w:rsid w:val="00AA2175"/>
    <w:rsid w:val="00AA27D1"/>
    <w:rsid w:val="00AA543B"/>
    <w:rsid w:val="00AA5B94"/>
    <w:rsid w:val="00AA72A3"/>
    <w:rsid w:val="00AB0402"/>
    <w:rsid w:val="00AB0617"/>
    <w:rsid w:val="00AB07B5"/>
    <w:rsid w:val="00AB2AAA"/>
    <w:rsid w:val="00AB2FAF"/>
    <w:rsid w:val="00AB351C"/>
    <w:rsid w:val="00AB55A6"/>
    <w:rsid w:val="00AB5F77"/>
    <w:rsid w:val="00AC2C41"/>
    <w:rsid w:val="00AC3186"/>
    <w:rsid w:val="00AC3684"/>
    <w:rsid w:val="00AC4EEC"/>
    <w:rsid w:val="00AC5B32"/>
    <w:rsid w:val="00AD0E39"/>
    <w:rsid w:val="00AD22C8"/>
    <w:rsid w:val="00AD2F56"/>
    <w:rsid w:val="00AD321D"/>
    <w:rsid w:val="00AD324B"/>
    <w:rsid w:val="00AD4618"/>
    <w:rsid w:val="00AD510E"/>
    <w:rsid w:val="00AE0155"/>
    <w:rsid w:val="00AE0C56"/>
    <w:rsid w:val="00AE1735"/>
    <w:rsid w:val="00AE21F0"/>
    <w:rsid w:val="00AE2FAA"/>
    <w:rsid w:val="00AE4313"/>
    <w:rsid w:val="00AE57D6"/>
    <w:rsid w:val="00AE6FA6"/>
    <w:rsid w:val="00AE78CF"/>
    <w:rsid w:val="00AF0E32"/>
    <w:rsid w:val="00AF163D"/>
    <w:rsid w:val="00AF174E"/>
    <w:rsid w:val="00AF2893"/>
    <w:rsid w:val="00AF5420"/>
    <w:rsid w:val="00AF5871"/>
    <w:rsid w:val="00AF6025"/>
    <w:rsid w:val="00B049F2"/>
    <w:rsid w:val="00B04D8D"/>
    <w:rsid w:val="00B04FFC"/>
    <w:rsid w:val="00B05436"/>
    <w:rsid w:val="00B05F3B"/>
    <w:rsid w:val="00B06B4E"/>
    <w:rsid w:val="00B071C2"/>
    <w:rsid w:val="00B072C4"/>
    <w:rsid w:val="00B11596"/>
    <w:rsid w:val="00B11F8D"/>
    <w:rsid w:val="00B1247A"/>
    <w:rsid w:val="00B14993"/>
    <w:rsid w:val="00B216E5"/>
    <w:rsid w:val="00B22339"/>
    <w:rsid w:val="00B254E3"/>
    <w:rsid w:val="00B26B14"/>
    <w:rsid w:val="00B27012"/>
    <w:rsid w:val="00B302CF"/>
    <w:rsid w:val="00B31DF6"/>
    <w:rsid w:val="00B32324"/>
    <w:rsid w:val="00B345C9"/>
    <w:rsid w:val="00B34FB9"/>
    <w:rsid w:val="00B35AFE"/>
    <w:rsid w:val="00B36093"/>
    <w:rsid w:val="00B368BB"/>
    <w:rsid w:val="00B41B2E"/>
    <w:rsid w:val="00B44048"/>
    <w:rsid w:val="00B5180C"/>
    <w:rsid w:val="00B51D9F"/>
    <w:rsid w:val="00B52D6A"/>
    <w:rsid w:val="00B52F74"/>
    <w:rsid w:val="00B53A4C"/>
    <w:rsid w:val="00B53DF8"/>
    <w:rsid w:val="00B54129"/>
    <w:rsid w:val="00B542AA"/>
    <w:rsid w:val="00B56990"/>
    <w:rsid w:val="00B609C9"/>
    <w:rsid w:val="00B61A59"/>
    <w:rsid w:val="00B62291"/>
    <w:rsid w:val="00B63BD0"/>
    <w:rsid w:val="00B6683B"/>
    <w:rsid w:val="00B67B50"/>
    <w:rsid w:val="00B701D5"/>
    <w:rsid w:val="00B70263"/>
    <w:rsid w:val="00B70A5D"/>
    <w:rsid w:val="00B71392"/>
    <w:rsid w:val="00B7142C"/>
    <w:rsid w:val="00B71716"/>
    <w:rsid w:val="00B71A54"/>
    <w:rsid w:val="00B71CD4"/>
    <w:rsid w:val="00B72584"/>
    <w:rsid w:val="00B73788"/>
    <w:rsid w:val="00B75562"/>
    <w:rsid w:val="00B7583B"/>
    <w:rsid w:val="00B75E7E"/>
    <w:rsid w:val="00B769EC"/>
    <w:rsid w:val="00B76FD3"/>
    <w:rsid w:val="00B805B7"/>
    <w:rsid w:val="00B82325"/>
    <w:rsid w:val="00B83116"/>
    <w:rsid w:val="00B84B8E"/>
    <w:rsid w:val="00B85195"/>
    <w:rsid w:val="00B851B7"/>
    <w:rsid w:val="00B8617F"/>
    <w:rsid w:val="00B93477"/>
    <w:rsid w:val="00B934EC"/>
    <w:rsid w:val="00B9663C"/>
    <w:rsid w:val="00B966C1"/>
    <w:rsid w:val="00BA1A62"/>
    <w:rsid w:val="00BA1C5E"/>
    <w:rsid w:val="00BA6F2F"/>
    <w:rsid w:val="00BB06D8"/>
    <w:rsid w:val="00BB30B8"/>
    <w:rsid w:val="00BB4A20"/>
    <w:rsid w:val="00BB4C9E"/>
    <w:rsid w:val="00BB521D"/>
    <w:rsid w:val="00BB593E"/>
    <w:rsid w:val="00BB5974"/>
    <w:rsid w:val="00BC0524"/>
    <w:rsid w:val="00BC2702"/>
    <w:rsid w:val="00BC2866"/>
    <w:rsid w:val="00BC5701"/>
    <w:rsid w:val="00BC6433"/>
    <w:rsid w:val="00BC765E"/>
    <w:rsid w:val="00BD09CD"/>
    <w:rsid w:val="00BD0CB5"/>
    <w:rsid w:val="00BD155F"/>
    <w:rsid w:val="00BD1D91"/>
    <w:rsid w:val="00BD61D4"/>
    <w:rsid w:val="00BD6B56"/>
    <w:rsid w:val="00BE2977"/>
    <w:rsid w:val="00BE3B61"/>
    <w:rsid w:val="00BE3D9E"/>
    <w:rsid w:val="00BE404A"/>
    <w:rsid w:val="00BE44D9"/>
    <w:rsid w:val="00BE627D"/>
    <w:rsid w:val="00BE6377"/>
    <w:rsid w:val="00BF11CD"/>
    <w:rsid w:val="00BF1E4A"/>
    <w:rsid w:val="00BF28DD"/>
    <w:rsid w:val="00BF3371"/>
    <w:rsid w:val="00BF34D7"/>
    <w:rsid w:val="00BF4BC9"/>
    <w:rsid w:val="00BF6F21"/>
    <w:rsid w:val="00C00E8A"/>
    <w:rsid w:val="00C03A6C"/>
    <w:rsid w:val="00C11BD0"/>
    <w:rsid w:val="00C12E62"/>
    <w:rsid w:val="00C12EB1"/>
    <w:rsid w:val="00C12F6A"/>
    <w:rsid w:val="00C13AF8"/>
    <w:rsid w:val="00C13D04"/>
    <w:rsid w:val="00C1623C"/>
    <w:rsid w:val="00C177E8"/>
    <w:rsid w:val="00C20712"/>
    <w:rsid w:val="00C2146A"/>
    <w:rsid w:val="00C22D6A"/>
    <w:rsid w:val="00C239B3"/>
    <w:rsid w:val="00C23B94"/>
    <w:rsid w:val="00C2433C"/>
    <w:rsid w:val="00C253E9"/>
    <w:rsid w:val="00C25A93"/>
    <w:rsid w:val="00C274BD"/>
    <w:rsid w:val="00C321A9"/>
    <w:rsid w:val="00C3278B"/>
    <w:rsid w:val="00C34597"/>
    <w:rsid w:val="00C36797"/>
    <w:rsid w:val="00C36917"/>
    <w:rsid w:val="00C36F35"/>
    <w:rsid w:val="00C40EA6"/>
    <w:rsid w:val="00C43761"/>
    <w:rsid w:val="00C44716"/>
    <w:rsid w:val="00C45034"/>
    <w:rsid w:val="00C53727"/>
    <w:rsid w:val="00C57397"/>
    <w:rsid w:val="00C57B84"/>
    <w:rsid w:val="00C609AB"/>
    <w:rsid w:val="00C6102D"/>
    <w:rsid w:val="00C63DE7"/>
    <w:rsid w:val="00C64087"/>
    <w:rsid w:val="00C64396"/>
    <w:rsid w:val="00C643B5"/>
    <w:rsid w:val="00C66777"/>
    <w:rsid w:val="00C7186D"/>
    <w:rsid w:val="00C71941"/>
    <w:rsid w:val="00C72C2A"/>
    <w:rsid w:val="00C72F6A"/>
    <w:rsid w:val="00C74873"/>
    <w:rsid w:val="00C76A81"/>
    <w:rsid w:val="00C777BB"/>
    <w:rsid w:val="00C77D09"/>
    <w:rsid w:val="00C80B65"/>
    <w:rsid w:val="00C81183"/>
    <w:rsid w:val="00C8343C"/>
    <w:rsid w:val="00C857CB"/>
    <w:rsid w:val="00C86B39"/>
    <w:rsid w:val="00C8702D"/>
    <w:rsid w:val="00C872AD"/>
    <w:rsid w:val="00C8740F"/>
    <w:rsid w:val="00C87500"/>
    <w:rsid w:val="00C90030"/>
    <w:rsid w:val="00C9218F"/>
    <w:rsid w:val="00C9481F"/>
    <w:rsid w:val="00C94900"/>
    <w:rsid w:val="00C9492F"/>
    <w:rsid w:val="00C9597F"/>
    <w:rsid w:val="00C95CA3"/>
    <w:rsid w:val="00C96A73"/>
    <w:rsid w:val="00CA0D59"/>
    <w:rsid w:val="00CA1B38"/>
    <w:rsid w:val="00CA2335"/>
    <w:rsid w:val="00CA3150"/>
    <w:rsid w:val="00CA70B5"/>
    <w:rsid w:val="00CA788D"/>
    <w:rsid w:val="00CB00C8"/>
    <w:rsid w:val="00CB1CAF"/>
    <w:rsid w:val="00CB2451"/>
    <w:rsid w:val="00CB3E62"/>
    <w:rsid w:val="00CB72E8"/>
    <w:rsid w:val="00CB7E7F"/>
    <w:rsid w:val="00CC28CB"/>
    <w:rsid w:val="00CC50AC"/>
    <w:rsid w:val="00CC5409"/>
    <w:rsid w:val="00CC588F"/>
    <w:rsid w:val="00CD0AD6"/>
    <w:rsid w:val="00CE03AF"/>
    <w:rsid w:val="00CE09B9"/>
    <w:rsid w:val="00CE164C"/>
    <w:rsid w:val="00CE21C0"/>
    <w:rsid w:val="00CE33F7"/>
    <w:rsid w:val="00CE4993"/>
    <w:rsid w:val="00CE64C8"/>
    <w:rsid w:val="00CF5D33"/>
    <w:rsid w:val="00CF5E76"/>
    <w:rsid w:val="00D02B48"/>
    <w:rsid w:val="00D02B49"/>
    <w:rsid w:val="00D03457"/>
    <w:rsid w:val="00D045EB"/>
    <w:rsid w:val="00D06D48"/>
    <w:rsid w:val="00D1120A"/>
    <w:rsid w:val="00D1247A"/>
    <w:rsid w:val="00D125BE"/>
    <w:rsid w:val="00D13B5E"/>
    <w:rsid w:val="00D14125"/>
    <w:rsid w:val="00D14A9A"/>
    <w:rsid w:val="00D20B24"/>
    <w:rsid w:val="00D20E67"/>
    <w:rsid w:val="00D24692"/>
    <w:rsid w:val="00D271C5"/>
    <w:rsid w:val="00D31219"/>
    <w:rsid w:val="00D33033"/>
    <w:rsid w:val="00D3401D"/>
    <w:rsid w:val="00D34AF2"/>
    <w:rsid w:val="00D354A3"/>
    <w:rsid w:val="00D41B9A"/>
    <w:rsid w:val="00D41BD8"/>
    <w:rsid w:val="00D423EB"/>
    <w:rsid w:val="00D43FA6"/>
    <w:rsid w:val="00D472F2"/>
    <w:rsid w:val="00D509A1"/>
    <w:rsid w:val="00D51F5E"/>
    <w:rsid w:val="00D52256"/>
    <w:rsid w:val="00D555DA"/>
    <w:rsid w:val="00D565A6"/>
    <w:rsid w:val="00D5794E"/>
    <w:rsid w:val="00D57E40"/>
    <w:rsid w:val="00D617F7"/>
    <w:rsid w:val="00D62C2E"/>
    <w:rsid w:val="00D62EDF"/>
    <w:rsid w:val="00D6454D"/>
    <w:rsid w:val="00D649BB"/>
    <w:rsid w:val="00D661D3"/>
    <w:rsid w:val="00D663B8"/>
    <w:rsid w:val="00D6793B"/>
    <w:rsid w:val="00D71A36"/>
    <w:rsid w:val="00D71D6F"/>
    <w:rsid w:val="00D72799"/>
    <w:rsid w:val="00D737C6"/>
    <w:rsid w:val="00D77DA4"/>
    <w:rsid w:val="00D8275A"/>
    <w:rsid w:val="00D83921"/>
    <w:rsid w:val="00D8668C"/>
    <w:rsid w:val="00D87735"/>
    <w:rsid w:val="00D92DAA"/>
    <w:rsid w:val="00D931C1"/>
    <w:rsid w:val="00D93681"/>
    <w:rsid w:val="00D948CC"/>
    <w:rsid w:val="00D94989"/>
    <w:rsid w:val="00D94A32"/>
    <w:rsid w:val="00D9544B"/>
    <w:rsid w:val="00DA0220"/>
    <w:rsid w:val="00DA29EB"/>
    <w:rsid w:val="00DA2AFA"/>
    <w:rsid w:val="00DA7C6D"/>
    <w:rsid w:val="00DB1128"/>
    <w:rsid w:val="00DB17BE"/>
    <w:rsid w:val="00DB1B07"/>
    <w:rsid w:val="00DB1F73"/>
    <w:rsid w:val="00DB3361"/>
    <w:rsid w:val="00DB5D1C"/>
    <w:rsid w:val="00DB7498"/>
    <w:rsid w:val="00DB7937"/>
    <w:rsid w:val="00DC0EFA"/>
    <w:rsid w:val="00DC0FE3"/>
    <w:rsid w:val="00DC3A26"/>
    <w:rsid w:val="00DC4BAE"/>
    <w:rsid w:val="00DC54EE"/>
    <w:rsid w:val="00DC5D10"/>
    <w:rsid w:val="00DC5DDD"/>
    <w:rsid w:val="00DC686E"/>
    <w:rsid w:val="00DD0F21"/>
    <w:rsid w:val="00DD67E3"/>
    <w:rsid w:val="00DE265F"/>
    <w:rsid w:val="00DE480E"/>
    <w:rsid w:val="00DE5FBE"/>
    <w:rsid w:val="00DE6238"/>
    <w:rsid w:val="00DF1009"/>
    <w:rsid w:val="00DF17F6"/>
    <w:rsid w:val="00DF1C9F"/>
    <w:rsid w:val="00DF31AB"/>
    <w:rsid w:val="00DF321F"/>
    <w:rsid w:val="00DF351C"/>
    <w:rsid w:val="00DF659D"/>
    <w:rsid w:val="00DF7A93"/>
    <w:rsid w:val="00E00A10"/>
    <w:rsid w:val="00E010AD"/>
    <w:rsid w:val="00E04242"/>
    <w:rsid w:val="00E04282"/>
    <w:rsid w:val="00E049CB"/>
    <w:rsid w:val="00E104FE"/>
    <w:rsid w:val="00E11244"/>
    <w:rsid w:val="00E13764"/>
    <w:rsid w:val="00E14351"/>
    <w:rsid w:val="00E14DAA"/>
    <w:rsid w:val="00E15353"/>
    <w:rsid w:val="00E15A0F"/>
    <w:rsid w:val="00E16CAE"/>
    <w:rsid w:val="00E17157"/>
    <w:rsid w:val="00E20646"/>
    <w:rsid w:val="00E209C9"/>
    <w:rsid w:val="00E21E0D"/>
    <w:rsid w:val="00E227A9"/>
    <w:rsid w:val="00E2401A"/>
    <w:rsid w:val="00E32922"/>
    <w:rsid w:val="00E34005"/>
    <w:rsid w:val="00E34691"/>
    <w:rsid w:val="00E351EE"/>
    <w:rsid w:val="00E42A9D"/>
    <w:rsid w:val="00E43429"/>
    <w:rsid w:val="00E4482B"/>
    <w:rsid w:val="00E44A05"/>
    <w:rsid w:val="00E46043"/>
    <w:rsid w:val="00E467F1"/>
    <w:rsid w:val="00E50052"/>
    <w:rsid w:val="00E515DB"/>
    <w:rsid w:val="00E51E30"/>
    <w:rsid w:val="00E526D7"/>
    <w:rsid w:val="00E5417D"/>
    <w:rsid w:val="00E54F7C"/>
    <w:rsid w:val="00E55804"/>
    <w:rsid w:val="00E63501"/>
    <w:rsid w:val="00E63724"/>
    <w:rsid w:val="00E65A82"/>
    <w:rsid w:val="00E672B6"/>
    <w:rsid w:val="00E674DD"/>
    <w:rsid w:val="00E67689"/>
    <w:rsid w:val="00E67B22"/>
    <w:rsid w:val="00E738C7"/>
    <w:rsid w:val="00E74E2A"/>
    <w:rsid w:val="00E74EF9"/>
    <w:rsid w:val="00E75140"/>
    <w:rsid w:val="00E75DB3"/>
    <w:rsid w:val="00E76461"/>
    <w:rsid w:val="00E800E7"/>
    <w:rsid w:val="00E81323"/>
    <w:rsid w:val="00E85E3D"/>
    <w:rsid w:val="00E9176B"/>
    <w:rsid w:val="00E91AFB"/>
    <w:rsid w:val="00E95FFC"/>
    <w:rsid w:val="00E96985"/>
    <w:rsid w:val="00E96BC9"/>
    <w:rsid w:val="00E974ED"/>
    <w:rsid w:val="00EA10A7"/>
    <w:rsid w:val="00EA3D36"/>
    <w:rsid w:val="00EA406E"/>
    <w:rsid w:val="00EA43AC"/>
    <w:rsid w:val="00EA43E9"/>
    <w:rsid w:val="00EA52D3"/>
    <w:rsid w:val="00EA73CE"/>
    <w:rsid w:val="00EB0246"/>
    <w:rsid w:val="00EB1054"/>
    <w:rsid w:val="00EB2329"/>
    <w:rsid w:val="00EB5B67"/>
    <w:rsid w:val="00EB5D8D"/>
    <w:rsid w:val="00EB7E75"/>
    <w:rsid w:val="00EC4AEB"/>
    <w:rsid w:val="00EC5CFB"/>
    <w:rsid w:val="00EC7DFB"/>
    <w:rsid w:val="00ED001F"/>
    <w:rsid w:val="00ED043A"/>
    <w:rsid w:val="00ED23DC"/>
    <w:rsid w:val="00ED3727"/>
    <w:rsid w:val="00ED3DDF"/>
    <w:rsid w:val="00ED3FF4"/>
    <w:rsid w:val="00ED4408"/>
    <w:rsid w:val="00ED50F4"/>
    <w:rsid w:val="00ED59E8"/>
    <w:rsid w:val="00ED5F1B"/>
    <w:rsid w:val="00ED7A22"/>
    <w:rsid w:val="00EE1C1A"/>
    <w:rsid w:val="00EE2613"/>
    <w:rsid w:val="00EE45E8"/>
    <w:rsid w:val="00EE521F"/>
    <w:rsid w:val="00EE550A"/>
    <w:rsid w:val="00EE5D23"/>
    <w:rsid w:val="00EE60B4"/>
    <w:rsid w:val="00EF1353"/>
    <w:rsid w:val="00EF1E98"/>
    <w:rsid w:val="00EF3FA5"/>
    <w:rsid w:val="00EF5820"/>
    <w:rsid w:val="00EF7ED2"/>
    <w:rsid w:val="00F03EB2"/>
    <w:rsid w:val="00F06064"/>
    <w:rsid w:val="00F0688F"/>
    <w:rsid w:val="00F06C80"/>
    <w:rsid w:val="00F06F96"/>
    <w:rsid w:val="00F1025A"/>
    <w:rsid w:val="00F11F1E"/>
    <w:rsid w:val="00F124F3"/>
    <w:rsid w:val="00F15BAC"/>
    <w:rsid w:val="00F17130"/>
    <w:rsid w:val="00F202B0"/>
    <w:rsid w:val="00F2061D"/>
    <w:rsid w:val="00F2081A"/>
    <w:rsid w:val="00F22621"/>
    <w:rsid w:val="00F2297F"/>
    <w:rsid w:val="00F23AEF"/>
    <w:rsid w:val="00F240FD"/>
    <w:rsid w:val="00F25C5F"/>
    <w:rsid w:val="00F3039A"/>
    <w:rsid w:val="00F31AC7"/>
    <w:rsid w:val="00F31B5A"/>
    <w:rsid w:val="00F33055"/>
    <w:rsid w:val="00F3447D"/>
    <w:rsid w:val="00F35060"/>
    <w:rsid w:val="00F35EDC"/>
    <w:rsid w:val="00F409F6"/>
    <w:rsid w:val="00F41AFD"/>
    <w:rsid w:val="00F44AA3"/>
    <w:rsid w:val="00F44F4A"/>
    <w:rsid w:val="00F52061"/>
    <w:rsid w:val="00F529A7"/>
    <w:rsid w:val="00F52C90"/>
    <w:rsid w:val="00F537DE"/>
    <w:rsid w:val="00F56ED0"/>
    <w:rsid w:val="00F60F45"/>
    <w:rsid w:val="00F62916"/>
    <w:rsid w:val="00F62EDE"/>
    <w:rsid w:val="00F63D9A"/>
    <w:rsid w:val="00F656E6"/>
    <w:rsid w:val="00F659A3"/>
    <w:rsid w:val="00F65B7F"/>
    <w:rsid w:val="00F66B84"/>
    <w:rsid w:val="00F719BB"/>
    <w:rsid w:val="00F71EAA"/>
    <w:rsid w:val="00F72515"/>
    <w:rsid w:val="00F731F4"/>
    <w:rsid w:val="00F73FB8"/>
    <w:rsid w:val="00F7417F"/>
    <w:rsid w:val="00F75C2D"/>
    <w:rsid w:val="00F765D4"/>
    <w:rsid w:val="00F7673C"/>
    <w:rsid w:val="00F76A76"/>
    <w:rsid w:val="00F81507"/>
    <w:rsid w:val="00F8244D"/>
    <w:rsid w:val="00F83807"/>
    <w:rsid w:val="00F855E3"/>
    <w:rsid w:val="00F86089"/>
    <w:rsid w:val="00F90DAE"/>
    <w:rsid w:val="00F9346C"/>
    <w:rsid w:val="00F9592C"/>
    <w:rsid w:val="00F96509"/>
    <w:rsid w:val="00F96B81"/>
    <w:rsid w:val="00F97091"/>
    <w:rsid w:val="00FA02D2"/>
    <w:rsid w:val="00FA086F"/>
    <w:rsid w:val="00FA1763"/>
    <w:rsid w:val="00FA23F4"/>
    <w:rsid w:val="00FA2AB2"/>
    <w:rsid w:val="00FA4E5A"/>
    <w:rsid w:val="00FA5402"/>
    <w:rsid w:val="00FA7934"/>
    <w:rsid w:val="00FB0279"/>
    <w:rsid w:val="00FB3C87"/>
    <w:rsid w:val="00FB7267"/>
    <w:rsid w:val="00FB743C"/>
    <w:rsid w:val="00FB7F3D"/>
    <w:rsid w:val="00FC47D8"/>
    <w:rsid w:val="00FC6446"/>
    <w:rsid w:val="00FC6E8D"/>
    <w:rsid w:val="00FC7304"/>
    <w:rsid w:val="00FC78A3"/>
    <w:rsid w:val="00FC7AFB"/>
    <w:rsid w:val="00FD1D1E"/>
    <w:rsid w:val="00FD307B"/>
    <w:rsid w:val="00FD584D"/>
    <w:rsid w:val="00FD5B87"/>
    <w:rsid w:val="00FD6769"/>
    <w:rsid w:val="00FE1DB0"/>
    <w:rsid w:val="00FE254F"/>
    <w:rsid w:val="00FE2CCD"/>
    <w:rsid w:val="00FE2D50"/>
    <w:rsid w:val="00FE3227"/>
    <w:rsid w:val="00FE5CF5"/>
    <w:rsid w:val="00FE68E4"/>
    <w:rsid w:val="00FE7076"/>
    <w:rsid w:val="00FE7397"/>
    <w:rsid w:val="00FF2DFA"/>
    <w:rsid w:val="00FF34A3"/>
    <w:rsid w:val="00FF3AB1"/>
    <w:rsid w:val="00FF439D"/>
    <w:rsid w:val="00FF5110"/>
    <w:rsid w:val="00FF5FD9"/>
    <w:rsid w:val="00FF6395"/>
    <w:rsid w:val="00FF6640"/>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2B3F7"/>
  <w15:docId w15:val="{66D83691-B538-4901-92F6-A39F0325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C46"/>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rsid w:val="00DB7498"/>
    <w:rPr>
      <w:vertAlign w:val="superscript"/>
    </w:rPr>
  </w:style>
  <w:style w:type="character" w:styleId="UnresolvedMention">
    <w:name w:val="Unresolved Mention"/>
    <w:basedOn w:val="DefaultParagraphFont"/>
    <w:uiPriority w:val="99"/>
    <w:semiHidden/>
    <w:unhideWhenUsed/>
    <w:rsid w:val="006D40BA"/>
    <w:rPr>
      <w:color w:val="605E5C"/>
      <w:shd w:val="clear" w:color="auto" w:fill="E1DFDD"/>
    </w:rPr>
  </w:style>
  <w:style w:type="paragraph" w:styleId="Revision">
    <w:name w:val="Revision"/>
    <w:hidden/>
    <w:uiPriority w:val="99"/>
    <w:semiHidden/>
    <w:rsid w:val="00D34AF2"/>
    <w:rPr>
      <w:rFonts w:ascii="Verdana" w:hAnsi="Verdana"/>
      <w:sz w:val="22"/>
    </w:rPr>
  </w:style>
  <w:style w:type="paragraph" w:styleId="EndnoteText">
    <w:name w:val="endnote text"/>
    <w:basedOn w:val="Normal"/>
    <w:link w:val="EndnoteTextChar"/>
    <w:semiHidden/>
    <w:unhideWhenUsed/>
    <w:rsid w:val="00611DC0"/>
    <w:rPr>
      <w:sz w:val="20"/>
    </w:rPr>
  </w:style>
  <w:style w:type="character" w:customStyle="1" w:styleId="EndnoteTextChar">
    <w:name w:val="Endnote Text Char"/>
    <w:basedOn w:val="DefaultParagraphFont"/>
    <w:link w:val="EndnoteText"/>
    <w:semiHidden/>
    <w:rsid w:val="00611DC0"/>
    <w:rPr>
      <w:rFonts w:ascii="Verdana" w:hAnsi="Verdana"/>
    </w:rPr>
  </w:style>
  <w:style w:type="character" w:styleId="EndnoteReference">
    <w:name w:val="endnote reference"/>
    <w:basedOn w:val="DefaultParagraphFont"/>
    <w:semiHidden/>
    <w:unhideWhenUsed/>
    <w:rsid w:val="00611D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83352">
      <w:bodyDiv w:val="1"/>
      <w:marLeft w:val="0"/>
      <w:marRight w:val="0"/>
      <w:marTop w:val="0"/>
      <w:marBottom w:val="0"/>
      <w:divBdr>
        <w:top w:val="none" w:sz="0" w:space="0" w:color="auto"/>
        <w:left w:val="none" w:sz="0" w:space="0" w:color="auto"/>
        <w:bottom w:val="none" w:sz="0" w:space="0" w:color="auto"/>
        <w:right w:val="none" w:sz="0" w:space="0" w:color="auto"/>
      </w:divBdr>
      <w:divsChild>
        <w:div w:id="44531396">
          <w:marLeft w:val="0"/>
          <w:marRight w:val="0"/>
          <w:marTop w:val="0"/>
          <w:marBottom w:val="0"/>
          <w:divBdr>
            <w:top w:val="none" w:sz="0" w:space="0" w:color="auto"/>
            <w:left w:val="none" w:sz="0" w:space="0" w:color="auto"/>
            <w:bottom w:val="none" w:sz="0" w:space="0" w:color="auto"/>
            <w:right w:val="none" w:sz="0" w:space="0" w:color="auto"/>
          </w:divBdr>
          <w:divsChild>
            <w:div w:id="1952082951">
              <w:marLeft w:val="0"/>
              <w:marRight w:val="0"/>
              <w:marTop w:val="0"/>
              <w:marBottom w:val="0"/>
              <w:divBdr>
                <w:top w:val="none" w:sz="0" w:space="0" w:color="auto"/>
                <w:left w:val="none" w:sz="0" w:space="0" w:color="auto"/>
                <w:bottom w:val="none" w:sz="0" w:space="0" w:color="auto"/>
                <w:right w:val="none" w:sz="0" w:space="0" w:color="auto"/>
              </w:divBdr>
              <w:divsChild>
                <w:div w:id="679889661">
                  <w:marLeft w:val="0"/>
                  <w:marRight w:val="0"/>
                  <w:marTop w:val="240"/>
                  <w:marBottom w:val="0"/>
                  <w:divBdr>
                    <w:top w:val="none" w:sz="0" w:space="0" w:color="auto"/>
                    <w:left w:val="none" w:sz="0" w:space="0" w:color="auto"/>
                    <w:bottom w:val="none" w:sz="0" w:space="0" w:color="auto"/>
                    <w:right w:val="none" w:sz="0" w:space="0" w:color="auto"/>
                  </w:divBdr>
                  <w:divsChild>
                    <w:div w:id="644820276">
                      <w:marLeft w:val="0"/>
                      <w:marRight w:val="0"/>
                      <w:marTop w:val="0"/>
                      <w:marBottom w:val="0"/>
                      <w:divBdr>
                        <w:top w:val="none" w:sz="0" w:space="0" w:color="auto"/>
                        <w:left w:val="none" w:sz="0" w:space="0" w:color="auto"/>
                        <w:bottom w:val="none" w:sz="0" w:space="0" w:color="auto"/>
                        <w:right w:val="none" w:sz="0" w:space="0" w:color="auto"/>
                      </w:divBdr>
                    </w:div>
                  </w:divsChild>
                </w:div>
                <w:div w:id="1701390756">
                  <w:marLeft w:val="0"/>
                  <w:marRight w:val="0"/>
                  <w:marTop w:val="0"/>
                  <w:marBottom w:val="0"/>
                  <w:divBdr>
                    <w:top w:val="none" w:sz="0" w:space="0" w:color="auto"/>
                    <w:left w:val="none" w:sz="0" w:space="0" w:color="auto"/>
                    <w:bottom w:val="none" w:sz="0" w:space="0" w:color="auto"/>
                    <w:right w:val="none" w:sz="0" w:space="0" w:color="auto"/>
                  </w:divBdr>
                  <w:divsChild>
                    <w:div w:id="1636331797">
                      <w:marLeft w:val="0"/>
                      <w:marRight w:val="0"/>
                      <w:marTop w:val="0"/>
                      <w:marBottom w:val="0"/>
                      <w:divBdr>
                        <w:top w:val="none" w:sz="0" w:space="0" w:color="auto"/>
                        <w:left w:val="none" w:sz="0" w:space="0" w:color="auto"/>
                        <w:bottom w:val="none" w:sz="0" w:space="0" w:color="auto"/>
                        <w:right w:val="none" w:sz="0" w:space="0" w:color="auto"/>
                      </w:divBdr>
                    </w:div>
                  </w:divsChild>
                </w:div>
                <w:div w:id="1403061221">
                  <w:marLeft w:val="0"/>
                  <w:marRight w:val="0"/>
                  <w:marTop w:val="0"/>
                  <w:marBottom w:val="0"/>
                  <w:divBdr>
                    <w:top w:val="none" w:sz="0" w:space="0" w:color="auto"/>
                    <w:left w:val="none" w:sz="0" w:space="0" w:color="auto"/>
                    <w:bottom w:val="none" w:sz="0" w:space="0" w:color="auto"/>
                    <w:right w:val="none" w:sz="0" w:space="0" w:color="auto"/>
                  </w:divBdr>
                  <w:divsChild>
                    <w:div w:id="208423759">
                      <w:marLeft w:val="0"/>
                      <w:marRight w:val="60"/>
                      <w:marTop w:val="0"/>
                      <w:marBottom w:val="0"/>
                      <w:divBdr>
                        <w:top w:val="none" w:sz="0" w:space="0" w:color="auto"/>
                        <w:left w:val="none" w:sz="0" w:space="0" w:color="auto"/>
                        <w:bottom w:val="none" w:sz="0" w:space="0" w:color="auto"/>
                        <w:right w:val="none" w:sz="0" w:space="0" w:color="auto"/>
                      </w:divBdr>
                    </w:div>
                    <w:div w:id="8393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70732">
          <w:marLeft w:val="0"/>
          <w:marRight w:val="240"/>
          <w:marTop w:val="0"/>
          <w:marBottom w:val="0"/>
          <w:divBdr>
            <w:top w:val="none" w:sz="0" w:space="0" w:color="auto"/>
            <w:left w:val="none" w:sz="0" w:space="0" w:color="auto"/>
            <w:bottom w:val="none" w:sz="0" w:space="0" w:color="auto"/>
            <w:right w:val="none" w:sz="0" w:space="0" w:color="auto"/>
          </w:divBdr>
          <w:divsChild>
            <w:div w:id="659582197">
              <w:marLeft w:val="0"/>
              <w:marRight w:val="0"/>
              <w:marTop w:val="0"/>
              <w:marBottom w:val="120"/>
              <w:divBdr>
                <w:top w:val="none" w:sz="0" w:space="0" w:color="auto"/>
                <w:left w:val="none" w:sz="0" w:space="0" w:color="auto"/>
                <w:bottom w:val="none" w:sz="0" w:space="0" w:color="auto"/>
                <w:right w:val="none" w:sz="0" w:space="0" w:color="auto"/>
              </w:divBdr>
              <w:divsChild>
                <w:div w:id="1172986110">
                  <w:marLeft w:val="0"/>
                  <w:marRight w:val="0"/>
                  <w:marTop w:val="0"/>
                  <w:marBottom w:val="0"/>
                  <w:divBdr>
                    <w:top w:val="none" w:sz="0" w:space="0" w:color="auto"/>
                    <w:left w:val="none" w:sz="0" w:space="0" w:color="auto"/>
                    <w:bottom w:val="none" w:sz="0" w:space="0" w:color="auto"/>
                    <w:right w:val="none" w:sz="0" w:space="0" w:color="auto"/>
                  </w:divBdr>
                </w:div>
              </w:divsChild>
            </w:div>
            <w:div w:id="943078189">
              <w:marLeft w:val="0"/>
              <w:marRight w:val="0"/>
              <w:marTop w:val="0"/>
              <w:marBottom w:val="120"/>
              <w:divBdr>
                <w:top w:val="none" w:sz="0" w:space="0" w:color="auto"/>
                <w:left w:val="none" w:sz="0" w:space="0" w:color="auto"/>
                <w:bottom w:val="none" w:sz="0" w:space="0" w:color="auto"/>
                <w:right w:val="none" w:sz="0" w:space="0" w:color="auto"/>
              </w:divBdr>
              <w:divsChild>
                <w:div w:id="4700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3443">
      <w:bodyDiv w:val="1"/>
      <w:marLeft w:val="0"/>
      <w:marRight w:val="0"/>
      <w:marTop w:val="0"/>
      <w:marBottom w:val="0"/>
      <w:divBdr>
        <w:top w:val="none" w:sz="0" w:space="0" w:color="auto"/>
        <w:left w:val="none" w:sz="0" w:space="0" w:color="auto"/>
        <w:bottom w:val="none" w:sz="0" w:space="0" w:color="auto"/>
        <w:right w:val="none" w:sz="0" w:space="0" w:color="auto"/>
      </w:divBdr>
    </w:div>
    <w:div w:id="656307032">
      <w:bodyDiv w:val="1"/>
      <w:marLeft w:val="0"/>
      <w:marRight w:val="0"/>
      <w:marTop w:val="0"/>
      <w:marBottom w:val="0"/>
      <w:divBdr>
        <w:top w:val="none" w:sz="0" w:space="0" w:color="auto"/>
        <w:left w:val="none" w:sz="0" w:space="0" w:color="auto"/>
        <w:bottom w:val="none" w:sz="0" w:space="0" w:color="auto"/>
        <w:right w:val="none" w:sz="0" w:space="0" w:color="auto"/>
      </w:divBdr>
      <w:divsChild>
        <w:div w:id="1724407515">
          <w:marLeft w:val="0"/>
          <w:marRight w:val="0"/>
          <w:marTop w:val="225"/>
          <w:marBottom w:val="0"/>
          <w:divBdr>
            <w:top w:val="none" w:sz="0" w:space="0" w:color="auto"/>
            <w:left w:val="none" w:sz="0" w:space="0" w:color="auto"/>
            <w:bottom w:val="none" w:sz="0" w:space="0" w:color="auto"/>
            <w:right w:val="none" w:sz="0" w:space="0" w:color="auto"/>
          </w:divBdr>
        </w:div>
      </w:divsChild>
    </w:div>
    <w:div w:id="770513486">
      <w:bodyDiv w:val="1"/>
      <w:marLeft w:val="0"/>
      <w:marRight w:val="0"/>
      <w:marTop w:val="0"/>
      <w:marBottom w:val="0"/>
      <w:divBdr>
        <w:top w:val="none" w:sz="0" w:space="0" w:color="auto"/>
        <w:left w:val="none" w:sz="0" w:space="0" w:color="auto"/>
        <w:bottom w:val="none" w:sz="0" w:space="0" w:color="auto"/>
        <w:right w:val="none" w:sz="0" w:space="0" w:color="auto"/>
      </w:divBdr>
    </w:div>
    <w:div w:id="90329429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07976345">
      <w:bodyDiv w:val="1"/>
      <w:marLeft w:val="0"/>
      <w:marRight w:val="0"/>
      <w:marTop w:val="0"/>
      <w:marBottom w:val="0"/>
      <w:divBdr>
        <w:top w:val="none" w:sz="0" w:space="0" w:color="auto"/>
        <w:left w:val="none" w:sz="0" w:space="0" w:color="auto"/>
        <w:bottom w:val="none" w:sz="0" w:space="0" w:color="auto"/>
        <w:right w:val="none" w:sz="0" w:space="0" w:color="auto"/>
      </w:divBdr>
    </w:div>
    <w:div w:id="1352337904">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22216727">
      <w:bodyDiv w:val="1"/>
      <w:marLeft w:val="0"/>
      <w:marRight w:val="0"/>
      <w:marTop w:val="0"/>
      <w:marBottom w:val="0"/>
      <w:divBdr>
        <w:top w:val="none" w:sz="0" w:space="0" w:color="auto"/>
        <w:left w:val="none" w:sz="0" w:space="0" w:color="auto"/>
        <w:bottom w:val="none" w:sz="0" w:space="0" w:color="auto"/>
        <w:right w:val="none" w:sz="0" w:space="0" w:color="auto"/>
      </w:divBdr>
    </w:div>
    <w:div w:id="1429961221">
      <w:bodyDiv w:val="1"/>
      <w:marLeft w:val="0"/>
      <w:marRight w:val="0"/>
      <w:marTop w:val="0"/>
      <w:marBottom w:val="0"/>
      <w:divBdr>
        <w:top w:val="none" w:sz="0" w:space="0" w:color="auto"/>
        <w:left w:val="none" w:sz="0" w:space="0" w:color="auto"/>
        <w:bottom w:val="none" w:sz="0" w:space="0" w:color="auto"/>
        <w:right w:val="none" w:sz="0" w:space="0" w:color="auto"/>
      </w:divBdr>
    </w:div>
    <w:div w:id="171812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E4807A-DDDD-4910-8971-E3E67C0866F0}">
  <ds:schemaRefs>
    <ds:schemaRef ds:uri="http://schemas.openxmlformats.org/officeDocument/2006/bibliography"/>
  </ds:schemaRefs>
</ds:datastoreItem>
</file>

<file path=customXml/itemProps2.xml><?xml version="1.0" encoding="utf-8"?>
<ds:datastoreItem xmlns:ds="http://schemas.openxmlformats.org/officeDocument/2006/customXml" ds:itemID="{C7954B85-0E3B-4009-B379-9793B176F65C}">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B787696-2706-41AD-8A7B-21F8A47AA51D}"/>
</file>

<file path=customXml/itemProps4.xml><?xml version="1.0" encoding="utf-8"?>
<ds:datastoreItem xmlns:ds="http://schemas.openxmlformats.org/officeDocument/2006/customXml" ds:itemID="{12A70BC3-9740-4F79-B76C-20FE80163C38}"/>
</file>

<file path=customXml/itemProps5.xml><?xml version="1.0" encoding="utf-8"?>
<ds:datastoreItem xmlns:ds="http://schemas.openxmlformats.org/officeDocument/2006/customXml" ds:itemID="{5C33D0C1-0B67-4F4D-912A-BBE4696B12EA}"/>
</file>

<file path=docProps/app.xml><?xml version="1.0" encoding="utf-8"?>
<Properties xmlns="http://schemas.openxmlformats.org/officeDocument/2006/extended-properties" xmlns:vt="http://schemas.openxmlformats.org/officeDocument/2006/docPropsVTypes">
  <Template>Decisions</Template>
  <TotalTime>17</TotalTime>
  <Pages>14</Pages>
  <Words>5485</Words>
  <Characters>31267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Kean, Grahame</dc:creator>
  <cp:keywords/>
  <dc:description/>
  <cp:lastModifiedBy>Richards, Clive</cp:lastModifiedBy>
  <cp:revision>9</cp:revision>
  <cp:lastPrinted>2019-06-26T17:04:00Z</cp:lastPrinted>
  <dcterms:created xsi:type="dcterms:W3CDTF">2024-11-11T10:46:00Z</dcterms:created>
  <dcterms:modified xsi:type="dcterms:W3CDTF">2024-11-11T11:04:00Z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9da3071a-fffe-4109-aa97-7f02722128d1</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