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4F5B1" w14:textId="0CFC7B62" w:rsidR="00D43EAA" w:rsidRPr="00182566" w:rsidRDefault="00AD15F4" w:rsidP="004A0C5E">
      <w:pPr>
        <w:rPr>
          <w:rFonts w:ascii="Georgia" w:hAnsi="Georgia"/>
          <w:b/>
        </w:rPr>
      </w:pPr>
      <w:r w:rsidRPr="00182566">
        <w:rPr>
          <w:rFonts w:ascii="Georgia" w:hAnsi="Georgia"/>
          <w:noProof/>
        </w:rPr>
        <mc:AlternateContent>
          <mc:Choice Requires="wps">
            <w:drawing>
              <wp:anchor distT="0" distB="0" distL="114300" distR="114300" simplePos="0" relativeHeight="251657728" behindDoc="0" locked="0" layoutInCell="1" allowOverlap="1" wp14:anchorId="3F2E4E1B" wp14:editId="73B1F477">
                <wp:simplePos x="0" y="0"/>
                <wp:positionH relativeFrom="column">
                  <wp:posOffset>2171700</wp:posOffset>
                </wp:positionH>
                <wp:positionV relativeFrom="paragraph">
                  <wp:posOffset>166370</wp:posOffset>
                </wp:positionV>
                <wp:extent cx="3200400" cy="800100"/>
                <wp:effectExtent l="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533EB" w14:textId="77777777" w:rsidR="004B6B61" w:rsidRPr="001A28FC" w:rsidRDefault="004B6B61" w:rsidP="00D43EAA">
                            <w:pPr>
                              <w:pStyle w:val="Title"/>
                              <w:ind w:left="3600" w:hanging="3600"/>
                              <w:jc w:val="left"/>
                              <w:rPr>
                                <w:rFonts w:ascii="Georgia" w:hAnsi="Georgia"/>
                              </w:rPr>
                            </w:pPr>
                            <w:r w:rsidRPr="00BB027F">
                              <w:rPr>
                                <w:rFonts w:ascii="Georgia" w:hAnsi="Georgia"/>
                                <w:sz w:val="24"/>
                              </w:rPr>
                              <w:t xml:space="preserve">FIRST - TIER TRIBUNAL </w:t>
                            </w:r>
                          </w:p>
                          <w:p w14:paraId="32F5C0F9" w14:textId="46135A30" w:rsidR="004B6B61" w:rsidRDefault="004B6B61" w:rsidP="00D43EAA">
                            <w:r w:rsidRPr="00BB027F">
                              <w:rPr>
                                <w:rFonts w:ascii="Georgia" w:hAnsi="Georgia"/>
                                <w:b/>
                              </w:rPr>
                              <w:t>PROPERTY CHAMBER (RESIDENTIAL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E4E1B" id="_x0000_t202" coordsize="21600,21600" o:spt="202" path="m,l,21600r21600,l21600,xe">
                <v:stroke joinstyle="miter"/>
                <v:path gradientshapeok="t" o:connecttype="rect"/>
              </v:shapetype>
              <v:shape id="Text Box 5" o:spid="_x0000_s1026" type="#_x0000_t202" style="position:absolute;margin-left:171pt;margin-top:13.1pt;width:252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" filled="f" stroked="f">
                <v:textbox>
                  <w:txbxContent>
                    <w:p w14:paraId="6C9533EB" w14:textId="77777777" w:rsidR="004B6B61" w:rsidRPr="001A28FC" w:rsidRDefault="004B6B61" w:rsidP="00D43EAA">
                      <w:pPr>
                        <w:pStyle w:val="Title"/>
                        <w:ind w:left="3600" w:hanging="3600"/>
                        <w:jc w:val="left"/>
                        <w:rPr>
                          <w:rFonts w:ascii="Georgia" w:hAnsi="Georgia"/>
                        </w:rPr>
                      </w:pPr>
                      <w:r w:rsidRPr="00BB027F">
                        <w:rPr>
                          <w:rFonts w:ascii="Georgia" w:hAnsi="Georgia"/>
                          <w:sz w:val="24"/>
                        </w:rPr>
                        <w:t xml:space="preserve">FIRST - TIER TRIBUNAL </w:t>
                      </w:r>
                    </w:p>
                    <w:p w14:paraId="32F5C0F9" w14:textId="46135A30" w:rsidR="004B6B61" w:rsidRDefault="004B6B61" w:rsidP="00D43EAA">
                      <w:r w:rsidRPr="00BB027F">
                        <w:rPr>
                          <w:rFonts w:ascii="Georgia" w:hAnsi="Georgia"/>
                          <w:b/>
                        </w:rPr>
                        <w:t>PROPERTY CHAMBER (RESIDENTIAL PROPERTY)</w:t>
                      </w:r>
                    </w:p>
                  </w:txbxContent>
                </v:textbox>
              </v:shape>
            </w:pict>
          </mc:Fallback>
        </mc:AlternateContent>
      </w:r>
      <w:r w:rsidRPr="00182566">
        <w:rPr>
          <w:rFonts w:ascii="Georgia" w:hAnsi="Georgia"/>
          <w:noProof/>
        </w:rPr>
        <w:drawing>
          <wp:inline distT="0" distB="0" distL="0" distR="0" wp14:anchorId="6E7746C6" wp14:editId="73F8A5B2">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r w:rsidR="00D43EAA" w:rsidRPr="00182566">
        <w:rPr>
          <w:rFonts w:ascii="Georgia" w:hAnsi="Georgia"/>
        </w:rPr>
        <w:tab/>
      </w:r>
    </w:p>
    <w:p w14:paraId="667F8B64" w14:textId="77777777" w:rsidR="004A0C5E" w:rsidRPr="00182566" w:rsidRDefault="004A0C5E"/>
    <w:tbl>
      <w:tblPr>
        <w:tblW w:w="8251" w:type="dxa"/>
        <w:tblInd w:w="108" w:type="dxa"/>
        <w:tblLook w:val="04A0" w:firstRow="1" w:lastRow="0" w:firstColumn="1" w:lastColumn="0" w:noHBand="0" w:noVBand="1"/>
      </w:tblPr>
      <w:tblGrid>
        <w:gridCol w:w="3011"/>
        <w:gridCol w:w="425"/>
        <w:gridCol w:w="4815"/>
      </w:tblGrid>
      <w:tr w:rsidR="009B2D97" w:rsidRPr="00182566" w14:paraId="11FB68E0" w14:textId="77777777" w:rsidTr="001D0245">
        <w:tc>
          <w:tcPr>
            <w:tcW w:w="3011" w:type="dxa"/>
          </w:tcPr>
          <w:p w14:paraId="177124E6" w14:textId="5BA1F991" w:rsidR="00276DCD" w:rsidRPr="00182566" w:rsidRDefault="009B2D97" w:rsidP="004A0C5E">
            <w:pPr>
              <w:spacing w:before="240"/>
              <w:rPr>
                <w:rFonts w:ascii="Georgia" w:hAnsi="Georgia" w:cs="Arial"/>
                <w:b/>
                <w:bCs/>
              </w:rPr>
            </w:pPr>
            <w:r w:rsidRPr="00182566">
              <w:rPr>
                <w:rFonts w:ascii="Georgia" w:hAnsi="Georgia" w:cs="Arial"/>
                <w:b/>
                <w:bCs/>
              </w:rPr>
              <w:t>Case Reference</w:t>
            </w:r>
          </w:p>
        </w:tc>
        <w:tc>
          <w:tcPr>
            <w:tcW w:w="425" w:type="dxa"/>
          </w:tcPr>
          <w:p w14:paraId="6AA137AF" w14:textId="77777777" w:rsidR="009B2D97" w:rsidRPr="00182566" w:rsidRDefault="009B2D97" w:rsidP="004A0C5E">
            <w:pPr>
              <w:spacing w:before="240"/>
              <w:rPr>
                <w:rFonts w:ascii="Georgia" w:hAnsi="Georgia"/>
              </w:rPr>
            </w:pPr>
            <w:r w:rsidRPr="00182566">
              <w:rPr>
                <w:rFonts w:ascii="Georgia" w:hAnsi="Georgia" w:cs="Arial"/>
                <w:b/>
                <w:bCs/>
              </w:rPr>
              <w:t>:</w:t>
            </w:r>
          </w:p>
        </w:tc>
        <w:tc>
          <w:tcPr>
            <w:tcW w:w="4815" w:type="dxa"/>
          </w:tcPr>
          <w:p w14:paraId="45E23441" w14:textId="1FFA766C" w:rsidR="009B2D97" w:rsidRPr="00182566" w:rsidRDefault="00BD42EF" w:rsidP="004A0C5E">
            <w:pPr>
              <w:spacing w:before="240"/>
              <w:rPr>
                <w:rFonts w:ascii="Georgia" w:hAnsi="Georgia" w:cs="Arial"/>
                <w:bCs/>
              </w:rPr>
            </w:pPr>
            <w:r w:rsidRPr="00182566">
              <w:rPr>
                <w:rFonts w:ascii="Georgia" w:hAnsi="Georgia"/>
              </w:rPr>
              <w:t>CHI/00HB/HMF/2024/0005</w:t>
            </w:r>
          </w:p>
        </w:tc>
      </w:tr>
      <w:tr w:rsidR="00AE6BCE" w:rsidRPr="00182566" w14:paraId="1C268079" w14:textId="77777777" w:rsidTr="001D0245">
        <w:tc>
          <w:tcPr>
            <w:tcW w:w="3011" w:type="dxa"/>
          </w:tcPr>
          <w:p w14:paraId="273792A8" w14:textId="75C80363" w:rsidR="00AE6BCE" w:rsidRPr="00182566" w:rsidRDefault="00AE6BCE" w:rsidP="00AE6BCE">
            <w:pPr>
              <w:spacing w:before="240"/>
              <w:rPr>
                <w:rFonts w:ascii="Georgia" w:hAnsi="Georgia" w:cs="Arial"/>
                <w:b/>
                <w:bCs/>
              </w:rPr>
            </w:pPr>
            <w:r w:rsidRPr="00182566">
              <w:rPr>
                <w:rFonts w:ascii="Georgia" w:hAnsi="Georgia" w:cs="Arial"/>
                <w:b/>
                <w:bCs/>
              </w:rPr>
              <w:t xml:space="preserve">Property </w:t>
            </w:r>
          </w:p>
        </w:tc>
        <w:tc>
          <w:tcPr>
            <w:tcW w:w="425" w:type="dxa"/>
          </w:tcPr>
          <w:p w14:paraId="1A0200C3" w14:textId="77777777" w:rsidR="00AE6BCE" w:rsidRPr="00182566" w:rsidRDefault="00AE6BCE" w:rsidP="00AE6BCE">
            <w:pPr>
              <w:spacing w:before="240"/>
              <w:rPr>
                <w:rFonts w:ascii="Georgia" w:hAnsi="Georgia"/>
              </w:rPr>
            </w:pPr>
            <w:r w:rsidRPr="00182566">
              <w:rPr>
                <w:rFonts w:ascii="Georgia" w:hAnsi="Georgia" w:cs="Arial"/>
                <w:b/>
                <w:bCs/>
              </w:rPr>
              <w:t>:</w:t>
            </w:r>
          </w:p>
        </w:tc>
        <w:tc>
          <w:tcPr>
            <w:tcW w:w="4815" w:type="dxa"/>
          </w:tcPr>
          <w:p w14:paraId="59E4087D" w14:textId="0B029868" w:rsidR="00AE6BCE" w:rsidRPr="00182566" w:rsidRDefault="00AE6BCE" w:rsidP="00AE6BCE">
            <w:pPr>
              <w:spacing w:before="240"/>
              <w:rPr>
                <w:rFonts w:ascii="Georgia" w:hAnsi="Georgia" w:cs="Arial"/>
                <w:bCs/>
              </w:rPr>
            </w:pPr>
            <w:r w:rsidRPr="00182566">
              <w:rPr>
                <w:rFonts w:ascii="Georgia" w:hAnsi="Georgia"/>
              </w:rPr>
              <w:t xml:space="preserve">First Floor Flat, 140 Wells Road, </w:t>
            </w:r>
            <w:proofErr w:type="spellStart"/>
            <w:r w:rsidRPr="00182566">
              <w:rPr>
                <w:rFonts w:ascii="Georgia" w:hAnsi="Georgia"/>
              </w:rPr>
              <w:t>Totterdown</w:t>
            </w:r>
            <w:proofErr w:type="spellEnd"/>
            <w:r w:rsidRPr="00182566">
              <w:rPr>
                <w:rFonts w:ascii="Georgia" w:hAnsi="Georgia"/>
              </w:rPr>
              <w:t>, Bristol, BS4 2AG</w:t>
            </w:r>
          </w:p>
        </w:tc>
      </w:tr>
      <w:tr w:rsidR="00AE6BCE" w:rsidRPr="00182566" w14:paraId="7D297CD0" w14:textId="77777777" w:rsidTr="001D0245">
        <w:tc>
          <w:tcPr>
            <w:tcW w:w="3011" w:type="dxa"/>
          </w:tcPr>
          <w:p w14:paraId="0C1B6C5D" w14:textId="04516B63" w:rsidR="00AE6BCE" w:rsidRPr="00182566" w:rsidRDefault="00AE6BCE" w:rsidP="00AE6BCE">
            <w:pPr>
              <w:spacing w:before="240"/>
              <w:rPr>
                <w:rFonts w:ascii="Georgia" w:hAnsi="Georgia" w:cs="Arial"/>
                <w:b/>
                <w:bCs/>
              </w:rPr>
            </w:pPr>
            <w:r w:rsidRPr="00182566">
              <w:rPr>
                <w:rFonts w:ascii="Georgia" w:hAnsi="Georgia" w:cs="Arial"/>
                <w:b/>
                <w:bCs/>
              </w:rPr>
              <w:t>Applicant</w:t>
            </w:r>
            <w:r w:rsidR="00A725D1" w:rsidRPr="00182566">
              <w:rPr>
                <w:rFonts w:ascii="Georgia" w:hAnsi="Georgia" w:cs="Arial"/>
                <w:b/>
                <w:bCs/>
              </w:rPr>
              <w:t>s</w:t>
            </w:r>
          </w:p>
        </w:tc>
        <w:tc>
          <w:tcPr>
            <w:tcW w:w="425" w:type="dxa"/>
          </w:tcPr>
          <w:p w14:paraId="1318ED6D" w14:textId="77777777" w:rsidR="00AE6BCE" w:rsidRPr="00182566" w:rsidRDefault="00AE6BCE" w:rsidP="00AE6BCE">
            <w:pPr>
              <w:spacing w:before="240"/>
              <w:rPr>
                <w:rFonts w:ascii="Georgia" w:hAnsi="Georgia" w:cs="Arial"/>
                <w:b/>
                <w:bCs/>
              </w:rPr>
            </w:pPr>
            <w:r w:rsidRPr="00182566">
              <w:rPr>
                <w:rFonts w:ascii="Georgia" w:hAnsi="Georgia" w:cs="Arial"/>
                <w:b/>
                <w:bCs/>
              </w:rPr>
              <w:t>:</w:t>
            </w:r>
          </w:p>
        </w:tc>
        <w:tc>
          <w:tcPr>
            <w:tcW w:w="4815" w:type="dxa"/>
          </w:tcPr>
          <w:p w14:paraId="3E592692" w14:textId="0F1EAB56" w:rsidR="00AE6BCE" w:rsidRPr="00182566" w:rsidRDefault="00A725D1" w:rsidP="00444125">
            <w:pPr>
              <w:spacing w:before="240"/>
              <w:rPr>
                <w:rFonts w:ascii="Georgia" w:hAnsi="Georgia"/>
              </w:rPr>
            </w:pPr>
            <w:r w:rsidRPr="00182566">
              <w:rPr>
                <w:rFonts w:ascii="Georgia" w:hAnsi="Georgia"/>
              </w:rPr>
              <w:t>Anna West, Nia Vines, Isabelle Clarke and Madeleine Day</w:t>
            </w:r>
          </w:p>
        </w:tc>
      </w:tr>
      <w:tr w:rsidR="00AE6BCE" w:rsidRPr="00182566" w14:paraId="623F2592" w14:textId="77777777" w:rsidTr="001D0245">
        <w:tc>
          <w:tcPr>
            <w:tcW w:w="3011" w:type="dxa"/>
          </w:tcPr>
          <w:p w14:paraId="70158A36" w14:textId="1536E0A8" w:rsidR="00AE6BCE" w:rsidRPr="00182566" w:rsidRDefault="00AE6BCE" w:rsidP="00AE6BCE">
            <w:pPr>
              <w:rPr>
                <w:rFonts w:ascii="Georgia" w:hAnsi="Georgia" w:cs="Arial"/>
                <w:b/>
                <w:bCs/>
              </w:rPr>
            </w:pPr>
            <w:r w:rsidRPr="00182566">
              <w:rPr>
                <w:rFonts w:ascii="Georgia" w:hAnsi="Georgia" w:cs="Arial"/>
                <w:b/>
                <w:bCs/>
              </w:rPr>
              <w:t>Representative</w:t>
            </w:r>
          </w:p>
        </w:tc>
        <w:tc>
          <w:tcPr>
            <w:tcW w:w="425" w:type="dxa"/>
          </w:tcPr>
          <w:p w14:paraId="05641F39" w14:textId="77777777" w:rsidR="00AE6BCE" w:rsidRPr="00182566" w:rsidRDefault="00AE6BCE" w:rsidP="00AE6BCE">
            <w:pPr>
              <w:rPr>
                <w:rFonts w:ascii="Georgia" w:hAnsi="Georgia" w:cs="Arial"/>
                <w:b/>
                <w:bCs/>
              </w:rPr>
            </w:pPr>
            <w:r w:rsidRPr="00182566">
              <w:rPr>
                <w:rFonts w:ascii="Georgia" w:hAnsi="Georgia" w:cs="Arial"/>
                <w:b/>
                <w:bCs/>
              </w:rPr>
              <w:t>:</w:t>
            </w:r>
          </w:p>
        </w:tc>
        <w:tc>
          <w:tcPr>
            <w:tcW w:w="4815" w:type="dxa"/>
          </w:tcPr>
          <w:p w14:paraId="6D0E8CDF" w14:textId="56ADBFFC" w:rsidR="00AE6BCE" w:rsidRPr="00182566" w:rsidRDefault="00A725D1" w:rsidP="00AE6BCE">
            <w:pPr>
              <w:rPr>
                <w:rFonts w:ascii="Georgia" w:hAnsi="Georgia" w:cs="Arial"/>
                <w:bCs/>
              </w:rPr>
            </w:pPr>
            <w:r w:rsidRPr="00182566">
              <w:rPr>
                <w:rFonts w:ascii="Georgia" w:hAnsi="Georgia" w:cs="Arial"/>
                <w:bCs/>
              </w:rPr>
              <w:t xml:space="preserve">Justice for Tenants </w:t>
            </w:r>
            <w:r w:rsidR="007749C2" w:rsidRPr="00182566">
              <w:rPr>
                <w:rFonts w:ascii="Georgia" w:hAnsi="Georgia" w:cs="Arial"/>
                <w:bCs/>
              </w:rPr>
              <w:t>(James McGowan)</w:t>
            </w:r>
          </w:p>
        </w:tc>
      </w:tr>
      <w:tr w:rsidR="00AE6BCE" w:rsidRPr="00182566" w14:paraId="5C837766" w14:textId="77777777" w:rsidTr="001D0245">
        <w:tc>
          <w:tcPr>
            <w:tcW w:w="3011" w:type="dxa"/>
          </w:tcPr>
          <w:p w14:paraId="2B9134DF" w14:textId="763D278D" w:rsidR="00AE6BCE" w:rsidRPr="00182566" w:rsidRDefault="00AE6BCE" w:rsidP="00AE6BCE">
            <w:pPr>
              <w:spacing w:before="240"/>
              <w:rPr>
                <w:rFonts w:ascii="Georgia" w:hAnsi="Georgia" w:cs="Arial"/>
                <w:b/>
                <w:bCs/>
              </w:rPr>
            </w:pPr>
            <w:r w:rsidRPr="00182566">
              <w:rPr>
                <w:rFonts w:ascii="Georgia" w:hAnsi="Georgia" w:cs="Arial"/>
                <w:b/>
                <w:bCs/>
              </w:rPr>
              <w:t>Respondent</w:t>
            </w:r>
            <w:r w:rsidR="007749C2" w:rsidRPr="00182566">
              <w:rPr>
                <w:rFonts w:ascii="Georgia" w:hAnsi="Georgia" w:cs="Arial"/>
                <w:b/>
                <w:bCs/>
              </w:rPr>
              <w:t>s</w:t>
            </w:r>
          </w:p>
        </w:tc>
        <w:tc>
          <w:tcPr>
            <w:tcW w:w="425" w:type="dxa"/>
          </w:tcPr>
          <w:p w14:paraId="7CA618E3" w14:textId="77777777" w:rsidR="00AE6BCE" w:rsidRPr="00182566" w:rsidRDefault="00AE6BCE" w:rsidP="00AE6BCE">
            <w:pPr>
              <w:spacing w:before="240"/>
              <w:rPr>
                <w:rFonts w:ascii="Georgia" w:hAnsi="Georgia" w:cs="Arial"/>
                <w:b/>
                <w:bCs/>
              </w:rPr>
            </w:pPr>
            <w:r w:rsidRPr="00182566">
              <w:rPr>
                <w:rFonts w:ascii="Georgia" w:hAnsi="Georgia" w:cs="Arial"/>
                <w:b/>
                <w:bCs/>
              </w:rPr>
              <w:t>:</w:t>
            </w:r>
          </w:p>
        </w:tc>
        <w:tc>
          <w:tcPr>
            <w:tcW w:w="4815" w:type="dxa"/>
          </w:tcPr>
          <w:p w14:paraId="0B15C06B" w14:textId="4E26B8C4" w:rsidR="00AE6BCE" w:rsidRPr="00182566" w:rsidRDefault="0006182B" w:rsidP="008C2D55">
            <w:pPr>
              <w:spacing w:before="240"/>
              <w:rPr>
                <w:rFonts w:ascii="Georgia" w:hAnsi="Georgia"/>
              </w:rPr>
            </w:pPr>
            <w:r w:rsidRPr="00182566">
              <w:rPr>
                <w:rFonts w:ascii="Georgia" w:hAnsi="Georgia"/>
              </w:rPr>
              <w:t>Carol Jackson and Josephine Collins</w:t>
            </w:r>
          </w:p>
        </w:tc>
      </w:tr>
      <w:tr w:rsidR="00AE6BCE" w:rsidRPr="00182566" w14:paraId="68DD1C01" w14:textId="77777777" w:rsidTr="001D0245">
        <w:tc>
          <w:tcPr>
            <w:tcW w:w="3011" w:type="dxa"/>
          </w:tcPr>
          <w:p w14:paraId="3A887C8A" w14:textId="184C165B" w:rsidR="00AE6BCE" w:rsidRPr="00182566" w:rsidRDefault="00AE6BCE" w:rsidP="00AE6BCE">
            <w:pPr>
              <w:rPr>
                <w:rFonts w:ascii="Georgia" w:hAnsi="Georgia" w:cs="Arial"/>
                <w:b/>
                <w:bCs/>
              </w:rPr>
            </w:pPr>
            <w:r w:rsidRPr="00182566">
              <w:rPr>
                <w:rFonts w:ascii="Georgia" w:hAnsi="Georgia" w:cs="Arial"/>
                <w:b/>
                <w:bCs/>
              </w:rPr>
              <w:t>Representative</w:t>
            </w:r>
          </w:p>
        </w:tc>
        <w:tc>
          <w:tcPr>
            <w:tcW w:w="425" w:type="dxa"/>
          </w:tcPr>
          <w:p w14:paraId="211E96F9" w14:textId="30CAE48C" w:rsidR="00AE6BCE" w:rsidRPr="00182566" w:rsidRDefault="00AE6BCE" w:rsidP="00AE6BCE">
            <w:pPr>
              <w:rPr>
                <w:rFonts w:ascii="Georgia" w:hAnsi="Georgia" w:cs="Arial"/>
                <w:b/>
                <w:bCs/>
              </w:rPr>
            </w:pPr>
            <w:r w:rsidRPr="00182566">
              <w:rPr>
                <w:rFonts w:ascii="Georgia" w:hAnsi="Georgia" w:cs="Arial"/>
                <w:b/>
                <w:bCs/>
              </w:rPr>
              <w:t>:</w:t>
            </w:r>
          </w:p>
        </w:tc>
        <w:tc>
          <w:tcPr>
            <w:tcW w:w="4815" w:type="dxa"/>
          </w:tcPr>
          <w:p w14:paraId="2D9283F5" w14:textId="22442AEA" w:rsidR="00AE6BCE" w:rsidRPr="00182566" w:rsidRDefault="00780946" w:rsidP="00AE6BCE">
            <w:pPr>
              <w:rPr>
                <w:rFonts w:ascii="Georgia" w:hAnsi="Georgia" w:cs="Arial"/>
                <w:bCs/>
              </w:rPr>
            </w:pPr>
            <w:r w:rsidRPr="00182566">
              <w:rPr>
                <w:rFonts w:ascii="Georgia" w:hAnsi="Georgia" w:cs="Arial"/>
                <w:bCs/>
              </w:rPr>
              <w:t>Michael Field (Counsel)</w:t>
            </w:r>
          </w:p>
        </w:tc>
      </w:tr>
      <w:tr w:rsidR="005D40E6" w:rsidRPr="00182566" w14:paraId="7634D3EF" w14:textId="77777777" w:rsidTr="001D0245">
        <w:tc>
          <w:tcPr>
            <w:tcW w:w="3011" w:type="dxa"/>
          </w:tcPr>
          <w:p w14:paraId="178E42C9" w14:textId="5BD65704" w:rsidR="005D40E6" w:rsidRPr="00182566" w:rsidRDefault="005D40E6" w:rsidP="00940DB5">
            <w:pPr>
              <w:spacing w:before="240"/>
              <w:rPr>
                <w:rFonts w:ascii="Georgia" w:hAnsi="Georgia" w:cs="Arial"/>
                <w:b/>
                <w:bCs/>
              </w:rPr>
            </w:pPr>
            <w:r w:rsidRPr="00182566">
              <w:rPr>
                <w:rFonts w:ascii="Georgia" w:hAnsi="Georgia" w:cs="Arial"/>
                <w:b/>
                <w:bCs/>
              </w:rPr>
              <w:t xml:space="preserve">Type of Application </w:t>
            </w:r>
          </w:p>
        </w:tc>
        <w:tc>
          <w:tcPr>
            <w:tcW w:w="425" w:type="dxa"/>
          </w:tcPr>
          <w:p w14:paraId="47A4D1BD" w14:textId="77777777" w:rsidR="005D40E6" w:rsidRPr="00182566" w:rsidRDefault="005D40E6" w:rsidP="00940DB5">
            <w:pPr>
              <w:spacing w:before="240"/>
              <w:rPr>
                <w:rFonts w:ascii="Georgia" w:hAnsi="Georgia" w:cs="Arial"/>
                <w:b/>
                <w:bCs/>
              </w:rPr>
            </w:pPr>
            <w:r w:rsidRPr="00182566">
              <w:rPr>
                <w:rFonts w:ascii="Georgia" w:hAnsi="Georgia" w:cs="Arial"/>
                <w:b/>
                <w:bCs/>
              </w:rPr>
              <w:t>:</w:t>
            </w:r>
          </w:p>
        </w:tc>
        <w:tc>
          <w:tcPr>
            <w:tcW w:w="4815" w:type="dxa"/>
          </w:tcPr>
          <w:p w14:paraId="6AFF57E9" w14:textId="77777777" w:rsidR="00940DB5" w:rsidRDefault="005D40E6" w:rsidP="00940DB5">
            <w:pPr>
              <w:widowControl w:val="0"/>
              <w:tabs>
                <w:tab w:val="left" w:pos="2880"/>
              </w:tabs>
              <w:spacing w:before="240"/>
              <w:rPr>
                <w:rFonts w:ascii="Georgia" w:hAnsi="Georgia" w:cs="Arial"/>
                <w:bCs/>
              </w:rPr>
            </w:pPr>
            <w:r w:rsidRPr="00182566">
              <w:rPr>
                <w:rFonts w:ascii="Georgia" w:hAnsi="Georgia" w:cs="Arial"/>
                <w:bCs/>
              </w:rPr>
              <w:t xml:space="preserve">Rent repayment order – application by </w:t>
            </w:r>
            <w:r w:rsidR="00D3055B" w:rsidRPr="00182566">
              <w:rPr>
                <w:rFonts w:ascii="Georgia" w:hAnsi="Georgia" w:cs="Arial"/>
                <w:bCs/>
              </w:rPr>
              <w:t>Tenant.</w:t>
            </w:r>
          </w:p>
          <w:p w14:paraId="190F2CC2" w14:textId="21CA5A85" w:rsidR="005D40E6" w:rsidRPr="00940DB5" w:rsidRDefault="005D40E6" w:rsidP="00940DB5">
            <w:pPr>
              <w:widowControl w:val="0"/>
              <w:tabs>
                <w:tab w:val="left" w:pos="2880"/>
              </w:tabs>
              <w:spacing w:before="240" w:after="240"/>
              <w:rPr>
                <w:rFonts w:ascii="Georgia" w:hAnsi="Georgia" w:cs="Arial"/>
                <w:bCs/>
              </w:rPr>
            </w:pPr>
            <w:r w:rsidRPr="00940DB5">
              <w:rPr>
                <w:rFonts w:ascii="Georgia" w:hAnsi="Georgia" w:cs="Arial"/>
                <w:iCs/>
              </w:rPr>
              <w:t>Sections</w:t>
            </w:r>
            <w:r w:rsidRPr="00182566">
              <w:rPr>
                <w:rFonts w:ascii="Georgia" w:hAnsi="Georgia" w:cs="Arial"/>
              </w:rPr>
              <w:t xml:space="preserve"> 40, 41, 42, 43 &amp; 45 of the Housing and Planning Act 2016 </w:t>
            </w:r>
            <w:r w:rsidR="00E93DF7" w:rsidRPr="00182566">
              <w:rPr>
                <w:rFonts w:ascii="Georgia" w:hAnsi="Georgia" w:cs="Arial"/>
              </w:rPr>
              <w:t>(the Act)</w:t>
            </w:r>
          </w:p>
        </w:tc>
      </w:tr>
      <w:tr w:rsidR="005D40E6" w:rsidRPr="00182566" w14:paraId="1D353D68" w14:textId="77777777" w:rsidTr="001D0245">
        <w:tc>
          <w:tcPr>
            <w:tcW w:w="3011" w:type="dxa"/>
          </w:tcPr>
          <w:p w14:paraId="406895C5" w14:textId="48D5127D" w:rsidR="005D40E6" w:rsidRPr="00182566" w:rsidRDefault="005D40E6" w:rsidP="00940DB5">
            <w:pPr>
              <w:spacing w:after="240"/>
              <w:rPr>
                <w:rFonts w:ascii="Georgia" w:hAnsi="Georgia" w:cs="Arial"/>
                <w:b/>
                <w:bCs/>
              </w:rPr>
            </w:pPr>
            <w:r w:rsidRPr="00182566">
              <w:rPr>
                <w:rFonts w:ascii="Georgia" w:hAnsi="Georgia" w:cs="Arial"/>
                <w:b/>
                <w:bCs/>
              </w:rPr>
              <w:t>Tribunal Members</w:t>
            </w:r>
          </w:p>
        </w:tc>
        <w:tc>
          <w:tcPr>
            <w:tcW w:w="425" w:type="dxa"/>
          </w:tcPr>
          <w:p w14:paraId="07468F65" w14:textId="77777777" w:rsidR="005D40E6" w:rsidRPr="00182566" w:rsidRDefault="005D40E6" w:rsidP="00940DB5">
            <w:pPr>
              <w:pageBreakBefore/>
              <w:spacing w:after="240"/>
              <w:rPr>
                <w:rFonts w:ascii="Georgia" w:hAnsi="Georgia" w:cs="Arial"/>
                <w:b/>
                <w:bCs/>
              </w:rPr>
            </w:pPr>
            <w:r w:rsidRPr="00182566">
              <w:rPr>
                <w:rFonts w:ascii="Georgia" w:hAnsi="Georgia" w:cs="Arial"/>
                <w:b/>
                <w:bCs/>
              </w:rPr>
              <w:t>:</w:t>
            </w:r>
          </w:p>
        </w:tc>
        <w:tc>
          <w:tcPr>
            <w:tcW w:w="4815" w:type="dxa"/>
          </w:tcPr>
          <w:p w14:paraId="07723084" w14:textId="77777777" w:rsidR="00940DB5" w:rsidRDefault="005D40E6" w:rsidP="00940DB5">
            <w:pPr>
              <w:pageBreakBefore/>
              <w:rPr>
                <w:rFonts w:ascii="Georgia" w:hAnsi="Georgia" w:cs="Tahoma"/>
              </w:rPr>
            </w:pPr>
            <w:r w:rsidRPr="00182566">
              <w:rPr>
                <w:rFonts w:ascii="Georgia" w:hAnsi="Georgia" w:cs="Tahoma"/>
              </w:rPr>
              <w:t>Judge C A Rai (Chairman)</w:t>
            </w:r>
          </w:p>
          <w:p w14:paraId="12BA02B8" w14:textId="21A9BADB" w:rsidR="005D40E6" w:rsidRPr="00182566" w:rsidRDefault="005D40E6" w:rsidP="00940DB5">
            <w:pPr>
              <w:pageBreakBefore/>
              <w:rPr>
                <w:rFonts w:ascii="Georgia" w:hAnsi="Georgia" w:cs="Tahoma"/>
              </w:rPr>
            </w:pPr>
            <w:r w:rsidRPr="00182566">
              <w:rPr>
                <w:rFonts w:ascii="Georgia" w:hAnsi="Georgia" w:cs="Tahoma"/>
              </w:rPr>
              <w:t>Mr M</w:t>
            </w:r>
            <w:r w:rsidR="009B1DFB" w:rsidRPr="00182566">
              <w:rPr>
                <w:rFonts w:ascii="Georgia" w:hAnsi="Georgia" w:cs="Tahoma"/>
              </w:rPr>
              <w:t xml:space="preserve"> C</w:t>
            </w:r>
            <w:r w:rsidRPr="00182566">
              <w:rPr>
                <w:rFonts w:ascii="Georgia" w:hAnsi="Georgia" w:cs="Tahoma"/>
              </w:rPr>
              <w:t xml:space="preserve"> Woodrow MRICS Chartered Surveyor</w:t>
            </w:r>
          </w:p>
          <w:p w14:paraId="5835A62F" w14:textId="1805A351" w:rsidR="005D40E6" w:rsidRPr="00182566" w:rsidRDefault="005D40E6" w:rsidP="00940DB5">
            <w:pPr>
              <w:rPr>
                <w:rFonts w:ascii="Georgia" w:hAnsi="Georgia" w:cs="Tahoma"/>
              </w:rPr>
            </w:pPr>
            <w:r w:rsidRPr="00182566">
              <w:rPr>
                <w:rFonts w:ascii="Georgia" w:hAnsi="Georgia" w:cs="Tahoma"/>
              </w:rPr>
              <w:t>Mr M</w:t>
            </w:r>
            <w:r w:rsidR="009B1DFB" w:rsidRPr="00182566">
              <w:rPr>
                <w:rFonts w:ascii="Georgia" w:hAnsi="Georgia" w:cs="Tahoma"/>
              </w:rPr>
              <w:t xml:space="preserve"> </w:t>
            </w:r>
            <w:r w:rsidR="006F6E08" w:rsidRPr="00182566">
              <w:rPr>
                <w:rFonts w:ascii="Georgia" w:hAnsi="Georgia" w:cs="Tahoma"/>
              </w:rPr>
              <w:t xml:space="preserve">R </w:t>
            </w:r>
            <w:r w:rsidRPr="00182566">
              <w:rPr>
                <w:rFonts w:ascii="Georgia" w:hAnsi="Georgia" w:cs="Tahoma"/>
              </w:rPr>
              <w:t xml:space="preserve">Jenkinson </w:t>
            </w:r>
          </w:p>
        </w:tc>
      </w:tr>
      <w:tr w:rsidR="005D40E6" w:rsidRPr="00182566" w14:paraId="259621D6" w14:textId="77777777" w:rsidTr="001D0245">
        <w:tc>
          <w:tcPr>
            <w:tcW w:w="3011" w:type="dxa"/>
          </w:tcPr>
          <w:p w14:paraId="3497E68F" w14:textId="264B4BB7" w:rsidR="005D40E6" w:rsidRPr="00182566" w:rsidRDefault="005D40E6" w:rsidP="005D40E6">
            <w:pPr>
              <w:spacing w:before="240"/>
              <w:rPr>
                <w:rFonts w:ascii="Georgia" w:hAnsi="Georgia" w:cs="Arial"/>
                <w:b/>
                <w:bCs/>
              </w:rPr>
            </w:pPr>
            <w:r w:rsidRPr="00182566">
              <w:rPr>
                <w:rFonts w:ascii="Georgia" w:hAnsi="Georgia" w:cs="Arial"/>
                <w:b/>
                <w:bCs/>
              </w:rPr>
              <w:t>Date type and venue of  Hearing</w:t>
            </w:r>
          </w:p>
        </w:tc>
        <w:tc>
          <w:tcPr>
            <w:tcW w:w="425" w:type="dxa"/>
          </w:tcPr>
          <w:p w14:paraId="4274CD65" w14:textId="77777777" w:rsidR="005D40E6" w:rsidRPr="00182566" w:rsidRDefault="005D40E6" w:rsidP="005D40E6">
            <w:pPr>
              <w:spacing w:before="240"/>
              <w:rPr>
                <w:rFonts w:ascii="Georgia" w:hAnsi="Georgia" w:cs="Arial"/>
                <w:b/>
                <w:bCs/>
              </w:rPr>
            </w:pPr>
            <w:r w:rsidRPr="00182566">
              <w:rPr>
                <w:rFonts w:ascii="Georgia" w:hAnsi="Georgia" w:cs="Arial"/>
                <w:b/>
                <w:bCs/>
              </w:rPr>
              <w:t>:</w:t>
            </w:r>
          </w:p>
        </w:tc>
        <w:tc>
          <w:tcPr>
            <w:tcW w:w="4815" w:type="dxa"/>
          </w:tcPr>
          <w:p w14:paraId="1FB06B47" w14:textId="77777777" w:rsidR="005D40E6" w:rsidRPr="00182566" w:rsidRDefault="005D40E6" w:rsidP="00815A6F">
            <w:pPr>
              <w:spacing w:before="240"/>
              <w:rPr>
                <w:rFonts w:ascii="Georgia" w:hAnsi="Georgia" w:cs="Arial"/>
                <w:bCs/>
              </w:rPr>
            </w:pPr>
            <w:r w:rsidRPr="00182566">
              <w:rPr>
                <w:rFonts w:ascii="Georgia" w:hAnsi="Georgia" w:cs="Arial"/>
                <w:bCs/>
              </w:rPr>
              <w:t>25 September 2024</w:t>
            </w:r>
          </w:p>
          <w:p w14:paraId="7A4E36B8" w14:textId="1984B1D3" w:rsidR="005D40E6" w:rsidRPr="00182566" w:rsidRDefault="009C1721" w:rsidP="009C1721">
            <w:pPr>
              <w:rPr>
                <w:rFonts w:ascii="Georgia" w:hAnsi="Georgia" w:cs="Arial"/>
                <w:bCs/>
              </w:rPr>
            </w:pPr>
            <w:r w:rsidRPr="00182566">
              <w:rPr>
                <w:rFonts w:ascii="Georgia" w:hAnsi="Georgia" w:cs="Arial"/>
                <w:bCs/>
              </w:rPr>
              <w:t xml:space="preserve">Remote by CVP </w:t>
            </w:r>
            <w:r w:rsidR="00527943">
              <w:rPr>
                <w:rFonts w:ascii="Georgia" w:hAnsi="Georgia" w:cs="Arial"/>
                <w:bCs/>
              </w:rPr>
              <w:t xml:space="preserve">before </w:t>
            </w:r>
            <w:r w:rsidRPr="00182566">
              <w:rPr>
                <w:rFonts w:ascii="Georgia" w:hAnsi="Georgia" w:cs="Arial"/>
                <w:bCs/>
              </w:rPr>
              <w:t xml:space="preserve"> the Tribunal Members </w:t>
            </w:r>
            <w:r w:rsidR="00F06142" w:rsidRPr="00182566">
              <w:rPr>
                <w:rFonts w:ascii="Georgia" w:hAnsi="Georgia" w:cs="Arial"/>
                <w:bCs/>
              </w:rPr>
              <w:t xml:space="preserve">sitting </w:t>
            </w:r>
            <w:r w:rsidRPr="00182566">
              <w:rPr>
                <w:rFonts w:ascii="Georgia" w:hAnsi="Georgia" w:cs="Arial"/>
                <w:bCs/>
              </w:rPr>
              <w:t xml:space="preserve">at </w:t>
            </w:r>
            <w:r w:rsidR="005D40E6" w:rsidRPr="00182566">
              <w:rPr>
                <w:rFonts w:ascii="Georgia" w:hAnsi="Georgia" w:cs="Arial"/>
                <w:bCs/>
              </w:rPr>
              <w:t>Keble House</w:t>
            </w:r>
            <w:r w:rsidR="00831229" w:rsidRPr="00182566">
              <w:rPr>
                <w:rFonts w:ascii="Georgia" w:hAnsi="Georgia" w:cs="Arial"/>
                <w:bCs/>
              </w:rPr>
              <w:t>,</w:t>
            </w:r>
            <w:r w:rsidR="005D40E6" w:rsidRPr="00182566">
              <w:rPr>
                <w:rFonts w:ascii="Georgia" w:hAnsi="Georgia" w:cs="Arial"/>
                <w:bCs/>
              </w:rPr>
              <w:t xml:space="preserve"> </w:t>
            </w:r>
            <w:proofErr w:type="spellStart"/>
            <w:r w:rsidR="005D40E6" w:rsidRPr="00182566">
              <w:rPr>
                <w:rFonts w:ascii="Georgia" w:hAnsi="Georgia" w:cs="Arial"/>
                <w:bCs/>
              </w:rPr>
              <w:t>Southernhay</w:t>
            </w:r>
            <w:proofErr w:type="spellEnd"/>
            <w:r w:rsidR="005D40E6" w:rsidRPr="00182566">
              <w:rPr>
                <w:rFonts w:ascii="Georgia" w:hAnsi="Georgia" w:cs="Arial"/>
                <w:bCs/>
              </w:rPr>
              <w:t xml:space="preserve"> </w:t>
            </w:r>
            <w:r w:rsidR="00815A6F" w:rsidRPr="00182566">
              <w:rPr>
                <w:rFonts w:ascii="Georgia" w:hAnsi="Georgia" w:cs="Arial"/>
                <w:bCs/>
              </w:rPr>
              <w:t>Gardens</w:t>
            </w:r>
            <w:r w:rsidR="00831229" w:rsidRPr="00182566">
              <w:rPr>
                <w:rFonts w:ascii="Georgia" w:hAnsi="Georgia" w:cs="Arial"/>
                <w:bCs/>
              </w:rPr>
              <w:t>,</w:t>
            </w:r>
            <w:r w:rsidR="00815A6F" w:rsidRPr="00182566">
              <w:rPr>
                <w:rFonts w:ascii="Georgia" w:hAnsi="Georgia" w:cs="Arial"/>
                <w:bCs/>
              </w:rPr>
              <w:t xml:space="preserve"> </w:t>
            </w:r>
            <w:r w:rsidR="005D40E6" w:rsidRPr="00182566">
              <w:rPr>
                <w:rFonts w:ascii="Georgia" w:hAnsi="Georgia" w:cs="Arial"/>
                <w:bCs/>
              </w:rPr>
              <w:t>Exeter</w:t>
            </w:r>
            <w:r w:rsidR="00831229" w:rsidRPr="00182566">
              <w:rPr>
                <w:rFonts w:ascii="Georgia" w:hAnsi="Georgia" w:cs="Arial"/>
                <w:bCs/>
              </w:rPr>
              <w:t>.</w:t>
            </w:r>
            <w:r w:rsidR="005D40E6" w:rsidRPr="00182566">
              <w:rPr>
                <w:rFonts w:ascii="Georgia" w:hAnsi="Georgia" w:cs="Arial"/>
                <w:bCs/>
              </w:rPr>
              <w:t xml:space="preserve"> </w:t>
            </w:r>
            <w:r w:rsidR="00815A6F" w:rsidRPr="00182566">
              <w:rPr>
                <w:rFonts w:ascii="Georgia" w:hAnsi="Georgia" w:cs="Arial"/>
                <w:bCs/>
              </w:rPr>
              <w:t>EX1 1NT</w:t>
            </w:r>
          </w:p>
        </w:tc>
      </w:tr>
      <w:tr w:rsidR="005D40E6" w:rsidRPr="00182566" w14:paraId="43A36597" w14:textId="77777777" w:rsidTr="001D0245">
        <w:tc>
          <w:tcPr>
            <w:tcW w:w="3011" w:type="dxa"/>
          </w:tcPr>
          <w:p w14:paraId="0B9CE54A" w14:textId="24D9D25A" w:rsidR="005D40E6" w:rsidRPr="00182566" w:rsidRDefault="005D40E6" w:rsidP="005D40E6">
            <w:pPr>
              <w:spacing w:before="240"/>
              <w:rPr>
                <w:rFonts w:ascii="Georgia" w:hAnsi="Georgia" w:cs="Arial"/>
                <w:b/>
                <w:bCs/>
              </w:rPr>
            </w:pPr>
            <w:r w:rsidRPr="00182566">
              <w:rPr>
                <w:rFonts w:ascii="Georgia" w:hAnsi="Georgia" w:cs="Arial"/>
                <w:b/>
                <w:bCs/>
              </w:rPr>
              <w:t>Date of Decision</w:t>
            </w:r>
          </w:p>
        </w:tc>
        <w:tc>
          <w:tcPr>
            <w:tcW w:w="425" w:type="dxa"/>
          </w:tcPr>
          <w:p w14:paraId="1D14F37E" w14:textId="77777777" w:rsidR="005D40E6" w:rsidRPr="00182566" w:rsidRDefault="005D40E6" w:rsidP="005D40E6">
            <w:pPr>
              <w:spacing w:before="240"/>
              <w:rPr>
                <w:rFonts w:ascii="Georgia" w:hAnsi="Georgia" w:cs="Arial"/>
                <w:b/>
                <w:bCs/>
              </w:rPr>
            </w:pPr>
            <w:r w:rsidRPr="00182566">
              <w:rPr>
                <w:rFonts w:ascii="Georgia" w:hAnsi="Georgia" w:cs="Arial"/>
                <w:b/>
                <w:bCs/>
              </w:rPr>
              <w:t>:</w:t>
            </w:r>
          </w:p>
        </w:tc>
        <w:tc>
          <w:tcPr>
            <w:tcW w:w="4815" w:type="dxa"/>
          </w:tcPr>
          <w:p w14:paraId="47CDF7AC" w14:textId="58B4D601" w:rsidR="005D40E6" w:rsidRPr="00182566" w:rsidRDefault="00472EBA" w:rsidP="005D40E6">
            <w:pPr>
              <w:spacing w:before="240"/>
              <w:rPr>
                <w:rFonts w:ascii="Georgia" w:hAnsi="Georgia" w:cs="Arial"/>
                <w:bCs/>
              </w:rPr>
            </w:pPr>
            <w:r>
              <w:rPr>
                <w:rFonts w:ascii="Georgia" w:hAnsi="Georgia" w:cs="Arial"/>
                <w:bCs/>
              </w:rPr>
              <w:t>13</w:t>
            </w:r>
            <w:r w:rsidR="00C7566E" w:rsidRPr="00182566">
              <w:rPr>
                <w:rFonts w:ascii="Georgia" w:hAnsi="Georgia" w:cs="Arial"/>
                <w:bCs/>
              </w:rPr>
              <w:t xml:space="preserve"> </w:t>
            </w:r>
            <w:r w:rsidR="00A4705F" w:rsidRPr="00182566">
              <w:rPr>
                <w:rFonts w:ascii="Georgia" w:hAnsi="Georgia" w:cs="Arial"/>
                <w:bCs/>
              </w:rPr>
              <w:t>October</w:t>
            </w:r>
            <w:r w:rsidR="00312508" w:rsidRPr="00182566">
              <w:rPr>
                <w:rFonts w:ascii="Georgia" w:hAnsi="Georgia" w:cs="Arial"/>
                <w:bCs/>
              </w:rPr>
              <w:t xml:space="preserve">  2024</w:t>
            </w:r>
          </w:p>
        </w:tc>
      </w:tr>
    </w:tbl>
    <w:p w14:paraId="6E7D1F1B" w14:textId="7643AE94" w:rsidR="00D43EAA" w:rsidRPr="00182566" w:rsidRDefault="00D43EAA" w:rsidP="008915FA">
      <w:pPr>
        <w:rPr>
          <w:rFonts w:ascii="Georgia" w:hAnsi="Georgia" w:cs="Arial"/>
          <w:b/>
          <w:bCs/>
        </w:rPr>
      </w:pPr>
    </w:p>
    <w:p w14:paraId="1D8D64B8" w14:textId="77777777" w:rsidR="001D0245" w:rsidRPr="00182566" w:rsidRDefault="001D0245" w:rsidP="008915FA">
      <w:pPr>
        <w:rPr>
          <w:rFonts w:ascii="Georgia" w:hAnsi="Georgia" w:cs="Arial"/>
          <w:b/>
          <w:bCs/>
        </w:rPr>
      </w:pPr>
    </w:p>
    <w:tbl>
      <w:tblPr>
        <w:tblStyle w:val="TableGrid"/>
        <w:tblW w:w="8222" w:type="dxa"/>
        <w:tblInd w:w="142" w:type="dxa"/>
        <w:tblBorders>
          <w:left w:val="none" w:sz="0" w:space="0" w:color="auto"/>
          <w:right w:val="none" w:sz="0" w:space="0" w:color="auto"/>
        </w:tblBorders>
        <w:tblLook w:val="04A0" w:firstRow="1" w:lastRow="0" w:firstColumn="1" w:lastColumn="0" w:noHBand="0" w:noVBand="1"/>
      </w:tblPr>
      <w:tblGrid>
        <w:gridCol w:w="8222"/>
      </w:tblGrid>
      <w:tr w:rsidR="001D0245" w:rsidRPr="00182566" w14:paraId="3352271A" w14:textId="77777777" w:rsidTr="001D0245">
        <w:tc>
          <w:tcPr>
            <w:tcW w:w="8222" w:type="dxa"/>
          </w:tcPr>
          <w:p w14:paraId="6471D33C" w14:textId="77777777" w:rsidR="001D0245" w:rsidRPr="00182566" w:rsidRDefault="001D0245" w:rsidP="001D0245">
            <w:pPr>
              <w:pStyle w:val="Heading1"/>
              <w:spacing w:before="240"/>
              <w:rPr>
                <w:rFonts w:ascii="Georgia" w:hAnsi="Georgia" w:cs="Arial"/>
                <w:sz w:val="24"/>
              </w:rPr>
            </w:pPr>
            <w:r w:rsidRPr="00182566">
              <w:rPr>
                <w:rFonts w:ascii="Georgia" w:hAnsi="Georgia" w:cs="Arial"/>
                <w:sz w:val="24"/>
              </w:rPr>
              <w:t>DECISION</w:t>
            </w:r>
          </w:p>
          <w:p w14:paraId="22410464" w14:textId="77777777" w:rsidR="001D0245" w:rsidRPr="00182566" w:rsidRDefault="001D0245" w:rsidP="00CD6C8B">
            <w:pPr>
              <w:rPr>
                <w:rFonts w:ascii="Georgia" w:hAnsi="Georgia" w:cs="Arial"/>
                <w:b/>
                <w:bCs/>
              </w:rPr>
            </w:pPr>
          </w:p>
        </w:tc>
      </w:tr>
    </w:tbl>
    <w:p w14:paraId="51CD41F0" w14:textId="77777777" w:rsidR="00D16098" w:rsidRPr="00182566" w:rsidRDefault="00D16098" w:rsidP="00D16098">
      <w:pPr>
        <w:pStyle w:val="Heading1"/>
        <w:rPr>
          <w:rFonts w:ascii="Georgia" w:hAnsi="Georgia" w:cs="Arial"/>
          <w:bCs w:val="0"/>
          <w:sz w:val="24"/>
        </w:rPr>
      </w:pPr>
    </w:p>
    <w:p w14:paraId="4A6769FB" w14:textId="77777777" w:rsidR="00D16098" w:rsidRPr="00182566" w:rsidRDefault="00D16098" w:rsidP="00D16098">
      <w:pPr>
        <w:pStyle w:val="Footer"/>
        <w:jc w:val="both"/>
        <w:rPr>
          <w:rFonts w:ascii="Georgia" w:hAnsi="Georgia"/>
          <w:b/>
          <w:szCs w:val="24"/>
        </w:rPr>
      </w:pPr>
      <w:r w:rsidRPr="00182566">
        <w:rPr>
          <w:rFonts w:ascii="Georgia" w:hAnsi="Georgia"/>
          <w:b/>
          <w:szCs w:val="24"/>
        </w:rPr>
        <w:t>Summary of Decision</w:t>
      </w:r>
    </w:p>
    <w:p w14:paraId="52AB846F" w14:textId="52C5FCB7" w:rsidR="00FD17F2" w:rsidRPr="00182566" w:rsidRDefault="00D16098" w:rsidP="00D16098">
      <w:pPr>
        <w:pStyle w:val="Heading1"/>
        <w:numPr>
          <w:ilvl w:val="0"/>
          <w:numId w:val="24"/>
        </w:numPr>
        <w:jc w:val="both"/>
        <w:rPr>
          <w:rFonts w:ascii="Georgia" w:hAnsi="Georgia" w:cs="Arial"/>
          <w:b w:val="0"/>
          <w:sz w:val="24"/>
        </w:rPr>
      </w:pPr>
      <w:r w:rsidRPr="00182566">
        <w:rPr>
          <w:rFonts w:ascii="Georgia" w:hAnsi="Georgia"/>
          <w:b w:val="0"/>
          <w:sz w:val="24"/>
        </w:rPr>
        <w:t xml:space="preserve">The Respondents admitted that they had let </w:t>
      </w:r>
      <w:r w:rsidR="00674720" w:rsidRPr="00182566">
        <w:rPr>
          <w:rFonts w:ascii="Georgia" w:hAnsi="Georgia"/>
          <w:b w:val="0"/>
          <w:sz w:val="24"/>
        </w:rPr>
        <w:t>t</w:t>
      </w:r>
      <w:r w:rsidRPr="00182566">
        <w:rPr>
          <w:rFonts w:ascii="Georgia" w:hAnsi="Georgia"/>
          <w:b w:val="0"/>
          <w:sz w:val="24"/>
        </w:rPr>
        <w:t xml:space="preserve">he first floor flat at 140 Wells Road, </w:t>
      </w:r>
      <w:proofErr w:type="spellStart"/>
      <w:r w:rsidRPr="00182566">
        <w:rPr>
          <w:rFonts w:ascii="Georgia" w:hAnsi="Georgia"/>
          <w:b w:val="0"/>
          <w:sz w:val="24"/>
        </w:rPr>
        <w:t>Totterdown</w:t>
      </w:r>
      <w:proofErr w:type="spellEnd"/>
      <w:r w:rsidRPr="00182566">
        <w:rPr>
          <w:rFonts w:ascii="Georgia" w:hAnsi="Georgia"/>
          <w:b w:val="0"/>
          <w:sz w:val="24"/>
        </w:rPr>
        <w:t>, Bristol. BS4 2AG (the Property</w:t>
      </w:r>
      <w:r w:rsidR="003F2536" w:rsidRPr="00182566">
        <w:rPr>
          <w:rFonts w:ascii="Georgia" w:hAnsi="Georgia"/>
          <w:b w:val="0"/>
          <w:sz w:val="24"/>
        </w:rPr>
        <w:t>)</w:t>
      </w:r>
      <w:r w:rsidRPr="00182566">
        <w:rPr>
          <w:rFonts w:ascii="Georgia" w:hAnsi="Georgia"/>
          <w:b w:val="0"/>
          <w:sz w:val="24"/>
        </w:rPr>
        <w:t xml:space="preserve"> to the Applicants without having an </w:t>
      </w:r>
      <w:r w:rsidR="00E06F62" w:rsidRPr="00182566">
        <w:rPr>
          <w:rFonts w:ascii="Georgia" w:hAnsi="Georgia"/>
          <w:b w:val="0"/>
          <w:sz w:val="24"/>
        </w:rPr>
        <w:t>h</w:t>
      </w:r>
      <w:r w:rsidR="00FD6689" w:rsidRPr="00182566">
        <w:rPr>
          <w:rFonts w:ascii="Georgia" w:hAnsi="Georgia"/>
          <w:b w:val="0"/>
          <w:sz w:val="24"/>
        </w:rPr>
        <w:t xml:space="preserve">ouse in </w:t>
      </w:r>
      <w:r w:rsidR="00E06F62" w:rsidRPr="00182566">
        <w:rPr>
          <w:rFonts w:ascii="Georgia" w:hAnsi="Georgia"/>
          <w:b w:val="0"/>
          <w:sz w:val="24"/>
        </w:rPr>
        <w:t>m</w:t>
      </w:r>
      <w:r w:rsidR="00FD6689" w:rsidRPr="00182566">
        <w:rPr>
          <w:rFonts w:ascii="Georgia" w:hAnsi="Georgia"/>
          <w:b w:val="0"/>
          <w:sz w:val="24"/>
        </w:rPr>
        <w:t xml:space="preserve">ultiple </w:t>
      </w:r>
      <w:r w:rsidR="00E06F62" w:rsidRPr="00182566">
        <w:rPr>
          <w:rFonts w:ascii="Georgia" w:hAnsi="Georgia"/>
          <w:b w:val="0"/>
          <w:sz w:val="24"/>
        </w:rPr>
        <w:t>o</w:t>
      </w:r>
      <w:r w:rsidR="00FD6689" w:rsidRPr="00182566">
        <w:rPr>
          <w:rFonts w:ascii="Georgia" w:hAnsi="Georgia"/>
          <w:b w:val="0"/>
          <w:sz w:val="24"/>
        </w:rPr>
        <w:t>ccupation</w:t>
      </w:r>
      <w:r w:rsidRPr="00182566">
        <w:rPr>
          <w:rFonts w:ascii="Georgia" w:hAnsi="Georgia"/>
          <w:b w:val="0"/>
          <w:sz w:val="24"/>
        </w:rPr>
        <w:t xml:space="preserve"> </w:t>
      </w:r>
      <w:r w:rsidR="00FD6689" w:rsidRPr="00182566">
        <w:rPr>
          <w:rFonts w:ascii="Georgia" w:hAnsi="Georgia"/>
          <w:b w:val="0"/>
          <w:sz w:val="24"/>
        </w:rPr>
        <w:t>(HMO)</w:t>
      </w:r>
      <w:r w:rsidRPr="00182566">
        <w:rPr>
          <w:rFonts w:ascii="Georgia" w:hAnsi="Georgia"/>
          <w:b w:val="0"/>
          <w:sz w:val="24"/>
        </w:rPr>
        <w:t xml:space="preserve"> </w:t>
      </w:r>
      <w:r w:rsidR="00E06F62" w:rsidRPr="00182566">
        <w:rPr>
          <w:rFonts w:ascii="Georgia" w:hAnsi="Georgia"/>
          <w:b w:val="0"/>
          <w:sz w:val="24"/>
        </w:rPr>
        <w:t>licen</w:t>
      </w:r>
      <w:r w:rsidR="00ED5B9B" w:rsidRPr="00182566">
        <w:rPr>
          <w:rFonts w:ascii="Georgia" w:hAnsi="Georgia"/>
          <w:b w:val="0"/>
          <w:sz w:val="24"/>
        </w:rPr>
        <w:t>c</w:t>
      </w:r>
      <w:r w:rsidR="00E06F62" w:rsidRPr="00182566">
        <w:rPr>
          <w:rFonts w:ascii="Georgia" w:hAnsi="Georgia"/>
          <w:b w:val="0"/>
          <w:sz w:val="24"/>
        </w:rPr>
        <w:t xml:space="preserve">e </w:t>
      </w:r>
      <w:r w:rsidRPr="00182566">
        <w:rPr>
          <w:rFonts w:ascii="Georgia" w:hAnsi="Georgia"/>
          <w:b w:val="0"/>
          <w:sz w:val="24"/>
        </w:rPr>
        <w:t>during a period when it was a legal requirement for the Property to be licen</w:t>
      </w:r>
      <w:r w:rsidR="00FD6689" w:rsidRPr="00182566">
        <w:rPr>
          <w:rFonts w:ascii="Georgia" w:hAnsi="Georgia"/>
          <w:b w:val="0"/>
          <w:sz w:val="24"/>
        </w:rPr>
        <w:t>s</w:t>
      </w:r>
      <w:r w:rsidRPr="00182566">
        <w:rPr>
          <w:rFonts w:ascii="Georgia" w:hAnsi="Georgia"/>
          <w:b w:val="0"/>
          <w:sz w:val="24"/>
        </w:rPr>
        <w:t>e</w:t>
      </w:r>
      <w:r w:rsidR="003F2536" w:rsidRPr="00182566">
        <w:rPr>
          <w:rFonts w:ascii="Georgia" w:hAnsi="Georgia"/>
          <w:b w:val="0"/>
          <w:sz w:val="24"/>
        </w:rPr>
        <w:t>d.</w:t>
      </w:r>
    </w:p>
    <w:p w14:paraId="2029FD02" w14:textId="5460B741" w:rsidR="00D16098" w:rsidRPr="00182566" w:rsidRDefault="00FD17F2" w:rsidP="00FD17F2">
      <w:pPr>
        <w:pStyle w:val="Heading1"/>
        <w:numPr>
          <w:ilvl w:val="0"/>
          <w:numId w:val="24"/>
        </w:numPr>
        <w:spacing w:before="240"/>
        <w:jc w:val="both"/>
        <w:rPr>
          <w:rFonts w:ascii="Georgia" w:hAnsi="Georgia" w:cs="Arial"/>
          <w:b w:val="0"/>
          <w:bCs w:val="0"/>
          <w:sz w:val="24"/>
        </w:rPr>
        <w:sectPr w:rsidR="00D16098" w:rsidRPr="00182566" w:rsidSect="004B0744">
          <w:headerReference w:type="even" r:id="rId12"/>
          <w:headerReference w:type="default" r:id="rId13"/>
          <w:footerReference w:type="even" r:id="rId14"/>
          <w:footerReference w:type="default" r:id="rId15"/>
          <w:pgSz w:w="11906" w:h="16838"/>
          <w:pgMar w:top="993" w:right="1800" w:bottom="1440" w:left="1800" w:header="708" w:footer="708" w:gutter="0"/>
          <w:cols w:space="708"/>
          <w:docGrid w:linePitch="360"/>
        </w:sectPr>
      </w:pPr>
      <w:r w:rsidRPr="00182566">
        <w:rPr>
          <w:rFonts w:ascii="Georgia" w:hAnsi="Georgia"/>
          <w:b w:val="0"/>
          <w:bCs w:val="0"/>
          <w:sz w:val="24"/>
        </w:rPr>
        <w:t>The Respondents sought to rely on the defence of reasonable excuse, broadly based on their honest belief that the Bristol City Council Website was misleading</w:t>
      </w:r>
      <w:r w:rsidR="000B43A6" w:rsidRPr="00182566">
        <w:rPr>
          <w:rFonts w:ascii="Georgia" w:hAnsi="Georgia"/>
          <w:b w:val="0"/>
          <w:bCs w:val="0"/>
          <w:sz w:val="24"/>
        </w:rPr>
        <w:t>.</w:t>
      </w:r>
      <w:r w:rsidRPr="00182566">
        <w:rPr>
          <w:rFonts w:ascii="Georgia" w:hAnsi="Georgia"/>
          <w:b w:val="0"/>
          <w:bCs w:val="0"/>
          <w:sz w:val="24"/>
        </w:rPr>
        <w:t xml:space="preserve"> </w:t>
      </w:r>
      <w:r w:rsidR="00C21D6C" w:rsidRPr="00182566">
        <w:rPr>
          <w:rFonts w:ascii="Georgia" w:hAnsi="Georgia"/>
          <w:b w:val="0"/>
          <w:bCs w:val="0"/>
          <w:sz w:val="24"/>
        </w:rPr>
        <w:t xml:space="preserve"> They said their interaction with the website led them to conclude that a</w:t>
      </w:r>
      <w:r w:rsidR="00940DB5">
        <w:rPr>
          <w:rFonts w:ascii="Georgia" w:hAnsi="Georgia"/>
          <w:b w:val="0"/>
          <w:bCs w:val="0"/>
          <w:sz w:val="24"/>
        </w:rPr>
        <w:t>n HM</w:t>
      </w:r>
      <w:r w:rsidR="00472EBA">
        <w:rPr>
          <w:rFonts w:ascii="Georgia" w:hAnsi="Georgia"/>
          <w:b w:val="0"/>
          <w:bCs w:val="0"/>
          <w:sz w:val="24"/>
        </w:rPr>
        <w:t>O</w:t>
      </w:r>
      <w:r w:rsidR="00C21D6C" w:rsidRPr="00182566">
        <w:rPr>
          <w:rFonts w:ascii="Georgia" w:hAnsi="Georgia"/>
          <w:b w:val="0"/>
          <w:bCs w:val="0"/>
          <w:sz w:val="24"/>
        </w:rPr>
        <w:t xml:space="preserve"> licence was not required.</w:t>
      </w:r>
    </w:p>
    <w:p w14:paraId="30A19C59" w14:textId="25672B1F" w:rsidR="004B0744" w:rsidRPr="00182566" w:rsidRDefault="008C2D55" w:rsidP="00FD17F2">
      <w:pPr>
        <w:pStyle w:val="Footer"/>
        <w:numPr>
          <w:ilvl w:val="0"/>
          <w:numId w:val="24"/>
        </w:numPr>
        <w:spacing w:before="240"/>
        <w:jc w:val="both"/>
        <w:rPr>
          <w:rFonts w:ascii="Georgia" w:hAnsi="Georgia"/>
          <w:b/>
          <w:szCs w:val="24"/>
        </w:rPr>
      </w:pPr>
      <w:r w:rsidRPr="00182566">
        <w:rPr>
          <w:rFonts w:ascii="Georgia" w:hAnsi="Georgia"/>
          <w:bCs/>
          <w:szCs w:val="24"/>
        </w:rPr>
        <w:lastRenderedPageBreak/>
        <w:t xml:space="preserve">Having considered the </w:t>
      </w:r>
      <w:r w:rsidR="00780946" w:rsidRPr="00182566">
        <w:rPr>
          <w:rFonts w:ascii="Georgia" w:hAnsi="Georgia"/>
          <w:bCs/>
          <w:szCs w:val="24"/>
        </w:rPr>
        <w:t xml:space="preserve">submissions made by </w:t>
      </w:r>
      <w:r w:rsidR="00E007AE" w:rsidRPr="00182566">
        <w:rPr>
          <w:rFonts w:ascii="Georgia" w:hAnsi="Georgia"/>
          <w:bCs/>
          <w:szCs w:val="24"/>
        </w:rPr>
        <w:t xml:space="preserve">Mr Field for the Respondents </w:t>
      </w:r>
      <w:r w:rsidR="00A86CCA" w:rsidRPr="00182566">
        <w:rPr>
          <w:rFonts w:ascii="Georgia" w:hAnsi="Georgia"/>
          <w:bCs/>
          <w:szCs w:val="24"/>
        </w:rPr>
        <w:t>and the submissions</w:t>
      </w:r>
      <w:r w:rsidR="00BB3D60" w:rsidRPr="00182566">
        <w:rPr>
          <w:rFonts w:ascii="Georgia" w:hAnsi="Georgia"/>
          <w:bCs/>
          <w:szCs w:val="24"/>
        </w:rPr>
        <w:t xml:space="preserve"> made </w:t>
      </w:r>
      <w:r w:rsidR="00A86CCA" w:rsidRPr="00182566">
        <w:rPr>
          <w:rFonts w:ascii="Georgia" w:hAnsi="Georgia"/>
          <w:bCs/>
          <w:szCs w:val="24"/>
        </w:rPr>
        <w:t>by Mr McGowan</w:t>
      </w:r>
      <w:r w:rsidR="00780946" w:rsidRPr="00182566">
        <w:rPr>
          <w:rFonts w:ascii="Georgia" w:hAnsi="Georgia"/>
          <w:bCs/>
          <w:szCs w:val="24"/>
        </w:rPr>
        <w:t xml:space="preserve"> </w:t>
      </w:r>
      <w:r w:rsidR="00E007AE" w:rsidRPr="00182566">
        <w:rPr>
          <w:rFonts w:ascii="Georgia" w:hAnsi="Georgia"/>
          <w:bCs/>
          <w:szCs w:val="24"/>
        </w:rPr>
        <w:t>for the Applicants</w:t>
      </w:r>
      <w:r w:rsidR="00C21D6C" w:rsidRPr="00182566">
        <w:rPr>
          <w:rFonts w:ascii="Georgia" w:hAnsi="Georgia"/>
          <w:bCs/>
          <w:szCs w:val="24"/>
        </w:rPr>
        <w:t>,</w:t>
      </w:r>
      <w:r w:rsidR="009858C2" w:rsidRPr="00182566">
        <w:rPr>
          <w:rFonts w:ascii="Georgia" w:hAnsi="Georgia"/>
          <w:bCs/>
          <w:szCs w:val="24"/>
        </w:rPr>
        <w:t xml:space="preserve"> </w:t>
      </w:r>
      <w:r w:rsidR="00A86CCA" w:rsidRPr="00182566">
        <w:rPr>
          <w:rFonts w:ascii="Georgia" w:hAnsi="Georgia"/>
          <w:bCs/>
          <w:szCs w:val="24"/>
        </w:rPr>
        <w:t xml:space="preserve">the Tribunal </w:t>
      </w:r>
      <w:r w:rsidR="009858C2" w:rsidRPr="00182566">
        <w:rPr>
          <w:rFonts w:ascii="Georgia" w:hAnsi="Georgia"/>
          <w:bCs/>
          <w:szCs w:val="24"/>
        </w:rPr>
        <w:t xml:space="preserve">decided </w:t>
      </w:r>
      <w:r w:rsidR="00A86CCA" w:rsidRPr="00182566">
        <w:rPr>
          <w:rFonts w:ascii="Georgia" w:hAnsi="Georgia"/>
          <w:bCs/>
          <w:szCs w:val="24"/>
        </w:rPr>
        <w:t>that the</w:t>
      </w:r>
      <w:r w:rsidR="002506DA" w:rsidRPr="00182566">
        <w:rPr>
          <w:rFonts w:ascii="Georgia" w:hAnsi="Georgia"/>
          <w:bCs/>
          <w:szCs w:val="24"/>
        </w:rPr>
        <w:t xml:space="preserve"> </w:t>
      </w:r>
      <w:r w:rsidR="00856078" w:rsidRPr="00182566">
        <w:rPr>
          <w:rFonts w:ascii="Georgia" w:hAnsi="Georgia"/>
          <w:bCs/>
          <w:szCs w:val="24"/>
        </w:rPr>
        <w:t xml:space="preserve">reasonable excuse </w:t>
      </w:r>
      <w:r w:rsidR="002506DA" w:rsidRPr="00182566">
        <w:rPr>
          <w:rFonts w:ascii="Georgia" w:hAnsi="Georgia"/>
          <w:bCs/>
          <w:szCs w:val="24"/>
        </w:rPr>
        <w:t>defence was not proven.</w:t>
      </w:r>
    </w:p>
    <w:p w14:paraId="3BD77888" w14:textId="1843693D" w:rsidR="002506DA" w:rsidRPr="00182566" w:rsidRDefault="005D1BB0" w:rsidP="00FD17F2">
      <w:pPr>
        <w:pStyle w:val="Footer"/>
        <w:numPr>
          <w:ilvl w:val="0"/>
          <w:numId w:val="24"/>
        </w:numPr>
        <w:spacing w:before="240"/>
        <w:jc w:val="both"/>
        <w:rPr>
          <w:rFonts w:ascii="Georgia" w:hAnsi="Georgia"/>
          <w:b/>
          <w:szCs w:val="24"/>
        </w:rPr>
      </w:pPr>
      <w:r w:rsidRPr="00182566">
        <w:rPr>
          <w:rFonts w:ascii="Georgia" w:hAnsi="Georgia"/>
          <w:bCs/>
          <w:szCs w:val="24"/>
        </w:rPr>
        <w:t>The</w:t>
      </w:r>
      <w:r w:rsidR="002506DA" w:rsidRPr="00182566">
        <w:rPr>
          <w:rFonts w:ascii="Georgia" w:hAnsi="Georgia"/>
          <w:bCs/>
          <w:szCs w:val="24"/>
        </w:rPr>
        <w:t xml:space="preserve"> Tribunal </w:t>
      </w:r>
      <w:r w:rsidR="00EF6203" w:rsidRPr="00182566">
        <w:rPr>
          <w:rFonts w:ascii="Georgia" w:hAnsi="Georgia"/>
          <w:bCs/>
          <w:szCs w:val="24"/>
        </w:rPr>
        <w:t xml:space="preserve">advised the Applicants that the amount claimed </w:t>
      </w:r>
      <w:r w:rsidRPr="00182566">
        <w:rPr>
          <w:rFonts w:ascii="Georgia" w:hAnsi="Georgia"/>
          <w:bCs/>
          <w:szCs w:val="24"/>
        </w:rPr>
        <w:t>by them</w:t>
      </w:r>
      <w:r w:rsidR="00D71786" w:rsidRPr="00182566">
        <w:rPr>
          <w:rFonts w:ascii="Georgia" w:hAnsi="Georgia"/>
          <w:bCs/>
          <w:szCs w:val="24"/>
        </w:rPr>
        <w:t>,</w:t>
      </w:r>
      <w:r w:rsidRPr="00182566">
        <w:rPr>
          <w:rFonts w:ascii="Georgia" w:hAnsi="Georgia"/>
          <w:bCs/>
          <w:szCs w:val="24"/>
        </w:rPr>
        <w:t xml:space="preserve"> </w:t>
      </w:r>
      <w:r w:rsidR="00EF6203" w:rsidRPr="00182566">
        <w:rPr>
          <w:rFonts w:ascii="Georgia" w:hAnsi="Georgia"/>
          <w:bCs/>
          <w:szCs w:val="24"/>
        </w:rPr>
        <w:t xml:space="preserve">exceeded 12 </w:t>
      </w:r>
      <w:r w:rsidR="00E93DF7" w:rsidRPr="00182566">
        <w:rPr>
          <w:rFonts w:ascii="Georgia" w:hAnsi="Georgia"/>
          <w:bCs/>
          <w:szCs w:val="24"/>
        </w:rPr>
        <w:t>months’</w:t>
      </w:r>
      <w:r w:rsidR="00EF6203" w:rsidRPr="00182566">
        <w:rPr>
          <w:rFonts w:ascii="Georgia" w:hAnsi="Georgia"/>
          <w:bCs/>
          <w:szCs w:val="24"/>
        </w:rPr>
        <w:t xml:space="preserve"> rent</w:t>
      </w:r>
      <w:r w:rsidR="00D71786" w:rsidRPr="00182566">
        <w:rPr>
          <w:rFonts w:ascii="Georgia" w:hAnsi="Georgia"/>
          <w:bCs/>
          <w:szCs w:val="24"/>
        </w:rPr>
        <w:t>,</w:t>
      </w:r>
      <w:r w:rsidRPr="00182566">
        <w:rPr>
          <w:rFonts w:ascii="Georgia" w:hAnsi="Georgia"/>
          <w:bCs/>
          <w:szCs w:val="24"/>
        </w:rPr>
        <w:t xml:space="preserve"> which is the </w:t>
      </w:r>
      <w:r w:rsidR="00F627BD" w:rsidRPr="00182566">
        <w:rPr>
          <w:rFonts w:ascii="Georgia" w:hAnsi="Georgia"/>
          <w:bCs/>
          <w:szCs w:val="24"/>
        </w:rPr>
        <w:t>maximum</w:t>
      </w:r>
      <w:r w:rsidR="0055584A" w:rsidRPr="00182566">
        <w:rPr>
          <w:rFonts w:ascii="Georgia" w:hAnsi="Georgia"/>
          <w:bCs/>
          <w:szCs w:val="24"/>
        </w:rPr>
        <w:t xml:space="preserve"> amount </w:t>
      </w:r>
      <w:r w:rsidR="00D71786" w:rsidRPr="00182566">
        <w:rPr>
          <w:rFonts w:ascii="Georgia" w:hAnsi="Georgia"/>
          <w:bCs/>
          <w:szCs w:val="24"/>
        </w:rPr>
        <w:t>of the rent repayment order it could make</w:t>
      </w:r>
      <w:r w:rsidR="0055584A" w:rsidRPr="00182566">
        <w:rPr>
          <w:rFonts w:ascii="Georgia" w:hAnsi="Georgia"/>
          <w:bCs/>
          <w:szCs w:val="24"/>
        </w:rPr>
        <w:t xml:space="preserve">. </w:t>
      </w:r>
      <w:r w:rsidR="00EF6203" w:rsidRPr="00182566">
        <w:rPr>
          <w:rFonts w:ascii="Georgia" w:hAnsi="Georgia"/>
          <w:bCs/>
          <w:szCs w:val="24"/>
        </w:rPr>
        <w:t xml:space="preserve"> This was accepted by the Applicants</w:t>
      </w:r>
      <w:r w:rsidR="00DE0400" w:rsidRPr="00182566">
        <w:rPr>
          <w:rFonts w:ascii="Georgia" w:hAnsi="Georgia"/>
          <w:bCs/>
          <w:szCs w:val="24"/>
        </w:rPr>
        <w:t>.</w:t>
      </w:r>
      <w:r w:rsidR="00E93DF7" w:rsidRPr="00182566">
        <w:rPr>
          <w:rFonts w:ascii="Georgia" w:hAnsi="Georgia"/>
          <w:bCs/>
          <w:szCs w:val="24"/>
        </w:rPr>
        <w:t xml:space="preserve"> </w:t>
      </w:r>
      <w:r w:rsidR="00A1245B">
        <w:rPr>
          <w:rFonts w:ascii="Georgia" w:hAnsi="Georgia"/>
          <w:bCs/>
          <w:szCs w:val="24"/>
        </w:rPr>
        <w:t xml:space="preserve"> </w:t>
      </w:r>
      <w:r w:rsidR="00E93DF7" w:rsidRPr="00182566">
        <w:rPr>
          <w:rFonts w:ascii="Georgia" w:hAnsi="Georgia"/>
          <w:bCs/>
          <w:szCs w:val="24"/>
        </w:rPr>
        <w:t>Mr McGowan</w:t>
      </w:r>
      <w:r w:rsidR="00F627BD" w:rsidRPr="00182566">
        <w:rPr>
          <w:rFonts w:ascii="Georgia" w:hAnsi="Georgia"/>
          <w:bCs/>
          <w:szCs w:val="24"/>
        </w:rPr>
        <w:t xml:space="preserve"> </w:t>
      </w:r>
      <w:r w:rsidR="0055584A" w:rsidRPr="00182566">
        <w:rPr>
          <w:rFonts w:ascii="Georgia" w:hAnsi="Georgia"/>
          <w:bCs/>
          <w:szCs w:val="24"/>
        </w:rPr>
        <w:t>agreed</w:t>
      </w:r>
      <w:r w:rsidR="00EF6203" w:rsidRPr="00182566">
        <w:rPr>
          <w:rFonts w:ascii="Georgia" w:hAnsi="Georgia"/>
          <w:bCs/>
          <w:szCs w:val="24"/>
        </w:rPr>
        <w:t xml:space="preserve"> that the maximum amount of</w:t>
      </w:r>
      <w:r w:rsidR="0055584A" w:rsidRPr="00182566">
        <w:rPr>
          <w:rFonts w:ascii="Georgia" w:hAnsi="Georgia"/>
          <w:bCs/>
          <w:szCs w:val="24"/>
        </w:rPr>
        <w:t xml:space="preserve"> any</w:t>
      </w:r>
      <w:r w:rsidR="004C0025" w:rsidRPr="00182566">
        <w:rPr>
          <w:rFonts w:ascii="Georgia" w:hAnsi="Georgia"/>
          <w:bCs/>
          <w:szCs w:val="24"/>
        </w:rPr>
        <w:t xml:space="preserve"> </w:t>
      </w:r>
      <w:r w:rsidR="00EF6203" w:rsidRPr="00182566">
        <w:rPr>
          <w:rFonts w:ascii="Georgia" w:hAnsi="Georgia"/>
          <w:bCs/>
          <w:szCs w:val="24"/>
        </w:rPr>
        <w:t xml:space="preserve">order </w:t>
      </w:r>
      <w:r w:rsidR="00ED5B9B" w:rsidRPr="00182566">
        <w:rPr>
          <w:rFonts w:ascii="Georgia" w:hAnsi="Georgia"/>
          <w:bCs/>
          <w:szCs w:val="24"/>
        </w:rPr>
        <w:t xml:space="preserve">which could be </w:t>
      </w:r>
      <w:r w:rsidR="006D7C1A" w:rsidRPr="00182566">
        <w:rPr>
          <w:rFonts w:ascii="Georgia" w:hAnsi="Georgia"/>
          <w:bCs/>
          <w:szCs w:val="24"/>
        </w:rPr>
        <w:t xml:space="preserve">made </w:t>
      </w:r>
      <w:r w:rsidR="0055584A" w:rsidRPr="00182566">
        <w:rPr>
          <w:rFonts w:ascii="Georgia" w:hAnsi="Georgia"/>
          <w:bCs/>
          <w:szCs w:val="24"/>
        </w:rPr>
        <w:t xml:space="preserve">by the Tribunal </w:t>
      </w:r>
      <w:r w:rsidR="00ED5B9B" w:rsidRPr="00182566">
        <w:rPr>
          <w:rFonts w:ascii="Georgia" w:hAnsi="Georgia"/>
          <w:bCs/>
          <w:szCs w:val="24"/>
        </w:rPr>
        <w:t>with regard to this application is</w:t>
      </w:r>
      <w:r w:rsidR="00DE0400" w:rsidRPr="00182566">
        <w:rPr>
          <w:rFonts w:ascii="Georgia" w:hAnsi="Georgia"/>
          <w:bCs/>
          <w:szCs w:val="24"/>
        </w:rPr>
        <w:t xml:space="preserve"> </w:t>
      </w:r>
      <w:r w:rsidR="00EF6203" w:rsidRPr="00182566">
        <w:rPr>
          <w:rFonts w:ascii="Georgia" w:hAnsi="Georgia"/>
          <w:bCs/>
          <w:szCs w:val="24"/>
        </w:rPr>
        <w:t>£15</w:t>
      </w:r>
      <w:r w:rsidR="004C0025" w:rsidRPr="00182566">
        <w:rPr>
          <w:rFonts w:ascii="Georgia" w:hAnsi="Georgia"/>
          <w:bCs/>
          <w:szCs w:val="24"/>
        </w:rPr>
        <w:t>,600</w:t>
      </w:r>
      <w:r w:rsidR="00980C1F" w:rsidRPr="00182566">
        <w:rPr>
          <w:rFonts w:ascii="Georgia" w:hAnsi="Georgia"/>
          <w:bCs/>
          <w:szCs w:val="24"/>
        </w:rPr>
        <w:t>.</w:t>
      </w:r>
    </w:p>
    <w:p w14:paraId="4048BA03" w14:textId="4DB4DB38" w:rsidR="004C0025" w:rsidRPr="00182566" w:rsidRDefault="004C0025" w:rsidP="00FD17F2">
      <w:pPr>
        <w:pStyle w:val="Footer"/>
        <w:numPr>
          <w:ilvl w:val="0"/>
          <w:numId w:val="24"/>
        </w:numPr>
        <w:spacing w:before="240"/>
        <w:jc w:val="both"/>
        <w:rPr>
          <w:rFonts w:ascii="Georgia" w:hAnsi="Georgia"/>
          <w:b/>
          <w:szCs w:val="24"/>
        </w:rPr>
      </w:pPr>
      <w:r w:rsidRPr="00182566">
        <w:rPr>
          <w:rFonts w:ascii="Georgia" w:hAnsi="Georgia"/>
          <w:bCs/>
          <w:szCs w:val="24"/>
        </w:rPr>
        <w:t>Having considered the submissions made by the Applicants and the Respondents</w:t>
      </w:r>
      <w:r w:rsidR="00DE0400" w:rsidRPr="00182566">
        <w:rPr>
          <w:rFonts w:ascii="Georgia" w:hAnsi="Georgia"/>
          <w:bCs/>
          <w:szCs w:val="24"/>
        </w:rPr>
        <w:t xml:space="preserve"> as to the amount of the rent repayment order</w:t>
      </w:r>
      <w:r w:rsidR="004B6813" w:rsidRPr="00182566">
        <w:rPr>
          <w:rFonts w:ascii="Georgia" w:hAnsi="Georgia"/>
          <w:bCs/>
          <w:szCs w:val="24"/>
        </w:rPr>
        <w:t>,</w:t>
      </w:r>
      <w:r w:rsidR="00DE0400" w:rsidRPr="00182566">
        <w:rPr>
          <w:rFonts w:ascii="Georgia" w:hAnsi="Georgia"/>
          <w:bCs/>
          <w:szCs w:val="24"/>
        </w:rPr>
        <w:t xml:space="preserve"> </w:t>
      </w:r>
      <w:r w:rsidRPr="00182566">
        <w:rPr>
          <w:rFonts w:ascii="Georgia" w:hAnsi="Georgia"/>
          <w:bCs/>
          <w:szCs w:val="24"/>
        </w:rPr>
        <w:t>the Tribunal concluded that the offence committed by the Respondents was at the lower end of the scale</w:t>
      </w:r>
      <w:r w:rsidR="0055584A" w:rsidRPr="00182566">
        <w:rPr>
          <w:rFonts w:ascii="Georgia" w:hAnsi="Georgia"/>
          <w:bCs/>
          <w:szCs w:val="24"/>
        </w:rPr>
        <w:t xml:space="preserve"> of offences </w:t>
      </w:r>
      <w:r w:rsidR="00945DD9" w:rsidRPr="00182566">
        <w:rPr>
          <w:rFonts w:ascii="Georgia" w:hAnsi="Georgia"/>
          <w:bCs/>
          <w:szCs w:val="24"/>
        </w:rPr>
        <w:t xml:space="preserve"> listed in </w:t>
      </w:r>
      <w:r w:rsidR="006B12A2" w:rsidRPr="00182566">
        <w:rPr>
          <w:rFonts w:ascii="Georgia" w:hAnsi="Georgia"/>
          <w:bCs/>
          <w:szCs w:val="24"/>
        </w:rPr>
        <w:t xml:space="preserve">the table in section </w:t>
      </w:r>
      <w:r w:rsidR="006E6717" w:rsidRPr="00182566">
        <w:rPr>
          <w:rFonts w:ascii="Georgia" w:hAnsi="Georgia"/>
          <w:bCs/>
          <w:szCs w:val="24"/>
        </w:rPr>
        <w:t>40(3) of the Act.</w:t>
      </w:r>
      <w:r w:rsidRPr="00182566">
        <w:rPr>
          <w:rFonts w:ascii="Georgia" w:hAnsi="Georgia"/>
          <w:bCs/>
          <w:szCs w:val="24"/>
        </w:rPr>
        <w:t xml:space="preserve">  </w:t>
      </w:r>
    </w:p>
    <w:p w14:paraId="4CC27F7D" w14:textId="592B806D" w:rsidR="00BC7F9F" w:rsidRPr="00182566" w:rsidRDefault="00DE0400" w:rsidP="00FD17F2">
      <w:pPr>
        <w:pStyle w:val="Footer"/>
        <w:numPr>
          <w:ilvl w:val="0"/>
          <w:numId w:val="24"/>
        </w:numPr>
        <w:spacing w:before="240"/>
        <w:jc w:val="both"/>
        <w:rPr>
          <w:rFonts w:ascii="Georgia" w:hAnsi="Georgia"/>
          <w:b/>
          <w:szCs w:val="24"/>
        </w:rPr>
      </w:pPr>
      <w:bookmarkStart w:id="0" w:name="_Ref178338865"/>
      <w:r w:rsidRPr="00182566">
        <w:rPr>
          <w:rFonts w:ascii="Georgia" w:hAnsi="Georgia"/>
          <w:bCs/>
          <w:szCs w:val="24"/>
        </w:rPr>
        <w:t>T</w:t>
      </w:r>
      <w:r w:rsidR="00AF2F02" w:rsidRPr="00182566">
        <w:rPr>
          <w:rFonts w:ascii="Georgia" w:hAnsi="Georgia"/>
          <w:bCs/>
          <w:szCs w:val="24"/>
        </w:rPr>
        <w:t xml:space="preserve">he Tribunal </w:t>
      </w:r>
      <w:r w:rsidR="0023702B" w:rsidRPr="00182566">
        <w:rPr>
          <w:rFonts w:ascii="Georgia" w:hAnsi="Georgia"/>
          <w:bCs/>
          <w:szCs w:val="24"/>
        </w:rPr>
        <w:t>orders</w:t>
      </w:r>
      <w:r w:rsidR="00AF2F02" w:rsidRPr="00182566">
        <w:rPr>
          <w:rFonts w:ascii="Georgia" w:hAnsi="Georgia"/>
          <w:bCs/>
          <w:szCs w:val="24"/>
        </w:rPr>
        <w:t xml:space="preserve"> that the </w:t>
      </w:r>
      <w:r w:rsidR="00FD7A38" w:rsidRPr="00182566">
        <w:rPr>
          <w:rFonts w:ascii="Georgia" w:hAnsi="Georgia"/>
          <w:bCs/>
          <w:szCs w:val="24"/>
        </w:rPr>
        <w:t>Respondents repay the Applicants 5</w:t>
      </w:r>
      <w:r w:rsidR="0025023D" w:rsidRPr="00182566">
        <w:rPr>
          <w:rFonts w:ascii="Georgia" w:hAnsi="Georgia"/>
          <w:bCs/>
          <w:szCs w:val="24"/>
        </w:rPr>
        <w:t>5</w:t>
      </w:r>
      <w:r w:rsidR="00FD7A38" w:rsidRPr="00182566">
        <w:rPr>
          <w:rFonts w:ascii="Georgia" w:hAnsi="Georgia"/>
          <w:bCs/>
          <w:szCs w:val="24"/>
        </w:rPr>
        <w:t>% of £15,600</w:t>
      </w:r>
      <w:r w:rsidR="009975A6" w:rsidRPr="00182566">
        <w:rPr>
          <w:rFonts w:ascii="Georgia" w:hAnsi="Georgia"/>
          <w:bCs/>
          <w:szCs w:val="24"/>
        </w:rPr>
        <w:t xml:space="preserve"> (12 </w:t>
      </w:r>
      <w:proofErr w:type="spellStart"/>
      <w:r w:rsidR="009975A6" w:rsidRPr="00182566">
        <w:rPr>
          <w:rFonts w:ascii="Georgia" w:hAnsi="Georgia"/>
          <w:bCs/>
          <w:szCs w:val="24"/>
        </w:rPr>
        <w:t>months</w:t>
      </w:r>
      <w:proofErr w:type="spellEnd"/>
      <w:r w:rsidR="009975A6" w:rsidRPr="00182566">
        <w:rPr>
          <w:rFonts w:ascii="Georgia" w:hAnsi="Georgia"/>
          <w:bCs/>
          <w:szCs w:val="24"/>
        </w:rPr>
        <w:t xml:space="preserve"> rent) </w:t>
      </w:r>
      <w:r w:rsidR="0023702B" w:rsidRPr="00182566">
        <w:rPr>
          <w:rFonts w:ascii="Georgia" w:hAnsi="Georgia"/>
          <w:bCs/>
          <w:szCs w:val="24"/>
        </w:rPr>
        <w:t xml:space="preserve"> being £</w:t>
      </w:r>
      <w:r w:rsidR="005D600F" w:rsidRPr="00182566">
        <w:rPr>
          <w:rFonts w:ascii="Georgia" w:hAnsi="Georgia"/>
          <w:bCs/>
          <w:szCs w:val="24"/>
        </w:rPr>
        <w:t>8,580</w:t>
      </w:r>
      <w:r w:rsidR="0023702B" w:rsidRPr="00182566">
        <w:rPr>
          <w:rFonts w:ascii="Georgia" w:hAnsi="Georgia"/>
          <w:bCs/>
          <w:szCs w:val="24"/>
        </w:rPr>
        <w:t>.</w:t>
      </w:r>
      <w:bookmarkEnd w:id="0"/>
      <w:r w:rsidR="00FE6202" w:rsidRPr="00182566">
        <w:rPr>
          <w:rFonts w:ascii="Georgia" w:hAnsi="Georgia"/>
          <w:b/>
          <w:szCs w:val="24"/>
        </w:rPr>
        <w:t xml:space="preserve"> </w:t>
      </w:r>
    </w:p>
    <w:p w14:paraId="4C1B482A" w14:textId="474BF82B" w:rsidR="005762F3" w:rsidRPr="00182566" w:rsidRDefault="00812725" w:rsidP="00FD17F2">
      <w:pPr>
        <w:pStyle w:val="Footer"/>
        <w:numPr>
          <w:ilvl w:val="0"/>
          <w:numId w:val="24"/>
        </w:numPr>
        <w:spacing w:before="240"/>
        <w:jc w:val="both"/>
        <w:rPr>
          <w:rFonts w:ascii="Georgia" w:hAnsi="Georgia"/>
          <w:b/>
          <w:szCs w:val="24"/>
        </w:rPr>
      </w:pPr>
      <w:bookmarkStart w:id="1" w:name="_Ref178338871"/>
      <w:r w:rsidRPr="00182566">
        <w:rPr>
          <w:rFonts w:ascii="Georgia" w:hAnsi="Georgia"/>
          <w:bCs/>
          <w:szCs w:val="24"/>
        </w:rPr>
        <w:t>Having considered the Applicants</w:t>
      </w:r>
      <w:r w:rsidR="00DA4E43" w:rsidRPr="00182566">
        <w:rPr>
          <w:rFonts w:ascii="Georgia" w:hAnsi="Georgia"/>
          <w:bCs/>
          <w:szCs w:val="24"/>
        </w:rPr>
        <w:t>’</w:t>
      </w:r>
      <w:r w:rsidRPr="00182566">
        <w:rPr>
          <w:rFonts w:ascii="Georgia" w:hAnsi="Georgia"/>
          <w:bCs/>
          <w:szCs w:val="24"/>
        </w:rPr>
        <w:t xml:space="preserve"> </w:t>
      </w:r>
      <w:r w:rsidR="00142F4B" w:rsidRPr="00182566">
        <w:rPr>
          <w:rFonts w:ascii="Georgia" w:hAnsi="Georgia"/>
          <w:bCs/>
          <w:szCs w:val="24"/>
        </w:rPr>
        <w:t xml:space="preserve">application for </w:t>
      </w:r>
      <w:r w:rsidRPr="00182566">
        <w:rPr>
          <w:rFonts w:ascii="Georgia" w:hAnsi="Georgia"/>
          <w:bCs/>
          <w:szCs w:val="24"/>
        </w:rPr>
        <w:t xml:space="preserve">the repayment of </w:t>
      </w:r>
      <w:r w:rsidR="00DA4E43" w:rsidRPr="00182566">
        <w:rPr>
          <w:rFonts w:ascii="Georgia" w:hAnsi="Georgia"/>
          <w:bCs/>
          <w:szCs w:val="24"/>
        </w:rPr>
        <w:t>it</w:t>
      </w:r>
      <w:r w:rsidRPr="00182566">
        <w:rPr>
          <w:rFonts w:ascii="Georgia" w:hAnsi="Georgia"/>
          <w:bCs/>
          <w:szCs w:val="24"/>
        </w:rPr>
        <w:t>s fees</w:t>
      </w:r>
      <w:r w:rsidR="004B6813" w:rsidRPr="00182566">
        <w:rPr>
          <w:rFonts w:ascii="Georgia" w:hAnsi="Georgia"/>
          <w:bCs/>
          <w:szCs w:val="24"/>
        </w:rPr>
        <w:t>,</w:t>
      </w:r>
      <w:r w:rsidRPr="00182566">
        <w:rPr>
          <w:rFonts w:ascii="Georgia" w:hAnsi="Georgia"/>
          <w:bCs/>
          <w:szCs w:val="24"/>
        </w:rPr>
        <w:t xml:space="preserve"> t</w:t>
      </w:r>
      <w:r w:rsidR="00FD7A38" w:rsidRPr="00182566">
        <w:rPr>
          <w:rFonts w:ascii="Georgia" w:hAnsi="Georgia"/>
          <w:bCs/>
          <w:szCs w:val="24"/>
        </w:rPr>
        <w:t xml:space="preserve">he </w:t>
      </w:r>
      <w:r w:rsidR="003B10D2" w:rsidRPr="00182566">
        <w:rPr>
          <w:rFonts w:ascii="Georgia" w:hAnsi="Georgia"/>
          <w:bCs/>
          <w:szCs w:val="24"/>
        </w:rPr>
        <w:t xml:space="preserve">Tribunal orders that the Respondents pay </w:t>
      </w:r>
      <w:r w:rsidR="00C620B2" w:rsidRPr="00182566">
        <w:rPr>
          <w:rFonts w:ascii="Georgia" w:hAnsi="Georgia"/>
          <w:bCs/>
          <w:szCs w:val="24"/>
        </w:rPr>
        <w:t>£1</w:t>
      </w:r>
      <w:r w:rsidR="0025023D" w:rsidRPr="00182566">
        <w:rPr>
          <w:rFonts w:ascii="Georgia" w:hAnsi="Georgia"/>
          <w:bCs/>
          <w:szCs w:val="24"/>
        </w:rPr>
        <w:t>65</w:t>
      </w:r>
      <w:r w:rsidR="00C620B2" w:rsidRPr="00182566">
        <w:rPr>
          <w:rFonts w:ascii="Georgia" w:hAnsi="Georgia"/>
          <w:bCs/>
          <w:szCs w:val="24"/>
        </w:rPr>
        <w:t xml:space="preserve"> </w:t>
      </w:r>
      <w:r w:rsidR="00612CCE" w:rsidRPr="00182566">
        <w:rPr>
          <w:rFonts w:ascii="Georgia" w:hAnsi="Georgia"/>
          <w:bCs/>
          <w:szCs w:val="24"/>
        </w:rPr>
        <w:t>to the Applicants which is 5</w:t>
      </w:r>
      <w:r w:rsidR="0025023D" w:rsidRPr="00182566">
        <w:rPr>
          <w:rFonts w:ascii="Georgia" w:hAnsi="Georgia"/>
          <w:bCs/>
          <w:szCs w:val="24"/>
        </w:rPr>
        <w:t>5</w:t>
      </w:r>
      <w:r w:rsidR="00612CCE" w:rsidRPr="00182566">
        <w:rPr>
          <w:rFonts w:ascii="Georgia" w:hAnsi="Georgia"/>
          <w:bCs/>
          <w:szCs w:val="24"/>
        </w:rPr>
        <w:t xml:space="preserve">% of the </w:t>
      </w:r>
      <w:r w:rsidR="00142F4B" w:rsidRPr="00182566">
        <w:rPr>
          <w:rFonts w:ascii="Georgia" w:hAnsi="Georgia"/>
          <w:bCs/>
          <w:szCs w:val="24"/>
        </w:rPr>
        <w:t>total</w:t>
      </w:r>
      <w:r w:rsidR="00B9407A" w:rsidRPr="00182566">
        <w:rPr>
          <w:rFonts w:ascii="Georgia" w:hAnsi="Georgia"/>
          <w:bCs/>
          <w:szCs w:val="24"/>
        </w:rPr>
        <w:t xml:space="preserve"> fees</w:t>
      </w:r>
      <w:r w:rsidR="00142F4B" w:rsidRPr="00182566">
        <w:rPr>
          <w:rFonts w:ascii="Georgia" w:hAnsi="Georgia"/>
          <w:bCs/>
          <w:szCs w:val="24"/>
        </w:rPr>
        <w:t xml:space="preserve"> paid</w:t>
      </w:r>
      <w:r w:rsidR="00B9407A" w:rsidRPr="00182566">
        <w:rPr>
          <w:rFonts w:ascii="Georgia" w:hAnsi="Georgia"/>
          <w:bCs/>
          <w:szCs w:val="24"/>
        </w:rPr>
        <w:t xml:space="preserve"> to the Tribunal</w:t>
      </w:r>
      <w:r w:rsidR="00142F4B" w:rsidRPr="00182566">
        <w:rPr>
          <w:rFonts w:ascii="Georgia" w:hAnsi="Georgia"/>
          <w:bCs/>
          <w:szCs w:val="24"/>
        </w:rPr>
        <w:t xml:space="preserve"> </w:t>
      </w:r>
      <w:r w:rsidR="005762F3" w:rsidRPr="00182566">
        <w:rPr>
          <w:rFonts w:ascii="Georgia" w:hAnsi="Georgia"/>
          <w:bCs/>
          <w:szCs w:val="24"/>
        </w:rPr>
        <w:t>by the Applicants.</w:t>
      </w:r>
      <w:bookmarkEnd w:id="1"/>
    </w:p>
    <w:p w14:paraId="76F88278" w14:textId="6D2901BB" w:rsidR="00FE6202" w:rsidRPr="00182566" w:rsidRDefault="00FE6202" w:rsidP="00FD17F2">
      <w:pPr>
        <w:pStyle w:val="Footer"/>
        <w:numPr>
          <w:ilvl w:val="0"/>
          <w:numId w:val="24"/>
        </w:numPr>
        <w:spacing w:before="240"/>
        <w:jc w:val="both"/>
        <w:rPr>
          <w:rFonts w:ascii="Georgia" w:hAnsi="Georgia"/>
          <w:b/>
          <w:szCs w:val="24"/>
        </w:rPr>
      </w:pPr>
      <w:r w:rsidRPr="00182566">
        <w:rPr>
          <w:rFonts w:ascii="Georgia" w:hAnsi="Georgia"/>
          <w:bCs/>
          <w:szCs w:val="24"/>
        </w:rPr>
        <w:t>The sums</w:t>
      </w:r>
      <w:r w:rsidR="00B85A9E" w:rsidRPr="00182566">
        <w:rPr>
          <w:rFonts w:ascii="Georgia" w:hAnsi="Georgia"/>
          <w:bCs/>
          <w:szCs w:val="24"/>
        </w:rPr>
        <w:t xml:space="preserve"> referred to in paragraphs </w:t>
      </w:r>
      <w:r w:rsidR="00B85A9E" w:rsidRPr="00182566">
        <w:rPr>
          <w:rFonts w:ascii="Georgia" w:hAnsi="Georgia"/>
          <w:bCs/>
          <w:szCs w:val="24"/>
        </w:rPr>
        <w:fldChar w:fldCharType="begin"/>
      </w:r>
      <w:r w:rsidR="00B85A9E" w:rsidRPr="00182566">
        <w:rPr>
          <w:rFonts w:ascii="Georgia" w:hAnsi="Georgia"/>
          <w:bCs/>
          <w:szCs w:val="24"/>
        </w:rPr>
        <w:instrText xml:space="preserve"> REF _Ref178338865 \r \h </w:instrText>
      </w:r>
      <w:r w:rsidR="00182566">
        <w:rPr>
          <w:rFonts w:ascii="Georgia" w:hAnsi="Georgia"/>
          <w:bCs/>
          <w:szCs w:val="24"/>
        </w:rPr>
        <w:instrText xml:space="preserve"> \* MERGEFORMAT </w:instrText>
      </w:r>
      <w:r w:rsidR="00B85A9E" w:rsidRPr="00182566">
        <w:rPr>
          <w:rFonts w:ascii="Georgia" w:hAnsi="Georgia"/>
          <w:bCs/>
          <w:szCs w:val="24"/>
        </w:rPr>
      </w:r>
      <w:r w:rsidR="00B85A9E" w:rsidRPr="00182566">
        <w:rPr>
          <w:rFonts w:ascii="Georgia" w:hAnsi="Georgia"/>
          <w:bCs/>
          <w:szCs w:val="24"/>
        </w:rPr>
        <w:fldChar w:fldCharType="separate"/>
      </w:r>
      <w:r w:rsidR="00A1245B">
        <w:rPr>
          <w:rFonts w:ascii="Georgia" w:hAnsi="Georgia"/>
          <w:bCs/>
          <w:szCs w:val="24"/>
        </w:rPr>
        <w:t>6</w:t>
      </w:r>
      <w:r w:rsidR="00B85A9E" w:rsidRPr="00182566">
        <w:rPr>
          <w:rFonts w:ascii="Georgia" w:hAnsi="Georgia"/>
          <w:bCs/>
          <w:szCs w:val="24"/>
        </w:rPr>
        <w:fldChar w:fldCharType="end"/>
      </w:r>
      <w:r w:rsidR="00B85A9E" w:rsidRPr="00182566">
        <w:rPr>
          <w:rFonts w:ascii="Georgia" w:hAnsi="Georgia"/>
          <w:bCs/>
          <w:szCs w:val="24"/>
        </w:rPr>
        <w:t xml:space="preserve"> &amp; </w:t>
      </w:r>
      <w:r w:rsidR="00B85A9E" w:rsidRPr="00182566">
        <w:rPr>
          <w:rFonts w:ascii="Georgia" w:hAnsi="Georgia"/>
          <w:bCs/>
          <w:szCs w:val="24"/>
        </w:rPr>
        <w:fldChar w:fldCharType="begin"/>
      </w:r>
      <w:r w:rsidR="00B85A9E" w:rsidRPr="00182566">
        <w:rPr>
          <w:rFonts w:ascii="Georgia" w:hAnsi="Georgia"/>
          <w:bCs/>
          <w:szCs w:val="24"/>
        </w:rPr>
        <w:instrText xml:space="preserve"> REF _Ref178338871 \r \h </w:instrText>
      </w:r>
      <w:r w:rsidR="00182566">
        <w:rPr>
          <w:rFonts w:ascii="Georgia" w:hAnsi="Georgia"/>
          <w:bCs/>
          <w:szCs w:val="24"/>
        </w:rPr>
        <w:instrText xml:space="preserve"> \* MERGEFORMAT </w:instrText>
      </w:r>
      <w:r w:rsidR="00B85A9E" w:rsidRPr="00182566">
        <w:rPr>
          <w:rFonts w:ascii="Georgia" w:hAnsi="Georgia"/>
          <w:bCs/>
          <w:szCs w:val="24"/>
        </w:rPr>
      </w:r>
      <w:r w:rsidR="00B85A9E" w:rsidRPr="00182566">
        <w:rPr>
          <w:rFonts w:ascii="Georgia" w:hAnsi="Georgia"/>
          <w:bCs/>
          <w:szCs w:val="24"/>
        </w:rPr>
        <w:fldChar w:fldCharType="separate"/>
      </w:r>
      <w:r w:rsidR="00A1245B">
        <w:rPr>
          <w:rFonts w:ascii="Georgia" w:hAnsi="Georgia"/>
          <w:bCs/>
          <w:szCs w:val="24"/>
        </w:rPr>
        <w:t>7</w:t>
      </w:r>
      <w:r w:rsidR="00B85A9E" w:rsidRPr="00182566">
        <w:rPr>
          <w:rFonts w:ascii="Georgia" w:hAnsi="Georgia"/>
          <w:bCs/>
          <w:szCs w:val="24"/>
        </w:rPr>
        <w:fldChar w:fldCharType="end"/>
      </w:r>
      <w:r w:rsidRPr="00182566">
        <w:rPr>
          <w:rFonts w:ascii="Georgia" w:hAnsi="Georgia"/>
          <w:bCs/>
          <w:szCs w:val="24"/>
        </w:rPr>
        <w:t xml:space="preserve"> are payable </w:t>
      </w:r>
      <w:r w:rsidR="00B85A9E" w:rsidRPr="00182566">
        <w:rPr>
          <w:rFonts w:ascii="Georgia" w:hAnsi="Georgia"/>
          <w:bCs/>
          <w:szCs w:val="24"/>
        </w:rPr>
        <w:t>by the Respondent</w:t>
      </w:r>
      <w:r w:rsidR="00A1245B">
        <w:rPr>
          <w:rFonts w:ascii="Georgia" w:hAnsi="Georgia"/>
          <w:bCs/>
          <w:szCs w:val="24"/>
        </w:rPr>
        <w:t>s</w:t>
      </w:r>
      <w:r w:rsidR="00B85A9E" w:rsidRPr="00182566">
        <w:rPr>
          <w:rFonts w:ascii="Georgia" w:hAnsi="Georgia"/>
          <w:bCs/>
          <w:szCs w:val="24"/>
        </w:rPr>
        <w:t xml:space="preserve"> </w:t>
      </w:r>
      <w:r w:rsidRPr="00182566">
        <w:rPr>
          <w:rFonts w:ascii="Georgia" w:hAnsi="Georgia"/>
          <w:bCs/>
          <w:szCs w:val="24"/>
        </w:rPr>
        <w:t>within 28 days</w:t>
      </w:r>
      <w:r w:rsidR="00B85A9E" w:rsidRPr="00182566">
        <w:rPr>
          <w:rFonts w:ascii="Georgia" w:hAnsi="Georgia"/>
          <w:bCs/>
          <w:szCs w:val="24"/>
        </w:rPr>
        <w:t xml:space="preserve"> of the date of receipt of this decision</w:t>
      </w:r>
      <w:r w:rsidRPr="00182566">
        <w:rPr>
          <w:rFonts w:ascii="Georgia" w:hAnsi="Georgia"/>
          <w:bCs/>
          <w:szCs w:val="24"/>
        </w:rPr>
        <w:t xml:space="preserve"> and </w:t>
      </w:r>
      <w:r w:rsidR="00514640" w:rsidRPr="00182566">
        <w:rPr>
          <w:rFonts w:ascii="Georgia" w:hAnsi="Georgia"/>
          <w:bCs/>
          <w:szCs w:val="24"/>
        </w:rPr>
        <w:t xml:space="preserve">may </w:t>
      </w:r>
      <w:r w:rsidRPr="00182566">
        <w:rPr>
          <w:rFonts w:ascii="Georgia" w:hAnsi="Georgia"/>
          <w:bCs/>
          <w:szCs w:val="24"/>
        </w:rPr>
        <w:t>be paid</w:t>
      </w:r>
      <w:r w:rsidR="00142F4B" w:rsidRPr="00182566">
        <w:rPr>
          <w:rFonts w:ascii="Georgia" w:hAnsi="Georgia"/>
          <w:bCs/>
          <w:szCs w:val="24"/>
        </w:rPr>
        <w:t>, subject to it obtaining written authority from each Applicant</w:t>
      </w:r>
      <w:r w:rsidR="00382F8A" w:rsidRPr="00182566">
        <w:rPr>
          <w:rFonts w:ascii="Georgia" w:hAnsi="Georgia"/>
          <w:bCs/>
          <w:szCs w:val="24"/>
        </w:rPr>
        <w:t>,</w:t>
      </w:r>
      <w:r w:rsidRPr="00182566">
        <w:rPr>
          <w:rFonts w:ascii="Georgia" w:hAnsi="Georgia"/>
          <w:bCs/>
          <w:szCs w:val="24"/>
        </w:rPr>
        <w:t xml:space="preserve"> into </w:t>
      </w:r>
      <w:r w:rsidR="00382F8A" w:rsidRPr="00182566">
        <w:rPr>
          <w:rFonts w:ascii="Georgia" w:hAnsi="Georgia"/>
          <w:bCs/>
          <w:szCs w:val="24"/>
        </w:rPr>
        <w:t>one nominated bank</w:t>
      </w:r>
      <w:r w:rsidRPr="00182566">
        <w:rPr>
          <w:rFonts w:ascii="Georgia" w:hAnsi="Georgia"/>
          <w:bCs/>
          <w:szCs w:val="24"/>
        </w:rPr>
        <w:t xml:space="preserve"> account</w:t>
      </w:r>
      <w:r w:rsidR="00382F8A" w:rsidRPr="00182566">
        <w:rPr>
          <w:rFonts w:ascii="Georgia" w:hAnsi="Georgia"/>
          <w:bCs/>
          <w:szCs w:val="24"/>
        </w:rPr>
        <w:t>.</w:t>
      </w:r>
    </w:p>
    <w:p w14:paraId="2AA473B6" w14:textId="77777777" w:rsidR="00FD17F2" w:rsidRPr="00182566" w:rsidRDefault="005762F3" w:rsidP="00CD3CD2">
      <w:pPr>
        <w:pStyle w:val="Footer"/>
        <w:numPr>
          <w:ilvl w:val="0"/>
          <w:numId w:val="24"/>
        </w:numPr>
        <w:spacing w:before="240"/>
        <w:jc w:val="both"/>
        <w:rPr>
          <w:rFonts w:ascii="Georgia" w:hAnsi="Georgia"/>
          <w:b/>
          <w:bCs/>
        </w:rPr>
      </w:pPr>
      <w:r w:rsidRPr="00182566">
        <w:rPr>
          <w:rFonts w:ascii="Georgia" w:hAnsi="Georgia"/>
          <w:bCs/>
          <w:szCs w:val="24"/>
        </w:rPr>
        <w:t>The reasons for the Tribunal’s decision are set out below.</w:t>
      </w:r>
      <w:r w:rsidR="003B10D2" w:rsidRPr="00182566">
        <w:rPr>
          <w:rFonts w:ascii="Georgia" w:hAnsi="Georgia"/>
          <w:bCs/>
          <w:szCs w:val="24"/>
        </w:rPr>
        <w:t xml:space="preserve"> </w:t>
      </w:r>
      <w:r w:rsidR="0002120C" w:rsidRPr="00182566">
        <w:rPr>
          <w:rFonts w:ascii="Georgia" w:hAnsi="Georgia"/>
          <w:bCs/>
          <w:szCs w:val="24"/>
        </w:rPr>
        <w:t xml:space="preserve"> </w:t>
      </w:r>
    </w:p>
    <w:p w14:paraId="1EFA94AE" w14:textId="2647C6DB" w:rsidR="00CD3CD2" w:rsidRPr="00182566" w:rsidRDefault="004B6B61" w:rsidP="00FD17F2">
      <w:pPr>
        <w:pStyle w:val="Footer"/>
        <w:spacing w:before="240"/>
        <w:jc w:val="both"/>
        <w:rPr>
          <w:rFonts w:ascii="Georgia" w:hAnsi="Georgia"/>
          <w:b/>
          <w:bCs/>
        </w:rPr>
      </w:pPr>
      <w:r w:rsidRPr="00182566">
        <w:rPr>
          <w:rFonts w:ascii="Georgia" w:hAnsi="Georgia"/>
          <w:b/>
          <w:bCs/>
        </w:rPr>
        <w:t>Background</w:t>
      </w:r>
    </w:p>
    <w:p w14:paraId="4D0ABF0F" w14:textId="63CCAAAB" w:rsidR="008F210D" w:rsidRPr="00182566" w:rsidRDefault="004D532B" w:rsidP="0011159A">
      <w:pPr>
        <w:numPr>
          <w:ilvl w:val="0"/>
          <w:numId w:val="24"/>
        </w:numPr>
        <w:jc w:val="both"/>
        <w:rPr>
          <w:rFonts w:ascii="Georgia" w:hAnsi="Georgia"/>
          <w:b/>
        </w:rPr>
      </w:pPr>
      <w:r w:rsidRPr="00182566">
        <w:rPr>
          <w:rFonts w:ascii="Georgia" w:hAnsi="Georgia"/>
        </w:rPr>
        <w:t xml:space="preserve">The </w:t>
      </w:r>
      <w:r w:rsidR="008F210D" w:rsidRPr="00182566">
        <w:rPr>
          <w:rFonts w:ascii="Georgia" w:hAnsi="Georgia"/>
        </w:rPr>
        <w:t>P</w:t>
      </w:r>
      <w:r w:rsidRPr="00182566">
        <w:rPr>
          <w:rFonts w:ascii="Georgia" w:hAnsi="Georgia"/>
        </w:rPr>
        <w:t>roperty is a three bedroom</w:t>
      </w:r>
      <w:r w:rsidR="000D7D3D" w:rsidRPr="00182566">
        <w:rPr>
          <w:rFonts w:ascii="Georgia" w:hAnsi="Georgia"/>
        </w:rPr>
        <w:t xml:space="preserve"> self-contained </w:t>
      </w:r>
      <w:r w:rsidRPr="00182566">
        <w:rPr>
          <w:rFonts w:ascii="Georgia" w:hAnsi="Georgia"/>
        </w:rPr>
        <w:t xml:space="preserve">first floor flat within </w:t>
      </w:r>
      <w:r w:rsidR="008F6C6E" w:rsidRPr="00182566">
        <w:rPr>
          <w:rFonts w:ascii="Georgia" w:hAnsi="Georgia"/>
        </w:rPr>
        <w:t xml:space="preserve">a </w:t>
      </w:r>
      <w:r w:rsidR="000D7D3D" w:rsidRPr="00182566">
        <w:rPr>
          <w:rFonts w:ascii="Georgia" w:hAnsi="Georgia"/>
        </w:rPr>
        <w:t>terrace</w:t>
      </w:r>
      <w:r w:rsidR="00940DB5">
        <w:rPr>
          <w:rFonts w:ascii="Georgia" w:hAnsi="Georgia"/>
        </w:rPr>
        <w:t xml:space="preserve"> </w:t>
      </w:r>
      <w:r w:rsidR="000D7D3D" w:rsidRPr="00182566">
        <w:rPr>
          <w:rFonts w:ascii="Georgia" w:hAnsi="Georgia"/>
        </w:rPr>
        <w:t xml:space="preserve">block.  Historically the building was a community/shopping centre </w:t>
      </w:r>
      <w:r w:rsidR="008F210D" w:rsidRPr="00182566">
        <w:rPr>
          <w:rFonts w:ascii="Georgia" w:hAnsi="Georgia"/>
        </w:rPr>
        <w:t xml:space="preserve">which has </w:t>
      </w:r>
      <w:r w:rsidR="00161279" w:rsidRPr="00182566">
        <w:rPr>
          <w:rFonts w:ascii="Georgia" w:hAnsi="Georgia"/>
        </w:rPr>
        <w:t>subsequently</w:t>
      </w:r>
      <w:r w:rsidR="000D7D3D" w:rsidRPr="00182566">
        <w:rPr>
          <w:rFonts w:ascii="Georgia" w:hAnsi="Georgia"/>
        </w:rPr>
        <w:t xml:space="preserve"> </w:t>
      </w:r>
      <w:r w:rsidR="008F6C6E" w:rsidRPr="00182566">
        <w:rPr>
          <w:rFonts w:ascii="Georgia" w:hAnsi="Georgia"/>
        </w:rPr>
        <w:t xml:space="preserve">been </w:t>
      </w:r>
      <w:r w:rsidR="000D7D3D" w:rsidRPr="00182566">
        <w:rPr>
          <w:rFonts w:ascii="Georgia" w:hAnsi="Georgia"/>
        </w:rPr>
        <w:t>s</w:t>
      </w:r>
      <w:r w:rsidR="00161279" w:rsidRPr="00182566">
        <w:rPr>
          <w:rFonts w:ascii="Georgia" w:hAnsi="Georgia"/>
        </w:rPr>
        <w:t>p</w:t>
      </w:r>
      <w:r w:rsidR="000D7D3D" w:rsidRPr="00182566">
        <w:rPr>
          <w:rFonts w:ascii="Georgia" w:hAnsi="Georgia"/>
        </w:rPr>
        <w:t xml:space="preserve">lit into </w:t>
      </w:r>
      <w:r w:rsidR="00940DB5">
        <w:rPr>
          <w:rFonts w:ascii="Georgia" w:hAnsi="Georgia"/>
        </w:rPr>
        <w:t>separate</w:t>
      </w:r>
      <w:r w:rsidR="000D7D3D" w:rsidRPr="00182566">
        <w:rPr>
          <w:rFonts w:ascii="Georgia" w:hAnsi="Georgia"/>
        </w:rPr>
        <w:t xml:space="preserve"> units.  The leaseholders</w:t>
      </w:r>
      <w:r w:rsidR="00161279" w:rsidRPr="00182566">
        <w:rPr>
          <w:rFonts w:ascii="Georgia" w:hAnsi="Georgia"/>
        </w:rPr>
        <w:t xml:space="preserve"> of the units </w:t>
      </w:r>
      <w:r w:rsidR="00D95D25" w:rsidRPr="00182566">
        <w:rPr>
          <w:rFonts w:ascii="Georgia" w:hAnsi="Georgia"/>
        </w:rPr>
        <w:t>own</w:t>
      </w:r>
      <w:r w:rsidR="00A05817" w:rsidRPr="00182566">
        <w:rPr>
          <w:rFonts w:ascii="Georgia" w:hAnsi="Georgia"/>
        </w:rPr>
        <w:t xml:space="preserve"> </w:t>
      </w:r>
      <w:r w:rsidR="000D7D3D" w:rsidRPr="00182566">
        <w:rPr>
          <w:rFonts w:ascii="Georgia" w:hAnsi="Georgia"/>
        </w:rPr>
        <w:t>shares in the Management Company</w:t>
      </w:r>
      <w:r w:rsidR="00161279" w:rsidRPr="00182566">
        <w:rPr>
          <w:rFonts w:ascii="Georgia" w:hAnsi="Georgia"/>
        </w:rPr>
        <w:t xml:space="preserve"> which owns and manages the freehold.  T</w:t>
      </w:r>
      <w:r w:rsidR="000D7D3D" w:rsidRPr="00182566">
        <w:rPr>
          <w:rFonts w:ascii="Georgia" w:hAnsi="Georgia"/>
        </w:rPr>
        <w:t xml:space="preserve">he Respondent owns two ground floor flats </w:t>
      </w:r>
      <w:r w:rsidR="00940DB5">
        <w:rPr>
          <w:rFonts w:ascii="Georgia" w:hAnsi="Georgia"/>
        </w:rPr>
        <w:t>in addition to t</w:t>
      </w:r>
      <w:r w:rsidR="000D7D3D" w:rsidRPr="00182566">
        <w:rPr>
          <w:rFonts w:ascii="Georgia" w:hAnsi="Georgia"/>
        </w:rPr>
        <w:t xml:space="preserve">he Property but </w:t>
      </w:r>
      <w:r w:rsidR="00161279" w:rsidRPr="00182566">
        <w:rPr>
          <w:rFonts w:ascii="Georgia" w:hAnsi="Georgia"/>
        </w:rPr>
        <w:t xml:space="preserve">does not own </w:t>
      </w:r>
      <w:r w:rsidR="000D7D3D" w:rsidRPr="00182566">
        <w:rPr>
          <w:rFonts w:ascii="Georgia" w:hAnsi="Georgia"/>
        </w:rPr>
        <w:t xml:space="preserve">the basement. </w:t>
      </w:r>
    </w:p>
    <w:p w14:paraId="0B0E71D6" w14:textId="44D86092" w:rsidR="00C8064B" w:rsidRPr="00182566" w:rsidRDefault="00FC5825" w:rsidP="00FD17F2">
      <w:pPr>
        <w:numPr>
          <w:ilvl w:val="0"/>
          <w:numId w:val="24"/>
        </w:numPr>
        <w:spacing w:before="240"/>
        <w:jc w:val="both"/>
        <w:rPr>
          <w:rFonts w:ascii="Georgia" w:hAnsi="Georgia"/>
          <w:b/>
        </w:rPr>
      </w:pPr>
      <w:r w:rsidRPr="00182566">
        <w:rPr>
          <w:rFonts w:ascii="Georgia" w:hAnsi="Georgia"/>
        </w:rPr>
        <w:t xml:space="preserve">The Property </w:t>
      </w:r>
      <w:r w:rsidR="000D7D3D" w:rsidRPr="00182566">
        <w:rPr>
          <w:rFonts w:ascii="Georgia" w:hAnsi="Georgia"/>
        </w:rPr>
        <w:t xml:space="preserve">has </w:t>
      </w:r>
      <w:r w:rsidRPr="00182566">
        <w:rPr>
          <w:rFonts w:ascii="Georgia" w:hAnsi="Georgia"/>
        </w:rPr>
        <w:t xml:space="preserve"> its own entrance door</w:t>
      </w:r>
      <w:r w:rsidR="00940DB5">
        <w:rPr>
          <w:rFonts w:ascii="Georgia" w:hAnsi="Georgia"/>
        </w:rPr>
        <w:t>,</w:t>
      </w:r>
      <w:r w:rsidRPr="00182566">
        <w:rPr>
          <w:rFonts w:ascii="Georgia" w:hAnsi="Georgia"/>
        </w:rPr>
        <w:t xml:space="preserve"> but access</w:t>
      </w:r>
      <w:r w:rsidR="008F210D" w:rsidRPr="00182566">
        <w:rPr>
          <w:rFonts w:ascii="Georgia" w:hAnsi="Georgia"/>
        </w:rPr>
        <w:t xml:space="preserve"> </w:t>
      </w:r>
      <w:r w:rsidR="00940DB5" w:rsidRPr="00182566">
        <w:rPr>
          <w:rFonts w:ascii="Georgia" w:hAnsi="Georgia"/>
        </w:rPr>
        <w:t xml:space="preserve">from the street </w:t>
      </w:r>
      <w:r w:rsidR="008F210D" w:rsidRPr="00182566">
        <w:rPr>
          <w:rFonts w:ascii="Georgia" w:hAnsi="Georgia"/>
        </w:rPr>
        <w:t>to the building</w:t>
      </w:r>
      <w:r w:rsidR="00940DB5">
        <w:rPr>
          <w:rFonts w:ascii="Georgia" w:hAnsi="Georgia"/>
        </w:rPr>
        <w:t xml:space="preserve"> is via </w:t>
      </w:r>
      <w:r w:rsidRPr="00182566">
        <w:rPr>
          <w:rFonts w:ascii="Georgia" w:hAnsi="Georgia"/>
        </w:rPr>
        <w:t xml:space="preserve">a communal </w:t>
      </w:r>
      <w:r w:rsidR="008F210D" w:rsidRPr="00182566">
        <w:rPr>
          <w:rFonts w:ascii="Georgia" w:hAnsi="Georgia"/>
        </w:rPr>
        <w:t>external</w:t>
      </w:r>
      <w:r w:rsidRPr="00182566">
        <w:rPr>
          <w:rFonts w:ascii="Georgia" w:hAnsi="Georgia"/>
        </w:rPr>
        <w:t xml:space="preserve"> door. The bundle</w:t>
      </w:r>
      <w:r w:rsidR="005B4B7E" w:rsidRPr="00182566">
        <w:rPr>
          <w:rFonts w:ascii="Georgia" w:hAnsi="Georgia"/>
        </w:rPr>
        <w:t xml:space="preserve"> of documents</w:t>
      </w:r>
      <w:r w:rsidR="00940DB5">
        <w:rPr>
          <w:rFonts w:ascii="Georgia" w:hAnsi="Georgia"/>
        </w:rPr>
        <w:t>,</w:t>
      </w:r>
      <w:r w:rsidR="005B4B7E" w:rsidRPr="00182566">
        <w:rPr>
          <w:rFonts w:ascii="Georgia" w:hAnsi="Georgia"/>
        </w:rPr>
        <w:t xml:space="preserve"> received by the Tribunal</w:t>
      </w:r>
      <w:r w:rsidR="00940DB5">
        <w:rPr>
          <w:rFonts w:ascii="Georgia" w:hAnsi="Georgia"/>
        </w:rPr>
        <w:t>,</w:t>
      </w:r>
      <w:r w:rsidR="005B4B7E" w:rsidRPr="00182566">
        <w:rPr>
          <w:rFonts w:ascii="Georgia" w:hAnsi="Georgia"/>
        </w:rPr>
        <w:t xml:space="preserve"> </w:t>
      </w:r>
      <w:r w:rsidR="008F210D" w:rsidRPr="00182566">
        <w:rPr>
          <w:rFonts w:ascii="Georgia" w:hAnsi="Georgia"/>
        </w:rPr>
        <w:t xml:space="preserve">included </w:t>
      </w:r>
      <w:r w:rsidR="00C8064B" w:rsidRPr="00182566">
        <w:rPr>
          <w:rFonts w:ascii="Georgia" w:hAnsi="Georgia"/>
        </w:rPr>
        <w:t>copies of</w:t>
      </w:r>
      <w:r w:rsidRPr="00182566">
        <w:rPr>
          <w:rFonts w:ascii="Georgia" w:hAnsi="Georgia"/>
        </w:rPr>
        <w:t xml:space="preserve"> two tenancy agreements </w:t>
      </w:r>
      <w:r w:rsidR="00073AAD" w:rsidRPr="00182566">
        <w:rPr>
          <w:rFonts w:ascii="Georgia" w:hAnsi="Georgia"/>
        </w:rPr>
        <w:t xml:space="preserve">dated 25 </w:t>
      </w:r>
      <w:r w:rsidR="00541CB1" w:rsidRPr="00182566">
        <w:rPr>
          <w:rFonts w:ascii="Georgia" w:hAnsi="Georgia"/>
        </w:rPr>
        <w:t>F</w:t>
      </w:r>
      <w:r w:rsidR="00073AAD" w:rsidRPr="00182566">
        <w:rPr>
          <w:rFonts w:ascii="Georgia" w:hAnsi="Georgia"/>
        </w:rPr>
        <w:t>ebruary 2022 and 25 February 2023</w:t>
      </w:r>
      <w:r w:rsidR="00B33E67" w:rsidRPr="00182566">
        <w:rPr>
          <w:rFonts w:ascii="Georgia" w:hAnsi="Georgia"/>
        </w:rPr>
        <w:t xml:space="preserve"> respectively</w:t>
      </w:r>
      <w:r w:rsidR="00073AAD" w:rsidRPr="00182566">
        <w:rPr>
          <w:rFonts w:ascii="Georgia" w:hAnsi="Georgia"/>
        </w:rPr>
        <w:t xml:space="preserve">.  </w:t>
      </w:r>
      <w:r w:rsidR="00C8064B" w:rsidRPr="00182566">
        <w:rPr>
          <w:rFonts w:ascii="Georgia" w:hAnsi="Georgia"/>
        </w:rPr>
        <w:t>The application refers to the rent paid by each</w:t>
      </w:r>
      <w:r w:rsidR="00B33E67" w:rsidRPr="00182566">
        <w:rPr>
          <w:rFonts w:ascii="Georgia" w:hAnsi="Georgia"/>
        </w:rPr>
        <w:t xml:space="preserve"> of the</w:t>
      </w:r>
      <w:r w:rsidR="00C8064B" w:rsidRPr="00182566">
        <w:rPr>
          <w:rFonts w:ascii="Georgia" w:hAnsi="Georgia"/>
        </w:rPr>
        <w:t xml:space="preserve"> </w:t>
      </w:r>
      <w:r w:rsidR="00B33E67" w:rsidRPr="00182566">
        <w:rPr>
          <w:rFonts w:ascii="Georgia" w:hAnsi="Georgia"/>
        </w:rPr>
        <w:t>A</w:t>
      </w:r>
      <w:r w:rsidR="00C8064B" w:rsidRPr="00182566">
        <w:rPr>
          <w:rFonts w:ascii="Georgia" w:hAnsi="Georgia"/>
        </w:rPr>
        <w:t>pplicant</w:t>
      </w:r>
      <w:r w:rsidR="00B33E67" w:rsidRPr="00182566">
        <w:rPr>
          <w:rFonts w:ascii="Georgia" w:hAnsi="Georgia"/>
        </w:rPr>
        <w:t>s</w:t>
      </w:r>
      <w:r w:rsidR="00C8064B" w:rsidRPr="00182566">
        <w:rPr>
          <w:rFonts w:ascii="Georgia" w:hAnsi="Georgia"/>
        </w:rPr>
        <w:t xml:space="preserve"> </w:t>
      </w:r>
      <w:r w:rsidR="00B33E67" w:rsidRPr="00182566">
        <w:rPr>
          <w:rFonts w:ascii="Georgia" w:hAnsi="Georgia"/>
        </w:rPr>
        <w:t xml:space="preserve">during </w:t>
      </w:r>
      <w:r w:rsidR="002019A2" w:rsidRPr="00182566">
        <w:rPr>
          <w:rFonts w:ascii="Georgia" w:hAnsi="Georgia"/>
        </w:rPr>
        <w:t xml:space="preserve">various periods of </w:t>
      </w:r>
      <w:r w:rsidR="00B33E67" w:rsidRPr="00182566">
        <w:rPr>
          <w:rFonts w:ascii="Georgia" w:hAnsi="Georgia"/>
        </w:rPr>
        <w:t>the tenancy</w:t>
      </w:r>
      <w:r w:rsidR="008F210D" w:rsidRPr="00182566">
        <w:rPr>
          <w:rFonts w:ascii="Georgia" w:hAnsi="Georgia"/>
        </w:rPr>
        <w:t xml:space="preserve"> and contains written e</w:t>
      </w:r>
      <w:r w:rsidR="00C8064B" w:rsidRPr="00182566">
        <w:rPr>
          <w:rFonts w:ascii="Georgia" w:hAnsi="Georgia"/>
        </w:rPr>
        <w:t>vidence of payment of the rent to the Landlord’s agent</w:t>
      </w:r>
      <w:r w:rsidR="008F210D" w:rsidRPr="00182566">
        <w:rPr>
          <w:rFonts w:ascii="Georgia" w:hAnsi="Georgia"/>
        </w:rPr>
        <w:t>.</w:t>
      </w:r>
    </w:p>
    <w:p w14:paraId="2A69066B" w14:textId="5F3B38AD" w:rsidR="00BF6812" w:rsidRPr="00182566" w:rsidRDefault="00C8064B" w:rsidP="00FD17F2">
      <w:pPr>
        <w:numPr>
          <w:ilvl w:val="0"/>
          <w:numId w:val="24"/>
        </w:numPr>
        <w:spacing w:before="240"/>
        <w:jc w:val="both"/>
        <w:rPr>
          <w:rFonts w:ascii="Georgia" w:hAnsi="Georgia"/>
          <w:b/>
        </w:rPr>
      </w:pPr>
      <w:r w:rsidRPr="00182566">
        <w:rPr>
          <w:rFonts w:ascii="Georgia" w:hAnsi="Georgia"/>
        </w:rPr>
        <w:t xml:space="preserve">The Property </w:t>
      </w:r>
      <w:r w:rsidR="00824D4F" w:rsidRPr="00182566">
        <w:rPr>
          <w:rFonts w:ascii="Georgia" w:hAnsi="Georgia"/>
        </w:rPr>
        <w:t>was</w:t>
      </w:r>
      <w:r w:rsidR="005B4B7E" w:rsidRPr="00182566">
        <w:rPr>
          <w:rFonts w:ascii="Georgia" w:hAnsi="Georgia"/>
        </w:rPr>
        <w:t xml:space="preserve"> owned</w:t>
      </w:r>
      <w:r w:rsidRPr="00182566">
        <w:rPr>
          <w:rFonts w:ascii="Georgia" w:hAnsi="Georgia"/>
        </w:rPr>
        <w:t xml:space="preserve"> by </w:t>
      </w:r>
      <w:r w:rsidR="00C117A9" w:rsidRPr="00182566">
        <w:rPr>
          <w:rFonts w:ascii="Georgia" w:hAnsi="Georgia"/>
        </w:rPr>
        <w:t>Roy Jackson</w:t>
      </w:r>
      <w:r w:rsidR="00824D4F" w:rsidRPr="00182566">
        <w:rPr>
          <w:rFonts w:ascii="Georgia" w:hAnsi="Georgia"/>
        </w:rPr>
        <w:t>,</w:t>
      </w:r>
      <w:r w:rsidR="00C117A9" w:rsidRPr="00182566">
        <w:rPr>
          <w:rFonts w:ascii="Georgia" w:hAnsi="Georgia"/>
        </w:rPr>
        <w:t xml:space="preserve"> until </w:t>
      </w:r>
      <w:r w:rsidR="00A05817" w:rsidRPr="00182566">
        <w:rPr>
          <w:rFonts w:ascii="Georgia" w:hAnsi="Georgia"/>
        </w:rPr>
        <w:t xml:space="preserve">his death in </w:t>
      </w:r>
      <w:r w:rsidR="00C117A9" w:rsidRPr="00182566">
        <w:rPr>
          <w:rFonts w:ascii="Georgia" w:hAnsi="Georgia"/>
        </w:rPr>
        <w:t xml:space="preserve">May 2020.   </w:t>
      </w:r>
      <w:r w:rsidR="00A05817" w:rsidRPr="00182566">
        <w:rPr>
          <w:rFonts w:ascii="Georgia" w:hAnsi="Georgia"/>
        </w:rPr>
        <w:t xml:space="preserve">Thereafter it was </w:t>
      </w:r>
      <w:r w:rsidR="00194749" w:rsidRPr="00182566">
        <w:rPr>
          <w:rFonts w:ascii="Georgia" w:hAnsi="Georgia"/>
        </w:rPr>
        <w:t xml:space="preserve"> transferred to </w:t>
      </w:r>
      <w:r w:rsidR="009036A9" w:rsidRPr="00182566">
        <w:rPr>
          <w:rFonts w:ascii="Georgia" w:hAnsi="Georgia"/>
        </w:rPr>
        <w:t xml:space="preserve">Mrs Collins.  It was </w:t>
      </w:r>
      <w:r w:rsidR="00D3055B" w:rsidRPr="00182566">
        <w:rPr>
          <w:rFonts w:ascii="Georgia" w:hAnsi="Georgia"/>
        </w:rPr>
        <w:t>one</w:t>
      </w:r>
      <w:r w:rsidR="009036A9" w:rsidRPr="00182566">
        <w:rPr>
          <w:rFonts w:ascii="Georgia" w:hAnsi="Georgia"/>
        </w:rPr>
        <w:t xml:space="preserve"> of a portfolio of properties</w:t>
      </w:r>
      <w:r w:rsidR="00B33E67" w:rsidRPr="00182566">
        <w:rPr>
          <w:rFonts w:ascii="Georgia" w:hAnsi="Georgia"/>
        </w:rPr>
        <w:t xml:space="preserve">, </w:t>
      </w:r>
      <w:r w:rsidR="009036A9" w:rsidRPr="00182566">
        <w:rPr>
          <w:rFonts w:ascii="Georgia" w:hAnsi="Georgia"/>
        </w:rPr>
        <w:t xml:space="preserve"> </w:t>
      </w:r>
      <w:r w:rsidR="00BF6812" w:rsidRPr="00182566">
        <w:rPr>
          <w:rFonts w:ascii="Georgia" w:hAnsi="Georgia"/>
        </w:rPr>
        <w:t>inherited by the Respondents</w:t>
      </w:r>
      <w:r w:rsidR="006D4556" w:rsidRPr="00182566">
        <w:rPr>
          <w:rFonts w:ascii="Georgia" w:hAnsi="Georgia"/>
        </w:rPr>
        <w:t xml:space="preserve">, </w:t>
      </w:r>
      <w:r w:rsidR="005B4B7E" w:rsidRPr="00182566">
        <w:rPr>
          <w:rFonts w:ascii="Georgia" w:hAnsi="Georgia"/>
        </w:rPr>
        <w:t>who are mother and daughter.</w:t>
      </w:r>
    </w:p>
    <w:p w14:paraId="48DB832D" w14:textId="48E97881" w:rsidR="00C8064B" w:rsidRPr="00182566" w:rsidRDefault="009969A9" w:rsidP="00FD17F2">
      <w:pPr>
        <w:numPr>
          <w:ilvl w:val="0"/>
          <w:numId w:val="24"/>
        </w:numPr>
        <w:spacing w:before="240"/>
        <w:jc w:val="both"/>
        <w:rPr>
          <w:rFonts w:ascii="Georgia" w:hAnsi="Georgia"/>
          <w:b/>
        </w:rPr>
      </w:pPr>
      <w:r w:rsidRPr="00182566">
        <w:rPr>
          <w:rFonts w:ascii="Georgia" w:hAnsi="Georgia"/>
        </w:rPr>
        <w:t>Bespoke Lettings and Management Limited</w:t>
      </w:r>
      <w:r w:rsidR="009C1721" w:rsidRPr="00182566">
        <w:rPr>
          <w:rFonts w:ascii="Georgia" w:hAnsi="Georgia"/>
        </w:rPr>
        <w:t xml:space="preserve"> (Bespoke)</w:t>
      </w:r>
      <w:r w:rsidRPr="00182566">
        <w:rPr>
          <w:rFonts w:ascii="Georgia" w:hAnsi="Georgia"/>
        </w:rPr>
        <w:t xml:space="preserve"> managed the Property between February 2021 and February 2023 and signed</w:t>
      </w:r>
      <w:r w:rsidR="0092085E" w:rsidRPr="00182566">
        <w:rPr>
          <w:rFonts w:ascii="Georgia" w:hAnsi="Georgia"/>
        </w:rPr>
        <w:t xml:space="preserve"> both</w:t>
      </w:r>
      <w:r w:rsidRPr="00182566">
        <w:rPr>
          <w:rFonts w:ascii="Georgia" w:hAnsi="Georgia"/>
        </w:rPr>
        <w:t xml:space="preserve"> tenancy agreements </w:t>
      </w:r>
      <w:r w:rsidR="006D4556" w:rsidRPr="00182566">
        <w:rPr>
          <w:rFonts w:ascii="Georgia" w:hAnsi="Georgia"/>
        </w:rPr>
        <w:t>for</w:t>
      </w:r>
      <w:r w:rsidRPr="00182566">
        <w:rPr>
          <w:rFonts w:ascii="Georgia" w:hAnsi="Georgia"/>
        </w:rPr>
        <w:t xml:space="preserve"> the Respondents.  Mr </w:t>
      </w:r>
      <w:r w:rsidR="005B4B7E" w:rsidRPr="00182566">
        <w:rPr>
          <w:rFonts w:ascii="Georgia" w:hAnsi="Georgia"/>
        </w:rPr>
        <w:t xml:space="preserve">Collins </w:t>
      </w:r>
      <w:r w:rsidR="00213503" w:rsidRPr="00182566">
        <w:rPr>
          <w:rFonts w:ascii="Georgia" w:hAnsi="Georgia"/>
        </w:rPr>
        <w:t xml:space="preserve">managed the </w:t>
      </w:r>
      <w:r w:rsidR="00213503" w:rsidRPr="00182566">
        <w:rPr>
          <w:rFonts w:ascii="Georgia" w:hAnsi="Georgia"/>
        </w:rPr>
        <w:lastRenderedPageBreak/>
        <w:t>Property alongside the letting agent</w:t>
      </w:r>
      <w:r w:rsidR="005B4B7E" w:rsidRPr="00182566">
        <w:rPr>
          <w:rFonts w:ascii="Georgia" w:hAnsi="Georgia"/>
        </w:rPr>
        <w:t>,</w:t>
      </w:r>
      <w:r w:rsidR="00213503" w:rsidRPr="00182566">
        <w:rPr>
          <w:rFonts w:ascii="Georgia" w:hAnsi="Georgia"/>
        </w:rPr>
        <w:t xml:space="preserve"> but</w:t>
      </w:r>
      <w:r w:rsidR="005B4B7E" w:rsidRPr="00182566">
        <w:rPr>
          <w:rFonts w:ascii="Georgia" w:hAnsi="Georgia"/>
        </w:rPr>
        <w:t xml:space="preserve"> he and his wife  </w:t>
      </w:r>
      <w:r w:rsidR="00213503" w:rsidRPr="00182566">
        <w:rPr>
          <w:rFonts w:ascii="Georgia" w:hAnsi="Georgia"/>
        </w:rPr>
        <w:t xml:space="preserve">did not live </w:t>
      </w:r>
      <w:r w:rsidR="005B4B7E" w:rsidRPr="00182566">
        <w:rPr>
          <w:rFonts w:ascii="Georgia" w:hAnsi="Georgia"/>
        </w:rPr>
        <w:t xml:space="preserve">in or near </w:t>
      </w:r>
      <w:r w:rsidR="0092085E" w:rsidRPr="00182566">
        <w:rPr>
          <w:rFonts w:ascii="Georgia" w:hAnsi="Georgia"/>
        </w:rPr>
        <w:t>Bristo</w:t>
      </w:r>
      <w:r w:rsidR="00C55BC3" w:rsidRPr="00182566">
        <w:rPr>
          <w:rFonts w:ascii="Georgia" w:hAnsi="Georgia"/>
        </w:rPr>
        <w:t xml:space="preserve">l.  </w:t>
      </w:r>
      <w:r w:rsidR="005B4B7E" w:rsidRPr="00182566">
        <w:rPr>
          <w:rFonts w:ascii="Georgia" w:hAnsi="Georgia"/>
        </w:rPr>
        <w:t xml:space="preserve">The Tribunal was told that they had visited </w:t>
      </w:r>
      <w:r w:rsidR="00C55BC3" w:rsidRPr="00182566">
        <w:rPr>
          <w:rFonts w:ascii="Georgia" w:hAnsi="Georgia"/>
        </w:rPr>
        <w:t xml:space="preserve">the Property </w:t>
      </w:r>
      <w:r w:rsidR="005B4B7E" w:rsidRPr="00182566">
        <w:rPr>
          <w:rFonts w:ascii="Georgia" w:hAnsi="Georgia"/>
        </w:rPr>
        <w:t>infrequen</w:t>
      </w:r>
      <w:r w:rsidR="002019A2" w:rsidRPr="00182566">
        <w:rPr>
          <w:rFonts w:ascii="Georgia" w:hAnsi="Georgia"/>
        </w:rPr>
        <w:t xml:space="preserve">tly during the tenancies </w:t>
      </w:r>
      <w:r w:rsidR="005B4B7E" w:rsidRPr="00182566">
        <w:rPr>
          <w:rFonts w:ascii="Georgia" w:hAnsi="Georgia"/>
        </w:rPr>
        <w:t xml:space="preserve">because of movement restrictions </w:t>
      </w:r>
      <w:r w:rsidR="0092085E" w:rsidRPr="00182566">
        <w:rPr>
          <w:rFonts w:ascii="Georgia" w:hAnsi="Georgia"/>
        </w:rPr>
        <w:t>during the Covid</w:t>
      </w:r>
      <w:r w:rsidR="00C55BC3" w:rsidRPr="00182566">
        <w:rPr>
          <w:rFonts w:ascii="Georgia" w:hAnsi="Georgia"/>
        </w:rPr>
        <w:t>-19</w:t>
      </w:r>
      <w:r w:rsidR="0092085E" w:rsidRPr="00182566">
        <w:rPr>
          <w:rFonts w:ascii="Georgia" w:hAnsi="Georgia"/>
        </w:rPr>
        <w:t xml:space="preserve"> pandemic.</w:t>
      </w:r>
    </w:p>
    <w:p w14:paraId="464A0B76" w14:textId="1DE45B8C" w:rsidR="00213503" w:rsidRPr="00182566" w:rsidRDefault="00213503" w:rsidP="00FD17F2">
      <w:pPr>
        <w:numPr>
          <w:ilvl w:val="0"/>
          <w:numId w:val="24"/>
        </w:numPr>
        <w:spacing w:before="240"/>
        <w:jc w:val="both"/>
        <w:rPr>
          <w:rFonts w:ascii="Georgia" w:hAnsi="Georgia"/>
          <w:b/>
        </w:rPr>
      </w:pPr>
      <w:r w:rsidRPr="00182566">
        <w:rPr>
          <w:rFonts w:ascii="Georgia" w:hAnsi="Georgia"/>
        </w:rPr>
        <w:t xml:space="preserve">Bristol City Council </w:t>
      </w:r>
      <w:r w:rsidR="00CE3349" w:rsidRPr="00182566">
        <w:rPr>
          <w:rFonts w:ascii="Georgia" w:hAnsi="Georgia"/>
        </w:rPr>
        <w:t xml:space="preserve">gave notice it intended to </w:t>
      </w:r>
      <w:r w:rsidR="006865F9" w:rsidRPr="00182566">
        <w:rPr>
          <w:rFonts w:ascii="Georgia" w:hAnsi="Georgia"/>
        </w:rPr>
        <w:t xml:space="preserve">designate </w:t>
      </w:r>
      <w:r w:rsidR="0020589F" w:rsidRPr="00182566">
        <w:rPr>
          <w:rFonts w:ascii="Georgia" w:hAnsi="Georgia"/>
        </w:rPr>
        <w:t xml:space="preserve">an area of central Bristol </w:t>
      </w:r>
      <w:r w:rsidR="00CE3349" w:rsidRPr="00182566">
        <w:rPr>
          <w:rFonts w:ascii="Georgia" w:hAnsi="Georgia"/>
        </w:rPr>
        <w:t xml:space="preserve">as </w:t>
      </w:r>
      <w:r w:rsidR="000017F8" w:rsidRPr="00182566">
        <w:rPr>
          <w:rFonts w:ascii="Georgia" w:hAnsi="Georgia"/>
        </w:rPr>
        <w:t xml:space="preserve">requiring </w:t>
      </w:r>
      <w:r w:rsidR="006865F9" w:rsidRPr="00182566">
        <w:rPr>
          <w:rFonts w:ascii="Georgia" w:hAnsi="Georgia"/>
        </w:rPr>
        <w:t>Additional</w:t>
      </w:r>
      <w:r w:rsidR="00CE3349" w:rsidRPr="00182566">
        <w:rPr>
          <w:rFonts w:ascii="Georgia" w:hAnsi="Georgia"/>
        </w:rPr>
        <w:t xml:space="preserve"> HMO</w:t>
      </w:r>
      <w:r w:rsidR="006865F9" w:rsidRPr="00182566">
        <w:rPr>
          <w:rFonts w:ascii="Georgia" w:hAnsi="Georgia"/>
        </w:rPr>
        <w:t xml:space="preserve"> Licen</w:t>
      </w:r>
      <w:r w:rsidR="00A6783E" w:rsidRPr="00182566">
        <w:rPr>
          <w:rFonts w:ascii="Georgia" w:hAnsi="Georgia"/>
        </w:rPr>
        <w:t>s</w:t>
      </w:r>
      <w:r w:rsidR="006865F9" w:rsidRPr="00182566">
        <w:rPr>
          <w:rFonts w:ascii="Georgia" w:hAnsi="Georgia"/>
        </w:rPr>
        <w:t>ing on 2 April 2019.  The designation came into force on 8 July 2019</w:t>
      </w:r>
      <w:r w:rsidR="00C55BC3" w:rsidRPr="00182566">
        <w:rPr>
          <w:rFonts w:ascii="Georgia" w:hAnsi="Georgia"/>
        </w:rPr>
        <w:t xml:space="preserve"> and lasted for </w:t>
      </w:r>
      <w:r w:rsidR="005B4B7E" w:rsidRPr="00182566">
        <w:rPr>
          <w:rFonts w:ascii="Georgia" w:hAnsi="Georgia"/>
        </w:rPr>
        <w:t>five years</w:t>
      </w:r>
      <w:r w:rsidR="006865F9" w:rsidRPr="00182566">
        <w:rPr>
          <w:rFonts w:ascii="Georgia" w:hAnsi="Georgia"/>
        </w:rPr>
        <w:t>.</w:t>
      </w:r>
      <w:r w:rsidR="003F11AF" w:rsidRPr="00182566">
        <w:rPr>
          <w:rFonts w:ascii="Georgia" w:hAnsi="Georgia"/>
        </w:rPr>
        <w:t xml:space="preserve">  The Respondents </w:t>
      </w:r>
      <w:r w:rsidR="00B30CD4" w:rsidRPr="00182566">
        <w:rPr>
          <w:rFonts w:ascii="Georgia" w:hAnsi="Georgia"/>
        </w:rPr>
        <w:t>accepted that</w:t>
      </w:r>
      <w:r w:rsidR="003F11AF" w:rsidRPr="00182566">
        <w:rPr>
          <w:rFonts w:ascii="Georgia" w:hAnsi="Georgia"/>
        </w:rPr>
        <w:t xml:space="preserve"> Property </w:t>
      </w:r>
      <w:r w:rsidR="0020589F" w:rsidRPr="00182566">
        <w:rPr>
          <w:rFonts w:ascii="Georgia" w:hAnsi="Georgia"/>
        </w:rPr>
        <w:t xml:space="preserve">was within the area which </w:t>
      </w:r>
      <w:r w:rsidR="003F11AF" w:rsidRPr="00182566">
        <w:rPr>
          <w:rFonts w:ascii="Georgia" w:hAnsi="Georgia"/>
        </w:rPr>
        <w:t xml:space="preserve">required an HMO </w:t>
      </w:r>
      <w:r w:rsidR="00CC4245" w:rsidRPr="00182566">
        <w:rPr>
          <w:rFonts w:ascii="Georgia" w:hAnsi="Georgia"/>
        </w:rPr>
        <w:t>l</w:t>
      </w:r>
      <w:r w:rsidR="003F11AF" w:rsidRPr="00182566">
        <w:rPr>
          <w:rFonts w:ascii="Georgia" w:hAnsi="Georgia"/>
        </w:rPr>
        <w:t>icence</w:t>
      </w:r>
      <w:r w:rsidR="00B30CD4" w:rsidRPr="00182566">
        <w:rPr>
          <w:rFonts w:ascii="Georgia" w:hAnsi="Georgia"/>
        </w:rPr>
        <w:t xml:space="preserve">, </w:t>
      </w:r>
      <w:r w:rsidR="002871A3" w:rsidRPr="00182566">
        <w:rPr>
          <w:rFonts w:ascii="Georgia" w:hAnsi="Georgia"/>
        </w:rPr>
        <w:t xml:space="preserve"> if occupied by more than one household (which it was) </w:t>
      </w:r>
      <w:r w:rsidR="003F11AF" w:rsidRPr="00182566">
        <w:rPr>
          <w:rFonts w:ascii="Georgia" w:hAnsi="Georgia"/>
        </w:rPr>
        <w:t>for the duration of both tenancies.</w:t>
      </w:r>
    </w:p>
    <w:p w14:paraId="10B75575" w14:textId="755188E5" w:rsidR="004C6BAD" w:rsidRPr="00182566" w:rsidRDefault="004C6BAD" w:rsidP="00FD17F2">
      <w:pPr>
        <w:numPr>
          <w:ilvl w:val="0"/>
          <w:numId w:val="24"/>
        </w:numPr>
        <w:spacing w:before="240"/>
        <w:jc w:val="both"/>
        <w:rPr>
          <w:rFonts w:ascii="Georgia" w:hAnsi="Georgia"/>
          <w:b/>
        </w:rPr>
      </w:pPr>
      <w:r w:rsidRPr="00182566">
        <w:rPr>
          <w:rFonts w:ascii="Georgia" w:hAnsi="Georgia"/>
        </w:rPr>
        <w:t xml:space="preserve">The Respondents obtained an HMO licence </w:t>
      </w:r>
      <w:r w:rsidR="00CE3041" w:rsidRPr="00182566">
        <w:rPr>
          <w:rFonts w:ascii="Georgia" w:hAnsi="Georgia"/>
        </w:rPr>
        <w:t xml:space="preserve">for the Property </w:t>
      </w:r>
      <w:r w:rsidRPr="00182566">
        <w:rPr>
          <w:rFonts w:ascii="Georgia" w:hAnsi="Georgia"/>
        </w:rPr>
        <w:t>on 23 October 2023</w:t>
      </w:r>
      <w:r w:rsidR="00462C81" w:rsidRPr="00182566">
        <w:rPr>
          <w:rFonts w:ascii="Georgia" w:hAnsi="Georgia"/>
        </w:rPr>
        <w:t>.  The application for a Rent Repayment Order is dated 14 February 2024.</w:t>
      </w:r>
    </w:p>
    <w:p w14:paraId="37588200" w14:textId="75C13466" w:rsidR="0026386D" w:rsidRPr="00182566" w:rsidRDefault="0026386D" w:rsidP="00FD17F2">
      <w:pPr>
        <w:numPr>
          <w:ilvl w:val="0"/>
          <w:numId w:val="24"/>
        </w:numPr>
        <w:spacing w:before="240"/>
        <w:jc w:val="both"/>
        <w:rPr>
          <w:rFonts w:ascii="Georgia" w:hAnsi="Georgia"/>
          <w:b/>
        </w:rPr>
      </w:pPr>
      <w:r w:rsidRPr="00182566">
        <w:rPr>
          <w:rFonts w:ascii="Georgia" w:hAnsi="Georgia"/>
        </w:rPr>
        <w:t>The Tribunal received a</w:t>
      </w:r>
      <w:r w:rsidR="009C1721" w:rsidRPr="00182566">
        <w:rPr>
          <w:rFonts w:ascii="Georgia" w:hAnsi="Georgia"/>
        </w:rPr>
        <w:t xml:space="preserve"> single </w:t>
      </w:r>
      <w:r w:rsidRPr="00182566">
        <w:rPr>
          <w:rFonts w:ascii="Georgia" w:hAnsi="Georgia"/>
        </w:rPr>
        <w:t>bundle</w:t>
      </w:r>
      <w:r w:rsidR="00123CF2" w:rsidRPr="00182566">
        <w:rPr>
          <w:rFonts w:ascii="Georgia" w:hAnsi="Georgia"/>
        </w:rPr>
        <w:t xml:space="preserve"> of documents</w:t>
      </w:r>
      <w:r w:rsidRPr="00182566">
        <w:rPr>
          <w:rFonts w:ascii="Georgia" w:hAnsi="Georgia"/>
        </w:rPr>
        <w:t xml:space="preserve"> comprising 1</w:t>
      </w:r>
      <w:r w:rsidR="000F23F0">
        <w:rPr>
          <w:rFonts w:ascii="Georgia" w:hAnsi="Georgia"/>
        </w:rPr>
        <w:t>,</w:t>
      </w:r>
      <w:r w:rsidRPr="00182566">
        <w:rPr>
          <w:rFonts w:ascii="Georgia" w:hAnsi="Georgia"/>
        </w:rPr>
        <w:t>148 pages</w:t>
      </w:r>
      <w:r w:rsidR="003B04AF" w:rsidRPr="00182566">
        <w:rPr>
          <w:rFonts w:ascii="Georgia" w:hAnsi="Georgia"/>
        </w:rPr>
        <w:t xml:space="preserve">. </w:t>
      </w:r>
      <w:r w:rsidRPr="00182566">
        <w:rPr>
          <w:rFonts w:ascii="Georgia" w:hAnsi="Georgia"/>
        </w:rPr>
        <w:t>References</w:t>
      </w:r>
      <w:r w:rsidR="000F23F0">
        <w:rPr>
          <w:rFonts w:ascii="Georgia" w:hAnsi="Georgia"/>
        </w:rPr>
        <w:t>,</w:t>
      </w:r>
      <w:r w:rsidRPr="00182566">
        <w:rPr>
          <w:rFonts w:ascii="Georgia" w:hAnsi="Georgia"/>
        </w:rPr>
        <w:t xml:space="preserve"> </w:t>
      </w:r>
      <w:r w:rsidR="003B04AF" w:rsidRPr="00182566">
        <w:rPr>
          <w:rFonts w:ascii="Georgia" w:hAnsi="Georgia"/>
        </w:rPr>
        <w:t>in</w:t>
      </w:r>
      <w:r w:rsidRPr="00182566">
        <w:rPr>
          <w:rFonts w:ascii="Georgia" w:hAnsi="Georgia"/>
        </w:rPr>
        <w:t xml:space="preserve"> this decision</w:t>
      </w:r>
      <w:r w:rsidR="000F23F0">
        <w:rPr>
          <w:rFonts w:ascii="Georgia" w:hAnsi="Georgia"/>
        </w:rPr>
        <w:t xml:space="preserve">, </w:t>
      </w:r>
      <w:r w:rsidRPr="00182566">
        <w:rPr>
          <w:rFonts w:ascii="Georgia" w:hAnsi="Georgia"/>
        </w:rPr>
        <w:t xml:space="preserve">to </w:t>
      </w:r>
      <w:r w:rsidR="00271F43" w:rsidRPr="00182566">
        <w:rPr>
          <w:rFonts w:ascii="Georgia" w:hAnsi="Georgia"/>
        </w:rPr>
        <w:t xml:space="preserve">numbers in square brackets </w:t>
      </w:r>
      <w:r w:rsidRPr="00182566">
        <w:rPr>
          <w:rFonts w:ascii="Georgia" w:hAnsi="Georgia"/>
        </w:rPr>
        <w:t>are to the pdf page numbers</w:t>
      </w:r>
      <w:r w:rsidR="003B04AF" w:rsidRPr="00182566">
        <w:rPr>
          <w:rFonts w:ascii="Georgia" w:hAnsi="Georgia"/>
        </w:rPr>
        <w:t xml:space="preserve"> </w:t>
      </w:r>
      <w:r w:rsidR="00CE3041" w:rsidRPr="00182566">
        <w:rPr>
          <w:rFonts w:ascii="Georgia" w:hAnsi="Georgia"/>
        </w:rPr>
        <w:t xml:space="preserve">of the documents </w:t>
      </w:r>
      <w:r w:rsidR="00271F43" w:rsidRPr="00182566">
        <w:rPr>
          <w:rFonts w:ascii="Georgia" w:hAnsi="Georgia"/>
        </w:rPr>
        <w:t xml:space="preserve">in the </w:t>
      </w:r>
      <w:r w:rsidR="00CE3041" w:rsidRPr="00182566">
        <w:rPr>
          <w:rFonts w:ascii="Georgia" w:hAnsi="Georgia"/>
        </w:rPr>
        <w:t>bundle</w:t>
      </w:r>
      <w:r w:rsidR="003B04AF" w:rsidRPr="00182566">
        <w:rPr>
          <w:rFonts w:ascii="Georgia" w:hAnsi="Georgia"/>
        </w:rPr>
        <w:t>.</w:t>
      </w:r>
    </w:p>
    <w:p w14:paraId="4A4BC6C8" w14:textId="10041B0D" w:rsidR="009872E4" w:rsidRPr="00182566" w:rsidRDefault="009C1721" w:rsidP="006904F4">
      <w:pPr>
        <w:numPr>
          <w:ilvl w:val="0"/>
          <w:numId w:val="24"/>
        </w:numPr>
        <w:spacing w:before="240"/>
        <w:jc w:val="both"/>
        <w:rPr>
          <w:rFonts w:ascii="Georgia" w:hAnsi="Georgia"/>
          <w:b/>
        </w:rPr>
      </w:pPr>
      <w:r w:rsidRPr="00182566">
        <w:rPr>
          <w:rFonts w:ascii="Georgia" w:hAnsi="Georgia"/>
        </w:rPr>
        <w:t>The Applicants were represented at the Hearing by Mr McG</w:t>
      </w:r>
      <w:r w:rsidR="00945929" w:rsidRPr="00182566">
        <w:rPr>
          <w:rFonts w:ascii="Georgia" w:hAnsi="Georgia"/>
        </w:rPr>
        <w:t>owa</w:t>
      </w:r>
      <w:r w:rsidRPr="00182566">
        <w:rPr>
          <w:rFonts w:ascii="Georgia" w:hAnsi="Georgia"/>
        </w:rPr>
        <w:t>n</w:t>
      </w:r>
      <w:r w:rsidR="00271F43" w:rsidRPr="00182566">
        <w:rPr>
          <w:rFonts w:ascii="Georgia" w:hAnsi="Georgia"/>
        </w:rPr>
        <w:t xml:space="preserve"> (from an organisation called Justice for Tenant</w:t>
      </w:r>
      <w:r w:rsidR="009872E4" w:rsidRPr="00182566">
        <w:rPr>
          <w:rFonts w:ascii="Georgia" w:hAnsi="Georgia"/>
        </w:rPr>
        <w:t>s)</w:t>
      </w:r>
      <w:r w:rsidRPr="00182566">
        <w:rPr>
          <w:rFonts w:ascii="Georgia" w:hAnsi="Georgia"/>
        </w:rPr>
        <w:t xml:space="preserve"> and the Respondents were represented by</w:t>
      </w:r>
      <w:r w:rsidR="009872E4" w:rsidRPr="00182566">
        <w:rPr>
          <w:rFonts w:ascii="Georgia" w:hAnsi="Georgia"/>
        </w:rPr>
        <w:t xml:space="preserve"> their Counsel, </w:t>
      </w:r>
      <w:r w:rsidRPr="00182566">
        <w:rPr>
          <w:rFonts w:ascii="Georgia" w:hAnsi="Georgia"/>
        </w:rPr>
        <w:t xml:space="preserve"> Mr Field.  All the </w:t>
      </w:r>
      <w:r w:rsidR="00123CF2" w:rsidRPr="00182566">
        <w:rPr>
          <w:rFonts w:ascii="Georgia" w:hAnsi="Georgia"/>
        </w:rPr>
        <w:t xml:space="preserve">Applicants </w:t>
      </w:r>
      <w:r w:rsidRPr="00182566">
        <w:rPr>
          <w:rFonts w:ascii="Georgia" w:hAnsi="Georgia"/>
        </w:rPr>
        <w:t xml:space="preserve">attended </w:t>
      </w:r>
      <w:r w:rsidR="00123CF2" w:rsidRPr="00182566">
        <w:rPr>
          <w:rFonts w:ascii="Georgia" w:hAnsi="Georgia"/>
        </w:rPr>
        <w:t xml:space="preserve"> the hearing remotely </w:t>
      </w:r>
      <w:r w:rsidR="00B30CD4" w:rsidRPr="00182566">
        <w:rPr>
          <w:rFonts w:ascii="Georgia" w:hAnsi="Georgia"/>
        </w:rPr>
        <w:t xml:space="preserve">as did </w:t>
      </w:r>
      <w:r w:rsidRPr="00182566">
        <w:rPr>
          <w:rFonts w:ascii="Georgia" w:hAnsi="Georgia"/>
        </w:rPr>
        <w:t xml:space="preserve">Mr and Mrs Collins and Ms Terri </w:t>
      </w:r>
      <w:r w:rsidR="00D8311B" w:rsidRPr="00182566">
        <w:rPr>
          <w:rFonts w:ascii="Georgia" w:hAnsi="Georgia"/>
        </w:rPr>
        <w:t>Calcagno</w:t>
      </w:r>
      <w:r w:rsidRPr="00182566">
        <w:rPr>
          <w:rFonts w:ascii="Georgia" w:hAnsi="Georgia"/>
        </w:rPr>
        <w:t xml:space="preserve"> of Bespoke</w:t>
      </w:r>
      <w:r w:rsidR="006904F4" w:rsidRPr="00182566">
        <w:rPr>
          <w:rFonts w:ascii="Georgia" w:hAnsi="Georgia"/>
        </w:rPr>
        <w:t>.</w:t>
      </w:r>
    </w:p>
    <w:p w14:paraId="6036F70E" w14:textId="111AC031" w:rsidR="006904F4" w:rsidRPr="00182566" w:rsidRDefault="006904F4" w:rsidP="006904F4">
      <w:pPr>
        <w:spacing w:before="240"/>
        <w:jc w:val="both"/>
        <w:rPr>
          <w:rFonts w:ascii="Georgia" w:hAnsi="Georgia"/>
          <w:b/>
          <w:bCs/>
        </w:rPr>
      </w:pPr>
      <w:r w:rsidRPr="00182566">
        <w:rPr>
          <w:rFonts w:ascii="Georgia" w:hAnsi="Georgia"/>
          <w:b/>
          <w:bCs/>
        </w:rPr>
        <w:t>The Hearing</w:t>
      </w:r>
    </w:p>
    <w:p w14:paraId="798CE058" w14:textId="603B06D2" w:rsidR="00EE3E70" w:rsidRPr="00182566" w:rsidRDefault="001E2DFB" w:rsidP="0011159A">
      <w:pPr>
        <w:numPr>
          <w:ilvl w:val="0"/>
          <w:numId w:val="24"/>
        </w:numPr>
        <w:jc w:val="both"/>
        <w:rPr>
          <w:rFonts w:ascii="Georgia" w:hAnsi="Georgia"/>
          <w:b/>
          <w:bCs/>
        </w:rPr>
      </w:pPr>
      <w:r w:rsidRPr="00182566">
        <w:rPr>
          <w:rFonts w:ascii="Georgia" w:hAnsi="Georgia"/>
        </w:rPr>
        <w:t xml:space="preserve">The Tribunal asked Mr McGowan to reconsider the total of the claim </w:t>
      </w:r>
      <w:r w:rsidR="00123CF2" w:rsidRPr="00182566">
        <w:rPr>
          <w:rFonts w:ascii="Georgia" w:hAnsi="Georgia"/>
        </w:rPr>
        <w:t xml:space="preserve">suggesting that </w:t>
      </w:r>
      <w:r w:rsidR="00387C09" w:rsidRPr="00182566">
        <w:rPr>
          <w:rFonts w:ascii="Georgia" w:hAnsi="Georgia"/>
        </w:rPr>
        <w:t xml:space="preserve">the figure referred to in the application </w:t>
      </w:r>
      <w:r w:rsidRPr="00182566">
        <w:rPr>
          <w:rFonts w:ascii="Georgia" w:hAnsi="Georgia"/>
        </w:rPr>
        <w:t>exceed</w:t>
      </w:r>
      <w:r w:rsidR="00A01294" w:rsidRPr="00182566">
        <w:rPr>
          <w:rFonts w:ascii="Georgia" w:hAnsi="Georgia"/>
        </w:rPr>
        <w:t>ed</w:t>
      </w:r>
      <w:r w:rsidRPr="00182566">
        <w:rPr>
          <w:rFonts w:ascii="Georgia" w:hAnsi="Georgia"/>
        </w:rPr>
        <w:t xml:space="preserve"> the maximum order it could make.</w:t>
      </w:r>
    </w:p>
    <w:p w14:paraId="49E17377" w14:textId="75202706" w:rsidR="001E2DFB" w:rsidRPr="00182566" w:rsidRDefault="001E2DFB" w:rsidP="00FD17F2">
      <w:pPr>
        <w:numPr>
          <w:ilvl w:val="0"/>
          <w:numId w:val="24"/>
        </w:numPr>
        <w:spacing w:before="240"/>
        <w:jc w:val="both"/>
        <w:rPr>
          <w:rFonts w:ascii="Georgia" w:hAnsi="Georgia"/>
          <w:b/>
          <w:bCs/>
        </w:rPr>
      </w:pPr>
      <w:r w:rsidRPr="00182566">
        <w:rPr>
          <w:rFonts w:ascii="Georgia" w:hAnsi="Georgia"/>
        </w:rPr>
        <w:t xml:space="preserve">Mr McGowan stated, </w:t>
      </w:r>
      <w:r w:rsidR="00387C09" w:rsidRPr="00182566">
        <w:rPr>
          <w:rFonts w:ascii="Georgia" w:hAnsi="Georgia"/>
        </w:rPr>
        <w:t xml:space="preserve">which </w:t>
      </w:r>
      <w:r w:rsidRPr="00182566">
        <w:rPr>
          <w:rFonts w:ascii="Georgia" w:hAnsi="Georgia"/>
        </w:rPr>
        <w:t xml:space="preserve"> </w:t>
      </w:r>
      <w:r w:rsidR="00321E6B" w:rsidRPr="00182566">
        <w:rPr>
          <w:rFonts w:ascii="Georgia" w:hAnsi="Georgia"/>
        </w:rPr>
        <w:t xml:space="preserve">was admitted by </w:t>
      </w:r>
      <w:r w:rsidRPr="00182566">
        <w:rPr>
          <w:rFonts w:ascii="Georgia" w:hAnsi="Georgia"/>
        </w:rPr>
        <w:t xml:space="preserve"> the Respondent</w:t>
      </w:r>
      <w:r w:rsidR="00123CF2" w:rsidRPr="00182566">
        <w:rPr>
          <w:rFonts w:ascii="Georgia" w:hAnsi="Georgia"/>
        </w:rPr>
        <w:t>s</w:t>
      </w:r>
      <w:r w:rsidR="00387C09" w:rsidRPr="00182566">
        <w:rPr>
          <w:rFonts w:ascii="Georgia" w:hAnsi="Georgia"/>
        </w:rPr>
        <w:t xml:space="preserve">, </w:t>
      </w:r>
      <w:r w:rsidRPr="00182566">
        <w:rPr>
          <w:rFonts w:ascii="Georgia" w:hAnsi="Georgia"/>
        </w:rPr>
        <w:t xml:space="preserve"> that </w:t>
      </w:r>
      <w:r w:rsidR="00437A16" w:rsidRPr="00182566">
        <w:rPr>
          <w:rFonts w:ascii="Georgia" w:hAnsi="Georgia"/>
        </w:rPr>
        <w:t>they</w:t>
      </w:r>
      <w:r w:rsidRPr="00182566">
        <w:rPr>
          <w:rFonts w:ascii="Georgia" w:hAnsi="Georgia"/>
        </w:rPr>
        <w:t xml:space="preserve"> should have </w:t>
      </w:r>
      <w:r w:rsidR="00123CF2" w:rsidRPr="00182566">
        <w:rPr>
          <w:rFonts w:ascii="Georgia" w:hAnsi="Georgia"/>
        </w:rPr>
        <w:t>had an HMO licence</w:t>
      </w:r>
      <w:r w:rsidR="00437A16" w:rsidRPr="00182566">
        <w:rPr>
          <w:rFonts w:ascii="Georgia" w:hAnsi="Georgia"/>
        </w:rPr>
        <w:t xml:space="preserve"> for the Property</w:t>
      </w:r>
      <w:r w:rsidRPr="00182566">
        <w:rPr>
          <w:rFonts w:ascii="Georgia" w:hAnsi="Georgia"/>
        </w:rPr>
        <w:t xml:space="preserve"> during the </w:t>
      </w:r>
      <w:r w:rsidR="00123CF2" w:rsidRPr="00182566">
        <w:rPr>
          <w:rFonts w:ascii="Georgia" w:hAnsi="Georgia"/>
        </w:rPr>
        <w:t xml:space="preserve">entire </w:t>
      </w:r>
      <w:r w:rsidRPr="00182566">
        <w:rPr>
          <w:rFonts w:ascii="Georgia" w:hAnsi="Georgia"/>
        </w:rPr>
        <w:t>period of the claim.</w:t>
      </w:r>
    </w:p>
    <w:p w14:paraId="1F868C63" w14:textId="228A4916" w:rsidR="00387C09" w:rsidRPr="00182566" w:rsidRDefault="00A92218" w:rsidP="00FD17F2">
      <w:pPr>
        <w:numPr>
          <w:ilvl w:val="0"/>
          <w:numId w:val="24"/>
        </w:numPr>
        <w:spacing w:before="240"/>
        <w:jc w:val="both"/>
        <w:rPr>
          <w:rFonts w:ascii="Georgia" w:hAnsi="Georgia"/>
          <w:b/>
        </w:rPr>
      </w:pPr>
      <w:r w:rsidRPr="00182566">
        <w:rPr>
          <w:rFonts w:ascii="Georgia" w:hAnsi="Georgia"/>
        </w:rPr>
        <w:t>Mr Field stated that the Respondent</w:t>
      </w:r>
      <w:r w:rsidR="00123CF2" w:rsidRPr="00182566">
        <w:rPr>
          <w:rFonts w:ascii="Georgia" w:hAnsi="Georgia"/>
        </w:rPr>
        <w:t>s</w:t>
      </w:r>
      <w:r w:rsidRPr="00182566">
        <w:rPr>
          <w:rFonts w:ascii="Georgia" w:hAnsi="Georgia"/>
        </w:rPr>
        <w:t xml:space="preserve"> denied </w:t>
      </w:r>
      <w:r w:rsidR="00D461ED" w:rsidRPr="00182566">
        <w:rPr>
          <w:rFonts w:ascii="Georgia" w:hAnsi="Georgia"/>
        </w:rPr>
        <w:t>having committed</w:t>
      </w:r>
      <w:r w:rsidRPr="00182566">
        <w:rPr>
          <w:rFonts w:ascii="Georgia" w:hAnsi="Georgia"/>
        </w:rPr>
        <w:t xml:space="preserve"> an offence </w:t>
      </w:r>
      <w:r w:rsidR="00123CF2" w:rsidRPr="00182566">
        <w:rPr>
          <w:rFonts w:ascii="Georgia" w:hAnsi="Georgia"/>
        </w:rPr>
        <w:t xml:space="preserve">in reliance upon </w:t>
      </w:r>
      <w:r w:rsidRPr="00182566">
        <w:rPr>
          <w:rFonts w:ascii="Georgia" w:hAnsi="Georgia"/>
        </w:rPr>
        <w:t xml:space="preserve"> the defence of “reasonable excuse”. </w:t>
      </w:r>
    </w:p>
    <w:p w14:paraId="624B89DF" w14:textId="6926C892" w:rsidR="008026FC" w:rsidRPr="00182566" w:rsidRDefault="008026FC" w:rsidP="00775ABD">
      <w:pPr>
        <w:spacing w:before="240"/>
        <w:jc w:val="both"/>
        <w:rPr>
          <w:rFonts w:ascii="Georgia" w:hAnsi="Georgia"/>
          <w:b/>
          <w:bCs/>
        </w:rPr>
      </w:pPr>
      <w:r w:rsidRPr="00182566">
        <w:rPr>
          <w:rFonts w:ascii="Georgia" w:hAnsi="Georgia"/>
          <w:b/>
          <w:bCs/>
        </w:rPr>
        <w:t>The Applicants</w:t>
      </w:r>
      <w:r w:rsidR="00B8157B" w:rsidRPr="00182566">
        <w:rPr>
          <w:rFonts w:ascii="Georgia" w:hAnsi="Georgia"/>
          <w:b/>
          <w:bCs/>
        </w:rPr>
        <w:t>’</w:t>
      </w:r>
      <w:r w:rsidRPr="00182566">
        <w:rPr>
          <w:rFonts w:ascii="Georgia" w:hAnsi="Georgia"/>
          <w:b/>
          <w:bCs/>
        </w:rPr>
        <w:t xml:space="preserve"> </w:t>
      </w:r>
      <w:r w:rsidR="00AE6C39" w:rsidRPr="00182566">
        <w:rPr>
          <w:rFonts w:ascii="Georgia" w:hAnsi="Georgia"/>
          <w:b/>
          <w:bCs/>
        </w:rPr>
        <w:t>case.</w:t>
      </w:r>
    </w:p>
    <w:p w14:paraId="0E2D5BF8" w14:textId="04A2D361" w:rsidR="00775ABD" w:rsidRPr="00182566" w:rsidRDefault="00775ABD" w:rsidP="00FD17F2">
      <w:pPr>
        <w:numPr>
          <w:ilvl w:val="0"/>
          <w:numId w:val="24"/>
        </w:numPr>
        <w:jc w:val="both"/>
        <w:rPr>
          <w:rFonts w:ascii="Georgia" w:hAnsi="Georgia"/>
          <w:b/>
          <w:bCs/>
        </w:rPr>
      </w:pPr>
      <w:r w:rsidRPr="00182566">
        <w:rPr>
          <w:rFonts w:ascii="Georgia" w:hAnsi="Georgia"/>
        </w:rPr>
        <w:t>Mr McGowan said that the Respondents have admitted the offence.  The Applicants do not accept the defence of reasonable excuse has been proven.</w:t>
      </w:r>
    </w:p>
    <w:p w14:paraId="46AD687A" w14:textId="67AF72CA" w:rsidR="00775ABD" w:rsidRPr="00182566" w:rsidRDefault="009872E4" w:rsidP="00820D78">
      <w:pPr>
        <w:numPr>
          <w:ilvl w:val="0"/>
          <w:numId w:val="24"/>
        </w:numPr>
        <w:spacing w:before="240"/>
        <w:jc w:val="both"/>
        <w:rPr>
          <w:rFonts w:ascii="Georgia" w:hAnsi="Georgia"/>
          <w:b/>
          <w:bCs/>
        </w:rPr>
      </w:pPr>
      <w:r w:rsidRPr="00182566">
        <w:rPr>
          <w:rFonts w:ascii="Georgia" w:hAnsi="Georgia"/>
        </w:rPr>
        <w:t>Mr McGowan said that th</w:t>
      </w:r>
      <w:r w:rsidR="00775ABD" w:rsidRPr="00182566">
        <w:rPr>
          <w:rFonts w:ascii="Georgia" w:hAnsi="Georgia"/>
        </w:rPr>
        <w:t>e seriousness of the offence, which</w:t>
      </w:r>
      <w:r w:rsidRPr="00182566">
        <w:rPr>
          <w:rFonts w:ascii="Georgia" w:hAnsi="Georgia"/>
        </w:rPr>
        <w:t xml:space="preserve"> he </w:t>
      </w:r>
      <w:r w:rsidR="00775ABD" w:rsidRPr="00182566">
        <w:rPr>
          <w:rFonts w:ascii="Georgia" w:hAnsi="Georgia"/>
        </w:rPr>
        <w:t xml:space="preserve"> described as being at the upper end of the scale of offences listed in section 40 of the Act, </w:t>
      </w:r>
      <w:r w:rsidR="008F5296" w:rsidRPr="00182566">
        <w:rPr>
          <w:rFonts w:ascii="Georgia" w:hAnsi="Georgia"/>
        </w:rPr>
        <w:t xml:space="preserve">was exacerbated by the conduct of the </w:t>
      </w:r>
      <w:r w:rsidRPr="00182566">
        <w:rPr>
          <w:rFonts w:ascii="Georgia" w:hAnsi="Georgia"/>
        </w:rPr>
        <w:t>l</w:t>
      </w:r>
      <w:r w:rsidR="008F5296" w:rsidRPr="00182566">
        <w:rPr>
          <w:rFonts w:ascii="Georgia" w:hAnsi="Georgia"/>
        </w:rPr>
        <w:t>andlord with regard to other matters which had affected the Propert</w:t>
      </w:r>
      <w:r w:rsidRPr="00182566">
        <w:rPr>
          <w:rFonts w:ascii="Georgia" w:hAnsi="Georgia"/>
        </w:rPr>
        <w:t>y during the Applicants’ occupation.</w:t>
      </w:r>
      <w:r w:rsidR="008F5296" w:rsidRPr="00182566">
        <w:rPr>
          <w:rFonts w:ascii="Georgia" w:hAnsi="Georgia"/>
        </w:rPr>
        <w:t xml:space="preserve"> </w:t>
      </w:r>
      <w:r w:rsidRPr="00182566">
        <w:rPr>
          <w:rFonts w:ascii="Georgia" w:hAnsi="Georgia"/>
        </w:rPr>
        <w:t>He referred</w:t>
      </w:r>
      <w:r w:rsidR="008F5296" w:rsidRPr="00182566">
        <w:rPr>
          <w:rFonts w:ascii="Georgia" w:hAnsi="Georgia"/>
        </w:rPr>
        <w:t xml:space="preserve"> in particular</w:t>
      </w:r>
      <w:r w:rsidR="006B63A1" w:rsidRPr="00182566">
        <w:rPr>
          <w:rFonts w:ascii="Georgia" w:hAnsi="Georgia"/>
        </w:rPr>
        <w:t xml:space="preserve"> to</w:t>
      </w:r>
      <w:r w:rsidR="008F5296" w:rsidRPr="00182566">
        <w:rPr>
          <w:rFonts w:ascii="Georgia" w:hAnsi="Georgia"/>
        </w:rPr>
        <w:t xml:space="preserve"> the persistent leaks</w:t>
      </w:r>
      <w:r w:rsidRPr="00182566">
        <w:rPr>
          <w:rFonts w:ascii="Georgia" w:hAnsi="Georgia"/>
        </w:rPr>
        <w:t xml:space="preserve"> and the </w:t>
      </w:r>
      <w:r w:rsidR="008F5296" w:rsidRPr="00182566">
        <w:rPr>
          <w:rFonts w:ascii="Georgia" w:hAnsi="Georgia"/>
        </w:rPr>
        <w:t xml:space="preserve">lack of security </w:t>
      </w:r>
      <w:r w:rsidR="00820D78" w:rsidRPr="00182566">
        <w:rPr>
          <w:rFonts w:ascii="Georgia" w:hAnsi="Georgia"/>
        </w:rPr>
        <w:t xml:space="preserve">when the </w:t>
      </w:r>
      <w:r w:rsidR="008F5296" w:rsidRPr="00182566">
        <w:rPr>
          <w:rFonts w:ascii="Georgia" w:hAnsi="Georgia"/>
        </w:rPr>
        <w:t>outer door could not be locked.</w:t>
      </w:r>
    </w:p>
    <w:p w14:paraId="208985F2" w14:textId="549DB928" w:rsidR="008F5296" w:rsidRPr="00182566" w:rsidRDefault="008F5296" w:rsidP="00820D78">
      <w:pPr>
        <w:keepNext/>
        <w:keepLines/>
        <w:numPr>
          <w:ilvl w:val="0"/>
          <w:numId w:val="24"/>
        </w:numPr>
        <w:spacing w:before="240"/>
        <w:jc w:val="both"/>
        <w:rPr>
          <w:rFonts w:ascii="Georgia" w:hAnsi="Georgia"/>
          <w:b/>
          <w:bCs/>
        </w:rPr>
      </w:pPr>
      <w:r w:rsidRPr="00182566">
        <w:rPr>
          <w:rFonts w:ascii="Georgia" w:hAnsi="Georgia"/>
        </w:rPr>
        <w:lastRenderedPageBreak/>
        <w:t>Whilst Mr McGowan ac</w:t>
      </w:r>
      <w:r w:rsidR="00657D73" w:rsidRPr="00182566">
        <w:rPr>
          <w:rFonts w:ascii="Georgia" w:hAnsi="Georgia"/>
        </w:rPr>
        <w:t>cepte</w:t>
      </w:r>
      <w:r w:rsidR="009872E4" w:rsidRPr="00182566">
        <w:rPr>
          <w:rFonts w:ascii="Georgia" w:hAnsi="Georgia"/>
        </w:rPr>
        <w:t>d</w:t>
      </w:r>
      <w:r w:rsidRPr="00182566">
        <w:rPr>
          <w:rFonts w:ascii="Georgia" w:hAnsi="Georgia"/>
        </w:rPr>
        <w:t xml:space="preserve"> that the offence</w:t>
      </w:r>
      <w:r w:rsidR="000F23F0">
        <w:rPr>
          <w:rFonts w:ascii="Georgia" w:hAnsi="Georgia"/>
        </w:rPr>
        <w:t>, committed by the Respondents,</w:t>
      </w:r>
      <w:r w:rsidRPr="00182566">
        <w:rPr>
          <w:rFonts w:ascii="Georgia" w:hAnsi="Georgia"/>
        </w:rPr>
        <w:t xml:space="preserve"> is not the most serious in the list of offences in section 4</w:t>
      </w:r>
      <w:r w:rsidR="00657D73" w:rsidRPr="00182566">
        <w:rPr>
          <w:rFonts w:ascii="Georgia" w:hAnsi="Georgia"/>
        </w:rPr>
        <w:t>0</w:t>
      </w:r>
      <w:r w:rsidRPr="00182566">
        <w:rPr>
          <w:rFonts w:ascii="Georgia" w:hAnsi="Georgia"/>
        </w:rPr>
        <w:t xml:space="preserve"> of the Act</w:t>
      </w:r>
      <w:r w:rsidR="00D22C6F" w:rsidRPr="00182566">
        <w:rPr>
          <w:rFonts w:ascii="Georgia" w:hAnsi="Georgia"/>
        </w:rPr>
        <w:t>,</w:t>
      </w:r>
      <w:r w:rsidR="00657D73" w:rsidRPr="00182566">
        <w:rPr>
          <w:rFonts w:ascii="Georgia" w:hAnsi="Georgia"/>
        </w:rPr>
        <w:t xml:space="preserve"> he </w:t>
      </w:r>
      <w:r w:rsidR="009872E4" w:rsidRPr="00182566">
        <w:rPr>
          <w:rFonts w:ascii="Georgia" w:hAnsi="Georgia"/>
        </w:rPr>
        <w:t>considered</w:t>
      </w:r>
      <w:r w:rsidR="00657D73" w:rsidRPr="00182566">
        <w:rPr>
          <w:rFonts w:ascii="Georgia" w:hAnsi="Georgia"/>
        </w:rPr>
        <w:t xml:space="preserve"> that </w:t>
      </w:r>
      <w:r w:rsidR="000F23F0">
        <w:rPr>
          <w:rFonts w:ascii="Georgia" w:hAnsi="Georgia"/>
        </w:rPr>
        <w:t>it</w:t>
      </w:r>
      <w:r w:rsidR="00657D73" w:rsidRPr="00182566">
        <w:rPr>
          <w:rFonts w:ascii="Georgia" w:hAnsi="Georgia"/>
        </w:rPr>
        <w:t xml:space="preserve"> </w:t>
      </w:r>
      <w:r w:rsidR="009872E4" w:rsidRPr="00182566">
        <w:rPr>
          <w:rFonts w:ascii="Georgia" w:hAnsi="Georgia"/>
        </w:rPr>
        <w:t xml:space="preserve">still </w:t>
      </w:r>
      <w:r w:rsidR="00657D73" w:rsidRPr="00182566">
        <w:rPr>
          <w:rFonts w:ascii="Georgia" w:hAnsi="Georgia"/>
        </w:rPr>
        <w:t xml:space="preserve">merited the Tribunal making an Order for repayment of between </w:t>
      </w:r>
      <w:r w:rsidRPr="00182566">
        <w:rPr>
          <w:rFonts w:ascii="Georgia" w:hAnsi="Georgia"/>
        </w:rPr>
        <w:t>60</w:t>
      </w:r>
      <w:r w:rsidR="00657D73" w:rsidRPr="00182566">
        <w:rPr>
          <w:rFonts w:ascii="Georgia" w:hAnsi="Georgia"/>
        </w:rPr>
        <w:t>%</w:t>
      </w:r>
      <w:r w:rsidRPr="00182566">
        <w:rPr>
          <w:rFonts w:ascii="Georgia" w:hAnsi="Georgia"/>
        </w:rPr>
        <w:t xml:space="preserve"> and 100% of the maximum penalty</w:t>
      </w:r>
      <w:r w:rsidR="00657D73" w:rsidRPr="00182566">
        <w:rPr>
          <w:rFonts w:ascii="Georgia" w:hAnsi="Georgia"/>
        </w:rPr>
        <w:t>.</w:t>
      </w:r>
    </w:p>
    <w:p w14:paraId="35E771E0" w14:textId="65944E92" w:rsidR="00657D73" w:rsidRPr="00182566" w:rsidRDefault="00822E7F" w:rsidP="00FD17F2">
      <w:pPr>
        <w:numPr>
          <w:ilvl w:val="0"/>
          <w:numId w:val="24"/>
        </w:numPr>
        <w:spacing w:before="240"/>
        <w:jc w:val="both"/>
        <w:rPr>
          <w:rFonts w:ascii="Georgia" w:hAnsi="Georgia"/>
          <w:b/>
          <w:bCs/>
        </w:rPr>
      </w:pPr>
      <w:r w:rsidRPr="00182566">
        <w:rPr>
          <w:rFonts w:ascii="Georgia" w:hAnsi="Georgia"/>
        </w:rPr>
        <w:t>Mr McGowan explained why</w:t>
      </w:r>
      <w:r w:rsidR="00FF5037" w:rsidRPr="00182566">
        <w:rPr>
          <w:rFonts w:ascii="Georgia" w:hAnsi="Georgia"/>
        </w:rPr>
        <w:t>,</w:t>
      </w:r>
      <w:r w:rsidRPr="00182566">
        <w:rPr>
          <w:rFonts w:ascii="Georgia" w:hAnsi="Georgia"/>
        </w:rPr>
        <w:t xml:space="preserve"> in the Applicants</w:t>
      </w:r>
      <w:r w:rsidR="009872E4" w:rsidRPr="00182566">
        <w:rPr>
          <w:rFonts w:ascii="Georgia" w:hAnsi="Georgia"/>
        </w:rPr>
        <w:t>’</w:t>
      </w:r>
      <w:r w:rsidRPr="00182566">
        <w:rPr>
          <w:rFonts w:ascii="Georgia" w:hAnsi="Georgia"/>
        </w:rPr>
        <w:t xml:space="preserve"> view</w:t>
      </w:r>
      <w:r w:rsidR="00FF5037" w:rsidRPr="00182566">
        <w:rPr>
          <w:rFonts w:ascii="Georgia" w:hAnsi="Georgia"/>
        </w:rPr>
        <w:t>,</w:t>
      </w:r>
      <w:r w:rsidRPr="00182566">
        <w:rPr>
          <w:rFonts w:ascii="Georgia" w:hAnsi="Georgia"/>
        </w:rPr>
        <w:t xml:space="preserve"> the reasonable  excuse</w:t>
      </w:r>
      <w:r w:rsidR="009872E4" w:rsidRPr="00182566">
        <w:rPr>
          <w:rFonts w:ascii="Georgia" w:hAnsi="Georgia"/>
        </w:rPr>
        <w:t xml:space="preserve"> put forward on behalf of the Respondents did not constitute a defence.</w:t>
      </w:r>
    </w:p>
    <w:p w14:paraId="2BD821E9" w14:textId="6A1C106E" w:rsidR="00822E7F" w:rsidRPr="00182566" w:rsidRDefault="00822E7F" w:rsidP="00FD17F2">
      <w:pPr>
        <w:numPr>
          <w:ilvl w:val="0"/>
          <w:numId w:val="24"/>
        </w:numPr>
        <w:spacing w:before="240"/>
        <w:jc w:val="both"/>
        <w:rPr>
          <w:rFonts w:ascii="Georgia" w:hAnsi="Georgia"/>
          <w:b/>
          <w:bCs/>
        </w:rPr>
      </w:pPr>
      <w:r w:rsidRPr="00182566">
        <w:rPr>
          <w:rFonts w:ascii="Georgia" w:hAnsi="Georgia"/>
        </w:rPr>
        <w:t>He said that the Respondents owned several properties</w:t>
      </w:r>
      <w:r w:rsidR="00314A08" w:rsidRPr="00182566">
        <w:rPr>
          <w:rFonts w:ascii="Georgia" w:hAnsi="Georgia"/>
        </w:rPr>
        <w:t xml:space="preserve">.  He referred the Tribunal to examples of “landlord’s conduct which he stated should </w:t>
      </w:r>
      <w:r w:rsidR="000F23F0">
        <w:rPr>
          <w:rFonts w:ascii="Georgia" w:hAnsi="Georgia"/>
        </w:rPr>
        <w:t xml:space="preserve">both </w:t>
      </w:r>
      <w:r w:rsidR="00314A08" w:rsidRPr="00182566">
        <w:rPr>
          <w:rFonts w:ascii="Georgia" w:hAnsi="Georgia"/>
        </w:rPr>
        <w:t>influence the tribu</w:t>
      </w:r>
      <w:r w:rsidR="008F5367" w:rsidRPr="00182566">
        <w:rPr>
          <w:rFonts w:ascii="Georgia" w:hAnsi="Georgia"/>
        </w:rPr>
        <w:t>nal’s assessment of the seriousness of the offence an</w:t>
      </w:r>
      <w:r w:rsidR="00FF5037" w:rsidRPr="00182566">
        <w:rPr>
          <w:rFonts w:ascii="Georgia" w:hAnsi="Georgia"/>
        </w:rPr>
        <w:t>d</w:t>
      </w:r>
      <w:r w:rsidR="008F5367" w:rsidRPr="00182566">
        <w:rPr>
          <w:rFonts w:ascii="Georgia" w:hAnsi="Georgia"/>
        </w:rPr>
        <w:t xml:space="preserve"> impact on the amount of any order.</w:t>
      </w:r>
    </w:p>
    <w:p w14:paraId="6510F34C" w14:textId="2BED3752" w:rsidR="008F5367" w:rsidRPr="00182566" w:rsidRDefault="008F5367" w:rsidP="00FD17F2">
      <w:pPr>
        <w:numPr>
          <w:ilvl w:val="0"/>
          <w:numId w:val="24"/>
        </w:numPr>
        <w:spacing w:before="240"/>
        <w:jc w:val="both"/>
        <w:rPr>
          <w:rFonts w:ascii="Georgia" w:hAnsi="Georgia"/>
          <w:b/>
          <w:bCs/>
        </w:rPr>
      </w:pPr>
      <w:r w:rsidRPr="00182566">
        <w:rPr>
          <w:rFonts w:ascii="Georgia" w:hAnsi="Georgia"/>
        </w:rPr>
        <w:t>He</w:t>
      </w:r>
      <w:r w:rsidR="00FF5037" w:rsidRPr="00182566">
        <w:rPr>
          <w:rFonts w:ascii="Georgia" w:hAnsi="Georgia"/>
        </w:rPr>
        <w:t xml:space="preserve"> </w:t>
      </w:r>
      <w:r w:rsidRPr="00182566">
        <w:rPr>
          <w:rFonts w:ascii="Georgia" w:hAnsi="Georgia"/>
        </w:rPr>
        <w:t xml:space="preserve">distinguished the facts in these proceedings from the facts in </w:t>
      </w:r>
      <w:r w:rsidR="00BA5251" w:rsidRPr="00182566">
        <w:rPr>
          <w:rFonts w:ascii="Georgia" w:hAnsi="Georgia"/>
          <w:b/>
          <w:bCs/>
        </w:rPr>
        <w:t>D’Costa</w:t>
      </w:r>
      <w:r w:rsidRPr="00182566">
        <w:rPr>
          <w:rFonts w:ascii="Georgia" w:hAnsi="Georgia"/>
        </w:rPr>
        <w:t xml:space="preserve"> (on which Mr Field sought to rely).</w:t>
      </w:r>
    </w:p>
    <w:p w14:paraId="0FF35890" w14:textId="4189086A" w:rsidR="008F245F" w:rsidRPr="00182566" w:rsidRDefault="008F245F" w:rsidP="00FD17F2">
      <w:pPr>
        <w:numPr>
          <w:ilvl w:val="0"/>
          <w:numId w:val="24"/>
        </w:numPr>
        <w:spacing w:before="240"/>
        <w:jc w:val="both"/>
        <w:rPr>
          <w:rFonts w:ascii="Georgia" w:hAnsi="Georgia"/>
          <w:b/>
          <w:bCs/>
        </w:rPr>
      </w:pPr>
      <w:r w:rsidRPr="00182566">
        <w:rPr>
          <w:rFonts w:ascii="Georgia" w:hAnsi="Georgia"/>
        </w:rPr>
        <w:t xml:space="preserve">He also referred the </w:t>
      </w:r>
      <w:r w:rsidR="00FF5037" w:rsidRPr="00182566">
        <w:rPr>
          <w:rFonts w:ascii="Georgia" w:hAnsi="Georgia"/>
        </w:rPr>
        <w:t>t</w:t>
      </w:r>
      <w:r w:rsidRPr="00182566">
        <w:rPr>
          <w:rFonts w:ascii="Georgia" w:hAnsi="Georgia"/>
        </w:rPr>
        <w:t xml:space="preserve">ribunal to the </w:t>
      </w:r>
      <w:r w:rsidRPr="00182566">
        <w:rPr>
          <w:rFonts w:ascii="Georgia" w:hAnsi="Georgia"/>
          <w:b/>
          <w:bCs/>
        </w:rPr>
        <w:t>Marigold</w:t>
      </w:r>
      <w:r w:rsidRPr="00182566">
        <w:rPr>
          <w:rFonts w:ascii="Georgia" w:hAnsi="Georgia"/>
        </w:rPr>
        <w:t xml:space="preserve"> case which contains </w:t>
      </w:r>
      <w:r w:rsidR="00B40E56" w:rsidRPr="00182566">
        <w:rPr>
          <w:rFonts w:ascii="Georgia" w:hAnsi="Georgia"/>
        </w:rPr>
        <w:t xml:space="preserve">Upper Tribunal </w:t>
      </w:r>
      <w:r w:rsidRPr="00182566">
        <w:rPr>
          <w:rFonts w:ascii="Georgia" w:hAnsi="Georgia"/>
        </w:rPr>
        <w:t xml:space="preserve">guidance on the way in which </w:t>
      </w:r>
      <w:r w:rsidR="00B40E56" w:rsidRPr="00182566">
        <w:rPr>
          <w:rFonts w:ascii="Georgia" w:hAnsi="Georgia"/>
        </w:rPr>
        <w:t>a</w:t>
      </w:r>
      <w:r w:rsidRPr="00182566">
        <w:rPr>
          <w:rFonts w:ascii="Georgia" w:hAnsi="Georgia"/>
        </w:rPr>
        <w:t xml:space="preserve"> </w:t>
      </w:r>
      <w:r w:rsidR="00B40E56" w:rsidRPr="00182566">
        <w:rPr>
          <w:rFonts w:ascii="Georgia" w:hAnsi="Georgia"/>
        </w:rPr>
        <w:t>t</w:t>
      </w:r>
      <w:r w:rsidRPr="00182566">
        <w:rPr>
          <w:rFonts w:ascii="Georgia" w:hAnsi="Georgia"/>
        </w:rPr>
        <w:t>ribunal should assess the reasonable excuse defence.</w:t>
      </w:r>
    </w:p>
    <w:p w14:paraId="39A4D44E" w14:textId="239B29DB" w:rsidR="00A609DF" w:rsidRPr="00182566" w:rsidRDefault="00A609DF" w:rsidP="00FD17F2">
      <w:pPr>
        <w:numPr>
          <w:ilvl w:val="0"/>
          <w:numId w:val="24"/>
        </w:numPr>
        <w:spacing w:before="240"/>
        <w:jc w:val="both"/>
        <w:rPr>
          <w:rFonts w:ascii="Georgia" w:hAnsi="Georgia"/>
          <w:b/>
        </w:rPr>
      </w:pPr>
      <w:r w:rsidRPr="00182566">
        <w:rPr>
          <w:rFonts w:ascii="Georgia" w:hAnsi="Georgia"/>
        </w:rPr>
        <w:t>Mr McGowan sought to distinguish the</w:t>
      </w:r>
      <w:r w:rsidR="000F23F0">
        <w:rPr>
          <w:rFonts w:ascii="Georgia" w:hAnsi="Georgia"/>
        </w:rPr>
        <w:t xml:space="preserve"> decision in </w:t>
      </w:r>
      <w:r w:rsidRPr="00182566">
        <w:rPr>
          <w:rFonts w:ascii="Georgia" w:hAnsi="Georgia"/>
        </w:rPr>
        <w:t xml:space="preserve"> </w:t>
      </w:r>
      <w:r w:rsidR="00BA5251" w:rsidRPr="00182566">
        <w:rPr>
          <w:rFonts w:ascii="Georgia" w:hAnsi="Georgia"/>
          <w:b/>
          <w:bCs/>
        </w:rPr>
        <w:t>D’Costa</w:t>
      </w:r>
      <w:r w:rsidRPr="00182566">
        <w:rPr>
          <w:rFonts w:ascii="Georgia" w:hAnsi="Georgia"/>
        </w:rPr>
        <w:t xml:space="preserve"> because he said in the current application there was no recorded interaction with an employee of Bristol City Council, nor was it suggested that the Respondent had relied upon  specific guidance obtained from Bristol City Council. He s</w:t>
      </w:r>
      <w:r w:rsidR="000F23F0">
        <w:rPr>
          <w:rFonts w:ascii="Georgia" w:hAnsi="Georgia"/>
        </w:rPr>
        <w:t>aid</w:t>
      </w:r>
      <w:r w:rsidRPr="00182566">
        <w:rPr>
          <w:rFonts w:ascii="Georgia" w:hAnsi="Georgia"/>
        </w:rPr>
        <w:t xml:space="preserve"> that Mr Collins’ statement is uncorroborated. He said there is no guarantee that Mr Collins had input the correct information </w:t>
      </w:r>
      <w:r w:rsidR="00B02A67" w:rsidRPr="00182566">
        <w:rPr>
          <w:rFonts w:ascii="Georgia" w:hAnsi="Georgia"/>
        </w:rPr>
        <w:t xml:space="preserve">when using the interactive </w:t>
      </w:r>
      <w:r w:rsidRPr="00182566">
        <w:rPr>
          <w:rFonts w:ascii="Georgia" w:hAnsi="Georgia"/>
        </w:rPr>
        <w:t xml:space="preserve">tool on the </w:t>
      </w:r>
      <w:r w:rsidR="000A23BA" w:rsidRPr="00182566">
        <w:rPr>
          <w:rFonts w:ascii="Georgia" w:hAnsi="Georgia"/>
        </w:rPr>
        <w:t xml:space="preserve">Bristol City </w:t>
      </w:r>
      <w:r w:rsidRPr="00182566">
        <w:rPr>
          <w:rFonts w:ascii="Georgia" w:hAnsi="Georgia"/>
        </w:rPr>
        <w:t xml:space="preserve">Council website. </w:t>
      </w:r>
    </w:p>
    <w:p w14:paraId="33045780" w14:textId="5C352E6A" w:rsidR="00A609DF" w:rsidRPr="00182566" w:rsidRDefault="00A609DF" w:rsidP="00FD17F2">
      <w:pPr>
        <w:numPr>
          <w:ilvl w:val="0"/>
          <w:numId w:val="24"/>
        </w:numPr>
        <w:spacing w:before="240"/>
        <w:jc w:val="both"/>
        <w:rPr>
          <w:rFonts w:ascii="Georgia" w:hAnsi="Georgia"/>
          <w:b/>
        </w:rPr>
      </w:pPr>
      <w:r w:rsidRPr="00182566">
        <w:rPr>
          <w:rFonts w:ascii="Georgia" w:hAnsi="Georgia"/>
        </w:rPr>
        <w:t xml:space="preserve">Mr McGowan told the </w:t>
      </w:r>
      <w:r w:rsidR="00B40E56" w:rsidRPr="00182566">
        <w:rPr>
          <w:rFonts w:ascii="Georgia" w:hAnsi="Georgia"/>
        </w:rPr>
        <w:t>T</w:t>
      </w:r>
      <w:r w:rsidRPr="00182566">
        <w:rPr>
          <w:rFonts w:ascii="Georgia" w:hAnsi="Georgia"/>
        </w:rPr>
        <w:t xml:space="preserve">ribunal that he wished it to consider the Respondent’s conduct (as landlords) and suggested some issues </w:t>
      </w:r>
      <w:r w:rsidR="00B02A67" w:rsidRPr="00182566">
        <w:rPr>
          <w:rFonts w:ascii="Georgia" w:hAnsi="Georgia"/>
        </w:rPr>
        <w:t xml:space="preserve">that </w:t>
      </w:r>
      <w:r w:rsidR="000F23F0">
        <w:rPr>
          <w:rFonts w:ascii="Georgia" w:hAnsi="Georgia"/>
        </w:rPr>
        <w:t xml:space="preserve">he believed </w:t>
      </w:r>
      <w:r w:rsidRPr="00182566">
        <w:rPr>
          <w:rFonts w:ascii="Georgia" w:hAnsi="Georgia"/>
        </w:rPr>
        <w:t>should influence the Tribunal’s decision with regard to the quantum of any order it might make.</w:t>
      </w:r>
    </w:p>
    <w:p w14:paraId="489D8C69" w14:textId="7634D238" w:rsidR="00A609DF" w:rsidRPr="00182566" w:rsidRDefault="00F975D6" w:rsidP="00FD17F2">
      <w:pPr>
        <w:numPr>
          <w:ilvl w:val="0"/>
          <w:numId w:val="24"/>
        </w:numPr>
        <w:spacing w:before="240"/>
        <w:jc w:val="both"/>
        <w:rPr>
          <w:rFonts w:ascii="Georgia" w:hAnsi="Georgia"/>
          <w:b/>
        </w:rPr>
      </w:pPr>
      <w:r w:rsidRPr="00182566">
        <w:rPr>
          <w:rFonts w:ascii="Georgia" w:hAnsi="Georgia"/>
        </w:rPr>
        <w:t xml:space="preserve">Mr McGowan </w:t>
      </w:r>
      <w:r w:rsidR="00A609DF" w:rsidRPr="00182566">
        <w:rPr>
          <w:rFonts w:ascii="Georgia" w:hAnsi="Georgia"/>
        </w:rPr>
        <w:t>said that the leaks which had affected the Applicants throughout their occupation were never satisfactorily resolved and that this had seriously impacted on their enjoyment of the Property.</w:t>
      </w:r>
    </w:p>
    <w:p w14:paraId="1B7F4DF0" w14:textId="77777777" w:rsidR="000F23F0" w:rsidRPr="000F23F0" w:rsidRDefault="00A609DF" w:rsidP="00FD17F2">
      <w:pPr>
        <w:numPr>
          <w:ilvl w:val="0"/>
          <w:numId w:val="24"/>
        </w:numPr>
        <w:spacing w:before="240"/>
        <w:jc w:val="both"/>
        <w:rPr>
          <w:rFonts w:ascii="Georgia" w:hAnsi="Georgia"/>
          <w:b/>
        </w:rPr>
      </w:pPr>
      <w:r w:rsidRPr="00182566">
        <w:rPr>
          <w:rFonts w:ascii="Georgia" w:hAnsi="Georgia"/>
        </w:rPr>
        <w:t>Furthermore, the Respondent</w:t>
      </w:r>
      <w:r w:rsidR="00791C18" w:rsidRPr="00182566">
        <w:rPr>
          <w:rFonts w:ascii="Georgia" w:hAnsi="Georgia"/>
        </w:rPr>
        <w:t>s</w:t>
      </w:r>
      <w:r w:rsidRPr="00182566">
        <w:rPr>
          <w:rFonts w:ascii="Georgia" w:hAnsi="Georgia"/>
        </w:rPr>
        <w:t xml:space="preserve"> had not responded quickly enough</w:t>
      </w:r>
      <w:r w:rsidR="000F23F0">
        <w:rPr>
          <w:rFonts w:ascii="Georgia" w:hAnsi="Georgia"/>
        </w:rPr>
        <w:t>,</w:t>
      </w:r>
      <w:r w:rsidRPr="00182566">
        <w:rPr>
          <w:rFonts w:ascii="Georgia" w:hAnsi="Georgia"/>
        </w:rPr>
        <w:t xml:space="preserve"> or adequately to the</w:t>
      </w:r>
      <w:r w:rsidR="00791C18" w:rsidRPr="00182566">
        <w:rPr>
          <w:rFonts w:ascii="Georgia" w:hAnsi="Georgia"/>
        </w:rPr>
        <w:t xml:space="preserve"> Applicants’ complaints about a</w:t>
      </w:r>
      <w:r w:rsidRPr="00182566">
        <w:rPr>
          <w:rFonts w:ascii="Georgia" w:hAnsi="Georgia"/>
        </w:rPr>
        <w:t xml:space="preserve"> lack of the security</w:t>
      </w:r>
      <w:r w:rsidR="000F23F0">
        <w:rPr>
          <w:rFonts w:ascii="Georgia" w:hAnsi="Georgia"/>
        </w:rPr>
        <w:t xml:space="preserve">, </w:t>
      </w:r>
      <w:r w:rsidRPr="00182566">
        <w:rPr>
          <w:rFonts w:ascii="Georgia" w:hAnsi="Georgia"/>
        </w:rPr>
        <w:t>following the removal of the lock on the outer door.  Evidence in the bundle referred to the removal of the outer door lock following external works</w:t>
      </w:r>
      <w:r w:rsidR="00F975D6" w:rsidRPr="00182566">
        <w:rPr>
          <w:rFonts w:ascii="Georgia" w:hAnsi="Georgia"/>
        </w:rPr>
        <w:t xml:space="preserve"> albeit no reason was ever </w:t>
      </w:r>
      <w:r w:rsidR="000F23F0">
        <w:rPr>
          <w:rFonts w:ascii="Georgia" w:hAnsi="Georgia"/>
        </w:rPr>
        <w:t>provided</w:t>
      </w:r>
      <w:r w:rsidR="00562722" w:rsidRPr="00182566">
        <w:rPr>
          <w:rFonts w:ascii="Georgia" w:hAnsi="Georgia"/>
        </w:rPr>
        <w:t>.</w:t>
      </w:r>
      <w:r w:rsidRPr="00182566">
        <w:rPr>
          <w:rFonts w:ascii="Georgia" w:hAnsi="Georgia"/>
        </w:rPr>
        <w:t xml:space="preserve"> It</w:t>
      </w:r>
      <w:r w:rsidR="000F23F0">
        <w:rPr>
          <w:rFonts w:ascii="Georgia" w:hAnsi="Georgia"/>
        </w:rPr>
        <w:t xml:space="preserve"> was accepted that there was a delay on the part of the Respondent in replacing the lock to the external door.</w:t>
      </w:r>
      <w:r w:rsidRPr="00182566">
        <w:rPr>
          <w:rFonts w:ascii="Georgia" w:hAnsi="Georgia"/>
        </w:rPr>
        <w:t xml:space="preserve"> </w:t>
      </w:r>
      <w:r w:rsidR="000F23F0">
        <w:rPr>
          <w:rFonts w:ascii="Georgia" w:hAnsi="Georgia"/>
        </w:rPr>
        <w:t>The</w:t>
      </w:r>
      <w:r w:rsidR="00F975D6" w:rsidRPr="00182566">
        <w:rPr>
          <w:rFonts w:ascii="Georgia" w:hAnsi="Georgia"/>
        </w:rPr>
        <w:t xml:space="preserve"> </w:t>
      </w:r>
      <w:r w:rsidR="00AE6C39" w:rsidRPr="00182566">
        <w:rPr>
          <w:rFonts w:ascii="Georgia" w:hAnsi="Georgia"/>
        </w:rPr>
        <w:t>Respondents</w:t>
      </w:r>
      <w:r w:rsidR="00F975D6" w:rsidRPr="00182566">
        <w:rPr>
          <w:rFonts w:ascii="Georgia" w:hAnsi="Georgia"/>
        </w:rPr>
        <w:t xml:space="preserve"> suggested this was connected to the installation of an intercom system </w:t>
      </w:r>
      <w:r w:rsidR="000F23F0">
        <w:rPr>
          <w:rFonts w:ascii="Georgia" w:hAnsi="Georgia"/>
        </w:rPr>
        <w:t xml:space="preserve">(installed in response to the </w:t>
      </w:r>
      <w:r w:rsidR="00F975D6" w:rsidRPr="00182566">
        <w:rPr>
          <w:rFonts w:ascii="Georgia" w:hAnsi="Georgia"/>
        </w:rPr>
        <w:t>Applicants</w:t>
      </w:r>
      <w:r w:rsidR="000F23F0">
        <w:rPr>
          <w:rFonts w:ascii="Georgia" w:hAnsi="Georgia"/>
        </w:rPr>
        <w:t>’</w:t>
      </w:r>
      <w:r w:rsidR="00F975D6" w:rsidRPr="00182566">
        <w:rPr>
          <w:rFonts w:ascii="Georgia" w:hAnsi="Georgia"/>
        </w:rPr>
        <w:t xml:space="preserve"> </w:t>
      </w:r>
      <w:r w:rsidR="000F23F0">
        <w:rPr>
          <w:rFonts w:ascii="Georgia" w:hAnsi="Georgia"/>
        </w:rPr>
        <w:t xml:space="preserve">request to </w:t>
      </w:r>
      <w:r w:rsidR="00F975D6" w:rsidRPr="00182566">
        <w:rPr>
          <w:rFonts w:ascii="Georgia" w:hAnsi="Georgia"/>
        </w:rPr>
        <w:t>improve security</w:t>
      </w:r>
      <w:r w:rsidR="000F23F0">
        <w:rPr>
          <w:rFonts w:ascii="Georgia" w:hAnsi="Georgia"/>
        </w:rPr>
        <w:t>)</w:t>
      </w:r>
      <w:r w:rsidR="00F975D6" w:rsidRPr="00182566">
        <w:rPr>
          <w:rFonts w:ascii="Georgia" w:hAnsi="Georgia"/>
        </w:rPr>
        <w:t>.</w:t>
      </w:r>
      <w:r w:rsidRPr="00182566">
        <w:rPr>
          <w:rFonts w:ascii="Georgia" w:hAnsi="Georgia"/>
        </w:rPr>
        <w:t xml:space="preserve">  Mr McGowan suggested that the Respondent</w:t>
      </w:r>
      <w:r w:rsidR="00B13CE0" w:rsidRPr="00182566">
        <w:rPr>
          <w:rFonts w:ascii="Georgia" w:hAnsi="Georgia"/>
        </w:rPr>
        <w:t>s</w:t>
      </w:r>
      <w:r w:rsidRPr="00182566">
        <w:rPr>
          <w:rFonts w:ascii="Georgia" w:hAnsi="Georgia"/>
        </w:rPr>
        <w:t xml:space="preserve"> had not been diligent enough </w:t>
      </w:r>
      <w:r w:rsidR="000F23F0">
        <w:rPr>
          <w:rFonts w:ascii="Georgia" w:hAnsi="Georgia"/>
        </w:rPr>
        <w:t>in responding</w:t>
      </w:r>
      <w:r w:rsidRPr="00182566">
        <w:rPr>
          <w:rFonts w:ascii="Georgia" w:hAnsi="Georgia"/>
        </w:rPr>
        <w:t xml:space="preserve"> to the Applicant</w:t>
      </w:r>
      <w:r w:rsidR="00B13CE0" w:rsidRPr="00182566">
        <w:rPr>
          <w:rFonts w:ascii="Georgia" w:hAnsi="Georgia"/>
        </w:rPr>
        <w:t>s’</w:t>
      </w:r>
      <w:r w:rsidRPr="00182566">
        <w:rPr>
          <w:rFonts w:ascii="Georgia" w:hAnsi="Georgia"/>
        </w:rPr>
        <w:t xml:space="preserve"> and </w:t>
      </w:r>
      <w:proofErr w:type="spellStart"/>
      <w:r w:rsidR="00B13CE0" w:rsidRPr="00182566">
        <w:rPr>
          <w:rFonts w:ascii="Georgia" w:hAnsi="Georgia"/>
        </w:rPr>
        <w:t>Bespoke’s</w:t>
      </w:r>
      <w:proofErr w:type="spellEnd"/>
      <w:r w:rsidRPr="00182566">
        <w:rPr>
          <w:rFonts w:ascii="Georgia" w:hAnsi="Georgia"/>
        </w:rPr>
        <w:t xml:space="preserve"> emails.  </w:t>
      </w:r>
    </w:p>
    <w:p w14:paraId="5F2079D9" w14:textId="576FE5EF" w:rsidR="00A609DF" w:rsidRPr="00182566" w:rsidRDefault="00A609DF" w:rsidP="00FD17F2">
      <w:pPr>
        <w:numPr>
          <w:ilvl w:val="0"/>
          <w:numId w:val="24"/>
        </w:numPr>
        <w:spacing w:before="240"/>
        <w:jc w:val="both"/>
        <w:rPr>
          <w:rFonts w:ascii="Georgia" w:hAnsi="Georgia"/>
          <w:b/>
        </w:rPr>
      </w:pPr>
      <w:r w:rsidRPr="00182566">
        <w:rPr>
          <w:rFonts w:ascii="Georgia" w:hAnsi="Georgia"/>
        </w:rPr>
        <w:lastRenderedPageBreak/>
        <w:t xml:space="preserve">Mr Collins told the Tribunal that it had been difficult to find contractors during the Covid pandemic.  </w:t>
      </w:r>
      <w:r w:rsidR="009A5183" w:rsidRPr="00182566">
        <w:rPr>
          <w:rFonts w:ascii="Georgia" w:hAnsi="Georgia"/>
        </w:rPr>
        <w:t>He said that he</w:t>
      </w:r>
      <w:r w:rsidRPr="00182566">
        <w:rPr>
          <w:rFonts w:ascii="Georgia" w:hAnsi="Georgia"/>
        </w:rPr>
        <w:t xml:space="preserve"> had done as much as he </w:t>
      </w:r>
      <w:r w:rsidR="00791C18" w:rsidRPr="00182566">
        <w:rPr>
          <w:rFonts w:ascii="Georgia" w:hAnsi="Georgia"/>
        </w:rPr>
        <w:t>w</w:t>
      </w:r>
      <w:r w:rsidRPr="00182566">
        <w:rPr>
          <w:rFonts w:ascii="Georgia" w:hAnsi="Georgia"/>
        </w:rPr>
        <w:t>as able but</w:t>
      </w:r>
      <w:r w:rsidR="000F23F0">
        <w:rPr>
          <w:rFonts w:ascii="Georgia" w:hAnsi="Georgia"/>
        </w:rPr>
        <w:t xml:space="preserve"> was </w:t>
      </w:r>
      <w:r w:rsidR="009A5183" w:rsidRPr="00182566">
        <w:rPr>
          <w:rFonts w:ascii="Georgia" w:hAnsi="Georgia"/>
        </w:rPr>
        <w:t>hampered by being</w:t>
      </w:r>
      <w:r w:rsidRPr="00182566">
        <w:rPr>
          <w:rFonts w:ascii="Georgia" w:hAnsi="Georgia"/>
        </w:rPr>
        <w:t xml:space="preserve"> geographically remote and dependent on receiving co-operation from his</w:t>
      </w:r>
      <w:r w:rsidR="00B13CE0" w:rsidRPr="00182566">
        <w:rPr>
          <w:rFonts w:ascii="Georgia" w:hAnsi="Georgia"/>
        </w:rPr>
        <w:t xml:space="preserve"> </w:t>
      </w:r>
      <w:r w:rsidRPr="00182566">
        <w:rPr>
          <w:rFonts w:ascii="Georgia" w:hAnsi="Georgia"/>
        </w:rPr>
        <w:t>contractors.  He also suggested that it had been important to endeavour to work within an acceptable budget.</w:t>
      </w:r>
    </w:p>
    <w:p w14:paraId="32426EE3" w14:textId="78A70D43" w:rsidR="00A609DF" w:rsidRPr="00182566" w:rsidRDefault="00A609DF" w:rsidP="00FD17F2">
      <w:pPr>
        <w:numPr>
          <w:ilvl w:val="0"/>
          <w:numId w:val="24"/>
        </w:numPr>
        <w:spacing w:before="240"/>
        <w:jc w:val="both"/>
        <w:rPr>
          <w:rFonts w:ascii="Georgia" w:hAnsi="Georgia"/>
          <w:b/>
        </w:rPr>
      </w:pPr>
      <w:r w:rsidRPr="00182566">
        <w:rPr>
          <w:rFonts w:ascii="Georgia" w:hAnsi="Georgia"/>
        </w:rPr>
        <w:t>Another “conduct issue” raised by Mr McGowan related to the fact that it was alleged</w:t>
      </w:r>
      <w:r w:rsidR="009A5183" w:rsidRPr="00182566">
        <w:rPr>
          <w:rFonts w:ascii="Georgia" w:hAnsi="Georgia"/>
        </w:rPr>
        <w:t>,</w:t>
      </w:r>
      <w:r w:rsidRPr="00182566">
        <w:rPr>
          <w:rFonts w:ascii="Georgia" w:hAnsi="Georgia"/>
        </w:rPr>
        <w:t xml:space="preserve"> and not denied</w:t>
      </w:r>
      <w:r w:rsidR="009A5183" w:rsidRPr="00182566">
        <w:rPr>
          <w:rFonts w:ascii="Georgia" w:hAnsi="Georgia"/>
        </w:rPr>
        <w:t>,</w:t>
      </w:r>
      <w:r w:rsidRPr="00182566">
        <w:rPr>
          <w:rFonts w:ascii="Georgia" w:hAnsi="Georgia"/>
        </w:rPr>
        <w:t xml:space="preserve"> that the Applicants</w:t>
      </w:r>
      <w:r w:rsidR="0078193F" w:rsidRPr="00182566">
        <w:rPr>
          <w:rFonts w:ascii="Georgia" w:hAnsi="Georgia"/>
        </w:rPr>
        <w:t>’</w:t>
      </w:r>
      <w:r w:rsidRPr="00182566">
        <w:rPr>
          <w:rFonts w:ascii="Georgia" w:hAnsi="Georgia"/>
        </w:rPr>
        <w:t xml:space="preserve"> electricity </w:t>
      </w:r>
      <w:r w:rsidR="00FA0E44" w:rsidRPr="00182566">
        <w:rPr>
          <w:rFonts w:ascii="Georgia" w:hAnsi="Georgia"/>
        </w:rPr>
        <w:t xml:space="preserve">bill </w:t>
      </w:r>
      <w:r w:rsidRPr="00182566">
        <w:rPr>
          <w:rFonts w:ascii="Georgia" w:hAnsi="Georgia"/>
        </w:rPr>
        <w:t xml:space="preserve">included </w:t>
      </w:r>
      <w:r w:rsidR="00FA0E44" w:rsidRPr="00182566">
        <w:rPr>
          <w:rFonts w:ascii="Georgia" w:hAnsi="Georgia"/>
        </w:rPr>
        <w:t xml:space="preserve">the cost of </w:t>
      </w:r>
      <w:r w:rsidRPr="00182566">
        <w:rPr>
          <w:rFonts w:ascii="Georgia" w:hAnsi="Georgia"/>
        </w:rPr>
        <w:t>communal lighting</w:t>
      </w:r>
      <w:r w:rsidR="00FA0E44" w:rsidRPr="00182566">
        <w:rPr>
          <w:rFonts w:ascii="Georgia" w:hAnsi="Georgia"/>
        </w:rPr>
        <w:t xml:space="preserve"> which was not separately metered</w:t>
      </w:r>
      <w:r w:rsidRPr="00182566">
        <w:rPr>
          <w:rFonts w:ascii="Georgia" w:hAnsi="Georgia"/>
        </w:rPr>
        <w:t xml:space="preserve">.  Eventually an allowance was made towards the </w:t>
      </w:r>
      <w:r w:rsidR="003B0AE1" w:rsidRPr="00182566">
        <w:rPr>
          <w:rFonts w:ascii="Georgia" w:hAnsi="Georgia"/>
        </w:rPr>
        <w:t>bills</w:t>
      </w:r>
      <w:r w:rsidR="00994B60" w:rsidRPr="00182566">
        <w:rPr>
          <w:rFonts w:ascii="Georgia" w:hAnsi="Georgia"/>
        </w:rPr>
        <w:t>,</w:t>
      </w:r>
      <w:r w:rsidRPr="00182566">
        <w:rPr>
          <w:rFonts w:ascii="Georgia" w:hAnsi="Georgia"/>
        </w:rPr>
        <w:t xml:space="preserve"> but the Applicants suggested that this had not been enough because th</w:t>
      </w:r>
      <w:r w:rsidR="003B0AE1" w:rsidRPr="00182566">
        <w:rPr>
          <w:rFonts w:ascii="Georgia" w:hAnsi="Georgia"/>
        </w:rPr>
        <w:t>e</w:t>
      </w:r>
      <w:r w:rsidR="009A5183" w:rsidRPr="00182566">
        <w:rPr>
          <w:rFonts w:ascii="Georgia" w:hAnsi="Georgia"/>
        </w:rPr>
        <w:t xml:space="preserve"> </w:t>
      </w:r>
      <w:r w:rsidRPr="00182566">
        <w:rPr>
          <w:rFonts w:ascii="Georgia" w:hAnsi="Georgia"/>
        </w:rPr>
        <w:t>amount was not adjusted</w:t>
      </w:r>
      <w:r w:rsidR="003B0AE1" w:rsidRPr="00182566">
        <w:rPr>
          <w:rFonts w:ascii="Georgia" w:hAnsi="Georgia"/>
        </w:rPr>
        <w:t xml:space="preserve"> upwards</w:t>
      </w:r>
      <w:r w:rsidRPr="00182566">
        <w:rPr>
          <w:rFonts w:ascii="Georgia" w:hAnsi="Georgia"/>
        </w:rPr>
        <w:t xml:space="preserve"> following the </w:t>
      </w:r>
      <w:r w:rsidR="009A5183" w:rsidRPr="00182566">
        <w:rPr>
          <w:rFonts w:ascii="Georgia" w:hAnsi="Georgia"/>
        </w:rPr>
        <w:t xml:space="preserve">subsequent </w:t>
      </w:r>
      <w:r w:rsidRPr="00182566">
        <w:rPr>
          <w:rFonts w:ascii="Georgia" w:hAnsi="Georgia"/>
        </w:rPr>
        <w:t xml:space="preserve">sharp increase in  utility costs </w:t>
      </w:r>
      <w:r w:rsidR="00F579DB" w:rsidRPr="00182566">
        <w:rPr>
          <w:rFonts w:ascii="Georgia" w:hAnsi="Georgia"/>
        </w:rPr>
        <w:t>after</w:t>
      </w:r>
      <w:r w:rsidR="004E6573" w:rsidRPr="00182566">
        <w:rPr>
          <w:rFonts w:ascii="Georgia" w:hAnsi="Georgia"/>
        </w:rPr>
        <w:t xml:space="preserve"> Russia invaded Ukraine.</w:t>
      </w:r>
    </w:p>
    <w:p w14:paraId="55999CF9" w14:textId="72FD4303" w:rsidR="00504EB5" w:rsidRPr="00182566" w:rsidRDefault="00504EB5" w:rsidP="00FD17F2">
      <w:pPr>
        <w:numPr>
          <w:ilvl w:val="0"/>
          <w:numId w:val="24"/>
        </w:numPr>
        <w:spacing w:before="240"/>
        <w:jc w:val="both"/>
        <w:rPr>
          <w:rFonts w:ascii="Georgia" w:hAnsi="Georgia"/>
        </w:rPr>
      </w:pPr>
      <w:r w:rsidRPr="00182566">
        <w:rPr>
          <w:rFonts w:ascii="Georgia" w:hAnsi="Georgia"/>
          <w:bCs/>
        </w:rPr>
        <w:t>Mr McGowan established</w:t>
      </w:r>
      <w:r w:rsidR="004E6573" w:rsidRPr="00182566">
        <w:rPr>
          <w:rFonts w:ascii="Georgia" w:hAnsi="Georgia"/>
          <w:bCs/>
        </w:rPr>
        <w:t>,</w:t>
      </w:r>
      <w:r w:rsidRPr="00182566">
        <w:rPr>
          <w:rFonts w:ascii="Georgia" w:hAnsi="Georgia"/>
          <w:bCs/>
        </w:rPr>
        <w:t xml:space="preserve"> after questioning Mrs Collins</w:t>
      </w:r>
      <w:r w:rsidR="004E6573" w:rsidRPr="00182566">
        <w:rPr>
          <w:rFonts w:ascii="Georgia" w:hAnsi="Georgia"/>
          <w:bCs/>
        </w:rPr>
        <w:t>,</w:t>
      </w:r>
      <w:r w:rsidRPr="00182566">
        <w:rPr>
          <w:rFonts w:ascii="Georgia" w:hAnsi="Georgia"/>
          <w:bCs/>
        </w:rPr>
        <w:t xml:space="preserve"> that the Respondents had inherited several properties</w:t>
      </w:r>
      <w:r w:rsidR="007E6C41" w:rsidRPr="00182566">
        <w:rPr>
          <w:rFonts w:ascii="Georgia" w:hAnsi="Georgia"/>
          <w:bCs/>
        </w:rPr>
        <w:t>,</w:t>
      </w:r>
      <w:r w:rsidRPr="00182566">
        <w:rPr>
          <w:rFonts w:ascii="Georgia" w:hAnsi="Georgia"/>
          <w:bCs/>
        </w:rPr>
        <w:t xml:space="preserve"> some of which </w:t>
      </w:r>
      <w:r w:rsidR="004E6573" w:rsidRPr="00182566">
        <w:rPr>
          <w:rFonts w:ascii="Georgia" w:hAnsi="Georgia"/>
          <w:bCs/>
        </w:rPr>
        <w:t xml:space="preserve">are </w:t>
      </w:r>
      <w:r w:rsidRPr="00182566">
        <w:rPr>
          <w:rFonts w:ascii="Georgia" w:hAnsi="Georgia"/>
          <w:bCs/>
        </w:rPr>
        <w:t>commercial</w:t>
      </w:r>
      <w:r w:rsidR="0078193F" w:rsidRPr="00182566">
        <w:rPr>
          <w:rFonts w:ascii="Georgia" w:hAnsi="Georgia"/>
          <w:bCs/>
        </w:rPr>
        <w:t>,</w:t>
      </w:r>
      <w:r w:rsidRPr="00182566">
        <w:rPr>
          <w:rFonts w:ascii="Georgia" w:hAnsi="Georgia"/>
          <w:bCs/>
        </w:rPr>
        <w:t xml:space="preserve"> the majority of which are residential</w:t>
      </w:r>
      <w:r w:rsidR="007E6C41" w:rsidRPr="00182566">
        <w:rPr>
          <w:rFonts w:ascii="Georgia" w:hAnsi="Georgia"/>
          <w:bCs/>
        </w:rPr>
        <w:t>,</w:t>
      </w:r>
      <w:r w:rsidR="004E6573" w:rsidRPr="00182566">
        <w:rPr>
          <w:rFonts w:ascii="Georgia" w:hAnsi="Georgia"/>
          <w:bCs/>
        </w:rPr>
        <w:t xml:space="preserve"> and all of which are </w:t>
      </w:r>
      <w:r w:rsidR="0078193F" w:rsidRPr="00182566">
        <w:rPr>
          <w:rFonts w:ascii="Georgia" w:hAnsi="Georgia"/>
          <w:bCs/>
        </w:rPr>
        <w:t>currently</w:t>
      </w:r>
      <w:r w:rsidR="004E6573" w:rsidRPr="00182566">
        <w:rPr>
          <w:rFonts w:ascii="Georgia" w:hAnsi="Georgia"/>
          <w:bCs/>
        </w:rPr>
        <w:t xml:space="preserve"> let.</w:t>
      </w:r>
    </w:p>
    <w:p w14:paraId="1DCB8DA7" w14:textId="035939F4" w:rsidR="002C53D7" w:rsidRPr="00182566" w:rsidRDefault="002C53D7" w:rsidP="00FD17F2">
      <w:pPr>
        <w:numPr>
          <w:ilvl w:val="0"/>
          <w:numId w:val="24"/>
        </w:numPr>
        <w:spacing w:before="240"/>
        <w:jc w:val="both"/>
        <w:rPr>
          <w:rFonts w:ascii="Georgia" w:hAnsi="Georgia"/>
        </w:rPr>
      </w:pPr>
      <w:r w:rsidRPr="00182566">
        <w:rPr>
          <w:rFonts w:ascii="Georgia" w:hAnsi="Georgia"/>
        </w:rPr>
        <w:t>Mr McGowan also confirmed that the Applicants sought the repayment of both the application fee and the hearing fee paid by the Applicant to the Tribunal.</w:t>
      </w:r>
    </w:p>
    <w:p w14:paraId="5EE39601" w14:textId="1B1184A5" w:rsidR="008026FC" w:rsidRPr="00182566" w:rsidRDefault="008026FC" w:rsidP="008F245F">
      <w:pPr>
        <w:spacing w:before="240"/>
        <w:jc w:val="both"/>
        <w:rPr>
          <w:rFonts w:ascii="Georgia" w:hAnsi="Georgia"/>
          <w:b/>
          <w:bCs/>
        </w:rPr>
      </w:pPr>
      <w:r w:rsidRPr="00182566">
        <w:rPr>
          <w:rFonts w:ascii="Georgia" w:hAnsi="Georgia"/>
          <w:b/>
          <w:bCs/>
        </w:rPr>
        <w:t>The Respondents</w:t>
      </w:r>
      <w:r w:rsidR="00B8157B" w:rsidRPr="00182566">
        <w:rPr>
          <w:rFonts w:ascii="Georgia" w:hAnsi="Georgia"/>
          <w:b/>
          <w:bCs/>
        </w:rPr>
        <w:t>’</w:t>
      </w:r>
      <w:r w:rsidRPr="00182566">
        <w:rPr>
          <w:rFonts w:ascii="Georgia" w:hAnsi="Georgia"/>
          <w:b/>
          <w:bCs/>
        </w:rPr>
        <w:t xml:space="preserve"> </w:t>
      </w:r>
      <w:r w:rsidR="00D22C6F" w:rsidRPr="00182566">
        <w:rPr>
          <w:rFonts w:ascii="Georgia" w:hAnsi="Georgia"/>
          <w:b/>
          <w:bCs/>
        </w:rPr>
        <w:t>case.</w:t>
      </w:r>
    </w:p>
    <w:p w14:paraId="2D16A3E1" w14:textId="142C6975" w:rsidR="00385E3D" w:rsidRPr="00182566" w:rsidRDefault="008F245F" w:rsidP="00FD17F2">
      <w:pPr>
        <w:numPr>
          <w:ilvl w:val="0"/>
          <w:numId w:val="24"/>
        </w:numPr>
        <w:jc w:val="both"/>
        <w:rPr>
          <w:rFonts w:ascii="Georgia" w:hAnsi="Georgia"/>
          <w:b/>
          <w:bCs/>
        </w:rPr>
      </w:pPr>
      <w:r w:rsidRPr="00182566">
        <w:rPr>
          <w:rFonts w:ascii="Georgia" w:hAnsi="Georgia"/>
        </w:rPr>
        <w:t>Mr Field</w:t>
      </w:r>
      <w:r w:rsidRPr="00182566">
        <w:rPr>
          <w:rFonts w:ascii="Georgia" w:hAnsi="Georgia"/>
          <w:b/>
          <w:bCs/>
        </w:rPr>
        <w:t xml:space="preserve"> </w:t>
      </w:r>
      <w:r w:rsidRPr="00182566">
        <w:rPr>
          <w:rFonts w:ascii="Georgia" w:hAnsi="Georgia"/>
        </w:rPr>
        <w:t>acknowledge</w:t>
      </w:r>
      <w:r w:rsidR="00B8157B" w:rsidRPr="00182566">
        <w:rPr>
          <w:rFonts w:ascii="Georgia" w:hAnsi="Georgia"/>
        </w:rPr>
        <w:t>d</w:t>
      </w:r>
      <w:r w:rsidRPr="00182566">
        <w:rPr>
          <w:rFonts w:ascii="Georgia" w:hAnsi="Georgia"/>
        </w:rPr>
        <w:t xml:space="preserve"> that the </w:t>
      </w:r>
      <w:r w:rsidR="008026FC" w:rsidRPr="00182566">
        <w:rPr>
          <w:rFonts w:ascii="Georgia" w:hAnsi="Georgia"/>
        </w:rPr>
        <w:t>Respondent</w:t>
      </w:r>
      <w:r w:rsidR="00B8157B" w:rsidRPr="00182566">
        <w:rPr>
          <w:rFonts w:ascii="Georgia" w:hAnsi="Georgia"/>
        </w:rPr>
        <w:t>s</w:t>
      </w:r>
      <w:r w:rsidR="008026FC" w:rsidRPr="00182566">
        <w:rPr>
          <w:rFonts w:ascii="Georgia" w:hAnsi="Georgia"/>
        </w:rPr>
        <w:t xml:space="preserve"> failed to obtain an HMO licence during the period of the Tenancy.  </w:t>
      </w:r>
      <w:r w:rsidRPr="00182566">
        <w:rPr>
          <w:rFonts w:ascii="Georgia" w:hAnsi="Georgia"/>
        </w:rPr>
        <w:t>However,</w:t>
      </w:r>
      <w:r w:rsidR="008026FC" w:rsidRPr="00182566">
        <w:rPr>
          <w:rFonts w:ascii="Georgia" w:hAnsi="Georgia"/>
        </w:rPr>
        <w:t xml:space="preserve"> he </w:t>
      </w:r>
      <w:r w:rsidRPr="00182566">
        <w:rPr>
          <w:rFonts w:ascii="Georgia" w:hAnsi="Georgia"/>
        </w:rPr>
        <w:t xml:space="preserve">said that the Respondents </w:t>
      </w:r>
      <w:r w:rsidR="008026FC" w:rsidRPr="00182566">
        <w:rPr>
          <w:rFonts w:ascii="Georgia" w:hAnsi="Georgia"/>
        </w:rPr>
        <w:t xml:space="preserve">had a reasonable excuse because </w:t>
      </w:r>
      <w:r w:rsidRPr="00182566">
        <w:rPr>
          <w:rFonts w:ascii="Georgia" w:hAnsi="Georgia"/>
        </w:rPr>
        <w:t xml:space="preserve">Mr Collins </w:t>
      </w:r>
      <w:r w:rsidR="0078193F" w:rsidRPr="00182566">
        <w:rPr>
          <w:rFonts w:ascii="Georgia" w:hAnsi="Georgia"/>
        </w:rPr>
        <w:t xml:space="preserve">had been </w:t>
      </w:r>
      <w:r w:rsidRPr="00182566">
        <w:rPr>
          <w:rFonts w:ascii="Georgia" w:hAnsi="Georgia"/>
        </w:rPr>
        <w:t>misled by the</w:t>
      </w:r>
      <w:r w:rsidR="0078193F" w:rsidRPr="00182566">
        <w:rPr>
          <w:rFonts w:ascii="Georgia" w:hAnsi="Georgia"/>
        </w:rPr>
        <w:t xml:space="preserve"> inadequacy of the</w:t>
      </w:r>
      <w:r w:rsidRPr="00182566">
        <w:rPr>
          <w:rFonts w:ascii="Georgia" w:hAnsi="Georgia"/>
        </w:rPr>
        <w:t xml:space="preserve"> Bristol City Council website</w:t>
      </w:r>
      <w:r w:rsidR="00385E3D" w:rsidRPr="00182566">
        <w:rPr>
          <w:rFonts w:ascii="Georgia" w:hAnsi="Georgia"/>
        </w:rPr>
        <w:t>.</w:t>
      </w:r>
    </w:p>
    <w:p w14:paraId="459AC0AA" w14:textId="2CAE2BA0" w:rsidR="008026FC" w:rsidRPr="00182566" w:rsidRDefault="00385E3D" w:rsidP="00FD17F2">
      <w:pPr>
        <w:numPr>
          <w:ilvl w:val="0"/>
          <w:numId w:val="24"/>
        </w:numPr>
        <w:spacing w:before="240"/>
        <w:jc w:val="both"/>
        <w:rPr>
          <w:rFonts w:ascii="Georgia" w:hAnsi="Georgia"/>
          <w:b/>
          <w:bCs/>
        </w:rPr>
      </w:pPr>
      <w:r w:rsidRPr="00182566">
        <w:rPr>
          <w:rFonts w:ascii="Georgia" w:hAnsi="Georgia"/>
        </w:rPr>
        <w:t xml:space="preserve">Mr Field submitted that the alleged conduct of the Respondents was not a factor which should </w:t>
      </w:r>
      <w:r w:rsidR="008026FC" w:rsidRPr="00182566">
        <w:rPr>
          <w:rFonts w:ascii="Georgia" w:hAnsi="Georgia"/>
        </w:rPr>
        <w:t>influence the Tribunal with regard to</w:t>
      </w:r>
      <w:r w:rsidRPr="00182566">
        <w:rPr>
          <w:rFonts w:ascii="Georgia" w:hAnsi="Georgia"/>
        </w:rPr>
        <w:t xml:space="preserve"> its assessment of </w:t>
      </w:r>
      <w:r w:rsidR="008026FC" w:rsidRPr="00182566">
        <w:rPr>
          <w:rFonts w:ascii="Georgia" w:hAnsi="Georgia"/>
        </w:rPr>
        <w:t xml:space="preserve"> the amount of the o</w:t>
      </w:r>
      <w:r w:rsidRPr="00182566">
        <w:rPr>
          <w:rFonts w:ascii="Georgia" w:hAnsi="Georgia"/>
        </w:rPr>
        <w:t>rder.</w:t>
      </w:r>
    </w:p>
    <w:p w14:paraId="1A32FCCF" w14:textId="6BEC31D0" w:rsidR="00314A8A" w:rsidRPr="00182566" w:rsidRDefault="00314A8A" w:rsidP="00FD17F2">
      <w:pPr>
        <w:numPr>
          <w:ilvl w:val="0"/>
          <w:numId w:val="24"/>
        </w:numPr>
        <w:spacing w:before="240"/>
        <w:jc w:val="both"/>
        <w:rPr>
          <w:rFonts w:ascii="Georgia" w:hAnsi="Georgia"/>
          <w:b/>
          <w:bCs/>
        </w:rPr>
      </w:pPr>
      <w:r w:rsidRPr="00182566">
        <w:rPr>
          <w:rFonts w:ascii="Georgia" w:hAnsi="Georgia"/>
        </w:rPr>
        <w:t>Mr Field stated that the evidence provided by Mr Collins during the Hearing</w:t>
      </w:r>
      <w:r w:rsidR="00D22C6F" w:rsidRPr="00182566">
        <w:rPr>
          <w:rFonts w:ascii="Georgia" w:hAnsi="Georgia"/>
        </w:rPr>
        <w:t xml:space="preserve">, </w:t>
      </w:r>
      <w:r w:rsidRPr="00182566">
        <w:rPr>
          <w:rFonts w:ascii="Georgia" w:hAnsi="Georgia"/>
        </w:rPr>
        <w:t xml:space="preserve"> and in his witness statement</w:t>
      </w:r>
      <w:r w:rsidR="00D22C6F" w:rsidRPr="00182566">
        <w:rPr>
          <w:rFonts w:ascii="Georgia" w:hAnsi="Georgia"/>
        </w:rPr>
        <w:t>,</w:t>
      </w:r>
      <w:r w:rsidRPr="00182566">
        <w:rPr>
          <w:rFonts w:ascii="Georgia" w:hAnsi="Georgia"/>
        </w:rPr>
        <w:t xml:space="preserve"> demonstrated that he was open and honest.  His statement needed no further corroboration.  It was a statement of truth and should be accepted as such.</w:t>
      </w:r>
    </w:p>
    <w:p w14:paraId="408535C5" w14:textId="056AC23A" w:rsidR="007D4135" w:rsidRPr="00182566" w:rsidRDefault="00314A8A" w:rsidP="00FD17F2">
      <w:pPr>
        <w:numPr>
          <w:ilvl w:val="0"/>
          <w:numId w:val="24"/>
        </w:numPr>
        <w:spacing w:before="240"/>
        <w:jc w:val="both"/>
        <w:rPr>
          <w:rFonts w:ascii="Georgia" w:hAnsi="Georgia"/>
        </w:rPr>
      </w:pPr>
      <w:r w:rsidRPr="00182566">
        <w:rPr>
          <w:rFonts w:ascii="Georgia" w:hAnsi="Georgia"/>
        </w:rPr>
        <w:t>If the Tribunal did not accept that the Respondents could rely upon the defence of reasonable excuse</w:t>
      </w:r>
      <w:r w:rsidR="00614A2B" w:rsidRPr="00182566">
        <w:rPr>
          <w:rFonts w:ascii="Georgia" w:hAnsi="Georgia"/>
        </w:rPr>
        <w:t>,</w:t>
      </w:r>
      <w:r w:rsidRPr="00182566">
        <w:rPr>
          <w:rFonts w:ascii="Georgia" w:hAnsi="Georgia"/>
        </w:rPr>
        <w:t xml:space="preserve"> it should make an order for the repayment of between </w:t>
      </w:r>
      <w:r w:rsidR="007D4135" w:rsidRPr="00182566">
        <w:rPr>
          <w:rFonts w:ascii="Georgia" w:hAnsi="Georgia"/>
        </w:rPr>
        <w:t>25% – 50% of the rent claimed.</w:t>
      </w:r>
    </w:p>
    <w:p w14:paraId="1D3D0389" w14:textId="0A020EE7" w:rsidR="008026FC" w:rsidRPr="00182566" w:rsidRDefault="002C53D7" w:rsidP="00FD17F2">
      <w:pPr>
        <w:numPr>
          <w:ilvl w:val="0"/>
          <w:numId w:val="24"/>
        </w:numPr>
        <w:spacing w:before="240"/>
        <w:jc w:val="both"/>
        <w:rPr>
          <w:rFonts w:ascii="Georgia" w:hAnsi="Georgia"/>
        </w:rPr>
      </w:pPr>
      <w:r w:rsidRPr="00182566">
        <w:rPr>
          <w:rFonts w:ascii="Georgia" w:hAnsi="Georgia"/>
        </w:rPr>
        <w:t xml:space="preserve">In response to the application for reimbursement of the </w:t>
      </w:r>
      <w:r w:rsidR="004D17ED" w:rsidRPr="00182566">
        <w:rPr>
          <w:rFonts w:ascii="Georgia" w:hAnsi="Georgia"/>
        </w:rPr>
        <w:t>fees paid for to the Tribunal Mr Field said it was for the Tribunal to decide what was fair.</w:t>
      </w:r>
    </w:p>
    <w:p w14:paraId="06AFF43F" w14:textId="50F1577B" w:rsidR="00A92218" w:rsidRPr="00182566" w:rsidRDefault="00A92218" w:rsidP="00FD17F2">
      <w:pPr>
        <w:numPr>
          <w:ilvl w:val="0"/>
          <w:numId w:val="24"/>
        </w:numPr>
        <w:spacing w:before="240"/>
        <w:jc w:val="both"/>
        <w:rPr>
          <w:rFonts w:ascii="Georgia" w:hAnsi="Georgia"/>
          <w:b/>
        </w:rPr>
      </w:pPr>
      <w:r w:rsidRPr="00182566">
        <w:rPr>
          <w:rFonts w:ascii="Georgia" w:hAnsi="Georgia"/>
        </w:rPr>
        <w:t xml:space="preserve">Mr </w:t>
      </w:r>
      <w:r w:rsidR="004C1445" w:rsidRPr="00182566">
        <w:rPr>
          <w:rFonts w:ascii="Georgia" w:hAnsi="Georgia"/>
        </w:rPr>
        <w:t xml:space="preserve">Field referred </w:t>
      </w:r>
      <w:r w:rsidR="00387C09" w:rsidRPr="00182566">
        <w:rPr>
          <w:rFonts w:ascii="Georgia" w:hAnsi="Georgia"/>
        </w:rPr>
        <w:t xml:space="preserve">the Tribunal to various decisions in cases included within the bundle and in particular </w:t>
      </w:r>
      <w:r w:rsidR="004C1445" w:rsidRPr="00182566">
        <w:rPr>
          <w:rFonts w:ascii="Georgia" w:hAnsi="Georgia"/>
        </w:rPr>
        <w:t xml:space="preserve">to the decision </w:t>
      </w:r>
      <w:r w:rsidR="003831E6" w:rsidRPr="00182566">
        <w:rPr>
          <w:rFonts w:ascii="Georgia" w:hAnsi="Georgia"/>
        </w:rPr>
        <w:t xml:space="preserve">by the Upper Tribunal in </w:t>
      </w:r>
      <w:r w:rsidR="003831E6" w:rsidRPr="00182566">
        <w:rPr>
          <w:rFonts w:ascii="Georgia" w:hAnsi="Georgia"/>
          <w:b/>
          <w:bCs/>
        </w:rPr>
        <w:t xml:space="preserve">D’Costa v </w:t>
      </w:r>
      <w:r w:rsidR="002A6F37" w:rsidRPr="00182566">
        <w:rPr>
          <w:rFonts w:ascii="Georgia" w:hAnsi="Georgia"/>
          <w:b/>
          <w:bCs/>
        </w:rPr>
        <w:t>D’</w:t>
      </w:r>
      <w:r w:rsidR="003831E6" w:rsidRPr="00182566">
        <w:rPr>
          <w:rFonts w:ascii="Georgia" w:hAnsi="Georgia"/>
          <w:b/>
          <w:bCs/>
        </w:rPr>
        <w:t>Andrea and others</w:t>
      </w:r>
      <w:r w:rsidR="003831E6" w:rsidRPr="00182566">
        <w:rPr>
          <w:rFonts w:ascii="Georgia" w:hAnsi="Georgia"/>
        </w:rPr>
        <w:t xml:space="preserve">  as being relevant.  He said that </w:t>
      </w:r>
      <w:r w:rsidR="00123CF2" w:rsidRPr="00182566">
        <w:rPr>
          <w:rFonts w:ascii="Georgia" w:hAnsi="Georgia"/>
        </w:rPr>
        <w:t xml:space="preserve">Mr Collins </w:t>
      </w:r>
      <w:r w:rsidR="003831E6" w:rsidRPr="00182566">
        <w:rPr>
          <w:rFonts w:ascii="Georgia" w:hAnsi="Georgia"/>
        </w:rPr>
        <w:t xml:space="preserve">had checked the Bristol City Council website and used the interactive </w:t>
      </w:r>
      <w:r w:rsidR="00E019F6" w:rsidRPr="00182566">
        <w:rPr>
          <w:rFonts w:ascii="Georgia" w:hAnsi="Georgia"/>
        </w:rPr>
        <w:t>tool,</w:t>
      </w:r>
      <w:r w:rsidR="003831E6" w:rsidRPr="00182566">
        <w:rPr>
          <w:rFonts w:ascii="Georgia" w:hAnsi="Georgia"/>
        </w:rPr>
        <w:t xml:space="preserve"> </w:t>
      </w:r>
      <w:r w:rsidR="006C48A6" w:rsidRPr="00182566">
        <w:rPr>
          <w:rFonts w:ascii="Georgia" w:hAnsi="Georgia"/>
        </w:rPr>
        <w:t xml:space="preserve"> </w:t>
      </w:r>
      <w:r w:rsidR="004C1321" w:rsidRPr="00182566">
        <w:rPr>
          <w:rFonts w:ascii="Georgia" w:hAnsi="Georgia"/>
        </w:rPr>
        <w:t>which resulted in his forming the view that</w:t>
      </w:r>
      <w:r w:rsidR="006C48A6" w:rsidRPr="00182566">
        <w:rPr>
          <w:rFonts w:ascii="Georgia" w:hAnsi="Georgia"/>
        </w:rPr>
        <w:t xml:space="preserve"> the Property did not require an HMO Licence.  He was unable to confirm when</w:t>
      </w:r>
      <w:r w:rsidR="004C1321" w:rsidRPr="00182566">
        <w:rPr>
          <w:rFonts w:ascii="Georgia" w:hAnsi="Georgia"/>
        </w:rPr>
        <w:t xml:space="preserve">, </w:t>
      </w:r>
      <w:r w:rsidR="006C48A6" w:rsidRPr="00182566">
        <w:rPr>
          <w:rFonts w:ascii="Georgia" w:hAnsi="Georgia"/>
        </w:rPr>
        <w:t xml:space="preserve"> or how often </w:t>
      </w:r>
      <w:r w:rsidR="00123CF2" w:rsidRPr="00182566">
        <w:rPr>
          <w:rFonts w:ascii="Georgia" w:hAnsi="Georgia"/>
        </w:rPr>
        <w:t>Mr Collins</w:t>
      </w:r>
      <w:r w:rsidR="006C48A6" w:rsidRPr="00182566">
        <w:rPr>
          <w:rFonts w:ascii="Georgia" w:hAnsi="Georgia"/>
        </w:rPr>
        <w:t xml:space="preserve"> had checked the </w:t>
      </w:r>
      <w:r w:rsidR="00E019F6" w:rsidRPr="00182566">
        <w:rPr>
          <w:rFonts w:ascii="Georgia" w:hAnsi="Georgia"/>
        </w:rPr>
        <w:t>website,</w:t>
      </w:r>
      <w:r w:rsidR="006C48A6" w:rsidRPr="00182566">
        <w:rPr>
          <w:rFonts w:ascii="Georgia" w:hAnsi="Georgia"/>
        </w:rPr>
        <w:t xml:space="preserve"> </w:t>
      </w:r>
      <w:r w:rsidR="004C1321" w:rsidRPr="00182566">
        <w:rPr>
          <w:rFonts w:ascii="Georgia" w:hAnsi="Georgia"/>
        </w:rPr>
        <w:t xml:space="preserve">but it was suggested that Mr Collins had checked </w:t>
      </w:r>
      <w:r w:rsidR="006C48A6" w:rsidRPr="00182566">
        <w:rPr>
          <w:rFonts w:ascii="Georgia" w:hAnsi="Georgia"/>
        </w:rPr>
        <w:t xml:space="preserve">the website a few times during the period of the </w:t>
      </w:r>
      <w:r w:rsidR="006C48A6" w:rsidRPr="00182566">
        <w:rPr>
          <w:rFonts w:ascii="Georgia" w:hAnsi="Georgia"/>
        </w:rPr>
        <w:lastRenderedPageBreak/>
        <w:t xml:space="preserve">Applicants’ claim [522].  </w:t>
      </w:r>
      <w:r w:rsidR="00123CF2" w:rsidRPr="00182566">
        <w:rPr>
          <w:rFonts w:ascii="Georgia" w:hAnsi="Georgia"/>
        </w:rPr>
        <w:t xml:space="preserve">Mr Collins </w:t>
      </w:r>
      <w:r w:rsidR="006C48A6" w:rsidRPr="00182566">
        <w:rPr>
          <w:rFonts w:ascii="Georgia" w:hAnsi="Georgia"/>
        </w:rPr>
        <w:t xml:space="preserve"> confirmed to the Tribunal  that he had </w:t>
      </w:r>
      <w:r w:rsidR="004C1321" w:rsidRPr="00182566">
        <w:rPr>
          <w:rFonts w:ascii="Georgia" w:hAnsi="Georgia"/>
        </w:rPr>
        <w:t>never</w:t>
      </w:r>
      <w:r w:rsidR="006C48A6" w:rsidRPr="00182566">
        <w:rPr>
          <w:rFonts w:ascii="Georgia" w:hAnsi="Georgia"/>
        </w:rPr>
        <w:t xml:space="preserve"> telephoned Bristol City Council. </w:t>
      </w:r>
      <w:r w:rsidR="00123CF2" w:rsidRPr="00182566">
        <w:rPr>
          <w:rFonts w:ascii="Georgia" w:hAnsi="Georgia"/>
        </w:rPr>
        <w:t xml:space="preserve">He also said that he </w:t>
      </w:r>
      <w:r w:rsidR="006C48A6" w:rsidRPr="00182566">
        <w:rPr>
          <w:rFonts w:ascii="Georgia" w:hAnsi="Georgia"/>
        </w:rPr>
        <w:t xml:space="preserve">did not discuss </w:t>
      </w:r>
      <w:r w:rsidR="00924B19" w:rsidRPr="00182566">
        <w:rPr>
          <w:rFonts w:ascii="Georgia" w:hAnsi="Georgia"/>
        </w:rPr>
        <w:t xml:space="preserve">whether or not an HMO licence was required for the Property with </w:t>
      </w:r>
      <w:r w:rsidR="006C48A6" w:rsidRPr="00182566">
        <w:rPr>
          <w:rFonts w:ascii="Georgia" w:hAnsi="Georgia"/>
        </w:rPr>
        <w:t xml:space="preserve"> Bespoke.</w:t>
      </w:r>
    </w:p>
    <w:p w14:paraId="08B19E74" w14:textId="021C20CA" w:rsidR="004D0DB3" w:rsidRPr="00182566" w:rsidRDefault="004D0DB3" w:rsidP="00FD17F2">
      <w:pPr>
        <w:numPr>
          <w:ilvl w:val="0"/>
          <w:numId w:val="24"/>
        </w:numPr>
        <w:spacing w:before="240"/>
        <w:jc w:val="both"/>
        <w:rPr>
          <w:rFonts w:ascii="Georgia" w:hAnsi="Georgia"/>
          <w:b/>
        </w:rPr>
      </w:pPr>
      <w:r w:rsidRPr="00182566">
        <w:rPr>
          <w:rFonts w:ascii="Georgia" w:hAnsi="Georgia"/>
        </w:rPr>
        <w:t>Although Mr Collins</w:t>
      </w:r>
      <w:r w:rsidR="005943A5" w:rsidRPr="00182566">
        <w:rPr>
          <w:rFonts w:ascii="Georgia" w:hAnsi="Georgia"/>
        </w:rPr>
        <w:t xml:space="preserve"> referred </w:t>
      </w:r>
      <w:r w:rsidRPr="00182566">
        <w:rPr>
          <w:rFonts w:ascii="Georgia" w:hAnsi="Georgia"/>
        </w:rPr>
        <w:t xml:space="preserve">to </w:t>
      </w:r>
      <w:r w:rsidR="00BD2773" w:rsidRPr="00182566">
        <w:rPr>
          <w:rFonts w:ascii="Georgia" w:hAnsi="Georgia"/>
        </w:rPr>
        <w:t xml:space="preserve">his </w:t>
      </w:r>
      <w:r w:rsidRPr="00182566">
        <w:rPr>
          <w:rFonts w:ascii="Georgia" w:hAnsi="Georgia"/>
        </w:rPr>
        <w:t>having carried out a recent check on the website on 24 August 2024</w:t>
      </w:r>
      <w:r w:rsidR="00CF1E7E" w:rsidRPr="00182566">
        <w:rPr>
          <w:rFonts w:ascii="Georgia" w:hAnsi="Georgia"/>
        </w:rPr>
        <w:t>,</w:t>
      </w:r>
      <w:r w:rsidRPr="00182566">
        <w:rPr>
          <w:rFonts w:ascii="Georgia" w:hAnsi="Georgia"/>
        </w:rPr>
        <w:t xml:space="preserve"> the 5 year </w:t>
      </w:r>
      <w:r w:rsidR="00BD2773" w:rsidRPr="00182566">
        <w:rPr>
          <w:rFonts w:ascii="Georgia" w:hAnsi="Georgia"/>
        </w:rPr>
        <w:t>Additional Licen</w:t>
      </w:r>
      <w:r w:rsidR="00E05BDA" w:rsidRPr="00182566">
        <w:rPr>
          <w:rFonts w:ascii="Georgia" w:hAnsi="Georgia"/>
        </w:rPr>
        <w:t>s</w:t>
      </w:r>
      <w:r w:rsidR="00BD2773" w:rsidRPr="00182566">
        <w:rPr>
          <w:rFonts w:ascii="Georgia" w:hAnsi="Georgia"/>
        </w:rPr>
        <w:t xml:space="preserve">ing </w:t>
      </w:r>
      <w:r w:rsidRPr="00182566">
        <w:rPr>
          <w:rFonts w:ascii="Georgia" w:hAnsi="Georgia"/>
        </w:rPr>
        <w:t xml:space="preserve">designation made </w:t>
      </w:r>
      <w:r w:rsidR="005C270A" w:rsidRPr="00182566">
        <w:rPr>
          <w:rFonts w:ascii="Georgia" w:hAnsi="Georgia"/>
        </w:rPr>
        <w:t xml:space="preserve">by Bristol City Council </w:t>
      </w:r>
      <w:r w:rsidRPr="00182566">
        <w:rPr>
          <w:rFonts w:ascii="Georgia" w:hAnsi="Georgia"/>
        </w:rPr>
        <w:t>in 2019</w:t>
      </w:r>
      <w:r w:rsidR="00BD2773" w:rsidRPr="00182566">
        <w:rPr>
          <w:rFonts w:ascii="Georgia" w:hAnsi="Georgia"/>
        </w:rPr>
        <w:t>,</w:t>
      </w:r>
      <w:r w:rsidRPr="00182566">
        <w:rPr>
          <w:rFonts w:ascii="Georgia" w:hAnsi="Georgia"/>
        </w:rPr>
        <w:t xml:space="preserve"> had expired</w:t>
      </w:r>
      <w:r w:rsidR="00BD2773" w:rsidRPr="00182566">
        <w:rPr>
          <w:rFonts w:ascii="Georgia" w:hAnsi="Georgia"/>
        </w:rPr>
        <w:t xml:space="preserve"> before that date</w:t>
      </w:r>
      <w:r w:rsidR="00924B19" w:rsidRPr="00182566">
        <w:rPr>
          <w:rFonts w:ascii="Georgia" w:hAnsi="Georgia"/>
        </w:rPr>
        <w:t>.  However, t</w:t>
      </w:r>
      <w:r w:rsidR="00726EE8" w:rsidRPr="00182566">
        <w:rPr>
          <w:rFonts w:ascii="Georgia" w:hAnsi="Georgia"/>
        </w:rPr>
        <w:t>wo</w:t>
      </w:r>
      <w:r w:rsidRPr="00182566">
        <w:rPr>
          <w:rFonts w:ascii="Georgia" w:hAnsi="Georgia"/>
        </w:rPr>
        <w:t xml:space="preserve"> new </w:t>
      </w:r>
      <w:r w:rsidR="00726EE8" w:rsidRPr="00182566">
        <w:rPr>
          <w:rFonts w:ascii="Georgia" w:hAnsi="Georgia"/>
        </w:rPr>
        <w:t>licensing schemes</w:t>
      </w:r>
      <w:r w:rsidRPr="00182566">
        <w:rPr>
          <w:rFonts w:ascii="Georgia" w:hAnsi="Georgia"/>
        </w:rPr>
        <w:t xml:space="preserve"> came into effect</w:t>
      </w:r>
      <w:r w:rsidR="00CF1E7E" w:rsidRPr="00182566">
        <w:rPr>
          <w:rFonts w:ascii="Georgia" w:hAnsi="Georgia"/>
        </w:rPr>
        <w:t xml:space="preserve"> on 6 August 2024</w:t>
      </w:r>
      <w:r w:rsidR="00D95474">
        <w:rPr>
          <w:rFonts w:ascii="Georgia" w:hAnsi="Georgia"/>
        </w:rPr>
        <w:t>,</w:t>
      </w:r>
      <w:r w:rsidR="005C270A" w:rsidRPr="00182566">
        <w:rPr>
          <w:rFonts w:ascii="Georgia" w:hAnsi="Georgia"/>
        </w:rPr>
        <w:t xml:space="preserve"> a citywide Additional </w:t>
      </w:r>
      <w:r w:rsidR="00924B19" w:rsidRPr="00182566">
        <w:rPr>
          <w:rFonts w:ascii="Georgia" w:hAnsi="Georgia"/>
        </w:rPr>
        <w:t>L</w:t>
      </w:r>
      <w:r w:rsidR="005C270A" w:rsidRPr="00182566">
        <w:rPr>
          <w:rFonts w:ascii="Georgia" w:hAnsi="Georgia"/>
        </w:rPr>
        <w:t xml:space="preserve">icensing scheme for HMOs and a </w:t>
      </w:r>
      <w:r w:rsidR="00924B19" w:rsidRPr="00182566">
        <w:rPr>
          <w:rFonts w:ascii="Georgia" w:hAnsi="Georgia"/>
        </w:rPr>
        <w:t>S</w:t>
      </w:r>
      <w:r w:rsidR="005C270A" w:rsidRPr="00182566">
        <w:rPr>
          <w:rFonts w:ascii="Georgia" w:hAnsi="Georgia"/>
        </w:rPr>
        <w:t xml:space="preserve">elective </w:t>
      </w:r>
      <w:r w:rsidR="00924B19" w:rsidRPr="00182566">
        <w:rPr>
          <w:rFonts w:ascii="Georgia" w:hAnsi="Georgia"/>
        </w:rPr>
        <w:t>L</w:t>
      </w:r>
      <w:r w:rsidR="005C270A" w:rsidRPr="00182566">
        <w:rPr>
          <w:rFonts w:ascii="Georgia" w:hAnsi="Georgia"/>
        </w:rPr>
        <w:t>icensing scheme covering most other privately rented properties in specified wards.</w:t>
      </w:r>
      <w:r w:rsidRPr="00182566">
        <w:rPr>
          <w:rFonts w:ascii="Georgia" w:hAnsi="Georgia"/>
        </w:rPr>
        <w:t xml:space="preserve"> </w:t>
      </w:r>
    </w:p>
    <w:p w14:paraId="3785CE91" w14:textId="34D18DD4" w:rsidR="008518FF" w:rsidRPr="00182566" w:rsidRDefault="00722739" w:rsidP="00FD17F2">
      <w:pPr>
        <w:numPr>
          <w:ilvl w:val="0"/>
          <w:numId w:val="24"/>
        </w:numPr>
        <w:spacing w:before="240"/>
        <w:jc w:val="both"/>
        <w:rPr>
          <w:rFonts w:ascii="Georgia" w:hAnsi="Georgia"/>
          <w:b/>
        </w:rPr>
      </w:pPr>
      <w:r w:rsidRPr="00182566">
        <w:rPr>
          <w:rFonts w:ascii="Georgia" w:hAnsi="Georgia"/>
          <w:bCs/>
        </w:rPr>
        <w:t xml:space="preserve">Responding to Mr McGowan’s submissions regarding the Applicant’s meter being connected to the landlord’s electricity supply, </w:t>
      </w:r>
      <w:r w:rsidR="00223D5E" w:rsidRPr="00182566">
        <w:rPr>
          <w:rFonts w:ascii="Georgia" w:hAnsi="Georgia"/>
          <w:bCs/>
        </w:rPr>
        <w:t>Mr Collins stated that the Landlord had voluntarily made an allowance to the Applicant</w:t>
      </w:r>
      <w:r w:rsidR="00D95474">
        <w:rPr>
          <w:rFonts w:ascii="Georgia" w:hAnsi="Georgia"/>
          <w:bCs/>
        </w:rPr>
        <w:t xml:space="preserve"> for</w:t>
      </w:r>
      <w:r w:rsidR="003A37E7" w:rsidRPr="00182566">
        <w:rPr>
          <w:rFonts w:ascii="Georgia" w:hAnsi="Georgia"/>
          <w:bCs/>
        </w:rPr>
        <w:t xml:space="preserve"> an amoun</w:t>
      </w:r>
      <w:r w:rsidR="00D95474">
        <w:rPr>
          <w:rFonts w:ascii="Georgia" w:hAnsi="Georgia"/>
          <w:bCs/>
        </w:rPr>
        <w:t xml:space="preserve">t, </w:t>
      </w:r>
      <w:r w:rsidR="00223D5E" w:rsidRPr="00182566">
        <w:rPr>
          <w:rFonts w:ascii="Georgia" w:hAnsi="Georgia"/>
          <w:bCs/>
        </w:rPr>
        <w:t xml:space="preserve">which he </w:t>
      </w:r>
      <w:r w:rsidR="003A37E7" w:rsidRPr="00182566">
        <w:rPr>
          <w:rFonts w:ascii="Georgia" w:hAnsi="Georgia"/>
          <w:bCs/>
        </w:rPr>
        <w:t>had been</w:t>
      </w:r>
      <w:r w:rsidR="00223D5E" w:rsidRPr="00182566">
        <w:rPr>
          <w:rFonts w:ascii="Georgia" w:hAnsi="Georgia"/>
          <w:bCs/>
        </w:rPr>
        <w:t xml:space="preserve"> advised</w:t>
      </w:r>
      <w:r w:rsidR="00D95474">
        <w:rPr>
          <w:rFonts w:ascii="Georgia" w:hAnsi="Georgia"/>
          <w:bCs/>
        </w:rPr>
        <w:t xml:space="preserve">, </w:t>
      </w:r>
      <w:r w:rsidR="00223D5E" w:rsidRPr="00182566">
        <w:rPr>
          <w:rFonts w:ascii="Georgia" w:hAnsi="Georgia"/>
          <w:bCs/>
        </w:rPr>
        <w:t xml:space="preserve"> </w:t>
      </w:r>
      <w:r w:rsidR="00D95474">
        <w:rPr>
          <w:rFonts w:ascii="Georgia" w:hAnsi="Georgia"/>
          <w:bCs/>
        </w:rPr>
        <w:t>was in excess of the cost of the communal electricity</w:t>
      </w:r>
      <w:r w:rsidR="00223D5E" w:rsidRPr="00182566">
        <w:rPr>
          <w:rFonts w:ascii="Georgia" w:hAnsi="Georgia"/>
          <w:bCs/>
        </w:rPr>
        <w:t>. There was</w:t>
      </w:r>
      <w:r w:rsidR="003A37E7" w:rsidRPr="00182566">
        <w:rPr>
          <w:rFonts w:ascii="Georgia" w:hAnsi="Georgia"/>
          <w:bCs/>
        </w:rPr>
        <w:t xml:space="preserve"> therefore</w:t>
      </w:r>
      <w:r w:rsidR="00223D5E" w:rsidRPr="00182566">
        <w:rPr>
          <w:rFonts w:ascii="Georgia" w:hAnsi="Georgia"/>
          <w:bCs/>
        </w:rPr>
        <w:t xml:space="preserve"> no reason or justification for doubling th</w:t>
      </w:r>
      <w:r w:rsidR="003A37E7" w:rsidRPr="00182566">
        <w:rPr>
          <w:rFonts w:ascii="Georgia" w:hAnsi="Georgia"/>
          <w:bCs/>
        </w:rPr>
        <w:t>at</w:t>
      </w:r>
      <w:r w:rsidR="00223D5E" w:rsidRPr="00182566">
        <w:rPr>
          <w:rFonts w:ascii="Georgia" w:hAnsi="Georgia"/>
          <w:bCs/>
        </w:rPr>
        <w:t xml:space="preserve"> allowance</w:t>
      </w:r>
      <w:r w:rsidR="003A37E7" w:rsidRPr="00182566">
        <w:rPr>
          <w:rFonts w:ascii="Georgia" w:hAnsi="Georgia"/>
          <w:bCs/>
        </w:rPr>
        <w:t>. H</w:t>
      </w:r>
      <w:r w:rsidR="00223D5E" w:rsidRPr="00182566">
        <w:rPr>
          <w:rFonts w:ascii="Georgia" w:hAnsi="Georgia"/>
          <w:bCs/>
        </w:rPr>
        <w:t>e suggested that the Applicants had accepted that their electricity bills were not</w:t>
      </w:r>
      <w:r w:rsidR="00606C83" w:rsidRPr="00182566">
        <w:rPr>
          <w:rFonts w:ascii="Georgia" w:hAnsi="Georgia"/>
          <w:bCs/>
        </w:rPr>
        <w:t xml:space="preserve"> significantly</w:t>
      </w:r>
      <w:r w:rsidR="00223D5E" w:rsidRPr="00182566">
        <w:rPr>
          <w:rFonts w:ascii="Georgia" w:hAnsi="Georgia"/>
          <w:bCs/>
        </w:rPr>
        <w:t xml:space="preserve"> impacted by th</w:t>
      </w:r>
      <w:r w:rsidR="003A37E7" w:rsidRPr="00182566">
        <w:rPr>
          <w:rFonts w:ascii="Georgia" w:hAnsi="Georgia"/>
          <w:bCs/>
        </w:rPr>
        <w:t xml:space="preserve">e small amount of communal lighting.  </w:t>
      </w:r>
      <w:r w:rsidR="00223D5E" w:rsidRPr="00182566">
        <w:rPr>
          <w:rFonts w:ascii="Georgia" w:hAnsi="Georgia"/>
          <w:bCs/>
        </w:rPr>
        <w:t xml:space="preserve">He said that the requested </w:t>
      </w:r>
      <w:r w:rsidR="003A37E7" w:rsidRPr="00182566">
        <w:rPr>
          <w:rFonts w:ascii="Georgia" w:hAnsi="Georgia"/>
          <w:bCs/>
        </w:rPr>
        <w:t>increase in</w:t>
      </w:r>
      <w:r w:rsidR="00223D5E" w:rsidRPr="00182566">
        <w:rPr>
          <w:rFonts w:ascii="Georgia" w:hAnsi="Georgia"/>
          <w:bCs/>
        </w:rPr>
        <w:t xml:space="preserve"> </w:t>
      </w:r>
      <w:r w:rsidRPr="00182566">
        <w:rPr>
          <w:rFonts w:ascii="Georgia" w:hAnsi="Georgia"/>
          <w:bCs/>
        </w:rPr>
        <w:t xml:space="preserve">agreed </w:t>
      </w:r>
      <w:r w:rsidR="00223D5E" w:rsidRPr="00182566">
        <w:rPr>
          <w:rFonts w:ascii="Georgia" w:hAnsi="Georgia"/>
          <w:bCs/>
        </w:rPr>
        <w:t>allowance w</w:t>
      </w:r>
      <w:r w:rsidRPr="00182566">
        <w:rPr>
          <w:rFonts w:ascii="Georgia" w:hAnsi="Georgia"/>
          <w:bCs/>
        </w:rPr>
        <w:t>ould have been</w:t>
      </w:r>
      <w:r w:rsidR="00223D5E" w:rsidRPr="00182566">
        <w:rPr>
          <w:rFonts w:ascii="Georgia" w:hAnsi="Georgia"/>
          <w:bCs/>
        </w:rPr>
        <w:t xml:space="preserve"> </w:t>
      </w:r>
      <w:r w:rsidR="00E019F6" w:rsidRPr="00182566">
        <w:rPr>
          <w:rFonts w:ascii="Georgia" w:hAnsi="Georgia"/>
          <w:bCs/>
        </w:rPr>
        <w:t>unreasonable,</w:t>
      </w:r>
      <w:r w:rsidR="00223D5E" w:rsidRPr="00182566">
        <w:rPr>
          <w:rFonts w:ascii="Georgia" w:hAnsi="Georgia"/>
          <w:bCs/>
        </w:rPr>
        <w:t xml:space="preserve"> and </w:t>
      </w:r>
      <w:r w:rsidR="00D95474">
        <w:rPr>
          <w:rFonts w:ascii="Georgia" w:hAnsi="Georgia"/>
          <w:bCs/>
        </w:rPr>
        <w:t xml:space="preserve">the </w:t>
      </w:r>
      <w:r w:rsidR="00223D5E" w:rsidRPr="00182566">
        <w:rPr>
          <w:rFonts w:ascii="Georgia" w:hAnsi="Georgia"/>
          <w:bCs/>
        </w:rPr>
        <w:t>arrangement was not an illustration of bad conduct within the framework of the Act.</w:t>
      </w:r>
      <w:r w:rsidR="00264E94" w:rsidRPr="00182566">
        <w:rPr>
          <w:rFonts w:ascii="Georgia" w:hAnsi="Georgia"/>
          <w:bCs/>
        </w:rPr>
        <w:t xml:space="preserve">  It was impossible to provide any breakdown of electricity usage</w:t>
      </w:r>
      <w:r w:rsidRPr="00182566">
        <w:rPr>
          <w:rFonts w:ascii="Georgia" w:hAnsi="Georgia"/>
          <w:bCs/>
        </w:rPr>
        <w:t xml:space="preserve"> between the Applicants and the landlord.</w:t>
      </w:r>
    </w:p>
    <w:p w14:paraId="3B41EB19" w14:textId="097A8F7E" w:rsidR="00264E94" w:rsidRPr="00182566" w:rsidRDefault="00264E94" w:rsidP="00FD17F2">
      <w:pPr>
        <w:numPr>
          <w:ilvl w:val="0"/>
          <w:numId w:val="24"/>
        </w:numPr>
        <w:spacing w:before="240"/>
        <w:jc w:val="both"/>
        <w:rPr>
          <w:rFonts w:ascii="Georgia" w:hAnsi="Georgia"/>
          <w:b/>
        </w:rPr>
      </w:pPr>
      <w:r w:rsidRPr="00182566">
        <w:rPr>
          <w:rFonts w:ascii="Georgia" w:hAnsi="Georgia"/>
          <w:bCs/>
        </w:rPr>
        <w:t>Mr Collins addressed the history of the leaks</w:t>
      </w:r>
      <w:r w:rsidR="00722739" w:rsidRPr="00182566">
        <w:rPr>
          <w:rFonts w:ascii="Georgia" w:hAnsi="Georgia"/>
          <w:bCs/>
        </w:rPr>
        <w:t xml:space="preserve"> in </w:t>
      </w:r>
      <w:r w:rsidRPr="00182566">
        <w:rPr>
          <w:rFonts w:ascii="Georgia" w:hAnsi="Georgia"/>
          <w:bCs/>
        </w:rPr>
        <w:t>the Property.  He said that there were leaks in 2020</w:t>
      </w:r>
      <w:r w:rsidR="00C87709" w:rsidRPr="00182566">
        <w:rPr>
          <w:rFonts w:ascii="Georgia" w:hAnsi="Georgia"/>
          <w:bCs/>
        </w:rPr>
        <w:t>,</w:t>
      </w:r>
      <w:r w:rsidRPr="00182566">
        <w:rPr>
          <w:rFonts w:ascii="Georgia" w:hAnsi="Georgia"/>
          <w:bCs/>
        </w:rPr>
        <w:t xml:space="preserve"> befor</w:t>
      </w:r>
      <w:r w:rsidR="0073385C" w:rsidRPr="00182566">
        <w:rPr>
          <w:rFonts w:ascii="Georgia" w:hAnsi="Georgia"/>
          <w:bCs/>
        </w:rPr>
        <w:t xml:space="preserve">e the commencement of the first tenancy agreement.  Mr </w:t>
      </w:r>
      <w:r w:rsidR="00C522FC" w:rsidRPr="00182566">
        <w:rPr>
          <w:rFonts w:ascii="Georgia" w:hAnsi="Georgia"/>
          <w:bCs/>
        </w:rPr>
        <w:t xml:space="preserve">Jackson </w:t>
      </w:r>
      <w:r w:rsidR="0073385C" w:rsidRPr="00182566">
        <w:rPr>
          <w:rFonts w:ascii="Georgia" w:hAnsi="Georgia"/>
          <w:bCs/>
        </w:rPr>
        <w:t>had been his father in law.  He and</w:t>
      </w:r>
      <w:r w:rsidR="00C522FC" w:rsidRPr="00182566">
        <w:rPr>
          <w:rFonts w:ascii="Georgia" w:hAnsi="Georgia"/>
          <w:bCs/>
        </w:rPr>
        <w:t xml:space="preserve"> his wife </w:t>
      </w:r>
      <w:r w:rsidR="0073385C" w:rsidRPr="00182566">
        <w:rPr>
          <w:rFonts w:ascii="Georgia" w:hAnsi="Georgia"/>
          <w:bCs/>
        </w:rPr>
        <w:t xml:space="preserve"> live in Woking which is approximately 100 miles from the Property.  It had not been possible to visit</w:t>
      </w:r>
      <w:r w:rsidR="00C522FC" w:rsidRPr="00182566">
        <w:rPr>
          <w:rFonts w:ascii="Georgia" w:hAnsi="Georgia"/>
          <w:bCs/>
        </w:rPr>
        <w:t xml:space="preserve"> the Property regularly </w:t>
      </w:r>
      <w:r w:rsidR="0073385C" w:rsidRPr="00182566">
        <w:rPr>
          <w:rFonts w:ascii="Georgia" w:hAnsi="Georgia"/>
          <w:bCs/>
        </w:rPr>
        <w:t>during Covid lockdowns</w:t>
      </w:r>
      <w:r w:rsidR="00680624" w:rsidRPr="00182566">
        <w:rPr>
          <w:rFonts w:ascii="Georgia" w:hAnsi="Georgia"/>
          <w:bCs/>
        </w:rPr>
        <w:t xml:space="preserve">.  The weather had been very poor </w:t>
      </w:r>
      <w:r w:rsidR="00141A63" w:rsidRPr="00182566">
        <w:rPr>
          <w:rFonts w:ascii="Georgia" w:hAnsi="Georgia"/>
          <w:bCs/>
        </w:rPr>
        <w:t xml:space="preserve"> which resulted in </w:t>
      </w:r>
      <w:r w:rsidR="00680624" w:rsidRPr="00182566">
        <w:rPr>
          <w:rFonts w:ascii="Georgia" w:hAnsi="Georgia"/>
          <w:bCs/>
        </w:rPr>
        <w:t xml:space="preserve">the flat roof </w:t>
      </w:r>
      <w:r w:rsidR="00141A63" w:rsidRPr="00182566">
        <w:rPr>
          <w:rFonts w:ascii="Georgia" w:hAnsi="Georgia"/>
          <w:bCs/>
        </w:rPr>
        <w:t>leaking.</w:t>
      </w:r>
      <w:r w:rsidR="00680624" w:rsidRPr="00182566">
        <w:rPr>
          <w:rFonts w:ascii="Georgia" w:hAnsi="Georgia"/>
          <w:bCs/>
        </w:rPr>
        <w:t xml:space="preserve"> Eventually he was able to employ a roofer who replace</w:t>
      </w:r>
      <w:r w:rsidR="00C522FC" w:rsidRPr="00182566">
        <w:rPr>
          <w:rFonts w:ascii="Georgia" w:hAnsi="Georgia"/>
          <w:bCs/>
        </w:rPr>
        <w:t xml:space="preserve">d </w:t>
      </w:r>
      <w:r w:rsidR="00B65B7A" w:rsidRPr="00182566">
        <w:rPr>
          <w:rFonts w:ascii="Georgia" w:hAnsi="Georgia"/>
          <w:bCs/>
        </w:rPr>
        <w:t xml:space="preserve">the </w:t>
      </w:r>
      <w:r w:rsidR="003A4C83" w:rsidRPr="00182566">
        <w:rPr>
          <w:rFonts w:ascii="Georgia" w:hAnsi="Georgia"/>
          <w:bCs/>
        </w:rPr>
        <w:t xml:space="preserve">flat </w:t>
      </w:r>
      <w:r w:rsidR="00B65B7A" w:rsidRPr="00182566">
        <w:rPr>
          <w:rFonts w:ascii="Georgia" w:hAnsi="Georgia"/>
          <w:bCs/>
        </w:rPr>
        <w:t>roof. H</w:t>
      </w:r>
      <w:r w:rsidR="00680624" w:rsidRPr="00182566">
        <w:rPr>
          <w:rFonts w:ascii="Georgia" w:hAnsi="Georgia"/>
          <w:bCs/>
        </w:rPr>
        <w:t>is usual mode of addressing</w:t>
      </w:r>
      <w:r w:rsidR="00141A63" w:rsidRPr="00182566">
        <w:rPr>
          <w:rFonts w:ascii="Georgia" w:hAnsi="Georgia"/>
          <w:bCs/>
        </w:rPr>
        <w:t xml:space="preserve"> </w:t>
      </w:r>
      <w:r w:rsidR="00AE6C39" w:rsidRPr="00182566">
        <w:rPr>
          <w:rFonts w:ascii="Georgia" w:hAnsi="Georgia"/>
          <w:bCs/>
        </w:rPr>
        <w:t xml:space="preserve"> repair issues </w:t>
      </w:r>
      <w:r w:rsidR="00680624" w:rsidRPr="00182566">
        <w:rPr>
          <w:rFonts w:ascii="Georgia" w:hAnsi="Georgia"/>
          <w:bCs/>
        </w:rPr>
        <w:t xml:space="preserve">would have been to </w:t>
      </w:r>
      <w:r w:rsidR="007A59A7" w:rsidRPr="00182566">
        <w:rPr>
          <w:rFonts w:ascii="Georgia" w:hAnsi="Georgia"/>
          <w:bCs/>
        </w:rPr>
        <w:t>commission a</w:t>
      </w:r>
      <w:r w:rsidR="00680624" w:rsidRPr="00182566">
        <w:rPr>
          <w:rFonts w:ascii="Georgia" w:hAnsi="Georgia"/>
          <w:bCs/>
        </w:rPr>
        <w:t xml:space="preserve"> temporary fix to alleviate the problem and then try to </w:t>
      </w:r>
      <w:r w:rsidR="007A59A7" w:rsidRPr="00182566">
        <w:rPr>
          <w:rFonts w:ascii="Georgia" w:hAnsi="Georgia"/>
          <w:bCs/>
        </w:rPr>
        <w:t>obtain</w:t>
      </w:r>
      <w:r w:rsidR="00680624" w:rsidRPr="00182566">
        <w:rPr>
          <w:rFonts w:ascii="Georgia" w:hAnsi="Georgia"/>
          <w:bCs/>
        </w:rPr>
        <w:t xml:space="preserve"> a more permanent long term solution.  He referred the </w:t>
      </w:r>
      <w:r w:rsidR="00B65B7A" w:rsidRPr="00182566">
        <w:rPr>
          <w:rFonts w:ascii="Georgia" w:hAnsi="Georgia"/>
          <w:bCs/>
        </w:rPr>
        <w:t>T</w:t>
      </w:r>
      <w:r w:rsidR="00680624" w:rsidRPr="00182566">
        <w:rPr>
          <w:rFonts w:ascii="Georgia" w:hAnsi="Georgia"/>
          <w:bCs/>
        </w:rPr>
        <w:t>ribunal to various invoices</w:t>
      </w:r>
      <w:r w:rsidR="007A59A7" w:rsidRPr="00182566">
        <w:rPr>
          <w:rFonts w:ascii="Georgia" w:hAnsi="Georgia"/>
          <w:bCs/>
        </w:rPr>
        <w:t xml:space="preserve"> for </w:t>
      </w:r>
      <w:r w:rsidR="00B65B7A" w:rsidRPr="00182566">
        <w:rPr>
          <w:rFonts w:ascii="Georgia" w:hAnsi="Georgia"/>
          <w:bCs/>
        </w:rPr>
        <w:t>repairs to the Property</w:t>
      </w:r>
      <w:r w:rsidR="007A59A7" w:rsidRPr="00182566">
        <w:rPr>
          <w:rFonts w:ascii="Georgia" w:hAnsi="Georgia"/>
          <w:bCs/>
        </w:rPr>
        <w:t xml:space="preserve"> </w:t>
      </w:r>
      <w:r w:rsidR="00794EED" w:rsidRPr="00182566">
        <w:rPr>
          <w:rFonts w:ascii="Georgia" w:hAnsi="Georgia"/>
          <w:bCs/>
        </w:rPr>
        <w:t xml:space="preserve">disclosed </w:t>
      </w:r>
      <w:r w:rsidR="007A59A7" w:rsidRPr="00182566">
        <w:rPr>
          <w:rFonts w:ascii="Georgia" w:hAnsi="Georgia"/>
          <w:bCs/>
        </w:rPr>
        <w:t>in the bundle</w:t>
      </w:r>
      <w:r w:rsidR="00680624" w:rsidRPr="00182566">
        <w:rPr>
          <w:rFonts w:ascii="Georgia" w:hAnsi="Georgia"/>
          <w:bCs/>
        </w:rPr>
        <w:t xml:space="preserve"> which </w:t>
      </w:r>
      <w:r w:rsidR="00B65B7A" w:rsidRPr="00182566">
        <w:rPr>
          <w:rFonts w:ascii="Georgia" w:hAnsi="Georgia"/>
          <w:bCs/>
        </w:rPr>
        <w:t>demonstrated</w:t>
      </w:r>
      <w:r w:rsidR="005A7C8E" w:rsidRPr="00182566">
        <w:rPr>
          <w:rFonts w:ascii="Georgia" w:hAnsi="Georgia"/>
          <w:bCs/>
        </w:rPr>
        <w:t xml:space="preserve"> that the Respondents had undertaken</w:t>
      </w:r>
      <w:r w:rsidR="00D95474">
        <w:rPr>
          <w:rFonts w:ascii="Georgia" w:hAnsi="Georgia"/>
          <w:bCs/>
        </w:rPr>
        <w:t>,</w:t>
      </w:r>
      <w:r w:rsidR="005A7C8E" w:rsidRPr="00182566">
        <w:rPr>
          <w:rFonts w:ascii="Georgia" w:hAnsi="Georgia"/>
          <w:bCs/>
        </w:rPr>
        <w:t xml:space="preserve"> and paid for</w:t>
      </w:r>
      <w:r w:rsidR="00D95474">
        <w:rPr>
          <w:rFonts w:ascii="Georgia" w:hAnsi="Georgia"/>
          <w:bCs/>
        </w:rPr>
        <w:t>,</w:t>
      </w:r>
      <w:r w:rsidR="005A7C8E" w:rsidRPr="00182566">
        <w:rPr>
          <w:rFonts w:ascii="Georgia" w:hAnsi="Georgia"/>
          <w:bCs/>
        </w:rPr>
        <w:t xml:space="preserve"> substantial works to the Property during the tenancies.</w:t>
      </w:r>
      <w:r w:rsidR="002206EA" w:rsidRPr="00182566">
        <w:rPr>
          <w:rFonts w:ascii="Georgia" w:hAnsi="Georgia"/>
          <w:bCs/>
        </w:rPr>
        <w:t xml:space="preserve">  This included replacement of the flat roof</w:t>
      </w:r>
      <w:r w:rsidR="00B65B7A" w:rsidRPr="00182566">
        <w:rPr>
          <w:rFonts w:ascii="Georgia" w:hAnsi="Georgia"/>
          <w:bCs/>
        </w:rPr>
        <w:t>,</w:t>
      </w:r>
      <w:r w:rsidR="002206EA" w:rsidRPr="00182566">
        <w:rPr>
          <w:rFonts w:ascii="Georgia" w:hAnsi="Georgia"/>
          <w:bCs/>
        </w:rPr>
        <w:t xml:space="preserve"> </w:t>
      </w:r>
      <w:r w:rsidR="007A59A7" w:rsidRPr="00182566">
        <w:rPr>
          <w:rFonts w:ascii="Georgia" w:hAnsi="Georgia"/>
          <w:bCs/>
        </w:rPr>
        <w:t>re</w:t>
      </w:r>
      <w:r w:rsidR="00EE004C" w:rsidRPr="00182566">
        <w:rPr>
          <w:rFonts w:ascii="Georgia" w:hAnsi="Georgia"/>
          <w:bCs/>
        </w:rPr>
        <w:t>-</w:t>
      </w:r>
      <w:r w:rsidR="007A59A7" w:rsidRPr="00182566">
        <w:rPr>
          <w:rFonts w:ascii="Georgia" w:hAnsi="Georgia"/>
          <w:bCs/>
        </w:rPr>
        <w:t>rendering</w:t>
      </w:r>
      <w:r w:rsidR="002206EA" w:rsidRPr="00182566">
        <w:rPr>
          <w:rFonts w:ascii="Georgia" w:hAnsi="Georgia"/>
          <w:bCs/>
        </w:rPr>
        <w:t xml:space="preserve"> the</w:t>
      </w:r>
      <w:r w:rsidR="00B65B7A" w:rsidRPr="00182566">
        <w:rPr>
          <w:rFonts w:ascii="Georgia" w:hAnsi="Georgia"/>
          <w:bCs/>
        </w:rPr>
        <w:t xml:space="preserve"> </w:t>
      </w:r>
      <w:r w:rsidR="002206EA" w:rsidRPr="00182566">
        <w:rPr>
          <w:rFonts w:ascii="Georgia" w:hAnsi="Georgia"/>
          <w:bCs/>
        </w:rPr>
        <w:t xml:space="preserve">front </w:t>
      </w:r>
      <w:r w:rsidR="00EE004C" w:rsidRPr="00182566">
        <w:rPr>
          <w:rFonts w:ascii="Georgia" w:hAnsi="Georgia"/>
          <w:bCs/>
        </w:rPr>
        <w:t xml:space="preserve">elevation </w:t>
      </w:r>
      <w:r w:rsidR="002206EA" w:rsidRPr="00182566">
        <w:rPr>
          <w:rFonts w:ascii="Georgia" w:hAnsi="Georgia"/>
          <w:bCs/>
        </w:rPr>
        <w:t xml:space="preserve">of the </w:t>
      </w:r>
      <w:r w:rsidR="00B65B7A" w:rsidRPr="00182566">
        <w:rPr>
          <w:rFonts w:ascii="Georgia" w:hAnsi="Georgia"/>
          <w:bCs/>
        </w:rPr>
        <w:t>P</w:t>
      </w:r>
      <w:r w:rsidR="002206EA" w:rsidRPr="00182566">
        <w:rPr>
          <w:rFonts w:ascii="Georgia" w:hAnsi="Georgia"/>
          <w:bCs/>
        </w:rPr>
        <w:t>roperty and</w:t>
      </w:r>
      <w:r w:rsidR="00B65B7A" w:rsidRPr="00182566">
        <w:rPr>
          <w:rFonts w:ascii="Georgia" w:hAnsi="Georgia"/>
          <w:bCs/>
        </w:rPr>
        <w:t xml:space="preserve"> fixing</w:t>
      </w:r>
      <w:r w:rsidR="002206EA" w:rsidRPr="00182566">
        <w:rPr>
          <w:rFonts w:ascii="Georgia" w:hAnsi="Georgia"/>
          <w:bCs/>
        </w:rPr>
        <w:t xml:space="preserve"> other leaks.  </w:t>
      </w:r>
      <w:r w:rsidR="00CC379C" w:rsidRPr="00182566">
        <w:rPr>
          <w:rFonts w:ascii="Georgia" w:hAnsi="Georgia"/>
          <w:bCs/>
        </w:rPr>
        <w:t>The</w:t>
      </w:r>
      <w:r w:rsidR="002206EA" w:rsidRPr="00182566">
        <w:rPr>
          <w:rFonts w:ascii="Georgia" w:hAnsi="Georgia"/>
          <w:bCs/>
        </w:rPr>
        <w:t xml:space="preserve"> Respondent</w:t>
      </w:r>
      <w:r w:rsidR="00CC379C" w:rsidRPr="00182566">
        <w:rPr>
          <w:rFonts w:ascii="Georgia" w:hAnsi="Georgia"/>
          <w:bCs/>
        </w:rPr>
        <w:t xml:space="preserve">s are not </w:t>
      </w:r>
      <w:r w:rsidR="00233ACA" w:rsidRPr="00182566">
        <w:rPr>
          <w:rFonts w:ascii="Georgia" w:hAnsi="Georgia"/>
          <w:bCs/>
        </w:rPr>
        <w:t xml:space="preserve">solely </w:t>
      </w:r>
      <w:r w:rsidR="00CC379C" w:rsidRPr="00182566">
        <w:rPr>
          <w:rFonts w:ascii="Georgia" w:hAnsi="Georgia"/>
          <w:bCs/>
        </w:rPr>
        <w:t>responsible for the repair of all roofs which serve</w:t>
      </w:r>
      <w:r w:rsidR="00233ACA" w:rsidRPr="00182566">
        <w:rPr>
          <w:rFonts w:ascii="Georgia" w:hAnsi="Georgia"/>
          <w:bCs/>
        </w:rPr>
        <w:t xml:space="preserve"> the </w:t>
      </w:r>
      <w:r w:rsidR="00CC379C" w:rsidRPr="00182566">
        <w:rPr>
          <w:rFonts w:ascii="Georgia" w:hAnsi="Georgia"/>
          <w:bCs/>
        </w:rPr>
        <w:t xml:space="preserve"> </w:t>
      </w:r>
      <w:r w:rsidR="00AE6C39" w:rsidRPr="00182566">
        <w:rPr>
          <w:rFonts w:ascii="Georgia" w:hAnsi="Georgia"/>
          <w:bCs/>
        </w:rPr>
        <w:t>building,</w:t>
      </w:r>
      <w:r w:rsidR="00CC379C" w:rsidRPr="00182566">
        <w:rPr>
          <w:rFonts w:ascii="Georgia" w:hAnsi="Georgia"/>
          <w:bCs/>
        </w:rPr>
        <w:t xml:space="preserve"> </w:t>
      </w:r>
      <w:r w:rsidR="002206EA" w:rsidRPr="00182566">
        <w:rPr>
          <w:rFonts w:ascii="Georgia" w:hAnsi="Georgia"/>
          <w:bCs/>
        </w:rPr>
        <w:t>but Mr Collins admitted that</w:t>
      </w:r>
      <w:r w:rsidR="00BA2CAB" w:rsidRPr="00182566">
        <w:rPr>
          <w:rFonts w:ascii="Georgia" w:hAnsi="Georgia"/>
          <w:bCs/>
        </w:rPr>
        <w:t xml:space="preserve"> because </w:t>
      </w:r>
      <w:r w:rsidR="002206EA" w:rsidRPr="00182566">
        <w:rPr>
          <w:rFonts w:ascii="Georgia" w:hAnsi="Georgia"/>
          <w:bCs/>
        </w:rPr>
        <w:t xml:space="preserve">it was difficult to obtain </w:t>
      </w:r>
      <w:r w:rsidR="00BA2CAB" w:rsidRPr="00182566">
        <w:rPr>
          <w:rFonts w:ascii="Georgia" w:hAnsi="Georgia"/>
          <w:bCs/>
        </w:rPr>
        <w:t xml:space="preserve">any engagement </w:t>
      </w:r>
      <w:r w:rsidR="002206EA" w:rsidRPr="00182566">
        <w:rPr>
          <w:rFonts w:ascii="Georgia" w:hAnsi="Georgia"/>
          <w:bCs/>
        </w:rPr>
        <w:t xml:space="preserve"> from the Management </w:t>
      </w:r>
      <w:r w:rsidR="00E019F6" w:rsidRPr="00182566">
        <w:rPr>
          <w:rFonts w:ascii="Georgia" w:hAnsi="Georgia"/>
          <w:bCs/>
        </w:rPr>
        <w:t>Company,</w:t>
      </w:r>
      <w:r w:rsidR="002206EA" w:rsidRPr="00182566">
        <w:rPr>
          <w:rFonts w:ascii="Georgia" w:hAnsi="Georgia"/>
          <w:bCs/>
        </w:rPr>
        <w:t xml:space="preserve"> the Respondents tended to </w:t>
      </w:r>
      <w:r w:rsidR="00BA2CAB" w:rsidRPr="00182566">
        <w:rPr>
          <w:rFonts w:ascii="Georgia" w:hAnsi="Georgia"/>
          <w:bCs/>
        </w:rPr>
        <w:t xml:space="preserve">undertake </w:t>
      </w:r>
      <w:r w:rsidR="00D95474">
        <w:rPr>
          <w:rFonts w:ascii="Georgia" w:hAnsi="Georgia"/>
          <w:bCs/>
        </w:rPr>
        <w:t xml:space="preserve">their own </w:t>
      </w:r>
      <w:r w:rsidR="00BA2CAB" w:rsidRPr="00182566">
        <w:rPr>
          <w:rFonts w:ascii="Georgia" w:hAnsi="Georgia"/>
          <w:bCs/>
        </w:rPr>
        <w:t>repairs</w:t>
      </w:r>
      <w:r w:rsidR="00D95474">
        <w:rPr>
          <w:rFonts w:ascii="Georgia" w:hAnsi="Georgia"/>
          <w:bCs/>
        </w:rPr>
        <w:t xml:space="preserve"> to those parts of the structure which </w:t>
      </w:r>
      <w:r w:rsidR="00233ACA" w:rsidRPr="00182566">
        <w:rPr>
          <w:rFonts w:ascii="Georgia" w:hAnsi="Georgia"/>
          <w:bCs/>
        </w:rPr>
        <w:t xml:space="preserve"> affected their </w:t>
      </w:r>
      <w:r w:rsidR="00D95474">
        <w:rPr>
          <w:rFonts w:ascii="Georgia" w:hAnsi="Georgia"/>
          <w:bCs/>
        </w:rPr>
        <w:t>flats.</w:t>
      </w:r>
    </w:p>
    <w:p w14:paraId="4B20EE0A" w14:textId="3D23920C" w:rsidR="00282D8F" w:rsidRPr="00182566" w:rsidRDefault="00D95646" w:rsidP="00FD17F2">
      <w:pPr>
        <w:numPr>
          <w:ilvl w:val="0"/>
          <w:numId w:val="24"/>
        </w:numPr>
        <w:spacing w:before="240"/>
        <w:jc w:val="both"/>
        <w:rPr>
          <w:rFonts w:ascii="Georgia" w:hAnsi="Georgia"/>
        </w:rPr>
      </w:pPr>
      <w:r w:rsidRPr="00182566">
        <w:rPr>
          <w:rFonts w:ascii="Georgia" w:hAnsi="Georgia"/>
          <w:bCs/>
        </w:rPr>
        <w:t>He acknowledged that there had been</w:t>
      </w:r>
      <w:r w:rsidR="00EE004C" w:rsidRPr="00182566">
        <w:rPr>
          <w:rFonts w:ascii="Georgia" w:hAnsi="Georgia"/>
          <w:bCs/>
        </w:rPr>
        <w:t xml:space="preserve"> </w:t>
      </w:r>
      <w:r w:rsidRPr="00182566">
        <w:rPr>
          <w:rFonts w:ascii="Georgia" w:hAnsi="Georgia"/>
          <w:bCs/>
        </w:rPr>
        <w:t xml:space="preserve">issues with water penetration and </w:t>
      </w:r>
      <w:r w:rsidR="00D95474">
        <w:rPr>
          <w:rFonts w:ascii="Georgia" w:hAnsi="Georgia"/>
          <w:bCs/>
        </w:rPr>
        <w:t xml:space="preserve">said </w:t>
      </w:r>
      <w:r w:rsidRPr="00182566">
        <w:rPr>
          <w:rFonts w:ascii="Georgia" w:hAnsi="Georgia"/>
          <w:bCs/>
        </w:rPr>
        <w:t>that the Landlords had supplied dehumidifiers</w:t>
      </w:r>
      <w:r w:rsidR="00794EED" w:rsidRPr="00182566">
        <w:rPr>
          <w:rFonts w:ascii="Georgia" w:hAnsi="Georgia"/>
          <w:bCs/>
        </w:rPr>
        <w:t xml:space="preserve"> to the Applicants</w:t>
      </w:r>
      <w:r w:rsidRPr="00182566">
        <w:rPr>
          <w:rFonts w:ascii="Georgia" w:hAnsi="Georgia"/>
          <w:bCs/>
        </w:rPr>
        <w:t xml:space="preserve"> in an</w:t>
      </w:r>
      <w:r w:rsidR="00D95474">
        <w:rPr>
          <w:rFonts w:ascii="Georgia" w:hAnsi="Georgia"/>
          <w:bCs/>
        </w:rPr>
        <w:t xml:space="preserve"> </w:t>
      </w:r>
      <w:r w:rsidRPr="00182566">
        <w:rPr>
          <w:rFonts w:ascii="Georgia" w:hAnsi="Georgia"/>
          <w:bCs/>
        </w:rPr>
        <w:t>effort to alleviate problems</w:t>
      </w:r>
      <w:r w:rsidR="00DD36FA" w:rsidRPr="00182566">
        <w:rPr>
          <w:rFonts w:ascii="Georgia" w:hAnsi="Georgia"/>
          <w:bCs/>
        </w:rPr>
        <w:t>.  He referred the Tribunal to various invoices in the bundle and said that the persistent issues with water damaging the Property had been frustrating</w:t>
      </w:r>
      <w:r w:rsidR="00C13E53" w:rsidRPr="00182566">
        <w:rPr>
          <w:rFonts w:ascii="Georgia" w:hAnsi="Georgia"/>
          <w:bCs/>
        </w:rPr>
        <w:t xml:space="preserve">.  He said he believed that he had tried to </w:t>
      </w:r>
      <w:r w:rsidR="00EF4FBB" w:rsidRPr="00182566">
        <w:rPr>
          <w:rFonts w:ascii="Georgia" w:hAnsi="Georgia"/>
          <w:bCs/>
        </w:rPr>
        <w:t xml:space="preserve">respond to all </w:t>
      </w:r>
      <w:r w:rsidR="00C13E53" w:rsidRPr="00182566">
        <w:rPr>
          <w:rFonts w:ascii="Georgia" w:hAnsi="Georgia"/>
          <w:bCs/>
        </w:rPr>
        <w:t>the Applicant</w:t>
      </w:r>
      <w:r w:rsidR="00266526" w:rsidRPr="00182566">
        <w:rPr>
          <w:rFonts w:ascii="Georgia" w:hAnsi="Georgia"/>
          <w:bCs/>
        </w:rPr>
        <w:t>s’</w:t>
      </w:r>
      <w:r w:rsidR="00C13E53" w:rsidRPr="00182566">
        <w:rPr>
          <w:rFonts w:ascii="Georgia" w:hAnsi="Georgia"/>
          <w:bCs/>
        </w:rPr>
        <w:t xml:space="preserve"> complaints and </w:t>
      </w:r>
      <w:r w:rsidR="00EF4FBB" w:rsidRPr="00182566">
        <w:rPr>
          <w:rFonts w:ascii="Georgia" w:hAnsi="Georgia"/>
          <w:bCs/>
        </w:rPr>
        <w:t xml:space="preserve">works were </w:t>
      </w:r>
      <w:r w:rsidR="00EF4FBB" w:rsidRPr="00182566">
        <w:rPr>
          <w:rFonts w:ascii="Georgia" w:hAnsi="Georgia"/>
          <w:bCs/>
        </w:rPr>
        <w:lastRenderedPageBreak/>
        <w:t>undertaken</w:t>
      </w:r>
      <w:r w:rsidR="00C13E53" w:rsidRPr="00182566">
        <w:rPr>
          <w:rFonts w:ascii="Georgia" w:hAnsi="Georgia"/>
          <w:bCs/>
        </w:rPr>
        <w:t xml:space="preserve"> as soon as he </w:t>
      </w:r>
      <w:r w:rsidR="00EF4FBB" w:rsidRPr="00182566">
        <w:rPr>
          <w:rFonts w:ascii="Georgia" w:hAnsi="Georgia"/>
          <w:bCs/>
        </w:rPr>
        <w:t>was able to arrange for them to be done</w:t>
      </w:r>
      <w:r w:rsidR="008E41B0" w:rsidRPr="00182566">
        <w:rPr>
          <w:rFonts w:ascii="Georgia" w:hAnsi="Georgia"/>
          <w:bCs/>
        </w:rPr>
        <w:t xml:space="preserve">.  He </w:t>
      </w:r>
      <w:r w:rsidR="00E019F6" w:rsidRPr="00182566">
        <w:rPr>
          <w:rFonts w:ascii="Georgia" w:hAnsi="Georgia"/>
          <w:bCs/>
        </w:rPr>
        <w:t>concede</w:t>
      </w:r>
      <w:r w:rsidR="00EE004C" w:rsidRPr="00182566">
        <w:rPr>
          <w:rFonts w:ascii="Georgia" w:hAnsi="Georgia"/>
          <w:bCs/>
        </w:rPr>
        <w:t>d</w:t>
      </w:r>
      <w:r w:rsidR="008E41B0" w:rsidRPr="00182566">
        <w:rPr>
          <w:rFonts w:ascii="Georgia" w:hAnsi="Georgia"/>
          <w:bCs/>
        </w:rPr>
        <w:t xml:space="preserve"> that the</w:t>
      </w:r>
      <w:r w:rsidR="00EF4FBB" w:rsidRPr="00182566">
        <w:rPr>
          <w:rFonts w:ascii="Georgia" w:hAnsi="Georgia"/>
          <w:bCs/>
        </w:rPr>
        <w:t xml:space="preserve"> amount of the </w:t>
      </w:r>
      <w:r w:rsidR="008E41B0" w:rsidRPr="00182566">
        <w:rPr>
          <w:rFonts w:ascii="Georgia" w:hAnsi="Georgia"/>
          <w:bCs/>
        </w:rPr>
        <w:t xml:space="preserve"> rent was not adjusted</w:t>
      </w:r>
      <w:r w:rsidR="00EE004C" w:rsidRPr="00182566">
        <w:rPr>
          <w:rFonts w:ascii="Georgia" w:hAnsi="Georgia"/>
          <w:bCs/>
        </w:rPr>
        <w:t xml:space="preserve"> to reflect this</w:t>
      </w:r>
      <w:r w:rsidR="008E41B0" w:rsidRPr="00182566">
        <w:rPr>
          <w:rFonts w:ascii="Georgia" w:hAnsi="Georgia"/>
          <w:bCs/>
        </w:rPr>
        <w:t xml:space="preserve"> and suggested that the Applicants had been aware of the potential issues with the Property when they signed the tenancy agreements</w:t>
      </w:r>
      <w:r w:rsidR="00EF4FBB" w:rsidRPr="00182566">
        <w:rPr>
          <w:rFonts w:ascii="Georgia" w:hAnsi="Georgia"/>
          <w:bCs/>
        </w:rPr>
        <w:t xml:space="preserve"> implying</w:t>
      </w:r>
      <w:r w:rsidR="00DF6AAB" w:rsidRPr="00182566">
        <w:rPr>
          <w:rFonts w:ascii="Georgia" w:hAnsi="Georgia"/>
          <w:bCs/>
        </w:rPr>
        <w:t xml:space="preserve">, </w:t>
      </w:r>
      <w:r w:rsidR="00EF4FBB" w:rsidRPr="00182566">
        <w:rPr>
          <w:rFonts w:ascii="Georgia" w:hAnsi="Georgia"/>
          <w:bCs/>
        </w:rPr>
        <w:t xml:space="preserve"> without stating</w:t>
      </w:r>
      <w:r w:rsidR="00DF6AAB" w:rsidRPr="00182566">
        <w:rPr>
          <w:rFonts w:ascii="Georgia" w:hAnsi="Georgia"/>
          <w:bCs/>
        </w:rPr>
        <w:t xml:space="preserve">, </w:t>
      </w:r>
      <w:r w:rsidR="00EF4FBB" w:rsidRPr="00182566">
        <w:rPr>
          <w:rFonts w:ascii="Georgia" w:hAnsi="Georgia"/>
          <w:bCs/>
        </w:rPr>
        <w:t>that the amount of the rent and the condition of the Property were linked.</w:t>
      </w:r>
    </w:p>
    <w:p w14:paraId="6252BED2" w14:textId="4C963823" w:rsidR="00E379FB" w:rsidRPr="00182566" w:rsidRDefault="00E379FB" w:rsidP="00FD17F2">
      <w:pPr>
        <w:numPr>
          <w:ilvl w:val="0"/>
          <w:numId w:val="24"/>
        </w:numPr>
        <w:spacing w:before="240"/>
        <w:jc w:val="both"/>
        <w:rPr>
          <w:rFonts w:ascii="Georgia" w:hAnsi="Georgia"/>
        </w:rPr>
      </w:pPr>
      <w:r w:rsidRPr="00182566">
        <w:rPr>
          <w:rFonts w:ascii="Georgia" w:hAnsi="Georgia"/>
          <w:bCs/>
        </w:rPr>
        <w:t xml:space="preserve">He </w:t>
      </w:r>
      <w:r w:rsidR="00EF4FBB" w:rsidRPr="00182566">
        <w:rPr>
          <w:rFonts w:ascii="Georgia" w:hAnsi="Georgia"/>
          <w:bCs/>
        </w:rPr>
        <w:t xml:space="preserve">said that he </w:t>
      </w:r>
      <w:r w:rsidRPr="00182566">
        <w:rPr>
          <w:rFonts w:ascii="Georgia" w:hAnsi="Georgia"/>
          <w:bCs/>
        </w:rPr>
        <w:t xml:space="preserve">believed that the evidence </w:t>
      </w:r>
      <w:r w:rsidR="00EF4FBB" w:rsidRPr="00182566">
        <w:rPr>
          <w:rFonts w:ascii="Georgia" w:hAnsi="Georgia"/>
          <w:bCs/>
        </w:rPr>
        <w:t xml:space="preserve">in the bundle </w:t>
      </w:r>
      <w:r w:rsidRPr="00182566">
        <w:rPr>
          <w:rFonts w:ascii="Georgia" w:hAnsi="Georgia"/>
          <w:bCs/>
        </w:rPr>
        <w:t>confir</w:t>
      </w:r>
      <w:r w:rsidR="005F122E" w:rsidRPr="00182566">
        <w:rPr>
          <w:rFonts w:ascii="Georgia" w:hAnsi="Georgia"/>
          <w:bCs/>
        </w:rPr>
        <w:t>med</w:t>
      </w:r>
      <w:r w:rsidRPr="00182566">
        <w:rPr>
          <w:rFonts w:ascii="Georgia" w:hAnsi="Georgia"/>
          <w:bCs/>
        </w:rPr>
        <w:t xml:space="preserve"> that the Respondents </w:t>
      </w:r>
      <w:r w:rsidR="00A609DF" w:rsidRPr="00182566">
        <w:rPr>
          <w:rFonts w:ascii="Georgia" w:hAnsi="Georgia"/>
          <w:bCs/>
        </w:rPr>
        <w:t>regularly</w:t>
      </w:r>
      <w:r w:rsidRPr="00182566">
        <w:rPr>
          <w:rFonts w:ascii="Georgia" w:hAnsi="Georgia"/>
          <w:bCs/>
        </w:rPr>
        <w:t xml:space="preserve"> carried out works to the Property </w:t>
      </w:r>
      <w:r w:rsidR="005943A5" w:rsidRPr="00182566">
        <w:rPr>
          <w:rFonts w:ascii="Georgia" w:hAnsi="Georgia"/>
          <w:bCs/>
        </w:rPr>
        <w:t xml:space="preserve">for the duration of the </w:t>
      </w:r>
      <w:r w:rsidRPr="00182566">
        <w:rPr>
          <w:rFonts w:ascii="Georgia" w:hAnsi="Georgia"/>
          <w:bCs/>
        </w:rPr>
        <w:t xml:space="preserve"> Tenancy agreements.</w:t>
      </w:r>
    </w:p>
    <w:p w14:paraId="262F7351" w14:textId="1D544C06" w:rsidR="00504EB5" w:rsidRPr="00182566" w:rsidRDefault="00504EB5" w:rsidP="00FD17F2">
      <w:pPr>
        <w:numPr>
          <w:ilvl w:val="0"/>
          <w:numId w:val="24"/>
        </w:numPr>
        <w:spacing w:before="240"/>
        <w:jc w:val="both"/>
        <w:rPr>
          <w:rFonts w:ascii="Georgia" w:hAnsi="Georgia"/>
        </w:rPr>
      </w:pPr>
      <w:r w:rsidRPr="00182566">
        <w:rPr>
          <w:rFonts w:ascii="Georgia" w:hAnsi="Georgia"/>
          <w:bCs/>
        </w:rPr>
        <w:t>Mr Field made no specific submissions with regard to the Respondent</w:t>
      </w:r>
      <w:r w:rsidR="00397034">
        <w:rPr>
          <w:rFonts w:ascii="Georgia" w:hAnsi="Georgia"/>
          <w:bCs/>
        </w:rPr>
        <w:t>s’</w:t>
      </w:r>
      <w:r w:rsidRPr="00182566">
        <w:rPr>
          <w:rFonts w:ascii="Georgia" w:hAnsi="Georgia"/>
          <w:bCs/>
        </w:rPr>
        <w:t xml:space="preserve"> financial circumstances or their ability to comply with any order which the Tribunal might make.</w:t>
      </w:r>
    </w:p>
    <w:p w14:paraId="4AEE5100" w14:textId="77777777" w:rsidR="00D929F4" w:rsidRPr="00182566" w:rsidRDefault="00D929F4" w:rsidP="00D929F4">
      <w:pPr>
        <w:spacing w:before="240"/>
        <w:jc w:val="both"/>
        <w:rPr>
          <w:rFonts w:ascii="Georgia" w:hAnsi="Georgia"/>
        </w:rPr>
      </w:pPr>
      <w:r w:rsidRPr="00182566">
        <w:rPr>
          <w:rFonts w:ascii="Georgia" w:hAnsi="Georgia"/>
          <w:b/>
          <w:bCs/>
        </w:rPr>
        <w:t xml:space="preserve">The Law </w:t>
      </w:r>
    </w:p>
    <w:p w14:paraId="5C7DF94E" w14:textId="0A7AAFDE" w:rsidR="00D929F4" w:rsidRPr="00182566" w:rsidRDefault="005F122E" w:rsidP="00D95474">
      <w:pPr>
        <w:numPr>
          <w:ilvl w:val="0"/>
          <w:numId w:val="24"/>
        </w:numPr>
        <w:jc w:val="both"/>
        <w:rPr>
          <w:rFonts w:ascii="Georgia" w:hAnsi="Georgia"/>
        </w:rPr>
      </w:pPr>
      <w:r w:rsidRPr="00182566">
        <w:rPr>
          <w:rFonts w:ascii="Georgia" w:hAnsi="Georgia"/>
        </w:rPr>
        <w:t xml:space="preserve">Section 40 of the Act confers power </w:t>
      </w:r>
      <w:r w:rsidR="00D929F4" w:rsidRPr="00182566">
        <w:rPr>
          <w:rFonts w:ascii="Georgia" w:hAnsi="Georgia"/>
        </w:rPr>
        <w:t xml:space="preserve">on the Tribunal to make a RRO if </w:t>
      </w:r>
      <w:r w:rsidRPr="00182566">
        <w:rPr>
          <w:rFonts w:ascii="Georgia" w:hAnsi="Georgia"/>
        </w:rPr>
        <w:t xml:space="preserve">it is </w:t>
      </w:r>
      <w:r w:rsidR="00D929F4" w:rsidRPr="00182566">
        <w:rPr>
          <w:rFonts w:ascii="Georgia" w:hAnsi="Georgia"/>
        </w:rPr>
        <w:t>satisfied that a landlord has committed an offence to which the Chapter applies.</w:t>
      </w:r>
    </w:p>
    <w:p w14:paraId="00E07460" w14:textId="1847C06C" w:rsidR="00D929F4" w:rsidRPr="00182566" w:rsidRDefault="00D929F4" w:rsidP="00FD17F2">
      <w:pPr>
        <w:numPr>
          <w:ilvl w:val="0"/>
          <w:numId w:val="24"/>
        </w:numPr>
        <w:spacing w:before="240"/>
        <w:jc w:val="both"/>
        <w:rPr>
          <w:rFonts w:ascii="Georgia" w:hAnsi="Georgia"/>
        </w:rPr>
      </w:pPr>
      <w:r w:rsidRPr="00182566">
        <w:rPr>
          <w:rFonts w:ascii="Georgia" w:hAnsi="Georgia"/>
        </w:rPr>
        <w:t xml:space="preserve">The Tribunal </w:t>
      </w:r>
      <w:r w:rsidRPr="00D95474">
        <w:rPr>
          <w:rFonts w:ascii="Georgia" w:hAnsi="Georgia"/>
          <w:u w:val="single"/>
        </w:rPr>
        <w:t>may</w:t>
      </w:r>
      <w:r w:rsidRPr="00182566">
        <w:rPr>
          <w:rFonts w:ascii="Georgia" w:hAnsi="Georgia"/>
        </w:rPr>
        <w:t xml:space="preserve"> make a rent repayment order if </w:t>
      </w:r>
      <w:r w:rsidR="005F122E" w:rsidRPr="00182566">
        <w:rPr>
          <w:rFonts w:ascii="Georgia" w:hAnsi="Georgia"/>
        </w:rPr>
        <w:t xml:space="preserve">it is </w:t>
      </w:r>
      <w:r w:rsidRPr="00182566">
        <w:rPr>
          <w:rFonts w:ascii="Georgia" w:hAnsi="Georgia"/>
        </w:rPr>
        <w:t>satisfied, beyond reasonable doubt, that a landlord has committed an offence to which this Chapter applies (whether or not the landlord has been convicted</w:t>
      </w:r>
      <w:r w:rsidR="005F122E" w:rsidRPr="00182566">
        <w:rPr>
          <w:rFonts w:ascii="Georgia" w:hAnsi="Georgia"/>
        </w:rPr>
        <w:t xml:space="preserve"> of an offence</w:t>
      </w:r>
      <w:r w:rsidRPr="00182566">
        <w:rPr>
          <w:rFonts w:ascii="Georgia" w:hAnsi="Georgia"/>
        </w:rPr>
        <w:t>).</w:t>
      </w:r>
    </w:p>
    <w:p w14:paraId="3DDD284B" w14:textId="1D22D26C" w:rsidR="00D929F4" w:rsidRPr="00182566" w:rsidRDefault="00D929F4" w:rsidP="00FD17F2">
      <w:pPr>
        <w:numPr>
          <w:ilvl w:val="0"/>
          <w:numId w:val="24"/>
        </w:numPr>
        <w:spacing w:before="240"/>
        <w:jc w:val="both"/>
        <w:rPr>
          <w:rFonts w:ascii="Georgia" w:hAnsi="Georgia"/>
        </w:rPr>
      </w:pPr>
      <w:r w:rsidRPr="00182566">
        <w:rPr>
          <w:rFonts w:ascii="Georgia" w:hAnsi="Georgia"/>
        </w:rPr>
        <w:t xml:space="preserve">On a tenant’s application, the amount of rent to be repaid is to be determined in accordance with </w:t>
      </w:r>
      <w:r w:rsidR="002433BE" w:rsidRPr="00182566">
        <w:rPr>
          <w:rFonts w:ascii="Georgia" w:hAnsi="Georgia"/>
        </w:rPr>
        <w:t xml:space="preserve">section </w:t>
      </w:r>
      <w:r w:rsidRPr="00182566">
        <w:rPr>
          <w:rFonts w:ascii="Georgia" w:hAnsi="Georgia"/>
        </w:rPr>
        <w:t>4</w:t>
      </w:r>
      <w:r w:rsidR="00A02112" w:rsidRPr="00182566">
        <w:rPr>
          <w:rFonts w:ascii="Georgia" w:hAnsi="Georgia"/>
        </w:rPr>
        <w:t>4</w:t>
      </w:r>
      <w:r w:rsidR="00374EBD" w:rsidRPr="00182566">
        <w:rPr>
          <w:rFonts w:ascii="Georgia" w:hAnsi="Georgia"/>
        </w:rPr>
        <w:t xml:space="preserve"> of the Ac</w:t>
      </w:r>
      <w:r w:rsidR="00A02112" w:rsidRPr="00182566">
        <w:rPr>
          <w:rFonts w:ascii="Georgia" w:hAnsi="Georgia"/>
        </w:rPr>
        <w:t>t and that amount must not exceed the rent paid within a period of 12 months less any award of universal credit received by a tenant</w:t>
      </w:r>
      <w:r w:rsidR="00313FCF" w:rsidRPr="00182566">
        <w:rPr>
          <w:rFonts w:ascii="Georgia" w:hAnsi="Georgia"/>
        </w:rPr>
        <w:t xml:space="preserve"> (s. 44(3))</w:t>
      </w:r>
    </w:p>
    <w:p w14:paraId="37782B5A" w14:textId="77777777" w:rsidR="00D929F4" w:rsidRPr="00182566" w:rsidRDefault="00D929F4" w:rsidP="00FD17F2">
      <w:pPr>
        <w:numPr>
          <w:ilvl w:val="0"/>
          <w:numId w:val="24"/>
        </w:numPr>
        <w:spacing w:before="240"/>
        <w:jc w:val="both"/>
        <w:rPr>
          <w:rFonts w:ascii="Georgia" w:hAnsi="Georgia"/>
        </w:rPr>
      </w:pPr>
      <w:r w:rsidRPr="00182566">
        <w:rPr>
          <w:rFonts w:ascii="Georgia" w:hAnsi="Georgia"/>
        </w:rPr>
        <w:t>A person who commits an offence may rely upon a defence of reasonable excuse set out in section 73(5) of the Housing Act 2004.</w:t>
      </w:r>
    </w:p>
    <w:p w14:paraId="6D8804E5" w14:textId="7C04CC4D" w:rsidR="00D929F4" w:rsidRPr="00182566" w:rsidRDefault="00D929F4" w:rsidP="00FD17F2">
      <w:pPr>
        <w:numPr>
          <w:ilvl w:val="0"/>
          <w:numId w:val="24"/>
        </w:numPr>
        <w:spacing w:before="240"/>
        <w:jc w:val="both"/>
        <w:rPr>
          <w:rFonts w:ascii="Georgia" w:hAnsi="Georgia"/>
        </w:rPr>
      </w:pPr>
      <w:r w:rsidRPr="00182566">
        <w:rPr>
          <w:rFonts w:ascii="Georgia" w:hAnsi="Georgia"/>
        </w:rPr>
        <w:t xml:space="preserve">Section </w:t>
      </w:r>
      <w:r w:rsidR="008A58CE" w:rsidRPr="00182566">
        <w:rPr>
          <w:rFonts w:ascii="Georgia" w:hAnsi="Georgia"/>
        </w:rPr>
        <w:t>4</w:t>
      </w:r>
      <w:r w:rsidRPr="00182566">
        <w:rPr>
          <w:rFonts w:ascii="Georgia" w:hAnsi="Georgia"/>
        </w:rPr>
        <w:t>3(4)</w:t>
      </w:r>
      <w:r w:rsidR="008A58CE" w:rsidRPr="00182566">
        <w:rPr>
          <w:rFonts w:ascii="Georgia" w:hAnsi="Georgia"/>
        </w:rPr>
        <w:t xml:space="preserve"> of the Act</w:t>
      </w:r>
      <w:r w:rsidRPr="00182566">
        <w:rPr>
          <w:rFonts w:ascii="Georgia" w:hAnsi="Georgia"/>
        </w:rPr>
        <w:t xml:space="preserve"> requires that:-</w:t>
      </w:r>
    </w:p>
    <w:p w14:paraId="6473EF14" w14:textId="77777777" w:rsidR="00D929F4" w:rsidRPr="00182566" w:rsidRDefault="00D929F4" w:rsidP="00023E7C">
      <w:pPr>
        <w:spacing w:before="240"/>
        <w:ind w:left="720"/>
        <w:jc w:val="both"/>
        <w:rPr>
          <w:rFonts w:ascii="Georgia" w:hAnsi="Georgia"/>
        </w:rPr>
      </w:pPr>
      <w:r w:rsidRPr="00182566">
        <w:rPr>
          <w:rFonts w:ascii="Georgia" w:hAnsi="Georgia"/>
        </w:rPr>
        <w:t xml:space="preserve">“(4)  In determining the amount the tribunal must, in particular, </w:t>
      </w:r>
      <w:proofErr w:type="gramStart"/>
      <w:r w:rsidRPr="00182566">
        <w:rPr>
          <w:rFonts w:ascii="Georgia" w:hAnsi="Georgia"/>
        </w:rPr>
        <w:t>take into account</w:t>
      </w:r>
      <w:proofErr w:type="gramEnd"/>
      <w:r w:rsidRPr="00182566">
        <w:rPr>
          <w:rFonts w:ascii="Georgia" w:hAnsi="Georgia"/>
        </w:rPr>
        <w:t>—</w:t>
      </w:r>
    </w:p>
    <w:p w14:paraId="4EA7C940" w14:textId="77777777" w:rsidR="00D929F4" w:rsidRPr="00182566" w:rsidRDefault="00D929F4" w:rsidP="00023E7C">
      <w:pPr>
        <w:spacing w:line="278" w:lineRule="auto"/>
        <w:ind w:firstLine="720"/>
        <w:jc w:val="both"/>
        <w:rPr>
          <w:rFonts w:ascii="Georgia" w:hAnsi="Georgia"/>
        </w:rPr>
      </w:pPr>
      <w:r w:rsidRPr="00182566">
        <w:rPr>
          <w:rFonts w:ascii="Georgia" w:hAnsi="Georgia"/>
        </w:rPr>
        <w:t>(a)  the conduct of the landlord and the tenant,</w:t>
      </w:r>
    </w:p>
    <w:p w14:paraId="15E0872D" w14:textId="77777777" w:rsidR="00D929F4" w:rsidRPr="00182566" w:rsidRDefault="00D929F4" w:rsidP="00023E7C">
      <w:pPr>
        <w:spacing w:line="278" w:lineRule="auto"/>
        <w:ind w:firstLine="720"/>
        <w:jc w:val="both"/>
        <w:rPr>
          <w:rFonts w:ascii="Georgia" w:hAnsi="Georgia"/>
        </w:rPr>
      </w:pPr>
      <w:r w:rsidRPr="00182566">
        <w:rPr>
          <w:rFonts w:ascii="Georgia" w:hAnsi="Georgia"/>
        </w:rPr>
        <w:t>(b)  the financial circumstances of the landlord, and</w:t>
      </w:r>
    </w:p>
    <w:p w14:paraId="0086CDFA" w14:textId="350EA3BF" w:rsidR="00CF2F82" w:rsidRPr="00182566" w:rsidRDefault="00D929F4" w:rsidP="00023E7C">
      <w:pPr>
        <w:spacing w:line="278" w:lineRule="auto"/>
        <w:ind w:left="720"/>
        <w:jc w:val="both"/>
        <w:rPr>
          <w:rFonts w:ascii="Georgia" w:hAnsi="Georgia"/>
        </w:rPr>
      </w:pPr>
      <w:r w:rsidRPr="00182566">
        <w:rPr>
          <w:rFonts w:ascii="Georgia" w:hAnsi="Georgia"/>
        </w:rPr>
        <w:t>(c)  whether the landlord has at any time been convicted of an offence to which this Chapter applies.”</w:t>
      </w:r>
    </w:p>
    <w:p w14:paraId="7F1F8F00" w14:textId="6C41176F" w:rsidR="00D929F4" w:rsidRPr="00182566" w:rsidRDefault="00CF2F82" w:rsidP="00FD17F2">
      <w:pPr>
        <w:numPr>
          <w:ilvl w:val="0"/>
          <w:numId w:val="24"/>
        </w:numPr>
        <w:spacing w:before="240" w:after="160" w:line="278" w:lineRule="auto"/>
        <w:jc w:val="both"/>
        <w:rPr>
          <w:rFonts w:ascii="Georgia" w:hAnsi="Georgia"/>
        </w:rPr>
      </w:pPr>
      <w:r w:rsidRPr="00182566">
        <w:rPr>
          <w:rFonts w:ascii="Georgia" w:hAnsi="Georgia"/>
        </w:rPr>
        <w:t>In these proceedings both parties</w:t>
      </w:r>
      <w:r w:rsidR="00BB1420" w:rsidRPr="00182566">
        <w:rPr>
          <w:rFonts w:ascii="Georgia" w:hAnsi="Georgia"/>
        </w:rPr>
        <w:t xml:space="preserve"> agree</w:t>
      </w:r>
      <w:r w:rsidRPr="00182566">
        <w:rPr>
          <w:rFonts w:ascii="Georgia" w:hAnsi="Georgia"/>
        </w:rPr>
        <w:t xml:space="preserve"> that </w:t>
      </w:r>
      <w:r w:rsidR="00D929F4" w:rsidRPr="00182566">
        <w:rPr>
          <w:rFonts w:ascii="Georgia" w:hAnsi="Georgia"/>
        </w:rPr>
        <w:t xml:space="preserve"> the </w:t>
      </w:r>
      <w:r w:rsidR="00BB1420" w:rsidRPr="00182566">
        <w:rPr>
          <w:rFonts w:ascii="Georgia" w:hAnsi="Georgia"/>
        </w:rPr>
        <w:t>Respondents</w:t>
      </w:r>
      <w:r w:rsidR="00D929F4" w:rsidRPr="00182566">
        <w:rPr>
          <w:rFonts w:ascii="Georgia" w:hAnsi="Georgia"/>
        </w:rPr>
        <w:t xml:space="preserve"> </w:t>
      </w:r>
      <w:r w:rsidR="00BB1420" w:rsidRPr="00182566">
        <w:rPr>
          <w:rFonts w:ascii="Georgia" w:hAnsi="Georgia"/>
        </w:rPr>
        <w:t xml:space="preserve">have not </w:t>
      </w:r>
      <w:r w:rsidR="00D929F4" w:rsidRPr="00182566">
        <w:rPr>
          <w:rFonts w:ascii="Georgia" w:hAnsi="Georgia"/>
        </w:rPr>
        <w:t xml:space="preserve"> been</w:t>
      </w:r>
      <w:r w:rsidR="00BB1420" w:rsidRPr="00182566">
        <w:rPr>
          <w:rFonts w:ascii="Georgia" w:hAnsi="Georgia"/>
        </w:rPr>
        <w:t xml:space="preserve"> previously</w:t>
      </w:r>
      <w:r w:rsidR="00D929F4" w:rsidRPr="00182566">
        <w:rPr>
          <w:rFonts w:ascii="Georgia" w:hAnsi="Georgia"/>
        </w:rPr>
        <w:t xml:space="preserve"> convicted of an offence to which  the relevant Chapter of the Act applies.</w:t>
      </w:r>
    </w:p>
    <w:p w14:paraId="6D2AE6ED" w14:textId="796F6A48" w:rsidR="000B1006" w:rsidRPr="00182566" w:rsidRDefault="00D929F4" w:rsidP="00FD17F2">
      <w:pPr>
        <w:numPr>
          <w:ilvl w:val="0"/>
          <w:numId w:val="24"/>
        </w:numPr>
        <w:spacing w:after="160" w:line="278" w:lineRule="auto"/>
        <w:jc w:val="both"/>
        <w:rPr>
          <w:rFonts w:ascii="Georgia" w:hAnsi="Georgia"/>
        </w:rPr>
      </w:pPr>
      <w:r w:rsidRPr="00182566">
        <w:rPr>
          <w:rFonts w:ascii="Georgia" w:hAnsi="Georgia"/>
        </w:rPr>
        <w:t xml:space="preserve">Relevant extracts from the Act and the Housing Act 2004 are set out in the </w:t>
      </w:r>
      <w:r w:rsidR="0081132B" w:rsidRPr="00182566">
        <w:rPr>
          <w:rFonts w:ascii="Georgia" w:hAnsi="Georgia"/>
        </w:rPr>
        <w:t>S</w:t>
      </w:r>
      <w:r w:rsidRPr="00182566">
        <w:rPr>
          <w:rFonts w:ascii="Georgia" w:hAnsi="Georgia"/>
        </w:rPr>
        <w:t>chedule</w:t>
      </w:r>
      <w:r w:rsidR="00CF2F82" w:rsidRPr="00182566">
        <w:rPr>
          <w:rFonts w:ascii="Georgia" w:hAnsi="Georgia"/>
        </w:rPr>
        <w:t xml:space="preserve"> to this decision together with </w:t>
      </w:r>
      <w:r w:rsidR="00023E7C" w:rsidRPr="00182566">
        <w:rPr>
          <w:rFonts w:ascii="Georgia" w:hAnsi="Georgia"/>
        </w:rPr>
        <w:t>the</w:t>
      </w:r>
      <w:r w:rsidR="00D95474">
        <w:rPr>
          <w:rFonts w:ascii="Georgia" w:hAnsi="Georgia"/>
        </w:rPr>
        <w:t xml:space="preserve"> full</w:t>
      </w:r>
      <w:r w:rsidR="00023E7C" w:rsidRPr="00182566">
        <w:rPr>
          <w:rFonts w:ascii="Georgia" w:hAnsi="Georgia"/>
        </w:rPr>
        <w:t xml:space="preserve"> case references.</w:t>
      </w:r>
    </w:p>
    <w:p w14:paraId="665B1155" w14:textId="310A7B58" w:rsidR="00895EED" w:rsidRPr="00182566" w:rsidRDefault="008958D1" w:rsidP="00FD17F2">
      <w:pPr>
        <w:numPr>
          <w:ilvl w:val="0"/>
          <w:numId w:val="24"/>
        </w:numPr>
        <w:spacing w:after="160" w:line="278" w:lineRule="auto"/>
        <w:jc w:val="both"/>
        <w:rPr>
          <w:rFonts w:ascii="Georgia" w:hAnsi="Georgia"/>
        </w:rPr>
      </w:pPr>
      <w:r w:rsidRPr="00182566">
        <w:rPr>
          <w:rFonts w:ascii="Georgia" w:hAnsi="Georgia"/>
        </w:rPr>
        <w:t>Rule 13</w:t>
      </w:r>
      <w:r w:rsidR="005A3DBD" w:rsidRPr="00182566">
        <w:rPr>
          <w:rFonts w:ascii="Georgia" w:hAnsi="Georgia"/>
        </w:rPr>
        <w:t>(</w:t>
      </w:r>
      <w:r w:rsidR="00895EED" w:rsidRPr="00182566">
        <w:rPr>
          <w:rFonts w:ascii="Georgia" w:hAnsi="Georgia"/>
        </w:rPr>
        <w:t>2</w:t>
      </w:r>
      <w:r w:rsidRPr="00182566">
        <w:rPr>
          <w:rFonts w:ascii="Georgia" w:hAnsi="Georgia"/>
        </w:rPr>
        <w:t>)</w:t>
      </w:r>
      <w:r w:rsidR="00895EED" w:rsidRPr="00182566">
        <w:rPr>
          <w:rFonts w:ascii="Georgia" w:hAnsi="Georgia"/>
        </w:rPr>
        <w:t xml:space="preserve"> of </w:t>
      </w:r>
      <w:r w:rsidR="00895EED" w:rsidRPr="00182566">
        <w:rPr>
          <w:rFonts w:ascii="Georgia" w:hAnsi="Georgia"/>
          <w:b/>
        </w:rPr>
        <w:t>The Tribunal Procedure (First-tier Tribunal) (Property Chamber) Rules 2013</w:t>
      </w:r>
      <w:r w:rsidR="00895EED" w:rsidRPr="00182566">
        <w:rPr>
          <w:rFonts w:ascii="Georgia" w:hAnsi="Georgia"/>
          <w:bCs/>
        </w:rPr>
        <w:t xml:space="preserve"> </w:t>
      </w:r>
      <w:r w:rsidR="000B1006" w:rsidRPr="00182566">
        <w:rPr>
          <w:rFonts w:ascii="Georgia" w:hAnsi="Georgia"/>
          <w:bCs/>
        </w:rPr>
        <w:t xml:space="preserve">states that “The Tribunal </w:t>
      </w:r>
      <w:r w:rsidR="000B1006" w:rsidRPr="00D95474">
        <w:rPr>
          <w:rFonts w:ascii="Georgia" w:hAnsi="Georgia"/>
          <w:bCs/>
          <w:u w:val="single"/>
        </w:rPr>
        <w:t xml:space="preserve">may </w:t>
      </w:r>
      <w:r w:rsidR="000B1006" w:rsidRPr="00182566">
        <w:rPr>
          <w:rFonts w:ascii="Georgia" w:hAnsi="Georgia"/>
          <w:bCs/>
        </w:rPr>
        <w:t xml:space="preserve">make an order requiring a party to reimburse to any other party the </w:t>
      </w:r>
      <w:r w:rsidR="000B1006" w:rsidRPr="00182566">
        <w:rPr>
          <w:rFonts w:ascii="Georgia" w:hAnsi="Georgia"/>
          <w:bCs/>
        </w:rPr>
        <w:lastRenderedPageBreak/>
        <w:t xml:space="preserve">whole or part of the amount of any fee paid by the other party which has not been remitted by the Lord </w:t>
      </w:r>
      <w:r w:rsidR="00824D4F" w:rsidRPr="00182566">
        <w:rPr>
          <w:rFonts w:ascii="Georgia" w:hAnsi="Georgia"/>
          <w:bCs/>
        </w:rPr>
        <w:t>Chancellor”.</w:t>
      </w:r>
    </w:p>
    <w:p w14:paraId="29B7C89C" w14:textId="601BF005" w:rsidR="00D929F4" w:rsidRPr="00182566" w:rsidRDefault="00992CCF" w:rsidP="00D95474">
      <w:pPr>
        <w:spacing w:line="278" w:lineRule="auto"/>
        <w:jc w:val="both"/>
        <w:rPr>
          <w:rFonts w:ascii="Georgia" w:hAnsi="Georgia"/>
          <w:b/>
          <w:bCs/>
        </w:rPr>
      </w:pPr>
      <w:r w:rsidRPr="00182566">
        <w:rPr>
          <w:rFonts w:ascii="Georgia" w:hAnsi="Georgia"/>
          <w:b/>
          <w:bCs/>
        </w:rPr>
        <w:t>Reasons for t</w:t>
      </w:r>
      <w:r w:rsidR="00D929F4" w:rsidRPr="00182566">
        <w:rPr>
          <w:rFonts w:ascii="Georgia" w:hAnsi="Georgia"/>
          <w:b/>
          <w:bCs/>
        </w:rPr>
        <w:t>he Tribunal’s decision</w:t>
      </w:r>
    </w:p>
    <w:p w14:paraId="33FFE69C" w14:textId="38DFC956" w:rsidR="00CF2F82" w:rsidRPr="00182566" w:rsidRDefault="00CF2F82" w:rsidP="00D95474">
      <w:pPr>
        <w:numPr>
          <w:ilvl w:val="0"/>
          <w:numId w:val="24"/>
        </w:numPr>
        <w:spacing w:line="278" w:lineRule="auto"/>
        <w:jc w:val="both"/>
        <w:rPr>
          <w:rFonts w:ascii="Georgia" w:hAnsi="Georgia"/>
        </w:rPr>
      </w:pPr>
      <w:r w:rsidRPr="00182566">
        <w:rPr>
          <w:rFonts w:ascii="Georgia" w:hAnsi="Georgia"/>
        </w:rPr>
        <w:t>The Respondent</w:t>
      </w:r>
      <w:r w:rsidR="005A3DBD" w:rsidRPr="00182566">
        <w:rPr>
          <w:rFonts w:ascii="Georgia" w:hAnsi="Georgia"/>
        </w:rPr>
        <w:t>s</w:t>
      </w:r>
      <w:r w:rsidRPr="00182566">
        <w:rPr>
          <w:rFonts w:ascii="Georgia" w:hAnsi="Georgia"/>
        </w:rPr>
        <w:t xml:space="preserve"> ha</w:t>
      </w:r>
      <w:r w:rsidR="005A3DBD" w:rsidRPr="00182566">
        <w:rPr>
          <w:rFonts w:ascii="Georgia" w:hAnsi="Georgia"/>
        </w:rPr>
        <w:t>ve</w:t>
      </w:r>
      <w:r w:rsidRPr="00182566">
        <w:rPr>
          <w:rFonts w:ascii="Georgia" w:hAnsi="Georgia"/>
        </w:rPr>
        <w:t xml:space="preserve"> admitted that during the </w:t>
      </w:r>
      <w:r w:rsidR="005A3DBD" w:rsidRPr="00182566">
        <w:rPr>
          <w:rFonts w:ascii="Georgia" w:hAnsi="Georgia"/>
        </w:rPr>
        <w:t xml:space="preserve">entire </w:t>
      </w:r>
      <w:r w:rsidRPr="00182566">
        <w:rPr>
          <w:rFonts w:ascii="Georgia" w:hAnsi="Georgia"/>
        </w:rPr>
        <w:t>period of the Applicants’ claim they did not have an HMO Licence for the Property.</w:t>
      </w:r>
    </w:p>
    <w:p w14:paraId="0909BE91" w14:textId="7C3BBC88" w:rsidR="00CF2F82" w:rsidRPr="00182566" w:rsidRDefault="00CF2F82" w:rsidP="00D95474">
      <w:pPr>
        <w:numPr>
          <w:ilvl w:val="0"/>
          <w:numId w:val="24"/>
        </w:numPr>
        <w:spacing w:before="240" w:after="160" w:line="278" w:lineRule="auto"/>
        <w:jc w:val="both"/>
        <w:rPr>
          <w:rFonts w:ascii="Georgia" w:hAnsi="Georgia"/>
        </w:rPr>
      </w:pPr>
      <w:r w:rsidRPr="00182566">
        <w:rPr>
          <w:rFonts w:ascii="Georgia" w:hAnsi="Georgia"/>
        </w:rPr>
        <w:t>The Respondents sought to rely upon</w:t>
      </w:r>
      <w:r w:rsidR="00552D69" w:rsidRPr="00182566">
        <w:rPr>
          <w:rFonts w:ascii="Georgia" w:hAnsi="Georgia"/>
        </w:rPr>
        <w:t xml:space="preserve"> the </w:t>
      </w:r>
      <w:r w:rsidRPr="00182566">
        <w:rPr>
          <w:rFonts w:ascii="Georgia" w:hAnsi="Georgia"/>
        </w:rPr>
        <w:t>defence that there was a reasonable excuse for their omission.</w:t>
      </w:r>
    </w:p>
    <w:p w14:paraId="74B7B5EB" w14:textId="75C5A783" w:rsidR="00CF2F82" w:rsidRPr="00182566" w:rsidRDefault="0081132B" w:rsidP="00FD17F2">
      <w:pPr>
        <w:numPr>
          <w:ilvl w:val="0"/>
          <w:numId w:val="24"/>
        </w:numPr>
        <w:spacing w:after="160" w:line="278" w:lineRule="auto"/>
        <w:jc w:val="both"/>
        <w:rPr>
          <w:rFonts w:ascii="Georgia" w:hAnsi="Georgia"/>
        </w:rPr>
      </w:pPr>
      <w:r w:rsidRPr="00182566">
        <w:rPr>
          <w:rFonts w:ascii="Georgia" w:hAnsi="Georgia"/>
        </w:rPr>
        <w:t>Mr Field said that if</w:t>
      </w:r>
      <w:r w:rsidR="00CF2F82" w:rsidRPr="00182566">
        <w:rPr>
          <w:rFonts w:ascii="Georgia" w:hAnsi="Georgia"/>
        </w:rPr>
        <w:t xml:space="preserve"> the Tribunal did not accept that the defence </w:t>
      </w:r>
      <w:r w:rsidRPr="00182566">
        <w:rPr>
          <w:rFonts w:ascii="Georgia" w:hAnsi="Georgia"/>
        </w:rPr>
        <w:t xml:space="preserve"> of reasonable excuse </w:t>
      </w:r>
      <w:r w:rsidR="00CF2F82" w:rsidRPr="00182566">
        <w:rPr>
          <w:rFonts w:ascii="Georgia" w:hAnsi="Georgia"/>
        </w:rPr>
        <w:t>was proven</w:t>
      </w:r>
      <w:r w:rsidR="005A3DBD" w:rsidRPr="00182566">
        <w:rPr>
          <w:rFonts w:ascii="Georgia" w:hAnsi="Georgia"/>
        </w:rPr>
        <w:t>,</w:t>
      </w:r>
      <w:r w:rsidR="00CF2F82" w:rsidRPr="00182566">
        <w:rPr>
          <w:rFonts w:ascii="Georgia" w:hAnsi="Georgia"/>
        </w:rPr>
        <w:t xml:space="preserve"> </w:t>
      </w:r>
      <w:r w:rsidRPr="00182566">
        <w:rPr>
          <w:rFonts w:ascii="Georgia" w:hAnsi="Georgia"/>
        </w:rPr>
        <w:t xml:space="preserve">it should </w:t>
      </w:r>
      <w:r w:rsidR="005A3DBD" w:rsidRPr="00182566">
        <w:rPr>
          <w:rFonts w:ascii="Georgia" w:hAnsi="Georgia"/>
        </w:rPr>
        <w:t xml:space="preserve"> still </w:t>
      </w:r>
      <w:r w:rsidRPr="00182566">
        <w:rPr>
          <w:rFonts w:ascii="Georgia" w:hAnsi="Georgia"/>
        </w:rPr>
        <w:t xml:space="preserve">consider making </w:t>
      </w:r>
      <w:r w:rsidR="00CF2F82" w:rsidRPr="00182566">
        <w:rPr>
          <w:rFonts w:ascii="Georgia" w:hAnsi="Georgia"/>
        </w:rPr>
        <w:t xml:space="preserve">an order at the lower end of the scale </w:t>
      </w:r>
      <w:r w:rsidR="005943A5" w:rsidRPr="00182566">
        <w:rPr>
          <w:rFonts w:ascii="Georgia" w:hAnsi="Georgia"/>
        </w:rPr>
        <w:t>i.e.</w:t>
      </w:r>
      <w:r w:rsidRPr="00182566">
        <w:rPr>
          <w:rFonts w:ascii="Georgia" w:hAnsi="Georgia"/>
        </w:rPr>
        <w:t xml:space="preserve"> for </w:t>
      </w:r>
      <w:r w:rsidR="00CF2F82" w:rsidRPr="00182566">
        <w:rPr>
          <w:rFonts w:ascii="Georgia" w:hAnsi="Georgia"/>
        </w:rPr>
        <w:t>less than 100% of the maximum amount</w:t>
      </w:r>
      <w:r w:rsidRPr="00182566">
        <w:rPr>
          <w:rFonts w:ascii="Georgia" w:hAnsi="Georgia"/>
        </w:rPr>
        <w:t>.</w:t>
      </w:r>
      <w:r w:rsidR="00CF2F82" w:rsidRPr="00182566">
        <w:rPr>
          <w:rFonts w:ascii="Georgia" w:hAnsi="Georgia"/>
        </w:rPr>
        <w:t xml:space="preserve"> </w:t>
      </w:r>
      <w:r w:rsidRPr="00182566">
        <w:rPr>
          <w:rFonts w:ascii="Georgia" w:hAnsi="Georgia"/>
        </w:rPr>
        <w:t>He</w:t>
      </w:r>
      <w:r w:rsidR="00BE6D56" w:rsidRPr="00182566">
        <w:rPr>
          <w:rFonts w:ascii="Georgia" w:hAnsi="Georgia"/>
        </w:rPr>
        <w:t xml:space="preserve"> suggested </w:t>
      </w:r>
      <w:r w:rsidRPr="00182566">
        <w:rPr>
          <w:rFonts w:ascii="Georgia" w:hAnsi="Georgia"/>
        </w:rPr>
        <w:t>that</w:t>
      </w:r>
      <w:r w:rsidR="000D07DD" w:rsidRPr="00182566">
        <w:rPr>
          <w:rFonts w:ascii="Georgia" w:hAnsi="Georgia"/>
        </w:rPr>
        <w:t xml:space="preserve"> upwards of</w:t>
      </w:r>
      <w:r w:rsidR="00CF2F82" w:rsidRPr="00182566">
        <w:rPr>
          <w:rFonts w:ascii="Georgia" w:hAnsi="Georgia"/>
        </w:rPr>
        <w:t xml:space="preserve"> 25% of that amount</w:t>
      </w:r>
      <w:r w:rsidRPr="00182566">
        <w:rPr>
          <w:rFonts w:ascii="Georgia" w:hAnsi="Georgia"/>
        </w:rPr>
        <w:t xml:space="preserve"> would be reasonable </w:t>
      </w:r>
      <w:r w:rsidR="00CF2F82" w:rsidRPr="00182566">
        <w:rPr>
          <w:rFonts w:ascii="Georgia" w:hAnsi="Georgia"/>
        </w:rPr>
        <w:t xml:space="preserve">because the offence was not the </w:t>
      </w:r>
      <w:r w:rsidRPr="00182566">
        <w:rPr>
          <w:rFonts w:ascii="Georgia" w:hAnsi="Georgia"/>
        </w:rPr>
        <w:t>“</w:t>
      </w:r>
      <w:r w:rsidR="00CF2F82" w:rsidRPr="00182566">
        <w:rPr>
          <w:rFonts w:ascii="Georgia" w:hAnsi="Georgia"/>
        </w:rPr>
        <w:t>most serious</w:t>
      </w:r>
      <w:r w:rsidRPr="00182566">
        <w:rPr>
          <w:rFonts w:ascii="Georgia" w:hAnsi="Georgia"/>
        </w:rPr>
        <w:t>”</w:t>
      </w:r>
      <w:r w:rsidR="00CF2F82" w:rsidRPr="00182566">
        <w:rPr>
          <w:rFonts w:ascii="Georgia" w:hAnsi="Georgia"/>
        </w:rPr>
        <w:t xml:space="preserve"> offence.</w:t>
      </w:r>
    </w:p>
    <w:p w14:paraId="099C4854" w14:textId="752A216F" w:rsidR="00CF2F82" w:rsidRPr="00182566" w:rsidRDefault="00CF2F82" w:rsidP="00081D03">
      <w:pPr>
        <w:numPr>
          <w:ilvl w:val="0"/>
          <w:numId w:val="24"/>
        </w:numPr>
        <w:spacing w:after="160" w:line="278" w:lineRule="auto"/>
        <w:jc w:val="both"/>
        <w:rPr>
          <w:rFonts w:ascii="Georgia" w:hAnsi="Georgia"/>
        </w:rPr>
      </w:pPr>
      <w:r w:rsidRPr="00182566">
        <w:rPr>
          <w:rFonts w:ascii="Georgia" w:hAnsi="Georgia"/>
        </w:rPr>
        <w:t xml:space="preserve">The </w:t>
      </w:r>
      <w:r w:rsidR="00AA0AAA" w:rsidRPr="00182566">
        <w:rPr>
          <w:rFonts w:ascii="Georgia" w:hAnsi="Georgia"/>
        </w:rPr>
        <w:t xml:space="preserve">parties </w:t>
      </w:r>
      <w:r w:rsidRPr="00182566">
        <w:rPr>
          <w:rFonts w:ascii="Georgia" w:hAnsi="Georgia"/>
        </w:rPr>
        <w:t>made con</w:t>
      </w:r>
      <w:r w:rsidR="00AA0AAA" w:rsidRPr="00182566">
        <w:rPr>
          <w:rFonts w:ascii="Georgia" w:hAnsi="Georgia"/>
        </w:rPr>
        <w:t>flicting</w:t>
      </w:r>
      <w:r w:rsidRPr="00182566">
        <w:rPr>
          <w:rFonts w:ascii="Georgia" w:hAnsi="Georgia"/>
        </w:rPr>
        <w:t xml:space="preserve"> submissions.  Mr McGowan stated that the offence should be considered to be serious because i</w:t>
      </w:r>
      <w:r w:rsidR="00CD5638" w:rsidRPr="00182566">
        <w:rPr>
          <w:rFonts w:ascii="Georgia" w:hAnsi="Georgia"/>
        </w:rPr>
        <w:t>t</w:t>
      </w:r>
      <w:r w:rsidRPr="00182566">
        <w:rPr>
          <w:rFonts w:ascii="Georgia" w:hAnsi="Georgia"/>
        </w:rPr>
        <w:t xml:space="preserve"> was criminal.  The Respondents let other properties. Their submissions regarding their reasonable defence were uncorroborated. There was no evidence that the Bristol City Council website </w:t>
      </w:r>
      <w:r w:rsidR="00081D03" w:rsidRPr="00182566">
        <w:rPr>
          <w:rFonts w:ascii="Georgia" w:hAnsi="Georgia"/>
        </w:rPr>
        <w:t>is or</w:t>
      </w:r>
      <w:r w:rsidRPr="00182566">
        <w:rPr>
          <w:rFonts w:ascii="Georgia" w:hAnsi="Georgia"/>
        </w:rPr>
        <w:t xml:space="preserve"> was misleading.</w:t>
      </w:r>
      <w:r w:rsidR="00081D03" w:rsidRPr="00182566">
        <w:rPr>
          <w:rFonts w:ascii="Georgia" w:hAnsi="Georgia"/>
        </w:rPr>
        <w:t xml:space="preserve"> </w:t>
      </w:r>
      <w:r w:rsidRPr="00182566">
        <w:rPr>
          <w:rFonts w:ascii="Georgia" w:hAnsi="Georgia"/>
        </w:rPr>
        <w:t xml:space="preserve">There is no evidence whether Mr Collins navigated </w:t>
      </w:r>
      <w:r w:rsidR="00081D03" w:rsidRPr="00182566">
        <w:rPr>
          <w:rFonts w:ascii="Georgia" w:hAnsi="Georgia"/>
        </w:rPr>
        <w:t>the website properly</w:t>
      </w:r>
      <w:r w:rsidRPr="00182566">
        <w:rPr>
          <w:rFonts w:ascii="Georgia" w:hAnsi="Georgia"/>
        </w:rPr>
        <w:t xml:space="preserve"> </w:t>
      </w:r>
      <w:r w:rsidR="009E17D9" w:rsidRPr="00182566">
        <w:rPr>
          <w:rFonts w:ascii="Georgia" w:hAnsi="Georgia"/>
        </w:rPr>
        <w:t>when he checked i</w:t>
      </w:r>
      <w:r w:rsidR="003E72D1" w:rsidRPr="00182566">
        <w:rPr>
          <w:rFonts w:ascii="Georgia" w:hAnsi="Georgia"/>
        </w:rPr>
        <w:t xml:space="preserve">f </w:t>
      </w:r>
      <w:r w:rsidR="009E17D9" w:rsidRPr="00182566">
        <w:rPr>
          <w:rFonts w:ascii="Georgia" w:hAnsi="Georgia"/>
        </w:rPr>
        <w:t>the Property needed to be licen</w:t>
      </w:r>
      <w:r w:rsidR="00081D03" w:rsidRPr="00182566">
        <w:rPr>
          <w:rFonts w:ascii="Georgia" w:hAnsi="Georgia"/>
        </w:rPr>
        <w:t>s</w:t>
      </w:r>
      <w:r w:rsidR="009E17D9" w:rsidRPr="00182566">
        <w:rPr>
          <w:rFonts w:ascii="Georgia" w:hAnsi="Georgia"/>
        </w:rPr>
        <w:t>ed.  The evidence he had provided tended to suggest that the</w:t>
      </w:r>
      <w:r w:rsidR="009F5DAB" w:rsidRPr="00182566">
        <w:rPr>
          <w:rFonts w:ascii="Georgia" w:hAnsi="Georgia"/>
        </w:rPr>
        <w:t xml:space="preserve"> tool on the </w:t>
      </w:r>
      <w:r w:rsidR="009E17D9" w:rsidRPr="00182566">
        <w:rPr>
          <w:rFonts w:ascii="Georgia" w:hAnsi="Georgia"/>
        </w:rPr>
        <w:t xml:space="preserve"> website</w:t>
      </w:r>
      <w:r w:rsidR="009F5DAB" w:rsidRPr="00182566">
        <w:rPr>
          <w:rFonts w:ascii="Georgia" w:hAnsi="Georgia"/>
        </w:rPr>
        <w:t xml:space="preserve"> is</w:t>
      </w:r>
      <w:r w:rsidR="009E17D9" w:rsidRPr="00182566">
        <w:rPr>
          <w:rFonts w:ascii="Georgia" w:hAnsi="Georgia"/>
        </w:rPr>
        <w:t xml:space="preserve"> effective</w:t>
      </w:r>
      <w:r w:rsidR="00081D03" w:rsidRPr="00182566">
        <w:rPr>
          <w:rFonts w:ascii="Georgia" w:hAnsi="Georgia"/>
        </w:rPr>
        <w:t>,</w:t>
      </w:r>
      <w:r w:rsidR="009E17D9" w:rsidRPr="00182566">
        <w:rPr>
          <w:rFonts w:ascii="Georgia" w:hAnsi="Georgia"/>
        </w:rPr>
        <w:t xml:space="preserve"> not that it </w:t>
      </w:r>
      <w:r w:rsidR="00AA4364" w:rsidRPr="00182566">
        <w:rPr>
          <w:rFonts w:ascii="Georgia" w:hAnsi="Georgia"/>
        </w:rPr>
        <w:t>is</w:t>
      </w:r>
      <w:r w:rsidR="009E17D9" w:rsidRPr="00182566">
        <w:rPr>
          <w:rFonts w:ascii="Georgia" w:hAnsi="Georgia"/>
        </w:rPr>
        <w:t xml:space="preserve"> misleading.</w:t>
      </w:r>
    </w:p>
    <w:p w14:paraId="2526F745" w14:textId="479158CC" w:rsidR="009E17D9" w:rsidRPr="00182566" w:rsidRDefault="009E17D9" w:rsidP="00081D03">
      <w:pPr>
        <w:numPr>
          <w:ilvl w:val="0"/>
          <w:numId w:val="24"/>
        </w:numPr>
        <w:spacing w:after="160" w:line="278" w:lineRule="auto"/>
        <w:jc w:val="both"/>
        <w:rPr>
          <w:rFonts w:ascii="Georgia" w:hAnsi="Georgia"/>
        </w:rPr>
      </w:pPr>
      <w:r w:rsidRPr="00182566">
        <w:rPr>
          <w:rFonts w:ascii="Georgia" w:hAnsi="Georgia"/>
        </w:rPr>
        <w:t>Furthermore</w:t>
      </w:r>
      <w:r w:rsidR="00BE6D56" w:rsidRPr="00182566">
        <w:rPr>
          <w:rFonts w:ascii="Georgia" w:hAnsi="Georgia"/>
        </w:rPr>
        <w:t xml:space="preserve">, he said </w:t>
      </w:r>
      <w:r w:rsidRPr="00182566">
        <w:rPr>
          <w:rFonts w:ascii="Georgia" w:hAnsi="Georgia"/>
        </w:rPr>
        <w:t xml:space="preserve">the Tribunal should take account </w:t>
      </w:r>
      <w:r w:rsidR="00D95474">
        <w:rPr>
          <w:rFonts w:ascii="Georgia" w:hAnsi="Georgia"/>
        </w:rPr>
        <w:t xml:space="preserve">of </w:t>
      </w:r>
      <w:r w:rsidRPr="00182566">
        <w:rPr>
          <w:rFonts w:ascii="Georgia" w:hAnsi="Georgia"/>
        </w:rPr>
        <w:t>the Respondent’s conduct during the tenancy.  The Property had been subject to persistent leaks which were never entirely rectified.  Mr McGowan suggested that the Landlord  and its agent had not dealt with the Applicant</w:t>
      </w:r>
      <w:r w:rsidR="00D95474">
        <w:rPr>
          <w:rFonts w:ascii="Georgia" w:hAnsi="Georgia"/>
        </w:rPr>
        <w:t>s’</w:t>
      </w:r>
      <w:r w:rsidRPr="00182566">
        <w:rPr>
          <w:rFonts w:ascii="Georgia" w:hAnsi="Georgia"/>
        </w:rPr>
        <w:t xml:space="preserve"> complain</w:t>
      </w:r>
      <w:r w:rsidR="00AA4364" w:rsidRPr="00182566">
        <w:rPr>
          <w:rFonts w:ascii="Georgia" w:hAnsi="Georgia"/>
        </w:rPr>
        <w:t>t</w:t>
      </w:r>
      <w:r w:rsidRPr="00182566">
        <w:rPr>
          <w:rFonts w:ascii="Georgia" w:hAnsi="Georgia"/>
        </w:rPr>
        <w:t xml:space="preserve">s regarding the dampness </w:t>
      </w:r>
      <w:r w:rsidR="005943A5" w:rsidRPr="00182566">
        <w:rPr>
          <w:rFonts w:ascii="Georgia" w:hAnsi="Georgia"/>
        </w:rPr>
        <w:t>quickly</w:t>
      </w:r>
      <w:r w:rsidRPr="00182566">
        <w:rPr>
          <w:rFonts w:ascii="Georgia" w:hAnsi="Georgia"/>
        </w:rPr>
        <w:t xml:space="preserve"> enough or effectively</w:t>
      </w:r>
      <w:r w:rsidR="00936F4A" w:rsidRPr="00182566">
        <w:rPr>
          <w:rFonts w:ascii="Georgia" w:hAnsi="Georgia"/>
        </w:rPr>
        <w:t>,</w:t>
      </w:r>
      <w:r w:rsidRPr="00182566">
        <w:rPr>
          <w:rFonts w:ascii="Georgia" w:hAnsi="Georgia"/>
        </w:rPr>
        <w:t xml:space="preserve"> if at all.</w:t>
      </w:r>
      <w:r w:rsidR="00081D03" w:rsidRPr="00182566">
        <w:rPr>
          <w:rFonts w:ascii="Georgia" w:hAnsi="Georgia"/>
        </w:rPr>
        <w:t xml:space="preserve">  </w:t>
      </w:r>
      <w:r w:rsidR="00840DE7" w:rsidRPr="00182566">
        <w:rPr>
          <w:rFonts w:ascii="Georgia" w:hAnsi="Georgia"/>
        </w:rPr>
        <w:t xml:space="preserve">He also said that </w:t>
      </w:r>
      <w:r w:rsidRPr="00182566">
        <w:rPr>
          <w:rFonts w:ascii="Georgia" w:hAnsi="Georgia"/>
        </w:rPr>
        <w:t xml:space="preserve">the Respondents had taken too long to replace </w:t>
      </w:r>
      <w:r w:rsidR="00840DE7" w:rsidRPr="00182566">
        <w:rPr>
          <w:rFonts w:ascii="Georgia" w:hAnsi="Georgia"/>
        </w:rPr>
        <w:t>the</w:t>
      </w:r>
      <w:r w:rsidRPr="00182566">
        <w:rPr>
          <w:rFonts w:ascii="Georgia" w:hAnsi="Georgia"/>
        </w:rPr>
        <w:t xml:space="preserve"> lock on the outer door which had compromised the Applicants</w:t>
      </w:r>
      <w:r w:rsidR="00D95474">
        <w:rPr>
          <w:rFonts w:ascii="Georgia" w:hAnsi="Georgia"/>
        </w:rPr>
        <w:t>’</w:t>
      </w:r>
      <w:r w:rsidRPr="00182566">
        <w:rPr>
          <w:rFonts w:ascii="Georgia" w:hAnsi="Georgia"/>
        </w:rPr>
        <w:t xml:space="preserve"> security.  </w:t>
      </w:r>
    </w:p>
    <w:p w14:paraId="7FD9B890" w14:textId="4C645148" w:rsidR="009E17D9" w:rsidRPr="00182566" w:rsidRDefault="00840DE7" w:rsidP="00FD17F2">
      <w:pPr>
        <w:numPr>
          <w:ilvl w:val="0"/>
          <w:numId w:val="24"/>
        </w:numPr>
        <w:spacing w:after="160" w:line="278" w:lineRule="auto"/>
        <w:jc w:val="both"/>
        <w:rPr>
          <w:rFonts w:ascii="Georgia" w:hAnsi="Georgia"/>
        </w:rPr>
      </w:pPr>
      <w:r w:rsidRPr="00182566">
        <w:rPr>
          <w:rFonts w:ascii="Georgia" w:hAnsi="Georgia"/>
        </w:rPr>
        <w:t xml:space="preserve">Mr McGowan considered that the Respondents had failed to </w:t>
      </w:r>
      <w:r w:rsidR="00F7244F">
        <w:rPr>
          <w:rFonts w:ascii="Georgia" w:hAnsi="Georgia"/>
        </w:rPr>
        <w:t>adequately</w:t>
      </w:r>
      <w:r w:rsidR="009E17D9" w:rsidRPr="00182566">
        <w:rPr>
          <w:rFonts w:ascii="Georgia" w:hAnsi="Georgia"/>
        </w:rPr>
        <w:t xml:space="preserve"> compensate the Applicants </w:t>
      </w:r>
      <w:r w:rsidRPr="00182566">
        <w:rPr>
          <w:rFonts w:ascii="Georgia" w:hAnsi="Georgia"/>
        </w:rPr>
        <w:t xml:space="preserve">for </w:t>
      </w:r>
      <w:r w:rsidR="009E17D9" w:rsidRPr="00182566">
        <w:rPr>
          <w:rFonts w:ascii="Georgia" w:hAnsi="Georgia"/>
        </w:rPr>
        <w:t>the costs of</w:t>
      </w:r>
      <w:r w:rsidR="00081D03" w:rsidRPr="00182566">
        <w:rPr>
          <w:rFonts w:ascii="Georgia" w:hAnsi="Georgia"/>
        </w:rPr>
        <w:t xml:space="preserve"> the</w:t>
      </w:r>
      <w:r w:rsidR="009E17D9" w:rsidRPr="00182566">
        <w:rPr>
          <w:rFonts w:ascii="Georgia" w:hAnsi="Georgia"/>
        </w:rPr>
        <w:t xml:space="preserve"> communal electricity </w:t>
      </w:r>
      <w:r w:rsidR="00F7244F">
        <w:rPr>
          <w:rFonts w:ascii="Georgia" w:hAnsi="Georgia"/>
        </w:rPr>
        <w:t>for which they had paid.</w:t>
      </w:r>
    </w:p>
    <w:p w14:paraId="2410AED7" w14:textId="2FA3EE98" w:rsidR="00936F4A" w:rsidRPr="00182566" w:rsidRDefault="00F7244F" w:rsidP="00FD17F2">
      <w:pPr>
        <w:numPr>
          <w:ilvl w:val="0"/>
          <w:numId w:val="24"/>
        </w:numPr>
        <w:spacing w:after="160" w:line="278" w:lineRule="auto"/>
        <w:jc w:val="both"/>
        <w:rPr>
          <w:rFonts w:ascii="Georgia" w:hAnsi="Georgia"/>
        </w:rPr>
      </w:pPr>
      <w:r>
        <w:rPr>
          <w:rFonts w:ascii="Georgia" w:hAnsi="Georgia"/>
        </w:rPr>
        <w:t>Having</w:t>
      </w:r>
      <w:r w:rsidR="00936F4A" w:rsidRPr="00182566">
        <w:rPr>
          <w:rFonts w:ascii="Georgia" w:hAnsi="Georgia"/>
        </w:rPr>
        <w:t xml:space="preserve"> considered all of this evidence</w:t>
      </w:r>
      <w:r>
        <w:rPr>
          <w:rFonts w:ascii="Georgia" w:hAnsi="Georgia"/>
        </w:rPr>
        <w:t>,</w:t>
      </w:r>
      <w:r w:rsidR="00936F4A" w:rsidRPr="00182566">
        <w:rPr>
          <w:rFonts w:ascii="Georgia" w:hAnsi="Georgia"/>
        </w:rPr>
        <w:t xml:space="preserve"> </w:t>
      </w:r>
      <w:r>
        <w:rPr>
          <w:rFonts w:ascii="Georgia" w:hAnsi="Georgia"/>
        </w:rPr>
        <w:t xml:space="preserve">the Tribunal </w:t>
      </w:r>
      <w:r w:rsidR="00936F4A" w:rsidRPr="00182566">
        <w:rPr>
          <w:rFonts w:ascii="Georgia" w:hAnsi="Georgia"/>
        </w:rPr>
        <w:t xml:space="preserve">concluded that </w:t>
      </w:r>
      <w:r w:rsidR="00081D03" w:rsidRPr="00182566">
        <w:rPr>
          <w:rFonts w:ascii="Georgia" w:hAnsi="Georgia"/>
        </w:rPr>
        <w:t>although</w:t>
      </w:r>
      <w:r w:rsidR="00936F4A" w:rsidRPr="00182566">
        <w:rPr>
          <w:rFonts w:ascii="Georgia" w:hAnsi="Georgia"/>
        </w:rPr>
        <w:t xml:space="preserve"> repairs may </w:t>
      </w:r>
      <w:r w:rsidR="00211C14" w:rsidRPr="00182566">
        <w:rPr>
          <w:rFonts w:ascii="Georgia" w:hAnsi="Georgia"/>
        </w:rPr>
        <w:t>have taken longer to carry out and complete than the Applicants desired</w:t>
      </w:r>
      <w:r w:rsidR="00936F4A" w:rsidRPr="00182566">
        <w:rPr>
          <w:rFonts w:ascii="Georgia" w:hAnsi="Georgia"/>
        </w:rPr>
        <w:t xml:space="preserve">, the evidence </w:t>
      </w:r>
      <w:r>
        <w:rPr>
          <w:rFonts w:ascii="Georgia" w:hAnsi="Georgia"/>
        </w:rPr>
        <w:t>revealed that there was</w:t>
      </w:r>
      <w:r w:rsidR="00936F4A" w:rsidRPr="00182566">
        <w:rPr>
          <w:rFonts w:ascii="Georgia" w:hAnsi="Georgia"/>
        </w:rPr>
        <w:t xml:space="preserve"> a continuing dialogue between the parties throughout the tenancies.  The Applicants chose to renew the </w:t>
      </w:r>
      <w:r w:rsidR="00081D03" w:rsidRPr="00182566">
        <w:rPr>
          <w:rFonts w:ascii="Georgia" w:hAnsi="Georgia"/>
        </w:rPr>
        <w:t xml:space="preserve"> first </w:t>
      </w:r>
      <w:r w:rsidR="00936F4A" w:rsidRPr="00182566">
        <w:rPr>
          <w:rFonts w:ascii="Georgia" w:hAnsi="Georgia"/>
        </w:rPr>
        <w:t>tenancy and negotiated</w:t>
      </w:r>
      <w:r w:rsidR="00081D03" w:rsidRPr="00182566">
        <w:rPr>
          <w:rFonts w:ascii="Georgia" w:hAnsi="Georgia"/>
        </w:rPr>
        <w:t xml:space="preserve"> payment of the </w:t>
      </w:r>
      <w:r w:rsidR="00936F4A" w:rsidRPr="00182566">
        <w:rPr>
          <w:rFonts w:ascii="Georgia" w:hAnsi="Georgia"/>
        </w:rPr>
        <w:t xml:space="preserve">same rent during the second </w:t>
      </w:r>
      <w:r w:rsidR="00081D03" w:rsidRPr="00182566">
        <w:rPr>
          <w:rFonts w:ascii="Georgia" w:hAnsi="Georgia"/>
        </w:rPr>
        <w:t>tenancy</w:t>
      </w:r>
      <w:r w:rsidR="00936F4A" w:rsidRPr="00182566">
        <w:rPr>
          <w:rFonts w:ascii="Georgia" w:hAnsi="Georgia"/>
        </w:rPr>
        <w:t xml:space="preserve">.  The Landlord </w:t>
      </w:r>
      <w:r w:rsidR="00397034">
        <w:rPr>
          <w:rFonts w:ascii="Georgia" w:hAnsi="Georgia"/>
        </w:rPr>
        <w:t>had made</w:t>
      </w:r>
      <w:r w:rsidR="00936F4A" w:rsidRPr="00182566">
        <w:rPr>
          <w:rFonts w:ascii="Georgia" w:hAnsi="Georgia"/>
        </w:rPr>
        <w:t xml:space="preserve"> improvements </w:t>
      </w:r>
      <w:r w:rsidR="00397034">
        <w:rPr>
          <w:rFonts w:ascii="Georgia" w:hAnsi="Georgia"/>
        </w:rPr>
        <w:t xml:space="preserve">by </w:t>
      </w:r>
      <w:r w:rsidR="00936F4A" w:rsidRPr="00182566">
        <w:rPr>
          <w:rFonts w:ascii="Georgia" w:hAnsi="Georgia"/>
        </w:rPr>
        <w:t xml:space="preserve">installing an intercom system.  For those reasons the Tribunal does not accept that </w:t>
      </w:r>
      <w:r w:rsidR="00081D03" w:rsidRPr="00182566">
        <w:rPr>
          <w:rFonts w:ascii="Georgia" w:hAnsi="Georgia"/>
        </w:rPr>
        <w:t>the</w:t>
      </w:r>
      <w:r w:rsidR="0077070F" w:rsidRPr="00182566">
        <w:rPr>
          <w:rFonts w:ascii="Georgia" w:hAnsi="Georgia"/>
        </w:rPr>
        <w:t xml:space="preserve"> landlord’s </w:t>
      </w:r>
      <w:r w:rsidR="00936F4A" w:rsidRPr="00182566">
        <w:rPr>
          <w:rFonts w:ascii="Georgia" w:hAnsi="Georgia"/>
        </w:rPr>
        <w:t>conduct should influence its decision.</w:t>
      </w:r>
    </w:p>
    <w:p w14:paraId="7535E462" w14:textId="3F0505F9" w:rsidR="00927E5D" w:rsidRPr="00182566" w:rsidRDefault="0042321C" w:rsidP="00FD17F2">
      <w:pPr>
        <w:numPr>
          <w:ilvl w:val="0"/>
          <w:numId w:val="24"/>
        </w:numPr>
        <w:spacing w:after="160" w:line="278" w:lineRule="auto"/>
        <w:jc w:val="both"/>
        <w:rPr>
          <w:rFonts w:ascii="Georgia" w:hAnsi="Georgia"/>
        </w:rPr>
      </w:pPr>
      <w:r w:rsidRPr="00182566">
        <w:rPr>
          <w:rFonts w:ascii="Georgia" w:hAnsi="Georgia"/>
        </w:rPr>
        <w:lastRenderedPageBreak/>
        <w:t xml:space="preserve">The Respondents sought to rely upon the decision in </w:t>
      </w:r>
      <w:r w:rsidR="005943A5" w:rsidRPr="00182566">
        <w:rPr>
          <w:rFonts w:ascii="Georgia" w:hAnsi="Georgia"/>
          <w:b/>
          <w:bCs/>
        </w:rPr>
        <w:t>D’Costa</w:t>
      </w:r>
      <w:r w:rsidRPr="00182566">
        <w:rPr>
          <w:rFonts w:ascii="Georgia" w:hAnsi="Georgia"/>
        </w:rPr>
        <w:t xml:space="preserve"> to assist its defence.  In that case a Landlord had relied upon assurances provided by a </w:t>
      </w:r>
      <w:r w:rsidR="00843923" w:rsidRPr="00182566">
        <w:rPr>
          <w:rFonts w:ascii="Georgia" w:hAnsi="Georgia"/>
        </w:rPr>
        <w:t>council employee who had offered to update the Landlord</w:t>
      </w:r>
      <w:r w:rsidR="00A026F3" w:rsidRPr="00182566">
        <w:rPr>
          <w:rFonts w:ascii="Georgia" w:hAnsi="Georgia"/>
        </w:rPr>
        <w:t xml:space="preserve"> by email</w:t>
      </w:r>
      <w:r w:rsidR="0093339F" w:rsidRPr="00182566">
        <w:rPr>
          <w:rFonts w:ascii="Georgia" w:hAnsi="Georgia"/>
        </w:rPr>
        <w:t>,</w:t>
      </w:r>
      <w:r w:rsidR="00843923" w:rsidRPr="00182566">
        <w:rPr>
          <w:rFonts w:ascii="Georgia" w:hAnsi="Georgia"/>
        </w:rPr>
        <w:t xml:space="preserve"> but who had not</w:t>
      </w:r>
      <w:r w:rsidR="00927E5D" w:rsidRPr="00182566">
        <w:rPr>
          <w:rFonts w:ascii="Georgia" w:hAnsi="Georgia"/>
        </w:rPr>
        <w:t>.</w:t>
      </w:r>
      <w:r w:rsidR="00843923" w:rsidRPr="00182566">
        <w:rPr>
          <w:rFonts w:ascii="Georgia" w:hAnsi="Georgia"/>
        </w:rPr>
        <w:t xml:space="preserve">  Mr McGowan sought to distinguish that case from the facts in these proceedings. </w:t>
      </w:r>
      <w:r w:rsidR="00840DE7" w:rsidRPr="00182566">
        <w:rPr>
          <w:rFonts w:ascii="Georgia" w:hAnsi="Georgia"/>
        </w:rPr>
        <w:t>He said</w:t>
      </w:r>
      <w:r w:rsidR="00927E5D" w:rsidRPr="00182566">
        <w:rPr>
          <w:rFonts w:ascii="Georgia" w:hAnsi="Georgia"/>
        </w:rPr>
        <w:t xml:space="preserve"> </w:t>
      </w:r>
      <w:r w:rsidR="00843923" w:rsidRPr="00182566">
        <w:rPr>
          <w:rFonts w:ascii="Georgia" w:hAnsi="Georgia"/>
        </w:rPr>
        <w:t>there is no suggestion that the Respondents relied upon anything</w:t>
      </w:r>
      <w:r w:rsidR="000A0B85" w:rsidRPr="00182566">
        <w:rPr>
          <w:rFonts w:ascii="Georgia" w:hAnsi="Georgia"/>
        </w:rPr>
        <w:t>,</w:t>
      </w:r>
      <w:r w:rsidR="00843923" w:rsidRPr="00182566">
        <w:rPr>
          <w:rFonts w:ascii="Georgia" w:hAnsi="Georgia"/>
        </w:rPr>
        <w:t xml:space="preserve"> other than th</w:t>
      </w:r>
      <w:r w:rsidR="0093339F" w:rsidRPr="00182566">
        <w:rPr>
          <w:rFonts w:ascii="Georgia" w:hAnsi="Georgia"/>
        </w:rPr>
        <w:t>eir own</w:t>
      </w:r>
      <w:r w:rsidR="00843923" w:rsidRPr="00182566">
        <w:rPr>
          <w:rFonts w:ascii="Georgia" w:hAnsi="Georgia"/>
        </w:rPr>
        <w:t xml:space="preserve"> conclusions</w:t>
      </w:r>
      <w:r w:rsidR="000A0B85" w:rsidRPr="00182566">
        <w:rPr>
          <w:rFonts w:ascii="Georgia" w:hAnsi="Georgia"/>
        </w:rPr>
        <w:t>,</w:t>
      </w:r>
      <w:r w:rsidR="00843923" w:rsidRPr="00182566">
        <w:rPr>
          <w:rFonts w:ascii="Georgia" w:hAnsi="Georgia"/>
        </w:rPr>
        <w:t xml:space="preserve"> following Mr Collins checking the </w:t>
      </w:r>
      <w:r w:rsidR="00A978FF" w:rsidRPr="00182566">
        <w:rPr>
          <w:rFonts w:ascii="Georgia" w:hAnsi="Georgia"/>
        </w:rPr>
        <w:t xml:space="preserve">Bristol City Council </w:t>
      </w:r>
      <w:r w:rsidR="00843923" w:rsidRPr="00182566">
        <w:rPr>
          <w:rFonts w:ascii="Georgia" w:hAnsi="Georgia"/>
        </w:rPr>
        <w:t xml:space="preserve">website.  </w:t>
      </w:r>
    </w:p>
    <w:p w14:paraId="7B41DB93" w14:textId="3FAA8C3A" w:rsidR="00A978FF" w:rsidRPr="00182566" w:rsidRDefault="00927E5D" w:rsidP="00FD17F2">
      <w:pPr>
        <w:numPr>
          <w:ilvl w:val="0"/>
          <w:numId w:val="24"/>
        </w:numPr>
        <w:spacing w:after="160" w:line="278" w:lineRule="auto"/>
        <w:jc w:val="both"/>
        <w:rPr>
          <w:rFonts w:ascii="Georgia" w:hAnsi="Georgia"/>
        </w:rPr>
      </w:pPr>
      <w:r w:rsidRPr="00182566">
        <w:rPr>
          <w:rFonts w:ascii="Georgia" w:hAnsi="Georgia"/>
        </w:rPr>
        <w:t>Mr Collins</w:t>
      </w:r>
      <w:r w:rsidR="00843923" w:rsidRPr="00182566">
        <w:rPr>
          <w:rFonts w:ascii="Georgia" w:hAnsi="Georgia"/>
        </w:rPr>
        <w:t xml:space="preserve"> was unable to say when or how many times he </w:t>
      </w:r>
      <w:r w:rsidR="0093339F" w:rsidRPr="00182566">
        <w:rPr>
          <w:rFonts w:ascii="Georgia" w:hAnsi="Georgia"/>
        </w:rPr>
        <w:t>checked th</w:t>
      </w:r>
      <w:r w:rsidR="00714F64" w:rsidRPr="00182566">
        <w:rPr>
          <w:rFonts w:ascii="Georgia" w:hAnsi="Georgia"/>
        </w:rPr>
        <w:t xml:space="preserve">at </w:t>
      </w:r>
      <w:r w:rsidR="0093339F" w:rsidRPr="00182566">
        <w:rPr>
          <w:rFonts w:ascii="Georgia" w:hAnsi="Georgia"/>
        </w:rPr>
        <w:t>website</w:t>
      </w:r>
      <w:r w:rsidR="00843923" w:rsidRPr="00182566">
        <w:rPr>
          <w:rFonts w:ascii="Georgia" w:hAnsi="Georgia"/>
        </w:rPr>
        <w:t xml:space="preserve">.  He </w:t>
      </w:r>
      <w:r w:rsidRPr="00182566">
        <w:rPr>
          <w:rFonts w:ascii="Georgia" w:hAnsi="Georgia"/>
        </w:rPr>
        <w:t xml:space="preserve">accepted </w:t>
      </w:r>
      <w:r w:rsidR="00843923" w:rsidRPr="00182566">
        <w:rPr>
          <w:rFonts w:ascii="Georgia" w:hAnsi="Georgia"/>
        </w:rPr>
        <w:t xml:space="preserve">that he had not relied upon </w:t>
      </w:r>
      <w:r w:rsidRPr="00182566">
        <w:rPr>
          <w:rFonts w:ascii="Georgia" w:hAnsi="Georgia"/>
        </w:rPr>
        <w:t xml:space="preserve">assurances from </w:t>
      </w:r>
      <w:r w:rsidR="00843923" w:rsidRPr="00182566">
        <w:rPr>
          <w:rFonts w:ascii="Georgia" w:hAnsi="Georgia"/>
        </w:rPr>
        <w:t>his letting agent. The video evidence</w:t>
      </w:r>
      <w:r w:rsidRPr="00182566">
        <w:rPr>
          <w:rFonts w:ascii="Georgia" w:hAnsi="Georgia"/>
        </w:rPr>
        <w:t xml:space="preserve"> which he </w:t>
      </w:r>
      <w:r w:rsidR="00843923" w:rsidRPr="00182566">
        <w:rPr>
          <w:rFonts w:ascii="Georgia" w:hAnsi="Georgia"/>
        </w:rPr>
        <w:t>supplied</w:t>
      </w:r>
      <w:r w:rsidR="00A978FF" w:rsidRPr="00182566">
        <w:rPr>
          <w:rFonts w:ascii="Georgia" w:hAnsi="Georgia"/>
        </w:rPr>
        <w:t xml:space="preserve"> to the Tribunal</w:t>
      </w:r>
      <w:r w:rsidR="00843923" w:rsidRPr="00182566">
        <w:rPr>
          <w:rFonts w:ascii="Georgia" w:hAnsi="Georgia"/>
        </w:rPr>
        <w:t xml:space="preserve"> relates </w:t>
      </w:r>
      <w:r w:rsidRPr="00182566">
        <w:rPr>
          <w:rFonts w:ascii="Georgia" w:hAnsi="Georgia"/>
        </w:rPr>
        <w:t xml:space="preserve">to a  check of the website </w:t>
      </w:r>
      <w:r w:rsidR="00A978FF" w:rsidRPr="00182566">
        <w:rPr>
          <w:rFonts w:ascii="Georgia" w:hAnsi="Georgia"/>
        </w:rPr>
        <w:t xml:space="preserve">by him </w:t>
      </w:r>
      <w:r w:rsidRPr="00182566">
        <w:rPr>
          <w:rFonts w:ascii="Georgia" w:hAnsi="Georgia"/>
        </w:rPr>
        <w:t>on 24 August 2024,  by which  date the</w:t>
      </w:r>
      <w:r w:rsidR="00A978FF" w:rsidRPr="00182566">
        <w:rPr>
          <w:rFonts w:ascii="Georgia" w:hAnsi="Georgia"/>
        </w:rPr>
        <w:t xml:space="preserve"> original Additional Licen</w:t>
      </w:r>
      <w:r w:rsidR="00081D03" w:rsidRPr="00182566">
        <w:rPr>
          <w:rFonts w:ascii="Georgia" w:hAnsi="Georgia"/>
        </w:rPr>
        <w:t>s</w:t>
      </w:r>
      <w:r w:rsidR="00A978FF" w:rsidRPr="00182566">
        <w:rPr>
          <w:rFonts w:ascii="Georgia" w:hAnsi="Georgia"/>
        </w:rPr>
        <w:t xml:space="preserve">ing </w:t>
      </w:r>
      <w:r w:rsidRPr="00182566">
        <w:rPr>
          <w:rFonts w:ascii="Georgia" w:hAnsi="Georgia"/>
        </w:rPr>
        <w:t xml:space="preserve">5 year designation made by Bristol City Council in 2019 had expired.  However,  two new licensing schemes  came into effect on 6 August 2024 being a citywide Additional licensing scheme for HMOs and a selective licensing scheme covering most other privately rented properties in specified wards. </w:t>
      </w:r>
    </w:p>
    <w:p w14:paraId="57706C28" w14:textId="6F18DEEB" w:rsidR="00A978FF" w:rsidRPr="00182566" w:rsidRDefault="000A0B85" w:rsidP="00FD17F2">
      <w:pPr>
        <w:numPr>
          <w:ilvl w:val="0"/>
          <w:numId w:val="24"/>
        </w:numPr>
        <w:spacing w:after="160" w:line="278" w:lineRule="auto"/>
        <w:jc w:val="both"/>
        <w:rPr>
          <w:rFonts w:ascii="Georgia" w:hAnsi="Georgia"/>
        </w:rPr>
      </w:pPr>
      <w:r w:rsidRPr="00182566">
        <w:rPr>
          <w:rFonts w:ascii="Georgia" w:hAnsi="Georgia"/>
        </w:rPr>
        <w:t xml:space="preserve">Having checked the </w:t>
      </w:r>
      <w:r w:rsidR="00927E5D" w:rsidRPr="00182566">
        <w:rPr>
          <w:rFonts w:ascii="Georgia" w:hAnsi="Georgia"/>
        </w:rPr>
        <w:t xml:space="preserve"> </w:t>
      </w:r>
      <w:r w:rsidR="00A978FF" w:rsidRPr="00182566">
        <w:rPr>
          <w:rFonts w:ascii="Georgia" w:hAnsi="Georgia"/>
        </w:rPr>
        <w:t xml:space="preserve">Bristol City Council </w:t>
      </w:r>
      <w:r w:rsidR="00927E5D" w:rsidRPr="00182566">
        <w:rPr>
          <w:rFonts w:ascii="Georgia" w:hAnsi="Georgia"/>
        </w:rPr>
        <w:t>website</w:t>
      </w:r>
      <w:r w:rsidR="0037768E" w:rsidRPr="00182566">
        <w:rPr>
          <w:rFonts w:ascii="Georgia" w:hAnsi="Georgia"/>
        </w:rPr>
        <w:t xml:space="preserve"> after the Hearing</w:t>
      </w:r>
      <w:r w:rsidR="002554B2" w:rsidRPr="00182566">
        <w:rPr>
          <w:rFonts w:ascii="Georgia" w:hAnsi="Georgia"/>
        </w:rPr>
        <w:t>,</w:t>
      </w:r>
      <w:r w:rsidR="0037768E" w:rsidRPr="00182566">
        <w:rPr>
          <w:rFonts w:ascii="Georgia" w:hAnsi="Georgia"/>
        </w:rPr>
        <w:t xml:space="preserve"> the Tribunal found that it </w:t>
      </w:r>
      <w:r w:rsidR="00927E5D" w:rsidRPr="00182566">
        <w:rPr>
          <w:rFonts w:ascii="Georgia" w:hAnsi="Georgia"/>
        </w:rPr>
        <w:t>currently contains a clear statement that “Additional Licensing includes a house or flat that is occupied by 3 or 4 unrelated people who live together and share some facilities including kitchens and/or bathrooms. [</w:t>
      </w:r>
      <w:hyperlink r:id="rId16" w:history="1">
        <w:r w:rsidR="00927E5D" w:rsidRPr="00182566">
          <w:rPr>
            <w:rStyle w:val="Hyperlink"/>
            <w:rFonts w:ascii="Georgia" w:hAnsi="Georgia"/>
          </w:rPr>
          <w:t>Check if you need a property licence and apply (bristol.gov.uk)</w:t>
        </w:r>
      </w:hyperlink>
      <w:r w:rsidR="00927E5D" w:rsidRPr="00182566">
        <w:rPr>
          <w:rFonts w:ascii="Georgia" w:hAnsi="Georgia"/>
        </w:rPr>
        <w:t>]</w:t>
      </w:r>
      <w:r w:rsidR="00D24159" w:rsidRPr="00182566">
        <w:rPr>
          <w:rFonts w:ascii="Georgia" w:hAnsi="Georgia"/>
        </w:rPr>
        <w:t xml:space="preserve">.  </w:t>
      </w:r>
    </w:p>
    <w:p w14:paraId="0B9A2065" w14:textId="03E7CFBB" w:rsidR="00927E5D" w:rsidRPr="00182566" w:rsidRDefault="00936F4A" w:rsidP="00FD17F2">
      <w:pPr>
        <w:numPr>
          <w:ilvl w:val="0"/>
          <w:numId w:val="24"/>
        </w:numPr>
        <w:spacing w:after="160" w:line="278" w:lineRule="auto"/>
        <w:jc w:val="both"/>
        <w:rPr>
          <w:rFonts w:ascii="Georgia" w:hAnsi="Georgia"/>
        </w:rPr>
      </w:pPr>
      <w:r w:rsidRPr="00182566">
        <w:rPr>
          <w:rFonts w:ascii="Georgia" w:hAnsi="Georgia"/>
        </w:rPr>
        <w:t>To some</w:t>
      </w:r>
      <w:r w:rsidR="00D24159" w:rsidRPr="00182566">
        <w:rPr>
          <w:rFonts w:ascii="Georgia" w:hAnsi="Georgia"/>
        </w:rPr>
        <w:t xml:space="preserve"> extent </w:t>
      </w:r>
      <w:r w:rsidRPr="00182566">
        <w:rPr>
          <w:rFonts w:ascii="Georgia" w:hAnsi="Georgia"/>
        </w:rPr>
        <w:t xml:space="preserve">this information </w:t>
      </w:r>
      <w:r w:rsidR="00D24159" w:rsidRPr="00182566">
        <w:rPr>
          <w:rFonts w:ascii="Georgia" w:hAnsi="Georgia"/>
        </w:rPr>
        <w:t>conflict</w:t>
      </w:r>
      <w:r w:rsidRPr="00182566">
        <w:rPr>
          <w:rFonts w:ascii="Georgia" w:hAnsi="Georgia"/>
        </w:rPr>
        <w:t>s</w:t>
      </w:r>
      <w:r w:rsidR="00D24159" w:rsidRPr="00182566">
        <w:rPr>
          <w:rFonts w:ascii="Georgia" w:hAnsi="Georgia"/>
        </w:rPr>
        <w:t xml:space="preserve"> with evidence from Mr McGowan who suggested that the new </w:t>
      </w:r>
      <w:r w:rsidR="00B60288" w:rsidRPr="00182566">
        <w:rPr>
          <w:rFonts w:ascii="Georgia" w:hAnsi="Georgia"/>
        </w:rPr>
        <w:t xml:space="preserve"> licen</w:t>
      </w:r>
      <w:r w:rsidR="008872FE" w:rsidRPr="00182566">
        <w:rPr>
          <w:rFonts w:ascii="Georgia" w:hAnsi="Georgia"/>
        </w:rPr>
        <w:t>s</w:t>
      </w:r>
      <w:r w:rsidR="00B60288" w:rsidRPr="00182566">
        <w:rPr>
          <w:rFonts w:ascii="Georgia" w:hAnsi="Georgia"/>
        </w:rPr>
        <w:t>ing regime was not in place on 24 August 2024.</w:t>
      </w:r>
    </w:p>
    <w:p w14:paraId="2A396BED" w14:textId="27E0F4C9" w:rsidR="00843923" w:rsidRPr="00182566" w:rsidRDefault="00843923" w:rsidP="00FD17F2">
      <w:pPr>
        <w:numPr>
          <w:ilvl w:val="0"/>
          <w:numId w:val="24"/>
        </w:numPr>
        <w:spacing w:after="160" w:line="278" w:lineRule="auto"/>
        <w:jc w:val="both"/>
        <w:rPr>
          <w:rFonts w:ascii="Georgia" w:hAnsi="Georgia"/>
        </w:rPr>
      </w:pPr>
      <w:r w:rsidRPr="00182566">
        <w:rPr>
          <w:rFonts w:ascii="Georgia" w:hAnsi="Georgia"/>
        </w:rPr>
        <w:t>However</w:t>
      </w:r>
      <w:r w:rsidR="00BE6D56" w:rsidRPr="00182566">
        <w:rPr>
          <w:rFonts w:ascii="Georgia" w:hAnsi="Georgia"/>
        </w:rPr>
        <w:t>,</w:t>
      </w:r>
      <w:r w:rsidRPr="00182566">
        <w:rPr>
          <w:rFonts w:ascii="Georgia" w:hAnsi="Georgia"/>
        </w:rPr>
        <w:t xml:space="preserve"> the Tribunal </w:t>
      </w:r>
      <w:r w:rsidR="0037768E" w:rsidRPr="00182566">
        <w:rPr>
          <w:rFonts w:ascii="Georgia" w:hAnsi="Georgia"/>
        </w:rPr>
        <w:t>ha</w:t>
      </w:r>
      <w:r w:rsidR="002554B2" w:rsidRPr="00182566">
        <w:rPr>
          <w:rFonts w:ascii="Georgia" w:hAnsi="Georgia"/>
        </w:rPr>
        <w:t>ve</w:t>
      </w:r>
      <w:r w:rsidR="0037768E" w:rsidRPr="00182566">
        <w:rPr>
          <w:rFonts w:ascii="Georgia" w:hAnsi="Georgia"/>
        </w:rPr>
        <w:t xml:space="preserve"> not given any</w:t>
      </w:r>
      <w:r w:rsidRPr="00182566">
        <w:rPr>
          <w:rFonts w:ascii="Georgia" w:hAnsi="Georgia"/>
        </w:rPr>
        <w:t xml:space="preserve"> weight to its </w:t>
      </w:r>
      <w:r w:rsidR="00BE6D56" w:rsidRPr="00182566">
        <w:rPr>
          <w:rFonts w:ascii="Georgia" w:hAnsi="Georgia"/>
        </w:rPr>
        <w:t xml:space="preserve">own </w:t>
      </w:r>
      <w:r w:rsidRPr="00182566">
        <w:rPr>
          <w:rFonts w:ascii="Georgia" w:hAnsi="Georgia"/>
        </w:rPr>
        <w:t xml:space="preserve">findings </w:t>
      </w:r>
      <w:r w:rsidR="00936F4A" w:rsidRPr="00182566">
        <w:rPr>
          <w:rFonts w:ascii="Georgia" w:hAnsi="Georgia"/>
        </w:rPr>
        <w:t>because</w:t>
      </w:r>
      <w:r w:rsidR="00BE6D56" w:rsidRPr="00182566">
        <w:rPr>
          <w:rFonts w:ascii="Georgia" w:hAnsi="Georgia"/>
        </w:rPr>
        <w:t xml:space="preserve"> </w:t>
      </w:r>
      <w:r w:rsidRPr="00182566">
        <w:rPr>
          <w:rFonts w:ascii="Georgia" w:hAnsi="Georgia"/>
        </w:rPr>
        <w:t>there is no</w:t>
      </w:r>
      <w:r w:rsidR="00BE6D56" w:rsidRPr="00182566">
        <w:rPr>
          <w:rFonts w:ascii="Georgia" w:hAnsi="Georgia"/>
        </w:rPr>
        <w:t xml:space="preserve"> evidence</w:t>
      </w:r>
      <w:r w:rsidR="00936F4A" w:rsidRPr="00182566">
        <w:rPr>
          <w:rFonts w:ascii="Georgia" w:hAnsi="Georgia"/>
        </w:rPr>
        <w:t xml:space="preserve"> that</w:t>
      </w:r>
      <w:r w:rsidR="00D22FB3" w:rsidRPr="00182566">
        <w:rPr>
          <w:rFonts w:ascii="Georgia" w:hAnsi="Georgia"/>
        </w:rPr>
        <w:t xml:space="preserve"> the result of</w:t>
      </w:r>
      <w:r w:rsidRPr="00182566">
        <w:rPr>
          <w:rFonts w:ascii="Georgia" w:hAnsi="Georgia"/>
        </w:rPr>
        <w:t xml:space="preserve"> </w:t>
      </w:r>
      <w:r w:rsidR="00BE6D56" w:rsidRPr="00182566">
        <w:rPr>
          <w:rFonts w:ascii="Georgia" w:hAnsi="Georgia"/>
        </w:rPr>
        <w:t>a</w:t>
      </w:r>
      <w:r w:rsidR="00D22FB3" w:rsidRPr="00182566">
        <w:rPr>
          <w:rFonts w:ascii="Georgia" w:hAnsi="Georgia"/>
        </w:rPr>
        <w:t xml:space="preserve"> current </w:t>
      </w:r>
      <w:r w:rsidR="00BE6D56" w:rsidRPr="00182566">
        <w:rPr>
          <w:rFonts w:ascii="Georgia" w:hAnsi="Georgia"/>
        </w:rPr>
        <w:t xml:space="preserve"> search of </w:t>
      </w:r>
      <w:r w:rsidRPr="00182566">
        <w:rPr>
          <w:rFonts w:ascii="Georgia" w:hAnsi="Georgia"/>
        </w:rPr>
        <w:t xml:space="preserve">the </w:t>
      </w:r>
      <w:r w:rsidR="00B60288" w:rsidRPr="00182566">
        <w:rPr>
          <w:rFonts w:ascii="Georgia" w:hAnsi="Georgia"/>
        </w:rPr>
        <w:t xml:space="preserve">Bristol City Council </w:t>
      </w:r>
      <w:r w:rsidRPr="00182566">
        <w:rPr>
          <w:rFonts w:ascii="Georgia" w:hAnsi="Georgia"/>
        </w:rPr>
        <w:t xml:space="preserve">website </w:t>
      </w:r>
      <w:r w:rsidR="00BE6D56" w:rsidRPr="00182566">
        <w:rPr>
          <w:rFonts w:ascii="Georgia" w:hAnsi="Georgia"/>
        </w:rPr>
        <w:t>would d</w:t>
      </w:r>
      <w:r w:rsidRPr="00182566">
        <w:rPr>
          <w:rFonts w:ascii="Georgia" w:hAnsi="Georgia"/>
        </w:rPr>
        <w:t xml:space="preserve">eliver </w:t>
      </w:r>
      <w:r w:rsidR="00D22FB3" w:rsidRPr="00182566">
        <w:rPr>
          <w:rFonts w:ascii="Georgia" w:hAnsi="Georgia"/>
        </w:rPr>
        <w:t>the</w:t>
      </w:r>
      <w:r w:rsidRPr="00182566">
        <w:rPr>
          <w:rFonts w:ascii="Georgia" w:hAnsi="Georgia"/>
        </w:rPr>
        <w:t xml:space="preserve"> </w:t>
      </w:r>
      <w:r w:rsidR="00936F4A" w:rsidRPr="00182566">
        <w:rPr>
          <w:rFonts w:ascii="Georgia" w:hAnsi="Georgia"/>
        </w:rPr>
        <w:t>same result as</w:t>
      </w:r>
      <w:r w:rsidRPr="00182566">
        <w:rPr>
          <w:rFonts w:ascii="Georgia" w:hAnsi="Georgia"/>
        </w:rPr>
        <w:t xml:space="preserve"> Mr Collins</w:t>
      </w:r>
      <w:r w:rsidR="00FF5E28" w:rsidRPr="00182566">
        <w:rPr>
          <w:rFonts w:ascii="Georgia" w:hAnsi="Georgia"/>
        </w:rPr>
        <w:t>’s search</w:t>
      </w:r>
      <w:r w:rsidR="008872FE" w:rsidRPr="00182566">
        <w:rPr>
          <w:rFonts w:ascii="Georgia" w:hAnsi="Georgia"/>
        </w:rPr>
        <w:t xml:space="preserve"> on the date </w:t>
      </w:r>
      <w:r w:rsidRPr="00182566">
        <w:rPr>
          <w:rFonts w:ascii="Georgia" w:hAnsi="Georgia"/>
        </w:rPr>
        <w:t xml:space="preserve"> he recorded his video.</w:t>
      </w:r>
    </w:p>
    <w:p w14:paraId="1BC7056C" w14:textId="45ACBF8C" w:rsidR="00291B9D" w:rsidRPr="00182566" w:rsidRDefault="00BE6D56" w:rsidP="00FD17F2">
      <w:pPr>
        <w:numPr>
          <w:ilvl w:val="0"/>
          <w:numId w:val="24"/>
        </w:numPr>
        <w:spacing w:after="160" w:line="278" w:lineRule="auto"/>
        <w:jc w:val="both"/>
        <w:rPr>
          <w:rFonts w:ascii="Georgia" w:hAnsi="Georgia"/>
        </w:rPr>
      </w:pPr>
      <w:r w:rsidRPr="00182566">
        <w:rPr>
          <w:rFonts w:ascii="Georgia" w:hAnsi="Georgia"/>
        </w:rPr>
        <w:t>The Tribunal concluded</w:t>
      </w:r>
      <w:r w:rsidR="00FF5E28" w:rsidRPr="00182566">
        <w:rPr>
          <w:rFonts w:ascii="Georgia" w:hAnsi="Georgia"/>
        </w:rPr>
        <w:t xml:space="preserve">, </w:t>
      </w:r>
      <w:r w:rsidR="00291B9D" w:rsidRPr="00182566">
        <w:rPr>
          <w:rFonts w:ascii="Georgia" w:hAnsi="Georgia"/>
        </w:rPr>
        <w:t xml:space="preserve">having made an objective analysis of </w:t>
      </w:r>
      <w:r w:rsidR="00FF5E28" w:rsidRPr="00182566">
        <w:rPr>
          <w:rFonts w:ascii="Georgia" w:hAnsi="Georgia"/>
        </w:rPr>
        <w:t xml:space="preserve"> the facts before it</w:t>
      </w:r>
      <w:r w:rsidR="00E2085D" w:rsidRPr="00182566">
        <w:rPr>
          <w:rFonts w:ascii="Georgia" w:hAnsi="Georgia"/>
        </w:rPr>
        <w:t>,</w:t>
      </w:r>
      <w:r w:rsidRPr="00182566">
        <w:rPr>
          <w:rFonts w:ascii="Georgia" w:hAnsi="Georgia"/>
        </w:rPr>
        <w:t xml:space="preserve"> that it does not accept that the Respondent has a defence of reasonable excuse.  </w:t>
      </w:r>
    </w:p>
    <w:p w14:paraId="02250337" w14:textId="40908823" w:rsidR="006B1CCE" w:rsidRPr="00182566" w:rsidRDefault="00BE6D56" w:rsidP="00FD17F2">
      <w:pPr>
        <w:numPr>
          <w:ilvl w:val="0"/>
          <w:numId w:val="24"/>
        </w:numPr>
        <w:spacing w:after="160" w:line="278" w:lineRule="auto"/>
        <w:jc w:val="both"/>
        <w:rPr>
          <w:rFonts w:ascii="Georgia" w:hAnsi="Georgia"/>
        </w:rPr>
      </w:pPr>
      <w:r w:rsidRPr="00182566">
        <w:rPr>
          <w:rFonts w:ascii="Georgia" w:hAnsi="Georgia"/>
        </w:rPr>
        <w:t>The property was subject to the Additional Licen</w:t>
      </w:r>
      <w:r w:rsidR="008872FE" w:rsidRPr="00182566">
        <w:rPr>
          <w:rFonts w:ascii="Georgia" w:hAnsi="Georgia"/>
        </w:rPr>
        <w:t>s</w:t>
      </w:r>
      <w:r w:rsidRPr="00182566">
        <w:rPr>
          <w:rFonts w:ascii="Georgia" w:hAnsi="Georgia"/>
        </w:rPr>
        <w:t xml:space="preserve">ing Regime on </w:t>
      </w:r>
      <w:r w:rsidR="00E2085D" w:rsidRPr="00182566">
        <w:rPr>
          <w:rFonts w:ascii="Georgia" w:hAnsi="Georgia"/>
        </w:rPr>
        <w:t>25</w:t>
      </w:r>
      <w:r w:rsidRPr="00182566">
        <w:rPr>
          <w:rFonts w:ascii="Georgia" w:hAnsi="Georgia"/>
        </w:rPr>
        <w:t xml:space="preserve"> </w:t>
      </w:r>
      <w:r w:rsidR="002C6F5F" w:rsidRPr="00182566">
        <w:rPr>
          <w:rFonts w:ascii="Georgia" w:hAnsi="Georgia"/>
        </w:rPr>
        <w:t>February</w:t>
      </w:r>
      <w:r w:rsidRPr="00182566">
        <w:rPr>
          <w:rFonts w:ascii="Georgia" w:hAnsi="Georgia"/>
        </w:rPr>
        <w:t xml:space="preserve"> </w:t>
      </w:r>
      <w:r w:rsidR="002C6F5F" w:rsidRPr="00182566">
        <w:rPr>
          <w:rFonts w:ascii="Georgia" w:hAnsi="Georgia"/>
        </w:rPr>
        <w:t>2022</w:t>
      </w:r>
      <w:r w:rsidR="00451634" w:rsidRPr="00182566">
        <w:rPr>
          <w:rFonts w:ascii="Georgia" w:hAnsi="Georgia"/>
        </w:rPr>
        <w:t xml:space="preserve"> (</w:t>
      </w:r>
      <w:r w:rsidR="006B1CCE" w:rsidRPr="00182566">
        <w:rPr>
          <w:rFonts w:ascii="Georgia" w:hAnsi="Georgia"/>
        </w:rPr>
        <w:t xml:space="preserve">the start </w:t>
      </w:r>
      <w:r w:rsidR="002C6F5F" w:rsidRPr="00182566">
        <w:rPr>
          <w:rFonts w:ascii="Georgia" w:hAnsi="Georgia"/>
        </w:rPr>
        <w:t xml:space="preserve"> of the 2022 Tenancy</w:t>
      </w:r>
      <w:r w:rsidR="00451634" w:rsidRPr="00182566">
        <w:rPr>
          <w:rFonts w:ascii="Georgia" w:hAnsi="Georgia"/>
        </w:rPr>
        <w:t>)</w:t>
      </w:r>
      <w:r w:rsidR="002C6F5F" w:rsidRPr="00182566">
        <w:rPr>
          <w:rFonts w:ascii="Georgia" w:hAnsi="Georgia"/>
        </w:rPr>
        <w:t xml:space="preserve">.  </w:t>
      </w:r>
    </w:p>
    <w:p w14:paraId="6490ED05" w14:textId="0221ABDF" w:rsidR="00FF0924" w:rsidRPr="00182566" w:rsidRDefault="006B1CCE" w:rsidP="00FD17F2">
      <w:pPr>
        <w:numPr>
          <w:ilvl w:val="0"/>
          <w:numId w:val="24"/>
        </w:numPr>
        <w:spacing w:after="160" w:line="278" w:lineRule="auto"/>
        <w:jc w:val="both"/>
        <w:rPr>
          <w:rFonts w:ascii="Georgia" w:hAnsi="Georgia"/>
        </w:rPr>
      </w:pPr>
      <w:r w:rsidRPr="00182566">
        <w:rPr>
          <w:rFonts w:ascii="Georgia" w:hAnsi="Georgia"/>
        </w:rPr>
        <w:t xml:space="preserve">Although </w:t>
      </w:r>
      <w:r w:rsidR="002C6F5F" w:rsidRPr="00182566">
        <w:rPr>
          <w:rFonts w:ascii="Georgia" w:hAnsi="Georgia"/>
        </w:rPr>
        <w:t xml:space="preserve">Mr Collins stated that </w:t>
      </w:r>
      <w:r w:rsidR="00B60288" w:rsidRPr="00182566">
        <w:rPr>
          <w:rFonts w:ascii="Georgia" w:hAnsi="Georgia"/>
        </w:rPr>
        <w:t>when</w:t>
      </w:r>
      <w:r w:rsidR="006331BB" w:rsidRPr="00182566">
        <w:rPr>
          <w:rFonts w:ascii="Georgia" w:hAnsi="Georgia"/>
        </w:rPr>
        <w:t xml:space="preserve"> he checked the Bristol City Council website “the website told me this address did not require any licence”  </w:t>
      </w:r>
      <w:r w:rsidRPr="00182566">
        <w:rPr>
          <w:rFonts w:ascii="Georgia" w:hAnsi="Georgia"/>
        </w:rPr>
        <w:t xml:space="preserve"> and </w:t>
      </w:r>
      <w:r w:rsidR="006331BB" w:rsidRPr="00182566">
        <w:rPr>
          <w:rFonts w:ascii="Georgia" w:hAnsi="Georgia"/>
        </w:rPr>
        <w:t>“I am certain that I did check a few times during the period of this claim”</w:t>
      </w:r>
      <w:r w:rsidR="00472693" w:rsidRPr="00182566">
        <w:rPr>
          <w:rFonts w:ascii="Georgia" w:hAnsi="Georgia"/>
        </w:rPr>
        <w:t>,</w:t>
      </w:r>
      <w:r w:rsidRPr="00182566">
        <w:rPr>
          <w:rFonts w:ascii="Georgia" w:hAnsi="Georgia"/>
        </w:rPr>
        <w:t xml:space="preserve"> the </w:t>
      </w:r>
      <w:r w:rsidR="00B36B69" w:rsidRPr="00182566">
        <w:rPr>
          <w:rFonts w:ascii="Georgia" w:hAnsi="Georgia"/>
        </w:rPr>
        <w:t xml:space="preserve">Respondents </w:t>
      </w:r>
      <w:r w:rsidR="00FF5E28" w:rsidRPr="00182566">
        <w:rPr>
          <w:rFonts w:ascii="Georgia" w:hAnsi="Georgia"/>
        </w:rPr>
        <w:t>used a letting agent</w:t>
      </w:r>
      <w:r w:rsidR="00B36B69" w:rsidRPr="00182566">
        <w:rPr>
          <w:rFonts w:ascii="Georgia" w:hAnsi="Georgia"/>
        </w:rPr>
        <w:t xml:space="preserve"> to manage the Property albeit it is accepted that Bespoke acted alongside Mr Collins.  Mr Collins has not </w:t>
      </w:r>
      <w:r w:rsidR="00FF0924" w:rsidRPr="00182566">
        <w:rPr>
          <w:rFonts w:ascii="Georgia" w:hAnsi="Georgia"/>
        </w:rPr>
        <w:t>suggested that</w:t>
      </w:r>
      <w:r w:rsidR="004F0BF0" w:rsidRPr="00182566">
        <w:rPr>
          <w:rFonts w:ascii="Georgia" w:hAnsi="Georgia"/>
        </w:rPr>
        <w:t xml:space="preserve"> he relied on that agent</w:t>
      </w:r>
      <w:r w:rsidR="00FF0924" w:rsidRPr="00182566">
        <w:rPr>
          <w:rFonts w:ascii="Georgia" w:hAnsi="Georgia"/>
        </w:rPr>
        <w:t xml:space="preserve"> to inform him</w:t>
      </w:r>
      <w:r w:rsidR="00397034">
        <w:rPr>
          <w:rFonts w:ascii="Georgia" w:hAnsi="Georgia"/>
        </w:rPr>
        <w:t xml:space="preserve"> about the landlords</w:t>
      </w:r>
      <w:r w:rsidR="00FF0924" w:rsidRPr="00182566">
        <w:rPr>
          <w:rFonts w:ascii="Georgia" w:hAnsi="Georgia"/>
        </w:rPr>
        <w:t xml:space="preserve"> legal </w:t>
      </w:r>
      <w:r w:rsidR="00397034">
        <w:rPr>
          <w:rFonts w:ascii="Georgia" w:hAnsi="Georgia"/>
        </w:rPr>
        <w:t>in relation to</w:t>
      </w:r>
      <w:r w:rsidR="00FF0924" w:rsidRPr="00182566">
        <w:rPr>
          <w:rFonts w:ascii="Georgia" w:hAnsi="Georgia"/>
        </w:rPr>
        <w:t xml:space="preserve"> the tenancy</w:t>
      </w:r>
      <w:r w:rsidR="00397034">
        <w:rPr>
          <w:rFonts w:ascii="Georgia" w:hAnsi="Georgia"/>
        </w:rPr>
        <w:t xml:space="preserve"> of the Property</w:t>
      </w:r>
      <w:r w:rsidR="00FF0924" w:rsidRPr="00182566">
        <w:rPr>
          <w:rFonts w:ascii="Georgia" w:hAnsi="Georgia"/>
        </w:rPr>
        <w:t xml:space="preserve">. </w:t>
      </w:r>
    </w:p>
    <w:p w14:paraId="20D1854D" w14:textId="6963D357" w:rsidR="00451634" w:rsidRPr="00182566" w:rsidRDefault="00F7244F" w:rsidP="00451634">
      <w:pPr>
        <w:numPr>
          <w:ilvl w:val="0"/>
          <w:numId w:val="24"/>
        </w:numPr>
        <w:spacing w:after="160" w:line="278" w:lineRule="auto"/>
        <w:jc w:val="both"/>
        <w:rPr>
          <w:rFonts w:ascii="Georgia" w:hAnsi="Georgia"/>
        </w:rPr>
      </w:pPr>
      <w:r>
        <w:rPr>
          <w:rFonts w:ascii="Georgia" w:hAnsi="Georgia"/>
        </w:rPr>
        <w:lastRenderedPageBreak/>
        <w:t>T</w:t>
      </w:r>
      <w:r w:rsidR="00451634" w:rsidRPr="00182566">
        <w:rPr>
          <w:rFonts w:ascii="Georgia" w:hAnsi="Georgia"/>
        </w:rPr>
        <w:t xml:space="preserve">he Respondents had recently inherited a property portfolio so presumably would have been aware of their own “novice status” as landlords during the two years the Property was occupied by the Applicants.  </w:t>
      </w:r>
    </w:p>
    <w:p w14:paraId="219510A7" w14:textId="0D842F59" w:rsidR="006B1CCE" w:rsidRPr="00182566" w:rsidRDefault="006B1CCE" w:rsidP="00FD17F2">
      <w:pPr>
        <w:numPr>
          <w:ilvl w:val="0"/>
          <w:numId w:val="24"/>
        </w:numPr>
        <w:spacing w:after="160" w:line="278" w:lineRule="auto"/>
        <w:jc w:val="both"/>
        <w:rPr>
          <w:rFonts w:ascii="Georgia" w:hAnsi="Georgia"/>
        </w:rPr>
      </w:pPr>
      <w:r w:rsidRPr="00182566">
        <w:rPr>
          <w:rFonts w:ascii="Georgia" w:hAnsi="Georgia"/>
        </w:rPr>
        <w:t xml:space="preserve">The </w:t>
      </w:r>
      <w:r w:rsidR="009F5336" w:rsidRPr="00182566">
        <w:rPr>
          <w:rFonts w:ascii="Georgia" w:hAnsi="Georgia"/>
        </w:rPr>
        <w:t xml:space="preserve"> Tribunal </w:t>
      </w:r>
      <w:r w:rsidRPr="00182566">
        <w:rPr>
          <w:rFonts w:ascii="Georgia" w:hAnsi="Georgia"/>
        </w:rPr>
        <w:t xml:space="preserve">has </w:t>
      </w:r>
      <w:r w:rsidR="00F7244F">
        <w:rPr>
          <w:rFonts w:ascii="Georgia" w:hAnsi="Georgia"/>
        </w:rPr>
        <w:t>decided</w:t>
      </w:r>
      <w:r w:rsidR="009F5336" w:rsidRPr="00182566">
        <w:rPr>
          <w:rFonts w:ascii="Georgia" w:hAnsi="Georgia"/>
        </w:rPr>
        <w:t xml:space="preserve"> that </w:t>
      </w:r>
      <w:r w:rsidR="00FF0924" w:rsidRPr="00182566">
        <w:rPr>
          <w:rFonts w:ascii="Georgia" w:hAnsi="Georgia"/>
        </w:rPr>
        <w:t>the Respondent</w:t>
      </w:r>
      <w:r w:rsidR="00F7244F">
        <w:rPr>
          <w:rFonts w:ascii="Georgia" w:hAnsi="Georgia"/>
        </w:rPr>
        <w:t>s</w:t>
      </w:r>
      <w:r w:rsidR="00FF0924" w:rsidRPr="00182566">
        <w:rPr>
          <w:rFonts w:ascii="Georgia" w:hAnsi="Georgia"/>
        </w:rPr>
        <w:t xml:space="preserve"> and </w:t>
      </w:r>
      <w:r w:rsidR="00F7244F">
        <w:rPr>
          <w:rFonts w:ascii="Georgia" w:hAnsi="Georgia"/>
        </w:rPr>
        <w:t xml:space="preserve">their </w:t>
      </w:r>
      <w:r w:rsidR="00FF0924" w:rsidRPr="00182566">
        <w:rPr>
          <w:rFonts w:ascii="Georgia" w:hAnsi="Georgia"/>
        </w:rPr>
        <w:t>agent</w:t>
      </w:r>
      <w:r w:rsidR="00214FA8" w:rsidRPr="00182566">
        <w:rPr>
          <w:rFonts w:ascii="Georgia" w:hAnsi="Georgia"/>
        </w:rPr>
        <w:t>,</w:t>
      </w:r>
      <w:r w:rsidR="00FF0924" w:rsidRPr="00182566">
        <w:rPr>
          <w:rFonts w:ascii="Georgia" w:hAnsi="Georgia"/>
        </w:rPr>
        <w:t xml:space="preserve"> </w:t>
      </w:r>
      <w:r w:rsidRPr="00182566">
        <w:rPr>
          <w:rFonts w:ascii="Georgia" w:hAnsi="Georgia"/>
        </w:rPr>
        <w:t xml:space="preserve">either </w:t>
      </w:r>
      <w:r w:rsidR="00FF0924" w:rsidRPr="00182566">
        <w:rPr>
          <w:rFonts w:ascii="Georgia" w:hAnsi="Georgia"/>
        </w:rPr>
        <w:t xml:space="preserve">acting together </w:t>
      </w:r>
      <w:r w:rsidRPr="00182566">
        <w:rPr>
          <w:rFonts w:ascii="Georgia" w:hAnsi="Georgia"/>
        </w:rPr>
        <w:t xml:space="preserve">or independently of each </w:t>
      </w:r>
      <w:r w:rsidR="00AE6C39" w:rsidRPr="00182566">
        <w:rPr>
          <w:rFonts w:ascii="Georgia" w:hAnsi="Georgia"/>
        </w:rPr>
        <w:t>other</w:t>
      </w:r>
      <w:r w:rsidR="00214FA8" w:rsidRPr="00182566">
        <w:rPr>
          <w:rFonts w:ascii="Georgia" w:hAnsi="Georgia"/>
        </w:rPr>
        <w:t>,</w:t>
      </w:r>
      <w:r w:rsidR="004F0BF0" w:rsidRPr="00182566">
        <w:rPr>
          <w:rFonts w:ascii="Georgia" w:hAnsi="Georgia"/>
        </w:rPr>
        <w:t xml:space="preserve"> should </w:t>
      </w:r>
      <w:r w:rsidR="00F7244F">
        <w:rPr>
          <w:rFonts w:ascii="Georgia" w:hAnsi="Georgia"/>
        </w:rPr>
        <w:t>and/</w:t>
      </w:r>
      <w:r w:rsidR="004F0BF0" w:rsidRPr="00182566">
        <w:rPr>
          <w:rFonts w:ascii="Georgia" w:hAnsi="Georgia"/>
        </w:rPr>
        <w:t xml:space="preserve">or </w:t>
      </w:r>
      <w:r w:rsidR="009F5336" w:rsidRPr="00182566">
        <w:rPr>
          <w:rFonts w:ascii="Georgia" w:hAnsi="Georgia"/>
        </w:rPr>
        <w:t>c</w:t>
      </w:r>
      <w:r w:rsidR="004F0BF0" w:rsidRPr="00182566">
        <w:rPr>
          <w:rFonts w:ascii="Georgia" w:hAnsi="Georgia"/>
        </w:rPr>
        <w:t>ould have</w:t>
      </w:r>
      <w:r w:rsidR="00ED6B17" w:rsidRPr="00182566">
        <w:rPr>
          <w:rFonts w:ascii="Georgia" w:hAnsi="Georgia"/>
        </w:rPr>
        <w:t xml:space="preserve"> made other enquiries in addition to occasional checks of the website to update themselves of the legal requirements associated with letting residential property.  </w:t>
      </w:r>
    </w:p>
    <w:p w14:paraId="031FC728" w14:textId="7810E0B2" w:rsidR="00843923" w:rsidRPr="00182566" w:rsidRDefault="004F0BF0" w:rsidP="00FD17F2">
      <w:pPr>
        <w:numPr>
          <w:ilvl w:val="0"/>
          <w:numId w:val="24"/>
        </w:numPr>
        <w:spacing w:after="160" w:line="278" w:lineRule="auto"/>
        <w:jc w:val="both"/>
        <w:rPr>
          <w:rFonts w:ascii="Georgia" w:hAnsi="Georgia"/>
        </w:rPr>
      </w:pPr>
      <w:r w:rsidRPr="00182566">
        <w:rPr>
          <w:rFonts w:ascii="Georgia" w:hAnsi="Georgia"/>
        </w:rPr>
        <w:t xml:space="preserve">The 2023 tenancy ended on 24 August 2023. The </w:t>
      </w:r>
      <w:r w:rsidR="001439F8" w:rsidRPr="00182566">
        <w:rPr>
          <w:rFonts w:ascii="Georgia" w:hAnsi="Georgia"/>
        </w:rPr>
        <w:t xml:space="preserve"> Respondents obtained a</w:t>
      </w:r>
      <w:r w:rsidR="0057498F" w:rsidRPr="00182566">
        <w:rPr>
          <w:rFonts w:ascii="Georgia" w:hAnsi="Georgia"/>
        </w:rPr>
        <w:t xml:space="preserve">n HMO </w:t>
      </w:r>
      <w:r w:rsidR="001439F8" w:rsidRPr="00182566">
        <w:rPr>
          <w:rFonts w:ascii="Georgia" w:hAnsi="Georgia"/>
        </w:rPr>
        <w:t xml:space="preserve"> licence on 23 October 2023.  </w:t>
      </w:r>
      <w:r w:rsidRPr="00182566">
        <w:rPr>
          <w:rFonts w:ascii="Georgia" w:hAnsi="Georgia"/>
        </w:rPr>
        <w:t xml:space="preserve">The Respondents have not </w:t>
      </w:r>
      <w:r w:rsidR="003D157B" w:rsidRPr="00182566">
        <w:rPr>
          <w:rFonts w:ascii="Georgia" w:hAnsi="Georgia"/>
        </w:rPr>
        <w:t xml:space="preserve">offered any explanation to the Tribunal </w:t>
      </w:r>
      <w:r w:rsidRPr="00182566">
        <w:rPr>
          <w:rFonts w:ascii="Georgia" w:hAnsi="Georgia"/>
        </w:rPr>
        <w:t>what prompted them to make the Application</w:t>
      </w:r>
      <w:r w:rsidR="008A32BE" w:rsidRPr="00182566">
        <w:rPr>
          <w:rFonts w:ascii="Georgia" w:hAnsi="Georgia"/>
        </w:rPr>
        <w:t xml:space="preserve"> for a licence in October</w:t>
      </w:r>
      <w:r w:rsidR="00886E43" w:rsidRPr="00182566">
        <w:rPr>
          <w:rFonts w:ascii="Georgia" w:hAnsi="Georgia"/>
        </w:rPr>
        <w:t xml:space="preserve"> 2023, </w:t>
      </w:r>
      <w:r w:rsidR="008A32BE" w:rsidRPr="00182566">
        <w:rPr>
          <w:rFonts w:ascii="Georgia" w:hAnsi="Georgia"/>
        </w:rPr>
        <w:t xml:space="preserve"> save but to say, which is noted and accepted, that it predated the Application.</w:t>
      </w:r>
    </w:p>
    <w:p w14:paraId="09053608" w14:textId="110E22A5" w:rsidR="00886E43" w:rsidRPr="00182566" w:rsidRDefault="0057498F" w:rsidP="00FD17F2">
      <w:pPr>
        <w:numPr>
          <w:ilvl w:val="0"/>
          <w:numId w:val="24"/>
        </w:numPr>
        <w:spacing w:after="160" w:line="278" w:lineRule="auto"/>
        <w:jc w:val="both"/>
        <w:rPr>
          <w:rFonts w:ascii="Georgia" w:hAnsi="Georgia"/>
        </w:rPr>
      </w:pPr>
      <w:r w:rsidRPr="00182566">
        <w:rPr>
          <w:rFonts w:ascii="Georgia" w:hAnsi="Georgia"/>
        </w:rPr>
        <w:t>Having determined that the Respondent</w:t>
      </w:r>
      <w:r w:rsidR="00A628F4" w:rsidRPr="00182566">
        <w:rPr>
          <w:rFonts w:ascii="Georgia" w:hAnsi="Georgia"/>
        </w:rPr>
        <w:t>s</w:t>
      </w:r>
      <w:r w:rsidR="004F0BF0" w:rsidRPr="00182566">
        <w:rPr>
          <w:rFonts w:ascii="Georgia" w:hAnsi="Georgia"/>
        </w:rPr>
        <w:t xml:space="preserve"> cannot rely upon a defence</w:t>
      </w:r>
      <w:r w:rsidR="00214FA8" w:rsidRPr="00182566">
        <w:rPr>
          <w:rFonts w:ascii="Georgia" w:hAnsi="Georgia"/>
        </w:rPr>
        <w:t xml:space="preserve"> of reasonable excuse</w:t>
      </w:r>
      <w:r w:rsidR="004F0BF0" w:rsidRPr="00182566">
        <w:rPr>
          <w:rFonts w:ascii="Georgia" w:hAnsi="Georgia"/>
        </w:rPr>
        <w:t xml:space="preserve"> </w:t>
      </w:r>
      <w:r w:rsidR="00214FA8" w:rsidRPr="00182566">
        <w:rPr>
          <w:rFonts w:ascii="Georgia" w:hAnsi="Georgia"/>
        </w:rPr>
        <w:t xml:space="preserve">for </w:t>
      </w:r>
      <w:r w:rsidR="004F0BF0" w:rsidRPr="00182566">
        <w:rPr>
          <w:rFonts w:ascii="Georgia" w:hAnsi="Georgia"/>
        </w:rPr>
        <w:t xml:space="preserve">the offence </w:t>
      </w:r>
      <w:r w:rsidR="008A32BE" w:rsidRPr="00182566">
        <w:rPr>
          <w:rFonts w:ascii="Georgia" w:hAnsi="Georgia"/>
        </w:rPr>
        <w:t>(</w:t>
      </w:r>
      <w:r w:rsidR="004F0BF0" w:rsidRPr="00182566">
        <w:rPr>
          <w:rFonts w:ascii="Georgia" w:hAnsi="Georgia"/>
        </w:rPr>
        <w:t xml:space="preserve">which they have </w:t>
      </w:r>
      <w:r w:rsidR="008A32BE" w:rsidRPr="00182566">
        <w:rPr>
          <w:rFonts w:ascii="Georgia" w:hAnsi="Georgia"/>
        </w:rPr>
        <w:t xml:space="preserve"> already </w:t>
      </w:r>
      <w:r w:rsidR="004F0BF0" w:rsidRPr="00182566">
        <w:rPr>
          <w:rFonts w:ascii="Georgia" w:hAnsi="Georgia"/>
        </w:rPr>
        <w:t>admitted</w:t>
      </w:r>
      <w:r w:rsidR="008A32BE" w:rsidRPr="00182566">
        <w:rPr>
          <w:rFonts w:ascii="Georgia" w:hAnsi="Georgia"/>
        </w:rPr>
        <w:t>)</w:t>
      </w:r>
      <w:r w:rsidR="00A628F4" w:rsidRPr="00182566">
        <w:rPr>
          <w:rFonts w:ascii="Georgia" w:hAnsi="Georgia"/>
        </w:rPr>
        <w:t xml:space="preserve">, </w:t>
      </w:r>
      <w:r w:rsidRPr="00182566">
        <w:rPr>
          <w:rFonts w:ascii="Georgia" w:hAnsi="Georgia"/>
        </w:rPr>
        <w:t xml:space="preserve">the </w:t>
      </w:r>
      <w:r w:rsidR="00624ED5" w:rsidRPr="00182566">
        <w:rPr>
          <w:rFonts w:ascii="Georgia" w:hAnsi="Georgia"/>
        </w:rPr>
        <w:t>T</w:t>
      </w:r>
      <w:r w:rsidRPr="00182566">
        <w:rPr>
          <w:rFonts w:ascii="Georgia" w:hAnsi="Georgia"/>
        </w:rPr>
        <w:t>ribunal</w:t>
      </w:r>
      <w:r w:rsidR="00BF69E3" w:rsidRPr="00182566">
        <w:rPr>
          <w:rFonts w:ascii="Georgia" w:hAnsi="Georgia"/>
        </w:rPr>
        <w:t xml:space="preserve"> is satisfied beyond reasonable doubt that the Respondents have committed the offence so it</w:t>
      </w:r>
      <w:r w:rsidR="00A628F4" w:rsidRPr="00182566">
        <w:rPr>
          <w:rFonts w:ascii="Georgia" w:hAnsi="Georgia"/>
        </w:rPr>
        <w:t xml:space="preserve"> </w:t>
      </w:r>
      <w:r w:rsidR="008A32BE" w:rsidRPr="00182566">
        <w:rPr>
          <w:rFonts w:ascii="Georgia" w:hAnsi="Georgia"/>
        </w:rPr>
        <w:t xml:space="preserve">may </w:t>
      </w:r>
      <w:r w:rsidR="00A628F4" w:rsidRPr="00182566">
        <w:rPr>
          <w:rFonts w:ascii="Georgia" w:hAnsi="Georgia"/>
        </w:rPr>
        <w:t xml:space="preserve">make </w:t>
      </w:r>
      <w:r w:rsidRPr="00182566">
        <w:rPr>
          <w:rFonts w:ascii="Georgia" w:hAnsi="Georgia"/>
        </w:rPr>
        <w:t xml:space="preserve">a </w:t>
      </w:r>
      <w:r w:rsidR="00624ED5" w:rsidRPr="00182566">
        <w:rPr>
          <w:rFonts w:ascii="Georgia" w:hAnsi="Georgia"/>
        </w:rPr>
        <w:t>Rent Repayment Order</w:t>
      </w:r>
      <w:r w:rsidR="00A13250" w:rsidRPr="00182566">
        <w:rPr>
          <w:rFonts w:ascii="Georgia" w:hAnsi="Georgia"/>
        </w:rPr>
        <w:t>.</w:t>
      </w:r>
    </w:p>
    <w:p w14:paraId="5E294D6D" w14:textId="65F41C33" w:rsidR="0057498F" w:rsidRPr="00182566" w:rsidRDefault="008A32BE" w:rsidP="00FD17F2">
      <w:pPr>
        <w:numPr>
          <w:ilvl w:val="0"/>
          <w:numId w:val="24"/>
        </w:numPr>
        <w:spacing w:after="160" w:line="278" w:lineRule="auto"/>
        <w:jc w:val="both"/>
        <w:rPr>
          <w:rFonts w:ascii="Georgia" w:hAnsi="Georgia"/>
        </w:rPr>
      </w:pPr>
      <w:r w:rsidRPr="00182566">
        <w:rPr>
          <w:rFonts w:ascii="Georgia" w:hAnsi="Georgia"/>
        </w:rPr>
        <w:t xml:space="preserve">The next step is for the Tribunal </w:t>
      </w:r>
      <w:r w:rsidR="0057498F" w:rsidRPr="00182566">
        <w:rPr>
          <w:rFonts w:ascii="Georgia" w:hAnsi="Georgia"/>
        </w:rPr>
        <w:t xml:space="preserve"> to decide the amount of the </w:t>
      </w:r>
      <w:r w:rsidR="00624ED5" w:rsidRPr="00182566">
        <w:rPr>
          <w:rFonts w:ascii="Georgia" w:hAnsi="Georgia"/>
        </w:rPr>
        <w:t>order it should make</w:t>
      </w:r>
      <w:r w:rsidRPr="00182566">
        <w:rPr>
          <w:rFonts w:ascii="Georgia" w:hAnsi="Georgia"/>
        </w:rPr>
        <w:t>.</w:t>
      </w:r>
      <w:r w:rsidR="00886E43" w:rsidRPr="00182566">
        <w:rPr>
          <w:rFonts w:ascii="Georgia" w:hAnsi="Georgia"/>
        </w:rPr>
        <w:t xml:space="preserve">  </w:t>
      </w:r>
      <w:r w:rsidR="0057498F" w:rsidRPr="00182566">
        <w:rPr>
          <w:rFonts w:ascii="Georgia" w:hAnsi="Georgia"/>
        </w:rPr>
        <w:t xml:space="preserve">The Applicants </w:t>
      </w:r>
      <w:r w:rsidR="00A34ABF" w:rsidRPr="00182566">
        <w:rPr>
          <w:rFonts w:ascii="Georgia" w:hAnsi="Georgia"/>
        </w:rPr>
        <w:t xml:space="preserve">have accepted that </w:t>
      </w:r>
      <w:r w:rsidR="0057498F" w:rsidRPr="00182566">
        <w:rPr>
          <w:rFonts w:ascii="Georgia" w:hAnsi="Georgia"/>
        </w:rPr>
        <w:t xml:space="preserve">the maximum amount is 12 </w:t>
      </w:r>
      <w:proofErr w:type="spellStart"/>
      <w:r w:rsidR="0057498F" w:rsidRPr="00182566">
        <w:rPr>
          <w:rFonts w:ascii="Georgia" w:hAnsi="Georgia"/>
        </w:rPr>
        <w:t>months</w:t>
      </w:r>
      <w:proofErr w:type="spellEnd"/>
      <w:r w:rsidR="0057498F" w:rsidRPr="00182566">
        <w:rPr>
          <w:rFonts w:ascii="Georgia" w:hAnsi="Georgia"/>
        </w:rPr>
        <w:t xml:space="preserve"> rent</w:t>
      </w:r>
      <w:r w:rsidR="00A13250" w:rsidRPr="00182566">
        <w:rPr>
          <w:rFonts w:ascii="Georgia" w:hAnsi="Georgia"/>
        </w:rPr>
        <w:t xml:space="preserve"> amounting to </w:t>
      </w:r>
      <w:r w:rsidR="0057498F" w:rsidRPr="00182566">
        <w:rPr>
          <w:rFonts w:ascii="Georgia" w:hAnsi="Georgia"/>
        </w:rPr>
        <w:t xml:space="preserve">£15,600.  </w:t>
      </w:r>
    </w:p>
    <w:p w14:paraId="5E7CD1B8" w14:textId="593BB88D" w:rsidR="00AA07CB" w:rsidRPr="00182566" w:rsidRDefault="00AA07CB" w:rsidP="00FD17F2">
      <w:pPr>
        <w:numPr>
          <w:ilvl w:val="0"/>
          <w:numId w:val="24"/>
        </w:numPr>
        <w:spacing w:after="160" w:line="278" w:lineRule="auto"/>
        <w:jc w:val="both"/>
        <w:rPr>
          <w:rFonts w:ascii="Georgia" w:hAnsi="Georgia"/>
        </w:rPr>
      </w:pPr>
      <w:r w:rsidRPr="00182566">
        <w:rPr>
          <w:rFonts w:ascii="Georgia" w:hAnsi="Georgia"/>
        </w:rPr>
        <w:t>The Tribunal acknowledges that the bundle contains sufficient evidence that the Applicants paid their rent.  They confirmed during the hearing that none w</w:t>
      </w:r>
      <w:r w:rsidR="007B2EEA" w:rsidRPr="00182566">
        <w:rPr>
          <w:rFonts w:ascii="Georgia" w:hAnsi="Georgia"/>
        </w:rPr>
        <w:t>as</w:t>
      </w:r>
      <w:r w:rsidRPr="00182566">
        <w:rPr>
          <w:rFonts w:ascii="Georgia" w:hAnsi="Georgia"/>
        </w:rPr>
        <w:t xml:space="preserve"> in receipt of universal credit.  Neither party suggested that the rent includes payment for utilities.  Neither party suggested that any compensatory adjustment made for the communal electricity supply should be </w:t>
      </w:r>
      <w:proofErr w:type="gramStart"/>
      <w:r w:rsidRPr="00182566">
        <w:rPr>
          <w:rFonts w:ascii="Georgia" w:hAnsi="Georgia"/>
        </w:rPr>
        <w:t>taken into account</w:t>
      </w:r>
      <w:proofErr w:type="gramEnd"/>
      <w:r w:rsidR="004253B6" w:rsidRPr="00182566">
        <w:rPr>
          <w:rFonts w:ascii="Georgia" w:hAnsi="Georgia"/>
        </w:rPr>
        <w:t xml:space="preserve"> </w:t>
      </w:r>
      <w:r w:rsidR="006D17E3" w:rsidRPr="00182566">
        <w:rPr>
          <w:rFonts w:ascii="Georgia" w:hAnsi="Georgia"/>
        </w:rPr>
        <w:t>(</w:t>
      </w:r>
      <w:r w:rsidR="004253B6" w:rsidRPr="00182566">
        <w:rPr>
          <w:rFonts w:ascii="Georgia" w:hAnsi="Georgia"/>
        </w:rPr>
        <w:t xml:space="preserve">save and except as evidence of the </w:t>
      </w:r>
      <w:r w:rsidR="006D17E3" w:rsidRPr="00182566">
        <w:rPr>
          <w:rFonts w:ascii="Georgia" w:hAnsi="Georgia"/>
        </w:rPr>
        <w:t>landlords conduct).</w:t>
      </w:r>
    </w:p>
    <w:p w14:paraId="522CBD33" w14:textId="6DDE4A99" w:rsidR="00AA07CB" w:rsidRPr="00182566" w:rsidRDefault="00AA07CB" w:rsidP="00FD17F2">
      <w:pPr>
        <w:keepNext/>
        <w:keepLines/>
        <w:numPr>
          <w:ilvl w:val="0"/>
          <w:numId w:val="24"/>
        </w:numPr>
        <w:spacing w:after="160" w:line="278" w:lineRule="auto"/>
        <w:jc w:val="both"/>
        <w:rPr>
          <w:rFonts w:ascii="Georgia" w:hAnsi="Georgia"/>
        </w:rPr>
      </w:pPr>
      <w:r w:rsidRPr="00182566">
        <w:rPr>
          <w:rFonts w:ascii="Georgia" w:hAnsi="Georgia"/>
        </w:rPr>
        <w:t>Having ascertained the maximum amount of the order</w:t>
      </w:r>
      <w:r w:rsidR="008F3DAA" w:rsidRPr="00182566">
        <w:rPr>
          <w:rFonts w:ascii="Georgia" w:hAnsi="Georgia"/>
        </w:rPr>
        <w:t>,</w:t>
      </w:r>
      <w:r w:rsidRPr="00182566">
        <w:rPr>
          <w:rFonts w:ascii="Georgia" w:hAnsi="Georgia"/>
        </w:rPr>
        <w:t xml:space="preserve"> the Tribunal needs to satisfy itself as to the seriousness of the offence, compared with both the other offences</w:t>
      </w:r>
      <w:r w:rsidR="00B4379C" w:rsidRPr="00182566">
        <w:rPr>
          <w:rFonts w:ascii="Georgia" w:hAnsi="Georgia"/>
        </w:rPr>
        <w:t>,</w:t>
      </w:r>
      <w:r w:rsidRPr="00182566">
        <w:rPr>
          <w:rFonts w:ascii="Georgia" w:hAnsi="Georgia"/>
        </w:rPr>
        <w:t xml:space="preserve"> in the table of offences</w:t>
      </w:r>
      <w:r w:rsidR="00B4379C" w:rsidRPr="00182566">
        <w:rPr>
          <w:rFonts w:ascii="Georgia" w:hAnsi="Georgia"/>
        </w:rPr>
        <w:t>,</w:t>
      </w:r>
      <w:r w:rsidRPr="00182566">
        <w:rPr>
          <w:rFonts w:ascii="Georgia" w:hAnsi="Georgia"/>
        </w:rPr>
        <w:t xml:space="preserve"> in section 40 and also other examples of the same type of offence. </w:t>
      </w:r>
    </w:p>
    <w:p w14:paraId="7C9E7B40" w14:textId="6AD75703" w:rsidR="00FB7299" w:rsidRPr="00182566" w:rsidRDefault="00AA07CB" w:rsidP="00FD17F2">
      <w:pPr>
        <w:numPr>
          <w:ilvl w:val="0"/>
          <w:numId w:val="24"/>
        </w:numPr>
        <w:spacing w:after="160" w:line="278" w:lineRule="auto"/>
        <w:jc w:val="both"/>
        <w:rPr>
          <w:rFonts w:ascii="Georgia" w:hAnsi="Georgia"/>
        </w:rPr>
      </w:pPr>
      <w:r w:rsidRPr="00182566">
        <w:rPr>
          <w:rFonts w:ascii="Georgia" w:hAnsi="Georgia"/>
        </w:rPr>
        <w:t>Although Mr McGowan insisted that the offence of failing  to licen</w:t>
      </w:r>
      <w:r w:rsidR="00B4379C" w:rsidRPr="00182566">
        <w:rPr>
          <w:rFonts w:ascii="Georgia" w:hAnsi="Georgia"/>
        </w:rPr>
        <w:t>c</w:t>
      </w:r>
      <w:r w:rsidRPr="00182566">
        <w:rPr>
          <w:rFonts w:ascii="Georgia" w:hAnsi="Georgia"/>
        </w:rPr>
        <w:t xml:space="preserve">e the Property was at the top end of the scale the Tribunal do not agree. </w:t>
      </w:r>
      <w:r w:rsidR="00D5642C" w:rsidRPr="00182566">
        <w:rPr>
          <w:rFonts w:ascii="Georgia" w:hAnsi="Georgia"/>
        </w:rPr>
        <w:t>Mr M</w:t>
      </w:r>
      <w:r w:rsidR="00D40FFE" w:rsidRPr="00182566">
        <w:rPr>
          <w:rFonts w:ascii="Georgia" w:hAnsi="Georgia"/>
        </w:rPr>
        <w:t xml:space="preserve">c Gowan referred the Tribunal to </w:t>
      </w:r>
      <w:r w:rsidR="00D40FFE" w:rsidRPr="00182566">
        <w:rPr>
          <w:rFonts w:ascii="Georgia" w:hAnsi="Georgia"/>
          <w:b/>
          <w:bCs/>
        </w:rPr>
        <w:t xml:space="preserve">Hancher v David </w:t>
      </w:r>
      <w:r w:rsidR="00F63BD9" w:rsidRPr="00182566">
        <w:rPr>
          <w:rFonts w:ascii="Georgia" w:hAnsi="Georgia"/>
          <w:b/>
          <w:bCs/>
        </w:rPr>
        <w:t>and others</w:t>
      </w:r>
      <w:r w:rsidR="00D40FFE" w:rsidRPr="00182566">
        <w:rPr>
          <w:rFonts w:ascii="Georgia" w:hAnsi="Georgia"/>
        </w:rPr>
        <w:t xml:space="preserve">  In that decision Judge Elizabeth Cooke stated that the offence under section 72(1) of the Housing Act 2004 is not one of the </w:t>
      </w:r>
      <w:r w:rsidR="001D0EAC" w:rsidRPr="00182566">
        <w:rPr>
          <w:rFonts w:ascii="Georgia" w:hAnsi="Georgia"/>
        </w:rPr>
        <w:t xml:space="preserve">most </w:t>
      </w:r>
      <w:r w:rsidR="00D40FFE" w:rsidRPr="00182566">
        <w:rPr>
          <w:rFonts w:ascii="Georgia" w:hAnsi="Georgia"/>
        </w:rPr>
        <w:t>serious offences</w:t>
      </w:r>
      <w:r w:rsidR="00FB7299" w:rsidRPr="00182566">
        <w:rPr>
          <w:rFonts w:ascii="Georgia" w:hAnsi="Georgia"/>
        </w:rPr>
        <w:t xml:space="preserve">.  </w:t>
      </w:r>
    </w:p>
    <w:p w14:paraId="73EE1C8D" w14:textId="5A386B77" w:rsidR="001E77BF" w:rsidRPr="00182566" w:rsidRDefault="00ED6886" w:rsidP="00FD17F2">
      <w:pPr>
        <w:numPr>
          <w:ilvl w:val="0"/>
          <w:numId w:val="24"/>
        </w:numPr>
        <w:spacing w:after="160" w:line="278" w:lineRule="auto"/>
        <w:jc w:val="both"/>
        <w:rPr>
          <w:rFonts w:ascii="Georgia" w:hAnsi="Georgia"/>
        </w:rPr>
      </w:pPr>
      <w:r w:rsidRPr="00182566">
        <w:rPr>
          <w:rFonts w:ascii="Georgia" w:hAnsi="Georgia"/>
        </w:rPr>
        <w:t>The</w:t>
      </w:r>
      <w:r w:rsidR="00FB7299" w:rsidRPr="00182566">
        <w:rPr>
          <w:rFonts w:ascii="Georgia" w:hAnsi="Georgia"/>
        </w:rPr>
        <w:t xml:space="preserve"> </w:t>
      </w:r>
      <w:r w:rsidR="006C3CFA" w:rsidRPr="00182566">
        <w:rPr>
          <w:rFonts w:ascii="Georgia" w:hAnsi="Georgia"/>
        </w:rPr>
        <w:t xml:space="preserve">Respondents have obtained an HMO </w:t>
      </w:r>
      <w:r w:rsidR="00FB7299" w:rsidRPr="00182566">
        <w:rPr>
          <w:rFonts w:ascii="Georgia" w:hAnsi="Georgia"/>
        </w:rPr>
        <w:t xml:space="preserve"> </w:t>
      </w:r>
      <w:r w:rsidR="00994B60" w:rsidRPr="00182566">
        <w:rPr>
          <w:rFonts w:ascii="Georgia" w:hAnsi="Georgia"/>
        </w:rPr>
        <w:t>licen</w:t>
      </w:r>
      <w:r w:rsidR="00A716CA" w:rsidRPr="00182566">
        <w:rPr>
          <w:rFonts w:ascii="Georgia" w:hAnsi="Georgia"/>
        </w:rPr>
        <w:t>c</w:t>
      </w:r>
      <w:r w:rsidR="006C3CFA" w:rsidRPr="00182566">
        <w:rPr>
          <w:rFonts w:ascii="Georgia" w:hAnsi="Georgia"/>
        </w:rPr>
        <w:t xml:space="preserve">e for the Property.   The Applicants </w:t>
      </w:r>
      <w:r w:rsidR="00CB27F1" w:rsidRPr="00182566">
        <w:rPr>
          <w:rFonts w:ascii="Georgia" w:hAnsi="Georgia"/>
        </w:rPr>
        <w:t xml:space="preserve">have </w:t>
      </w:r>
      <w:r w:rsidR="006C3CFA" w:rsidRPr="00182566">
        <w:rPr>
          <w:rFonts w:ascii="Georgia" w:hAnsi="Georgia"/>
        </w:rPr>
        <w:t>not suggested</w:t>
      </w:r>
      <w:r w:rsidR="00FB7299" w:rsidRPr="00182566">
        <w:rPr>
          <w:rFonts w:ascii="Georgia" w:hAnsi="Georgia"/>
        </w:rPr>
        <w:t xml:space="preserve"> that the actual condition of the Property </w:t>
      </w:r>
      <w:r w:rsidR="00582F58" w:rsidRPr="00182566">
        <w:rPr>
          <w:rFonts w:ascii="Georgia" w:hAnsi="Georgia"/>
        </w:rPr>
        <w:t xml:space="preserve">would or might have been an impediment to </w:t>
      </w:r>
      <w:r w:rsidR="00CB27F1" w:rsidRPr="00182566">
        <w:rPr>
          <w:rFonts w:ascii="Georgia" w:hAnsi="Georgia"/>
        </w:rPr>
        <w:t>the</w:t>
      </w:r>
      <w:r w:rsidR="00582F58" w:rsidRPr="00182566">
        <w:rPr>
          <w:rFonts w:ascii="Georgia" w:hAnsi="Georgia"/>
        </w:rPr>
        <w:t xml:space="preserve"> application for a licence.  </w:t>
      </w:r>
      <w:r w:rsidR="006C3CFA" w:rsidRPr="00182566">
        <w:rPr>
          <w:rFonts w:ascii="Georgia" w:hAnsi="Georgia"/>
        </w:rPr>
        <w:t>It has not been submitted</w:t>
      </w:r>
      <w:r w:rsidR="00582F58" w:rsidRPr="00182566">
        <w:rPr>
          <w:rFonts w:ascii="Georgia" w:hAnsi="Georgia"/>
        </w:rPr>
        <w:t xml:space="preserve"> that the Landlord omitted to have regard </w:t>
      </w:r>
      <w:r w:rsidR="006C3CFA" w:rsidRPr="00182566">
        <w:rPr>
          <w:rFonts w:ascii="Georgia" w:hAnsi="Georgia"/>
        </w:rPr>
        <w:t xml:space="preserve">for </w:t>
      </w:r>
      <w:r w:rsidR="00582F58" w:rsidRPr="00182566">
        <w:rPr>
          <w:rFonts w:ascii="Georgia" w:hAnsi="Georgia"/>
        </w:rPr>
        <w:lastRenderedPageBreak/>
        <w:t>the safety of the tenants</w:t>
      </w:r>
      <w:r w:rsidR="001E77BF" w:rsidRPr="00182566">
        <w:rPr>
          <w:rFonts w:ascii="Georgia" w:hAnsi="Georgia"/>
        </w:rPr>
        <w:t xml:space="preserve">.  The </w:t>
      </w:r>
      <w:r w:rsidR="00F807F2" w:rsidRPr="00182566">
        <w:rPr>
          <w:rFonts w:ascii="Georgia" w:hAnsi="Georgia"/>
        </w:rPr>
        <w:t xml:space="preserve">impact of the </w:t>
      </w:r>
      <w:r w:rsidR="001E77BF" w:rsidRPr="00182566">
        <w:rPr>
          <w:rFonts w:ascii="Georgia" w:hAnsi="Georgia"/>
        </w:rPr>
        <w:t>complaints made by the tenant regarding conduct are considered below.</w:t>
      </w:r>
      <w:r w:rsidR="00D40FFE" w:rsidRPr="00182566">
        <w:rPr>
          <w:rFonts w:ascii="Georgia" w:hAnsi="Georgia"/>
        </w:rPr>
        <w:t xml:space="preserve"> </w:t>
      </w:r>
    </w:p>
    <w:p w14:paraId="0FD7641D" w14:textId="022527B2" w:rsidR="001E77BF" w:rsidRPr="00182566" w:rsidRDefault="001E77BF" w:rsidP="00FD17F2">
      <w:pPr>
        <w:numPr>
          <w:ilvl w:val="0"/>
          <w:numId w:val="24"/>
        </w:numPr>
        <w:spacing w:after="160" w:line="278" w:lineRule="auto"/>
        <w:jc w:val="both"/>
        <w:rPr>
          <w:rFonts w:ascii="Georgia" w:hAnsi="Georgia"/>
        </w:rPr>
      </w:pPr>
      <w:r w:rsidRPr="00182566">
        <w:rPr>
          <w:rFonts w:ascii="Georgia" w:hAnsi="Georgia"/>
        </w:rPr>
        <w:t>The Tribunal has however n</w:t>
      </w:r>
      <w:r w:rsidR="00AA07CB" w:rsidRPr="00182566">
        <w:rPr>
          <w:rFonts w:ascii="Georgia" w:hAnsi="Georgia"/>
        </w:rPr>
        <w:t>oted that the offence continued for the entire period of</w:t>
      </w:r>
      <w:r w:rsidR="00A716CA" w:rsidRPr="00182566">
        <w:rPr>
          <w:rFonts w:ascii="Georgia" w:hAnsi="Georgia"/>
        </w:rPr>
        <w:t xml:space="preserve"> both</w:t>
      </w:r>
      <w:r w:rsidR="00AA07CB" w:rsidRPr="00182566">
        <w:rPr>
          <w:rFonts w:ascii="Georgia" w:hAnsi="Georgia"/>
        </w:rPr>
        <w:t xml:space="preserve"> tenancies (two years).  </w:t>
      </w:r>
    </w:p>
    <w:p w14:paraId="5E0CBC6E" w14:textId="2057B57C" w:rsidR="00226607" w:rsidRPr="00182566" w:rsidRDefault="001E77BF" w:rsidP="00FD17F2">
      <w:pPr>
        <w:numPr>
          <w:ilvl w:val="0"/>
          <w:numId w:val="24"/>
        </w:numPr>
        <w:spacing w:after="160" w:line="278" w:lineRule="auto"/>
        <w:jc w:val="both"/>
        <w:rPr>
          <w:rFonts w:ascii="Georgia" w:hAnsi="Georgia"/>
        </w:rPr>
      </w:pPr>
      <w:r w:rsidRPr="00182566">
        <w:rPr>
          <w:rFonts w:ascii="Georgia" w:hAnsi="Georgia"/>
        </w:rPr>
        <w:t xml:space="preserve">Mr Collins explained that the Respondents became a landlord following an inheritance rather than because of </w:t>
      </w:r>
      <w:r w:rsidR="00C40976" w:rsidRPr="00182566">
        <w:rPr>
          <w:rFonts w:ascii="Georgia" w:hAnsi="Georgia"/>
        </w:rPr>
        <w:t>any positive action by them to become landlords.</w:t>
      </w:r>
      <w:r w:rsidRPr="00182566">
        <w:rPr>
          <w:rFonts w:ascii="Georgia" w:hAnsi="Georgia"/>
        </w:rPr>
        <w:t xml:space="preserve"> </w:t>
      </w:r>
      <w:r w:rsidR="00AA07CB" w:rsidRPr="00182566">
        <w:rPr>
          <w:rFonts w:ascii="Georgia" w:hAnsi="Georgia"/>
        </w:rPr>
        <w:t xml:space="preserve">It </w:t>
      </w:r>
      <w:r w:rsidR="00F807F2" w:rsidRPr="00182566">
        <w:rPr>
          <w:rFonts w:ascii="Georgia" w:hAnsi="Georgia"/>
        </w:rPr>
        <w:t xml:space="preserve">accepts that </w:t>
      </w:r>
      <w:r w:rsidR="00AA07CB" w:rsidRPr="00182566">
        <w:rPr>
          <w:rFonts w:ascii="Georgia" w:hAnsi="Georgia"/>
        </w:rPr>
        <w:t xml:space="preserve">Mr Collins </w:t>
      </w:r>
      <w:r w:rsidR="00F807F2" w:rsidRPr="00182566">
        <w:rPr>
          <w:rFonts w:ascii="Georgia" w:hAnsi="Georgia"/>
        </w:rPr>
        <w:t>was</w:t>
      </w:r>
      <w:r w:rsidR="00AA07CB" w:rsidRPr="00182566">
        <w:rPr>
          <w:rFonts w:ascii="Georgia" w:hAnsi="Georgia"/>
        </w:rPr>
        <w:t xml:space="preserve"> a credible witness.  </w:t>
      </w:r>
    </w:p>
    <w:p w14:paraId="1586D5B8" w14:textId="5DDA998A" w:rsidR="00E018CD" w:rsidRPr="00182566" w:rsidRDefault="007E40DB" w:rsidP="00FD17F2">
      <w:pPr>
        <w:numPr>
          <w:ilvl w:val="0"/>
          <w:numId w:val="24"/>
        </w:numPr>
        <w:spacing w:after="160" w:line="278" w:lineRule="auto"/>
        <w:jc w:val="both"/>
        <w:rPr>
          <w:rFonts w:ascii="Georgia" w:hAnsi="Georgia"/>
        </w:rPr>
      </w:pPr>
      <w:r w:rsidRPr="00182566">
        <w:rPr>
          <w:rFonts w:ascii="Georgia" w:hAnsi="Georgia"/>
        </w:rPr>
        <w:t xml:space="preserve">The Tribunal has also considered whether matters of conduct – on </w:t>
      </w:r>
      <w:r w:rsidR="00AB0B8E" w:rsidRPr="00182566">
        <w:rPr>
          <w:rFonts w:ascii="Georgia" w:hAnsi="Georgia"/>
        </w:rPr>
        <w:t xml:space="preserve"> the </w:t>
      </w:r>
      <w:r w:rsidRPr="00182566">
        <w:rPr>
          <w:rFonts w:ascii="Georgia" w:hAnsi="Georgia"/>
        </w:rPr>
        <w:t xml:space="preserve">part of the landlord – should be </w:t>
      </w:r>
      <w:proofErr w:type="gramStart"/>
      <w:r w:rsidRPr="00182566">
        <w:rPr>
          <w:rFonts w:ascii="Georgia" w:hAnsi="Georgia"/>
        </w:rPr>
        <w:t>taken into account</w:t>
      </w:r>
      <w:proofErr w:type="gramEnd"/>
      <w:r w:rsidRPr="00182566">
        <w:rPr>
          <w:rFonts w:ascii="Georgia" w:hAnsi="Georgia"/>
        </w:rPr>
        <w:t xml:space="preserve"> in relation to the adjustment of the amount of the</w:t>
      </w:r>
      <w:r w:rsidR="00F807F2" w:rsidRPr="00182566">
        <w:rPr>
          <w:rFonts w:ascii="Georgia" w:hAnsi="Georgia"/>
        </w:rPr>
        <w:t xml:space="preserve"> rent repayment order</w:t>
      </w:r>
      <w:r w:rsidR="00226607" w:rsidRPr="00182566">
        <w:rPr>
          <w:rFonts w:ascii="Georgia" w:hAnsi="Georgia"/>
        </w:rPr>
        <w:t xml:space="preserve">.   </w:t>
      </w:r>
    </w:p>
    <w:p w14:paraId="1B3FF7F0" w14:textId="4287259D" w:rsidR="00226607" w:rsidRPr="00182566" w:rsidRDefault="00E018CD" w:rsidP="00FD17F2">
      <w:pPr>
        <w:numPr>
          <w:ilvl w:val="0"/>
          <w:numId w:val="24"/>
        </w:numPr>
        <w:spacing w:after="160" w:line="278" w:lineRule="auto"/>
        <w:jc w:val="both"/>
        <w:rPr>
          <w:rFonts w:ascii="Georgia" w:hAnsi="Georgia"/>
        </w:rPr>
      </w:pPr>
      <w:r w:rsidRPr="00182566">
        <w:rPr>
          <w:rFonts w:ascii="Georgia" w:hAnsi="Georgia"/>
        </w:rPr>
        <w:t>It is accepted</w:t>
      </w:r>
      <w:r w:rsidR="00226607" w:rsidRPr="00182566">
        <w:rPr>
          <w:rFonts w:ascii="Georgia" w:hAnsi="Georgia"/>
        </w:rPr>
        <w:t xml:space="preserve"> that  the period of the tenancies coincided with the Covid-19 pandemic during which it is likely that it would have been more difficult to manage</w:t>
      </w:r>
      <w:r w:rsidRPr="00182566">
        <w:rPr>
          <w:rFonts w:ascii="Georgia" w:hAnsi="Georgia"/>
        </w:rPr>
        <w:t xml:space="preserve"> the Property</w:t>
      </w:r>
      <w:r w:rsidR="00226607" w:rsidRPr="00182566">
        <w:rPr>
          <w:rFonts w:ascii="Georgia" w:hAnsi="Georgia"/>
        </w:rPr>
        <w:t xml:space="preserve"> and arrange for repairs to be carried out.  </w:t>
      </w:r>
    </w:p>
    <w:p w14:paraId="37D772E7" w14:textId="5BCFFAE7" w:rsidR="007E40DB" w:rsidRPr="00182566" w:rsidRDefault="00603676" w:rsidP="00FD17F2">
      <w:pPr>
        <w:numPr>
          <w:ilvl w:val="0"/>
          <w:numId w:val="24"/>
        </w:numPr>
        <w:spacing w:after="160" w:line="278" w:lineRule="auto"/>
        <w:jc w:val="both"/>
        <w:rPr>
          <w:rFonts w:ascii="Georgia" w:hAnsi="Georgia"/>
        </w:rPr>
      </w:pPr>
      <w:r w:rsidRPr="00182566">
        <w:rPr>
          <w:rFonts w:ascii="Georgia" w:hAnsi="Georgia"/>
        </w:rPr>
        <w:t xml:space="preserve">In the recent case of </w:t>
      </w:r>
      <w:r w:rsidRPr="00182566">
        <w:rPr>
          <w:rFonts w:ascii="Georgia" w:hAnsi="Georgia"/>
          <w:b/>
          <w:bCs/>
        </w:rPr>
        <w:t>Newell v Abbot</w:t>
      </w:r>
      <w:r w:rsidR="00AB0B8E" w:rsidRPr="00182566">
        <w:rPr>
          <w:rFonts w:ascii="Georgia" w:hAnsi="Georgia"/>
          <w:b/>
          <w:bCs/>
        </w:rPr>
        <w:t>t</w:t>
      </w:r>
      <w:r w:rsidR="00AB0B8E" w:rsidRPr="00182566">
        <w:rPr>
          <w:rFonts w:ascii="Georgia" w:hAnsi="Georgia"/>
        </w:rPr>
        <w:t>,</w:t>
      </w:r>
      <w:r w:rsidRPr="00182566">
        <w:rPr>
          <w:rFonts w:ascii="Georgia" w:hAnsi="Georgia"/>
        </w:rPr>
        <w:t xml:space="preserve"> Martin </w:t>
      </w:r>
      <w:r w:rsidR="00994B60" w:rsidRPr="00182566">
        <w:rPr>
          <w:rFonts w:ascii="Georgia" w:hAnsi="Georgia"/>
        </w:rPr>
        <w:t>Rodger KC,</w:t>
      </w:r>
      <w:r w:rsidRPr="00182566">
        <w:rPr>
          <w:rFonts w:ascii="Georgia" w:hAnsi="Georgia"/>
        </w:rPr>
        <w:t xml:space="preserve"> the Deputy President of the Upper Tribunal</w:t>
      </w:r>
      <w:r w:rsidR="00AB0B8E" w:rsidRPr="00182566">
        <w:rPr>
          <w:rFonts w:ascii="Georgia" w:hAnsi="Georgia"/>
        </w:rPr>
        <w:t>,</w:t>
      </w:r>
      <w:r w:rsidRPr="00182566">
        <w:rPr>
          <w:rFonts w:ascii="Georgia" w:hAnsi="Georgia"/>
        </w:rPr>
        <w:t xml:space="preserve"> </w:t>
      </w:r>
      <w:r w:rsidR="00EF2B52" w:rsidRPr="00182566">
        <w:rPr>
          <w:rFonts w:ascii="Georgia" w:hAnsi="Georgia"/>
        </w:rPr>
        <w:t xml:space="preserve">provided some useful guidance about the quantum of a </w:t>
      </w:r>
      <w:r w:rsidR="00CF24F1" w:rsidRPr="00182566">
        <w:rPr>
          <w:rFonts w:ascii="Georgia" w:hAnsi="Georgia"/>
        </w:rPr>
        <w:t xml:space="preserve">Rent Repayment Order </w:t>
      </w:r>
    </w:p>
    <w:p w14:paraId="41B75328" w14:textId="54D960AF" w:rsidR="00EF2B52" w:rsidRPr="00182566" w:rsidRDefault="004178A2" w:rsidP="00FD17F2">
      <w:pPr>
        <w:numPr>
          <w:ilvl w:val="0"/>
          <w:numId w:val="24"/>
        </w:numPr>
        <w:spacing w:after="160" w:line="278" w:lineRule="auto"/>
        <w:jc w:val="both"/>
        <w:rPr>
          <w:rFonts w:ascii="Georgia" w:hAnsi="Georgia"/>
        </w:rPr>
      </w:pPr>
      <w:r w:rsidRPr="00182566">
        <w:rPr>
          <w:rFonts w:ascii="Georgia" w:hAnsi="Georgia"/>
        </w:rPr>
        <w:t xml:space="preserve">He reminded the tribunal that </w:t>
      </w:r>
      <w:r w:rsidR="00A07118" w:rsidRPr="00182566">
        <w:rPr>
          <w:rFonts w:ascii="Georgia" w:hAnsi="Georgia"/>
        </w:rPr>
        <w:t xml:space="preserve">it is not a condition of section 44 that a tenant specify any period in their application.  The starting point for the amount of </w:t>
      </w:r>
      <w:r w:rsidR="00CF24F1" w:rsidRPr="00182566">
        <w:rPr>
          <w:rFonts w:ascii="Georgia" w:hAnsi="Georgia"/>
        </w:rPr>
        <w:t xml:space="preserve">a Rent Repayment Order </w:t>
      </w:r>
      <w:r w:rsidR="005360E8" w:rsidRPr="00182566">
        <w:rPr>
          <w:rFonts w:ascii="Georgia" w:hAnsi="Georgia"/>
        </w:rPr>
        <w:t>for an offence under section 72(2)</w:t>
      </w:r>
      <w:r w:rsidR="008B6200" w:rsidRPr="00182566">
        <w:rPr>
          <w:rFonts w:ascii="Georgia" w:hAnsi="Georgia"/>
        </w:rPr>
        <w:t xml:space="preserve"> of the 2004 Act is rent for</w:t>
      </w:r>
      <w:r w:rsidR="005360E8" w:rsidRPr="00182566">
        <w:rPr>
          <w:rFonts w:ascii="Georgia" w:hAnsi="Georgia"/>
        </w:rPr>
        <w:t xml:space="preserve"> a </w:t>
      </w:r>
      <w:r w:rsidR="00E96FAA" w:rsidRPr="00182566">
        <w:rPr>
          <w:rFonts w:ascii="Georgia" w:hAnsi="Georgia"/>
        </w:rPr>
        <w:t xml:space="preserve">period not exceeding </w:t>
      </w:r>
      <w:r w:rsidR="005360E8" w:rsidRPr="00182566">
        <w:rPr>
          <w:rFonts w:ascii="Georgia" w:hAnsi="Georgia"/>
        </w:rPr>
        <w:t xml:space="preserve">12 months </w:t>
      </w:r>
      <w:r w:rsidR="008B6200" w:rsidRPr="00182566">
        <w:rPr>
          <w:rFonts w:ascii="Georgia" w:hAnsi="Georgia"/>
        </w:rPr>
        <w:t xml:space="preserve">during which </w:t>
      </w:r>
      <w:r w:rsidR="00E96FAA" w:rsidRPr="00182566">
        <w:rPr>
          <w:rFonts w:ascii="Georgia" w:hAnsi="Georgia"/>
        </w:rPr>
        <w:t>the landlord was committing the offence.</w:t>
      </w:r>
      <w:r w:rsidR="000305B3" w:rsidRPr="00182566">
        <w:rPr>
          <w:rFonts w:ascii="Georgia" w:hAnsi="Georgia"/>
        </w:rPr>
        <w:t xml:space="preserve">  The parties and the Tribunal  </w:t>
      </w:r>
      <w:r w:rsidR="008B6200" w:rsidRPr="00182566">
        <w:rPr>
          <w:rFonts w:ascii="Georgia" w:hAnsi="Georgia"/>
        </w:rPr>
        <w:t xml:space="preserve">have agreed </w:t>
      </w:r>
      <w:r w:rsidR="000305B3" w:rsidRPr="00182566">
        <w:rPr>
          <w:rFonts w:ascii="Georgia" w:hAnsi="Georgia"/>
        </w:rPr>
        <w:t xml:space="preserve"> that this is</w:t>
      </w:r>
      <w:r w:rsidR="008B6200" w:rsidRPr="00182566">
        <w:rPr>
          <w:rFonts w:ascii="Georgia" w:hAnsi="Georgia"/>
        </w:rPr>
        <w:t xml:space="preserve"> a maximum of </w:t>
      </w:r>
      <w:r w:rsidR="000305B3" w:rsidRPr="00182566">
        <w:rPr>
          <w:rFonts w:ascii="Georgia" w:hAnsi="Georgia"/>
        </w:rPr>
        <w:t xml:space="preserve"> £15,600.</w:t>
      </w:r>
    </w:p>
    <w:p w14:paraId="256F9358" w14:textId="325F0193" w:rsidR="000305B3" w:rsidRPr="00182566" w:rsidRDefault="00F55090" w:rsidP="00FD17F2">
      <w:pPr>
        <w:numPr>
          <w:ilvl w:val="0"/>
          <w:numId w:val="24"/>
        </w:numPr>
        <w:spacing w:after="160" w:line="278" w:lineRule="auto"/>
        <w:jc w:val="both"/>
        <w:rPr>
          <w:rFonts w:ascii="Georgia" w:hAnsi="Georgia"/>
        </w:rPr>
      </w:pPr>
      <w:r w:rsidRPr="00182566">
        <w:rPr>
          <w:rFonts w:ascii="Georgia" w:hAnsi="Georgia"/>
        </w:rPr>
        <w:t>In determining the amount to be repaid</w:t>
      </w:r>
      <w:r w:rsidR="00AB0B8E" w:rsidRPr="00182566">
        <w:rPr>
          <w:rFonts w:ascii="Georgia" w:hAnsi="Georgia"/>
        </w:rPr>
        <w:t>,</w:t>
      </w:r>
      <w:r w:rsidRPr="00182566">
        <w:rPr>
          <w:rFonts w:ascii="Georgia" w:hAnsi="Georgia"/>
        </w:rPr>
        <w:t xml:space="preserve"> Martin Rodger said that the FTT is required by section 44(4) to </w:t>
      </w:r>
      <w:proofErr w:type="gramStart"/>
      <w:r w:rsidRPr="00182566">
        <w:rPr>
          <w:rFonts w:ascii="Georgia" w:hAnsi="Georgia"/>
        </w:rPr>
        <w:t>take into account</w:t>
      </w:r>
      <w:proofErr w:type="gramEnd"/>
      <w:r w:rsidRPr="00182566">
        <w:rPr>
          <w:rFonts w:ascii="Georgia" w:hAnsi="Georgia"/>
        </w:rPr>
        <w:t xml:space="preserve"> (a) conduct of the landlord and tenant (b) the financial circumstances of the Landlord and (c) past convictions of offences to which Chapter 4 of the Act applies.</w:t>
      </w:r>
    </w:p>
    <w:p w14:paraId="60E12FB6" w14:textId="32D3543D" w:rsidR="00C1358D" w:rsidRPr="00182566" w:rsidRDefault="00210AFF" w:rsidP="00FD17F2">
      <w:pPr>
        <w:numPr>
          <w:ilvl w:val="0"/>
          <w:numId w:val="24"/>
        </w:numPr>
        <w:spacing w:after="160" w:line="278" w:lineRule="auto"/>
        <w:jc w:val="both"/>
        <w:rPr>
          <w:rFonts w:ascii="Georgia" w:hAnsi="Georgia"/>
        </w:rPr>
      </w:pPr>
      <w:r w:rsidRPr="00182566">
        <w:rPr>
          <w:rFonts w:ascii="Georgia" w:hAnsi="Georgia"/>
        </w:rPr>
        <w:t xml:space="preserve">This Tribunal has considered those matters.  It does not accept that there is evidence of conduct on the part of the landlord which makes the offence in this case more serious.  It found that the landlord responded as best that they could to the tenants requests and complaints relating to the condition of the Property and the failure to rectify the leaks suffered by the Tenant </w:t>
      </w:r>
      <w:r w:rsidR="0081066F" w:rsidRPr="00182566">
        <w:rPr>
          <w:rFonts w:ascii="Georgia" w:hAnsi="Georgia"/>
        </w:rPr>
        <w:t xml:space="preserve">is </w:t>
      </w:r>
      <w:r w:rsidRPr="00182566">
        <w:rPr>
          <w:rFonts w:ascii="Georgia" w:hAnsi="Georgia"/>
        </w:rPr>
        <w:t xml:space="preserve"> not a factor which will influence its calculation of the amount of the order.</w:t>
      </w:r>
    </w:p>
    <w:p w14:paraId="7D6093E6" w14:textId="7DBB38E8" w:rsidR="002A7BA7" w:rsidRPr="00182566" w:rsidRDefault="002A7BA7" w:rsidP="00FD17F2">
      <w:pPr>
        <w:numPr>
          <w:ilvl w:val="0"/>
          <w:numId w:val="24"/>
        </w:numPr>
        <w:spacing w:after="160" w:line="278" w:lineRule="auto"/>
        <w:jc w:val="both"/>
        <w:rPr>
          <w:rFonts w:ascii="Georgia" w:hAnsi="Georgia"/>
        </w:rPr>
      </w:pPr>
      <w:r w:rsidRPr="00182566">
        <w:rPr>
          <w:rFonts w:ascii="Georgia" w:hAnsi="Georgia"/>
        </w:rPr>
        <w:t xml:space="preserve">Mr McGowan suggested that the </w:t>
      </w:r>
      <w:r w:rsidR="0081066F" w:rsidRPr="00182566">
        <w:rPr>
          <w:rFonts w:ascii="Georgia" w:hAnsi="Georgia"/>
        </w:rPr>
        <w:t>Tribunal</w:t>
      </w:r>
      <w:r w:rsidRPr="00182566">
        <w:rPr>
          <w:rFonts w:ascii="Georgia" w:hAnsi="Georgia"/>
        </w:rPr>
        <w:t xml:space="preserve"> consider Judge Cooke’s conclusions in </w:t>
      </w:r>
      <w:r w:rsidRPr="00182566">
        <w:rPr>
          <w:rFonts w:ascii="Georgia" w:hAnsi="Georgia"/>
          <w:b/>
          <w:bCs/>
        </w:rPr>
        <w:t>Acheampong v Roman</w:t>
      </w:r>
      <w:r w:rsidR="00E15055" w:rsidRPr="00182566">
        <w:rPr>
          <w:rFonts w:ascii="Georgia" w:hAnsi="Georgia"/>
          <w:b/>
          <w:bCs/>
        </w:rPr>
        <w:t xml:space="preserve">.  </w:t>
      </w:r>
      <w:r w:rsidR="00E15055" w:rsidRPr="00182566">
        <w:rPr>
          <w:rFonts w:ascii="Georgia" w:hAnsi="Georgia"/>
        </w:rPr>
        <w:t>Judge Cooke emphasised that the Tribunal should consider the seriousness not only of other examples of similar offences but also other types of offences in relation to which it may make a R</w:t>
      </w:r>
      <w:r w:rsidR="004E4AF1">
        <w:rPr>
          <w:rFonts w:ascii="Georgia" w:hAnsi="Georgia"/>
        </w:rPr>
        <w:t>ent Repayment Order</w:t>
      </w:r>
      <w:r w:rsidR="005C51D4" w:rsidRPr="00182566">
        <w:rPr>
          <w:rFonts w:ascii="Georgia" w:hAnsi="Georgia"/>
        </w:rPr>
        <w:t>.</w:t>
      </w:r>
    </w:p>
    <w:p w14:paraId="6A570199" w14:textId="22B5CF85" w:rsidR="005C51D4" w:rsidRPr="00182566" w:rsidRDefault="00B8157B" w:rsidP="00FD17F2">
      <w:pPr>
        <w:numPr>
          <w:ilvl w:val="0"/>
          <w:numId w:val="24"/>
        </w:numPr>
        <w:spacing w:after="160" w:line="278" w:lineRule="auto"/>
        <w:jc w:val="both"/>
        <w:rPr>
          <w:rFonts w:ascii="Georgia" w:hAnsi="Georgia"/>
        </w:rPr>
      </w:pPr>
      <w:bookmarkStart w:id="2" w:name="_Ref178694341"/>
      <w:r w:rsidRPr="00182566">
        <w:rPr>
          <w:rFonts w:ascii="Georgia" w:hAnsi="Georgia"/>
        </w:rPr>
        <w:lastRenderedPageBreak/>
        <w:t xml:space="preserve">In its </w:t>
      </w:r>
      <w:r w:rsidR="005C51D4" w:rsidRPr="00182566">
        <w:rPr>
          <w:rFonts w:ascii="Georgia" w:hAnsi="Georgia"/>
        </w:rPr>
        <w:t xml:space="preserve"> decisions in both </w:t>
      </w:r>
      <w:r w:rsidR="00E678D4" w:rsidRPr="00182566">
        <w:rPr>
          <w:rFonts w:ascii="Georgia" w:hAnsi="Georgia"/>
          <w:b/>
          <w:bCs/>
        </w:rPr>
        <w:t>Acheampong</w:t>
      </w:r>
      <w:r w:rsidR="005C51D4" w:rsidRPr="00182566">
        <w:rPr>
          <w:rFonts w:ascii="Georgia" w:hAnsi="Georgia"/>
        </w:rPr>
        <w:t xml:space="preserve"> and </w:t>
      </w:r>
      <w:r w:rsidR="005C51D4" w:rsidRPr="00182566">
        <w:rPr>
          <w:rFonts w:ascii="Georgia" w:hAnsi="Georgia"/>
          <w:b/>
          <w:bCs/>
        </w:rPr>
        <w:t>Newell</w:t>
      </w:r>
      <w:r w:rsidR="00C76490" w:rsidRPr="00182566">
        <w:rPr>
          <w:rFonts w:ascii="Georgia" w:hAnsi="Georgia"/>
          <w:b/>
          <w:bCs/>
        </w:rPr>
        <w:t>,</w:t>
      </w:r>
      <w:r w:rsidR="005C51D4" w:rsidRPr="00182566">
        <w:rPr>
          <w:rFonts w:ascii="Georgia" w:hAnsi="Georgia"/>
        </w:rPr>
        <w:t xml:space="preserve"> </w:t>
      </w:r>
      <w:r w:rsidRPr="00182566">
        <w:rPr>
          <w:rFonts w:ascii="Georgia" w:hAnsi="Georgia"/>
        </w:rPr>
        <w:t xml:space="preserve"> the Upper Tribunal </w:t>
      </w:r>
      <w:r w:rsidR="005C51D4" w:rsidRPr="00182566">
        <w:rPr>
          <w:rFonts w:ascii="Georgia" w:hAnsi="Georgia"/>
        </w:rPr>
        <w:t>emphasis</w:t>
      </w:r>
      <w:r w:rsidRPr="00182566">
        <w:rPr>
          <w:rFonts w:ascii="Georgia" w:hAnsi="Georgia"/>
        </w:rPr>
        <w:t>e</w:t>
      </w:r>
      <w:r w:rsidR="005C51D4" w:rsidRPr="00182566">
        <w:rPr>
          <w:rFonts w:ascii="Georgia" w:hAnsi="Georgia"/>
        </w:rPr>
        <w:t xml:space="preserve"> the parameters within which this Tribunal should make its decisions as to quantum.</w:t>
      </w:r>
      <w:bookmarkEnd w:id="2"/>
    </w:p>
    <w:p w14:paraId="35E8ADA5" w14:textId="3958E31A" w:rsidR="005C51D4" w:rsidRPr="00182566" w:rsidRDefault="005C51D4" w:rsidP="00FD17F2">
      <w:pPr>
        <w:numPr>
          <w:ilvl w:val="0"/>
          <w:numId w:val="24"/>
        </w:numPr>
        <w:spacing w:after="160" w:line="278" w:lineRule="auto"/>
        <w:jc w:val="both"/>
        <w:rPr>
          <w:rFonts w:ascii="Georgia" w:hAnsi="Georgia"/>
        </w:rPr>
      </w:pPr>
      <w:bookmarkStart w:id="3" w:name="_Ref178694354"/>
      <w:bookmarkStart w:id="4" w:name="_Ref178698201"/>
      <w:r w:rsidRPr="00182566">
        <w:rPr>
          <w:rFonts w:ascii="Georgia" w:hAnsi="Georgia"/>
        </w:rPr>
        <w:t>Applying that guidance</w:t>
      </w:r>
      <w:r w:rsidR="0087479E" w:rsidRPr="00182566">
        <w:rPr>
          <w:rFonts w:ascii="Georgia" w:hAnsi="Georgia"/>
        </w:rPr>
        <w:t xml:space="preserve">, having considered conduct and noted that the Landlords have not been convicted of any other offences, </w:t>
      </w:r>
      <w:r w:rsidRPr="00182566">
        <w:rPr>
          <w:rFonts w:ascii="Georgia" w:hAnsi="Georgia"/>
        </w:rPr>
        <w:t xml:space="preserve"> the Tribunal determines that the Respondent must pay 55% of £</w:t>
      </w:r>
      <w:r w:rsidR="006F7FA4" w:rsidRPr="00182566">
        <w:rPr>
          <w:rFonts w:ascii="Georgia" w:hAnsi="Georgia"/>
        </w:rPr>
        <w:t>15,</w:t>
      </w:r>
      <w:r w:rsidR="00C76490" w:rsidRPr="00182566">
        <w:rPr>
          <w:rFonts w:ascii="Georgia" w:hAnsi="Georgia"/>
        </w:rPr>
        <w:t>6</w:t>
      </w:r>
      <w:r w:rsidR="006F7FA4" w:rsidRPr="00182566">
        <w:rPr>
          <w:rFonts w:ascii="Georgia" w:hAnsi="Georgia"/>
        </w:rPr>
        <w:t>00</w:t>
      </w:r>
      <w:r w:rsidR="00737BB7" w:rsidRPr="00182566">
        <w:rPr>
          <w:rFonts w:ascii="Georgia" w:hAnsi="Georgia"/>
        </w:rPr>
        <w:t>, being £</w:t>
      </w:r>
      <w:r w:rsidR="006F659C" w:rsidRPr="00182566">
        <w:rPr>
          <w:rFonts w:ascii="Georgia" w:hAnsi="Georgia"/>
        </w:rPr>
        <w:t>8,580</w:t>
      </w:r>
      <w:r w:rsidR="006F7FA4" w:rsidRPr="00182566">
        <w:rPr>
          <w:rFonts w:ascii="Georgia" w:hAnsi="Georgia"/>
        </w:rPr>
        <w:t xml:space="preserve"> to the Applicants.  Th</w:t>
      </w:r>
      <w:r w:rsidR="0087479E" w:rsidRPr="00182566">
        <w:rPr>
          <w:rFonts w:ascii="Georgia" w:hAnsi="Georgia"/>
        </w:rPr>
        <w:t>at</w:t>
      </w:r>
      <w:r w:rsidR="006F7FA4" w:rsidRPr="00182566">
        <w:rPr>
          <w:rFonts w:ascii="Georgia" w:hAnsi="Georgia"/>
        </w:rPr>
        <w:t xml:space="preserve"> percentage takes</w:t>
      </w:r>
      <w:r w:rsidR="0087479E" w:rsidRPr="00182566">
        <w:rPr>
          <w:rFonts w:ascii="Georgia" w:hAnsi="Georgia"/>
        </w:rPr>
        <w:t xml:space="preserve"> specific </w:t>
      </w:r>
      <w:r w:rsidR="006F7FA4" w:rsidRPr="00182566">
        <w:rPr>
          <w:rFonts w:ascii="Georgia" w:hAnsi="Georgia"/>
        </w:rPr>
        <w:t xml:space="preserve"> account of the fact that the offence continued for the whole of the period during which the Applicants occupied the Property</w:t>
      </w:r>
      <w:bookmarkEnd w:id="3"/>
      <w:r w:rsidR="0087479E" w:rsidRPr="00182566">
        <w:rPr>
          <w:rFonts w:ascii="Georgia" w:hAnsi="Georgia"/>
        </w:rPr>
        <w:t xml:space="preserve"> which was two years.  </w:t>
      </w:r>
      <w:r w:rsidR="00471E76" w:rsidRPr="00182566">
        <w:rPr>
          <w:rFonts w:ascii="Georgia" w:hAnsi="Georgia"/>
        </w:rPr>
        <w:t xml:space="preserve">The amount </w:t>
      </w:r>
      <w:r w:rsidR="0087479E" w:rsidRPr="00182566">
        <w:rPr>
          <w:rFonts w:ascii="Georgia" w:hAnsi="Georgia"/>
        </w:rPr>
        <w:t xml:space="preserve">should </w:t>
      </w:r>
      <w:r w:rsidR="00471E76" w:rsidRPr="00182566">
        <w:rPr>
          <w:rFonts w:ascii="Georgia" w:hAnsi="Georgia"/>
        </w:rPr>
        <w:t xml:space="preserve">be </w:t>
      </w:r>
      <w:r w:rsidR="00D26A99" w:rsidRPr="00182566">
        <w:rPr>
          <w:rFonts w:ascii="Georgia" w:hAnsi="Georgia"/>
        </w:rPr>
        <w:t>shared</w:t>
      </w:r>
      <w:r w:rsidR="00471E76" w:rsidRPr="00182566">
        <w:rPr>
          <w:rFonts w:ascii="Georgia" w:hAnsi="Georgia"/>
        </w:rPr>
        <w:t xml:space="preserve"> between the Applicants</w:t>
      </w:r>
      <w:r w:rsidR="00D26A99" w:rsidRPr="00182566">
        <w:rPr>
          <w:rFonts w:ascii="Georgia" w:hAnsi="Georgia"/>
        </w:rPr>
        <w:t>,</w:t>
      </w:r>
      <w:r w:rsidR="00471E76" w:rsidRPr="00182566">
        <w:rPr>
          <w:rFonts w:ascii="Georgia" w:hAnsi="Georgia"/>
        </w:rPr>
        <w:t xml:space="preserve"> </w:t>
      </w:r>
      <w:r w:rsidR="00252CF2" w:rsidRPr="00182566">
        <w:rPr>
          <w:rFonts w:ascii="Georgia" w:hAnsi="Georgia"/>
        </w:rPr>
        <w:t xml:space="preserve">but it is not possible for the Tribunal to </w:t>
      </w:r>
      <w:r w:rsidR="00D26A99" w:rsidRPr="00182566">
        <w:rPr>
          <w:rFonts w:ascii="Georgia" w:hAnsi="Georgia"/>
        </w:rPr>
        <w:t xml:space="preserve">calculate </w:t>
      </w:r>
      <w:bookmarkEnd w:id="4"/>
      <w:r w:rsidR="00D26A99" w:rsidRPr="00182566">
        <w:rPr>
          <w:rFonts w:ascii="Georgia" w:hAnsi="Georgia"/>
        </w:rPr>
        <w:t>the proportion that should be repaid to each Applicant.</w:t>
      </w:r>
      <w:r w:rsidR="00D3055B" w:rsidRPr="00182566">
        <w:rPr>
          <w:rFonts w:ascii="Georgia" w:hAnsi="Georgia"/>
        </w:rPr>
        <w:t xml:space="preserve"> </w:t>
      </w:r>
    </w:p>
    <w:p w14:paraId="042A3C53" w14:textId="601E342B" w:rsidR="00252CF2" w:rsidRPr="00182566" w:rsidRDefault="00252CF2" w:rsidP="00FD17F2">
      <w:pPr>
        <w:numPr>
          <w:ilvl w:val="0"/>
          <w:numId w:val="24"/>
        </w:numPr>
        <w:spacing w:after="160" w:line="278" w:lineRule="auto"/>
        <w:jc w:val="both"/>
        <w:rPr>
          <w:rFonts w:ascii="Georgia" w:hAnsi="Georgia"/>
        </w:rPr>
      </w:pPr>
      <w:bookmarkStart w:id="5" w:name="_Ref178696585"/>
      <w:r w:rsidRPr="00182566">
        <w:rPr>
          <w:rFonts w:ascii="Georgia" w:hAnsi="Georgia"/>
        </w:rPr>
        <w:t>Section 4</w:t>
      </w:r>
      <w:r w:rsidR="005B1A22" w:rsidRPr="00182566">
        <w:rPr>
          <w:rFonts w:ascii="Georgia" w:hAnsi="Georgia"/>
        </w:rPr>
        <w:t>4</w:t>
      </w:r>
      <w:r w:rsidRPr="00182566">
        <w:rPr>
          <w:rFonts w:ascii="Georgia" w:hAnsi="Georgia"/>
        </w:rPr>
        <w:t>(2)  of the Act states that the maximum amount which can be claimed is rent for a period of 12 months during which the Landlord was committing the offence. The Application form referred to different periods of claim for each of four tenants,  two of which had occupied the Property throughout both tenancies and two of which had been tenants during one of the tenancies.  For those reasons, the Tribunal has insufficient information to determine the sums to be repaid to each tenant.</w:t>
      </w:r>
    </w:p>
    <w:p w14:paraId="3D81F9D0" w14:textId="579F944F" w:rsidR="00E678D4" w:rsidRPr="00182566" w:rsidRDefault="00D43C84" w:rsidP="00FD17F2">
      <w:pPr>
        <w:numPr>
          <w:ilvl w:val="0"/>
          <w:numId w:val="24"/>
        </w:numPr>
        <w:spacing w:after="160" w:line="278" w:lineRule="auto"/>
        <w:jc w:val="both"/>
        <w:rPr>
          <w:rFonts w:ascii="Georgia" w:hAnsi="Georgia"/>
        </w:rPr>
      </w:pPr>
      <w:bookmarkStart w:id="6" w:name="_Ref178698218"/>
      <w:r w:rsidRPr="00182566">
        <w:rPr>
          <w:rFonts w:ascii="Georgia" w:hAnsi="Georgia"/>
        </w:rPr>
        <w:t xml:space="preserve">Following the </w:t>
      </w:r>
      <w:r w:rsidR="00BA5251" w:rsidRPr="00182566">
        <w:rPr>
          <w:rFonts w:ascii="Georgia" w:hAnsi="Georgia"/>
        </w:rPr>
        <w:t>substantive</w:t>
      </w:r>
      <w:r w:rsidRPr="00182566">
        <w:rPr>
          <w:rFonts w:ascii="Georgia" w:hAnsi="Georgia"/>
        </w:rPr>
        <w:t xml:space="preserve"> hearing the Tribunal considered the application </w:t>
      </w:r>
      <w:r w:rsidR="00E678D4" w:rsidRPr="00182566">
        <w:rPr>
          <w:rFonts w:ascii="Georgia" w:hAnsi="Georgia"/>
        </w:rPr>
        <w:t>for the return of the Application and Hearing Fee which together total</w:t>
      </w:r>
      <w:r w:rsidR="00737BB7" w:rsidRPr="00182566">
        <w:rPr>
          <w:rFonts w:ascii="Georgia" w:hAnsi="Georgia"/>
        </w:rPr>
        <w:t xml:space="preserve"> £300</w:t>
      </w:r>
      <w:r w:rsidRPr="00182566">
        <w:rPr>
          <w:rFonts w:ascii="Georgia" w:hAnsi="Georgia"/>
        </w:rPr>
        <w:t xml:space="preserve">. </w:t>
      </w:r>
      <w:r w:rsidR="00A040E6" w:rsidRPr="00182566">
        <w:rPr>
          <w:rFonts w:ascii="Georgia" w:hAnsi="Georgia"/>
        </w:rPr>
        <w:t>T</w:t>
      </w:r>
      <w:r w:rsidR="00F027A3" w:rsidRPr="00182566">
        <w:rPr>
          <w:rFonts w:ascii="Georgia" w:hAnsi="Georgia"/>
        </w:rPr>
        <w:t>aking account of the  amount of the R</w:t>
      </w:r>
      <w:r w:rsidR="008C557C" w:rsidRPr="00182566">
        <w:rPr>
          <w:rFonts w:ascii="Georgia" w:hAnsi="Georgia"/>
        </w:rPr>
        <w:t>ent Repayment Order</w:t>
      </w:r>
      <w:r w:rsidR="00A040E6" w:rsidRPr="00182566">
        <w:rPr>
          <w:rFonts w:ascii="Georgia" w:hAnsi="Georgia"/>
        </w:rPr>
        <w:t>,</w:t>
      </w:r>
      <w:r w:rsidR="00F027A3" w:rsidRPr="00182566">
        <w:rPr>
          <w:rFonts w:ascii="Georgia" w:hAnsi="Georgia"/>
        </w:rPr>
        <w:t xml:space="preserve"> </w:t>
      </w:r>
      <w:r w:rsidR="00737BB7" w:rsidRPr="00182566">
        <w:rPr>
          <w:rFonts w:ascii="Georgia" w:hAnsi="Georgia"/>
        </w:rPr>
        <w:t>the Tribuna</w:t>
      </w:r>
      <w:r w:rsidR="00F027A3" w:rsidRPr="00182566">
        <w:rPr>
          <w:rFonts w:ascii="Georgia" w:hAnsi="Georgia"/>
        </w:rPr>
        <w:t xml:space="preserve">l </w:t>
      </w:r>
      <w:r w:rsidR="00737BB7" w:rsidRPr="00182566">
        <w:rPr>
          <w:rFonts w:ascii="Georgia" w:hAnsi="Georgia"/>
        </w:rPr>
        <w:t xml:space="preserve"> orders that the Respondents repay 55% of that fee, being £165 to the </w:t>
      </w:r>
      <w:r w:rsidR="00D26A99" w:rsidRPr="00182566">
        <w:rPr>
          <w:rFonts w:ascii="Georgia" w:hAnsi="Georgia"/>
        </w:rPr>
        <w:t>Applicants</w:t>
      </w:r>
      <w:r w:rsidRPr="00182566">
        <w:rPr>
          <w:rFonts w:ascii="Georgia" w:hAnsi="Georgia"/>
        </w:rPr>
        <w:t>.</w:t>
      </w:r>
      <w:bookmarkEnd w:id="5"/>
      <w:bookmarkEnd w:id="6"/>
    </w:p>
    <w:p w14:paraId="4DFEB0E4" w14:textId="1BC55D69" w:rsidR="00737BB7" w:rsidRPr="00182566" w:rsidRDefault="00737BB7" w:rsidP="00FD17F2">
      <w:pPr>
        <w:numPr>
          <w:ilvl w:val="0"/>
          <w:numId w:val="24"/>
        </w:numPr>
        <w:spacing w:after="160" w:line="278" w:lineRule="auto"/>
        <w:jc w:val="both"/>
        <w:rPr>
          <w:rFonts w:ascii="Georgia" w:hAnsi="Georgia"/>
        </w:rPr>
      </w:pPr>
      <w:r w:rsidRPr="00182566">
        <w:rPr>
          <w:rFonts w:ascii="Georgia" w:hAnsi="Georgia"/>
        </w:rPr>
        <w:t xml:space="preserve">The sums ordered </w:t>
      </w:r>
      <w:r w:rsidR="008958D1" w:rsidRPr="00182566">
        <w:rPr>
          <w:rFonts w:ascii="Georgia" w:hAnsi="Georgia"/>
        </w:rPr>
        <w:t>to be paid in paragraphs</w:t>
      </w:r>
      <w:r w:rsidR="00D3055B" w:rsidRPr="00182566">
        <w:rPr>
          <w:rFonts w:ascii="Georgia" w:hAnsi="Georgia"/>
        </w:rPr>
        <w:t xml:space="preserve"> </w:t>
      </w:r>
      <w:r w:rsidR="00D3055B" w:rsidRPr="00182566">
        <w:rPr>
          <w:rFonts w:ascii="Georgia" w:hAnsi="Georgia"/>
        </w:rPr>
        <w:fldChar w:fldCharType="begin"/>
      </w:r>
      <w:r w:rsidR="00D3055B" w:rsidRPr="00182566">
        <w:rPr>
          <w:rFonts w:ascii="Georgia" w:hAnsi="Georgia"/>
        </w:rPr>
        <w:instrText xml:space="preserve"> REF _Ref178698201 \r \h </w:instrText>
      </w:r>
      <w:r w:rsidR="00182566">
        <w:rPr>
          <w:rFonts w:ascii="Georgia" w:hAnsi="Georgia"/>
        </w:rPr>
        <w:instrText xml:space="preserve"> \* MERGEFORMAT </w:instrText>
      </w:r>
      <w:r w:rsidR="00D3055B" w:rsidRPr="00182566">
        <w:rPr>
          <w:rFonts w:ascii="Georgia" w:hAnsi="Georgia"/>
        </w:rPr>
      </w:r>
      <w:r w:rsidR="00D3055B" w:rsidRPr="00182566">
        <w:rPr>
          <w:rFonts w:ascii="Georgia" w:hAnsi="Georgia"/>
        </w:rPr>
        <w:fldChar w:fldCharType="separate"/>
      </w:r>
      <w:r w:rsidR="00A1245B">
        <w:rPr>
          <w:rFonts w:ascii="Georgia" w:hAnsi="Georgia"/>
        </w:rPr>
        <w:t>90</w:t>
      </w:r>
      <w:r w:rsidR="00D3055B" w:rsidRPr="00182566">
        <w:rPr>
          <w:rFonts w:ascii="Georgia" w:hAnsi="Georgia"/>
        </w:rPr>
        <w:fldChar w:fldCharType="end"/>
      </w:r>
      <w:r w:rsidR="008958D1" w:rsidRPr="00182566">
        <w:rPr>
          <w:rFonts w:ascii="Georgia" w:hAnsi="Georgia"/>
        </w:rPr>
        <w:t xml:space="preserve"> and </w:t>
      </w:r>
      <w:r w:rsidR="00D3055B" w:rsidRPr="00182566">
        <w:rPr>
          <w:rFonts w:ascii="Georgia" w:hAnsi="Georgia"/>
        </w:rPr>
        <w:fldChar w:fldCharType="begin"/>
      </w:r>
      <w:r w:rsidR="00D3055B" w:rsidRPr="00182566">
        <w:rPr>
          <w:rFonts w:ascii="Georgia" w:hAnsi="Georgia"/>
        </w:rPr>
        <w:instrText xml:space="preserve"> REF _Ref178698218 \r \h </w:instrText>
      </w:r>
      <w:r w:rsidR="00182566">
        <w:rPr>
          <w:rFonts w:ascii="Georgia" w:hAnsi="Georgia"/>
        </w:rPr>
        <w:instrText xml:space="preserve"> \* MERGEFORMAT </w:instrText>
      </w:r>
      <w:r w:rsidR="00D3055B" w:rsidRPr="00182566">
        <w:rPr>
          <w:rFonts w:ascii="Georgia" w:hAnsi="Georgia"/>
        </w:rPr>
      </w:r>
      <w:r w:rsidR="00D3055B" w:rsidRPr="00182566">
        <w:rPr>
          <w:rFonts w:ascii="Georgia" w:hAnsi="Georgia"/>
        </w:rPr>
        <w:fldChar w:fldCharType="separate"/>
      </w:r>
      <w:r w:rsidR="00A1245B">
        <w:rPr>
          <w:rFonts w:ascii="Georgia" w:hAnsi="Georgia"/>
        </w:rPr>
        <w:t>92</w:t>
      </w:r>
      <w:r w:rsidR="00D3055B" w:rsidRPr="00182566">
        <w:rPr>
          <w:rFonts w:ascii="Georgia" w:hAnsi="Georgia"/>
        </w:rPr>
        <w:fldChar w:fldCharType="end"/>
      </w:r>
      <w:r w:rsidR="00D3055B" w:rsidRPr="00182566">
        <w:rPr>
          <w:rFonts w:ascii="Georgia" w:hAnsi="Georgia"/>
        </w:rPr>
        <w:t xml:space="preserve"> </w:t>
      </w:r>
      <w:r w:rsidR="008958D1" w:rsidRPr="00182566">
        <w:rPr>
          <w:rFonts w:ascii="Georgia" w:hAnsi="Georgia"/>
        </w:rPr>
        <w:t>above shall be paid within 28 days of the date of this decision.</w:t>
      </w:r>
    </w:p>
    <w:p w14:paraId="548C37F4" w14:textId="77777777" w:rsidR="008958D1" w:rsidRPr="00182566" w:rsidRDefault="008958D1" w:rsidP="00D43C84">
      <w:pPr>
        <w:spacing w:after="160" w:line="278" w:lineRule="auto"/>
        <w:jc w:val="both"/>
        <w:rPr>
          <w:rFonts w:ascii="Georgia" w:hAnsi="Georgia"/>
        </w:rPr>
      </w:pPr>
    </w:p>
    <w:p w14:paraId="778E359B" w14:textId="5D1FA005" w:rsidR="00D43C84" w:rsidRPr="00182566" w:rsidRDefault="00D43C84" w:rsidP="00D43C84">
      <w:pPr>
        <w:spacing w:after="160" w:line="278" w:lineRule="auto"/>
        <w:jc w:val="both"/>
        <w:rPr>
          <w:rFonts w:ascii="Georgia" w:hAnsi="Georgia"/>
          <w:b/>
          <w:bCs/>
        </w:rPr>
      </w:pPr>
      <w:r w:rsidRPr="00182566">
        <w:rPr>
          <w:rFonts w:ascii="Georgia" w:hAnsi="Georgia"/>
          <w:b/>
          <w:bCs/>
        </w:rPr>
        <w:t>Judge C A Rai</w:t>
      </w:r>
    </w:p>
    <w:p w14:paraId="4F953C18" w14:textId="29403036" w:rsidR="00D43C84" w:rsidRPr="00182566" w:rsidRDefault="00D43C84" w:rsidP="00D43C84">
      <w:pPr>
        <w:spacing w:after="160" w:line="278" w:lineRule="auto"/>
        <w:jc w:val="both"/>
        <w:rPr>
          <w:rFonts w:ascii="Georgia" w:hAnsi="Georgia"/>
        </w:rPr>
      </w:pPr>
      <w:r w:rsidRPr="00182566">
        <w:rPr>
          <w:rFonts w:ascii="Georgia" w:hAnsi="Georgia"/>
        </w:rPr>
        <w:t>Chairman</w:t>
      </w:r>
    </w:p>
    <w:p w14:paraId="20B520F3" w14:textId="77777777" w:rsidR="00D43C84" w:rsidRPr="00182566" w:rsidRDefault="00D43C84" w:rsidP="00D43C84">
      <w:pPr>
        <w:spacing w:after="160" w:line="278" w:lineRule="auto"/>
        <w:jc w:val="both"/>
        <w:rPr>
          <w:rFonts w:ascii="Georgia" w:hAnsi="Georgia"/>
        </w:rPr>
      </w:pPr>
    </w:p>
    <w:p w14:paraId="31D6EEEF" w14:textId="77777777" w:rsidR="00D43C84" w:rsidRPr="00182566" w:rsidRDefault="00D43C84" w:rsidP="009E6823">
      <w:pPr>
        <w:spacing w:before="240"/>
        <w:jc w:val="both"/>
        <w:rPr>
          <w:rFonts w:ascii="Georgia" w:hAnsi="Georgia"/>
          <w:b/>
        </w:rPr>
      </w:pPr>
      <w:r w:rsidRPr="00182566">
        <w:rPr>
          <w:rFonts w:ascii="Georgia" w:hAnsi="Georgia"/>
          <w:b/>
        </w:rPr>
        <w:t>Appeals</w:t>
      </w:r>
    </w:p>
    <w:p w14:paraId="1D991AF9" w14:textId="77777777" w:rsidR="00D43C84" w:rsidRPr="00182566" w:rsidRDefault="00D43C84" w:rsidP="00D43C84">
      <w:pPr>
        <w:pStyle w:val="paragraph"/>
        <w:keepNext/>
        <w:numPr>
          <w:ilvl w:val="0"/>
          <w:numId w:val="13"/>
        </w:numPr>
        <w:tabs>
          <w:tab w:val="left" w:pos="1276"/>
        </w:tabs>
        <w:spacing w:before="0" w:beforeAutospacing="0" w:after="0" w:afterAutospacing="0"/>
        <w:jc w:val="both"/>
        <w:textAlignment w:val="baseline"/>
        <w:rPr>
          <w:rFonts w:ascii="Georgia" w:hAnsi="Georgia" w:cs="Segoe UI"/>
        </w:rPr>
      </w:pPr>
      <w:r w:rsidRPr="00182566">
        <w:rPr>
          <w:rStyle w:val="normaltextrun"/>
          <w:rFonts w:ascii="Georgia" w:hAnsi="Georgia" w:cs="Segoe UI"/>
        </w:rPr>
        <w:t>A person wishing to appeal this decision to the Upper Chamber must seek permission to do so by making written application to the First-tier Tribunal at the Regional office which has been dealing with the case.</w:t>
      </w:r>
      <w:r w:rsidRPr="00182566">
        <w:rPr>
          <w:rStyle w:val="eop"/>
          <w:rFonts w:ascii="Georgia" w:hAnsi="Georgia" w:cs="Segoe UI"/>
        </w:rPr>
        <w:t> </w:t>
      </w:r>
    </w:p>
    <w:p w14:paraId="15AC7543" w14:textId="77777777" w:rsidR="00D43C84" w:rsidRPr="00182566" w:rsidRDefault="00D43C84" w:rsidP="009E6823">
      <w:pPr>
        <w:pStyle w:val="paragraph"/>
        <w:keepNext/>
        <w:tabs>
          <w:tab w:val="left" w:pos="1276"/>
        </w:tabs>
        <w:spacing w:before="0" w:beforeAutospacing="0" w:after="0" w:afterAutospacing="0"/>
        <w:ind w:left="720" w:hanging="720"/>
        <w:jc w:val="both"/>
        <w:textAlignment w:val="baseline"/>
        <w:rPr>
          <w:rFonts w:ascii="Georgia" w:hAnsi="Georgia" w:cs="Segoe UI"/>
        </w:rPr>
      </w:pPr>
      <w:r w:rsidRPr="00182566">
        <w:rPr>
          <w:rStyle w:val="eop"/>
          <w:rFonts w:ascii="Georgia" w:hAnsi="Georgia" w:cs="Segoe UI"/>
        </w:rPr>
        <w:t> </w:t>
      </w:r>
    </w:p>
    <w:p w14:paraId="141B44AA" w14:textId="77777777" w:rsidR="00D43C84" w:rsidRPr="00182566" w:rsidRDefault="00D43C84" w:rsidP="00D43C84">
      <w:pPr>
        <w:pStyle w:val="paragraph"/>
        <w:keepNext/>
        <w:numPr>
          <w:ilvl w:val="0"/>
          <w:numId w:val="13"/>
        </w:numPr>
        <w:tabs>
          <w:tab w:val="left" w:pos="1276"/>
        </w:tabs>
        <w:spacing w:before="0" w:beforeAutospacing="0" w:after="0" w:afterAutospacing="0"/>
        <w:jc w:val="both"/>
        <w:textAlignment w:val="baseline"/>
        <w:rPr>
          <w:rStyle w:val="eop"/>
          <w:rFonts w:ascii="Georgia" w:eastAsiaTheme="minorEastAsia" w:hAnsi="Georgia" w:cstheme="minorBidi"/>
        </w:rPr>
      </w:pPr>
      <w:r w:rsidRPr="00182566">
        <w:rPr>
          <w:rStyle w:val="normaltextrun"/>
          <w:rFonts w:ascii="Georgia" w:hAnsi="Georgia" w:cs="Segoe UI"/>
        </w:rPr>
        <w:t>The application must arrive at the Tribunal within 28 days after the Tribunal sends to the person making the application written reasons for the decision.</w:t>
      </w:r>
      <w:r w:rsidRPr="00182566">
        <w:rPr>
          <w:rStyle w:val="eop"/>
          <w:rFonts w:ascii="Georgia" w:hAnsi="Georgia" w:cs="Segoe UI"/>
        </w:rPr>
        <w:t xml:space="preserve"> Where possible you should send your further application </w:t>
      </w:r>
      <w:r w:rsidRPr="00182566">
        <w:rPr>
          <w:rStyle w:val="eop"/>
          <w:rFonts w:ascii="Georgia" w:hAnsi="Georgia" w:cs="Segoe UI"/>
        </w:rPr>
        <w:lastRenderedPageBreak/>
        <w:t xml:space="preserve">for permission to appeal by email to </w:t>
      </w:r>
      <w:r w:rsidRPr="00182566">
        <w:rPr>
          <w:rFonts w:ascii="Georgia" w:eastAsia="Georgia" w:hAnsi="Georgia" w:cs="Georgia"/>
          <w:b/>
          <w:bCs/>
          <w:color w:val="000000" w:themeColor="text1"/>
        </w:rPr>
        <w:t>rpsouthern@justice.gov.uk</w:t>
      </w:r>
      <w:r w:rsidRPr="00182566">
        <w:rPr>
          <w:rStyle w:val="eop"/>
          <w:rFonts w:ascii="Georgia" w:hAnsi="Georgia" w:cs="Segoe UI"/>
        </w:rPr>
        <w:t xml:space="preserve"> as this will enable the First-tier Tribunal to deal with it more efficiently.  </w:t>
      </w:r>
    </w:p>
    <w:p w14:paraId="7525DF82" w14:textId="77777777" w:rsidR="00D43C84" w:rsidRPr="00182566" w:rsidRDefault="00D43C84" w:rsidP="009E6823">
      <w:pPr>
        <w:pStyle w:val="paragraph"/>
        <w:keepNext/>
        <w:tabs>
          <w:tab w:val="left" w:pos="1276"/>
        </w:tabs>
        <w:spacing w:before="0" w:beforeAutospacing="0" w:after="0" w:afterAutospacing="0"/>
        <w:ind w:left="720" w:hanging="720"/>
        <w:jc w:val="both"/>
        <w:textAlignment w:val="baseline"/>
        <w:rPr>
          <w:rFonts w:ascii="Georgia" w:hAnsi="Georgia" w:cs="Segoe UI"/>
        </w:rPr>
      </w:pPr>
      <w:r w:rsidRPr="00182566">
        <w:rPr>
          <w:rStyle w:val="eop"/>
          <w:rFonts w:ascii="Georgia" w:hAnsi="Georgia" w:cs="Segoe UI"/>
        </w:rPr>
        <w:t> </w:t>
      </w:r>
    </w:p>
    <w:p w14:paraId="48FC6F71" w14:textId="77777777" w:rsidR="00D43C84" w:rsidRPr="00182566" w:rsidRDefault="00D43C84" w:rsidP="00D43C84">
      <w:pPr>
        <w:pStyle w:val="paragraph"/>
        <w:keepNext/>
        <w:numPr>
          <w:ilvl w:val="0"/>
          <w:numId w:val="13"/>
        </w:numPr>
        <w:tabs>
          <w:tab w:val="left" w:pos="1276"/>
        </w:tabs>
        <w:spacing w:before="0" w:beforeAutospacing="0" w:after="0" w:afterAutospacing="0"/>
        <w:jc w:val="both"/>
        <w:textAlignment w:val="baseline"/>
        <w:rPr>
          <w:rFonts w:ascii="Georgia" w:hAnsi="Georgia" w:cs="Segoe UI"/>
        </w:rPr>
      </w:pPr>
      <w:r w:rsidRPr="00182566">
        <w:rPr>
          <w:rStyle w:val="normaltextrun"/>
          <w:rFonts w:ascii="Georgia" w:hAnsi="Georgia" w:cs="Segoe UI"/>
        </w:rPr>
        <w:t>If the person wishing to appeal does not comply with the 28-day time limit, the person shall include with the application for permission to appeal a request for an extension of time and the reason for not complying with the 28-day time limit; the Tribunal will then decide whether to extend time or not to allow the application for permission to appeal to proceed.</w:t>
      </w:r>
      <w:r w:rsidRPr="00182566">
        <w:rPr>
          <w:rStyle w:val="eop"/>
          <w:rFonts w:ascii="Georgia" w:hAnsi="Georgia" w:cs="Segoe UI"/>
        </w:rPr>
        <w:t> </w:t>
      </w:r>
    </w:p>
    <w:p w14:paraId="174C2D93" w14:textId="77777777" w:rsidR="00D43C84" w:rsidRPr="00182566" w:rsidRDefault="00D43C84" w:rsidP="009E6823">
      <w:pPr>
        <w:pStyle w:val="paragraph"/>
        <w:keepNext/>
        <w:tabs>
          <w:tab w:val="left" w:pos="1276"/>
        </w:tabs>
        <w:spacing w:before="0" w:beforeAutospacing="0" w:after="0" w:afterAutospacing="0"/>
        <w:ind w:left="720" w:hanging="720"/>
        <w:jc w:val="both"/>
        <w:textAlignment w:val="baseline"/>
        <w:rPr>
          <w:rFonts w:ascii="Georgia" w:hAnsi="Georgia" w:cs="Segoe UI"/>
        </w:rPr>
      </w:pPr>
      <w:r w:rsidRPr="00182566">
        <w:rPr>
          <w:rStyle w:val="eop"/>
          <w:rFonts w:ascii="Georgia" w:hAnsi="Georgia" w:cs="Segoe UI"/>
        </w:rPr>
        <w:t> </w:t>
      </w:r>
    </w:p>
    <w:p w14:paraId="607D2CFA" w14:textId="77777777" w:rsidR="00D43C84" w:rsidRPr="00182566" w:rsidRDefault="00D43C84" w:rsidP="00D43C84">
      <w:pPr>
        <w:pStyle w:val="paragraph"/>
        <w:keepNext/>
        <w:numPr>
          <w:ilvl w:val="0"/>
          <w:numId w:val="13"/>
        </w:numPr>
        <w:tabs>
          <w:tab w:val="left" w:pos="1276"/>
        </w:tabs>
        <w:spacing w:before="0" w:beforeAutospacing="0" w:after="0" w:afterAutospacing="0"/>
        <w:jc w:val="both"/>
        <w:textAlignment w:val="baseline"/>
        <w:rPr>
          <w:rStyle w:val="normaltextrun"/>
          <w:rFonts w:ascii="Georgia" w:hAnsi="Georgia" w:cs="Segoe UI"/>
        </w:rPr>
      </w:pPr>
      <w:r w:rsidRPr="00182566">
        <w:rPr>
          <w:rStyle w:val="normaltextrun"/>
          <w:rFonts w:ascii="Georgia" w:hAnsi="Georgia" w:cs="Segoe UI"/>
        </w:rPr>
        <w:t>The application for permission to appeal must identify the decision of the Tribunal to which it relates, state the grounds of appeal, and state the result the person making the application is seeking.</w:t>
      </w:r>
    </w:p>
    <w:p w14:paraId="11165965" w14:textId="7AF205D6" w:rsidR="00D43C84" w:rsidRPr="00182566" w:rsidRDefault="00D43C84" w:rsidP="00D43C84">
      <w:pPr>
        <w:spacing w:after="160" w:line="278" w:lineRule="auto"/>
        <w:jc w:val="both"/>
        <w:rPr>
          <w:rFonts w:ascii="Georgia" w:hAnsi="Georgia"/>
        </w:rPr>
      </w:pPr>
    </w:p>
    <w:p w14:paraId="6FBF357A" w14:textId="1FC00063" w:rsidR="00DA38D5" w:rsidRPr="00182566" w:rsidRDefault="007C4E95" w:rsidP="00F33EE8">
      <w:pPr>
        <w:spacing w:before="240"/>
        <w:ind w:left="720"/>
        <w:jc w:val="center"/>
        <w:rPr>
          <w:rFonts w:ascii="Georgia" w:hAnsi="Georgia"/>
          <w:b/>
        </w:rPr>
      </w:pPr>
      <w:r w:rsidRPr="00182566">
        <w:rPr>
          <w:rFonts w:ascii="Georgia" w:hAnsi="Georgia"/>
          <w:b/>
        </w:rPr>
        <w:t>Schedule</w:t>
      </w:r>
    </w:p>
    <w:p w14:paraId="6A06AE29" w14:textId="77777777" w:rsidR="00F33EE8" w:rsidRPr="00182566" w:rsidRDefault="00F33EE8" w:rsidP="00F33EE8">
      <w:pPr>
        <w:spacing w:before="240"/>
        <w:ind w:left="720"/>
        <w:jc w:val="center"/>
        <w:rPr>
          <w:rFonts w:ascii="Georgia" w:hAnsi="Georgia"/>
          <w:b/>
        </w:rPr>
      </w:pPr>
    </w:p>
    <w:p w14:paraId="29BB6493" w14:textId="5A59DB87" w:rsidR="00F33EE8" w:rsidRPr="00182566" w:rsidRDefault="00F33EE8" w:rsidP="00F33EE8">
      <w:pPr>
        <w:rPr>
          <w:b/>
          <w:bCs/>
        </w:rPr>
      </w:pPr>
      <w:r w:rsidRPr="00182566">
        <w:rPr>
          <w:b/>
          <w:bCs/>
        </w:rPr>
        <w:t>Housing</w:t>
      </w:r>
      <w:r w:rsidR="00086B08" w:rsidRPr="00182566">
        <w:rPr>
          <w:b/>
          <w:bCs/>
        </w:rPr>
        <w:t xml:space="preserve"> </w:t>
      </w:r>
      <w:r w:rsidRPr="00182566">
        <w:rPr>
          <w:b/>
          <w:bCs/>
        </w:rPr>
        <w:t>and Planning Act 2016</w:t>
      </w:r>
    </w:p>
    <w:p w14:paraId="150E30AC" w14:textId="77777777" w:rsidR="00F33EE8" w:rsidRPr="00182566" w:rsidRDefault="00F33EE8" w:rsidP="00F33EE8">
      <w:pPr>
        <w:spacing w:after="160" w:line="278" w:lineRule="auto"/>
        <w:rPr>
          <w:b/>
          <w:bCs/>
        </w:rPr>
      </w:pPr>
      <w:r w:rsidRPr="00182566">
        <w:rPr>
          <w:b/>
          <w:bCs/>
        </w:rPr>
        <w:t>40 Introduction and key definitions</w:t>
      </w:r>
    </w:p>
    <w:p w14:paraId="5C6E0515" w14:textId="77777777" w:rsidR="00F33EE8" w:rsidRPr="00182566" w:rsidRDefault="00F33EE8" w:rsidP="00F33EE8">
      <w:pPr>
        <w:spacing w:line="278" w:lineRule="auto"/>
      </w:pPr>
      <w:r w:rsidRPr="00182566">
        <w:t>(1)  This Chapter confers power on the First-tier Tribunal to make a rent repayment order where a landlord has committed an offence to which this Chapter applies.</w:t>
      </w:r>
    </w:p>
    <w:p w14:paraId="03C5E53A" w14:textId="77777777" w:rsidR="00F33EE8" w:rsidRPr="00182566" w:rsidRDefault="00F33EE8" w:rsidP="00F33EE8">
      <w:pPr>
        <w:spacing w:line="278" w:lineRule="auto"/>
      </w:pPr>
      <w:r w:rsidRPr="00182566">
        <w:t>(2)  A rent repayment order is an order requiring the landlord under a tenancy of housing in England to—</w:t>
      </w:r>
    </w:p>
    <w:p w14:paraId="59F79971" w14:textId="77777777" w:rsidR="00F33EE8" w:rsidRPr="00182566" w:rsidRDefault="00F33EE8" w:rsidP="00F33EE8">
      <w:pPr>
        <w:spacing w:line="278" w:lineRule="auto"/>
      </w:pPr>
      <w:r w:rsidRPr="00182566">
        <w:t>(a)  repay an amount of rent paid by a tenant, or</w:t>
      </w:r>
    </w:p>
    <w:p w14:paraId="0AC666CF" w14:textId="77777777" w:rsidR="00F33EE8" w:rsidRPr="00182566" w:rsidRDefault="00F33EE8" w:rsidP="00F33EE8">
      <w:pPr>
        <w:spacing w:line="278" w:lineRule="auto"/>
      </w:pPr>
      <w:r w:rsidRPr="00182566">
        <w:t>(b)  pay a local housing authority an amount in respect of a relevant award of universal credit paid (to any person) in respect of rent under the tenancy.</w:t>
      </w:r>
    </w:p>
    <w:p w14:paraId="6E2748FB" w14:textId="40178E55" w:rsidR="00315577" w:rsidRPr="00182566" w:rsidRDefault="00315577" w:rsidP="00F33EE8">
      <w:pPr>
        <w:spacing w:line="278" w:lineRule="auto"/>
      </w:pPr>
      <w:r w:rsidRPr="00182566">
        <w:t>(3)  A reference to </w:t>
      </w:r>
      <w:r w:rsidRPr="00182566">
        <w:rPr>
          <w:i/>
          <w:iCs/>
        </w:rPr>
        <w:t>“an offence to which this Chapter applies” </w:t>
      </w:r>
      <w:r w:rsidRPr="00182566">
        <w:t> is to an offence, of a description specified in the table, that is committed by a landlord in relation to housing in England let by that landlord</w:t>
      </w:r>
    </w:p>
    <w:tbl>
      <w:tblPr>
        <w:tblW w:w="12475" w:type="dxa"/>
        <w:tblInd w:w="-8" w:type="dxa"/>
        <w:tblBorders>
          <w:top w:val="single" w:sz="6" w:space="0" w:color="DADADA"/>
          <w:left w:val="single" w:sz="6" w:space="0" w:color="DADADA"/>
          <w:bottom w:val="single" w:sz="6" w:space="0" w:color="DADADA"/>
          <w:right w:val="single" w:sz="6" w:space="0" w:color="DADADA"/>
        </w:tblBorders>
        <w:tblCellMar>
          <w:left w:w="0" w:type="dxa"/>
          <w:right w:w="0" w:type="dxa"/>
        </w:tblCellMar>
        <w:tblLook w:val="04A0" w:firstRow="1" w:lastRow="0" w:firstColumn="1" w:lastColumn="0" w:noHBand="0" w:noVBand="1"/>
      </w:tblPr>
      <w:tblGrid>
        <w:gridCol w:w="709"/>
        <w:gridCol w:w="2268"/>
        <w:gridCol w:w="1985"/>
        <w:gridCol w:w="7513"/>
      </w:tblGrid>
      <w:tr w:rsidR="00315577" w:rsidRPr="00182566" w14:paraId="0BE99B65" w14:textId="77777777" w:rsidTr="00653279">
        <w:tc>
          <w:tcPr>
            <w:tcW w:w="709" w:type="dxa"/>
            <w:tcBorders>
              <w:top w:val="single" w:sz="6" w:space="0" w:color="DADADA"/>
              <w:left w:val="single" w:sz="6" w:space="0" w:color="DADADA"/>
              <w:bottom w:val="single" w:sz="4" w:space="0" w:color="auto"/>
              <w:right w:val="single" w:sz="6" w:space="0" w:color="DADADA"/>
            </w:tcBorders>
          </w:tcPr>
          <w:p w14:paraId="70E2E3F8" w14:textId="77777777" w:rsidR="00315577" w:rsidRPr="00182566" w:rsidRDefault="00315577" w:rsidP="000D27D4">
            <w:pPr>
              <w:spacing w:after="160" w:line="278" w:lineRule="auto"/>
              <w:ind w:right="-1036"/>
              <w:rPr>
                <w:b/>
                <w:bCs/>
              </w:rPr>
            </w:pPr>
          </w:p>
        </w:tc>
        <w:tc>
          <w:tcPr>
            <w:tcW w:w="2268" w:type="dxa"/>
            <w:tcBorders>
              <w:top w:val="single" w:sz="6" w:space="0" w:color="DADADA"/>
              <w:left w:val="single" w:sz="6" w:space="0" w:color="DADADA"/>
              <w:bottom w:val="single" w:sz="4" w:space="0" w:color="auto"/>
              <w:right w:val="single" w:sz="6" w:space="0" w:color="DADADA"/>
            </w:tcBorders>
            <w:hideMark/>
          </w:tcPr>
          <w:p w14:paraId="20CC792F" w14:textId="0A4AC136" w:rsidR="00315577" w:rsidRPr="00182566" w:rsidRDefault="00315577" w:rsidP="000D27D4">
            <w:pPr>
              <w:spacing w:after="160" w:line="278" w:lineRule="auto"/>
              <w:ind w:right="-1036"/>
              <w:rPr>
                <w:b/>
                <w:bCs/>
              </w:rPr>
            </w:pPr>
            <w:r w:rsidRPr="00182566">
              <w:rPr>
                <w:b/>
                <w:bCs/>
              </w:rPr>
              <w:t>Act</w:t>
            </w:r>
          </w:p>
        </w:tc>
        <w:tc>
          <w:tcPr>
            <w:tcW w:w="1985" w:type="dxa"/>
            <w:tcBorders>
              <w:top w:val="single" w:sz="6" w:space="0" w:color="DADADA"/>
              <w:left w:val="single" w:sz="6" w:space="0" w:color="DADADA"/>
              <w:bottom w:val="single" w:sz="4" w:space="0" w:color="auto"/>
              <w:right w:val="single" w:sz="6" w:space="0" w:color="DADADA"/>
            </w:tcBorders>
            <w:hideMark/>
          </w:tcPr>
          <w:p w14:paraId="5F51CEC0" w14:textId="5EAB16FA" w:rsidR="00315577" w:rsidRPr="00182566" w:rsidRDefault="00315577" w:rsidP="00B413F4">
            <w:pPr>
              <w:spacing w:after="160" w:line="278" w:lineRule="auto"/>
              <w:rPr>
                <w:b/>
                <w:bCs/>
              </w:rPr>
            </w:pPr>
            <w:r w:rsidRPr="00182566">
              <w:rPr>
                <w:b/>
                <w:bCs/>
              </w:rPr>
              <w:t>Section</w:t>
            </w:r>
          </w:p>
        </w:tc>
        <w:tc>
          <w:tcPr>
            <w:tcW w:w="7513" w:type="dxa"/>
            <w:tcBorders>
              <w:top w:val="single" w:sz="6" w:space="0" w:color="DADADA"/>
              <w:left w:val="single" w:sz="6" w:space="0" w:color="DADADA"/>
              <w:bottom w:val="single" w:sz="4" w:space="0" w:color="auto"/>
              <w:right w:val="single" w:sz="6" w:space="0" w:color="DADADA"/>
            </w:tcBorders>
            <w:hideMark/>
          </w:tcPr>
          <w:p w14:paraId="607581F3" w14:textId="77777777" w:rsidR="00315577" w:rsidRPr="00182566" w:rsidRDefault="00315577" w:rsidP="00B413F4">
            <w:pPr>
              <w:spacing w:after="160" w:line="278" w:lineRule="auto"/>
              <w:rPr>
                <w:b/>
                <w:bCs/>
              </w:rPr>
            </w:pPr>
            <w:r w:rsidRPr="00182566">
              <w:rPr>
                <w:b/>
                <w:bCs/>
              </w:rPr>
              <w:t>general description of offence</w:t>
            </w:r>
          </w:p>
        </w:tc>
      </w:tr>
      <w:tr w:rsidR="00315577" w:rsidRPr="00182566" w14:paraId="11803D09" w14:textId="77777777" w:rsidTr="00653279">
        <w:tc>
          <w:tcPr>
            <w:tcW w:w="709" w:type="dxa"/>
            <w:tcBorders>
              <w:top w:val="single" w:sz="4" w:space="0" w:color="auto"/>
              <w:left w:val="single" w:sz="6" w:space="0" w:color="DADADA"/>
              <w:bottom w:val="single" w:sz="6" w:space="0" w:color="DADADA"/>
              <w:right w:val="single" w:sz="6" w:space="0" w:color="DADADA"/>
            </w:tcBorders>
          </w:tcPr>
          <w:p w14:paraId="65AD9709" w14:textId="0B051DD0" w:rsidR="00315577" w:rsidRPr="00182566" w:rsidRDefault="00315577" w:rsidP="00B413F4">
            <w:pPr>
              <w:spacing w:after="160" w:line="278" w:lineRule="auto"/>
            </w:pPr>
            <w:r w:rsidRPr="00182566">
              <w:t>1</w:t>
            </w:r>
          </w:p>
        </w:tc>
        <w:tc>
          <w:tcPr>
            <w:tcW w:w="2268" w:type="dxa"/>
            <w:tcBorders>
              <w:top w:val="single" w:sz="4" w:space="0" w:color="auto"/>
              <w:left w:val="single" w:sz="6" w:space="0" w:color="DADADA"/>
              <w:bottom w:val="single" w:sz="6" w:space="0" w:color="DADADA"/>
              <w:right w:val="single" w:sz="6" w:space="0" w:color="DADADA"/>
            </w:tcBorders>
            <w:hideMark/>
          </w:tcPr>
          <w:p w14:paraId="0E93DFDD" w14:textId="3DA1ABF1" w:rsidR="00315577" w:rsidRPr="00182566" w:rsidRDefault="00315577" w:rsidP="00B413F4">
            <w:pPr>
              <w:spacing w:after="160" w:line="278" w:lineRule="auto"/>
            </w:pPr>
            <w:hyperlink r:id="rId17" w:history="1">
              <w:r w:rsidRPr="00182566">
                <w:rPr>
                  <w:rStyle w:val="Hyperlink"/>
                </w:rPr>
                <w:t>Criminal Law Act 1977</w:t>
              </w:r>
            </w:hyperlink>
          </w:p>
        </w:tc>
        <w:tc>
          <w:tcPr>
            <w:tcW w:w="1985" w:type="dxa"/>
            <w:tcBorders>
              <w:top w:val="single" w:sz="4" w:space="0" w:color="auto"/>
              <w:left w:val="single" w:sz="6" w:space="0" w:color="DADADA"/>
              <w:bottom w:val="single" w:sz="6" w:space="0" w:color="DADADA"/>
              <w:right w:val="single" w:sz="6" w:space="0" w:color="DADADA"/>
            </w:tcBorders>
            <w:hideMark/>
          </w:tcPr>
          <w:p w14:paraId="59FFD55C" w14:textId="15396671" w:rsidR="00315577" w:rsidRPr="00182566" w:rsidRDefault="00315577" w:rsidP="00B413F4">
            <w:pPr>
              <w:spacing w:after="160" w:line="278" w:lineRule="auto"/>
            </w:pPr>
            <w:hyperlink r:id="rId18" w:history="1">
              <w:r w:rsidRPr="00182566">
                <w:rPr>
                  <w:rStyle w:val="Hyperlink"/>
                </w:rPr>
                <w:t>section 6(1)</w:t>
              </w:r>
            </w:hyperlink>
          </w:p>
        </w:tc>
        <w:tc>
          <w:tcPr>
            <w:tcW w:w="7513" w:type="dxa"/>
            <w:tcBorders>
              <w:top w:val="single" w:sz="4" w:space="0" w:color="auto"/>
              <w:left w:val="single" w:sz="6" w:space="0" w:color="DADADA"/>
              <w:bottom w:val="single" w:sz="6" w:space="0" w:color="DADADA"/>
              <w:right w:val="single" w:sz="6" w:space="0" w:color="DADADA"/>
            </w:tcBorders>
            <w:hideMark/>
          </w:tcPr>
          <w:p w14:paraId="46A90D7A" w14:textId="77777777" w:rsidR="00315577" w:rsidRPr="00182566" w:rsidRDefault="00315577" w:rsidP="00B413F4">
            <w:pPr>
              <w:spacing w:after="160" w:line="278" w:lineRule="auto"/>
            </w:pPr>
            <w:r w:rsidRPr="00182566">
              <w:t>violence for securing entry</w:t>
            </w:r>
          </w:p>
        </w:tc>
      </w:tr>
      <w:tr w:rsidR="00315577" w:rsidRPr="00182566" w14:paraId="3BBB6DFE" w14:textId="77777777" w:rsidTr="00315577">
        <w:tc>
          <w:tcPr>
            <w:tcW w:w="709" w:type="dxa"/>
            <w:tcBorders>
              <w:top w:val="single" w:sz="6" w:space="0" w:color="DADADA"/>
              <w:left w:val="single" w:sz="6" w:space="0" w:color="DADADA"/>
              <w:bottom w:val="single" w:sz="6" w:space="0" w:color="DADADA"/>
              <w:right w:val="single" w:sz="6" w:space="0" w:color="DADADA"/>
            </w:tcBorders>
          </w:tcPr>
          <w:p w14:paraId="454C0B88" w14:textId="5E556736" w:rsidR="00315577" w:rsidRPr="00182566" w:rsidRDefault="00315577" w:rsidP="00B413F4">
            <w:pPr>
              <w:spacing w:after="160" w:line="278" w:lineRule="auto"/>
            </w:pPr>
            <w:r w:rsidRPr="00182566">
              <w:t>2</w:t>
            </w:r>
          </w:p>
        </w:tc>
        <w:tc>
          <w:tcPr>
            <w:tcW w:w="2268" w:type="dxa"/>
            <w:tcBorders>
              <w:top w:val="single" w:sz="6" w:space="0" w:color="DADADA"/>
              <w:left w:val="single" w:sz="6" w:space="0" w:color="DADADA"/>
              <w:bottom w:val="single" w:sz="6" w:space="0" w:color="DADADA"/>
              <w:right w:val="single" w:sz="6" w:space="0" w:color="DADADA"/>
            </w:tcBorders>
            <w:hideMark/>
          </w:tcPr>
          <w:p w14:paraId="722F38C8" w14:textId="01722426" w:rsidR="00315577" w:rsidRPr="00182566" w:rsidRDefault="00315577" w:rsidP="00B413F4">
            <w:pPr>
              <w:spacing w:after="160" w:line="278" w:lineRule="auto"/>
            </w:pPr>
            <w:hyperlink r:id="rId19" w:history="1">
              <w:r w:rsidRPr="00182566">
                <w:rPr>
                  <w:rStyle w:val="Hyperlink"/>
                </w:rPr>
                <w:t>Protection from Eviction Act 1977</w:t>
              </w:r>
            </w:hyperlink>
          </w:p>
        </w:tc>
        <w:tc>
          <w:tcPr>
            <w:tcW w:w="1985" w:type="dxa"/>
            <w:tcBorders>
              <w:top w:val="single" w:sz="6" w:space="0" w:color="DADADA"/>
              <w:left w:val="single" w:sz="6" w:space="0" w:color="DADADA"/>
              <w:bottom w:val="single" w:sz="6" w:space="0" w:color="DADADA"/>
              <w:right w:val="single" w:sz="6" w:space="0" w:color="DADADA"/>
            </w:tcBorders>
            <w:hideMark/>
          </w:tcPr>
          <w:p w14:paraId="18A240AD" w14:textId="6B026A78" w:rsidR="00315577" w:rsidRPr="00182566" w:rsidRDefault="00315577" w:rsidP="00B413F4">
            <w:pPr>
              <w:spacing w:after="160" w:line="278" w:lineRule="auto"/>
            </w:pPr>
            <w:hyperlink r:id="rId20" w:history="1">
              <w:r w:rsidRPr="00182566">
                <w:rPr>
                  <w:rStyle w:val="Hyperlink"/>
                </w:rPr>
                <w:t>section 1(2)</w:t>
              </w:r>
            </w:hyperlink>
            <w:r w:rsidRPr="00182566">
              <w:t>, </w:t>
            </w:r>
            <w:hyperlink r:id="rId21" w:history="1">
              <w:r w:rsidRPr="00182566">
                <w:rPr>
                  <w:rStyle w:val="Hyperlink"/>
                </w:rPr>
                <w:t>(3) or (3A)</w:t>
              </w:r>
            </w:hyperlink>
          </w:p>
        </w:tc>
        <w:tc>
          <w:tcPr>
            <w:tcW w:w="7513" w:type="dxa"/>
            <w:tcBorders>
              <w:top w:val="single" w:sz="6" w:space="0" w:color="DADADA"/>
              <w:left w:val="single" w:sz="6" w:space="0" w:color="DADADA"/>
              <w:bottom w:val="single" w:sz="6" w:space="0" w:color="DADADA"/>
              <w:right w:val="single" w:sz="6" w:space="0" w:color="DADADA"/>
            </w:tcBorders>
            <w:hideMark/>
          </w:tcPr>
          <w:p w14:paraId="2397F59B" w14:textId="77777777" w:rsidR="00315577" w:rsidRPr="00182566" w:rsidRDefault="00315577" w:rsidP="00B413F4">
            <w:pPr>
              <w:spacing w:after="160" w:line="278" w:lineRule="auto"/>
            </w:pPr>
            <w:r w:rsidRPr="00182566">
              <w:t>eviction or harassment of occupiers</w:t>
            </w:r>
          </w:p>
        </w:tc>
      </w:tr>
      <w:tr w:rsidR="00315577" w:rsidRPr="00182566" w14:paraId="06BECF36" w14:textId="77777777" w:rsidTr="00315577">
        <w:tc>
          <w:tcPr>
            <w:tcW w:w="709" w:type="dxa"/>
            <w:tcBorders>
              <w:top w:val="single" w:sz="6" w:space="0" w:color="DADADA"/>
              <w:left w:val="single" w:sz="6" w:space="0" w:color="DADADA"/>
              <w:bottom w:val="single" w:sz="6" w:space="0" w:color="DADADA"/>
              <w:right w:val="single" w:sz="6" w:space="0" w:color="DADADA"/>
            </w:tcBorders>
          </w:tcPr>
          <w:p w14:paraId="60C822F0" w14:textId="0D657ABB" w:rsidR="00315577" w:rsidRPr="00182566" w:rsidRDefault="00315577" w:rsidP="00B413F4">
            <w:pPr>
              <w:spacing w:after="160" w:line="278" w:lineRule="auto"/>
            </w:pPr>
            <w:r w:rsidRPr="00182566">
              <w:t>3</w:t>
            </w:r>
          </w:p>
        </w:tc>
        <w:tc>
          <w:tcPr>
            <w:tcW w:w="2268" w:type="dxa"/>
            <w:tcBorders>
              <w:top w:val="single" w:sz="6" w:space="0" w:color="DADADA"/>
              <w:left w:val="single" w:sz="6" w:space="0" w:color="DADADA"/>
              <w:bottom w:val="single" w:sz="6" w:space="0" w:color="DADADA"/>
              <w:right w:val="single" w:sz="6" w:space="0" w:color="DADADA"/>
            </w:tcBorders>
            <w:hideMark/>
          </w:tcPr>
          <w:p w14:paraId="20E2C442" w14:textId="6D803EC6" w:rsidR="00315577" w:rsidRPr="00182566" w:rsidRDefault="00315577" w:rsidP="00B413F4">
            <w:pPr>
              <w:spacing w:after="160" w:line="278" w:lineRule="auto"/>
            </w:pPr>
            <w:hyperlink r:id="rId22" w:history="1">
              <w:r w:rsidRPr="00182566">
                <w:rPr>
                  <w:rStyle w:val="Hyperlink"/>
                </w:rPr>
                <w:t>Housing Act 2004</w:t>
              </w:r>
            </w:hyperlink>
          </w:p>
        </w:tc>
        <w:tc>
          <w:tcPr>
            <w:tcW w:w="1985" w:type="dxa"/>
            <w:tcBorders>
              <w:top w:val="single" w:sz="6" w:space="0" w:color="DADADA"/>
              <w:left w:val="single" w:sz="6" w:space="0" w:color="DADADA"/>
              <w:bottom w:val="single" w:sz="6" w:space="0" w:color="DADADA"/>
              <w:right w:val="single" w:sz="6" w:space="0" w:color="DADADA"/>
            </w:tcBorders>
            <w:hideMark/>
          </w:tcPr>
          <w:p w14:paraId="368FCF46" w14:textId="36778C35" w:rsidR="00315577" w:rsidRPr="00182566" w:rsidRDefault="00315577" w:rsidP="00B413F4">
            <w:pPr>
              <w:spacing w:after="160" w:line="278" w:lineRule="auto"/>
            </w:pPr>
            <w:hyperlink r:id="rId23" w:history="1">
              <w:r w:rsidRPr="00182566">
                <w:rPr>
                  <w:rStyle w:val="Hyperlink"/>
                </w:rPr>
                <w:t>section 30(1)</w:t>
              </w:r>
            </w:hyperlink>
          </w:p>
        </w:tc>
        <w:tc>
          <w:tcPr>
            <w:tcW w:w="7513" w:type="dxa"/>
            <w:tcBorders>
              <w:top w:val="single" w:sz="6" w:space="0" w:color="DADADA"/>
              <w:left w:val="single" w:sz="6" w:space="0" w:color="DADADA"/>
              <w:bottom w:val="single" w:sz="6" w:space="0" w:color="DADADA"/>
              <w:right w:val="single" w:sz="6" w:space="0" w:color="DADADA"/>
            </w:tcBorders>
            <w:hideMark/>
          </w:tcPr>
          <w:p w14:paraId="460F8C38" w14:textId="77777777" w:rsidR="00315577" w:rsidRPr="00182566" w:rsidRDefault="00315577" w:rsidP="00B413F4">
            <w:pPr>
              <w:spacing w:after="160" w:line="278" w:lineRule="auto"/>
            </w:pPr>
            <w:r w:rsidRPr="00182566">
              <w:t>failure to comply with improvement notice</w:t>
            </w:r>
          </w:p>
        </w:tc>
      </w:tr>
      <w:tr w:rsidR="00315577" w:rsidRPr="00182566" w14:paraId="00EA2883" w14:textId="77777777" w:rsidTr="00315577">
        <w:tc>
          <w:tcPr>
            <w:tcW w:w="709" w:type="dxa"/>
            <w:tcBorders>
              <w:top w:val="single" w:sz="6" w:space="0" w:color="DADADA"/>
              <w:left w:val="single" w:sz="6" w:space="0" w:color="DADADA"/>
              <w:bottom w:val="single" w:sz="6" w:space="0" w:color="DADADA"/>
              <w:right w:val="single" w:sz="6" w:space="0" w:color="DADADA"/>
            </w:tcBorders>
          </w:tcPr>
          <w:p w14:paraId="36B9B60E" w14:textId="092211EF" w:rsidR="00315577" w:rsidRPr="00182566" w:rsidRDefault="00315577" w:rsidP="00B413F4">
            <w:pPr>
              <w:spacing w:after="160" w:line="278" w:lineRule="auto"/>
            </w:pPr>
            <w:r w:rsidRPr="00182566">
              <w:t>4</w:t>
            </w:r>
          </w:p>
        </w:tc>
        <w:tc>
          <w:tcPr>
            <w:tcW w:w="2268" w:type="dxa"/>
            <w:tcBorders>
              <w:top w:val="single" w:sz="6" w:space="0" w:color="DADADA"/>
              <w:left w:val="single" w:sz="6" w:space="0" w:color="DADADA"/>
              <w:bottom w:val="single" w:sz="6" w:space="0" w:color="DADADA"/>
              <w:right w:val="single" w:sz="6" w:space="0" w:color="DADADA"/>
            </w:tcBorders>
            <w:hideMark/>
          </w:tcPr>
          <w:p w14:paraId="231BD3A0" w14:textId="5B390D22" w:rsidR="00315577" w:rsidRPr="00182566" w:rsidRDefault="00315577" w:rsidP="00B413F4">
            <w:pPr>
              <w:spacing w:after="160" w:line="278" w:lineRule="auto"/>
            </w:pPr>
          </w:p>
        </w:tc>
        <w:tc>
          <w:tcPr>
            <w:tcW w:w="1985" w:type="dxa"/>
            <w:tcBorders>
              <w:top w:val="single" w:sz="6" w:space="0" w:color="DADADA"/>
              <w:left w:val="single" w:sz="6" w:space="0" w:color="DADADA"/>
              <w:bottom w:val="single" w:sz="6" w:space="0" w:color="DADADA"/>
              <w:right w:val="single" w:sz="6" w:space="0" w:color="DADADA"/>
            </w:tcBorders>
            <w:hideMark/>
          </w:tcPr>
          <w:p w14:paraId="7D926E73" w14:textId="026C1039" w:rsidR="00315577" w:rsidRPr="00182566" w:rsidRDefault="00315577" w:rsidP="00B413F4">
            <w:pPr>
              <w:spacing w:after="160" w:line="278" w:lineRule="auto"/>
            </w:pPr>
            <w:hyperlink r:id="rId24" w:history="1">
              <w:r w:rsidRPr="00182566">
                <w:rPr>
                  <w:rStyle w:val="Hyperlink"/>
                </w:rPr>
                <w:t>section 32(1)</w:t>
              </w:r>
            </w:hyperlink>
          </w:p>
        </w:tc>
        <w:tc>
          <w:tcPr>
            <w:tcW w:w="7513" w:type="dxa"/>
            <w:tcBorders>
              <w:top w:val="single" w:sz="6" w:space="0" w:color="DADADA"/>
              <w:left w:val="single" w:sz="6" w:space="0" w:color="DADADA"/>
              <w:bottom w:val="single" w:sz="6" w:space="0" w:color="DADADA"/>
              <w:right w:val="single" w:sz="6" w:space="0" w:color="DADADA"/>
            </w:tcBorders>
            <w:hideMark/>
          </w:tcPr>
          <w:p w14:paraId="75A41CFF" w14:textId="77777777" w:rsidR="00315577" w:rsidRPr="00182566" w:rsidRDefault="00315577" w:rsidP="00B413F4">
            <w:pPr>
              <w:spacing w:after="160" w:line="278" w:lineRule="auto"/>
            </w:pPr>
            <w:r w:rsidRPr="00182566">
              <w:t>failure to comply with prohibition order etc</w:t>
            </w:r>
          </w:p>
        </w:tc>
      </w:tr>
      <w:tr w:rsidR="00315577" w:rsidRPr="00182566" w14:paraId="14899807" w14:textId="77777777" w:rsidTr="00315577">
        <w:tc>
          <w:tcPr>
            <w:tcW w:w="709" w:type="dxa"/>
            <w:tcBorders>
              <w:top w:val="single" w:sz="6" w:space="0" w:color="DADADA"/>
              <w:left w:val="single" w:sz="6" w:space="0" w:color="DADADA"/>
              <w:bottom w:val="single" w:sz="6" w:space="0" w:color="DADADA"/>
              <w:right w:val="single" w:sz="6" w:space="0" w:color="DADADA"/>
            </w:tcBorders>
          </w:tcPr>
          <w:p w14:paraId="5983C534" w14:textId="7B16A190" w:rsidR="00315577" w:rsidRPr="00182566" w:rsidRDefault="00315577" w:rsidP="00B413F4">
            <w:pPr>
              <w:spacing w:after="160" w:line="278" w:lineRule="auto"/>
            </w:pPr>
            <w:r w:rsidRPr="00182566">
              <w:t>5</w:t>
            </w:r>
          </w:p>
        </w:tc>
        <w:tc>
          <w:tcPr>
            <w:tcW w:w="2268" w:type="dxa"/>
            <w:tcBorders>
              <w:top w:val="single" w:sz="6" w:space="0" w:color="DADADA"/>
              <w:left w:val="single" w:sz="6" w:space="0" w:color="DADADA"/>
              <w:bottom w:val="single" w:sz="6" w:space="0" w:color="DADADA"/>
              <w:right w:val="single" w:sz="6" w:space="0" w:color="DADADA"/>
            </w:tcBorders>
            <w:hideMark/>
          </w:tcPr>
          <w:p w14:paraId="32044465" w14:textId="392848F6" w:rsidR="00315577" w:rsidRPr="00182566" w:rsidRDefault="00315577" w:rsidP="00B413F4">
            <w:pPr>
              <w:spacing w:after="160" w:line="278" w:lineRule="auto"/>
            </w:pPr>
          </w:p>
        </w:tc>
        <w:tc>
          <w:tcPr>
            <w:tcW w:w="1985" w:type="dxa"/>
            <w:tcBorders>
              <w:top w:val="single" w:sz="6" w:space="0" w:color="DADADA"/>
              <w:left w:val="single" w:sz="6" w:space="0" w:color="DADADA"/>
              <w:bottom w:val="single" w:sz="6" w:space="0" w:color="DADADA"/>
              <w:right w:val="single" w:sz="6" w:space="0" w:color="DADADA"/>
            </w:tcBorders>
            <w:hideMark/>
          </w:tcPr>
          <w:p w14:paraId="68C093A5" w14:textId="35E1C72F" w:rsidR="00315577" w:rsidRPr="00182566" w:rsidRDefault="00315577" w:rsidP="00B413F4">
            <w:pPr>
              <w:spacing w:after="160" w:line="278" w:lineRule="auto"/>
            </w:pPr>
            <w:hyperlink r:id="rId25" w:history="1">
              <w:r w:rsidRPr="00182566">
                <w:rPr>
                  <w:rStyle w:val="Hyperlink"/>
                </w:rPr>
                <w:t>section 72(1)</w:t>
              </w:r>
            </w:hyperlink>
          </w:p>
        </w:tc>
        <w:tc>
          <w:tcPr>
            <w:tcW w:w="7513" w:type="dxa"/>
            <w:tcBorders>
              <w:top w:val="single" w:sz="6" w:space="0" w:color="DADADA"/>
              <w:left w:val="single" w:sz="6" w:space="0" w:color="DADADA"/>
              <w:bottom w:val="single" w:sz="6" w:space="0" w:color="DADADA"/>
              <w:right w:val="single" w:sz="6" w:space="0" w:color="DADADA"/>
            </w:tcBorders>
            <w:hideMark/>
          </w:tcPr>
          <w:p w14:paraId="3EED04EF" w14:textId="77777777" w:rsidR="00315577" w:rsidRPr="00182566" w:rsidRDefault="00315577" w:rsidP="00B413F4">
            <w:pPr>
              <w:spacing w:after="160" w:line="278" w:lineRule="auto"/>
            </w:pPr>
            <w:r w:rsidRPr="00182566">
              <w:t>control or management of unlicensed HMO</w:t>
            </w:r>
          </w:p>
        </w:tc>
      </w:tr>
      <w:tr w:rsidR="00315577" w:rsidRPr="00182566" w14:paraId="2A35047A" w14:textId="77777777" w:rsidTr="00315577">
        <w:tc>
          <w:tcPr>
            <w:tcW w:w="709" w:type="dxa"/>
            <w:tcBorders>
              <w:top w:val="single" w:sz="6" w:space="0" w:color="DADADA"/>
              <w:left w:val="single" w:sz="6" w:space="0" w:color="DADADA"/>
              <w:bottom w:val="single" w:sz="6" w:space="0" w:color="DADADA"/>
              <w:right w:val="single" w:sz="6" w:space="0" w:color="DADADA"/>
            </w:tcBorders>
          </w:tcPr>
          <w:p w14:paraId="40E7EEED" w14:textId="2E4103CE" w:rsidR="00315577" w:rsidRPr="00182566" w:rsidRDefault="00315577" w:rsidP="00B413F4">
            <w:pPr>
              <w:spacing w:after="160" w:line="278" w:lineRule="auto"/>
            </w:pPr>
            <w:r w:rsidRPr="00182566">
              <w:t>6</w:t>
            </w:r>
          </w:p>
        </w:tc>
        <w:tc>
          <w:tcPr>
            <w:tcW w:w="2268" w:type="dxa"/>
            <w:tcBorders>
              <w:top w:val="single" w:sz="6" w:space="0" w:color="DADADA"/>
              <w:left w:val="single" w:sz="6" w:space="0" w:color="DADADA"/>
              <w:bottom w:val="single" w:sz="6" w:space="0" w:color="DADADA"/>
              <w:right w:val="single" w:sz="6" w:space="0" w:color="DADADA"/>
            </w:tcBorders>
            <w:hideMark/>
          </w:tcPr>
          <w:p w14:paraId="197BAA95" w14:textId="18604947" w:rsidR="00315577" w:rsidRPr="00182566" w:rsidRDefault="00315577" w:rsidP="00B413F4">
            <w:pPr>
              <w:spacing w:after="160" w:line="278" w:lineRule="auto"/>
            </w:pPr>
          </w:p>
        </w:tc>
        <w:tc>
          <w:tcPr>
            <w:tcW w:w="1985" w:type="dxa"/>
            <w:tcBorders>
              <w:top w:val="single" w:sz="6" w:space="0" w:color="DADADA"/>
              <w:left w:val="single" w:sz="6" w:space="0" w:color="DADADA"/>
              <w:bottom w:val="single" w:sz="6" w:space="0" w:color="DADADA"/>
              <w:right w:val="single" w:sz="6" w:space="0" w:color="DADADA"/>
            </w:tcBorders>
            <w:hideMark/>
          </w:tcPr>
          <w:p w14:paraId="384BD5BE" w14:textId="59EAD6C4" w:rsidR="00315577" w:rsidRPr="00182566" w:rsidRDefault="00315577" w:rsidP="00B413F4">
            <w:pPr>
              <w:spacing w:after="160" w:line="278" w:lineRule="auto"/>
            </w:pPr>
            <w:hyperlink r:id="rId26" w:history="1">
              <w:r w:rsidRPr="00182566">
                <w:rPr>
                  <w:rStyle w:val="Hyperlink"/>
                </w:rPr>
                <w:t>section 95(1)</w:t>
              </w:r>
            </w:hyperlink>
          </w:p>
        </w:tc>
        <w:tc>
          <w:tcPr>
            <w:tcW w:w="7513" w:type="dxa"/>
            <w:tcBorders>
              <w:top w:val="single" w:sz="6" w:space="0" w:color="DADADA"/>
              <w:left w:val="single" w:sz="6" w:space="0" w:color="DADADA"/>
              <w:bottom w:val="single" w:sz="6" w:space="0" w:color="DADADA"/>
              <w:right w:val="single" w:sz="6" w:space="0" w:color="DADADA"/>
            </w:tcBorders>
            <w:hideMark/>
          </w:tcPr>
          <w:p w14:paraId="5053BC07" w14:textId="77777777" w:rsidR="00315577" w:rsidRPr="00182566" w:rsidRDefault="00315577" w:rsidP="00B413F4">
            <w:pPr>
              <w:spacing w:after="160" w:line="278" w:lineRule="auto"/>
            </w:pPr>
            <w:r w:rsidRPr="00182566">
              <w:t>control or management of unlicensed house</w:t>
            </w:r>
          </w:p>
        </w:tc>
      </w:tr>
      <w:tr w:rsidR="00315577" w:rsidRPr="00182566" w14:paraId="3CD43274" w14:textId="77777777" w:rsidTr="00315577">
        <w:tc>
          <w:tcPr>
            <w:tcW w:w="709" w:type="dxa"/>
            <w:tcBorders>
              <w:top w:val="single" w:sz="6" w:space="0" w:color="DADADA"/>
              <w:left w:val="single" w:sz="6" w:space="0" w:color="DADADA"/>
              <w:bottom w:val="single" w:sz="6" w:space="0" w:color="DADADA"/>
              <w:right w:val="single" w:sz="6" w:space="0" w:color="DADADA"/>
            </w:tcBorders>
          </w:tcPr>
          <w:p w14:paraId="7CD060FB" w14:textId="0F3BBE4B" w:rsidR="00315577" w:rsidRPr="00182566" w:rsidRDefault="00315577" w:rsidP="00B413F4">
            <w:pPr>
              <w:spacing w:after="160" w:line="278" w:lineRule="auto"/>
            </w:pPr>
            <w:r w:rsidRPr="00182566">
              <w:t>7</w:t>
            </w:r>
          </w:p>
        </w:tc>
        <w:tc>
          <w:tcPr>
            <w:tcW w:w="2268" w:type="dxa"/>
            <w:tcBorders>
              <w:top w:val="single" w:sz="6" w:space="0" w:color="DADADA"/>
              <w:left w:val="single" w:sz="6" w:space="0" w:color="DADADA"/>
              <w:bottom w:val="single" w:sz="6" w:space="0" w:color="DADADA"/>
              <w:right w:val="single" w:sz="6" w:space="0" w:color="DADADA"/>
            </w:tcBorders>
            <w:hideMark/>
          </w:tcPr>
          <w:p w14:paraId="56A3C458" w14:textId="3CE37370" w:rsidR="00315577" w:rsidRPr="00182566" w:rsidRDefault="00315577" w:rsidP="00B413F4">
            <w:pPr>
              <w:spacing w:after="160" w:line="278" w:lineRule="auto"/>
            </w:pPr>
            <w:r w:rsidRPr="00182566">
              <w:t>This Act</w:t>
            </w:r>
          </w:p>
        </w:tc>
        <w:tc>
          <w:tcPr>
            <w:tcW w:w="1985" w:type="dxa"/>
            <w:tcBorders>
              <w:top w:val="single" w:sz="6" w:space="0" w:color="DADADA"/>
              <w:left w:val="single" w:sz="6" w:space="0" w:color="DADADA"/>
              <w:bottom w:val="single" w:sz="6" w:space="0" w:color="DADADA"/>
              <w:right w:val="single" w:sz="6" w:space="0" w:color="DADADA"/>
            </w:tcBorders>
            <w:hideMark/>
          </w:tcPr>
          <w:p w14:paraId="63B04167" w14:textId="61D38BD0" w:rsidR="00315577" w:rsidRPr="00182566" w:rsidRDefault="00315577" w:rsidP="00B413F4">
            <w:pPr>
              <w:spacing w:after="160" w:line="278" w:lineRule="auto"/>
            </w:pPr>
            <w:hyperlink r:id="rId27" w:history="1">
              <w:r w:rsidRPr="00182566">
                <w:rPr>
                  <w:rStyle w:val="Hyperlink"/>
                </w:rPr>
                <w:t>section 21</w:t>
              </w:r>
            </w:hyperlink>
          </w:p>
        </w:tc>
        <w:tc>
          <w:tcPr>
            <w:tcW w:w="7513" w:type="dxa"/>
            <w:tcBorders>
              <w:top w:val="single" w:sz="6" w:space="0" w:color="DADADA"/>
              <w:left w:val="single" w:sz="6" w:space="0" w:color="DADADA"/>
              <w:bottom w:val="single" w:sz="6" w:space="0" w:color="DADADA"/>
              <w:right w:val="single" w:sz="6" w:space="0" w:color="DADADA"/>
            </w:tcBorders>
            <w:hideMark/>
          </w:tcPr>
          <w:p w14:paraId="7BC9F9A9" w14:textId="77777777" w:rsidR="00315577" w:rsidRPr="00182566" w:rsidRDefault="00315577" w:rsidP="00B413F4">
            <w:pPr>
              <w:spacing w:after="160" w:line="278" w:lineRule="auto"/>
            </w:pPr>
            <w:r w:rsidRPr="00182566">
              <w:t>breach of banning order</w:t>
            </w:r>
          </w:p>
        </w:tc>
      </w:tr>
    </w:tbl>
    <w:p w14:paraId="33A04F47" w14:textId="0600AEB3" w:rsidR="00F33EE8" w:rsidRPr="00182566" w:rsidRDefault="00F33EE8" w:rsidP="00F33EE8">
      <w:pPr>
        <w:spacing w:after="160" w:line="278" w:lineRule="auto"/>
      </w:pPr>
      <w:r w:rsidRPr="00182566">
        <w:t>(4)  For the purposes of subsection (3), an offence under </w:t>
      </w:r>
      <w:hyperlink r:id="rId28" w:history="1">
        <w:r w:rsidRPr="00182566">
          <w:rPr>
            <w:rStyle w:val="Hyperlink"/>
          </w:rPr>
          <w:t>section 30(1)</w:t>
        </w:r>
      </w:hyperlink>
      <w:r w:rsidRPr="00182566">
        <w:t> or </w:t>
      </w:r>
      <w:hyperlink r:id="rId29" w:history="1">
        <w:r w:rsidRPr="00182566">
          <w:rPr>
            <w:rStyle w:val="Hyperlink"/>
          </w:rPr>
          <w:t>32(1)</w:t>
        </w:r>
      </w:hyperlink>
      <w:r w:rsidRPr="00182566">
        <w:t> of the </w:t>
      </w:r>
      <w:hyperlink r:id="rId30" w:history="1">
        <w:r w:rsidRPr="00182566">
          <w:rPr>
            <w:rStyle w:val="Hyperlink"/>
          </w:rPr>
          <w:t>Housing Act 2004</w:t>
        </w:r>
      </w:hyperlink>
      <w:r w:rsidRPr="00182566">
        <w:t xml:space="preserve"> is committed in relation to housing in England let by a landlord </w:t>
      </w:r>
      <w:r w:rsidRPr="00182566">
        <w:lastRenderedPageBreak/>
        <w:t>only if the improvement notice or prohibition order mentioned in that section was given in respect of a hazard on the premises let by the landlord (as opposed, for example, to common parts).</w:t>
      </w:r>
    </w:p>
    <w:p w14:paraId="280E270B" w14:textId="77777777" w:rsidR="00F33EE8" w:rsidRPr="00182566" w:rsidRDefault="00F33EE8" w:rsidP="00F33EE8">
      <w:pPr>
        <w:spacing w:after="160" w:line="278" w:lineRule="auto"/>
        <w:rPr>
          <w:b/>
          <w:bCs/>
        </w:rPr>
      </w:pPr>
      <w:r w:rsidRPr="00182566">
        <w:rPr>
          <w:b/>
          <w:bCs/>
        </w:rPr>
        <w:t>43 Making of rent repayment order</w:t>
      </w:r>
    </w:p>
    <w:p w14:paraId="41FC9914" w14:textId="77777777" w:rsidR="00F33EE8" w:rsidRPr="00182566" w:rsidRDefault="00F33EE8" w:rsidP="00653279">
      <w:pPr>
        <w:spacing w:line="278" w:lineRule="auto"/>
      </w:pPr>
      <w:r w:rsidRPr="00182566">
        <w:t>(1)  The First-tier Tribunal may make a rent repayment order if satisfied, beyond reasonable doubt, that a landlord has committed an offence to which this Chapter applies (whether or not the landlord has been convicted).</w:t>
      </w:r>
    </w:p>
    <w:p w14:paraId="12896411" w14:textId="615E1B83" w:rsidR="00F33EE8" w:rsidRPr="00182566" w:rsidRDefault="00F33EE8" w:rsidP="00653279">
      <w:pPr>
        <w:spacing w:line="278" w:lineRule="auto"/>
      </w:pPr>
      <w:r w:rsidRPr="00182566">
        <w:t>(2)  A rent repayment order under this section may be made only on an application under </w:t>
      </w:r>
      <w:hyperlink r:id="rId31" w:history="1">
        <w:r w:rsidRPr="00182566">
          <w:rPr>
            <w:rStyle w:val="Hyperlink"/>
          </w:rPr>
          <w:t>section 41</w:t>
        </w:r>
      </w:hyperlink>
      <w:r w:rsidRPr="00182566">
        <w:t>.</w:t>
      </w:r>
    </w:p>
    <w:p w14:paraId="3BD0A4D0" w14:textId="77777777" w:rsidR="00F33EE8" w:rsidRPr="00182566" w:rsidRDefault="00F33EE8" w:rsidP="00653279">
      <w:pPr>
        <w:spacing w:line="278" w:lineRule="auto"/>
      </w:pPr>
      <w:r w:rsidRPr="00182566">
        <w:t>(3)  The amount of a rent repayment order under this section is to be determined in accordance with—</w:t>
      </w:r>
    </w:p>
    <w:p w14:paraId="4E4F81B9" w14:textId="5EFA7636" w:rsidR="00F33EE8" w:rsidRPr="00182566" w:rsidRDefault="00F33EE8" w:rsidP="00F33EE8">
      <w:pPr>
        <w:spacing w:after="160" w:line="278" w:lineRule="auto"/>
        <w:rPr>
          <w:b/>
          <w:bCs/>
        </w:rPr>
      </w:pPr>
      <w:r w:rsidRPr="00182566">
        <w:rPr>
          <w:b/>
          <w:bCs/>
        </w:rPr>
        <w:t>(a)  </w:t>
      </w:r>
      <w:hyperlink r:id="rId32" w:history="1">
        <w:r w:rsidRPr="00182566">
          <w:rPr>
            <w:rStyle w:val="Hyperlink"/>
            <w:b/>
            <w:bCs/>
          </w:rPr>
          <w:t>section 44</w:t>
        </w:r>
      </w:hyperlink>
      <w:r w:rsidRPr="00182566">
        <w:rPr>
          <w:b/>
          <w:bCs/>
        </w:rPr>
        <w:t> (where the application is made by a tenant);</w:t>
      </w:r>
    </w:p>
    <w:p w14:paraId="1FFFAD00" w14:textId="4BD37BCC" w:rsidR="003B6D41" w:rsidRPr="00182566" w:rsidRDefault="003B6D41" w:rsidP="00F33EE8">
      <w:pPr>
        <w:spacing w:after="160" w:line="278" w:lineRule="auto"/>
        <w:rPr>
          <w:b/>
          <w:bCs/>
        </w:rPr>
      </w:pPr>
      <w:r w:rsidRPr="00182566">
        <w:rPr>
          <w:b/>
          <w:bCs/>
        </w:rPr>
        <w:t xml:space="preserve">44 Amount of order: tenants </w:t>
      </w:r>
    </w:p>
    <w:p w14:paraId="1B595E0E" w14:textId="77777777" w:rsidR="00EB7907" w:rsidRPr="00182566" w:rsidRDefault="003B6D41" w:rsidP="00DE70EC">
      <w:pPr>
        <w:numPr>
          <w:ilvl w:val="0"/>
          <w:numId w:val="22"/>
        </w:numPr>
        <w:spacing w:after="160" w:line="278" w:lineRule="auto"/>
      </w:pPr>
      <w:r w:rsidRPr="00182566">
        <w:t xml:space="preserve">Where the First-tier Tribunal decides to make a rent repayment order under section 43 in favour of a tenant, the amount is to be determined in accordance with this section. </w:t>
      </w:r>
    </w:p>
    <w:p w14:paraId="3F45B28A" w14:textId="62C7D921" w:rsidR="00F33EE8" w:rsidRPr="00182566" w:rsidRDefault="003B6D41" w:rsidP="00200324">
      <w:pPr>
        <w:numPr>
          <w:ilvl w:val="0"/>
          <w:numId w:val="22"/>
        </w:numPr>
        <w:spacing w:after="160" w:line="278" w:lineRule="auto"/>
      </w:pPr>
      <w:r w:rsidRPr="00182566">
        <w:t>The amount must relate to rent paid during the period mentioned in the table.</w:t>
      </w:r>
    </w:p>
    <w:tbl>
      <w:tblPr>
        <w:tblStyle w:val="TableGrid"/>
        <w:tblW w:w="0" w:type="auto"/>
        <w:tblInd w:w="720" w:type="dxa"/>
        <w:tblLook w:val="04A0" w:firstRow="1" w:lastRow="0" w:firstColumn="1" w:lastColumn="0" w:noHBand="0" w:noVBand="1"/>
      </w:tblPr>
      <w:tblGrid>
        <w:gridCol w:w="3787"/>
        <w:gridCol w:w="3789"/>
      </w:tblGrid>
      <w:tr w:rsidR="00200324" w:rsidRPr="00182566" w14:paraId="24B3EE20" w14:textId="77777777" w:rsidTr="00B413F4">
        <w:tc>
          <w:tcPr>
            <w:tcW w:w="3787" w:type="dxa"/>
          </w:tcPr>
          <w:p w14:paraId="28F0985F" w14:textId="77777777" w:rsidR="00200324" w:rsidRPr="00182566" w:rsidRDefault="00200324" w:rsidP="00B413F4">
            <w:pPr>
              <w:spacing w:after="160" w:line="278" w:lineRule="auto"/>
              <w:rPr>
                <w:b/>
                <w:bCs/>
              </w:rPr>
            </w:pPr>
            <w:r w:rsidRPr="00182566">
              <w:rPr>
                <w:b/>
                <w:bCs/>
              </w:rPr>
              <w:t>If the order is made on the ground that the landlord has committed</w:t>
            </w:r>
          </w:p>
        </w:tc>
        <w:tc>
          <w:tcPr>
            <w:tcW w:w="3789" w:type="dxa"/>
          </w:tcPr>
          <w:p w14:paraId="3112437D" w14:textId="77777777" w:rsidR="00200324" w:rsidRPr="00182566" w:rsidRDefault="00200324" w:rsidP="00B413F4">
            <w:pPr>
              <w:spacing w:after="160" w:line="278" w:lineRule="auto"/>
              <w:rPr>
                <w:b/>
                <w:bCs/>
              </w:rPr>
            </w:pPr>
            <w:r w:rsidRPr="00182566">
              <w:rPr>
                <w:b/>
                <w:bCs/>
              </w:rPr>
              <w:t>the amount must relate to rent paid by the tenant in respect of</w:t>
            </w:r>
          </w:p>
        </w:tc>
      </w:tr>
      <w:tr w:rsidR="00200324" w:rsidRPr="00182566" w14:paraId="2976ADEC" w14:textId="77777777" w:rsidTr="00B413F4">
        <w:tc>
          <w:tcPr>
            <w:tcW w:w="3787" w:type="dxa"/>
          </w:tcPr>
          <w:p w14:paraId="25C301B1" w14:textId="77777777" w:rsidR="00200324" w:rsidRPr="00182566" w:rsidRDefault="00200324" w:rsidP="00B413F4">
            <w:pPr>
              <w:spacing w:after="160" w:line="278" w:lineRule="auto"/>
            </w:pPr>
            <w:r w:rsidRPr="00182566">
              <w:t>an offence mentioned in row 1 or 2 of the table in section 40(3)</w:t>
            </w:r>
          </w:p>
        </w:tc>
        <w:tc>
          <w:tcPr>
            <w:tcW w:w="3789" w:type="dxa"/>
          </w:tcPr>
          <w:p w14:paraId="4524A264" w14:textId="77777777" w:rsidR="00200324" w:rsidRPr="00182566" w:rsidRDefault="00200324" w:rsidP="00B413F4">
            <w:pPr>
              <w:spacing w:after="160" w:line="278" w:lineRule="auto"/>
            </w:pPr>
            <w:r w:rsidRPr="00182566">
              <w:t>the period of 12 months ending with the date of the offence</w:t>
            </w:r>
          </w:p>
        </w:tc>
      </w:tr>
      <w:tr w:rsidR="00200324" w:rsidRPr="00182566" w14:paraId="339FDE5C" w14:textId="77777777" w:rsidTr="00B413F4">
        <w:tc>
          <w:tcPr>
            <w:tcW w:w="3787" w:type="dxa"/>
          </w:tcPr>
          <w:p w14:paraId="48FAF72C" w14:textId="77777777" w:rsidR="00200324" w:rsidRPr="00182566" w:rsidRDefault="00200324" w:rsidP="00B413F4">
            <w:pPr>
              <w:spacing w:after="160" w:line="278" w:lineRule="auto"/>
            </w:pPr>
            <w:r w:rsidRPr="00182566">
              <w:t>an offence mentioned in row 3, 4, 5, 6 or 7 of the table in section 40(3)</w:t>
            </w:r>
          </w:p>
        </w:tc>
        <w:tc>
          <w:tcPr>
            <w:tcW w:w="3789" w:type="dxa"/>
          </w:tcPr>
          <w:p w14:paraId="5EE934EA" w14:textId="77777777" w:rsidR="00200324" w:rsidRPr="00182566" w:rsidRDefault="00200324" w:rsidP="00B413F4">
            <w:pPr>
              <w:spacing w:after="160" w:line="278" w:lineRule="auto"/>
            </w:pPr>
            <w:r w:rsidRPr="00182566">
              <w:t>a period, not exceeding 12 months, during which the landlord was committing the offence</w:t>
            </w:r>
          </w:p>
        </w:tc>
      </w:tr>
    </w:tbl>
    <w:p w14:paraId="6FE8B6FD" w14:textId="5078CEF5" w:rsidR="00200324" w:rsidRPr="00182566" w:rsidRDefault="00200324" w:rsidP="00200324">
      <w:pPr>
        <w:numPr>
          <w:ilvl w:val="0"/>
          <w:numId w:val="22"/>
        </w:numPr>
        <w:spacing w:after="160" w:line="278" w:lineRule="auto"/>
        <w:rPr>
          <w:b/>
          <w:bCs/>
        </w:rPr>
      </w:pPr>
      <w:r w:rsidRPr="00182566">
        <w:t>The amount that the landlord may be required to repay in respect of a period must not exceed—</w:t>
      </w:r>
    </w:p>
    <w:p w14:paraId="4DC10950" w14:textId="77777777" w:rsidR="00200324" w:rsidRPr="00182566" w:rsidRDefault="00200324" w:rsidP="00200324">
      <w:pPr>
        <w:spacing w:line="278" w:lineRule="auto"/>
        <w:ind w:firstLine="360"/>
      </w:pPr>
      <w:r w:rsidRPr="00182566">
        <w:t>(a)  the rent paid in respect of that period, less</w:t>
      </w:r>
    </w:p>
    <w:p w14:paraId="018F1038" w14:textId="77777777" w:rsidR="00200324" w:rsidRPr="00182566" w:rsidRDefault="00200324" w:rsidP="00200324">
      <w:pPr>
        <w:spacing w:line="278" w:lineRule="auto"/>
        <w:ind w:left="360"/>
      </w:pPr>
      <w:r w:rsidRPr="00182566">
        <w:t>(b)  any relevant award of universal credit paid (to any person) in respect of rent under the tenancy during that period.</w:t>
      </w:r>
    </w:p>
    <w:p w14:paraId="686DD2C3" w14:textId="77777777" w:rsidR="00200324" w:rsidRPr="00182566" w:rsidRDefault="00200324" w:rsidP="00200324">
      <w:pPr>
        <w:spacing w:line="278" w:lineRule="auto"/>
        <w:ind w:firstLine="360"/>
      </w:pPr>
      <w:r w:rsidRPr="00182566">
        <w:t xml:space="preserve">(4)  In determining the amount the tribunal must, in particular, </w:t>
      </w:r>
      <w:proofErr w:type="gramStart"/>
      <w:r w:rsidRPr="00182566">
        <w:t>take into account</w:t>
      </w:r>
      <w:proofErr w:type="gramEnd"/>
      <w:r w:rsidRPr="00182566">
        <w:t>—</w:t>
      </w:r>
    </w:p>
    <w:p w14:paraId="583B794D" w14:textId="77777777" w:rsidR="00200324" w:rsidRPr="00182566" w:rsidRDefault="00200324" w:rsidP="00200324">
      <w:pPr>
        <w:spacing w:line="278" w:lineRule="auto"/>
        <w:ind w:firstLine="360"/>
      </w:pPr>
      <w:r w:rsidRPr="00182566">
        <w:t>(a)  the conduct of the landlord and the tenant,</w:t>
      </w:r>
    </w:p>
    <w:p w14:paraId="7CA96AF1" w14:textId="77777777" w:rsidR="00200324" w:rsidRPr="00182566" w:rsidRDefault="00200324" w:rsidP="00200324">
      <w:pPr>
        <w:spacing w:line="278" w:lineRule="auto"/>
        <w:ind w:firstLine="360"/>
      </w:pPr>
      <w:r w:rsidRPr="00182566">
        <w:t>(b)  the financial circumstances of the landlord, and</w:t>
      </w:r>
    </w:p>
    <w:p w14:paraId="178A2FD4" w14:textId="77777777" w:rsidR="008A6EC1" w:rsidRPr="00182566" w:rsidRDefault="00200324" w:rsidP="008A6EC1">
      <w:pPr>
        <w:spacing w:after="160" w:line="278" w:lineRule="auto"/>
        <w:ind w:left="360"/>
      </w:pPr>
      <w:r w:rsidRPr="00182566">
        <w:t>(c)  whether the landlord has at any time been convicted of an offence to which this Chapter applies</w:t>
      </w:r>
    </w:p>
    <w:p w14:paraId="18082521" w14:textId="77777777" w:rsidR="00F7244F" w:rsidRDefault="00F7244F" w:rsidP="008A6EC1">
      <w:pPr>
        <w:spacing w:after="160" w:line="278" w:lineRule="auto"/>
        <w:ind w:left="360"/>
        <w:rPr>
          <w:rFonts w:ascii="Georgia" w:hAnsi="Georgia"/>
          <w:b/>
          <w:bCs/>
        </w:rPr>
      </w:pPr>
    </w:p>
    <w:p w14:paraId="757E0155" w14:textId="23192E0B" w:rsidR="00F33EE8" w:rsidRPr="00182566" w:rsidRDefault="008A6EC1" w:rsidP="008A6EC1">
      <w:pPr>
        <w:spacing w:after="160" w:line="278" w:lineRule="auto"/>
        <w:ind w:left="360"/>
        <w:rPr>
          <w:rFonts w:ascii="Georgia" w:hAnsi="Georgia"/>
          <w:b/>
          <w:bCs/>
        </w:rPr>
      </w:pPr>
      <w:r w:rsidRPr="00182566">
        <w:rPr>
          <w:rFonts w:ascii="Georgia" w:hAnsi="Georgia"/>
          <w:b/>
          <w:bCs/>
        </w:rPr>
        <w:t>Case References</w:t>
      </w:r>
    </w:p>
    <w:p w14:paraId="69AD3ED7" w14:textId="5C78B097" w:rsidR="00542681" w:rsidRPr="00182566" w:rsidRDefault="00542681" w:rsidP="008A6EC1">
      <w:pPr>
        <w:spacing w:after="160" w:line="278" w:lineRule="auto"/>
        <w:ind w:left="360"/>
        <w:rPr>
          <w:rFonts w:ascii="Georgia" w:hAnsi="Georgia"/>
        </w:rPr>
      </w:pPr>
      <w:r w:rsidRPr="00182566">
        <w:rPr>
          <w:rFonts w:ascii="Georgia" w:hAnsi="Georgia"/>
        </w:rPr>
        <w:t>Acheampong v Roman [2022]UKUT 239 LC</w:t>
      </w:r>
    </w:p>
    <w:p w14:paraId="3C2D833A" w14:textId="001C5254" w:rsidR="003D4083" w:rsidRPr="00182566" w:rsidRDefault="003D4083" w:rsidP="008A6EC1">
      <w:pPr>
        <w:spacing w:after="160" w:line="278" w:lineRule="auto"/>
        <w:ind w:left="360"/>
        <w:rPr>
          <w:rFonts w:ascii="Georgia" w:hAnsi="Georgia"/>
        </w:rPr>
      </w:pPr>
      <w:r w:rsidRPr="00182566">
        <w:rPr>
          <w:rFonts w:ascii="Georgia" w:hAnsi="Georgia"/>
        </w:rPr>
        <w:lastRenderedPageBreak/>
        <w:t xml:space="preserve">D’Costa v </w:t>
      </w:r>
      <w:r w:rsidR="00220BC7" w:rsidRPr="00182566">
        <w:rPr>
          <w:rFonts w:ascii="Georgia" w:hAnsi="Georgia"/>
        </w:rPr>
        <w:t>D’A</w:t>
      </w:r>
      <w:r w:rsidRPr="00182566">
        <w:rPr>
          <w:rFonts w:ascii="Georgia" w:hAnsi="Georgia"/>
        </w:rPr>
        <w:t xml:space="preserve">ndrea and others </w:t>
      </w:r>
      <w:r w:rsidR="00824D4F" w:rsidRPr="00182566">
        <w:rPr>
          <w:rFonts w:ascii="Georgia" w:hAnsi="Georgia"/>
        </w:rPr>
        <w:t>[2021] UKUT 0144 (LC)</w:t>
      </w:r>
    </w:p>
    <w:p w14:paraId="06019849" w14:textId="5BB0A1D0" w:rsidR="00992CCF" w:rsidRPr="00182566" w:rsidRDefault="00992CCF" w:rsidP="008A6EC1">
      <w:pPr>
        <w:spacing w:after="160" w:line="278" w:lineRule="auto"/>
        <w:ind w:left="360"/>
        <w:rPr>
          <w:rFonts w:ascii="Georgia" w:hAnsi="Georgia"/>
        </w:rPr>
      </w:pPr>
      <w:r w:rsidRPr="00182566">
        <w:rPr>
          <w:rFonts w:ascii="Georgia" w:hAnsi="Georgia"/>
        </w:rPr>
        <w:t xml:space="preserve">Hancher v David </w:t>
      </w:r>
      <w:r w:rsidR="00220BC7" w:rsidRPr="00182566">
        <w:rPr>
          <w:rFonts w:ascii="Georgia" w:hAnsi="Georgia"/>
        </w:rPr>
        <w:t>and others</w:t>
      </w:r>
      <w:r w:rsidRPr="00182566">
        <w:rPr>
          <w:rFonts w:ascii="Georgia" w:hAnsi="Georgia"/>
        </w:rPr>
        <w:t xml:space="preserve"> </w:t>
      </w:r>
      <w:r w:rsidR="00BA3313" w:rsidRPr="00182566">
        <w:rPr>
          <w:rFonts w:ascii="Georgia" w:hAnsi="Georgia"/>
        </w:rPr>
        <w:t>[2022] UKUT 277 (LC)</w:t>
      </w:r>
    </w:p>
    <w:p w14:paraId="2740E98F" w14:textId="77777777" w:rsidR="00BA3313" w:rsidRPr="00182566" w:rsidRDefault="00BA3313" w:rsidP="00BA3313">
      <w:pPr>
        <w:spacing w:after="160" w:line="278" w:lineRule="auto"/>
        <w:ind w:left="360"/>
        <w:rPr>
          <w:rFonts w:ascii="Georgia" w:hAnsi="Georgia"/>
        </w:rPr>
      </w:pPr>
      <w:r w:rsidRPr="00182566">
        <w:rPr>
          <w:rFonts w:ascii="Georgia" w:hAnsi="Georgia"/>
        </w:rPr>
        <w:t>Marigold v Wells [2023] UKUT 33 LC</w:t>
      </w:r>
    </w:p>
    <w:p w14:paraId="40402723" w14:textId="223C8567" w:rsidR="00B8157B" w:rsidRDefault="00B8157B" w:rsidP="00BA3313">
      <w:pPr>
        <w:spacing w:after="160" w:line="278" w:lineRule="auto"/>
        <w:ind w:left="360"/>
        <w:rPr>
          <w:rFonts w:ascii="Georgia" w:hAnsi="Georgia"/>
        </w:rPr>
      </w:pPr>
      <w:r w:rsidRPr="00182566">
        <w:rPr>
          <w:rFonts w:ascii="Georgia" w:hAnsi="Georgia"/>
        </w:rPr>
        <w:t>Newell v Abbo</w:t>
      </w:r>
      <w:r w:rsidR="00220BC7" w:rsidRPr="00182566">
        <w:rPr>
          <w:rFonts w:ascii="Georgia" w:hAnsi="Georgia"/>
        </w:rPr>
        <w:t>t</w:t>
      </w:r>
      <w:r w:rsidRPr="00182566">
        <w:rPr>
          <w:rFonts w:ascii="Georgia" w:hAnsi="Georgia"/>
        </w:rPr>
        <w:t>t [2024] UKUT 181 (LC)</w:t>
      </w:r>
    </w:p>
    <w:sectPr w:rsidR="00B8157B" w:rsidSect="004B0744">
      <w:footerReference w:type="default" r:id="rId33"/>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F39AE" w14:textId="77777777" w:rsidR="00316433" w:rsidRDefault="00316433">
      <w:r>
        <w:separator/>
      </w:r>
    </w:p>
  </w:endnote>
  <w:endnote w:type="continuationSeparator" w:id="0">
    <w:p w14:paraId="20A0C2B9" w14:textId="77777777" w:rsidR="00316433" w:rsidRDefault="0031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54692" w14:textId="77777777" w:rsidR="004B6B61" w:rsidRDefault="004B6B61" w:rsidP="00A500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70FD0C" w14:textId="77777777" w:rsidR="004B6B61" w:rsidRDefault="004B6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C87F" w14:textId="77777777" w:rsidR="004B6B61" w:rsidRDefault="004B6B61">
    <w:pPr>
      <w:pStyle w:val="Footer"/>
    </w:pPr>
  </w:p>
  <w:p w14:paraId="7D62895F" w14:textId="77777777" w:rsidR="004B6B61" w:rsidRPr="004B0744" w:rsidRDefault="004B6B61" w:rsidP="004B0744">
    <w:pPr>
      <w:pStyle w:val="Footer"/>
      <w:jc w:val="center"/>
      <w:rPr>
        <w:rFonts w:ascii="Georgia" w:hAnsi="Georgia"/>
        <w:sz w:val="20"/>
      </w:rPr>
    </w:pPr>
  </w:p>
  <w:p w14:paraId="483D0E87" w14:textId="673F6421" w:rsidR="004B6B61" w:rsidRPr="004B0744" w:rsidRDefault="004B6B61" w:rsidP="004B0744">
    <w:pPr>
      <w:pStyle w:val="Footer"/>
      <w:jc w:val="center"/>
      <w:rPr>
        <w:rFonts w:ascii="Georgia" w:hAnsi="Georgia"/>
        <w:b/>
        <w:sz w:val="20"/>
      </w:rPr>
    </w:pPr>
    <w:r w:rsidRPr="004B0744">
      <w:rPr>
        <w:rFonts w:ascii="Georgia" w:hAnsi="Georgia"/>
        <w:sz w:val="20"/>
      </w:rPr>
      <w:t xml:space="preserve">© CROWN COPYRIGHT </w:t>
    </w:r>
    <w:r>
      <w:rPr>
        <w:rFonts w:ascii="Georgia" w:hAnsi="Georgia"/>
        <w:szCs w:val="24"/>
      </w:rPr>
      <w:t>20</w:t>
    </w:r>
    <w:r w:rsidR="004A0C5E">
      <w:rPr>
        <w:rFonts w:ascii="Georgia" w:hAnsi="Georgia"/>
        <w:szCs w:val="24"/>
      </w:rPr>
      <w:t>2</w:t>
    </w:r>
    <w:r w:rsidR="00B81828">
      <w:rPr>
        <w:rFonts w:ascii="Georgia" w:hAnsi="Georgia"/>
        <w:szCs w:val="24"/>
      </w:rPr>
      <w:t>4</w:t>
    </w:r>
  </w:p>
  <w:p w14:paraId="6963252F" w14:textId="77777777" w:rsidR="004B6B61" w:rsidRDefault="004B6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0A2A0" w14:textId="77777777" w:rsidR="004B6B61" w:rsidRDefault="004B6B61" w:rsidP="00A500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3BD29A" w14:textId="77777777" w:rsidR="004B6B61" w:rsidRDefault="004B6B61">
    <w:pPr>
      <w:pStyle w:val="Footer"/>
    </w:pPr>
  </w:p>
  <w:p w14:paraId="160B4F2A" w14:textId="77777777" w:rsidR="004B6B61" w:rsidRPr="004B0744" w:rsidRDefault="004B6B61" w:rsidP="004B0744">
    <w:pPr>
      <w:pStyle w:val="Footer"/>
      <w:jc w:val="center"/>
      <w:rPr>
        <w:rFonts w:ascii="Georgia" w:hAnsi="Georgia"/>
        <w:sz w:val="20"/>
      </w:rPr>
    </w:pPr>
  </w:p>
  <w:p w14:paraId="4AE8C357" w14:textId="77777777" w:rsidR="004B6B61" w:rsidRDefault="004B6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45FE4" w14:textId="77777777" w:rsidR="00316433" w:rsidRDefault="00316433">
      <w:r>
        <w:separator/>
      </w:r>
    </w:p>
  </w:footnote>
  <w:footnote w:type="continuationSeparator" w:id="0">
    <w:p w14:paraId="09447CCC" w14:textId="77777777" w:rsidR="00316433" w:rsidRDefault="00316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96E96" w14:textId="77777777" w:rsidR="004B6B61" w:rsidRDefault="004B6B61" w:rsidP="00A500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243C06" w14:textId="77777777" w:rsidR="004B6B61" w:rsidRDefault="004B6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5A97F" w14:textId="77777777" w:rsidR="004B6B61" w:rsidRDefault="004B6B61" w:rsidP="00A50057">
    <w:pPr>
      <w:pStyle w:val="Header"/>
      <w:framePr w:wrap="around" w:vAnchor="text" w:hAnchor="margin" w:xAlign="center" w:y="1"/>
      <w:rPr>
        <w:rStyle w:val="PageNumber"/>
      </w:rPr>
    </w:pPr>
  </w:p>
  <w:p w14:paraId="2F144089" w14:textId="77777777" w:rsidR="004B6B61" w:rsidRDefault="004B6B61" w:rsidP="004A0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3F9E"/>
    <w:multiLevelType w:val="hybridMultilevel"/>
    <w:tmpl w:val="7DBE4870"/>
    <w:lvl w:ilvl="0" w:tplc="CDF6DA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842ED"/>
    <w:multiLevelType w:val="hybridMultilevel"/>
    <w:tmpl w:val="307091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59394A"/>
    <w:multiLevelType w:val="hybridMultilevel"/>
    <w:tmpl w:val="839457A8"/>
    <w:lvl w:ilvl="0" w:tplc="761800B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585B57"/>
    <w:multiLevelType w:val="hybridMultilevel"/>
    <w:tmpl w:val="FC222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4701E1"/>
    <w:multiLevelType w:val="hybridMultilevel"/>
    <w:tmpl w:val="5EFA2454"/>
    <w:lvl w:ilvl="0" w:tplc="CDF6DA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67167"/>
    <w:multiLevelType w:val="hybridMultilevel"/>
    <w:tmpl w:val="781EA456"/>
    <w:lvl w:ilvl="0" w:tplc="CED8B392">
      <w:start w:val="1"/>
      <w:numFmt w:val="lowerRoman"/>
      <w:lvlText w:val="(%1)"/>
      <w:lvlJc w:val="left"/>
      <w:pPr>
        <w:tabs>
          <w:tab w:val="num" w:pos="1140"/>
        </w:tabs>
        <w:ind w:left="1140" w:hanging="72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6" w15:restartNumberingAfterBreak="0">
    <w:nsid w:val="2D875492"/>
    <w:multiLevelType w:val="hybridMultilevel"/>
    <w:tmpl w:val="70003470"/>
    <w:lvl w:ilvl="0" w:tplc="16064E0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4FB31C2"/>
    <w:multiLevelType w:val="hybridMultilevel"/>
    <w:tmpl w:val="742659B4"/>
    <w:lvl w:ilvl="0" w:tplc="A6547D4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592E14"/>
    <w:multiLevelType w:val="hybridMultilevel"/>
    <w:tmpl w:val="A6B61DDC"/>
    <w:lvl w:ilvl="0" w:tplc="C0E2181C">
      <w:start w:val="1"/>
      <w:numFmt w:val="decimal"/>
      <w:lvlText w:val="%1."/>
      <w:lvlJc w:val="left"/>
      <w:pPr>
        <w:ind w:left="72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A81C20"/>
    <w:multiLevelType w:val="hybridMultilevel"/>
    <w:tmpl w:val="4E7677CA"/>
    <w:lvl w:ilvl="0" w:tplc="A6547D4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6C63B2"/>
    <w:multiLevelType w:val="hybridMultilevel"/>
    <w:tmpl w:val="A8066726"/>
    <w:lvl w:ilvl="0" w:tplc="41CEEEB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4721671"/>
    <w:multiLevelType w:val="hybridMultilevel"/>
    <w:tmpl w:val="2D3C9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C0C33"/>
    <w:multiLevelType w:val="hybridMultilevel"/>
    <w:tmpl w:val="F386EEF8"/>
    <w:lvl w:ilvl="0" w:tplc="00C27690">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DF0B18"/>
    <w:multiLevelType w:val="hybridMultilevel"/>
    <w:tmpl w:val="AD5C26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AA529C"/>
    <w:multiLevelType w:val="hybridMultilevel"/>
    <w:tmpl w:val="5F908B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F228C7"/>
    <w:multiLevelType w:val="hybridMultilevel"/>
    <w:tmpl w:val="2A4E6E72"/>
    <w:lvl w:ilvl="0" w:tplc="79DC4D1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29F6C2D"/>
    <w:multiLevelType w:val="hybridMultilevel"/>
    <w:tmpl w:val="FE00D2D2"/>
    <w:lvl w:ilvl="0" w:tplc="A6547D4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A85366"/>
    <w:multiLevelType w:val="hybridMultilevel"/>
    <w:tmpl w:val="72A20BBA"/>
    <w:lvl w:ilvl="0" w:tplc="0C86E5A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EC66C0"/>
    <w:multiLevelType w:val="hybridMultilevel"/>
    <w:tmpl w:val="DEF2740E"/>
    <w:lvl w:ilvl="0" w:tplc="DEB2EB98">
      <w:start w:val="1"/>
      <w:numFmt w:val="decimal"/>
      <w:lvlText w:val="%1."/>
      <w:lvlJc w:val="left"/>
      <w:pPr>
        <w:ind w:left="72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6284A"/>
    <w:multiLevelType w:val="hybridMultilevel"/>
    <w:tmpl w:val="5F908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2E4C34"/>
    <w:multiLevelType w:val="hybridMultilevel"/>
    <w:tmpl w:val="5B24026A"/>
    <w:lvl w:ilvl="0" w:tplc="0C86E5A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4E2D6E"/>
    <w:multiLevelType w:val="hybridMultilevel"/>
    <w:tmpl w:val="963874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ADB0543"/>
    <w:multiLevelType w:val="hybridMultilevel"/>
    <w:tmpl w:val="CF905BEE"/>
    <w:lvl w:ilvl="0" w:tplc="41408BA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007436"/>
    <w:multiLevelType w:val="hybridMultilevel"/>
    <w:tmpl w:val="7B4472AE"/>
    <w:lvl w:ilvl="0" w:tplc="E244E5E8">
      <w:start w:val="1"/>
      <w:numFmt w:val="decimal"/>
      <w:lvlText w:val="%1."/>
      <w:lvlJc w:val="left"/>
      <w:pPr>
        <w:ind w:left="720" w:hanging="720"/>
      </w:pPr>
      <w:rPr>
        <w:rFonts w:ascii="Georgia" w:hAnsi="Georgia"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0150135">
    <w:abstractNumId w:val="1"/>
  </w:num>
  <w:num w:numId="2" w16cid:durableId="415442718">
    <w:abstractNumId w:val="21"/>
  </w:num>
  <w:num w:numId="3" w16cid:durableId="1524904886">
    <w:abstractNumId w:val="10"/>
  </w:num>
  <w:num w:numId="4" w16cid:durableId="671882873">
    <w:abstractNumId w:val="12"/>
  </w:num>
  <w:num w:numId="5" w16cid:durableId="257294479">
    <w:abstractNumId w:val="5"/>
  </w:num>
  <w:num w:numId="6" w16cid:durableId="197547042">
    <w:abstractNumId w:val="15"/>
  </w:num>
  <w:num w:numId="7" w16cid:durableId="751632923">
    <w:abstractNumId w:val="2"/>
  </w:num>
  <w:num w:numId="8" w16cid:durableId="1986159205">
    <w:abstractNumId w:val="6"/>
  </w:num>
  <w:num w:numId="9" w16cid:durableId="683753771">
    <w:abstractNumId w:val="16"/>
  </w:num>
  <w:num w:numId="10" w16cid:durableId="1615483877">
    <w:abstractNumId w:val="7"/>
  </w:num>
  <w:num w:numId="11" w16cid:durableId="2087340061">
    <w:abstractNumId w:val="9"/>
  </w:num>
  <w:num w:numId="12" w16cid:durableId="1501694560">
    <w:abstractNumId w:val="8"/>
  </w:num>
  <w:num w:numId="13" w16cid:durableId="2121874322">
    <w:abstractNumId w:val="23"/>
  </w:num>
  <w:num w:numId="14" w16cid:durableId="1324621356">
    <w:abstractNumId w:val="11"/>
  </w:num>
  <w:num w:numId="15" w16cid:durableId="30348224">
    <w:abstractNumId w:val="17"/>
  </w:num>
  <w:num w:numId="16" w16cid:durableId="340352204">
    <w:abstractNumId w:val="13"/>
  </w:num>
  <w:num w:numId="17" w16cid:durableId="1538815469">
    <w:abstractNumId w:val="4"/>
  </w:num>
  <w:num w:numId="18" w16cid:durableId="1180699698">
    <w:abstractNumId w:val="0"/>
  </w:num>
  <w:num w:numId="19" w16cid:durableId="913709256">
    <w:abstractNumId w:val="19"/>
  </w:num>
  <w:num w:numId="20" w16cid:durableId="1857576039">
    <w:abstractNumId w:val="14"/>
  </w:num>
  <w:num w:numId="21" w16cid:durableId="315493825">
    <w:abstractNumId w:val="20"/>
  </w:num>
  <w:num w:numId="22" w16cid:durableId="504902155">
    <w:abstractNumId w:val="22"/>
  </w:num>
  <w:num w:numId="23" w16cid:durableId="1790052129">
    <w:abstractNumId w:val="3"/>
  </w:num>
  <w:num w:numId="24" w16cid:durableId="16217617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D2"/>
    <w:rsid w:val="000017F8"/>
    <w:rsid w:val="000059EF"/>
    <w:rsid w:val="000168AF"/>
    <w:rsid w:val="0002120C"/>
    <w:rsid w:val="00023E7C"/>
    <w:rsid w:val="00026917"/>
    <w:rsid w:val="000305B3"/>
    <w:rsid w:val="00044994"/>
    <w:rsid w:val="00056837"/>
    <w:rsid w:val="0006182B"/>
    <w:rsid w:val="000623EC"/>
    <w:rsid w:val="00073AAD"/>
    <w:rsid w:val="00080557"/>
    <w:rsid w:val="00081D03"/>
    <w:rsid w:val="00086B08"/>
    <w:rsid w:val="000A0B85"/>
    <w:rsid w:val="000A23BA"/>
    <w:rsid w:val="000B1006"/>
    <w:rsid w:val="000B149C"/>
    <w:rsid w:val="000B43A6"/>
    <w:rsid w:val="000B50E6"/>
    <w:rsid w:val="000C2BA6"/>
    <w:rsid w:val="000C5F34"/>
    <w:rsid w:val="000D07DD"/>
    <w:rsid w:val="000D1506"/>
    <w:rsid w:val="000D27D4"/>
    <w:rsid w:val="000D7D3D"/>
    <w:rsid w:val="000E0FA1"/>
    <w:rsid w:val="000E2453"/>
    <w:rsid w:val="000F23F0"/>
    <w:rsid w:val="000F5B65"/>
    <w:rsid w:val="000F5D73"/>
    <w:rsid w:val="000F6CD1"/>
    <w:rsid w:val="001071C9"/>
    <w:rsid w:val="0011159A"/>
    <w:rsid w:val="00123CF2"/>
    <w:rsid w:val="00141A63"/>
    <w:rsid w:val="00142063"/>
    <w:rsid w:val="00142F4B"/>
    <w:rsid w:val="001439F8"/>
    <w:rsid w:val="00161279"/>
    <w:rsid w:val="001620D0"/>
    <w:rsid w:val="00182566"/>
    <w:rsid w:val="0018619B"/>
    <w:rsid w:val="001875ED"/>
    <w:rsid w:val="00187E29"/>
    <w:rsid w:val="00194749"/>
    <w:rsid w:val="001C0E96"/>
    <w:rsid w:val="001C3077"/>
    <w:rsid w:val="001C4D45"/>
    <w:rsid w:val="001D0245"/>
    <w:rsid w:val="001D0EAC"/>
    <w:rsid w:val="001E0422"/>
    <w:rsid w:val="001E2DFB"/>
    <w:rsid w:val="001E77BF"/>
    <w:rsid w:val="001F3CF8"/>
    <w:rsid w:val="001F5D50"/>
    <w:rsid w:val="00200324"/>
    <w:rsid w:val="002019A2"/>
    <w:rsid w:val="002034A5"/>
    <w:rsid w:val="0020589F"/>
    <w:rsid w:val="00210AFF"/>
    <w:rsid w:val="00211C14"/>
    <w:rsid w:val="00213503"/>
    <w:rsid w:val="00214FA8"/>
    <w:rsid w:val="002206EA"/>
    <w:rsid w:val="00220BC7"/>
    <w:rsid w:val="00221D6F"/>
    <w:rsid w:val="00222DD7"/>
    <w:rsid w:val="00223D5E"/>
    <w:rsid w:val="00226607"/>
    <w:rsid w:val="00232050"/>
    <w:rsid w:val="00233ACA"/>
    <w:rsid w:val="0023702B"/>
    <w:rsid w:val="002433BE"/>
    <w:rsid w:val="00246977"/>
    <w:rsid w:val="0025023D"/>
    <w:rsid w:val="002506DA"/>
    <w:rsid w:val="00252CF2"/>
    <w:rsid w:val="002554B2"/>
    <w:rsid w:val="002609B6"/>
    <w:rsid w:val="0026386D"/>
    <w:rsid w:val="00264E94"/>
    <w:rsid w:val="00266526"/>
    <w:rsid w:val="00267A3C"/>
    <w:rsid w:val="00271F43"/>
    <w:rsid w:val="00276DCD"/>
    <w:rsid w:val="00282D8F"/>
    <w:rsid w:val="002871A3"/>
    <w:rsid w:val="00291B9D"/>
    <w:rsid w:val="002A6F37"/>
    <w:rsid w:val="002A7BA7"/>
    <w:rsid w:val="002C53D7"/>
    <w:rsid w:val="002C6F5F"/>
    <w:rsid w:val="002E2780"/>
    <w:rsid w:val="002E415F"/>
    <w:rsid w:val="003116FD"/>
    <w:rsid w:val="00312508"/>
    <w:rsid w:val="00313A34"/>
    <w:rsid w:val="00313FCF"/>
    <w:rsid w:val="00314A08"/>
    <w:rsid w:val="00314A8A"/>
    <w:rsid w:val="00315577"/>
    <w:rsid w:val="00316433"/>
    <w:rsid w:val="00321E6B"/>
    <w:rsid w:val="003276CF"/>
    <w:rsid w:val="003321AC"/>
    <w:rsid w:val="00340229"/>
    <w:rsid w:val="00345D80"/>
    <w:rsid w:val="00354E85"/>
    <w:rsid w:val="00361BA9"/>
    <w:rsid w:val="00374EBD"/>
    <w:rsid w:val="0037768E"/>
    <w:rsid w:val="00382F8A"/>
    <w:rsid w:val="003831E6"/>
    <w:rsid w:val="00384DD8"/>
    <w:rsid w:val="00385E3D"/>
    <w:rsid w:val="00387C09"/>
    <w:rsid w:val="00397034"/>
    <w:rsid w:val="003A37E7"/>
    <w:rsid w:val="003A4C83"/>
    <w:rsid w:val="003A4EFF"/>
    <w:rsid w:val="003A60E7"/>
    <w:rsid w:val="003A6F62"/>
    <w:rsid w:val="003B04AF"/>
    <w:rsid w:val="003B0AE1"/>
    <w:rsid w:val="003B10D2"/>
    <w:rsid w:val="003B6D41"/>
    <w:rsid w:val="003D157B"/>
    <w:rsid w:val="003D4083"/>
    <w:rsid w:val="003E72D1"/>
    <w:rsid w:val="003F11AF"/>
    <w:rsid w:val="003F2536"/>
    <w:rsid w:val="00402EF0"/>
    <w:rsid w:val="004178A2"/>
    <w:rsid w:val="0042321C"/>
    <w:rsid w:val="004253B6"/>
    <w:rsid w:val="00437A16"/>
    <w:rsid w:val="00444125"/>
    <w:rsid w:val="0045136B"/>
    <w:rsid w:val="00451634"/>
    <w:rsid w:val="00457795"/>
    <w:rsid w:val="00461C70"/>
    <w:rsid w:val="00462C81"/>
    <w:rsid w:val="00471E76"/>
    <w:rsid w:val="00472693"/>
    <w:rsid w:val="00472EBA"/>
    <w:rsid w:val="00482E0D"/>
    <w:rsid w:val="004874BC"/>
    <w:rsid w:val="004A0C5E"/>
    <w:rsid w:val="004A0FB6"/>
    <w:rsid w:val="004A6901"/>
    <w:rsid w:val="004B029B"/>
    <w:rsid w:val="004B0744"/>
    <w:rsid w:val="004B61A6"/>
    <w:rsid w:val="004B6813"/>
    <w:rsid w:val="004B6B61"/>
    <w:rsid w:val="004C0025"/>
    <w:rsid w:val="004C1321"/>
    <w:rsid w:val="004C1445"/>
    <w:rsid w:val="004C6147"/>
    <w:rsid w:val="004C66E1"/>
    <w:rsid w:val="004C6BAD"/>
    <w:rsid w:val="004D0DB3"/>
    <w:rsid w:val="004D17ED"/>
    <w:rsid w:val="004D532B"/>
    <w:rsid w:val="004E4AF1"/>
    <w:rsid w:val="004E6573"/>
    <w:rsid w:val="004F0BF0"/>
    <w:rsid w:val="00504EB5"/>
    <w:rsid w:val="00514640"/>
    <w:rsid w:val="00527943"/>
    <w:rsid w:val="005360E8"/>
    <w:rsid w:val="00541CB1"/>
    <w:rsid w:val="00542681"/>
    <w:rsid w:val="00545A41"/>
    <w:rsid w:val="00552905"/>
    <w:rsid w:val="00552D69"/>
    <w:rsid w:val="0055584A"/>
    <w:rsid w:val="00562722"/>
    <w:rsid w:val="0057498F"/>
    <w:rsid w:val="005762F3"/>
    <w:rsid w:val="00576A86"/>
    <w:rsid w:val="005772D8"/>
    <w:rsid w:val="00582F58"/>
    <w:rsid w:val="005943A5"/>
    <w:rsid w:val="005A3DBD"/>
    <w:rsid w:val="005A480A"/>
    <w:rsid w:val="005A7C8E"/>
    <w:rsid w:val="005B1A22"/>
    <w:rsid w:val="005B4B7E"/>
    <w:rsid w:val="005C13B2"/>
    <w:rsid w:val="005C270A"/>
    <w:rsid w:val="005C3A59"/>
    <w:rsid w:val="005C51D4"/>
    <w:rsid w:val="005D1671"/>
    <w:rsid w:val="005D1BB0"/>
    <w:rsid w:val="005D40E6"/>
    <w:rsid w:val="005D600F"/>
    <w:rsid w:val="005E6078"/>
    <w:rsid w:val="005E7860"/>
    <w:rsid w:val="005F122E"/>
    <w:rsid w:val="005F38C1"/>
    <w:rsid w:val="005F5E72"/>
    <w:rsid w:val="00603676"/>
    <w:rsid w:val="00606C83"/>
    <w:rsid w:val="00612CCE"/>
    <w:rsid w:val="00614A2B"/>
    <w:rsid w:val="00624ED5"/>
    <w:rsid w:val="006331BB"/>
    <w:rsid w:val="00653279"/>
    <w:rsid w:val="0065505E"/>
    <w:rsid w:val="00657D73"/>
    <w:rsid w:val="006604A4"/>
    <w:rsid w:val="0066246B"/>
    <w:rsid w:val="00674720"/>
    <w:rsid w:val="00680624"/>
    <w:rsid w:val="006865F9"/>
    <w:rsid w:val="006904F4"/>
    <w:rsid w:val="0069162B"/>
    <w:rsid w:val="00694C56"/>
    <w:rsid w:val="006B12A2"/>
    <w:rsid w:val="006B1CCE"/>
    <w:rsid w:val="006B63A1"/>
    <w:rsid w:val="006C3CFA"/>
    <w:rsid w:val="006C48A6"/>
    <w:rsid w:val="006D17E3"/>
    <w:rsid w:val="006D4556"/>
    <w:rsid w:val="006D7C1A"/>
    <w:rsid w:val="006D7C73"/>
    <w:rsid w:val="006E6717"/>
    <w:rsid w:val="006F659C"/>
    <w:rsid w:val="006F6E08"/>
    <w:rsid w:val="006F7FA4"/>
    <w:rsid w:val="00711D87"/>
    <w:rsid w:val="0071383A"/>
    <w:rsid w:val="00713940"/>
    <w:rsid w:val="00714F64"/>
    <w:rsid w:val="00722739"/>
    <w:rsid w:val="00723BE6"/>
    <w:rsid w:val="00726EE8"/>
    <w:rsid w:val="0073385C"/>
    <w:rsid w:val="00737BB7"/>
    <w:rsid w:val="007447D0"/>
    <w:rsid w:val="00751EBF"/>
    <w:rsid w:val="0077070F"/>
    <w:rsid w:val="007749C2"/>
    <w:rsid w:val="00775ABD"/>
    <w:rsid w:val="00780946"/>
    <w:rsid w:val="0078193F"/>
    <w:rsid w:val="00791C18"/>
    <w:rsid w:val="00794EED"/>
    <w:rsid w:val="00797F01"/>
    <w:rsid w:val="007A09A6"/>
    <w:rsid w:val="007A59A7"/>
    <w:rsid w:val="007A6E4A"/>
    <w:rsid w:val="007A7259"/>
    <w:rsid w:val="007B2EEA"/>
    <w:rsid w:val="007C397F"/>
    <w:rsid w:val="007C4E95"/>
    <w:rsid w:val="007D0788"/>
    <w:rsid w:val="007D4135"/>
    <w:rsid w:val="007D615F"/>
    <w:rsid w:val="007E40DB"/>
    <w:rsid w:val="007E6C41"/>
    <w:rsid w:val="007E7688"/>
    <w:rsid w:val="007F4365"/>
    <w:rsid w:val="007F7AEF"/>
    <w:rsid w:val="008026FC"/>
    <w:rsid w:val="0081066F"/>
    <w:rsid w:val="0081132B"/>
    <w:rsid w:val="00812271"/>
    <w:rsid w:val="00812725"/>
    <w:rsid w:val="00815A6F"/>
    <w:rsid w:val="00820D78"/>
    <w:rsid w:val="00822E7F"/>
    <w:rsid w:val="00824D4F"/>
    <w:rsid w:val="008309DB"/>
    <w:rsid w:val="00831229"/>
    <w:rsid w:val="0083506F"/>
    <w:rsid w:val="00840DE7"/>
    <w:rsid w:val="00843923"/>
    <w:rsid w:val="008518FF"/>
    <w:rsid w:val="00856078"/>
    <w:rsid w:val="00862FB4"/>
    <w:rsid w:val="00867960"/>
    <w:rsid w:val="0087479E"/>
    <w:rsid w:val="00874A0D"/>
    <w:rsid w:val="00886E43"/>
    <w:rsid w:val="008872FE"/>
    <w:rsid w:val="008915FA"/>
    <w:rsid w:val="008958D1"/>
    <w:rsid w:val="00895EED"/>
    <w:rsid w:val="008A32BE"/>
    <w:rsid w:val="008A58CE"/>
    <w:rsid w:val="008A6EC1"/>
    <w:rsid w:val="008B6200"/>
    <w:rsid w:val="008C2D55"/>
    <w:rsid w:val="008C557C"/>
    <w:rsid w:val="008E08B6"/>
    <w:rsid w:val="008E41B0"/>
    <w:rsid w:val="008E43A8"/>
    <w:rsid w:val="008F210D"/>
    <w:rsid w:val="008F245F"/>
    <w:rsid w:val="008F3DAA"/>
    <w:rsid w:val="008F5296"/>
    <w:rsid w:val="008F5367"/>
    <w:rsid w:val="008F6C6E"/>
    <w:rsid w:val="00900076"/>
    <w:rsid w:val="009036A9"/>
    <w:rsid w:val="00911050"/>
    <w:rsid w:val="0092085E"/>
    <w:rsid w:val="00924B19"/>
    <w:rsid w:val="00927E5D"/>
    <w:rsid w:val="00931EC9"/>
    <w:rsid w:val="0093339F"/>
    <w:rsid w:val="00936F4A"/>
    <w:rsid w:val="00940DB5"/>
    <w:rsid w:val="00945929"/>
    <w:rsid w:val="00945DD9"/>
    <w:rsid w:val="0096648D"/>
    <w:rsid w:val="00966EB7"/>
    <w:rsid w:val="00967738"/>
    <w:rsid w:val="00973A1F"/>
    <w:rsid w:val="00980C1F"/>
    <w:rsid w:val="00983880"/>
    <w:rsid w:val="009858C2"/>
    <w:rsid w:val="009872E4"/>
    <w:rsid w:val="009900F2"/>
    <w:rsid w:val="00992CCF"/>
    <w:rsid w:val="00994B60"/>
    <w:rsid w:val="009969A9"/>
    <w:rsid w:val="009975A6"/>
    <w:rsid w:val="009A29BE"/>
    <w:rsid w:val="009A5183"/>
    <w:rsid w:val="009B1DFB"/>
    <w:rsid w:val="009B2D97"/>
    <w:rsid w:val="009B3D08"/>
    <w:rsid w:val="009C1721"/>
    <w:rsid w:val="009E17D9"/>
    <w:rsid w:val="009F5336"/>
    <w:rsid w:val="009F57FF"/>
    <w:rsid w:val="009F5DAB"/>
    <w:rsid w:val="00A01294"/>
    <w:rsid w:val="00A02112"/>
    <w:rsid w:val="00A026F3"/>
    <w:rsid w:val="00A040E6"/>
    <w:rsid w:val="00A05817"/>
    <w:rsid w:val="00A07118"/>
    <w:rsid w:val="00A1245B"/>
    <w:rsid w:val="00A13250"/>
    <w:rsid w:val="00A14114"/>
    <w:rsid w:val="00A26F3B"/>
    <w:rsid w:val="00A34ABF"/>
    <w:rsid w:val="00A411E1"/>
    <w:rsid w:val="00A42DCB"/>
    <w:rsid w:val="00A4705F"/>
    <w:rsid w:val="00A50057"/>
    <w:rsid w:val="00A609DF"/>
    <w:rsid w:val="00A628F4"/>
    <w:rsid w:val="00A63123"/>
    <w:rsid w:val="00A646B1"/>
    <w:rsid w:val="00A6783E"/>
    <w:rsid w:val="00A716CA"/>
    <w:rsid w:val="00A725D1"/>
    <w:rsid w:val="00A753E1"/>
    <w:rsid w:val="00A75718"/>
    <w:rsid w:val="00A77730"/>
    <w:rsid w:val="00A86CCA"/>
    <w:rsid w:val="00A92218"/>
    <w:rsid w:val="00A978FF"/>
    <w:rsid w:val="00AA07CB"/>
    <w:rsid w:val="00AA0AAA"/>
    <w:rsid w:val="00AA3096"/>
    <w:rsid w:val="00AA4364"/>
    <w:rsid w:val="00AB0B8E"/>
    <w:rsid w:val="00AB50B4"/>
    <w:rsid w:val="00AD15F4"/>
    <w:rsid w:val="00AE6BCE"/>
    <w:rsid w:val="00AE6C39"/>
    <w:rsid w:val="00AF2F02"/>
    <w:rsid w:val="00AF5EBF"/>
    <w:rsid w:val="00B02A67"/>
    <w:rsid w:val="00B13CE0"/>
    <w:rsid w:val="00B14D3F"/>
    <w:rsid w:val="00B30CD4"/>
    <w:rsid w:val="00B33E67"/>
    <w:rsid w:val="00B36B69"/>
    <w:rsid w:val="00B40E56"/>
    <w:rsid w:val="00B4379C"/>
    <w:rsid w:val="00B47BB8"/>
    <w:rsid w:val="00B50629"/>
    <w:rsid w:val="00B60288"/>
    <w:rsid w:val="00B63C8B"/>
    <w:rsid w:val="00B64FF2"/>
    <w:rsid w:val="00B658E4"/>
    <w:rsid w:val="00B65B7A"/>
    <w:rsid w:val="00B71E7C"/>
    <w:rsid w:val="00B773A1"/>
    <w:rsid w:val="00B80B20"/>
    <w:rsid w:val="00B8157B"/>
    <w:rsid w:val="00B81828"/>
    <w:rsid w:val="00B84D5A"/>
    <w:rsid w:val="00B85A9E"/>
    <w:rsid w:val="00B90FF0"/>
    <w:rsid w:val="00B91FAB"/>
    <w:rsid w:val="00B9407A"/>
    <w:rsid w:val="00B95C78"/>
    <w:rsid w:val="00BA2CAB"/>
    <w:rsid w:val="00BA3313"/>
    <w:rsid w:val="00BA5251"/>
    <w:rsid w:val="00BB1420"/>
    <w:rsid w:val="00BB3D60"/>
    <w:rsid w:val="00BC5670"/>
    <w:rsid w:val="00BC7F9F"/>
    <w:rsid w:val="00BD2773"/>
    <w:rsid w:val="00BD42EF"/>
    <w:rsid w:val="00BD4E03"/>
    <w:rsid w:val="00BD6DA1"/>
    <w:rsid w:val="00BE6D56"/>
    <w:rsid w:val="00BF4A98"/>
    <w:rsid w:val="00BF6812"/>
    <w:rsid w:val="00BF69E3"/>
    <w:rsid w:val="00C05B5C"/>
    <w:rsid w:val="00C117A9"/>
    <w:rsid w:val="00C1358D"/>
    <w:rsid w:val="00C13E53"/>
    <w:rsid w:val="00C15AE3"/>
    <w:rsid w:val="00C21D6C"/>
    <w:rsid w:val="00C2601A"/>
    <w:rsid w:val="00C40976"/>
    <w:rsid w:val="00C522FC"/>
    <w:rsid w:val="00C55BC3"/>
    <w:rsid w:val="00C620B2"/>
    <w:rsid w:val="00C72D97"/>
    <w:rsid w:val="00C7566E"/>
    <w:rsid w:val="00C76490"/>
    <w:rsid w:val="00C8064B"/>
    <w:rsid w:val="00C870A6"/>
    <w:rsid w:val="00C87709"/>
    <w:rsid w:val="00CB27F1"/>
    <w:rsid w:val="00CB378E"/>
    <w:rsid w:val="00CB7060"/>
    <w:rsid w:val="00CC05FD"/>
    <w:rsid w:val="00CC379C"/>
    <w:rsid w:val="00CC4245"/>
    <w:rsid w:val="00CD3CD2"/>
    <w:rsid w:val="00CD5638"/>
    <w:rsid w:val="00CE3041"/>
    <w:rsid w:val="00CE3349"/>
    <w:rsid w:val="00CE3D45"/>
    <w:rsid w:val="00CF1E7E"/>
    <w:rsid w:val="00CF24F1"/>
    <w:rsid w:val="00CF2F82"/>
    <w:rsid w:val="00D14EF8"/>
    <w:rsid w:val="00D16098"/>
    <w:rsid w:val="00D16EC5"/>
    <w:rsid w:val="00D22C6F"/>
    <w:rsid w:val="00D22FB3"/>
    <w:rsid w:val="00D24159"/>
    <w:rsid w:val="00D25D4C"/>
    <w:rsid w:val="00D26A99"/>
    <w:rsid w:val="00D3055B"/>
    <w:rsid w:val="00D40FFE"/>
    <w:rsid w:val="00D43C84"/>
    <w:rsid w:val="00D43EAA"/>
    <w:rsid w:val="00D461ED"/>
    <w:rsid w:val="00D5642C"/>
    <w:rsid w:val="00D67383"/>
    <w:rsid w:val="00D71786"/>
    <w:rsid w:val="00D736CE"/>
    <w:rsid w:val="00D76EFC"/>
    <w:rsid w:val="00D8311B"/>
    <w:rsid w:val="00D91B65"/>
    <w:rsid w:val="00D929F4"/>
    <w:rsid w:val="00D95474"/>
    <w:rsid w:val="00D95646"/>
    <w:rsid w:val="00D95D25"/>
    <w:rsid w:val="00DA38D5"/>
    <w:rsid w:val="00DA4AAF"/>
    <w:rsid w:val="00DA4E43"/>
    <w:rsid w:val="00DB2E01"/>
    <w:rsid w:val="00DB44D2"/>
    <w:rsid w:val="00DD36FA"/>
    <w:rsid w:val="00DE0400"/>
    <w:rsid w:val="00DE70EC"/>
    <w:rsid w:val="00DF6AAB"/>
    <w:rsid w:val="00E007AE"/>
    <w:rsid w:val="00E018CD"/>
    <w:rsid w:val="00E019F6"/>
    <w:rsid w:val="00E05BDA"/>
    <w:rsid w:val="00E06F62"/>
    <w:rsid w:val="00E15055"/>
    <w:rsid w:val="00E2085D"/>
    <w:rsid w:val="00E21C02"/>
    <w:rsid w:val="00E3488B"/>
    <w:rsid w:val="00E363E5"/>
    <w:rsid w:val="00E379FB"/>
    <w:rsid w:val="00E5539C"/>
    <w:rsid w:val="00E57551"/>
    <w:rsid w:val="00E6680B"/>
    <w:rsid w:val="00E678D4"/>
    <w:rsid w:val="00E91D30"/>
    <w:rsid w:val="00E9371D"/>
    <w:rsid w:val="00E93DF7"/>
    <w:rsid w:val="00E96FAA"/>
    <w:rsid w:val="00EA17DC"/>
    <w:rsid w:val="00EA2CF5"/>
    <w:rsid w:val="00EB4AEB"/>
    <w:rsid w:val="00EB4D8F"/>
    <w:rsid w:val="00EB7907"/>
    <w:rsid w:val="00ED027C"/>
    <w:rsid w:val="00ED5B9B"/>
    <w:rsid w:val="00ED6886"/>
    <w:rsid w:val="00ED6B17"/>
    <w:rsid w:val="00EE004C"/>
    <w:rsid w:val="00EE3E70"/>
    <w:rsid w:val="00EF0C0C"/>
    <w:rsid w:val="00EF2B52"/>
    <w:rsid w:val="00EF44EE"/>
    <w:rsid w:val="00EF4FBB"/>
    <w:rsid w:val="00EF6203"/>
    <w:rsid w:val="00F027A3"/>
    <w:rsid w:val="00F0442E"/>
    <w:rsid w:val="00F06142"/>
    <w:rsid w:val="00F16505"/>
    <w:rsid w:val="00F16885"/>
    <w:rsid w:val="00F22215"/>
    <w:rsid w:val="00F300F0"/>
    <w:rsid w:val="00F33EE8"/>
    <w:rsid w:val="00F469DA"/>
    <w:rsid w:val="00F55090"/>
    <w:rsid w:val="00F579DB"/>
    <w:rsid w:val="00F627BD"/>
    <w:rsid w:val="00F63BD9"/>
    <w:rsid w:val="00F64E00"/>
    <w:rsid w:val="00F71C98"/>
    <w:rsid w:val="00F7244F"/>
    <w:rsid w:val="00F807F2"/>
    <w:rsid w:val="00F8658A"/>
    <w:rsid w:val="00F9399B"/>
    <w:rsid w:val="00F942BF"/>
    <w:rsid w:val="00F975D6"/>
    <w:rsid w:val="00FA04BE"/>
    <w:rsid w:val="00FA0801"/>
    <w:rsid w:val="00FA0E44"/>
    <w:rsid w:val="00FA517C"/>
    <w:rsid w:val="00FB6743"/>
    <w:rsid w:val="00FB7299"/>
    <w:rsid w:val="00FC5825"/>
    <w:rsid w:val="00FD17F2"/>
    <w:rsid w:val="00FD5D1A"/>
    <w:rsid w:val="00FD6689"/>
    <w:rsid w:val="00FD7A38"/>
    <w:rsid w:val="00FE6202"/>
    <w:rsid w:val="00FF0924"/>
    <w:rsid w:val="00FF5037"/>
    <w:rsid w:val="00FF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945B8"/>
  <w15:chartTrackingRefBased/>
  <w15:docId w15:val="{EB8146D5-E828-44DA-8F97-8707158B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43EAA"/>
    <w:pPr>
      <w:keepNext/>
      <w:jc w:val="center"/>
      <w:outlineLvl w:val="0"/>
    </w:pPr>
    <w:rPr>
      <w:rFonts w:ascii="Arial" w:hAnsi="Arial"/>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3EAA"/>
    <w:pPr>
      <w:jc w:val="center"/>
    </w:pPr>
    <w:rPr>
      <w:rFonts w:ascii="Arial" w:hAnsi="Arial"/>
      <w:b/>
      <w:bCs/>
      <w:sz w:val="32"/>
      <w:lang w:eastAsia="en-US"/>
    </w:rPr>
  </w:style>
  <w:style w:type="paragraph" w:styleId="Footer">
    <w:name w:val="footer"/>
    <w:basedOn w:val="Normal"/>
    <w:link w:val="FooterChar"/>
    <w:uiPriority w:val="99"/>
    <w:rsid w:val="00D43EAA"/>
    <w:pPr>
      <w:tabs>
        <w:tab w:val="center" w:pos="4153"/>
        <w:tab w:val="right" w:pos="8306"/>
      </w:tabs>
    </w:pPr>
    <w:rPr>
      <w:spacing w:val="-3"/>
      <w:szCs w:val="20"/>
      <w:lang w:eastAsia="en-US"/>
    </w:rPr>
  </w:style>
  <w:style w:type="paragraph" w:styleId="Header">
    <w:name w:val="header"/>
    <w:basedOn w:val="Normal"/>
    <w:rsid w:val="00D43EAA"/>
    <w:pPr>
      <w:tabs>
        <w:tab w:val="center" w:pos="4153"/>
        <w:tab w:val="right" w:pos="8306"/>
      </w:tabs>
    </w:pPr>
  </w:style>
  <w:style w:type="character" w:styleId="PageNumber">
    <w:name w:val="page number"/>
    <w:basedOn w:val="DefaultParagraphFont"/>
    <w:rsid w:val="00D43EAA"/>
  </w:style>
  <w:style w:type="table" w:styleId="TableGrid">
    <w:name w:val="Table Grid"/>
    <w:basedOn w:val="TableNormal"/>
    <w:rsid w:val="009B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B44D2"/>
    <w:rPr>
      <w:rFonts w:ascii="Segoe UI" w:hAnsi="Segoe UI" w:cs="Segoe UI"/>
      <w:sz w:val="18"/>
      <w:szCs w:val="18"/>
    </w:rPr>
  </w:style>
  <w:style w:type="character" w:customStyle="1" w:styleId="BalloonTextChar">
    <w:name w:val="Balloon Text Char"/>
    <w:basedOn w:val="DefaultParagraphFont"/>
    <w:link w:val="BalloonText"/>
    <w:semiHidden/>
    <w:rsid w:val="00DB44D2"/>
    <w:rPr>
      <w:rFonts w:ascii="Segoe UI" w:hAnsi="Segoe UI" w:cs="Segoe UI"/>
      <w:sz w:val="18"/>
      <w:szCs w:val="18"/>
    </w:rPr>
  </w:style>
  <w:style w:type="paragraph" w:customStyle="1" w:styleId="paragraph">
    <w:name w:val="paragraph"/>
    <w:basedOn w:val="Normal"/>
    <w:rsid w:val="001C4D45"/>
    <w:pPr>
      <w:spacing w:before="100" w:beforeAutospacing="1" w:after="100" w:afterAutospacing="1"/>
    </w:pPr>
  </w:style>
  <w:style w:type="character" w:customStyle="1" w:styleId="eop">
    <w:name w:val="eop"/>
    <w:basedOn w:val="DefaultParagraphFont"/>
    <w:rsid w:val="001C4D45"/>
  </w:style>
  <w:style w:type="character" w:customStyle="1" w:styleId="normaltextrun">
    <w:name w:val="normaltextrun"/>
    <w:basedOn w:val="DefaultParagraphFont"/>
    <w:rsid w:val="001C4D45"/>
  </w:style>
  <w:style w:type="character" w:customStyle="1" w:styleId="FooterChar">
    <w:name w:val="Footer Char"/>
    <w:basedOn w:val="DefaultParagraphFont"/>
    <w:link w:val="Footer"/>
    <w:uiPriority w:val="99"/>
    <w:rsid w:val="00BF4A98"/>
    <w:rPr>
      <w:spacing w:val="-3"/>
      <w:sz w:val="24"/>
      <w:lang w:eastAsia="en-US"/>
    </w:rPr>
  </w:style>
  <w:style w:type="character" w:styleId="Hyperlink">
    <w:name w:val="Hyperlink"/>
    <w:basedOn w:val="DefaultParagraphFont"/>
    <w:uiPriority w:val="99"/>
    <w:rsid w:val="00F64E00"/>
    <w:rPr>
      <w:color w:val="0563C1" w:themeColor="hyperlink"/>
      <w:u w:val="single"/>
    </w:rPr>
  </w:style>
  <w:style w:type="character" w:styleId="UnresolvedMention">
    <w:name w:val="Unresolved Mention"/>
    <w:basedOn w:val="DefaultParagraphFont"/>
    <w:uiPriority w:val="99"/>
    <w:semiHidden/>
    <w:unhideWhenUsed/>
    <w:rsid w:val="00F64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uk.westlaw.com/Document/IA00F8C51E44911DA8D70A0E70A78ED65/View/FullText.html?originationContext=document&amp;transitionType=DocumentItem&amp;ppcid=d9589b504249458b873e384045e3cd31&amp;contextData=(sc.Search)" TargetMode="External"/><Relationship Id="rId26" Type="http://schemas.openxmlformats.org/officeDocument/2006/relationships/hyperlink" Target="https://uk.westlaw.com/Document/I44A51920E45311DA8D70A0E70A78ED65/View/FullText.html?originationContext=document&amp;transitionType=DocumentItem&amp;ppcid=d9589b504249458b873e384045e3cd31&amp;contextData=(sc.Search)" TargetMode="External"/><Relationship Id="rId3" Type="http://schemas.openxmlformats.org/officeDocument/2006/relationships/customXml" Target="../customXml/item3.xml"/><Relationship Id="rId21" Type="http://schemas.openxmlformats.org/officeDocument/2006/relationships/hyperlink" Target="https://uk.westlaw.com/Document/I9FF79781E44911DA8D70A0E70A78ED65/View/FullText.html?originationContext=document&amp;transitionType=DocumentItem&amp;ppcid=d9589b504249458b873e384045e3cd31&amp;contextData=(sc.Search)"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uk.westlaw.com/Document/I6040AAD1E42311DAA7CF8F68F6EE57AB/View/FullText.html?originationContext=document&amp;transitionType=DocumentItem&amp;ppcid=d9589b504249458b873e384045e3cd31&amp;contextData=(sc.Search)" TargetMode="External"/><Relationship Id="rId25" Type="http://schemas.openxmlformats.org/officeDocument/2006/relationships/hyperlink" Target="https://uk.westlaw.com/Document/I449A91D0E45311DA8D70A0E70A78ED65/View/FullText.html?originationContext=document&amp;transitionType=DocumentItem&amp;ppcid=d9589b504249458b873e384045e3cd31&amp;contextData=(sc.Search)"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ristol.gov.uk/business/licences-and-permits/property-licences/check-if-you-need-a-property-licence-and-apply" TargetMode="External"/><Relationship Id="rId20" Type="http://schemas.openxmlformats.org/officeDocument/2006/relationships/hyperlink" Target="https://uk.westlaw.com/Document/I9FF79781E44911DA8D70A0E70A78ED65/View/FullText.html?originationContext=document&amp;transitionType=DocumentItem&amp;ppcid=d9589b504249458b873e384045e3cd31&amp;contextData=(sc.Search)" TargetMode="External"/><Relationship Id="rId29" Type="http://schemas.openxmlformats.org/officeDocument/2006/relationships/hyperlink" Target="https://uk.westlaw.com/Document/I448953C1E45311DA8D70A0E70A78ED65/View/FullText.html?originationContext=document&amp;transitionType=DocumentItem&amp;ppcid=d9589b504249458b873e384045e3cd31&amp;contextData=(sc.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k.westlaw.com/Document/I448953C1E45311DA8D70A0E70A78ED65/View/FullText.html?originationContext=document&amp;transitionType=DocumentItem&amp;ppcid=d9589b504249458b873e384045e3cd31&amp;contextData=(sc.Search)" TargetMode="External"/><Relationship Id="rId32" Type="http://schemas.openxmlformats.org/officeDocument/2006/relationships/hyperlink" Target="https://uk.westlaw.com/Document/IF6AD84C0222511E6872D9505B57C9DD6/View/FullText.html?originationContext=document&amp;transitionType=DocumentItem&amp;ppcid=37348af5d7ef4846aeb31cb407d186b9&amp;contextData=(sc.DocLin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uk.westlaw.com/Document/I44889070E45311DA8D70A0E70A78ED65/View/FullText.html?originationContext=document&amp;transitionType=DocumentItem&amp;ppcid=d9589b504249458b873e384045e3cd31&amp;contextData=(sc.Search)" TargetMode="External"/><Relationship Id="rId28" Type="http://schemas.openxmlformats.org/officeDocument/2006/relationships/hyperlink" Target="https://uk.westlaw.com/Document/I44889070E45311DA8D70A0E70A78ED65/View/FullText.html?originationContext=document&amp;transitionType=DocumentItem&amp;ppcid=d9589b504249458b873e384045e3cd31&amp;contextData=(sc.Search)" TargetMode="External"/><Relationship Id="rId10" Type="http://schemas.openxmlformats.org/officeDocument/2006/relationships/endnotes" Target="endnotes.xml"/><Relationship Id="rId19" Type="http://schemas.openxmlformats.org/officeDocument/2006/relationships/hyperlink" Target="https://uk.westlaw.com/Document/I60425880E42311DAA7CF8F68F6EE57AB/View/FullText.html?originationContext=document&amp;transitionType=DocumentItem&amp;ppcid=d9589b504249458b873e384045e3cd31&amp;contextData=(sc.Search)" TargetMode="External"/><Relationship Id="rId31" Type="http://schemas.openxmlformats.org/officeDocument/2006/relationships/hyperlink" Target="https://uk.westlaw.com/Document/I468B1340222611E6872D9505B57C9DD6/View/FullText.html?originationContext=document&amp;transitionType=DocumentItem&amp;ppcid=37348af5d7ef4846aeb31cb407d186b9&amp;contextData=(sc.Doc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k.westlaw.com/Document/I5F9353D0E42311DAA7CF8F68F6EE57AB/View/FullText.html?originationContext=document&amp;transitionType=DocumentItem&amp;ppcid=d9589b504249458b873e384045e3cd31&amp;contextData=(sc.Search)" TargetMode="External"/><Relationship Id="rId27" Type="http://schemas.openxmlformats.org/officeDocument/2006/relationships/hyperlink" Target="https://uk.westlaw.com/Document/IE2F30310222511E6872D9505B57C9DD6/View/FullText.html?originationContext=document&amp;transitionType=DocumentItem&amp;ppcid=d9589b504249458b873e384045e3cd31&amp;contextData=(sc.Search)" TargetMode="External"/><Relationship Id="rId30" Type="http://schemas.openxmlformats.org/officeDocument/2006/relationships/hyperlink" Target="https://uk.westlaw.com/Document/I5F9353D0E42311DAA7CF8F68F6EE57AB/View/FullText.html?originationContext=document&amp;transitionType=DocumentItem&amp;ppcid=d9589b504249458b873e384045e3cd31&amp;contextData=(sc.Search)"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857B4AF99DB0942B713A35E41D106AE" ma:contentTypeVersion="14" ma:contentTypeDescription="Create a new document." ma:contentTypeScope="" ma:versionID="efa091e033f3e307302877943c941441">
  <xsd:schema xmlns:xsd="http://www.w3.org/2001/XMLSchema" xmlns:xs="http://www.w3.org/2001/XMLSchema" xmlns:p="http://schemas.microsoft.com/office/2006/metadata/properties" xmlns:ns3="99bdf527-5e1f-4744-8e3e-fb3d6b6d3fca" xmlns:ns4="077fc601-16d7-40e5-bd47-afeb4f84a194" targetNamespace="http://schemas.microsoft.com/office/2006/metadata/properties" ma:root="true" ma:fieldsID="a638e93c01e296fe38424e4b444e0ea9" ns3:_="" ns4:_="">
    <xsd:import namespace="99bdf527-5e1f-4744-8e3e-fb3d6b6d3fca"/>
    <xsd:import namespace="077fc601-16d7-40e5-bd47-afeb4f84a1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df527-5e1f-4744-8e3e-fb3d6b6d3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7fc601-16d7-40e5-bd47-afeb4f84a1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8D802-E642-48B6-AA9F-EB525C7ED08F}">
  <ds:schemaRefs>
    <ds:schemaRef ds:uri="http://schemas.microsoft.com/sharepoint/v3/contenttype/forms"/>
  </ds:schemaRefs>
</ds:datastoreItem>
</file>

<file path=customXml/itemProps2.xml><?xml version="1.0" encoding="utf-8"?>
<ds:datastoreItem xmlns:ds="http://schemas.openxmlformats.org/officeDocument/2006/customXml" ds:itemID="{B7F3A751-C881-4866-8375-223B458412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1793BE-64EF-4166-A8A1-3E5FF74C7E22}">
  <ds:schemaRefs>
    <ds:schemaRef ds:uri="http://schemas.openxmlformats.org/officeDocument/2006/bibliography"/>
  </ds:schemaRefs>
</ds:datastoreItem>
</file>

<file path=customXml/itemProps4.xml><?xml version="1.0" encoding="utf-8"?>
<ds:datastoreItem xmlns:ds="http://schemas.openxmlformats.org/officeDocument/2006/customXml" ds:itemID="{B39A6E93-6EAF-4B45-8411-E0AE55AB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df527-5e1f-4744-8e3e-fb3d6b6d3fca"/>
    <ds:schemaRef ds:uri="077fc601-16d7-40e5-bd47-afeb4f84a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5779</Words>
  <Characters>32263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COMPOSITION OF TRIBUNALS</vt:lpstr>
    </vt:vector>
  </TitlesOfParts>
  <Company>Ministry of Justice</Company>
  <LinksUpToDate>false</LinksUpToDate>
  <CharactersWithSpaces>37967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COMPOSITION OF TRIBUNALS</dc:title>
  <dc:subject/>
  <dc:creator>phu95p</dc:creator>
  <cp:keywords/>
  <cp:lastModifiedBy>Cindy Rai</cp:lastModifiedBy>
  <cp:revision>2</cp:revision>
  <cp:lastPrinted>2024-10-10T10:55:00Z</cp:lastPrinted>
  <dcterms:created xsi:type="dcterms:W3CDTF">2024-10-11T19:07:00Z</dcterms:created>
  <dcterms:modified xsi:type="dcterms:W3CDTF">2024-10-11T19:07:00Z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0x0101003857B4AF99DB0942B713A35E41D106AE</vt:lpwstr>
  </property>
</Properties>
</file>