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C41F0" w14:textId="42C06A1C" w:rsidR="00F63EAA" w:rsidRPr="00F63EAA" w:rsidRDefault="00F63EAA" w:rsidP="00F63EAA">
      <w:pPr>
        <w:rPr>
          <w:rFonts w:ascii="Arial" w:hAnsi="Arial" w:cs="Arial"/>
          <w:b/>
          <w:bCs/>
          <w:sz w:val="24"/>
          <w:szCs w:val="24"/>
        </w:rPr>
      </w:pPr>
      <w:r w:rsidRPr="00F63EAA">
        <w:rPr>
          <w:rFonts w:ascii="Arial" w:hAnsi="Arial" w:cs="Arial"/>
          <w:b/>
          <w:bCs/>
          <w:sz w:val="24"/>
          <w:szCs w:val="24"/>
        </w:rPr>
        <w:t xml:space="preserve">Private Registered Provider Social Housing Stock in England: Statistical Data Return </w:t>
      </w:r>
      <w:r w:rsidR="00B56FFA">
        <w:rPr>
          <w:rFonts w:ascii="Arial" w:hAnsi="Arial" w:cs="Arial"/>
          <w:b/>
          <w:bCs/>
          <w:sz w:val="24"/>
          <w:szCs w:val="24"/>
        </w:rPr>
        <w:t>202</w:t>
      </w:r>
      <w:r w:rsidR="00CB77F2">
        <w:rPr>
          <w:rFonts w:ascii="Arial" w:hAnsi="Arial" w:cs="Arial"/>
          <w:b/>
          <w:bCs/>
          <w:sz w:val="24"/>
          <w:szCs w:val="24"/>
        </w:rPr>
        <w:t>4</w:t>
      </w:r>
      <w:r w:rsidRPr="00F63EAA">
        <w:rPr>
          <w:rFonts w:ascii="Arial" w:hAnsi="Arial" w:cs="Arial"/>
          <w:b/>
          <w:bCs/>
          <w:sz w:val="24"/>
          <w:szCs w:val="24"/>
        </w:rPr>
        <w:t xml:space="preserve"> – Dataset Notes</w:t>
      </w:r>
    </w:p>
    <w:p w14:paraId="53EA415E" w14:textId="05E5D48F" w:rsidR="00F63EAA" w:rsidRPr="00F63EAA" w:rsidRDefault="00F63EAA" w:rsidP="00F63EAA">
      <w:pPr>
        <w:rPr>
          <w:rFonts w:ascii="Arial" w:hAnsi="Arial" w:cs="Arial"/>
          <w:sz w:val="24"/>
          <w:szCs w:val="24"/>
        </w:rPr>
      </w:pPr>
      <w:r w:rsidRPr="00F63EAA">
        <w:rPr>
          <w:rFonts w:ascii="Arial" w:hAnsi="Arial" w:cs="Arial"/>
          <w:sz w:val="24"/>
          <w:szCs w:val="24"/>
        </w:rPr>
        <w:t xml:space="preserve">Thank you for downloading the SDR </w:t>
      </w:r>
      <w:r w:rsidR="00B56FFA">
        <w:rPr>
          <w:rFonts w:ascii="Arial" w:hAnsi="Arial" w:cs="Arial"/>
          <w:sz w:val="24"/>
          <w:szCs w:val="24"/>
        </w:rPr>
        <w:t>202</w:t>
      </w:r>
      <w:r w:rsidR="00CB77F2">
        <w:rPr>
          <w:rFonts w:ascii="Arial" w:hAnsi="Arial" w:cs="Arial"/>
          <w:sz w:val="24"/>
          <w:szCs w:val="24"/>
        </w:rPr>
        <w:t>4</w:t>
      </w:r>
      <w:r w:rsidRPr="00F63EAA">
        <w:rPr>
          <w:rFonts w:ascii="Arial" w:hAnsi="Arial" w:cs="Arial"/>
          <w:sz w:val="24"/>
          <w:szCs w:val="24"/>
        </w:rPr>
        <w:t xml:space="preserve"> dataset. Here you will find all the information necessary to analyse the SDR Survey data and find contact details for resources relevant to the SDR Survey.</w:t>
      </w:r>
    </w:p>
    <w:p w14:paraId="5CDAA14B" w14:textId="77777777" w:rsidR="00F63EAA" w:rsidRPr="00F63EAA" w:rsidRDefault="00F63EAA" w:rsidP="00F63EAA">
      <w:pPr>
        <w:rPr>
          <w:rFonts w:ascii="Arial" w:hAnsi="Arial" w:cs="Arial"/>
          <w:sz w:val="24"/>
          <w:szCs w:val="24"/>
        </w:rPr>
      </w:pPr>
      <w:r w:rsidRPr="00F63EAA">
        <w:rPr>
          <w:rFonts w:ascii="Arial" w:hAnsi="Arial" w:cs="Arial"/>
          <w:sz w:val="24"/>
          <w:szCs w:val="24"/>
        </w:rPr>
        <w:t>The Statistical Data Return (SDR) is an annual survey completed by all English PRPs (Private Registered Providers). It collects data on stock size, location and types, PRP characteristics, rents and activities over the year.</w:t>
      </w:r>
    </w:p>
    <w:p w14:paraId="4A6AAB8A" w14:textId="77777777" w:rsidR="00F63EAA" w:rsidRPr="00F63EAA" w:rsidRDefault="00F63EAA" w:rsidP="00F63EAA">
      <w:pPr>
        <w:rPr>
          <w:rFonts w:ascii="Arial" w:hAnsi="Arial" w:cs="Arial"/>
          <w:b/>
          <w:bCs/>
          <w:sz w:val="24"/>
          <w:szCs w:val="24"/>
        </w:rPr>
      </w:pPr>
      <w:r w:rsidRPr="00F63EAA">
        <w:rPr>
          <w:rFonts w:ascii="Arial" w:hAnsi="Arial" w:cs="Arial"/>
          <w:b/>
          <w:bCs/>
          <w:sz w:val="24"/>
          <w:szCs w:val="24"/>
        </w:rPr>
        <w:t>Publications available</w:t>
      </w:r>
    </w:p>
    <w:p w14:paraId="7943992F" w14:textId="77777777" w:rsidR="00F63EAA" w:rsidRPr="00F63EAA" w:rsidRDefault="00F63EAA" w:rsidP="00F63EAA">
      <w:pPr>
        <w:rPr>
          <w:rFonts w:ascii="Arial" w:hAnsi="Arial" w:cs="Arial"/>
          <w:sz w:val="24"/>
          <w:szCs w:val="24"/>
        </w:rPr>
      </w:pPr>
      <w:r w:rsidRPr="00F63EAA">
        <w:rPr>
          <w:rFonts w:ascii="Arial" w:hAnsi="Arial" w:cs="Arial"/>
          <w:sz w:val="24"/>
          <w:szCs w:val="24"/>
        </w:rPr>
        <w:t>Statistical Release. This shows key sector-wide figures from the data with a short commentary. The report can be found at the link below:</w:t>
      </w:r>
    </w:p>
    <w:p w14:paraId="24BD1009" w14:textId="3AB6CD0B" w:rsidR="00C50DB2" w:rsidRPr="00C50DB2" w:rsidRDefault="00CB77F2" w:rsidP="00F63EAA">
      <w:pPr>
        <w:rPr>
          <w:rStyle w:val="Hyperlink"/>
          <w:rFonts w:ascii="Arial" w:hAnsi="Arial" w:cs="Arial"/>
          <w:sz w:val="24"/>
          <w:szCs w:val="24"/>
        </w:rPr>
      </w:pPr>
      <w:hyperlink r:id="rId6" w:history="1">
        <w:r w:rsidR="00C50DB2" w:rsidRPr="00C50DB2">
          <w:rPr>
            <w:rStyle w:val="Hyperlink"/>
            <w:rFonts w:ascii="Arial" w:hAnsi="Arial" w:cs="Arial"/>
            <w:sz w:val="24"/>
            <w:szCs w:val="24"/>
          </w:rPr>
          <w:t>https://www.gov.uk/government/organisati</w:t>
        </w:r>
        <w:r w:rsidR="00C50DB2" w:rsidRPr="00C50DB2">
          <w:rPr>
            <w:rStyle w:val="Hyperlink"/>
            <w:rFonts w:ascii="Arial" w:hAnsi="Arial" w:cs="Arial"/>
            <w:sz w:val="24"/>
            <w:szCs w:val="24"/>
          </w:rPr>
          <w:t>o</w:t>
        </w:r>
        <w:r w:rsidR="00C50DB2" w:rsidRPr="00C50DB2">
          <w:rPr>
            <w:rStyle w:val="Hyperlink"/>
            <w:rFonts w:ascii="Arial" w:hAnsi="Arial" w:cs="Arial"/>
            <w:sz w:val="24"/>
            <w:szCs w:val="24"/>
          </w:rPr>
          <w:t>ns/regulator-of-social-housing/about/statistics</w:t>
        </w:r>
      </w:hyperlink>
    </w:p>
    <w:p w14:paraId="2C635FA6" w14:textId="7EB945F0" w:rsidR="00F63EAA" w:rsidRPr="00F63EAA" w:rsidRDefault="00F63EAA" w:rsidP="00F63EAA">
      <w:pPr>
        <w:rPr>
          <w:rFonts w:ascii="Arial" w:hAnsi="Arial" w:cs="Arial"/>
          <w:b/>
          <w:bCs/>
          <w:sz w:val="24"/>
          <w:szCs w:val="24"/>
        </w:rPr>
      </w:pPr>
      <w:r w:rsidRPr="00F63EAA">
        <w:rPr>
          <w:rFonts w:ascii="Arial" w:hAnsi="Arial" w:cs="Arial"/>
          <w:b/>
          <w:bCs/>
          <w:sz w:val="24"/>
          <w:szCs w:val="24"/>
        </w:rPr>
        <w:t>SDR forms and guidance notes</w:t>
      </w:r>
    </w:p>
    <w:p w14:paraId="7B5920E4" w14:textId="77777777" w:rsidR="00F63EAA" w:rsidRPr="00F63EAA" w:rsidRDefault="00F63EAA" w:rsidP="00F63EAA">
      <w:pPr>
        <w:rPr>
          <w:rFonts w:ascii="Arial" w:hAnsi="Arial" w:cs="Arial"/>
          <w:sz w:val="24"/>
          <w:szCs w:val="24"/>
        </w:rPr>
      </w:pPr>
      <w:r w:rsidRPr="00F63EAA">
        <w:rPr>
          <w:rFonts w:ascii="Arial" w:hAnsi="Arial" w:cs="Arial"/>
          <w:sz w:val="24"/>
          <w:szCs w:val="24"/>
        </w:rPr>
        <w:t>The blank forms and accompanying guidance notes, which are an essential aid to analysis of the data, are available from the NROSH+ website at the link below:</w:t>
      </w:r>
    </w:p>
    <w:p w14:paraId="3500999B" w14:textId="61E029CD" w:rsidR="00C50DB2" w:rsidRDefault="00CB77F2" w:rsidP="00F63EAA">
      <w:pPr>
        <w:rPr>
          <w:rFonts w:ascii="Arial" w:hAnsi="Arial" w:cs="Arial"/>
          <w:sz w:val="24"/>
          <w:szCs w:val="24"/>
        </w:rPr>
      </w:pPr>
      <w:hyperlink r:id="rId7" w:history="1">
        <w:r w:rsidR="00C50DB2" w:rsidRPr="008672E9">
          <w:rPr>
            <w:rStyle w:val="Hyperlink"/>
            <w:rFonts w:ascii="Arial" w:hAnsi="Arial" w:cs="Arial"/>
            <w:sz w:val="24"/>
            <w:szCs w:val="24"/>
          </w:rPr>
          <w:t>https://nroshplus.regulatorofsocialhousing.or</w:t>
        </w:r>
        <w:r w:rsidR="00C50DB2" w:rsidRPr="008672E9">
          <w:rPr>
            <w:rStyle w:val="Hyperlink"/>
            <w:rFonts w:ascii="Arial" w:hAnsi="Arial" w:cs="Arial"/>
            <w:sz w:val="24"/>
            <w:szCs w:val="24"/>
          </w:rPr>
          <w:t>g</w:t>
        </w:r>
        <w:r w:rsidR="00C50DB2" w:rsidRPr="008672E9">
          <w:rPr>
            <w:rStyle w:val="Hyperlink"/>
            <w:rFonts w:ascii="Arial" w:hAnsi="Arial" w:cs="Arial"/>
            <w:sz w:val="24"/>
            <w:szCs w:val="24"/>
          </w:rPr>
          <w:t>.uk/</w:t>
        </w:r>
      </w:hyperlink>
    </w:p>
    <w:p w14:paraId="02F2EF39" w14:textId="247B9B46" w:rsidR="00F63EAA" w:rsidRPr="00F63EAA" w:rsidRDefault="00F63EAA" w:rsidP="00F63EAA">
      <w:pPr>
        <w:rPr>
          <w:rFonts w:ascii="Arial" w:hAnsi="Arial" w:cs="Arial"/>
          <w:b/>
          <w:bCs/>
          <w:sz w:val="24"/>
          <w:szCs w:val="24"/>
        </w:rPr>
      </w:pPr>
      <w:r w:rsidRPr="00F63EAA">
        <w:rPr>
          <w:rFonts w:ascii="Arial" w:hAnsi="Arial" w:cs="Arial"/>
          <w:b/>
          <w:bCs/>
          <w:sz w:val="24"/>
          <w:szCs w:val="24"/>
        </w:rPr>
        <w:t>How to use th</w:t>
      </w:r>
      <w:r>
        <w:rPr>
          <w:rFonts w:ascii="Arial" w:hAnsi="Arial" w:cs="Arial"/>
          <w:b/>
          <w:bCs/>
          <w:sz w:val="24"/>
          <w:szCs w:val="24"/>
        </w:rPr>
        <w:t>is release</w:t>
      </w:r>
    </w:p>
    <w:p w14:paraId="3CD018C0" w14:textId="4D6A4D5B" w:rsidR="00F63EAA" w:rsidRPr="00F63EAA" w:rsidRDefault="00F63EAA" w:rsidP="00F63EAA">
      <w:pPr>
        <w:rPr>
          <w:rFonts w:ascii="Arial" w:hAnsi="Arial" w:cs="Arial"/>
          <w:sz w:val="24"/>
          <w:szCs w:val="24"/>
        </w:rPr>
      </w:pPr>
      <w:r w:rsidRPr="00F63EAA">
        <w:rPr>
          <w:rFonts w:ascii="Arial" w:hAnsi="Arial" w:cs="Arial"/>
          <w:sz w:val="24"/>
          <w:szCs w:val="24"/>
        </w:rPr>
        <w:t>Each tab broadly corresponds to a part of the SDR form, and the columns within each tab correspond to individual questions / sub-questions.</w:t>
      </w:r>
    </w:p>
    <w:p w14:paraId="70BA9BBC" w14:textId="7994EDA9" w:rsidR="00F63EAA" w:rsidRPr="00F63EAA" w:rsidRDefault="00F63EAA" w:rsidP="00F63EAA">
      <w:pPr>
        <w:rPr>
          <w:rFonts w:ascii="Arial" w:hAnsi="Arial" w:cs="Arial"/>
          <w:sz w:val="24"/>
          <w:szCs w:val="24"/>
        </w:rPr>
      </w:pPr>
      <w:r w:rsidRPr="00F63EAA">
        <w:rPr>
          <w:rFonts w:ascii="Arial" w:hAnsi="Arial" w:cs="Arial"/>
          <w:sz w:val="24"/>
          <w:szCs w:val="24"/>
        </w:rPr>
        <w:t>There are two versions of the SDR form: Large (completed by those PRPs owning at least 1</w:t>
      </w:r>
      <w:r w:rsidR="00B56FFA">
        <w:rPr>
          <w:rFonts w:ascii="Arial" w:hAnsi="Arial" w:cs="Arial"/>
          <w:sz w:val="24"/>
          <w:szCs w:val="24"/>
        </w:rPr>
        <w:t>,</w:t>
      </w:r>
      <w:r w:rsidRPr="00F63EAA">
        <w:rPr>
          <w:rFonts w:ascii="Arial" w:hAnsi="Arial" w:cs="Arial"/>
          <w:sz w:val="24"/>
          <w:szCs w:val="24"/>
        </w:rPr>
        <w:t>000 units/bedspaces of social housing) and Small (completed by PRPs owning fewer than 1</w:t>
      </w:r>
      <w:r w:rsidR="00B56FFA">
        <w:rPr>
          <w:rFonts w:ascii="Arial" w:hAnsi="Arial" w:cs="Arial"/>
          <w:sz w:val="24"/>
          <w:szCs w:val="24"/>
        </w:rPr>
        <w:t>,</w:t>
      </w:r>
      <w:r w:rsidRPr="00F63EAA">
        <w:rPr>
          <w:rFonts w:ascii="Arial" w:hAnsi="Arial" w:cs="Arial"/>
          <w:sz w:val="24"/>
          <w:szCs w:val="24"/>
        </w:rPr>
        <w:t>000 units/bedspaces of social housing).</w:t>
      </w:r>
    </w:p>
    <w:p w14:paraId="41F5664B" w14:textId="55BB3B57" w:rsidR="00F63EAA" w:rsidRPr="00F63EAA" w:rsidRDefault="00F63EAA" w:rsidP="00F63EAA">
      <w:pPr>
        <w:rPr>
          <w:rFonts w:ascii="Arial" w:hAnsi="Arial" w:cs="Arial"/>
          <w:sz w:val="24"/>
          <w:szCs w:val="24"/>
        </w:rPr>
      </w:pPr>
      <w:r w:rsidRPr="00F63EAA">
        <w:rPr>
          <w:rFonts w:ascii="Arial" w:hAnsi="Arial" w:cs="Arial"/>
          <w:sz w:val="24"/>
          <w:szCs w:val="24"/>
        </w:rPr>
        <w:t xml:space="preserve">The Data Dictionary </w:t>
      </w:r>
      <w:r>
        <w:rPr>
          <w:rFonts w:ascii="Arial" w:hAnsi="Arial" w:cs="Arial"/>
          <w:sz w:val="24"/>
          <w:szCs w:val="24"/>
        </w:rPr>
        <w:t>file</w:t>
      </w:r>
      <w:r w:rsidRPr="00F63EAA">
        <w:rPr>
          <w:rFonts w:ascii="Arial" w:hAnsi="Arial" w:cs="Arial"/>
          <w:sz w:val="24"/>
          <w:szCs w:val="24"/>
        </w:rPr>
        <w:t xml:space="preserve"> provides a full description of how the fields from each form have mapped into the data tables, what each field represents, which SDR questions they relate to and information on whether the field applies to Large or Small PRPs.</w:t>
      </w:r>
    </w:p>
    <w:p w14:paraId="7E6233C4" w14:textId="4DB19132" w:rsidR="00F63EAA" w:rsidRPr="00F63EAA" w:rsidRDefault="00F63EAA" w:rsidP="00F63EAA">
      <w:pPr>
        <w:rPr>
          <w:rFonts w:ascii="Arial" w:hAnsi="Arial" w:cs="Arial"/>
          <w:sz w:val="24"/>
          <w:szCs w:val="24"/>
        </w:rPr>
      </w:pPr>
      <w:r w:rsidRPr="00F63EAA">
        <w:rPr>
          <w:rFonts w:ascii="Arial" w:hAnsi="Arial" w:cs="Arial"/>
          <w:sz w:val="24"/>
          <w:szCs w:val="24"/>
        </w:rPr>
        <w:t xml:space="preserve">The Table Coverage </w:t>
      </w:r>
      <w:r>
        <w:rPr>
          <w:rFonts w:ascii="Arial" w:hAnsi="Arial" w:cs="Arial"/>
          <w:sz w:val="24"/>
          <w:szCs w:val="24"/>
        </w:rPr>
        <w:t>file</w:t>
      </w:r>
      <w:r w:rsidRPr="00F63EAA">
        <w:rPr>
          <w:rFonts w:ascii="Arial" w:hAnsi="Arial" w:cs="Arial"/>
          <w:sz w:val="24"/>
          <w:szCs w:val="24"/>
        </w:rPr>
        <w:t xml:space="preserve"> provides information on whether a given PRP has data in each table.</w:t>
      </w:r>
    </w:p>
    <w:p w14:paraId="1868F552" w14:textId="02267ED1" w:rsidR="00F63EAA" w:rsidRDefault="00F63EAA" w:rsidP="00F63EAA">
      <w:pPr>
        <w:rPr>
          <w:rFonts w:ascii="Arial" w:hAnsi="Arial" w:cs="Arial"/>
          <w:sz w:val="24"/>
          <w:szCs w:val="24"/>
        </w:rPr>
      </w:pPr>
      <w:r w:rsidRPr="00F63EAA">
        <w:rPr>
          <w:rFonts w:ascii="Arial" w:hAnsi="Arial" w:cs="Arial"/>
          <w:sz w:val="24"/>
          <w:szCs w:val="24"/>
        </w:rPr>
        <w:t>All figures are unweighted.</w:t>
      </w:r>
    </w:p>
    <w:p w14:paraId="19DBDAD7" w14:textId="2FD28D5E" w:rsidR="00F63EAA" w:rsidRPr="00F63EAA" w:rsidRDefault="00F63EAA" w:rsidP="00F63EAA">
      <w:pPr>
        <w:rPr>
          <w:rFonts w:ascii="Arial" w:hAnsi="Arial" w:cs="Arial"/>
          <w:b/>
          <w:bCs/>
          <w:sz w:val="24"/>
          <w:szCs w:val="24"/>
        </w:rPr>
      </w:pPr>
      <w:r w:rsidRPr="00F63EAA">
        <w:rPr>
          <w:rFonts w:ascii="Arial" w:hAnsi="Arial" w:cs="Arial"/>
          <w:b/>
          <w:bCs/>
          <w:sz w:val="24"/>
          <w:szCs w:val="24"/>
        </w:rPr>
        <w:t>Notes</w:t>
      </w:r>
    </w:p>
    <w:p w14:paraId="759CC963" w14:textId="77777777" w:rsidR="00F63EAA" w:rsidRPr="00F63EAA" w:rsidRDefault="00F63EAA" w:rsidP="00F63EAA">
      <w:pPr>
        <w:rPr>
          <w:rFonts w:ascii="Arial" w:hAnsi="Arial" w:cs="Arial"/>
          <w:sz w:val="24"/>
          <w:szCs w:val="24"/>
        </w:rPr>
      </w:pPr>
      <w:r w:rsidRPr="00F63EAA">
        <w:rPr>
          <w:rFonts w:ascii="Arial" w:hAnsi="Arial" w:cs="Arial"/>
          <w:sz w:val="24"/>
          <w:szCs w:val="24"/>
        </w:rPr>
        <w:t>[note 1] [As illustrated in the Data Dictionary, several tables contain information from both the Large and Small SDR returns. Where a particular field does not apply to a PRP and was not part of the return they were asked to complete, e.g. questions on evictions were not asked of Small PRPs, the Data Field column in the Data Dictionary list the field 'N/A'.]</w:t>
      </w:r>
    </w:p>
    <w:p w14:paraId="1AE6DDDE" w14:textId="3A31696B" w:rsidR="00F63EAA" w:rsidRPr="00F63EAA" w:rsidRDefault="00F63EAA" w:rsidP="00F63EAA">
      <w:pPr>
        <w:rPr>
          <w:rFonts w:ascii="Arial" w:hAnsi="Arial" w:cs="Arial"/>
          <w:sz w:val="24"/>
          <w:szCs w:val="24"/>
        </w:rPr>
      </w:pPr>
      <w:r w:rsidRPr="00F63EAA">
        <w:rPr>
          <w:rFonts w:ascii="Arial" w:hAnsi="Arial" w:cs="Arial"/>
          <w:sz w:val="24"/>
          <w:szCs w:val="24"/>
        </w:rPr>
        <w:t xml:space="preserve">[note 2] [Not all PRPs complete every section of the SDR, either because they were not assigned a section or they had no data to report in it (e.g. not completing the </w:t>
      </w:r>
      <w:r w:rsidRPr="00F63EAA">
        <w:rPr>
          <w:rFonts w:ascii="Arial" w:hAnsi="Arial" w:cs="Arial"/>
          <w:sz w:val="24"/>
          <w:szCs w:val="24"/>
        </w:rPr>
        <w:lastRenderedPageBreak/>
        <w:t>Affordable Rent section as they have no Affordable Rent stock). Details of which sections of this release a PRP appears in can be found in the Table</w:t>
      </w:r>
      <w:r>
        <w:rPr>
          <w:rFonts w:ascii="Arial" w:hAnsi="Arial" w:cs="Arial"/>
          <w:sz w:val="24"/>
          <w:szCs w:val="24"/>
        </w:rPr>
        <w:t xml:space="preserve"> </w:t>
      </w:r>
      <w:r w:rsidRPr="00F63EAA">
        <w:rPr>
          <w:rFonts w:ascii="Arial" w:hAnsi="Arial" w:cs="Arial"/>
          <w:sz w:val="24"/>
          <w:szCs w:val="24"/>
        </w:rPr>
        <w:t>Coverage sheet.]</w:t>
      </w:r>
    </w:p>
    <w:p w14:paraId="3B8626F7" w14:textId="1990F7F0" w:rsidR="00F63EAA" w:rsidRPr="00F63EAA" w:rsidRDefault="00F63EAA" w:rsidP="00F63EAA">
      <w:pPr>
        <w:rPr>
          <w:rFonts w:ascii="Arial" w:hAnsi="Arial" w:cs="Arial"/>
          <w:sz w:val="24"/>
          <w:szCs w:val="24"/>
        </w:rPr>
      </w:pPr>
      <w:r w:rsidRPr="00F63EAA">
        <w:rPr>
          <w:rFonts w:ascii="Arial" w:hAnsi="Arial" w:cs="Arial"/>
          <w:sz w:val="24"/>
          <w:szCs w:val="24"/>
        </w:rPr>
        <w:t xml:space="preserve">[note 3] [Where a PRP has left a question within a section blank, this appears in the data tables as </w:t>
      </w:r>
      <w:r w:rsidR="00B56FFA">
        <w:rPr>
          <w:rFonts w:ascii="Arial" w:hAnsi="Arial" w:cs="Arial"/>
          <w:sz w:val="24"/>
          <w:szCs w:val="24"/>
        </w:rPr>
        <w:t>[x]</w:t>
      </w:r>
      <w:r w:rsidRPr="00F63EAA">
        <w:rPr>
          <w:rFonts w:ascii="Arial" w:hAnsi="Arial" w:cs="Arial"/>
          <w:sz w:val="24"/>
          <w:szCs w:val="24"/>
        </w:rPr>
        <w:t>. Where they have entered '0', this appears as a '0'.]</w:t>
      </w:r>
    </w:p>
    <w:p w14:paraId="0D97FBDF" w14:textId="77777777" w:rsidR="00F63EAA" w:rsidRPr="00F63EAA" w:rsidRDefault="00F63EAA" w:rsidP="00F63EAA">
      <w:pPr>
        <w:rPr>
          <w:rFonts w:ascii="Arial" w:hAnsi="Arial" w:cs="Arial"/>
          <w:b/>
          <w:bCs/>
          <w:sz w:val="24"/>
          <w:szCs w:val="24"/>
        </w:rPr>
      </w:pPr>
      <w:r w:rsidRPr="00F63EAA">
        <w:rPr>
          <w:rFonts w:ascii="Arial" w:hAnsi="Arial" w:cs="Arial"/>
          <w:b/>
          <w:bCs/>
          <w:sz w:val="24"/>
          <w:szCs w:val="24"/>
        </w:rPr>
        <w:t>Release History</w:t>
      </w:r>
    </w:p>
    <w:p w14:paraId="4D107392" w14:textId="5E172D4A" w:rsidR="00565CA7" w:rsidRPr="00F63EAA" w:rsidRDefault="00F63EAA" w:rsidP="00F63EAA">
      <w:pPr>
        <w:rPr>
          <w:rFonts w:ascii="Arial" w:hAnsi="Arial" w:cs="Arial"/>
          <w:sz w:val="24"/>
          <w:szCs w:val="24"/>
        </w:rPr>
      </w:pPr>
      <w:r w:rsidRPr="00F63EAA">
        <w:rPr>
          <w:rFonts w:ascii="Arial" w:hAnsi="Arial" w:cs="Arial"/>
          <w:sz w:val="24"/>
          <w:szCs w:val="24"/>
        </w:rPr>
        <w:t xml:space="preserve">Version 1.0 of this dataset was published October </w:t>
      </w:r>
      <w:r w:rsidR="00CB77F2">
        <w:rPr>
          <w:rFonts w:ascii="Arial" w:hAnsi="Arial" w:cs="Arial"/>
          <w:sz w:val="24"/>
          <w:szCs w:val="24"/>
        </w:rPr>
        <w:t>2024</w:t>
      </w:r>
    </w:p>
    <w:sectPr w:rsidR="00565CA7" w:rsidRPr="00F63EA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C8622" w14:textId="77777777" w:rsidR="00F63EAA" w:rsidRDefault="00F63EAA" w:rsidP="00F63EAA">
      <w:pPr>
        <w:spacing w:after="0" w:line="240" w:lineRule="auto"/>
      </w:pPr>
      <w:r>
        <w:separator/>
      </w:r>
    </w:p>
  </w:endnote>
  <w:endnote w:type="continuationSeparator" w:id="0">
    <w:p w14:paraId="46794F86" w14:textId="77777777" w:rsidR="00F63EAA" w:rsidRDefault="00F63EAA" w:rsidP="00F63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3CDC0" w14:textId="77777777" w:rsidR="00B56FFA" w:rsidRDefault="00B56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B0CA2" w14:textId="5FC08DB0" w:rsidR="00F63EAA" w:rsidRDefault="00F63EAA">
    <w:pPr>
      <w:pStyle w:val="Footer"/>
    </w:pPr>
    <w:r>
      <w:rPr>
        <w:noProof/>
      </w:rPr>
      <mc:AlternateContent>
        <mc:Choice Requires="wps">
          <w:drawing>
            <wp:anchor distT="0" distB="0" distL="114300" distR="114300" simplePos="0" relativeHeight="251659264" behindDoc="0" locked="0" layoutInCell="0" allowOverlap="1" wp14:anchorId="7908808F" wp14:editId="0DC3D3EF">
              <wp:simplePos x="0" y="0"/>
              <wp:positionH relativeFrom="page">
                <wp:posOffset>0</wp:posOffset>
              </wp:positionH>
              <wp:positionV relativeFrom="page">
                <wp:posOffset>10234930</wp:posOffset>
              </wp:positionV>
              <wp:extent cx="7560310" cy="266700"/>
              <wp:effectExtent l="0" t="0" r="0" b="0"/>
              <wp:wrapNone/>
              <wp:docPr id="1" name="MSIPCM38374c11a8e61ccf86a4def2" descr="{&quot;HashCode&quot;:-56399955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EFB3D6" w14:textId="4AD7082F" w:rsidR="00F63EAA" w:rsidRPr="00F63EAA" w:rsidRDefault="00F63EAA" w:rsidP="00F63EAA">
                          <w:pPr>
                            <w:spacing w:after="0"/>
                            <w:jc w:val="center"/>
                            <w:rPr>
                              <w:rFonts w:ascii="Calibri" w:hAnsi="Calibri" w:cs="Calibri"/>
                              <w:color w:val="0078D7"/>
                              <w:sz w:val="24"/>
                            </w:rPr>
                          </w:pPr>
                          <w:r w:rsidRPr="00F63EAA">
                            <w:rPr>
                              <w:rFonts w:ascii="Calibri" w:hAnsi="Calibri" w:cs="Calibri"/>
                              <w:color w:val="0078D7"/>
                              <w:sz w:val="24"/>
                            </w:rPr>
                            <w:t xml:space="preserve">OFFICIAL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08808F" id="_x0000_t202" coordsize="21600,21600" o:spt="202" path="m,l,21600r21600,l21600,xe">
              <v:stroke joinstyle="miter"/>
              <v:path gradientshapeok="t" o:connecttype="rect"/>
            </v:shapetype>
            <v:shape id="MSIPCM38374c11a8e61ccf86a4def2" o:spid="_x0000_s1026" type="#_x0000_t202" alt="{&quot;HashCode&quot;:-563999558,&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" o:allowincell="f" filled="f" stroked="f" strokeweight=".5pt">
              <v:textbox inset=",0,,0">
                <w:txbxContent>
                  <w:p w14:paraId="5AEFB3D6" w14:textId="4AD7082F" w:rsidR="00F63EAA" w:rsidRPr="00F63EAA" w:rsidRDefault="00F63EAA" w:rsidP="00F63EAA">
                    <w:pPr>
                      <w:spacing w:after="0"/>
                      <w:jc w:val="center"/>
                      <w:rPr>
                        <w:rFonts w:ascii="Calibri" w:hAnsi="Calibri" w:cs="Calibri"/>
                        <w:color w:val="0078D7"/>
                        <w:sz w:val="24"/>
                      </w:rPr>
                    </w:pPr>
                    <w:r w:rsidRPr="00F63EAA">
                      <w:rPr>
                        <w:rFonts w:ascii="Calibri" w:hAnsi="Calibri" w:cs="Calibri"/>
                        <w:color w:val="0078D7"/>
                        <w:sz w:val="24"/>
                      </w:rPr>
                      <w:t xml:space="preserve">OFFICIAL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41F33" w14:textId="77777777" w:rsidR="00B56FFA" w:rsidRDefault="00B56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B5109" w14:textId="77777777" w:rsidR="00F63EAA" w:rsidRDefault="00F63EAA" w:rsidP="00F63EAA">
      <w:pPr>
        <w:spacing w:after="0" w:line="240" w:lineRule="auto"/>
      </w:pPr>
      <w:r>
        <w:separator/>
      </w:r>
    </w:p>
  </w:footnote>
  <w:footnote w:type="continuationSeparator" w:id="0">
    <w:p w14:paraId="0D4ACAAD" w14:textId="77777777" w:rsidR="00F63EAA" w:rsidRDefault="00F63EAA" w:rsidP="00F63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BB6B" w14:textId="77777777" w:rsidR="00B56FFA" w:rsidRDefault="00B56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6C7D3" w14:textId="77777777" w:rsidR="00B56FFA" w:rsidRDefault="00B56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FF5B4" w14:textId="77777777" w:rsidR="00B56FFA" w:rsidRDefault="00B56F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AA"/>
    <w:rsid w:val="001B6DC1"/>
    <w:rsid w:val="00565CA7"/>
    <w:rsid w:val="0066024B"/>
    <w:rsid w:val="00A70C93"/>
    <w:rsid w:val="00B56FFA"/>
    <w:rsid w:val="00C50DB2"/>
    <w:rsid w:val="00CB77F2"/>
    <w:rsid w:val="00F63E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451168"/>
  <w15:chartTrackingRefBased/>
  <w15:docId w15:val="{463FA938-F49A-40C7-932F-3450B180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EAA"/>
    <w:rPr>
      <w:color w:val="0563C1" w:themeColor="hyperlink"/>
      <w:u w:val="single"/>
    </w:rPr>
  </w:style>
  <w:style w:type="character" w:styleId="UnresolvedMention">
    <w:name w:val="Unresolved Mention"/>
    <w:basedOn w:val="DefaultParagraphFont"/>
    <w:uiPriority w:val="99"/>
    <w:semiHidden/>
    <w:unhideWhenUsed/>
    <w:rsid w:val="00F63EAA"/>
    <w:rPr>
      <w:color w:val="605E5C"/>
      <w:shd w:val="clear" w:color="auto" w:fill="E1DFDD"/>
    </w:rPr>
  </w:style>
  <w:style w:type="paragraph" w:styleId="Header">
    <w:name w:val="header"/>
    <w:basedOn w:val="Normal"/>
    <w:link w:val="HeaderChar"/>
    <w:uiPriority w:val="99"/>
    <w:unhideWhenUsed/>
    <w:rsid w:val="00F63E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EAA"/>
  </w:style>
  <w:style w:type="paragraph" w:styleId="Footer">
    <w:name w:val="footer"/>
    <w:basedOn w:val="Normal"/>
    <w:link w:val="FooterChar"/>
    <w:uiPriority w:val="99"/>
    <w:unhideWhenUsed/>
    <w:rsid w:val="00F63E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EAA"/>
  </w:style>
  <w:style w:type="character" w:styleId="FollowedHyperlink">
    <w:name w:val="FollowedHyperlink"/>
    <w:basedOn w:val="DefaultParagraphFont"/>
    <w:uiPriority w:val="99"/>
    <w:semiHidden/>
    <w:unhideWhenUsed/>
    <w:rsid w:val="00C50D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70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nroshplus.regulatorofsocialhousing.org.uk/"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organisations/regulator-of-social-housing/about/statistic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Kester</dc:creator>
  <cp:keywords/>
  <dc:description/>
  <cp:lastModifiedBy>Amy Walton</cp:lastModifiedBy>
  <cp:revision>4</cp:revision>
  <dcterms:created xsi:type="dcterms:W3CDTF">2023-10-19T16:35:00Z</dcterms:created>
  <dcterms:modified xsi:type="dcterms:W3CDTF">2024-10-18T10:19:00Z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7fb50e-81d5-40a5-b712-4eff31972ce4_Enabled">
    <vt:lpwstr>True</vt:lpwstr>
  </property>
  <property fmtid="{D5CDD505-2E9C-101B-9397-08002B2CF9AE}" pid="3" name="MSIP_Label_727fb50e-81d5-40a5-b712-4eff31972ce4_SiteId">
    <vt:lpwstr>faa8e269-0811-4538-82e7-4d29009219bf</vt:lpwstr>
  </property>
  <property fmtid="{D5CDD505-2E9C-101B-9397-08002B2CF9AE}" pid="4" name="MSIP_Label_727fb50e-81d5-40a5-b712-4eff31972ce4_Owner">
    <vt:lpwstr>Paul.Kester@rsh.gov.uk</vt:lpwstr>
  </property>
  <property fmtid="{D5CDD505-2E9C-101B-9397-08002B2CF9AE}" pid="5" name="MSIP_Label_727fb50e-81d5-40a5-b712-4eff31972ce4_SetDate">
    <vt:lpwstr>2021-10-06T14:46:10.0467546Z</vt:lpwstr>
  </property>
  <property fmtid="{D5CDD505-2E9C-101B-9397-08002B2CF9AE}" pid="6" name="MSIP_Label_727fb50e-81d5-40a5-b712-4eff31972ce4_Name">
    <vt:lpwstr>Official</vt:lpwstr>
  </property>
  <property fmtid="{D5CDD505-2E9C-101B-9397-08002B2CF9AE}" pid="7" name="MSIP_Label_727fb50e-81d5-40a5-b712-4eff31972ce4_Application">
    <vt:lpwstr>Microsoft Azure Information Protection</vt:lpwstr>
  </property>
  <property fmtid="{D5CDD505-2E9C-101B-9397-08002B2CF9AE}" pid="8" name="MSIP_Label_727fb50e-81d5-40a5-b712-4eff31972ce4_ActionId">
    <vt:lpwstr>9bc484f4-c379-4aa5-bd24-1d4f9606400a</vt:lpwstr>
  </property>
  <property fmtid="{D5CDD505-2E9C-101B-9397-08002B2CF9AE}" pid="9" name="MSIP_Label_727fb50e-81d5-40a5-b712-4eff31972ce4_Extended_MSFT_Method">
    <vt:lpwstr>Automatic</vt:lpwstr>
  </property>
  <property fmtid="{D5CDD505-2E9C-101B-9397-08002B2CF9AE}" pid="10" name="Sensitivity">
    <vt:lpwstr>Official</vt:lpwstr>
  </property>
</Properties>
</file>