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72DE" w:rsidP="006C0E68" w:rsidRDefault="009672DE" w14:paraId="31F71862" w14:textId="0A9DCC4D">
      <w:pPr>
        <w:pStyle w:val="CH1"/>
      </w:pPr>
      <w:bookmarkStart w:name="_Toc326193740" w:id="0"/>
      <w:r w:rsidRPr="002A6C2C">
        <w:t xml:space="preserve">Form for submission of information specified in Annex </w:t>
      </w:r>
      <w:r>
        <w:t>E</w:t>
      </w:r>
      <w:r w:rsidRPr="002A6C2C">
        <w:t xml:space="preserve"> </w:t>
      </w:r>
      <w:r>
        <w:t>to</w:t>
      </w:r>
      <w:r w:rsidRPr="002A6C2C">
        <w:t xml:space="preserve"> the Stockholm Convention pursuant to Article 8 of the Convention </w:t>
      </w:r>
    </w:p>
    <w:p w:rsidRPr="00392D40" w:rsidR="00392D40" w:rsidP="00392D40" w:rsidRDefault="00392D40" w14:paraId="6F6F29C3" w14:textId="77777777">
      <w:pPr>
        <w:pStyle w:val="BalloonText"/>
        <w:rPr>
          <w:lang w:eastAsia="en-US"/>
        </w:rPr>
      </w:pPr>
    </w:p>
    <w:tbl>
      <w:tblPr>
        <w:tblW w:w="9072"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091"/>
        <w:gridCol w:w="4981"/>
      </w:tblGrid>
      <w:tr w:rsidRPr="00E9052C" w:rsidR="009672DE" w:rsidTr="1F967CE5" w14:paraId="60E3A64C" w14:textId="77777777">
        <w:tc>
          <w:tcPr>
            <w:tcW w:w="9072" w:type="dxa"/>
            <w:gridSpan w:val="2"/>
            <w:shd w:val="clear" w:color="auto" w:fill="F3F3F3"/>
            <w:tcMar/>
          </w:tcPr>
          <w:p w:rsidRPr="00E9052C" w:rsidR="009672DE" w:rsidP="00841D4F" w:rsidRDefault="009672DE" w14:paraId="16A20698" w14:textId="77777777">
            <w:pPr>
              <w:rPr>
                <w:b/>
              </w:rPr>
            </w:pPr>
            <w:r w:rsidRPr="00E9052C">
              <w:rPr>
                <w:b/>
              </w:rPr>
              <w:t>Introductory information</w:t>
            </w:r>
          </w:p>
        </w:tc>
      </w:tr>
      <w:tr w:rsidRPr="00E9052C" w:rsidR="009672DE" w:rsidTr="1F967CE5" w14:paraId="0F969097" w14:textId="77777777">
        <w:tc>
          <w:tcPr>
            <w:tcW w:w="4091" w:type="dxa"/>
            <w:shd w:val="clear" w:color="auto" w:fill="F3F3F3"/>
            <w:tcMar/>
          </w:tcPr>
          <w:p w:rsidRPr="00067B3C" w:rsidR="009672DE" w:rsidP="00841D4F" w:rsidRDefault="009672DE" w14:paraId="186F8A7A" w14:textId="77777777">
            <w:r w:rsidRPr="00067B3C">
              <w:t>Name of the submitting Party/observer</w:t>
            </w:r>
          </w:p>
        </w:tc>
        <w:tc>
          <w:tcPr>
            <w:tcW w:w="4981" w:type="dxa"/>
            <w:tcMar/>
          </w:tcPr>
          <w:p w:rsidRPr="00067B3C" w:rsidR="009672DE" w:rsidP="00841D4F" w:rsidRDefault="009672DE" w14:paraId="0A202E22" w14:textId="77777777"/>
        </w:tc>
      </w:tr>
      <w:tr w:rsidRPr="00E9052C" w:rsidR="009672DE" w:rsidTr="1F967CE5" w14:paraId="35011CB0" w14:textId="77777777">
        <w:tc>
          <w:tcPr>
            <w:tcW w:w="4091" w:type="dxa"/>
            <w:shd w:val="clear" w:color="auto" w:fill="F3F3F3"/>
            <w:tcMar/>
          </w:tcPr>
          <w:p w:rsidRPr="00067B3C" w:rsidR="009672DE" w:rsidP="00841D4F" w:rsidRDefault="009672DE" w14:paraId="1E35BA36" w14:textId="77777777">
            <w:r w:rsidRPr="00067B3C">
              <w:t>Contact details (name, telephone, e</w:t>
            </w:r>
            <w:r w:rsidRPr="00067B3C">
              <w:noBreakHyphen/>
              <w:t>mail) of the submitting Party/observer</w:t>
            </w:r>
          </w:p>
        </w:tc>
        <w:tc>
          <w:tcPr>
            <w:tcW w:w="4981" w:type="dxa"/>
            <w:tcMar/>
          </w:tcPr>
          <w:p w:rsidRPr="00067B3C" w:rsidR="009672DE" w:rsidP="00841D4F" w:rsidRDefault="009672DE" w14:paraId="0E357CCA" w14:textId="77777777"/>
        </w:tc>
      </w:tr>
      <w:tr w:rsidRPr="00E9052C" w:rsidR="009672DE" w:rsidTr="1F967CE5" w14:paraId="151DD461" w14:textId="77777777">
        <w:trPr>
          <w:trHeight w:val="314"/>
        </w:trPr>
        <w:tc>
          <w:tcPr>
            <w:tcW w:w="4091" w:type="dxa"/>
            <w:shd w:val="clear" w:color="auto" w:fill="F3F3F3"/>
            <w:tcMar/>
          </w:tcPr>
          <w:p w:rsidRPr="00067B3C" w:rsidR="009672DE" w:rsidP="00841D4F" w:rsidRDefault="009672DE" w14:paraId="06B65479" w14:textId="77777777">
            <w:r w:rsidR="009672DE">
              <w:rPr/>
              <w:t>Chemical name (as used by the POPs Review Committee)</w:t>
            </w:r>
          </w:p>
        </w:tc>
        <w:tc>
          <w:tcPr>
            <w:tcW w:w="4981" w:type="dxa"/>
            <w:tcMar/>
          </w:tcPr>
          <w:p w:rsidRPr="00F00A1D" w:rsidR="009672DE" w:rsidP="0ED54F59" w:rsidRDefault="009672DE" w14:paraId="1BD352D7" w14:textId="4C08FB96">
            <w:pPr>
              <w:pStyle w:val="Normal"/>
              <w:rPr>
                <w:rFonts w:ascii="Times New Roman" w:hAnsi="Times New Roman" w:eastAsia="Times New Roman" w:cs="Times New Roman"/>
                <w:noProof w:val="0"/>
                <w:sz w:val="20"/>
                <w:szCs w:val="20"/>
                <w:lang w:val="en-GB"/>
              </w:rPr>
            </w:pPr>
            <w:r w:rsidRPr="1F967CE5" w:rsidR="3D9169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GB"/>
              </w:rPr>
              <w:t>P</w:t>
            </w:r>
            <w:r w:rsidRPr="1F967CE5" w:rsidR="1BCD703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GB"/>
              </w:rPr>
              <w:t>olyhalogenated dibenzo-p-dioxins and dibenzofurans</w:t>
            </w:r>
          </w:p>
        </w:tc>
      </w:tr>
      <w:tr w:rsidRPr="00E9052C" w:rsidR="009672DE" w:rsidTr="1F967CE5" w14:paraId="66F1F2D8" w14:textId="77777777">
        <w:trPr>
          <w:trHeight w:val="111"/>
        </w:trPr>
        <w:tc>
          <w:tcPr>
            <w:tcW w:w="4091" w:type="dxa"/>
            <w:shd w:val="clear" w:color="auto" w:fill="F3F3F3"/>
            <w:tcMar/>
          </w:tcPr>
          <w:p w:rsidRPr="00067B3C" w:rsidR="009672DE" w:rsidP="00841D4F" w:rsidRDefault="009672DE" w14:paraId="346951A6" w14:textId="77777777">
            <w:r w:rsidRPr="00067B3C">
              <w:t>Date of submission</w:t>
            </w:r>
          </w:p>
        </w:tc>
        <w:tc>
          <w:tcPr>
            <w:tcW w:w="4981" w:type="dxa"/>
            <w:tcMar/>
          </w:tcPr>
          <w:p w:rsidRPr="00067B3C" w:rsidR="009672DE" w:rsidP="00841D4F" w:rsidRDefault="009672DE" w14:paraId="476E20ED" w14:textId="77777777"/>
        </w:tc>
      </w:tr>
    </w:tbl>
    <w:p w:rsidR="009672DE" w:rsidP="009672DE" w:rsidRDefault="009672DE" w14:paraId="6AFE44FF" w14:textId="77777777"/>
    <w:p w:rsidRPr="00E9052C" w:rsidR="009672DE" w:rsidP="009672DE" w:rsidRDefault="009672DE" w14:paraId="37A9E67E" w14:textId="77777777"/>
    <w:tbl>
      <w:tblPr>
        <w:tblW w:w="9072"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091"/>
        <w:gridCol w:w="4981"/>
      </w:tblGrid>
      <w:tr w:rsidRPr="00E9052C" w:rsidR="009672DE" w:rsidTr="00841D4F" w14:paraId="6A168CE4" w14:textId="77777777">
        <w:tc>
          <w:tcPr>
            <w:tcW w:w="9072" w:type="dxa"/>
            <w:gridSpan w:val="2"/>
            <w:shd w:val="clear" w:color="auto" w:fill="F3F3F3"/>
          </w:tcPr>
          <w:p w:rsidRPr="00E9052C" w:rsidR="009672DE" w:rsidP="00841D4F" w:rsidRDefault="009672DE" w14:paraId="0BFC535B" w14:textId="77777777">
            <w:pPr>
              <w:rPr>
                <w:b/>
              </w:rPr>
            </w:pPr>
            <w:r w:rsidRPr="00E9052C">
              <w:rPr>
                <w:b/>
              </w:rPr>
              <w:t>(a) Sources, including as appropriate (provide summary information and relevant references)</w:t>
            </w:r>
          </w:p>
        </w:tc>
      </w:tr>
      <w:tr w:rsidRPr="00E9052C" w:rsidR="009672DE" w:rsidTr="00392D40" w14:paraId="02B7F0FF" w14:textId="77777777">
        <w:tc>
          <w:tcPr>
            <w:tcW w:w="4091" w:type="dxa"/>
            <w:shd w:val="clear" w:color="auto" w:fill="F3F3F3"/>
          </w:tcPr>
          <w:p w:rsidRPr="00067B3C" w:rsidR="009672DE" w:rsidP="00841D4F" w:rsidRDefault="009672DE" w14:paraId="7E2807ED" w14:textId="77777777">
            <w:r w:rsidRPr="00067B3C">
              <w:t xml:space="preserve"> (i) Production data:</w:t>
            </w:r>
          </w:p>
        </w:tc>
        <w:tc>
          <w:tcPr>
            <w:tcW w:w="4981" w:type="dxa"/>
          </w:tcPr>
          <w:p w:rsidRPr="00067B3C" w:rsidR="009672DE" w:rsidP="00841D4F" w:rsidRDefault="009672DE" w14:paraId="60C50E06" w14:textId="77777777"/>
        </w:tc>
      </w:tr>
      <w:tr w:rsidRPr="00E9052C" w:rsidR="009672DE" w:rsidTr="00392D40" w14:paraId="486831B2" w14:textId="77777777">
        <w:tc>
          <w:tcPr>
            <w:tcW w:w="4091" w:type="dxa"/>
            <w:shd w:val="clear" w:color="auto" w:fill="F3F3F3"/>
          </w:tcPr>
          <w:p w:rsidRPr="00067B3C" w:rsidR="009672DE" w:rsidP="00841D4F" w:rsidRDefault="009672DE" w14:paraId="65A520EE" w14:textId="77777777">
            <w:r w:rsidRPr="00067B3C">
              <w:tab/>
            </w:r>
            <w:r w:rsidRPr="00067B3C">
              <w:t>Quantity</w:t>
            </w:r>
          </w:p>
        </w:tc>
        <w:tc>
          <w:tcPr>
            <w:tcW w:w="4981" w:type="dxa"/>
          </w:tcPr>
          <w:p w:rsidRPr="00067B3C" w:rsidR="009672DE" w:rsidP="00841D4F" w:rsidRDefault="009672DE" w14:paraId="0AED3072" w14:textId="77777777"/>
        </w:tc>
      </w:tr>
      <w:tr w:rsidRPr="00E9052C" w:rsidR="009672DE" w:rsidTr="00392D40" w14:paraId="03F66497" w14:textId="77777777">
        <w:tc>
          <w:tcPr>
            <w:tcW w:w="4091" w:type="dxa"/>
            <w:shd w:val="clear" w:color="auto" w:fill="F3F3F3"/>
          </w:tcPr>
          <w:p w:rsidRPr="00067B3C" w:rsidR="009672DE" w:rsidP="00841D4F" w:rsidRDefault="009672DE" w14:paraId="604760EA" w14:textId="77777777">
            <w:r w:rsidRPr="00067B3C">
              <w:tab/>
            </w:r>
            <w:r w:rsidRPr="00067B3C">
              <w:t>Location</w:t>
            </w:r>
          </w:p>
        </w:tc>
        <w:tc>
          <w:tcPr>
            <w:tcW w:w="4981" w:type="dxa"/>
          </w:tcPr>
          <w:p w:rsidRPr="00067B3C" w:rsidR="009672DE" w:rsidP="00841D4F" w:rsidRDefault="009672DE" w14:paraId="2D5DD663" w14:textId="77777777"/>
        </w:tc>
      </w:tr>
      <w:tr w:rsidRPr="00E9052C" w:rsidR="009672DE" w:rsidTr="00392D40" w14:paraId="02E5C7B0" w14:textId="77777777">
        <w:tc>
          <w:tcPr>
            <w:tcW w:w="4091" w:type="dxa"/>
            <w:shd w:val="clear" w:color="auto" w:fill="F3F3F3"/>
          </w:tcPr>
          <w:p w:rsidRPr="00067B3C" w:rsidR="009672DE" w:rsidP="00841D4F" w:rsidRDefault="009672DE" w14:paraId="1E7DB96B" w14:textId="77777777">
            <w:r w:rsidRPr="00067B3C">
              <w:tab/>
            </w:r>
            <w:r w:rsidRPr="00067B3C">
              <w:t>Other</w:t>
            </w:r>
          </w:p>
        </w:tc>
        <w:tc>
          <w:tcPr>
            <w:tcW w:w="4981" w:type="dxa"/>
          </w:tcPr>
          <w:p w:rsidRPr="00067B3C" w:rsidR="009672DE" w:rsidP="00841D4F" w:rsidRDefault="009672DE" w14:paraId="583EF910" w14:textId="77777777"/>
        </w:tc>
      </w:tr>
      <w:tr w:rsidRPr="00E9052C" w:rsidR="009672DE" w:rsidTr="00392D40" w14:paraId="5928E55E" w14:textId="77777777">
        <w:tc>
          <w:tcPr>
            <w:tcW w:w="4091" w:type="dxa"/>
            <w:shd w:val="clear" w:color="auto" w:fill="F3F3F3"/>
          </w:tcPr>
          <w:p w:rsidRPr="00067B3C" w:rsidR="009672DE" w:rsidP="00841D4F" w:rsidRDefault="009672DE" w14:paraId="442A5B7E" w14:textId="77777777">
            <w:r w:rsidRPr="00067B3C">
              <w:t xml:space="preserve"> (ii) Uses</w:t>
            </w:r>
          </w:p>
        </w:tc>
        <w:tc>
          <w:tcPr>
            <w:tcW w:w="4981" w:type="dxa"/>
          </w:tcPr>
          <w:p w:rsidRPr="00067B3C" w:rsidR="009672DE" w:rsidP="00841D4F" w:rsidRDefault="009672DE" w14:paraId="2804BF3A" w14:textId="77777777"/>
        </w:tc>
      </w:tr>
      <w:tr w:rsidRPr="00E9052C" w:rsidR="009672DE" w:rsidTr="00392D40" w14:paraId="18E7320A" w14:textId="77777777">
        <w:tc>
          <w:tcPr>
            <w:tcW w:w="4091" w:type="dxa"/>
            <w:shd w:val="clear" w:color="auto" w:fill="F3F3F3"/>
          </w:tcPr>
          <w:p w:rsidRPr="00067B3C" w:rsidR="009672DE" w:rsidP="00841D4F" w:rsidRDefault="009672DE" w14:paraId="10F42410" w14:textId="77777777">
            <w:r w:rsidRPr="00067B3C">
              <w:t xml:space="preserve"> (iii) Releases:</w:t>
            </w:r>
          </w:p>
        </w:tc>
        <w:tc>
          <w:tcPr>
            <w:tcW w:w="4981" w:type="dxa"/>
          </w:tcPr>
          <w:p w:rsidRPr="00067B3C" w:rsidR="009672DE" w:rsidP="00841D4F" w:rsidRDefault="009672DE" w14:paraId="01183649" w14:textId="77777777"/>
        </w:tc>
      </w:tr>
      <w:tr w:rsidRPr="00E9052C" w:rsidR="009672DE" w:rsidTr="00392D40" w14:paraId="1AA83E94" w14:textId="77777777">
        <w:tc>
          <w:tcPr>
            <w:tcW w:w="4091" w:type="dxa"/>
            <w:shd w:val="clear" w:color="auto" w:fill="F3F3F3"/>
          </w:tcPr>
          <w:p w:rsidRPr="00067B3C" w:rsidR="009672DE" w:rsidP="00841D4F" w:rsidRDefault="009672DE" w14:paraId="787760DA" w14:textId="77777777">
            <w:r w:rsidRPr="00067B3C">
              <w:tab/>
            </w:r>
            <w:r w:rsidRPr="00067B3C">
              <w:t>Discharges</w:t>
            </w:r>
          </w:p>
        </w:tc>
        <w:tc>
          <w:tcPr>
            <w:tcW w:w="4981" w:type="dxa"/>
          </w:tcPr>
          <w:p w:rsidRPr="00067B3C" w:rsidR="009672DE" w:rsidP="00841D4F" w:rsidRDefault="009672DE" w14:paraId="16CB91E2" w14:textId="77777777"/>
        </w:tc>
      </w:tr>
      <w:tr w:rsidRPr="00E9052C" w:rsidR="009672DE" w:rsidTr="00392D40" w14:paraId="5056147D" w14:textId="77777777">
        <w:tc>
          <w:tcPr>
            <w:tcW w:w="4091" w:type="dxa"/>
            <w:shd w:val="clear" w:color="auto" w:fill="F3F3F3"/>
          </w:tcPr>
          <w:p w:rsidRPr="00067B3C" w:rsidR="009672DE" w:rsidP="00841D4F" w:rsidRDefault="009672DE" w14:paraId="43758570" w14:textId="77777777">
            <w:r w:rsidRPr="00067B3C">
              <w:tab/>
            </w:r>
            <w:r w:rsidRPr="00067B3C">
              <w:t>Losses</w:t>
            </w:r>
          </w:p>
        </w:tc>
        <w:tc>
          <w:tcPr>
            <w:tcW w:w="4981" w:type="dxa"/>
          </w:tcPr>
          <w:p w:rsidRPr="00067B3C" w:rsidR="009672DE" w:rsidP="00841D4F" w:rsidRDefault="009672DE" w14:paraId="0E8CF315" w14:textId="77777777"/>
        </w:tc>
      </w:tr>
      <w:tr w:rsidRPr="00E9052C" w:rsidR="009672DE" w:rsidTr="00392D40" w14:paraId="6BFD64B2" w14:textId="77777777">
        <w:tc>
          <w:tcPr>
            <w:tcW w:w="4091" w:type="dxa"/>
            <w:shd w:val="clear" w:color="auto" w:fill="F3F3F3"/>
          </w:tcPr>
          <w:p w:rsidRPr="00067B3C" w:rsidR="009672DE" w:rsidP="00841D4F" w:rsidRDefault="009672DE" w14:paraId="115CF187" w14:textId="77777777">
            <w:r w:rsidRPr="00067B3C">
              <w:tab/>
            </w:r>
            <w:r w:rsidRPr="00067B3C">
              <w:t>Emissions</w:t>
            </w:r>
          </w:p>
        </w:tc>
        <w:tc>
          <w:tcPr>
            <w:tcW w:w="4981" w:type="dxa"/>
          </w:tcPr>
          <w:p w:rsidRPr="00067B3C" w:rsidR="009672DE" w:rsidP="00841D4F" w:rsidRDefault="009672DE" w14:paraId="35AA9405" w14:textId="77777777"/>
        </w:tc>
      </w:tr>
      <w:tr w:rsidRPr="00E9052C" w:rsidR="009672DE" w:rsidTr="00392D40" w14:paraId="2AC8C305" w14:textId="77777777">
        <w:trPr>
          <w:trHeight w:val="70"/>
        </w:trPr>
        <w:tc>
          <w:tcPr>
            <w:tcW w:w="4091" w:type="dxa"/>
            <w:shd w:val="clear" w:color="auto" w:fill="F3F3F3"/>
          </w:tcPr>
          <w:p w:rsidRPr="00067B3C" w:rsidR="009672DE" w:rsidP="00841D4F" w:rsidRDefault="009672DE" w14:paraId="730CFB8B" w14:textId="77777777">
            <w:r w:rsidRPr="00067B3C">
              <w:tab/>
            </w:r>
            <w:r w:rsidRPr="00067B3C">
              <w:t>Other</w:t>
            </w:r>
          </w:p>
        </w:tc>
        <w:tc>
          <w:tcPr>
            <w:tcW w:w="4981" w:type="dxa"/>
          </w:tcPr>
          <w:p w:rsidRPr="00067B3C" w:rsidR="009672DE" w:rsidP="00841D4F" w:rsidRDefault="009672DE" w14:paraId="541AFF80" w14:textId="77777777"/>
        </w:tc>
      </w:tr>
    </w:tbl>
    <w:p w:rsidRPr="00E9052C" w:rsidR="009672DE" w:rsidP="009672DE" w:rsidRDefault="009672DE" w14:paraId="72EE5168" w14:textId="77777777">
      <w:pPr>
        <w:pStyle w:val="main"/>
        <w:ind w:firstLine="720"/>
      </w:pPr>
      <w:r w:rsidRPr="00E9052C">
        <w:t>Explanatory note</w:t>
      </w:r>
      <w:r w:rsidRPr="00E9052C">
        <w:rPr>
          <w:rFonts w:hint="eastAsia"/>
        </w:rPr>
        <w:t>:</w:t>
      </w:r>
    </w:p>
    <w:p w:rsidR="009672DE" w:rsidP="009672DE" w:rsidRDefault="009672DE" w14:paraId="3BB604A2" w14:textId="77777777">
      <w:pPr>
        <w:pStyle w:val="Paralevel1"/>
      </w:pPr>
      <w:r w:rsidRPr="00E9052C">
        <w:t>1.</w:t>
      </w:r>
      <w:r w:rsidRPr="00E9052C">
        <w:tab/>
      </w:r>
      <w:r w:rsidRPr="00E9052C">
        <w:t xml:space="preserve">Indicate units for all data. </w:t>
      </w:r>
    </w:p>
    <w:p w:rsidRPr="00E9052C" w:rsidR="009672DE" w:rsidP="009672DE" w:rsidRDefault="009672DE" w14:paraId="50DC8C73" w14:textId="77777777">
      <w:pPr>
        <w:pStyle w:val="Paralevel1"/>
      </w:pPr>
      <w:r>
        <w:t>2</w:t>
      </w:r>
      <w:r w:rsidRPr="00E9052C">
        <w:t>.</w:t>
      </w:r>
      <w:r w:rsidRPr="00E9052C">
        <w:tab/>
      </w:r>
      <w:r w:rsidRPr="00E9052C">
        <w:t xml:space="preserve">Information on imports, exports and existing stockpiles could also be included under item (i) Production data: Other. Information on uses could include </w:t>
      </w:r>
      <w:r>
        <w:t xml:space="preserve">uses </w:t>
      </w:r>
      <w:r w:rsidRPr="00E9052C">
        <w:t xml:space="preserve">for agriculture </w:t>
      </w:r>
      <w:r>
        <w:t xml:space="preserve">(e.g., </w:t>
      </w:r>
      <w:r w:rsidRPr="00E9052C">
        <w:t>pesticides</w:t>
      </w:r>
      <w:r>
        <w:t>)</w:t>
      </w:r>
      <w:r w:rsidRPr="00E9052C">
        <w:t>, for public health and for industrial purposes and uses by</w:t>
      </w:r>
      <w:r>
        <w:t xml:space="preserve"> the</w:t>
      </w:r>
      <w:r w:rsidRPr="00E9052C">
        <w:t xml:space="preserve"> informal sector.</w:t>
      </w:r>
    </w:p>
    <w:p w:rsidRPr="00E9052C" w:rsidR="009672DE" w:rsidP="009672DE" w:rsidRDefault="009672DE" w14:paraId="3804EA33" w14:textId="77777777"/>
    <w:tbl>
      <w:tblPr>
        <w:tblW w:w="9050"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50"/>
      </w:tblGrid>
      <w:tr w:rsidRPr="00E9052C" w:rsidR="009672DE" w:rsidTr="00841D4F" w14:paraId="2DBEF4C1" w14:textId="77777777">
        <w:trPr>
          <w:cantSplit/>
        </w:trPr>
        <w:tc>
          <w:tcPr>
            <w:tcW w:w="9050" w:type="dxa"/>
            <w:shd w:val="clear" w:color="auto" w:fill="F3F3F3"/>
          </w:tcPr>
          <w:p w:rsidRPr="00E9052C" w:rsidR="009672DE" w:rsidP="00841D4F" w:rsidRDefault="009672DE" w14:paraId="2F9978E0" w14:textId="77777777">
            <w:pPr>
              <w:rPr>
                <w:b/>
              </w:rPr>
            </w:pPr>
            <w:r w:rsidRPr="00E9052C">
              <w:rPr>
                <w:b/>
              </w:rPr>
              <w:t>(b) Hazard assessment for endpoints of concern, including consideration of toxicological interactions involving multiple chemicals (provide summary information and relevant references)</w:t>
            </w:r>
          </w:p>
        </w:tc>
      </w:tr>
      <w:tr w:rsidRPr="00E9052C" w:rsidR="009672DE" w:rsidTr="00841D4F" w14:paraId="0ED7E1FC" w14:textId="77777777">
        <w:trPr>
          <w:cantSplit/>
        </w:trPr>
        <w:tc>
          <w:tcPr>
            <w:tcW w:w="9050" w:type="dxa"/>
          </w:tcPr>
          <w:p w:rsidR="009672DE" w:rsidP="00841D4F" w:rsidRDefault="009672DE" w14:paraId="11C05F9E" w14:textId="77777777"/>
          <w:p w:rsidR="009672DE" w:rsidP="00841D4F" w:rsidRDefault="009672DE" w14:paraId="1C20D929" w14:textId="77777777"/>
          <w:p w:rsidR="009672DE" w:rsidP="00841D4F" w:rsidRDefault="009672DE" w14:paraId="3337CC8B" w14:textId="77777777"/>
          <w:p w:rsidRPr="00E9052C" w:rsidR="009672DE" w:rsidP="00841D4F" w:rsidRDefault="009672DE" w14:paraId="7EAEB161" w14:textId="77777777"/>
        </w:tc>
      </w:tr>
    </w:tbl>
    <w:p w:rsidRPr="00E9052C" w:rsidR="009672DE" w:rsidP="009672DE" w:rsidRDefault="009672DE" w14:paraId="0B052AE3" w14:textId="77777777">
      <w:pPr>
        <w:pStyle w:val="main"/>
        <w:ind w:firstLine="720"/>
      </w:pPr>
      <w:r w:rsidRPr="00E9052C">
        <w:t>Explanatory note</w:t>
      </w:r>
      <w:r w:rsidRPr="00E9052C">
        <w:rPr>
          <w:rFonts w:hint="eastAsia"/>
        </w:rPr>
        <w:t>:</w:t>
      </w:r>
    </w:p>
    <w:p w:rsidR="009672DE" w:rsidP="009672DE" w:rsidRDefault="009672DE" w14:paraId="604AEBA1" w14:textId="77777777">
      <w:pPr>
        <w:pStyle w:val="Paralevel1"/>
      </w:pPr>
      <w:r>
        <w:t>3</w:t>
      </w:r>
      <w:r w:rsidRPr="00E9052C">
        <w:t>.</w:t>
      </w:r>
      <w:r w:rsidRPr="00E9052C">
        <w:tab/>
      </w:r>
      <w:r w:rsidRPr="00E9052C">
        <w:t>Information on endpoints of concern should cover, in particular, experimental data concerning human toxicity and ecotoxicity (</w:t>
      </w:r>
      <w:r>
        <w:t xml:space="preserve">i.e., </w:t>
      </w:r>
      <w:r w:rsidRPr="00E9052C">
        <w:t>toxicity for terrestrial, telluric, aquatic and benthic fauna) and any information on toxicological interactions involving multiple chemicals. Data on contamination of foodstuffs, water, soil or sediment may be entered in part (d) below.</w:t>
      </w:r>
    </w:p>
    <w:p w:rsidR="009672DE" w:rsidP="009672DE" w:rsidRDefault="009672DE" w14:paraId="353E5CED" w14:textId="77777777">
      <w:pPr>
        <w:pStyle w:val="Paralevel1"/>
      </w:pPr>
    </w:p>
    <w:tbl>
      <w:tblPr>
        <w:tblW w:w="0" w:type="auto"/>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11"/>
        <w:gridCol w:w="4262"/>
      </w:tblGrid>
      <w:tr w:rsidRPr="00E9052C" w:rsidR="009672DE" w:rsidTr="00841D4F" w14:paraId="229B8E95" w14:textId="77777777">
        <w:trPr>
          <w:cantSplit/>
        </w:trPr>
        <w:tc>
          <w:tcPr>
            <w:tcW w:w="9073" w:type="dxa"/>
            <w:gridSpan w:val="2"/>
            <w:shd w:val="clear" w:color="auto" w:fill="F3F3F3"/>
          </w:tcPr>
          <w:p w:rsidRPr="00E9052C" w:rsidR="009672DE" w:rsidP="00841D4F" w:rsidRDefault="009672DE" w14:paraId="347FB6FB" w14:textId="77777777">
            <w:pPr>
              <w:rPr>
                <w:b/>
              </w:rPr>
            </w:pPr>
            <w:r w:rsidRPr="00E9052C">
              <w:rPr>
                <w:b/>
              </w:rPr>
              <w:t>(c) Environmental fate (provide summary information and relevant references)</w:t>
            </w:r>
          </w:p>
        </w:tc>
      </w:tr>
      <w:tr w:rsidRPr="00E9052C" w:rsidR="009672DE" w:rsidTr="00392D40" w14:paraId="740608DC" w14:textId="77777777">
        <w:tc>
          <w:tcPr>
            <w:tcW w:w="4811" w:type="dxa"/>
            <w:shd w:val="clear" w:color="auto" w:fill="F3F3F3"/>
          </w:tcPr>
          <w:p w:rsidRPr="00E9052C" w:rsidR="009672DE" w:rsidP="00841D4F" w:rsidRDefault="009672DE" w14:paraId="44B9A3F9" w14:textId="77777777">
            <w:r w:rsidRPr="00E9052C">
              <w:t>Chemical/physical properties</w:t>
            </w:r>
          </w:p>
        </w:tc>
        <w:tc>
          <w:tcPr>
            <w:tcW w:w="4262" w:type="dxa"/>
          </w:tcPr>
          <w:p w:rsidR="009672DE" w:rsidP="00841D4F" w:rsidRDefault="009672DE" w14:paraId="20D469FD" w14:textId="77777777"/>
          <w:p w:rsidRPr="00193C3E" w:rsidR="009672DE" w:rsidP="00841D4F" w:rsidRDefault="009672DE" w14:paraId="0FF2E348" w14:textId="77777777"/>
        </w:tc>
      </w:tr>
      <w:tr w:rsidRPr="00E9052C" w:rsidR="009672DE" w:rsidTr="00392D40" w14:paraId="51815A95" w14:textId="77777777">
        <w:tc>
          <w:tcPr>
            <w:tcW w:w="4811" w:type="dxa"/>
            <w:shd w:val="clear" w:color="auto" w:fill="F3F3F3"/>
          </w:tcPr>
          <w:p w:rsidRPr="00E9052C" w:rsidR="009672DE" w:rsidP="00841D4F" w:rsidRDefault="009672DE" w14:paraId="268ED99B" w14:textId="77777777">
            <w:r w:rsidRPr="00E9052C">
              <w:t>Persistence</w:t>
            </w:r>
          </w:p>
        </w:tc>
        <w:tc>
          <w:tcPr>
            <w:tcW w:w="4262" w:type="dxa"/>
          </w:tcPr>
          <w:p w:rsidR="009672DE" w:rsidP="00841D4F" w:rsidRDefault="009672DE" w14:paraId="513EE88C" w14:textId="77777777"/>
          <w:p w:rsidRPr="00193C3E" w:rsidR="009672DE" w:rsidP="00841D4F" w:rsidRDefault="009672DE" w14:paraId="756C2982" w14:textId="77777777"/>
        </w:tc>
      </w:tr>
      <w:tr w:rsidRPr="00E9052C" w:rsidR="009672DE" w:rsidTr="00392D40" w14:paraId="4BCAFBEC" w14:textId="77777777">
        <w:tc>
          <w:tcPr>
            <w:tcW w:w="4811" w:type="dxa"/>
            <w:tcBorders>
              <w:bottom w:val="single" w:color="auto" w:sz="4" w:space="0"/>
            </w:tcBorders>
            <w:shd w:val="clear" w:color="auto" w:fill="F3F3F3"/>
          </w:tcPr>
          <w:p w:rsidRPr="00E9052C" w:rsidR="009672DE" w:rsidP="00841D4F" w:rsidRDefault="009672DE" w14:paraId="6A7CF7CB" w14:textId="77777777">
            <w:r w:rsidRPr="00E9052C">
              <w:t>How are chemical/physical properties and persistence linked to environmental transport, transfer within and between environmental compartments, degradation and transformation to other chemicals?</w:t>
            </w:r>
          </w:p>
        </w:tc>
        <w:tc>
          <w:tcPr>
            <w:tcW w:w="4262" w:type="dxa"/>
          </w:tcPr>
          <w:p w:rsidRPr="00193C3E" w:rsidR="009672DE" w:rsidP="00841D4F" w:rsidRDefault="009672DE" w14:paraId="573B15A4" w14:textId="77777777"/>
          <w:p w:rsidRPr="00193C3E" w:rsidR="009672DE" w:rsidP="00841D4F" w:rsidRDefault="009672DE" w14:paraId="10BA07D4" w14:textId="77777777"/>
        </w:tc>
      </w:tr>
      <w:tr w:rsidRPr="00E9052C" w:rsidR="009672DE" w:rsidTr="00392D40" w14:paraId="2EC2EFF4" w14:textId="77777777">
        <w:trPr>
          <w:trHeight w:val="483"/>
        </w:trPr>
        <w:tc>
          <w:tcPr>
            <w:tcW w:w="4811" w:type="dxa"/>
            <w:shd w:val="clear" w:color="auto" w:fill="F3F3F3"/>
          </w:tcPr>
          <w:p w:rsidRPr="00E9052C" w:rsidR="009672DE" w:rsidP="00841D4F" w:rsidRDefault="009672DE" w14:paraId="452F7782" w14:textId="77777777">
            <w:r w:rsidRPr="00E9052C">
              <w:t>Bio-concentration or bio-accumulation factor, based on measured values (unless monitoring data are judged to meet this need)</w:t>
            </w:r>
          </w:p>
        </w:tc>
        <w:tc>
          <w:tcPr>
            <w:tcW w:w="4262" w:type="dxa"/>
          </w:tcPr>
          <w:p w:rsidRPr="00193C3E" w:rsidR="009672DE" w:rsidP="00841D4F" w:rsidRDefault="009672DE" w14:paraId="490889D9" w14:textId="77777777"/>
          <w:p w:rsidR="009672DE" w:rsidP="00841D4F" w:rsidRDefault="009672DE" w14:paraId="679D1894" w14:textId="77777777"/>
          <w:p w:rsidRPr="00193C3E" w:rsidR="009672DE" w:rsidP="00841D4F" w:rsidRDefault="009672DE" w14:paraId="10C4E24D" w14:textId="77777777"/>
          <w:p w:rsidRPr="00193C3E" w:rsidR="009672DE" w:rsidP="00841D4F" w:rsidRDefault="009672DE" w14:paraId="6C2A531A" w14:textId="77777777"/>
        </w:tc>
      </w:tr>
    </w:tbl>
    <w:p w:rsidRPr="00E9052C" w:rsidR="009672DE" w:rsidP="009672DE" w:rsidRDefault="009672DE" w14:paraId="077C1F83" w14:textId="77777777">
      <w:pPr>
        <w:pStyle w:val="main"/>
        <w:ind w:firstLine="720"/>
      </w:pPr>
      <w:r w:rsidRPr="00E9052C">
        <w:t>Explanatory note</w:t>
      </w:r>
      <w:r w:rsidRPr="00E9052C">
        <w:rPr>
          <w:rFonts w:hint="eastAsia"/>
        </w:rPr>
        <w:t>:</w:t>
      </w:r>
    </w:p>
    <w:p w:rsidRPr="00E9052C" w:rsidR="009672DE" w:rsidP="009672DE" w:rsidRDefault="009672DE" w14:paraId="3FD19D16" w14:textId="77777777">
      <w:pPr>
        <w:pStyle w:val="Paralevel1"/>
      </w:pPr>
      <w:r>
        <w:t>4.</w:t>
      </w:r>
      <w:r>
        <w:tab/>
      </w:r>
      <w:r>
        <w:t>Information on potential for long-range transport could include the results of modelling of long-range environmental transport</w:t>
      </w:r>
      <w:r w:rsidRPr="00E9052C">
        <w:t>.</w:t>
      </w:r>
    </w:p>
    <w:p w:rsidRPr="00E9052C" w:rsidR="009672DE" w:rsidP="009672DE" w:rsidRDefault="009672DE" w14:paraId="67842D2E" w14:textId="77777777"/>
    <w:tbl>
      <w:tblPr>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54"/>
      </w:tblGrid>
      <w:tr w:rsidRPr="00E9052C" w:rsidR="009672DE" w:rsidTr="00841D4F" w14:paraId="530E7984" w14:textId="77777777">
        <w:trPr>
          <w:cantSplit/>
        </w:trPr>
        <w:tc>
          <w:tcPr>
            <w:tcW w:w="9095" w:type="dxa"/>
            <w:tcBorders>
              <w:bottom w:val="single" w:color="auto" w:sz="4" w:space="0"/>
            </w:tcBorders>
            <w:shd w:val="clear" w:color="auto" w:fill="F3F3F3"/>
          </w:tcPr>
          <w:p w:rsidRPr="00E9052C" w:rsidR="009672DE" w:rsidP="00841D4F" w:rsidRDefault="009672DE" w14:paraId="54C635E5" w14:textId="77777777">
            <w:pPr>
              <w:keepNext/>
              <w:keepLines/>
              <w:rPr>
                <w:b/>
              </w:rPr>
            </w:pPr>
            <w:r w:rsidRPr="00E9052C">
              <w:rPr>
                <w:b/>
              </w:rPr>
              <w:t>(d) Monitoring data (provide summary information and relevant references)</w:t>
            </w:r>
          </w:p>
        </w:tc>
      </w:tr>
      <w:tr w:rsidRPr="00E9052C" w:rsidR="009672DE" w:rsidTr="00841D4F" w14:paraId="24AC2D69" w14:textId="77777777">
        <w:trPr>
          <w:cantSplit/>
        </w:trPr>
        <w:tc>
          <w:tcPr>
            <w:tcW w:w="9095" w:type="dxa"/>
            <w:tcBorders>
              <w:bottom w:val="single" w:color="auto" w:sz="4" w:space="0"/>
            </w:tcBorders>
          </w:tcPr>
          <w:p w:rsidR="009672DE" w:rsidP="00841D4F" w:rsidRDefault="009672DE" w14:paraId="6D58A94C" w14:textId="77777777">
            <w:pPr>
              <w:keepNext/>
              <w:keepLines/>
            </w:pPr>
          </w:p>
          <w:p w:rsidR="009672DE" w:rsidP="00841D4F" w:rsidRDefault="009672DE" w14:paraId="761BFC54" w14:textId="77777777">
            <w:pPr>
              <w:keepNext/>
              <w:keepLines/>
            </w:pPr>
          </w:p>
          <w:p w:rsidRPr="00E9052C" w:rsidR="009672DE" w:rsidP="00841D4F" w:rsidRDefault="009672DE" w14:paraId="2AAC0798" w14:textId="77777777">
            <w:pPr>
              <w:keepNext/>
              <w:keepLines/>
            </w:pPr>
          </w:p>
        </w:tc>
      </w:tr>
    </w:tbl>
    <w:p w:rsidRPr="00E9052C" w:rsidR="009672DE" w:rsidP="009672DE" w:rsidRDefault="009672DE" w14:paraId="7C56CACA" w14:textId="77777777">
      <w:pPr>
        <w:pStyle w:val="main"/>
        <w:ind w:firstLine="720"/>
      </w:pPr>
      <w:r w:rsidRPr="00E9052C">
        <w:t>Explanatory note</w:t>
      </w:r>
      <w:r w:rsidRPr="00E9052C">
        <w:rPr>
          <w:rFonts w:hint="eastAsia"/>
        </w:rPr>
        <w:t>:</w:t>
      </w:r>
    </w:p>
    <w:p w:rsidRPr="00E9052C" w:rsidR="009672DE" w:rsidP="009672DE" w:rsidRDefault="009672DE" w14:paraId="28AEA9AF" w14:textId="77777777">
      <w:pPr>
        <w:pStyle w:val="Paralevel1"/>
        <w:keepNext/>
        <w:keepLines/>
      </w:pPr>
      <w:r>
        <w:t>5</w:t>
      </w:r>
      <w:r w:rsidRPr="00E9052C">
        <w:t>.</w:t>
      </w:r>
      <w:r w:rsidRPr="00E9052C">
        <w:tab/>
      </w:r>
      <w:r w:rsidRPr="00E9052C">
        <w:t>Provide monitoring data, if possible, with an indication of the quality of the data or its degree of reliability, trend data and additional data on the criteria in Annex D, particularly persistence, bioaccumulation, long-range environmental transport and exposure.</w:t>
      </w:r>
    </w:p>
    <w:p w:rsidR="009672DE" w:rsidP="009672DE" w:rsidRDefault="009672DE" w14:paraId="4FB0739E" w14:textId="77777777">
      <w:pPr>
        <w:pStyle w:val="Paralevel1"/>
      </w:pPr>
      <w:r>
        <w:t>6</w:t>
      </w:r>
      <w:r w:rsidRPr="00E9052C">
        <w:t>.</w:t>
      </w:r>
      <w:r w:rsidRPr="00E9052C">
        <w:tab/>
      </w:r>
      <w:r w:rsidRPr="00E9052C">
        <w:t xml:space="preserve">Environmental monitoring data and exposure data in various compartments or media could include </w:t>
      </w:r>
      <w:r>
        <w:t xml:space="preserve">data from </w:t>
      </w:r>
      <w:r w:rsidRPr="00E9052C">
        <w:t>ambient air, maternal milk, human blood, biota, food products, water, soil, sediments, waste, effluents, etc.</w:t>
      </w:r>
    </w:p>
    <w:p w:rsidR="009672DE" w:rsidP="009672DE" w:rsidRDefault="009672DE" w14:paraId="3F505475" w14:textId="77777777">
      <w:pPr>
        <w:pStyle w:val="Paralevel1"/>
        <w:rPr>
          <w:b/>
        </w:rPr>
      </w:pPr>
    </w:p>
    <w:tbl>
      <w:tblPr>
        <w:tblW w:w="909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53"/>
        <w:gridCol w:w="4442"/>
      </w:tblGrid>
      <w:tr w:rsidRPr="00E9052C" w:rsidR="009672DE" w:rsidTr="00841D4F" w14:paraId="26FC58B2" w14:textId="77777777">
        <w:tc>
          <w:tcPr>
            <w:tcW w:w="9095" w:type="dxa"/>
            <w:gridSpan w:val="2"/>
            <w:shd w:val="clear" w:color="auto" w:fill="F3F3F3"/>
          </w:tcPr>
          <w:p w:rsidRPr="00E9052C" w:rsidR="009672DE" w:rsidP="00841D4F" w:rsidRDefault="009672DE" w14:paraId="07C4E11A" w14:textId="77777777">
            <w:pPr>
              <w:rPr>
                <w:b/>
              </w:rPr>
            </w:pPr>
            <w:r w:rsidRPr="00E9052C">
              <w:rPr>
                <w:b/>
              </w:rPr>
              <w:t>(e) Exposure in local areas (provide summary information and relevant references)</w:t>
            </w:r>
          </w:p>
        </w:tc>
      </w:tr>
      <w:tr w:rsidRPr="00E9052C" w:rsidR="009672DE" w:rsidTr="00392D40" w14:paraId="7DE2F201" w14:textId="77777777">
        <w:tc>
          <w:tcPr>
            <w:tcW w:w="4653" w:type="dxa"/>
            <w:shd w:val="clear" w:color="auto" w:fill="F3F3F3"/>
          </w:tcPr>
          <w:p w:rsidRPr="00E9052C" w:rsidR="009672DE" w:rsidP="00841D4F" w:rsidRDefault="009672DE" w14:paraId="39E36B9F" w14:textId="77777777">
            <w:r w:rsidRPr="00E9052C">
              <w:t>General</w:t>
            </w:r>
          </w:p>
        </w:tc>
        <w:tc>
          <w:tcPr>
            <w:tcW w:w="4442" w:type="dxa"/>
          </w:tcPr>
          <w:p w:rsidR="009672DE" w:rsidP="00841D4F" w:rsidRDefault="009672DE" w14:paraId="64A48D20" w14:textId="77777777"/>
          <w:p w:rsidR="00392D40" w:rsidP="00841D4F" w:rsidRDefault="00392D40" w14:paraId="17C6E0B7" w14:textId="77777777"/>
          <w:p w:rsidRPr="00E9052C" w:rsidR="009672DE" w:rsidP="00841D4F" w:rsidRDefault="009672DE" w14:paraId="0D407C08" w14:textId="77777777"/>
        </w:tc>
      </w:tr>
      <w:tr w:rsidRPr="00E9052C" w:rsidR="009672DE" w:rsidTr="00392D40" w14:paraId="000F6A6B" w14:textId="77777777">
        <w:tc>
          <w:tcPr>
            <w:tcW w:w="4653" w:type="dxa"/>
            <w:shd w:val="clear" w:color="auto" w:fill="F3F3F3"/>
          </w:tcPr>
          <w:p w:rsidRPr="00E9052C" w:rsidR="009672DE" w:rsidP="00841D4F" w:rsidRDefault="009672DE" w14:paraId="066B0BED" w14:textId="77777777">
            <w:r w:rsidRPr="00E9052C">
              <w:t>As a result of long</w:t>
            </w:r>
            <w:r w:rsidRPr="00E9052C">
              <w:noBreakHyphen/>
              <w:t>range environmental transport</w:t>
            </w:r>
          </w:p>
        </w:tc>
        <w:tc>
          <w:tcPr>
            <w:tcW w:w="4442" w:type="dxa"/>
          </w:tcPr>
          <w:p w:rsidR="009672DE" w:rsidP="00841D4F" w:rsidRDefault="009672DE" w14:paraId="53B52471" w14:textId="77777777"/>
          <w:p w:rsidR="00392D40" w:rsidP="00841D4F" w:rsidRDefault="00392D40" w14:paraId="3083D3C1" w14:textId="77777777"/>
          <w:p w:rsidRPr="00E9052C" w:rsidR="00392D40" w:rsidP="00841D4F" w:rsidRDefault="00392D40" w14:paraId="4C5F5367" w14:textId="77777777"/>
        </w:tc>
      </w:tr>
      <w:tr w:rsidRPr="00E9052C" w:rsidR="009672DE" w:rsidTr="00392D40" w14:paraId="7AC32E8C" w14:textId="77777777">
        <w:tc>
          <w:tcPr>
            <w:tcW w:w="4653" w:type="dxa"/>
            <w:shd w:val="clear" w:color="auto" w:fill="F3F3F3"/>
          </w:tcPr>
          <w:p w:rsidRPr="00E9052C" w:rsidR="009672DE" w:rsidP="00841D4F" w:rsidRDefault="009672DE" w14:paraId="6A722FBC" w14:textId="77777777">
            <w:r w:rsidRPr="00E9052C">
              <w:t>Information regarding bio-availability</w:t>
            </w:r>
          </w:p>
        </w:tc>
        <w:tc>
          <w:tcPr>
            <w:tcW w:w="4442" w:type="dxa"/>
          </w:tcPr>
          <w:p w:rsidR="009672DE" w:rsidP="00841D4F" w:rsidRDefault="009672DE" w14:paraId="399E2739" w14:textId="77777777"/>
          <w:p w:rsidR="009672DE" w:rsidP="00841D4F" w:rsidRDefault="009672DE" w14:paraId="03539AB7" w14:textId="77777777"/>
          <w:p w:rsidRPr="00E9052C" w:rsidR="00392D40" w:rsidP="00841D4F" w:rsidRDefault="00392D40" w14:paraId="27DA3F82" w14:textId="77777777"/>
        </w:tc>
      </w:tr>
    </w:tbl>
    <w:p w:rsidRPr="00E9052C" w:rsidR="009672DE" w:rsidP="009672DE" w:rsidRDefault="009672DE" w14:paraId="2CDDA646" w14:textId="77777777">
      <w:pPr>
        <w:pStyle w:val="main"/>
        <w:ind w:firstLine="720"/>
      </w:pPr>
      <w:r w:rsidRPr="00E9052C">
        <w:t>Explanatory note</w:t>
      </w:r>
      <w:r w:rsidRPr="00E9052C">
        <w:rPr>
          <w:rFonts w:hint="eastAsia"/>
        </w:rPr>
        <w:t xml:space="preserve">: </w:t>
      </w:r>
    </w:p>
    <w:p w:rsidRPr="00E9052C" w:rsidR="009672DE" w:rsidP="009672DE" w:rsidRDefault="009672DE" w14:paraId="4E40972F" w14:textId="77777777">
      <w:pPr>
        <w:pStyle w:val="Paralevel1"/>
      </w:pPr>
      <w:r>
        <w:t>7.</w:t>
      </w:r>
      <w:r>
        <w:tab/>
      </w:r>
      <w:r>
        <w:t>Information on exposure in local areas could include the following:</w:t>
      </w:r>
    </w:p>
    <w:p w:rsidR="009672DE" w:rsidP="009672DE" w:rsidRDefault="009672DE" w14:paraId="1EF4B20E" w14:textId="77777777">
      <w:pPr>
        <w:spacing w:after="120"/>
        <w:ind w:left="1871" w:firstLine="624"/>
      </w:pPr>
      <w:r w:rsidRPr="001B2101">
        <w:t>(a)</w:t>
      </w:r>
      <w:r w:rsidRPr="001B2101">
        <w:tab/>
      </w:r>
      <w:r w:rsidRPr="001B2101">
        <w:t>General</w:t>
      </w:r>
      <w:r>
        <w:t>: Data on exposure in local areas, including data on</w:t>
      </w:r>
      <w:r w:rsidRPr="001B2101">
        <w:t xml:space="preserve"> human health and wild fauna and flora, </w:t>
      </w:r>
      <w:r>
        <w:t xml:space="preserve">data on </w:t>
      </w:r>
      <w:r w:rsidRPr="001B2101">
        <w:t>occupational exposure</w:t>
      </w:r>
      <w:r>
        <w:t>, etc;</w:t>
      </w:r>
    </w:p>
    <w:p w:rsidR="009672DE" w:rsidP="009672DE" w:rsidRDefault="009672DE" w14:paraId="2C5F7D9B" w14:textId="77777777">
      <w:pPr>
        <w:spacing w:after="120"/>
        <w:ind w:left="1871" w:firstLine="624"/>
      </w:pPr>
      <w:r w:rsidRPr="001B2101">
        <w:t>(b)</w:t>
      </w:r>
      <w:r w:rsidRPr="001B2101">
        <w:tab/>
      </w:r>
      <w:r w:rsidRPr="001B2101">
        <w:t>As a result of long</w:t>
      </w:r>
      <w:r w:rsidRPr="001B2101">
        <w:noBreakHyphen/>
        <w:t>range environmental transport: Data concerning exposure in areas far from the sour</w:t>
      </w:r>
      <w:r>
        <w:t xml:space="preserve">ces of production or use of a </w:t>
      </w:r>
      <w:r w:rsidRPr="001B2101">
        <w:t>chemical</w:t>
      </w:r>
      <w:r>
        <w:t>, e</w:t>
      </w:r>
      <w:r w:rsidRPr="001B2101">
        <w:t>xperimental data or modelling results indicating possible long-range transport</w:t>
      </w:r>
      <w:r>
        <w:t>, etc;</w:t>
      </w:r>
    </w:p>
    <w:p w:rsidRPr="001B2101" w:rsidR="009672DE" w:rsidP="009672DE" w:rsidRDefault="009672DE" w14:paraId="666277D3" w14:textId="77777777">
      <w:pPr>
        <w:spacing w:after="120"/>
        <w:ind w:left="1871" w:firstLine="624"/>
      </w:pPr>
      <w:r w:rsidRPr="001B2101">
        <w:t>(c)</w:t>
      </w:r>
      <w:r w:rsidRPr="001B2101">
        <w:tab/>
      </w:r>
      <w:r w:rsidRPr="001B2101">
        <w:t xml:space="preserve">Information regarding bio-availability: </w:t>
      </w:r>
      <w:r>
        <w:t>S</w:t>
      </w:r>
      <w:r w:rsidRPr="006E3BF2">
        <w:t>tud</w:t>
      </w:r>
      <w:r>
        <w:t>ies</w:t>
      </w:r>
      <w:r w:rsidRPr="006E3BF2">
        <w:t xml:space="preserve"> describ</w:t>
      </w:r>
      <w:r>
        <w:t>ing how the chemical</w:t>
      </w:r>
      <w:r w:rsidRPr="006E3BF2">
        <w:t xml:space="preserve"> </w:t>
      </w:r>
      <w:r>
        <w:t>is</w:t>
      </w:r>
      <w:r w:rsidRPr="006E3BF2">
        <w:t xml:space="preserve"> absorbed by humans and other animals</w:t>
      </w:r>
      <w:r>
        <w:t>, concentrations in biological samples, half-life, etc.</w:t>
      </w:r>
    </w:p>
    <w:p w:rsidRPr="00E9052C" w:rsidR="009672DE" w:rsidP="009672DE" w:rsidRDefault="009672DE" w14:paraId="6A9BD5A8" w14:textId="77777777"/>
    <w:tbl>
      <w:tblPr>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54"/>
      </w:tblGrid>
      <w:tr w:rsidRPr="00E9052C" w:rsidR="009672DE" w:rsidTr="00841D4F" w14:paraId="4C071EF2" w14:textId="77777777">
        <w:tc>
          <w:tcPr>
            <w:tcW w:w="9157" w:type="dxa"/>
            <w:tcBorders>
              <w:bottom w:val="single" w:color="auto" w:sz="4" w:space="0"/>
            </w:tcBorders>
            <w:shd w:val="clear" w:color="auto" w:fill="F3F3F3"/>
          </w:tcPr>
          <w:p w:rsidRPr="00E9052C" w:rsidR="009672DE" w:rsidP="00841D4F" w:rsidRDefault="009672DE" w14:paraId="77607F78" w14:textId="77777777">
            <w:pPr>
              <w:rPr>
                <w:b/>
              </w:rPr>
            </w:pPr>
            <w:r w:rsidRPr="00E9052C">
              <w:rPr>
                <w:b/>
              </w:rPr>
              <w:t>(f) National and international risk evaluations, assessments or profiles and labelling information and hazard classifications, as available (provide summary information and relevant references)</w:t>
            </w:r>
          </w:p>
        </w:tc>
      </w:tr>
      <w:tr w:rsidRPr="00E9052C" w:rsidR="009672DE" w:rsidTr="00841D4F" w14:paraId="4CA6A50C" w14:textId="77777777">
        <w:tc>
          <w:tcPr>
            <w:tcW w:w="9157" w:type="dxa"/>
            <w:tcBorders>
              <w:top w:val="single" w:color="auto" w:sz="4" w:space="0"/>
              <w:bottom w:val="single" w:color="auto" w:sz="4" w:space="0"/>
            </w:tcBorders>
          </w:tcPr>
          <w:p w:rsidR="009672DE" w:rsidP="00841D4F" w:rsidRDefault="009672DE" w14:paraId="483B0999" w14:textId="77777777"/>
          <w:p w:rsidR="00392D40" w:rsidP="00841D4F" w:rsidRDefault="00392D40" w14:paraId="49633FE1" w14:textId="77777777"/>
          <w:p w:rsidRPr="00E9052C" w:rsidR="00392D40" w:rsidP="00841D4F" w:rsidRDefault="00392D40" w14:paraId="7F96862F" w14:textId="77777777"/>
        </w:tc>
      </w:tr>
    </w:tbl>
    <w:p w:rsidRPr="00E9052C" w:rsidR="009672DE" w:rsidP="009672DE" w:rsidRDefault="009672DE" w14:paraId="30168D76" w14:textId="77777777">
      <w:pPr>
        <w:pStyle w:val="main"/>
        <w:ind w:firstLine="720"/>
      </w:pPr>
      <w:r w:rsidRPr="00E9052C">
        <w:t>Explanatory note</w:t>
      </w:r>
      <w:r w:rsidRPr="00E9052C">
        <w:rPr>
          <w:rFonts w:hint="eastAsia"/>
        </w:rPr>
        <w:t xml:space="preserve">: </w:t>
      </w:r>
    </w:p>
    <w:p w:rsidRPr="00E9052C" w:rsidR="009672DE" w:rsidP="009672DE" w:rsidRDefault="009672DE" w14:paraId="6C3DA202" w14:textId="77777777">
      <w:pPr>
        <w:pStyle w:val="Paralevel1"/>
      </w:pPr>
      <w:r>
        <w:t>8</w:t>
      </w:r>
      <w:r w:rsidRPr="00E9052C">
        <w:t>.</w:t>
      </w:r>
      <w:r w:rsidRPr="00E9052C">
        <w:tab/>
      </w:r>
      <w:r w:rsidRPr="00E9052C">
        <w:t>Information on national and international risk evaluations</w:t>
      </w:r>
      <w:r>
        <w:t xml:space="preserve"> could include</w:t>
      </w:r>
      <w:r w:rsidRPr="00E9052C">
        <w:t xml:space="preserve"> the following:</w:t>
      </w:r>
    </w:p>
    <w:p w:rsidRPr="00E9052C" w:rsidR="009672DE" w:rsidP="009672DE" w:rsidRDefault="009672DE" w14:paraId="137D2522" w14:textId="77777777">
      <w:pPr>
        <w:spacing w:after="120"/>
        <w:ind w:left="1871" w:firstLine="624"/>
      </w:pPr>
      <w:r w:rsidRPr="00E9052C">
        <w:t>(a)</w:t>
      </w:r>
      <w:r w:rsidRPr="00E9052C">
        <w:tab/>
      </w:r>
      <w:r w:rsidRPr="00E9052C">
        <w:t>Rationale for the regulation of toxic chemical substances</w:t>
      </w:r>
      <w:r>
        <w:t xml:space="preserve"> such as assessment information;</w:t>
      </w:r>
    </w:p>
    <w:p w:rsidRPr="00E9052C" w:rsidR="009672DE" w:rsidP="009672DE" w:rsidRDefault="009672DE" w14:paraId="43064D50" w14:textId="77777777">
      <w:pPr>
        <w:spacing w:after="120"/>
        <w:ind w:left="1871" w:firstLine="624"/>
      </w:pPr>
      <w:r w:rsidRPr="00E9052C">
        <w:t>(b)</w:t>
      </w:r>
      <w:r w:rsidRPr="00E9052C">
        <w:tab/>
      </w:r>
      <w:r w:rsidRPr="00E9052C">
        <w:t>Information and hazard classifications</w:t>
      </w:r>
      <w:r>
        <w:t>;</w:t>
      </w:r>
    </w:p>
    <w:p w:rsidR="009672DE" w:rsidP="00392D40" w:rsidRDefault="009672DE" w14:paraId="63D0C63C" w14:textId="77777777">
      <w:pPr>
        <w:spacing w:after="120"/>
        <w:ind w:left="1871" w:firstLine="624"/>
      </w:pPr>
      <w:r w:rsidRPr="00E9052C">
        <w:t>(c)</w:t>
      </w:r>
      <w:r w:rsidRPr="00E9052C">
        <w:tab/>
      </w:r>
      <w:r w:rsidRPr="00E9052C">
        <w:t>National and international risk evaluations prepared by governmental and inter</w:t>
      </w:r>
      <w:r w:rsidRPr="00E9052C">
        <w:noBreakHyphen/>
        <w:t>governmental organizations, regional economic integration organizations and non</w:t>
      </w:r>
      <w:r w:rsidRPr="00E9052C">
        <w:noBreakHyphen/>
        <w:t>governmental organizations. The government and national stakeholders such as the academic community, civil society and others in the private sector may provide the data required.</w:t>
      </w:r>
    </w:p>
    <w:p w:rsidRPr="00E9052C" w:rsidR="00392D40" w:rsidP="00392D40" w:rsidRDefault="00392D40" w14:paraId="5B51D346" w14:textId="77777777">
      <w:pPr>
        <w:spacing w:after="120"/>
        <w:ind w:left="1871" w:firstLine="624"/>
      </w:pPr>
    </w:p>
    <w:tbl>
      <w:tblPr>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54"/>
      </w:tblGrid>
      <w:tr w:rsidRPr="00D874C1" w:rsidR="009672DE" w:rsidTr="00841D4F" w14:paraId="719E58F4" w14:textId="77777777">
        <w:tc>
          <w:tcPr>
            <w:tcW w:w="9072" w:type="dxa"/>
            <w:shd w:val="clear" w:color="auto" w:fill="F3F3F3"/>
          </w:tcPr>
          <w:p w:rsidRPr="00D874C1" w:rsidR="009672DE" w:rsidP="00841D4F" w:rsidRDefault="009672DE" w14:paraId="6D22F859" w14:textId="77777777">
            <w:pPr>
              <w:rPr>
                <w:rFonts w:eastAsia="MS Mincho"/>
                <w:b/>
              </w:rPr>
            </w:pPr>
            <w:r w:rsidRPr="00D874C1">
              <w:rPr>
                <w:rFonts w:eastAsia="MS Mincho"/>
                <w:b/>
              </w:rPr>
              <w:t>(g) Status of the chemical under international conventions</w:t>
            </w:r>
          </w:p>
        </w:tc>
      </w:tr>
      <w:tr w:rsidRPr="00D874C1" w:rsidR="009672DE" w:rsidTr="00841D4F" w14:paraId="0B661B5F" w14:textId="77777777">
        <w:tc>
          <w:tcPr>
            <w:tcW w:w="9072" w:type="dxa"/>
          </w:tcPr>
          <w:p w:rsidRPr="00D874C1" w:rsidR="009672DE" w:rsidP="00841D4F" w:rsidRDefault="009672DE" w14:paraId="62C774C3" w14:textId="77777777">
            <w:pPr>
              <w:rPr>
                <w:rFonts w:eastAsia="MS Mincho"/>
              </w:rPr>
            </w:pPr>
          </w:p>
          <w:p w:rsidRPr="00D874C1" w:rsidR="009672DE" w:rsidP="00841D4F" w:rsidRDefault="009672DE" w14:paraId="18D73AE1" w14:textId="77777777">
            <w:pPr>
              <w:rPr>
                <w:rFonts w:eastAsia="MS Mincho"/>
              </w:rPr>
            </w:pPr>
          </w:p>
          <w:p w:rsidRPr="00D874C1" w:rsidR="009672DE" w:rsidP="00841D4F" w:rsidRDefault="009672DE" w14:paraId="13FA7BA5" w14:textId="77777777">
            <w:pPr>
              <w:rPr>
                <w:rFonts w:eastAsia="MS Mincho"/>
              </w:rPr>
            </w:pPr>
          </w:p>
        </w:tc>
      </w:tr>
    </w:tbl>
    <w:p w:rsidRPr="00E9052C" w:rsidR="009672DE" w:rsidP="009672DE" w:rsidRDefault="009672DE" w14:paraId="6734C85A" w14:textId="77777777">
      <w:pPr>
        <w:pStyle w:val="main"/>
        <w:ind w:firstLine="720"/>
      </w:pPr>
      <w:r w:rsidRPr="00E9052C">
        <w:t>Explanatory note</w:t>
      </w:r>
      <w:r w:rsidRPr="00E9052C">
        <w:rPr>
          <w:rFonts w:hint="eastAsia"/>
        </w:rPr>
        <w:t xml:space="preserve">: </w:t>
      </w:r>
    </w:p>
    <w:p w:rsidRPr="00392D40" w:rsidR="009672DE" w:rsidP="00392D40" w:rsidRDefault="009672DE" w14:paraId="6EF7116A" w14:textId="77777777">
      <w:pPr>
        <w:pStyle w:val="Paralevel1"/>
      </w:pPr>
      <w:r>
        <w:t>9</w:t>
      </w:r>
      <w:r w:rsidRPr="00AB1841">
        <w:t>.</w:t>
      </w:r>
      <w:r w:rsidRPr="00AB1841">
        <w:tab/>
      </w:r>
      <w:r w:rsidRPr="00AB1841">
        <w:t>Information need not be provided on the mos</w:t>
      </w:r>
      <w:r>
        <w:t xml:space="preserve">t well known instruments. A list of those instruments may be found in document </w:t>
      </w:r>
      <w:r w:rsidRPr="00AB1841">
        <w:t>UNEP/POPS/POPRC.1/INF/10</w:t>
      </w:r>
      <w:r>
        <w:t>.</w:t>
      </w:r>
      <w:r>
        <w:rPr>
          <w:rFonts w:ascii="Arial" w:hAnsi="Arial" w:cs="Arial"/>
          <w:color w:val="000000"/>
          <w:sz w:val="22"/>
          <w:szCs w:val="22"/>
        </w:rPr>
        <w:br w:type="page"/>
      </w:r>
      <w:r>
        <w:rPr>
          <w:b/>
          <w:sz w:val="28"/>
          <w:szCs w:val="28"/>
        </w:rPr>
        <w:t>General guidance on submission of information specified in Annex E</w:t>
      </w:r>
    </w:p>
    <w:p w:rsidR="009672DE" w:rsidP="009672DE" w:rsidRDefault="009672DE" w14:paraId="1763FEDB" w14:textId="77777777">
      <w:pPr>
        <w:pStyle w:val="CH2"/>
        <w:numPr>
          <w:ilvl w:val="0"/>
          <w:numId w:val="19"/>
        </w:numPr>
        <w:ind w:left="1248" w:hanging="624"/>
      </w:pPr>
      <w:r>
        <w:t>Procedure</w:t>
      </w:r>
    </w:p>
    <w:p w:rsidR="009672DE" w:rsidP="009672DE" w:rsidRDefault="009672DE" w14:paraId="7234C809" w14:textId="77777777">
      <w:pPr>
        <w:pStyle w:val="Paralevel1"/>
        <w:tabs>
          <w:tab w:val="left" w:pos="1985"/>
        </w:tabs>
        <w:rPr>
          <w:lang w:val="en-US"/>
        </w:rPr>
      </w:pPr>
      <w:r>
        <w:t>1.</w:t>
      </w:r>
      <w:r>
        <w:tab/>
      </w:r>
      <w:r>
        <w:tab/>
      </w:r>
      <w:r>
        <w:t xml:space="preserve">In accordance with Article 8 of the Convention, a Party may submit a proposal for listing a chemical in Annexes A, B and/or C. The Persistent Organic Pollutants Review Committee examines the proposal and applies the screening criteria specified in Annex D to the Convention. </w:t>
      </w:r>
      <w:r>
        <w:rPr>
          <w:lang w:val="en-US"/>
        </w:rPr>
        <w:t>The Committee’s evaluation of the chemical against the criteria of Annex D is set out in an annex to the report of the meeting of the Committee at which it is undertaken. The meeting report is made available on the Convention’s website (</w:t>
      </w:r>
      <w:r>
        <w:t>www.pops.int).</w:t>
      </w:r>
    </w:p>
    <w:p w:rsidR="009672DE" w:rsidP="009672DE" w:rsidRDefault="009672DE" w14:paraId="6DEAEF1D" w14:textId="77777777">
      <w:pPr>
        <w:pStyle w:val="Paralevel1"/>
        <w:tabs>
          <w:tab w:val="left" w:pos="1985"/>
        </w:tabs>
        <w:rPr>
          <w:lang w:val="en-US"/>
        </w:rPr>
      </w:pPr>
      <w:r>
        <w:t>2.</w:t>
      </w:r>
      <w:r>
        <w:tab/>
      </w:r>
      <w:r>
        <w:tab/>
      </w:r>
      <w:r>
        <w:t>When the Committee is satisfied that the screening criteria set out in Annex D have been fulfilled, it invites Parties and observers to submit the information specified in Annex E of the Convention. The Committee then prepares a draft risk profile based on the submitted information.</w:t>
      </w:r>
      <w:r>
        <w:rPr>
          <w:lang w:val="en-US"/>
        </w:rPr>
        <w:t xml:space="preserve"> </w:t>
      </w:r>
      <w:r>
        <w:t>The draft risk profile is set out in an addendum to the report of the meeting at which it is adopted by the Committee and is made</w:t>
      </w:r>
      <w:r>
        <w:rPr>
          <w:lang w:val="en-US"/>
        </w:rPr>
        <w:t xml:space="preserve"> available on the Convention’s website (www.pops.int).</w:t>
      </w:r>
    </w:p>
    <w:p w:rsidR="009672DE" w:rsidP="009672DE" w:rsidRDefault="009672DE" w14:paraId="68E41076" w14:textId="77777777">
      <w:pPr>
        <w:pStyle w:val="CH2"/>
        <w:numPr>
          <w:ilvl w:val="0"/>
          <w:numId w:val="19"/>
        </w:numPr>
        <w:ind w:left="1248" w:hanging="624"/>
      </w:pPr>
      <w:r>
        <w:t>How to submit information</w:t>
      </w:r>
    </w:p>
    <w:p w:rsidR="009672DE" w:rsidP="009672DE" w:rsidRDefault="009672DE" w14:paraId="1058727C" w14:textId="77777777">
      <w:pPr>
        <w:pStyle w:val="Paralevel1"/>
        <w:tabs>
          <w:tab w:val="left" w:pos="1985"/>
        </w:tabs>
        <w:rPr>
          <w:iCs/>
        </w:rPr>
      </w:pPr>
      <w:r>
        <w:rPr>
          <w:lang w:val="en-US"/>
        </w:rPr>
        <w:t>3.</w:t>
      </w:r>
      <w:r>
        <w:rPr>
          <w:lang w:val="en-US"/>
        </w:rPr>
        <w:tab/>
      </w:r>
      <w:r>
        <w:rPr>
          <w:lang w:val="en-US"/>
        </w:rPr>
        <w:tab/>
      </w:r>
      <w:r>
        <w:rPr>
          <w:lang w:val="en-US"/>
        </w:rPr>
        <w:t>Annex E information may be submitted to the Secretariat using a form provided by the Committee. The form may be obtained from the Convention focal points and from the Convention website.</w:t>
      </w:r>
      <w:r>
        <w:rPr>
          <w:iCs/>
        </w:rPr>
        <w:t xml:space="preserve"> It is preferable that Annex E information be submitted in electronic format and in English; information may be submitted, however, in the other official languages of the United Nations (Arabic, Chinese, French, Russian and Spanish) and in hard copy. Please note that if you are completing the form electronically, the size of the boxes will adjust to the amount of text inserted and, thus, a complete form may be longer than the current number of pages. If you are completing a paper hard copy of the form, please include additional pages as required. The deadline for submitting information is indicated in the letter from the secretariat inviting Parties and observers to provide information.</w:t>
      </w:r>
    </w:p>
    <w:p w:rsidR="009672DE" w:rsidP="009672DE" w:rsidRDefault="009672DE" w14:paraId="2C2CBCF0" w14:textId="77777777">
      <w:pPr>
        <w:pStyle w:val="CH2"/>
        <w:numPr>
          <w:ilvl w:val="0"/>
          <w:numId w:val="19"/>
        </w:numPr>
        <w:ind w:left="1248" w:hanging="624"/>
      </w:pPr>
      <w:r>
        <w:t>Reminders to those submitting information</w:t>
      </w:r>
    </w:p>
    <w:p w:rsidR="009672DE" w:rsidP="009672DE" w:rsidRDefault="009672DE" w14:paraId="4B591E60" w14:textId="77777777">
      <w:pPr>
        <w:pStyle w:val="Paralevel1"/>
        <w:tabs>
          <w:tab w:val="left" w:pos="1985"/>
        </w:tabs>
        <w:rPr>
          <w:iCs/>
        </w:rPr>
      </w:pPr>
      <w:r>
        <w:rPr>
          <w:lang w:val="en-US"/>
        </w:rPr>
        <w:t>4.</w:t>
      </w:r>
      <w:r>
        <w:rPr>
          <w:lang w:val="en-US"/>
        </w:rPr>
        <w:tab/>
      </w:r>
      <w:r>
        <w:rPr>
          <w:lang w:val="en-US"/>
        </w:rPr>
        <w:tab/>
      </w:r>
      <w:r>
        <w:rPr>
          <w:lang w:val="en-US"/>
        </w:rPr>
        <w:t>Parties and observers providing</w:t>
      </w:r>
      <w:r>
        <w:rPr>
          <w:iCs/>
        </w:rPr>
        <w:t xml:space="preserve"> Annex E information should do so in a concise manner with clear and precise references.</w:t>
      </w:r>
      <w:r>
        <w:t xml:space="preserve"> If the information on a specific item is not available, please so indicate. The information does not have to be national in nature; information from international source may be cited.</w:t>
      </w:r>
    </w:p>
    <w:p w:rsidR="009672DE" w:rsidP="009672DE" w:rsidRDefault="009672DE" w14:paraId="34EF24E3" w14:textId="77777777">
      <w:pPr>
        <w:pStyle w:val="Paralevel1"/>
        <w:tabs>
          <w:tab w:val="left" w:pos="1985"/>
        </w:tabs>
      </w:pPr>
      <w:r>
        <w:rPr>
          <w:iCs/>
        </w:rPr>
        <w:t>5.</w:t>
      </w:r>
      <w:r>
        <w:rPr>
          <w:iCs/>
        </w:rPr>
        <w:tab/>
      </w:r>
      <w:r>
        <w:rPr>
          <w:iCs/>
        </w:rPr>
        <w:tab/>
      </w:r>
      <w:r>
        <w:rPr>
          <w:iCs/>
        </w:rPr>
        <w:t>If possible and relevant, provide additional i</w:t>
      </w:r>
      <w:r>
        <w:t xml:space="preserve">nformation to support the Committee’s scientific considerations in preparing the risk profile such as study methods, tissue concentrations for comparative purposes and citations including original copies of papers that are not readily available in the public domain. Information which is not peer-reviewed may still be useful for the Committee. </w:t>
      </w:r>
    </w:p>
    <w:p w:rsidR="009672DE" w:rsidP="009672DE" w:rsidRDefault="009672DE" w14:paraId="5566F467" w14:textId="77777777">
      <w:pPr>
        <w:pStyle w:val="Paralevel1"/>
        <w:tabs>
          <w:tab w:val="left" w:pos="1985"/>
        </w:tabs>
      </w:pPr>
      <w:r>
        <w:t>6.</w:t>
      </w:r>
      <w:r>
        <w:tab/>
      </w:r>
      <w:r>
        <w:tab/>
      </w:r>
      <w:r>
        <w:t xml:space="preserve">The explanatory notes under each item have been developed by the Committee to guide and assist submissions; they have no legal status. </w:t>
      </w:r>
    </w:p>
    <w:p w:rsidR="009672DE" w:rsidP="009672DE" w:rsidRDefault="009672DE" w14:paraId="69BAE862" w14:textId="77777777">
      <w:pPr>
        <w:pStyle w:val="CH2"/>
        <w:numPr>
          <w:ilvl w:val="0"/>
          <w:numId w:val="19"/>
        </w:numPr>
        <w:ind w:left="1248" w:hanging="624"/>
      </w:pPr>
      <w:r>
        <w:t>Guidance for information collection</w:t>
      </w:r>
    </w:p>
    <w:p w:rsidR="009672DE" w:rsidP="009672DE" w:rsidRDefault="009672DE" w14:paraId="4271F70E" w14:textId="77777777">
      <w:pPr>
        <w:pStyle w:val="Paralevel1"/>
        <w:tabs>
          <w:tab w:val="left" w:pos="1985"/>
        </w:tabs>
      </w:pPr>
      <w:r>
        <w:t>7.</w:t>
      </w:r>
      <w:r>
        <w:tab/>
      </w:r>
      <w:r>
        <w:tab/>
      </w:r>
      <w:r>
        <w:t xml:space="preserve">A guidance document entitled “Handbook for effective participation in the work of the POPs Review Committee” outlines the methodology for the identification and compilation of information required by the Committee. The handbook is available on the Convention website and hard copies may be obtained upon request to the Secretariat. </w:t>
      </w:r>
    </w:p>
    <w:p w:rsidR="009672DE" w:rsidP="009672DE" w:rsidRDefault="009672DE" w14:paraId="291FACCE" w14:textId="77777777">
      <w:pPr>
        <w:pStyle w:val="Paralevel1"/>
        <w:tabs>
          <w:tab w:val="left" w:pos="1985"/>
        </w:tabs>
      </w:pPr>
      <w:r>
        <w:t>8.</w:t>
      </w:r>
      <w:r>
        <w:tab/>
      </w:r>
      <w:r>
        <w:tab/>
      </w:r>
      <w:r>
        <w:t xml:space="preserve">It is suggested that each Party establish an ad hoc working group, perhaps building on the committee established to develop the Party’s national implementation plan, to assist the national focal point to collect and submit relevant information. </w:t>
      </w:r>
    </w:p>
    <w:p w:rsidR="009672DE" w:rsidP="009672DE" w:rsidRDefault="009672DE" w14:paraId="3F3510B6" w14:textId="77777777">
      <w:pPr>
        <w:pStyle w:val="Paralevel1"/>
        <w:tabs>
          <w:tab w:val="left" w:pos="1985"/>
        </w:tabs>
      </w:pPr>
      <w:r>
        <w:t>9.</w:t>
      </w:r>
      <w:r>
        <w:tab/>
      </w:r>
      <w:r>
        <w:tab/>
      </w:r>
      <w:r>
        <w:t>Other potential sources of information are listed below:</w:t>
      </w:r>
    </w:p>
    <w:p w:rsidR="009672DE" w:rsidP="009672DE" w:rsidRDefault="009672DE" w14:paraId="71CEE098" w14:textId="77777777">
      <w:pPr>
        <w:pStyle w:val="Paralevel2"/>
        <w:ind w:left="2694" w:hanging="567"/>
      </w:pPr>
      <w:r>
        <w:t>(a)</w:t>
      </w:r>
      <w:r>
        <w:tab/>
      </w:r>
      <w:r>
        <w:t>National expertise (e.g., universities, research centres, non-governmental organizations, trade unions);</w:t>
      </w:r>
    </w:p>
    <w:p w:rsidR="009672DE" w:rsidP="009672DE" w:rsidRDefault="009672DE" w14:paraId="288B1630" w14:textId="77777777">
      <w:pPr>
        <w:pStyle w:val="Paralevel2"/>
        <w:ind w:left="2694" w:hanging="567"/>
      </w:pPr>
      <w:r>
        <w:t>(b)</w:t>
      </w:r>
      <w:r>
        <w:tab/>
      </w:r>
      <w:r>
        <w:t>Industries (e.g. producers, importers, suppliers, downstream users);</w:t>
      </w:r>
    </w:p>
    <w:p w:rsidR="009672DE" w:rsidP="009672DE" w:rsidRDefault="009672DE" w14:paraId="7ADF09B9" w14:textId="77777777">
      <w:pPr>
        <w:pStyle w:val="Paralevel2"/>
        <w:ind w:left="2694" w:hanging="567"/>
      </w:pPr>
      <w:r>
        <w:t>(c)</w:t>
      </w:r>
      <w:r>
        <w:tab/>
      </w:r>
      <w:r>
        <w:t>International literature;</w:t>
      </w:r>
    </w:p>
    <w:p w:rsidR="00947E17" w:rsidP="009672DE" w:rsidRDefault="009672DE" w14:paraId="5984F9B0" w14:textId="77777777">
      <w:pPr>
        <w:pStyle w:val="Paralevel2"/>
        <w:ind w:left="2694" w:hanging="567"/>
      </w:pPr>
      <w:r>
        <w:t>(d)</w:t>
      </w:r>
      <w:r>
        <w:tab/>
      </w:r>
      <w:r>
        <w:t>Chemica</w:t>
      </w:r>
      <w:r w:rsidR="000A19F0">
        <w:t>ls databases.</w:t>
      </w:r>
    </w:p>
    <w:bookmarkEnd w:id="0"/>
    <w:p w:rsidR="00037C07" w:rsidP="004367CB" w:rsidRDefault="00037C07" w14:paraId="5D6BBBF6" w14:textId="77777777">
      <w:pPr>
        <w:spacing w:after="240"/>
      </w:pPr>
    </w:p>
    <w:sectPr w:rsidR="00037C07" w:rsidSect="000B454B">
      <w:headerReference w:type="default" r:id="rId8"/>
      <w:footerReference w:type="default" r:id="rId9"/>
      <w:headerReference w:type="first" r:id="rId10"/>
      <w:footerReference w:type="first" r:id="rId11"/>
      <w:type w:val="continuous"/>
      <w:pgSz w:w="11907" w:h="16840" w:orient="portrait" w:code="9"/>
      <w:pgMar w:top="1134" w:right="1134" w:bottom="1134" w:left="1134" w:header="624" w:footer="56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239E" w:rsidRDefault="005B239E" w14:paraId="2D160C8E" w14:textId="77777777">
      <w:r>
        <w:separator/>
      </w:r>
    </w:p>
  </w:endnote>
  <w:endnote w:type="continuationSeparator" w:id="0">
    <w:p w:rsidR="005B239E" w:rsidRDefault="005B239E" w14:paraId="2510D8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color="999999" w:sz="6" w:space="0"/>
      </w:tblBorders>
      <w:tblLook w:val="01E0" w:firstRow="1" w:lastRow="1" w:firstColumn="1" w:lastColumn="1" w:noHBand="0" w:noVBand="0"/>
    </w:tblPr>
    <w:tblGrid>
      <w:gridCol w:w="9639"/>
    </w:tblGrid>
    <w:tr w:rsidRPr="00986A56" w:rsidR="00A6356B" w14:paraId="708FD2B7" w14:textId="77777777">
      <w:tc>
        <w:tcPr>
          <w:tcW w:w="10476" w:type="dxa"/>
        </w:tcPr>
        <w:p w:rsidRPr="00986A56" w:rsidR="00A6356B" w:rsidP="00986A56" w:rsidRDefault="00A6356B" w14:paraId="66DE131B" w14:textId="77777777">
          <w:pPr>
            <w:pStyle w:val="Footer"/>
            <w:spacing w:before="40"/>
            <w:jc w:val="center"/>
            <w:rPr>
              <w:rFonts w:ascii="Arial" w:hAnsi="Arial" w:cs="Arial"/>
              <w:sz w:val="14"/>
              <w:szCs w:val="14"/>
              <w:lang w:val="fr-FR"/>
            </w:rPr>
          </w:pPr>
          <w:r w:rsidRPr="00986A56">
            <w:rPr>
              <w:rFonts w:ascii="Arial" w:hAnsi="Arial" w:cs="Arial"/>
              <w:sz w:val="14"/>
              <w:szCs w:val="14"/>
              <w:lang w:val="fr-FR"/>
            </w:rPr>
            <w:t xml:space="preserve">Office location/Bureaux: International </w:t>
          </w:r>
          <w:r w:rsidRPr="005537DE">
            <w:rPr>
              <w:rFonts w:ascii="Arial" w:hAnsi="Arial" w:cs="Arial"/>
              <w:sz w:val="14"/>
              <w:szCs w:val="14"/>
              <w:lang w:val="fr-CH"/>
            </w:rPr>
            <w:t>Environment</w:t>
          </w:r>
          <w:r w:rsidRPr="00986A56">
            <w:rPr>
              <w:rFonts w:ascii="Arial" w:hAnsi="Arial" w:cs="Arial"/>
              <w:sz w:val="14"/>
              <w:szCs w:val="14"/>
              <w:lang w:val="fr-FR"/>
            </w:rPr>
            <w:t xml:space="preserve"> House 1, 11-13 chemin des Anémones, Châtelaine – Geneva. </w:t>
          </w:r>
          <w:smartTag w:uri="urn:schemas-microsoft-com:office:smarttags" w:element="country-region">
            <w:smartTag w:uri="urn:schemas-microsoft-com:office:smarttags" w:element="place">
              <w:r w:rsidRPr="00986A56">
                <w:rPr>
                  <w:rFonts w:ascii="Arial" w:hAnsi="Arial" w:cs="Arial"/>
                  <w:sz w:val="14"/>
                  <w:szCs w:val="14"/>
                </w:rPr>
                <w:t>Switzerland</w:t>
              </w:r>
            </w:smartTag>
          </w:smartTag>
        </w:p>
      </w:tc>
    </w:tr>
  </w:tbl>
  <w:p w:rsidRPr="0053646C" w:rsidR="00A6356B" w:rsidRDefault="00A6356B" w14:paraId="5893A380" w14:textId="77777777">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color="999999" w:sz="6" w:space="0"/>
      </w:tblBorders>
      <w:tblLook w:val="01E0" w:firstRow="1" w:lastRow="1" w:firstColumn="1" w:lastColumn="1" w:noHBand="0" w:noVBand="0"/>
    </w:tblPr>
    <w:tblGrid>
      <w:gridCol w:w="9639"/>
    </w:tblGrid>
    <w:tr w:rsidRPr="00986A56" w:rsidR="00A6356B" w14:paraId="12948857" w14:textId="77777777">
      <w:tc>
        <w:tcPr>
          <w:tcW w:w="10251" w:type="dxa"/>
        </w:tcPr>
        <w:p w:rsidRPr="00986A56" w:rsidR="00A6356B" w:rsidP="00986A56" w:rsidRDefault="00A6356B" w14:paraId="5741CE4F" w14:textId="77777777">
          <w:pPr>
            <w:pStyle w:val="Footer"/>
            <w:spacing w:before="40"/>
            <w:jc w:val="center"/>
            <w:rPr>
              <w:rFonts w:ascii="Arial" w:hAnsi="Arial" w:cs="Arial"/>
              <w:sz w:val="16"/>
              <w:szCs w:val="16"/>
            </w:rPr>
          </w:pPr>
          <w:bookmarkStart w:name="OLE_LINK1" w:id="1"/>
          <w:bookmarkStart w:name="OLE_LINK2" w:id="2"/>
          <w:r w:rsidRPr="00986A56">
            <w:rPr>
              <w:rFonts w:ascii="Arial" w:hAnsi="Arial" w:cs="Arial"/>
              <w:sz w:val="16"/>
              <w:szCs w:val="16"/>
            </w:rPr>
            <w:t xml:space="preserve">Secretariat of the </w:t>
          </w:r>
          <w:smartTag w:uri="urn:schemas-microsoft-com:office:smarttags" w:element="City">
            <w:smartTag w:uri="urn:schemas-microsoft-com:office:smarttags" w:element="place">
              <w:r w:rsidRPr="00986A56">
                <w:rPr>
                  <w:rFonts w:ascii="Arial" w:hAnsi="Arial" w:cs="Arial"/>
                  <w:sz w:val="16"/>
                  <w:szCs w:val="16"/>
                </w:rPr>
                <w:t>Stockholm</w:t>
              </w:r>
            </w:smartTag>
          </w:smartTag>
          <w:r w:rsidRPr="00986A56">
            <w:rPr>
              <w:rFonts w:ascii="Arial" w:hAnsi="Arial" w:cs="Arial"/>
              <w:sz w:val="16"/>
              <w:szCs w:val="16"/>
            </w:rPr>
            <w:t xml:space="preserve"> Convention on Persistent Organic Pollutants</w:t>
          </w:r>
          <w:bookmarkEnd w:id="1"/>
          <w:bookmarkEnd w:id="2"/>
        </w:p>
      </w:tc>
    </w:tr>
  </w:tbl>
  <w:p w:rsidR="00A6356B" w:rsidP="0053646C" w:rsidRDefault="00A6356B" w14:paraId="673F2AB3" w14:textId="77777777">
    <w:pPr>
      <w:pStyle w:val="Footer"/>
      <w:spacing w:before="40"/>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239E" w:rsidRDefault="005B239E" w14:paraId="1277CD9F" w14:textId="77777777">
      <w:r>
        <w:separator/>
      </w:r>
    </w:p>
  </w:footnote>
  <w:footnote w:type="continuationSeparator" w:id="0">
    <w:p w:rsidR="005B239E" w:rsidRDefault="005B239E" w14:paraId="4BE472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56B" w:rsidP="00836334" w:rsidRDefault="00A6356B" w14:paraId="50033EE2" w14:textId="77777777">
    <w:pPr>
      <w:widowControl w:val="0"/>
      <w:pBdr>
        <w:bottom w:val="single" w:color="999999" w:sz="6" w:space="4"/>
      </w:pBdr>
      <w:tabs>
        <w:tab w:val="right" w:pos="10065"/>
      </w:tabs>
      <w:spacing w:after="60"/>
      <w:ind w:right="-28"/>
      <w:rPr>
        <w:rtl/>
        <w:lang w:val="fr-FR"/>
      </w:rPr>
    </w:pPr>
    <w:r w:rsidRPr="00836334">
      <w:rPr>
        <w:rFonts w:ascii="Arial" w:hAnsi="Arial" w:cs="Arial"/>
        <w:sz w:val="16"/>
        <w:szCs w:val="16"/>
      </w:rPr>
      <w:t>Secretariat of the Stockholm Convention on Persistent Organic Pollutants</w:t>
    </w:r>
    <w:r>
      <w:rPr>
        <w:rFonts w:ascii="Arial" w:hAnsi="Arial" w:cs="Arial"/>
        <w:sz w:val="12"/>
        <w:szCs w:val="12"/>
      </w:rPr>
      <w:tab/>
    </w:r>
    <w:r w:rsidRPr="00836334">
      <w:rPr>
        <w:rFonts w:ascii="Arial" w:hAnsi="Arial" w:cs="Arial"/>
        <w:sz w:val="16"/>
        <w:szCs w:val="16"/>
      </w:rPr>
      <w:t xml:space="preserve">page </w:t>
    </w:r>
    <w:r w:rsidRPr="00836334">
      <w:rPr>
        <w:rStyle w:val="PageNumber"/>
        <w:rFonts w:ascii="Arial" w:hAnsi="Arial" w:cs="Arial"/>
        <w:sz w:val="16"/>
        <w:szCs w:val="16"/>
      </w:rPr>
      <w:fldChar w:fldCharType="begin"/>
    </w:r>
    <w:r w:rsidRPr="00836334">
      <w:rPr>
        <w:rStyle w:val="PageNumber"/>
        <w:rFonts w:ascii="Arial" w:hAnsi="Arial" w:cs="Arial"/>
        <w:sz w:val="16"/>
        <w:szCs w:val="16"/>
      </w:rPr>
      <w:instrText xml:space="preserve"> PAGE </w:instrText>
    </w:r>
    <w:r w:rsidRPr="00836334">
      <w:rPr>
        <w:rStyle w:val="PageNumber"/>
        <w:rFonts w:ascii="Arial" w:hAnsi="Arial" w:cs="Arial"/>
        <w:sz w:val="16"/>
        <w:szCs w:val="16"/>
      </w:rPr>
      <w:fldChar w:fldCharType="separate"/>
    </w:r>
    <w:r w:rsidR="005862A4">
      <w:rPr>
        <w:rStyle w:val="PageNumber"/>
        <w:rFonts w:ascii="Arial" w:hAnsi="Arial" w:cs="Arial"/>
        <w:noProof/>
        <w:sz w:val="16"/>
        <w:szCs w:val="16"/>
      </w:rPr>
      <w:t>5</w:t>
    </w:r>
    <w:r w:rsidRPr="00836334">
      <w:rPr>
        <w:rStyle w:val="PageNumbe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A7E" w:rsidP="005F6A7E" w:rsidRDefault="005F6A7E" w14:paraId="60D82B23" w14:textId="77777777">
    <w:pPr>
      <w:widowControl w:val="0"/>
      <w:pBdr>
        <w:bottom w:val="single" w:color="999999" w:sz="6" w:space="4"/>
      </w:pBdr>
      <w:tabs>
        <w:tab w:val="right" w:pos="10065"/>
      </w:tabs>
      <w:spacing w:after="60"/>
      <w:ind w:right="-28"/>
      <w:rPr>
        <w:rtl/>
        <w:lang w:val="fr-FR"/>
      </w:rPr>
    </w:pPr>
    <w:r w:rsidRPr="00836334">
      <w:rPr>
        <w:rFonts w:ascii="Arial" w:hAnsi="Arial" w:cs="Arial"/>
        <w:sz w:val="16"/>
        <w:szCs w:val="16"/>
      </w:rPr>
      <w:t>Secretariat of the Stockholm Convention on Persistent Organic Pollutants</w:t>
    </w:r>
    <w:r>
      <w:rPr>
        <w:rFonts w:ascii="Arial" w:hAnsi="Arial" w:cs="Arial"/>
        <w:sz w:val="12"/>
        <w:szCs w:val="12"/>
      </w:rPr>
      <w:tab/>
    </w:r>
    <w:r w:rsidRPr="00836334">
      <w:rPr>
        <w:rFonts w:ascii="Arial" w:hAnsi="Arial" w:cs="Arial"/>
        <w:sz w:val="16"/>
        <w:szCs w:val="16"/>
      </w:rPr>
      <w:t xml:space="preserve">page </w:t>
    </w:r>
    <w:r w:rsidRPr="00836334">
      <w:rPr>
        <w:rStyle w:val="PageNumber"/>
        <w:rFonts w:ascii="Arial" w:hAnsi="Arial" w:cs="Arial"/>
        <w:sz w:val="16"/>
        <w:szCs w:val="16"/>
      </w:rPr>
      <w:fldChar w:fldCharType="begin"/>
    </w:r>
    <w:r w:rsidRPr="00836334">
      <w:rPr>
        <w:rStyle w:val="PageNumber"/>
        <w:rFonts w:ascii="Arial" w:hAnsi="Arial" w:cs="Arial"/>
        <w:sz w:val="16"/>
        <w:szCs w:val="16"/>
      </w:rPr>
      <w:instrText xml:space="preserve"> PAGE </w:instrText>
    </w:r>
    <w:r w:rsidRPr="00836334">
      <w:rPr>
        <w:rStyle w:val="PageNumber"/>
        <w:rFonts w:ascii="Arial" w:hAnsi="Arial" w:cs="Arial"/>
        <w:sz w:val="16"/>
        <w:szCs w:val="16"/>
      </w:rPr>
      <w:fldChar w:fldCharType="separate"/>
    </w:r>
    <w:r w:rsidR="009D555A">
      <w:rPr>
        <w:rStyle w:val="PageNumber"/>
        <w:rFonts w:ascii="Arial" w:hAnsi="Arial" w:cs="Arial"/>
        <w:noProof/>
        <w:sz w:val="16"/>
        <w:szCs w:val="16"/>
      </w:rPr>
      <w:t>1</w:t>
    </w:r>
    <w:r w:rsidRPr="00836334">
      <w:rPr>
        <w:rStyle w:val="PageNumbe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6FD5"/>
    <w:multiLevelType w:val="hybridMultilevel"/>
    <w:tmpl w:val="12DE13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50FFE"/>
    <w:multiLevelType w:val="hybridMultilevel"/>
    <w:tmpl w:val="65DC27D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E043C2"/>
    <w:multiLevelType w:val="hybridMultilevel"/>
    <w:tmpl w:val="A28AF862"/>
    <w:lvl w:ilvl="0" w:tplc="DC08B1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57344"/>
    <w:multiLevelType w:val="hybridMultilevel"/>
    <w:tmpl w:val="79761C04"/>
    <w:lvl w:ilvl="0" w:tplc="5F84B852">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15:restartNumberingAfterBreak="0">
    <w:nsid w:val="0E045DEB"/>
    <w:multiLevelType w:val="hybridMultilevel"/>
    <w:tmpl w:val="8074720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EF27AF0"/>
    <w:multiLevelType w:val="hybridMultilevel"/>
    <w:tmpl w:val="F59E43FA"/>
    <w:lvl w:ilvl="0" w:tplc="A06CD97C">
      <w:start w:val="1"/>
      <w:numFmt w:val="lowerLetter"/>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E90F30"/>
    <w:multiLevelType w:val="hybridMultilevel"/>
    <w:tmpl w:val="9B4656C4"/>
    <w:lvl w:ilvl="0" w:tplc="5F84B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E5E5E"/>
    <w:multiLevelType w:val="hybridMultilevel"/>
    <w:tmpl w:val="24F2A0A0"/>
    <w:lvl w:ilvl="0" w:tplc="04090011">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 w15:restartNumberingAfterBreak="0">
    <w:nsid w:val="1DAE4530"/>
    <w:multiLevelType w:val="hybridMultilevel"/>
    <w:tmpl w:val="3FC62492"/>
    <w:lvl w:ilvl="0" w:tplc="E92E3CEA">
      <w:start w:val="1"/>
      <w:numFmt w:val="low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9" w15:restartNumberingAfterBreak="0">
    <w:nsid w:val="1E043DE3"/>
    <w:multiLevelType w:val="hybridMultilevel"/>
    <w:tmpl w:val="CB10E088"/>
    <w:lvl w:ilvl="0" w:tplc="04090003">
      <w:start w:val="1"/>
      <w:numFmt w:val="bullet"/>
      <w:lvlText w:val="o"/>
      <w:lvlJc w:val="left"/>
      <w:pPr>
        <w:ind w:left="1434" w:hanging="360"/>
      </w:pPr>
      <w:rPr>
        <w:rFonts w:hint="default" w:ascii="Courier New" w:hAnsi="Courier New" w:cs="Courier New"/>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0" w15:restartNumberingAfterBreak="0">
    <w:nsid w:val="203A0F01"/>
    <w:multiLevelType w:val="hybridMultilevel"/>
    <w:tmpl w:val="E2D6BD58"/>
    <w:lvl w:ilvl="0" w:tplc="9BF8FF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8C0ADC"/>
    <w:multiLevelType w:val="hybridMultilevel"/>
    <w:tmpl w:val="C2B88D9C"/>
    <w:lvl w:ilvl="0" w:tplc="0A3ABFB0">
      <w:start w:val="1"/>
      <w:numFmt w:val="bullet"/>
      <w:lvlText w:val=""/>
      <w:lvlJc w:val="left"/>
      <w:pPr>
        <w:tabs>
          <w:tab w:val="num" w:pos="720"/>
        </w:tabs>
        <w:ind w:left="720" w:hanging="360"/>
      </w:pPr>
      <w:rPr>
        <w:rFonts w:hint="default" w:ascii="Symbol" w:hAnsi="Symbol"/>
        <w:sz w:val="22"/>
        <w:szCs w:val="22"/>
      </w:rPr>
    </w:lvl>
    <w:lvl w:ilvl="1" w:tplc="C616B726">
      <w:start w:val="1"/>
      <w:numFmt w:val="bullet"/>
      <w:lvlText w:val=""/>
      <w:lvlJc w:val="left"/>
      <w:pPr>
        <w:tabs>
          <w:tab w:val="num" w:pos="1512"/>
        </w:tabs>
        <w:ind w:left="1512" w:hanging="432"/>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D013ED5"/>
    <w:multiLevelType w:val="hybridMultilevel"/>
    <w:tmpl w:val="218EC4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6629AA"/>
    <w:multiLevelType w:val="hybridMultilevel"/>
    <w:tmpl w:val="429AA41E"/>
    <w:lvl w:ilvl="0" w:tplc="273ECBAE">
      <w:start w:val="1"/>
      <w:numFmt w:val="decimal"/>
      <w:lvlText w:val="%1."/>
      <w:lvlJc w:val="left"/>
      <w:pPr>
        <w:tabs>
          <w:tab w:val="num" w:pos="1967"/>
        </w:tabs>
        <w:ind w:left="1967" w:hanging="360"/>
      </w:pPr>
      <w:rPr>
        <w:rFonts w:cs="Times New Roman"/>
        <w:i w:val="0"/>
      </w:rPr>
    </w:lvl>
    <w:lvl w:ilvl="1" w:tplc="AC8601CC">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3D1B7442"/>
    <w:multiLevelType w:val="hybridMultilevel"/>
    <w:tmpl w:val="04A6ACE4"/>
    <w:lvl w:ilvl="0" w:tplc="3CFE2820">
      <w:start w:val="1"/>
      <w:numFmt w:val="upperLetter"/>
      <w:pStyle w:val="CH2"/>
      <w:lvlText w:val="%1."/>
      <w:lvlJc w:val="left"/>
      <w:pPr>
        <w:tabs>
          <w:tab w:val="num" w:pos="578"/>
        </w:tabs>
        <w:ind w:left="578" w:firstLine="0"/>
      </w:pPr>
      <w:rPr>
        <w:rFonts w:hint="default" w:ascii="Times New Roman" w:hAnsi="Times New Roman"/>
        <w:b/>
        <w:i w:val="0"/>
        <w:sz w:val="24"/>
        <w:szCs w:val="24"/>
      </w:rPr>
    </w:lvl>
    <w:lvl w:ilvl="1" w:tplc="04090019" w:tentative="1">
      <w:start w:val="1"/>
      <w:numFmt w:val="lowerLetter"/>
      <w:lvlText w:val="%2."/>
      <w:lvlJc w:val="left"/>
      <w:pPr>
        <w:tabs>
          <w:tab w:val="num" w:pos="2494"/>
        </w:tabs>
        <w:ind w:left="2494" w:hanging="360"/>
      </w:pPr>
    </w:lvl>
    <w:lvl w:ilvl="2" w:tplc="CE08A9E6" w:tentative="1">
      <w:start w:val="1"/>
      <w:numFmt w:val="lowerRoman"/>
      <w:lvlText w:val="%3."/>
      <w:lvlJc w:val="right"/>
      <w:pPr>
        <w:tabs>
          <w:tab w:val="num" w:pos="3214"/>
        </w:tabs>
        <w:ind w:left="3214" w:hanging="180"/>
      </w:pPr>
    </w:lvl>
    <w:lvl w:ilvl="3" w:tplc="B99E908E" w:tentative="1">
      <w:start w:val="1"/>
      <w:numFmt w:val="decimal"/>
      <w:lvlText w:val="%4."/>
      <w:lvlJc w:val="left"/>
      <w:pPr>
        <w:tabs>
          <w:tab w:val="num" w:pos="3934"/>
        </w:tabs>
        <w:ind w:left="3934" w:hanging="360"/>
      </w:pPr>
    </w:lvl>
    <w:lvl w:ilvl="4" w:tplc="04090019" w:tentative="1">
      <w:start w:val="1"/>
      <w:numFmt w:val="lowerLetter"/>
      <w:lvlText w:val="%5."/>
      <w:lvlJc w:val="left"/>
      <w:pPr>
        <w:tabs>
          <w:tab w:val="num" w:pos="4654"/>
        </w:tabs>
        <w:ind w:left="4654" w:hanging="360"/>
      </w:pPr>
    </w:lvl>
    <w:lvl w:ilvl="5" w:tplc="0409001B" w:tentative="1">
      <w:start w:val="1"/>
      <w:numFmt w:val="lowerRoman"/>
      <w:lvlText w:val="%6."/>
      <w:lvlJc w:val="right"/>
      <w:pPr>
        <w:tabs>
          <w:tab w:val="num" w:pos="5374"/>
        </w:tabs>
        <w:ind w:left="5374" w:hanging="180"/>
      </w:pPr>
    </w:lvl>
    <w:lvl w:ilvl="6" w:tplc="0409000F" w:tentative="1">
      <w:start w:val="1"/>
      <w:numFmt w:val="decimal"/>
      <w:lvlText w:val="%7."/>
      <w:lvlJc w:val="left"/>
      <w:pPr>
        <w:tabs>
          <w:tab w:val="num" w:pos="6094"/>
        </w:tabs>
        <w:ind w:left="6094" w:hanging="360"/>
      </w:pPr>
    </w:lvl>
    <w:lvl w:ilvl="7" w:tplc="04090019" w:tentative="1">
      <w:start w:val="1"/>
      <w:numFmt w:val="lowerLetter"/>
      <w:lvlText w:val="%8."/>
      <w:lvlJc w:val="left"/>
      <w:pPr>
        <w:tabs>
          <w:tab w:val="num" w:pos="6814"/>
        </w:tabs>
        <w:ind w:left="6814" w:hanging="360"/>
      </w:pPr>
    </w:lvl>
    <w:lvl w:ilvl="8" w:tplc="0409001B" w:tentative="1">
      <w:start w:val="1"/>
      <w:numFmt w:val="lowerRoman"/>
      <w:lvlText w:val="%9."/>
      <w:lvlJc w:val="right"/>
      <w:pPr>
        <w:tabs>
          <w:tab w:val="num" w:pos="7534"/>
        </w:tabs>
        <w:ind w:left="7534" w:hanging="180"/>
      </w:pPr>
    </w:lvl>
  </w:abstractNum>
  <w:abstractNum w:abstractNumId="15" w15:restartNumberingAfterBreak="0">
    <w:nsid w:val="3E32389A"/>
    <w:multiLevelType w:val="hybridMultilevel"/>
    <w:tmpl w:val="7B82A5C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3F042FD4"/>
    <w:multiLevelType w:val="hybridMultilevel"/>
    <w:tmpl w:val="D6703B60"/>
    <w:lvl w:ilvl="0" w:tplc="5F84B852">
      <w:start w:val="1"/>
      <w:numFmt w:val="lowerLetter"/>
      <w:lvlText w:val="(%1)"/>
      <w:lvlJc w:val="left"/>
      <w:pPr>
        <w:ind w:left="720" w:hanging="360"/>
      </w:pPr>
      <w:rPr>
        <w:rFonts w:hint="default"/>
        <w:b w:val="0"/>
        <w:i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2D524B2"/>
    <w:multiLevelType w:val="hybridMultilevel"/>
    <w:tmpl w:val="0B4E34B2"/>
    <w:lvl w:ilvl="0" w:tplc="1B224B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9D13E5"/>
    <w:multiLevelType w:val="hybridMultilevel"/>
    <w:tmpl w:val="5DE45D68"/>
    <w:lvl w:ilvl="0" w:tplc="EE2A406E">
      <w:start w:val="1"/>
      <w:numFmt w:val="bullet"/>
      <w:lvlText w:val=""/>
      <w:lvlJc w:val="left"/>
      <w:pPr>
        <w:ind w:left="720" w:hanging="360"/>
      </w:pPr>
      <w:rPr>
        <w:rFonts w:hint="default" w:ascii="Symbol" w:hAnsi="Symbol"/>
        <w:sz w:val="18"/>
        <w:szCs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6B068E7"/>
    <w:multiLevelType w:val="hybridMultilevel"/>
    <w:tmpl w:val="9B4656C4"/>
    <w:lvl w:ilvl="0" w:tplc="5F84B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90F34"/>
    <w:multiLevelType w:val="hybridMultilevel"/>
    <w:tmpl w:val="14380286"/>
    <w:lvl w:ilvl="0" w:tplc="0136A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1977D3"/>
    <w:multiLevelType w:val="hybridMultilevel"/>
    <w:tmpl w:val="71E279E8"/>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60FA8"/>
    <w:multiLevelType w:val="hybridMultilevel"/>
    <w:tmpl w:val="A956E8C6"/>
    <w:lvl w:ilvl="0" w:tplc="E654B3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D22CE2"/>
    <w:multiLevelType w:val="hybridMultilevel"/>
    <w:tmpl w:val="089C8DE0"/>
    <w:lvl w:ilvl="0" w:tplc="5F84B852">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0A82F8A"/>
    <w:multiLevelType w:val="hybridMultilevel"/>
    <w:tmpl w:val="238AB46C"/>
    <w:lvl w:ilvl="0" w:tplc="4D3425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C824EB"/>
    <w:multiLevelType w:val="hybridMultilevel"/>
    <w:tmpl w:val="E47E5740"/>
    <w:lvl w:ilvl="0" w:tplc="C624EFC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A6009E"/>
    <w:multiLevelType w:val="hybridMultilevel"/>
    <w:tmpl w:val="187EFE7E"/>
    <w:lvl w:ilvl="0" w:tplc="C7D24C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AE767A"/>
    <w:multiLevelType w:val="hybridMultilevel"/>
    <w:tmpl w:val="D93A2268"/>
    <w:lvl w:ilvl="0" w:tplc="FFFFFFFF">
      <w:start w:val="1"/>
      <w:numFmt w:val="decimal"/>
      <w:lvlText w:val="%1."/>
      <w:lvlJc w:val="left"/>
      <w:pPr>
        <w:tabs>
          <w:tab w:val="num" w:pos="2340"/>
        </w:tabs>
        <w:ind w:left="234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7C523B73"/>
    <w:multiLevelType w:val="hybridMultilevel"/>
    <w:tmpl w:val="D7B6E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0"/>
  </w:num>
  <w:num w:numId="4">
    <w:abstractNumId w:val="0"/>
  </w:num>
  <w:num w:numId="5">
    <w:abstractNumId w:val="12"/>
  </w:num>
  <w:num w:numId="6">
    <w:abstractNumId w:val="4"/>
  </w:num>
  <w:num w:numId="7">
    <w:abstractNumId w:val="11"/>
  </w:num>
  <w:num w:numId="8">
    <w:abstractNumId w:val="17"/>
  </w:num>
  <w:num w:numId="9">
    <w:abstractNumId w:val="24"/>
  </w:num>
  <w:num w:numId="10">
    <w:abstractNumId w:val="28"/>
  </w:num>
  <w:num w:numId="11">
    <w:abstractNumId w:val="22"/>
  </w:num>
  <w:num w:numId="12">
    <w:abstractNumId w:val="10"/>
  </w:num>
  <w:num w:numId="13">
    <w:abstractNumId w:val="25"/>
  </w:num>
  <w:num w:numId="14">
    <w:abstractNumId w:val="26"/>
  </w:num>
  <w:num w:numId="15">
    <w:abstractNumId w:val="15"/>
  </w:num>
  <w:num w:numId="16">
    <w:abstractNumId w:val="5"/>
  </w:num>
  <w:num w:numId="17">
    <w:abstractNumId w:val="18"/>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6"/>
  </w:num>
  <w:num w:numId="23">
    <w:abstractNumId w:val="2"/>
  </w:num>
  <w:num w:numId="24">
    <w:abstractNumId w:val="19"/>
  </w:num>
  <w:num w:numId="25">
    <w:abstractNumId w:val="16"/>
  </w:num>
  <w:num w:numId="26">
    <w:abstractNumId w:val="23"/>
  </w:num>
  <w:num w:numId="27">
    <w:abstractNumId w:val="9"/>
  </w:num>
  <w:num w:numId="28">
    <w:abstractNumId w:val="21"/>
  </w:num>
  <w:num w:numId="29">
    <w:abstractNumId w:val="1"/>
  </w:num>
  <w:num w:numId="30">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activeWritingStyle w:lang="fr-F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FC"/>
    <w:rsid w:val="000103F4"/>
    <w:rsid w:val="00011D9A"/>
    <w:rsid w:val="00022029"/>
    <w:rsid w:val="000238BC"/>
    <w:rsid w:val="00024CBD"/>
    <w:rsid w:val="00027ED2"/>
    <w:rsid w:val="00033029"/>
    <w:rsid w:val="000340A9"/>
    <w:rsid w:val="00035323"/>
    <w:rsid w:val="0003698B"/>
    <w:rsid w:val="00036FA6"/>
    <w:rsid w:val="00037C07"/>
    <w:rsid w:val="00037D46"/>
    <w:rsid w:val="0004145B"/>
    <w:rsid w:val="000438EA"/>
    <w:rsid w:val="00045A1E"/>
    <w:rsid w:val="00051643"/>
    <w:rsid w:val="0007487C"/>
    <w:rsid w:val="00076826"/>
    <w:rsid w:val="00082A18"/>
    <w:rsid w:val="00082E7C"/>
    <w:rsid w:val="000864F0"/>
    <w:rsid w:val="0008728B"/>
    <w:rsid w:val="00087452"/>
    <w:rsid w:val="00091F86"/>
    <w:rsid w:val="00092D15"/>
    <w:rsid w:val="00096FA2"/>
    <w:rsid w:val="000A0616"/>
    <w:rsid w:val="000A19F0"/>
    <w:rsid w:val="000A3980"/>
    <w:rsid w:val="000A5F33"/>
    <w:rsid w:val="000A6FB4"/>
    <w:rsid w:val="000B13C8"/>
    <w:rsid w:val="000B1B24"/>
    <w:rsid w:val="000B41F4"/>
    <w:rsid w:val="000B454B"/>
    <w:rsid w:val="000D5140"/>
    <w:rsid w:val="000D5EB7"/>
    <w:rsid w:val="000D66F4"/>
    <w:rsid w:val="000D6D66"/>
    <w:rsid w:val="000D7C14"/>
    <w:rsid w:val="000E4381"/>
    <w:rsid w:val="000E518E"/>
    <w:rsid w:val="000E7079"/>
    <w:rsid w:val="000F61C1"/>
    <w:rsid w:val="00103254"/>
    <w:rsid w:val="00103930"/>
    <w:rsid w:val="00103E9B"/>
    <w:rsid w:val="00111793"/>
    <w:rsid w:val="001133E8"/>
    <w:rsid w:val="00117C3A"/>
    <w:rsid w:val="00120CAC"/>
    <w:rsid w:val="00121624"/>
    <w:rsid w:val="00125776"/>
    <w:rsid w:val="001305E4"/>
    <w:rsid w:val="001320D8"/>
    <w:rsid w:val="00140E80"/>
    <w:rsid w:val="00152802"/>
    <w:rsid w:val="0015350F"/>
    <w:rsid w:val="00157B16"/>
    <w:rsid w:val="00157BB1"/>
    <w:rsid w:val="001706F8"/>
    <w:rsid w:val="00177ADB"/>
    <w:rsid w:val="00177B63"/>
    <w:rsid w:val="00177F75"/>
    <w:rsid w:val="0018033C"/>
    <w:rsid w:val="0019099A"/>
    <w:rsid w:val="00197334"/>
    <w:rsid w:val="001A0F90"/>
    <w:rsid w:val="001A1788"/>
    <w:rsid w:val="001A5A89"/>
    <w:rsid w:val="001B2F55"/>
    <w:rsid w:val="001B6069"/>
    <w:rsid w:val="001B6D2C"/>
    <w:rsid w:val="001B71E9"/>
    <w:rsid w:val="001B7657"/>
    <w:rsid w:val="001C5FE4"/>
    <w:rsid w:val="001D086D"/>
    <w:rsid w:val="001E14D4"/>
    <w:rsid w:val="001E208F"/>
    <w:rsid w:val="001F013F"/>
    <w:rsid w:val="001F4523"/>
    <w:rsid w:val="001F766B"/>
    <w:rsid w:val="002001E4"/>
    <w:rsid w:val="00204D46"/>
    <w:rsid w:val="002052FE"/>
    <w:rsid w:val="00210D37"/>
    <w:rsid w:val="0021305B"/>
    <w:rsid w:val="00213248"/>
    <w:rsid w:val="00214A7B"/>
    <w:rsid w:val="002156F0"/>
    <w:rsid w:val="002157C2"/>
    <w:rsid w:val="002168A7"/>
    <w:rsid w:val="00227098"/>
    <w:rsid w:val="00234708"/>
    <w:rsid w:val="002373A0"/>
    <w:rsid w:val="002437A4"/>
    <w:rsid w:val="00271985"/>
    <w:rsid w:val="00275971"/>
    <w:rsid w:val="00275D24"/>
    <w:rsid w:val="00277D21"/>
    <w:rsid w:val="00282B7C"/>
    <w:rsid w:val="00283818"/>
    <w:rsid w:val="00297F5E"/>
    <w:rsid w:val="002A67E7"/>
    <w:rsid w:val="002B2FAF"/>
    <w:rsid w:val="002B5EA9"/>
    <w:rsid w:val="002B5FC3"/>
    <w:rsid w:val="002C58CF"/>
    <w:rsid w:val="002D11D2"/>
    <w:rsid w:val="002D141B"/>
    <w:rsid w:val="002D2DCF"/>
    <w:rsid w:val="002D396D"/>
    <w:rsid w:val="002E0524"/>
    <w:rsid w:val="002E7999"/>
    <w:rsid w:val="002F5198"/>
    <w:rsid w:val="002F5EA3"/>
    <w:rsid w:val="002F5EE8"/>
    <w:rsid w:val="002F7610"/>
    <w:rsid w:val="00301867"/>
    <w:rsid w:val="00301AA9"/>
    <w:rsid w:val="00312CD1"/>
    <w:rsid w:val="00320830"/>
    <w:rsid w:val="00325107"/>
    <w:rsid w:val="00331661"/>
    <w:rsid w:val="003317C2"/>
    <w:rsid w:val="00343058"/>
    <w:rsid w:val="0034439C"/>
    <w:rsid w:val="00346864"/>
    <w:rsid w:val="003502A3"/>
    <w:rsid w:val="00357ED1"/>
    <w:rsid w:val="00360870"/>
    <w:rsid w:val="00363C17"/>
    <w:rsid w:val="003669C5"/>
    <w:rsid w:val="00377BE4"/>
    <w:rsid w:val="00382240"/>
    <w:rsid w:val="00386388"/>
    <w:rsid w:val="003865B1"/>
    <w:rsid w:val="003907C9"/>
    <w:rsid w:val="0039111B"/>
    <w:rsid w:val="00392D40"/>
    <w:rsid w:val="00395010"/>
    <w:rsid w:val="0039703A"/>
    <w:rsid w:val="0039756B"/>
    <w:rsid w:val="003A2721"/>
    <w:rsid w:val="003A2C84"/>
    <w:rsid w:val="003A7A52"/>
    <w:rsid w:val="003A7F57"/>
    <w:rsid w:val="003B284D"/>
    <w:rsid w:val="003B2FC8"/>
    <w:rsid w:val="003C1FD8"/>
    <w:rsid w:val="003D413B"/>
    <w:rsid w:val="003D551F"/>
    <w:rsid w:val="003D6586"/>
    <w:rsid w:val="003D7914"/>
    <w:rsid w:val="003E0284"/>
    <w:rsid w:val="003E0F9D"/>
    <w:rsid w:val="003E3654"/>
    <w:rsid w:val="003E3772"/>
    <w:rsid w:val="003E3BF8"/>
    <w:rsid w:val="003E504A"/>
    <w:rsid w:val="003F06B5"/>
    <w:rsid w:val="003F4647"/>
    <w:rsid w:val="003F6150"/>
    <w:rsid w:val="003F7992"/>
    <w:rsid w:val="0040428C"/>
    <w:rsid w:val="00404582"/>
    <w:rsid w:val="00407280"/>
    <w:rsid w:val="00410773"/>
    <w:rsid w:val="004120BB"/>
    <w:rsid w:val="0041319B"/>
    <w:rsid w:val="00416B4E"/>
    <w:rsid w:val="0042096A"/>
    <w:rsid w:val="00421502"/>
    <w:rsid w:val="004313A2"/>
    <w:rsid w:val="004367CB"/>
    <w:rsid w:val="00441A30"/>
    <w:rsid w:val="00444615"/>
    <w:rsid w:val="00456BD7"/>
    <w:rsid w:val="00487A9A"/>
    <w:rsid w:val="00492F1C"/>
    <w:rsid w:val="00494B55"/>
    <w:rsid w:val="00497E93"/>
    <w:rsid w:val="004A076E"/>
    <w:rsid w:val="004A55F5"/>
    <w:rsid w:val="004B2F4A"/>
    <w:rsid w:val="004B7776"/>
    <w:rsid w:val="004C5CA2"/>
    <w:rsid w:val="004C7D37"/>
    <w:rsid w:val="004D3127"/>
    <w:rsid w:val="004D53EE"/>
    <w:rsid w:val="004E0D07"/>
    <w:rsid w:val="004E3436"/>
    <w:rsid w:val="004E48B7"/>
    <w:rsid w:val="004E4C72"/>
    <w:rsid w:val="004E5751"/>
    <w:rsid w:val="004E6548"/>
    <w:rsid w:val="004E6A15"/>
    <w:rsid w:val="004E72CC"/>
    <w:rsid w:val="004E7998"/>
    <w:rsid w:val="004F296F"/>
    <w:rsid w:val="005018FC"/>
    <w:rsid w:val="00501F69"/>
    <w:rsid w:val="00502693"/>
    <w:rsid w:val="0052217C"/>
    <w:rsid w:val="00526D83"/>
    <w:rsid w:val="00531F87"/>
    <w:rsid w:val="0053646C"/>
    <w:rsid w:val="00536511"/>
    <w:rsid w:val="005401C8"/>
    <w:rsid w:val="00545381"/>
    <w:rsid w:val="00545C6D"/>
    <w:rsid w:val="00545F4D"/>
    <w:rsid w:val="005537DE"/>
    <w:rsid w:val="00554649"/>
    <w:rsid w:val="005602D9"/>
    <w:rsid w:val="005678B3"/>
    <w:rsid w:val="0057499A"/>
    <w:rsid w:val="00575EDB"/>
    <w:rsid w:val="00577684"/>
    <w:rsid w:val="00577B6C"/>
    <w:rsid w:val="00581B76"/>
    <w:rsid w:val="00585EE6"/>
    <w:rsid w:val="005862A4"/>
    <w:rsid w:val="00592666"/>
    <w:rsid w:val="005A1E3E"/>
    <w:rsid w:val="005A57A9"/>
    <w:rsid w:val="005A6230"/>
    <w:rsid w:val="005B2005"/>
    <w:rsid w:val="005B239E"/>
    <w:rsid w:val="005B6B42"/>
    <w:rsid w:val="005B70DA"/>
    <w:rsid w:val="005C1A3D"/>
    <w:rsid w:val="005C2911"/>
    <w:rsid w:val="005C2C01"/>
    <w:rsid w:val="005C4D39"/>
    <w:rsid w:val="005C626F"/>
    <w:rsid w:val="005D7D4C"/>
    <w:rsid w:val="005E6103"/>
    <w:rsid w:val="005F6A43"/>
    <w:rsid w:val="005F6A7E"/>
    <w:rsid w:val="005F71DF"/>
    <w:rsid w:val="006004FF"/>
    <w:rsid w:val="00604205"/>
    <w:rsid w:val="006053F1"/>
    <w:rsid w:val="00605A5B"/>
    <w:rsid w:val="006107A9"/>
    <w:rsid w:val="00614A20"/>
    <w:rsid w:val="0061533D"/>
    <w:rsid w:val="006176A3"/>
    <w:rsid w:val="00627785"/>
    <w:rsid w:val="00634D4B"/>
    <w:rsid w:val="00636B09"/>
    <w:rsid w:val="00642CEA"/>
    <w:rsid w:val="0064646F"/>
    <w:rsid w:val="00647FEA"/>
    <w:rsid w:val="00656B7E"/>
    <w:rsid w:val="006628E2"/>
    <w:rsid w:val="0066647C"/>
    <w:rsid w:val="00683DBA"/>
    <w:rsid w:val="00684B38"/>
    <w:rsid w:val="006A4AE2"/>
    <w:rsid w:val="006B2618"/>
    <w:rsid w:val="006B2E1E"/>
    <w:rsid w:val="006B43DD"/>
    <w:rsid w:val="006B44C4"/>
    <w:rsid w:val="006B6737"/>
    <w:rsid w:val="006C0E68"/>
    <w:rsid w:val="006C31FA"/>
    <w:rsid w:val="006C5135"/>
    <w:rsid w:val="006D0112"/>
    <w:rsid w:val="006D05C7"/>
    <w:rsid w:val="006D1C0C"/>
    <w:rsid w:val="006D7655"/>
    <w:rsid w:val="006E0E0B"/>
    <w:rsid w:val="006E1457"/>
    <w:rsid w:val="006E2BDA"/>
    <w:rsid w:val="006E3698"/>
    <w:rsid w:val="006E7D44"/>
    <w:rsid w:val="006F1C36"/>
    <w:rsid w:val="006F308D"/>
    <w:rsid w:val="006F3465"/>
    <w:rsid w:val="006F6C11"/>
    <w:rsid w:val="007014D1"/>
    <w:rsid w:val="0070768E"/>
    <w:rsid w:val="007102F9"/>
    <w:rsid w:val="007154A8"/>
    <w:rsid w:val="007203C7"/>
    <w:rsid w:val="00723FEC"/>
    <w:rsid w:val="00725222"/>
    <w:rsid w:val="0073030F"/>
    <w:rsid w:val="0073081A"/>
    <w:rsid w:val="00733745"/>
    <w:rsid w:val="00735993"/>
    <w:rsid w:val="007359DC"/>
    <w:rsid w:val="007446F9"/>
    <w:rsid w:val="00745302"/>
    <w:rsid w:val="00757010"/>
    <w:rsid w:val="007632DB"/>
    <w:rsid w:val="00771E9B"/>
    <w:rsid w:val="007765F8"/>
    <w:rsid w:val="00782BB3"/>
    <w:rsid w:val="0078506E"/>
    <w:rsid w:val="0078517A"/>
    <w:rsid w:val="00791ADB"/>
    <w:rsid w:val="00792389"/>
    <w:rsid w:val="007930EE"/>
    <w:rsid w:val="007954D6"/>
    <w:rsid w:val="00797092"/>
    <w:rsid w:val="007A24A2"/>
    <w:rsid w:val="007A3789"/>
    <w:rsid w:val="007A6BB4"/>
    <w:rsid w:val="007B2F9B"/>
    <w:rsid w:val="007B7CC6"/>
    <w:rsid w:val="007C5100"/>
    <w:rsid w:val="007C7290"/>
    <w:rsid w:val="007C7F2F"/>
    <w:rsid w:val="007D5757"/>
    <w:rsid w:val="007D5D63"/>
    <w:rsid w:val="007E45B9"/>
    <w:rsid w:val="007E672C"/>
    <w:rsid w:val="007F21C2"/>
    <w:rsid w:val="008005C2"/>
    <w:rsid w:val="00801F51"/>
    <w:rsid w:val="0080208B"/>
    <w:rsid w:val="00803D34"/>
    <w:rsid w:val="008047D0"/>
    <w:rsid w:val="00814E6B"/>
    <w:rsid w:val="00815C3A"/>
    <w:rsid w:val="00822538"/>
    <w:rsid w:val="00825A48"/>
    <w:rsid w:val="008266F4"/>
    <w:rsid w:val="00827BBF"/>
    <w:rsid w:val="00831B76"/>
    <w:rsid w:val="0083519C"/>
    <w:rsid w:val="00836334"/>
    <w:rsid w:val="00841D4F"/>
    <w:rsid w:val="00846529"/>
    <w:rsid w:val="0085070E"/>
    <w:rsid w:val="008514A6"/>
    <w:rsid w:val="008519A9"/>
    <w:rsid w:val="00855909"/>
    <w:rsid w:val="00857E12"/>
    <w:rsid w:val="008627B4"/>
    <w:rsid w:val="008632D2"/>
    <w:rsid w:val="00864B97"/>
    <w:rsid w:val="00866D1C"/>
    <w:rsid w:val="00867D7F"/>
    <w:rsid w:val="0087338C"/>
    <w:rsid w:val="0087406C"/>
    <w:rsid w:val="008747AA"/>
    <w:rsid w:val="0088461D"/>
    <w:rsid w:val="00884ECB"/>
    <w:rsid w:val="008900A2"/>
    <w:rsid w:val="00894254"/>
    <w:rsid w:val="008964C7"/>
    <w:rsid w:val="00897980"/>
    <w:rsid w:val="008A67CA"/>
    <w:rsid w:val="008B0F66"/>
    <w:rsid w:val="008B177E"/>
    <w:rsid w:val="008B6A41"/>
    <w:rsid w:val="008B7DD0"/>
    <w:rsid w:val="008C192D"/>
    <w:rsid w:val="008D2859"/>
    <w:rsid w:val="008E0D78"/>
    <w:rsid w:val="008E4AF9"/>
    <w:rsid w:val="008F030F"/>
    <w:rsid w:val="008F0408"/>
    <w:rsid w:val="008F2D9E"/>
    <w:rsid w:val="008F51BF"/>
    <w:rsid w:val="0090496F"/>
    <w:rsid w:val="00910936"/>
    <w:rsid w:val="00912959"/>
    <w:rsid w:val="0092459E"/>
    <w:rsid w:val="009270E7"/>
    <w:rsid w:val="00941BC3"/>
    <w:rsid w:val="009447B4"/>
    <w:rsid w:val="009464D6"/>
    <w:rsid w:val="00947E17"/>
    <w:rsid w:val="00950F10"/>
    <w:rsid w:val="00951CBA"/>
    <w:rsid w:val="00951F8B"/>
    <w:rsid w:val="0096199C"/>
    <w:rsid w:val="00961A71"/>
    <w:rsid w:val="00964E9F"/>
    <w:rsid w:val="009672DE"/>
    <w:rsid w:val="0096730A"/>
    <w:rsid w:val="00975DB5"/>
    <w:rsid w:val="00986A56"/>
    <w:rsid w:val="00991B4D"/>
    <w:rsid w:val="00994BD5"/>
    <w:rsid w:val="00995B35"/>
    <w:rsid w:val="009A6802"/>
    <w:rsid w:val="009B650A"/>
    <w:rsid w:val="009B7C96"/>
    <w:rsid w:val="009C1EC4"/>
    <w:rsid w:val="009D555A"/>
    <w:rsid w:val="009D6A72"/>
    <w:rsid w:val="009E0DEE"/>
    <w:rsid w:val="009E1A0E"/>
    <w:rsid w:val="009E5363"/>
    <w:rsid w:val="009F2331"/>
    <w:rsid w:val="009F6262"/>
    <w:rsid w:val="009F680E"/>
    <w:rsid w:val="009F6D0C"/>
    <w:rsid w:val="00A00A1F"/>
    <w:rsid w:val="00A01AC7"/>
    <w:rsid w:val="00A05C3C"/>
    <w:rsid w:val="00A06546"/>
    <w:rsid w:val="00A11611"/>
    <w:rsid w:val="00A150F3"/>
    <w:rsid w:val="00A17465"/>
    <w:rsid w:val="00A17608"/>
    <w:rsid w:val="00A17954"/>
    <w:rsid w:val="00A20CC3"/>
    <w:rsid w:val="00A32D00"/>
    <w:rsid w:val="00A35025"/>
    <w:rsid w:val="00A3678B"/>
    <w:rsid w:val="00A376A7"/>
    <w:rsid w:val="00A4033C"/>
    <w:rsid w:val="00A6012C"/>
    <w:rsid w:val="00A61BE3"/>
    <w:rsid w:val="00A6356B"/>
    <w:rsid w:val="00A64BE1"/>
    <w:rsid w:val="00A7299F"/>
    <w:rsid w:val="00A73A50"/>
    <w:rsid w:val="00A91172"/>
    <w:rsid w:val="00A923E9"/>
    <w:rsid w:val="00A92EC1"/>
    <w:rsid w:val="00A9400C"/>
    <w:rsid w:val="00A971BF"/>
    <w:rsid w:val="00A972BB"/>
    <w:rsid w:val="00AA289B"/>
    <w:rsid w:val="00AA2BE2"/>
    <w:rsid w:val="00AA66C8"/>
    <w:rsid w:val="00AA675F"/>
    <w:rsid w:val="00AA68D9"/>
    <w:rsid w:val="00AA7AF3"/>
    <w:rsid w:val="00AB4B2D"/>
    <w:rsid w:val="00AB6040"/>
    <w:rsid w:val="00AB6661"/>
    <w:rsid w:val="00AC12AD"/>
    <w:rsid w:val="00AC149C"/>
    <w:rsid w:val="00AC51D8"/>
    <w:rsid w:val="00AC7E2D"/>
    <w:rsid w:val="00AD638C"/>
    <w:rsid w:val="00AE135D"/>
    <w:rsid w:val="00AE27FA"/>
    <w:rsid w:val="00AF36CE"/>
    <w:rsid w:val="00B0090C"/>
    <w:rsid w:val="00B00FDA"/>
    <w:rsid w:val="00B2000F"/>
    <w:rsid w:val="00B216A6"/>
    <w:rsid w:val="00B231DC"/>
    <w:rsid w:val="00B37F58"/>
    <w:rsid w:val="00B42381"/>
    <w:rsid w:val="00B45C12"/>
    <w:rsid w:val="00B469F0"/>
    <w:rsid w:val="00B477AC"/>
    <w:rsid w:val="00B52BFB"/>
    <w:rsid w:val="00B61AC0"/>
    <w:rsid w:val="00B62164"/>
    <w:rsid w:val="00B62524"/>
    <w:rsid w:val="00B63219"/>
    <w:rsid w:val="00B6673B"/>
    <w:rsid w:val="00B6716E"/>
    <w:rsid w:val="00B72348"/>
    <w:rsid w:val="00B7399F"/>
    <w:rsid w:val="00B94E8F"/>
    <w:rsid w:val="00B96FF1"/>
    <w:rsid w:val="00BA1CA1"/>
    <w:rsid w:val="00BA2B6A"/>
    <w:rsid w:val="00BA462C"/>
    <w:rsid w:val="00BA5210"/>
    <w:rsid w:val="00BB0AFE"/>
    <w:rsid w:val="00BB23E0"/>
    <w:rsid w:val="00BB348A"/>
    <w:rsid w:val="00BB4A54"/>
    <w:rsid w:val="00BD11FE"/>
    <w:rsid w:val="00BD2BF6"/>
    <w:rsid w:val="00BD3F4F"/>
    <w:rsid w:val="00BE1E5F"/>
    <w:rsid w:val="00BE6551"/>
    <w:rsid w:val="00BE6CFC"/>
    <w:rsid w:val="00C01B34"/>
    <w:rsid w:val="00C01C98"/>
    <w:rsid w:val="00C03A57"/>
    <w:rsid w:val="00C04209"/>
    <w:rsid w:val="00C05327"/>
    <w:rsid w:val="00C0680D"/>
    <w:rsid w:val="00C120CC"/>
    <w:rsid w:val="00C129D1"/>
    <w:rsid w:val="00C15B4C"/>
    <w:rsid w:val="00C16B57"/>
    <w:rsid w:val="00C16BA9"/>
    <w:rsid w:val="00C24CA1"/>
    <w:rsid w:val="00C25A94"/>
    <w:rsid w:val="00C3045A"/>
    <w:rsid w:val="00C348C9"/>
    <w:rsid w:val="00C40C6B"/>
    <w:rsid w:val="00C524F2"/>
    <w:rsid w:val="00C5503B"/>
    <w:rsid w:val="00C60F15"/>
    <w:rsid w:val="00C61824"/>
    <w:rsid w:val="00C61D23"/>
    <w:rsid w:val="00C62597"/>
    <w:rsid w:val="00C66159"/>
    <w:rsid w:val="00C67DA3"/>
    <w:rsid w:val="00C72727"/>
    <w:rsid w:val="00C7730F"/>
    <w:rsid w:val="00C81C9F"/>
    <w:rsid w:val="00C827F0"/>
    <w:rsid w:val="00C960D7"/>
    <w:rsid w:val="00CA4778"/>
    <w:rsid w:val="00CA7814"/>
    <w:rsid w:val="00CA7EC5"/>
    <w:rsid w:val="00CB062E"/>
    <w:rsid w:val="00CB12C2"/>
    <w:rsid w:val="00CB38B3"/>
    <w:rsid w:val="00CB3CFC"/>
    <w:rsid w:val="00CB6F35"/>
    <w:rsid w:val="00CC138C"/>
    <w:rsid w:val="00CC5BE3"/>
    <w:rsid w:val="00CD05C1"/>
    <w:rsid w:val="00CD1D47"/>
    <w:rsid w:val="00CD30FD"/>
    <w:rsid w:val="00CD36F7"/>
    <w:rsid w:val="00CD38F0"/>
    <w:rsid w:val="00CD3C7E"/>
    <w:rsid w:val="00CD73FA"/>
    <w:rsid w:val="00CE240E"/>
    <w:rsid w:val="00CE3282"/>
    <w:rsid w:val="00CF392A"/>
    <w:rsid w:val="00CF3B73"/>
    <w:rsid w:val="00D0061B"/>
    <w:rsid w:val="00D0384F"/>
    <w:rsid w:val="00D1499D"/>
    <w:rsid w:val="00D151C3"/>
    <w:rsid w:val="00D17106"/>
    <w:rsid w:val="00D2201C"/>
    <w:rsid w:val="00D2334B"/>
    <w:rsid w:val="00D35E94"/>
    <w:rsid w:val="00D513D3"/>
    <w:rsid w:val="00D54487"/>
    <w:rsid w:val="00D73BA6"/>
    <w:rsid w:val="00D771B3"/>
    <w:rsid w:val="00D773D4"/>
    <w:rsid w:val="00D85B7E"/>
    <w:rsid w:val="00D95091"/>
    <w:rsid w:val="00DA1C50"/>
    <w:rsid w:val="00DC16E5"/>
    <w:rsid w:val="00DC335A"/>
    <w:rsid w:val="00DC3669"/>
    <w:rsid w:val="00DC3BC3"/>
    <w:rsid w:val="00DD1C30"/>
    <w:rsid w:val="00DD41CB"/>
    <w:rsid w:val="00DD7218"/>
    <w:rsid w:val="00DF475F"/>
    <w:rsid w:val="00DF596C"/>
    <w:rsid w:val="00E000FB"/>
    <w:rsid w:val="00E02E2D"/>
    <w:rsid w:val="00E106CD"/>
    <w:rsid w:val="00E109C3"/>
    <w:rsid w:val="00E13709"/>
    <w:rsid w:val="00E32D9B"/>
    <w:rsid w:val="00E33083"/>
    <w:rsid w:val="00E34291"/>
    <w:rsid w:val="00E443A9"/>
    <w:rsid w:val="00E464E4"/>
    <w:rsid w:val="00E46C83"/>
    <w:rsid w:val="00E55338"/>
    <w:rsid w:val="00E5793B"/>
    <w:rsid w:val="00E64D04"/>
    <w:rsid w:val="00E7223C"/>
    <w:rsid w:val="00E73249"/>
    <w:rsid w:val="00E73B2B"/>
    <w:rsid w:val="00E76936"/>
    <w:rsid w:val="00E8174C"/>
    <w:rsid w:val="00E81CA5"/>
    <w:rsid w:val="00E85A72"/>
    <w:rsid w:val="00E86129"/>
    <w:rsid w:val="00E87123"/>
    <w:rsid w:val="00E92370"/>
    <w:rsid w:val="00E96655"/>
    <w:rsid w:val="00E9679E"/>
    <w:rsid w:val="00EA7BD3"/>
    <w:rsid w:val="00EB1B23"/>
    <w:rsid w:val="00EC0759"/>
    <w:rsid w:val="00EC2735"/>
    <w:rsid w:val="00EC6495"/>
    <w:rsid w:val="00EE371E"/>
    <w:rsid w:val="00EF40EE"/>
    <w:rsid w:val="00EF4EE6"/>
    <w:rsid w:val="00EF702C"/>
    <w:rsid w:val="00EF74FA"/>
    <w:rsid w:val="00F00A41"/>
    <w:rsid w:val="00F02E53"/>
    <w:rsid w:val="00F03AAF"/>
    <w:rsid w:val="00F072AA"/>
    <w:rsid w:val="00F07C8B"/>
    <w:rsid w:val="00F203B4"/>
    <w:rsid w:val="00F20C92"/>
    <w:rsid w:val="00F24B61"/>
    <w:rsid w:val="00F33B98"/>
    <w:rsid w:val="00F44CC4"/>
    <w:rsid w:val="00F450DC"/>
    <w:rsid w:val="00F45CD4"/>
    <w:rsid w:val="00F46937"/>
    <w:rsid w:val="00F51917"/>
    <w:rsid w:val="00F54E2F"/>
    <w:rsid w:val="00F57203"/>
    <w:rsid w:val="00F709BA"/>
    <w:rsid w:val="00F75B47"/>
    <w:rsid w:val="00F77CE8"/>
    <w:rsid w:val="00F80B29"/>
    <w:rsid w:val="00F8108D"/>
    <w:rsid w:val="00F93B1C"/>
    <w:rsid w:val="00F93C40"/>
    <w:rsid w:val="00F97A2C"/>
    <w:rsid w:val="00FA23F1"/>
    <w:rsid w:val="00FA55AF"/>
    <w:rsid w:val="00FB4193"/>
    <w:rsid w:val="00FB48A6"/>
    <w:rsid w:val="00FB48DB"/>
    <w:rsid w:val="00FB63F3"/>
    <w:rsid w:val="00FB6D32"/>
    <w:rsid w:val="00FB79F2"/>
    <w:rsid w:val="00FC7C76"/>
    <w:rsid w:val="00FD7912"/>
    <w:rsid w:val="00FF4276"/>
    <w:rsid w:val="0ED54F59"/>
    <w:rsid w:val="153662EF"/>
    <w:rsid w:val="1BCD703F"/>
    <w:rsid w:val="1F967CE5"/>
    <w:rsid w:val="318DFF6E"/>
    <w:rsid w:val="3D916901"/>
    <w:rsid w:val="67FBAE73"/>
    <w:rsid w:val="72BE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49"/>
    <o:shapelayout v:ext="edit">
      <o:idmap v:ext="edit" data="1"/>
    </o:shapelayout>
  </w:shapeDefaults>
  <w:decimalSymbol w:val="."/>
  <w:listSeparator w:val=","/>
  <w14:docId w14:val="690C2084"/>
  <w15:chartTrackingRefBased/>
  <w15:docId w15:val="{03F8418F-12DC-4524-B7EA-5B3A30C7F1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B5EA9"/>
    <w:rPr>
      <w:rFonts w:eastAsia="SimSun"/>
      <w:lang w:val="en-GB" w:eastAsia="zh-CN"/>
    </w:rPr>
  </w:style>
  <w:style w:type="paragraph" w:styleId="Heading1">
    <w:name w:val="heading 1"/>
    <w:basedOn w:val="Normal"/>
    <w:next w:val="Normal"/>
    <w:qFormat/>
    <w:rsid w:val="00DF596C"/>
    <w:pPr>
      <w:keepNext/>
      <w:outlineLvl w:val="0"/>
    </w:pPr>
    <w:rPr>
      <w:rFonts w:eastAsia="Times New Roman"/>
      <w:sz w:val="24"/>
      <w:u w:val="single"/>
      <w:lang w:eastAsia="en-US"/>
    </w:rPr>
  </w:style>
  <w:style w:type="paragraph" w:styleId="Heading2">
    <w:name w:val="heading 2"/>
    <w:basedOn w:val="Normal"/>
    <w:next w:val="Normal"/>
    <w:link w:val="Heading2Char"/>
    <w:unhideWhenUsed/>
    <w:qFormat/>
    <w:rsid w:val="000B454B"/>
    <w:pPr>
      <w:keepNext/>
      <w:spacing w:before="240" w:after="60"/>
      <w:outlineLvl w:val="1"/>
    </w:pPr>
    <w:rPr>
      <w:rFonts w:ascii="Cambria" w:hAnsi="Cambria" w:eastAsia="Times New Roman"/>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117C3A"/>
    <w:pPr>
      <w:tabs>
        <w:tab w:val="center" w:pos="4320"/>
        <w:tab w:val="right" w:pos="8640"/>
      </w:tabs>
    </w:pPr>
  </w:style>
  <w:style w:type="paragraph" w:styleId="Footer">
    <w:name w:val="footer"/>
    <w:basedOn w:val="Normal"/>
    <w:rsid w:val="00117C3A"/>
    <w:pPr>
      <w:tabs>
        <w:tab w:val="center" w:pos="4320"/>
        <w:tab w:val="right" w:pos="8640"/>
      </w:tabs>
    </w:pPr>
  </w:style>
  <w:style w:type="table" w:styleId="TableGrid">
    <w:name w:val="Table Grid"/>
    <w:basedOn w:val="TableNormal"/>
    <w:uiPriority w:val="59"/>
    <w:rsid w:val="00117C3A"/>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117C3A"/>
    <w:rPr>
      <w:color w:val="0000FF"/>
      <w:u w:val="single"/>
    </w:rPr>
  </w:style>
  <w:style w:type="paragraph" w:styleId="DocumentMap">
    <w:name w:val="Document Map"/>
    <w:basedOn w:val="Normal"/>
    <w:semiHidden/>
    <w:rsid w:val="00745302"/>
    <w:pPr>
      <w:shd w:val="clear" w:color="auto" w:fill="000080"/>
    </w:pPr>
    <w:rPr>
      <w:rFonts w:ascii="Tahoma" w:hAnsi="Tahoma" w:cs="Tahoma"/>
    </w:rPr>
  </w:style>
  <w:style w:type="character" w:styleId="PageNumber">
    <w:name w:val="page number"/>
    <w:basedOn w:val="DefaultParagraphFont"/>
    <w:rsid w:val="001A0F90"/>
  </w:style>
  <w:style w:type="paragraph" w:styleId="FootnoteText">
    <w:name w:val="footnote text"/>
    <w:aliases w:val="Geneva 9,Font: Geneva 9,Boston 10,f,93,single space,Footnote Text Rail EIS,ft,Char,footnote3,Footnotes,Footnote ak,fn cafc,Footnotes Char Char,Footnote Text Char Char,fn Char Char,footnote text,footnote text Char Char Char Ch"/>
    <w:basedOn w:val="Normal"/>
    <w:link w:val="FootnoteTextChar"/>
    <w:rsid w:val="00BE6CFC"/>
  </w:style>
  <w:style w:type="character" w:styleId="FootnoteReference">
    <w:name w:val="footnote reference"/>
    <w:aliases w:val="16 Point,Superscript 6 Point,ftref,(Ref. de nota al pie),number,SUPERS,Footnote Reference Superscript"/>
    <w:semiHidden/>
    <w:rsid w:val="00BE6CFC"/>
    <w:rPr>
      <w:vertAlign w:val="superscript"/>
    </w:rPr>
  </w:style>
  <w:style w:type="character" w:styleId="Strong">
    <w:name w:val="Strong"/>
    <w:qFormat/>
    <w:rsid w:val="00E13709"/>
    <w:rPr>
      <w:b/>
      <w:bCs/>
    </w:rPr>
  </w:style>
  <w:style w:type="paragraph" w:styleId="BalloonText">
    <w:name w:val="Balloon Text"/>
    <w:basedOn w:val="Normal"/>
    <w:semiHidden/>
    <w:rsid w:val="001B71E9"/>
    <w:rPr>
      <w:rFonts w:ascii="Tahoma" w:hAnsi="Tahoma" w:cs="Tahoma"/>
      <w:sz w:val="16"/>
      <w:szCs w:val="16"/>
    </w:rPr>
  </w:style>
  <w:style w:type="paragraph" w:styleId="BodyTextIndent2">
    <w:name w:val="Body Text Indent 2"/>
    <w:basedOn w:val="Normal"/>
    <w:link w:val="BodyTextIndent2Char"/>
    <w:rsid w:val="00EC6495"/>
    <w:pPr>
      <w:ind w:firstLine="680"/>
    </w:pPr>
    <w:rPr>
      <w:rFonts w:eastAsia="Times New Roman"/>
      <w:sz w:val="22"/>
      <w:lang w:eastAsia="en-US"/>
    </w:rPr>
  </w:style>
  <w:style w:type="character" w:styleId="BodyTextIndent2Char" w:customStyle="1">
    <w:name w:val="Body Text Indent 2 Char"/>
    <w:link w:val="BodyTextIndent2"/>
    <w:rsid w:val="00EC6495"/>
    <w:rPr>
      <w:sz w:val="22"/>
      <w:lang w:val="en-GB"/>
    </w:rPr>
  </w:style>
  <w:style w:type="character" w:styleId="CommentReference">
    <w:name w:val="annotation reference"/>
    <w:rsid w:val="001A5A89"/>
    <w:rPr>
      <w:sz w:val="16"/>
      <w:szCs w:val="16"/>
    </w:rPr>
  </w:style>
  <w:style w:type="paragraph" w:styleId="CommentText">
    <w:name w:val="annotation text"/>
    <w:basedOn w:val="Normal"/>
    <w:link w:val="CommentTextChar"/>
    <w:rsid w:val="001A5A89"/>
  </w:style>
  <w:style w:type="character" w:styleId="CommentTextChar" w:customStyle="1">
    <w:name w:val="Comment Text Char"/>
    <w:link w:val="CommentText"/>
    <w:rsid w:val="001A5A89"/>
    <w:rPr>
      <w:rFonts w:eastAsia="SimSun"/>
      <w:lang w:val="en-GB" w:eastAsia="zh-CN"/>
    </w:rPr>
  </w:style>
  <w:style w:type="paragraph" w:styleId="CommentSubject">
    <w:name w:val="annotation subject"/>
    <w:basedOn w:val="CommentText"/>
    <w:next w:val="CommentText"/>
    <w:link w:val="CommentSubjectChar"/>
    <w:rsid w:val="001A5A89"/>
    <w:rPr>
      <w:b/>
      <w:bCs/>
    </w:rPr>
  </w:style>
  <w:style w:type="character" w:styleId="CommentSubjectChar" w:customStyle="1">
    <w:name w:val="Comment Subject Char"/>
    <w:link w:val="CommentSubject"/>
    <w:rsid w:val="001A5A89"/>
    <w:rPr>
      <w:rFonts w:eastAsia="SimSun"/>
      <w:b/>
      <w:bCs/>
      <w:lang w:val="en-GB" w:eastAsia="zh-CN"/>
    </w:rPr>
  </w:style>
  <w:style w:type="character" w:styleId="Heading2Char" w:customStyle="1">
    <w:name w:val="Heading 2 Char"/>
    <w:link w:val="Heading2"/>
    <w:rsid w:val="000B454B"/>
    <w:rPr>
      <w:rFonts w:ascii="Cambria" w:hAnsi="Cambria"/>
      <w:b/>
      <w:bCs/>
      <w:i/>
      <w:iCs/>
      <w:sz w:val="28"/>
      <w:szCs w:val="28"/>
      <w:lang w:eastAsia="zh-CN"/>
    </w:rPr>
  </w:style>
  <w:style w:type="character" w:styleId="a" w:customStyle="1">
    <w:name w:val="_"/>
    <w:rsid w:val="000B454B"/>
    <w:rPr>
      <w:sz w:val="20"/>
      <w:szCs w:val="20"/>
    </w:rPr>
  </w:style>
  <w:style w:type="paragraph" w:styleId="Revision">
    <w:name w:val="Revision"/>
    <w:hidden/>
    <w:uiPriority w:val="99"/>
    <w:semiHidden/>
    <w:rsid w:val="004C7D37"/>
    <w:rPr>
      <w:rFonts w:eastAsia="SimSun"/>
      <w:lang w:val="en-GB" w:eastAsia="zh-CN"/>
    </w:rPr>
  </w:style>
  <w:style w:type="character" w:styleId="FootnoteTextChar" w:customStyle="1">
    <w:name w:val="Footnote Text Char"/>
    <w:aliases w:val="Geneva 9 Char,Font: Geneva 9 Char,Boston 10 Char,f Char,93 Char,single space Char,Footnote Text Rail EIS Char,ft Char,Char Char,footnote3 Char,Footnotes Char,Footnote ak Char,fn cafc Char,Footnotes Char Char Char,fn Char Char Char"/>
    <w:link w:val="FootnoteText"/>
    <w:rsid w:val="009F6262"/>
    <w:rPr>
      <w:rFonts w:eastAsia="SimSun"/>
      <w:lang w:eastAsia="zh-CN"/>
    </w:rPr>
  </w:style>
  <w:style w:type="paragraph" w:styleId="Normal-pool" w:customStyle="1">
    <w:name w:val="Normal-pool"/>
    <w:link w:val="Normal-poolChar"/>
    <w:rsid w:val="00037C07"/>
    <w:pPr>
      <w:tabs>
        <w:tab w:val="left" w:pos="1247"/>
        <w:tab w:val="left" w:pos="1814"/>
        <w:tab w:val="left" w:pos="2381"/>
        <w:tab w:val="left" w:pos="2948"/>
        <w:tab w:val="left" w:pos="3515"/>
        <w:tab w:val="left" w:pos="4082"/>
      </w:tabs>
    </w:pPr>
    <w:rPr>
      <w:lang w:val="en-GB" w:eastAsia="en-US"/>
    </w:rPr>
  </w:style>
  <w:style w:type="paragraph" w:styleId="ZZAnxtitle" w:customStyle="1">
    <w:name w:val="ZZ_Anx_title"/>
    <w:basedOn w:val="Normal"/>
    <w:uiPriority w:val="99"/>
    <w:rsid w:val="00037C07"/>
    <w:pPr>
      <w:tabs>
        <w:tab w:val="left" w:pos="1247"/>
        <w:tab w:val="left" w:pos="1814"/>
        <w:tab w:val="left" w:pos="2381"/>
        <w:tab w:val="left" w:pos="2948"/>
        <w:tab w:val="left" w:pos="3515"/>
        <w:tab w:val="left" w:pos="4082"/>
      </w:tabs>
      <w:spacing w:before="360" w:after="120"/>
      <w:ind w:left="1247"/>
    </w:pPr>
    <w:rPr>
      <w:rFonts w:eastAsia="Times New Roman"/>
      <w:b/>
      <w:bCs/>
      <w:sz w:val="28"/>
      <w:szCs w:val="26"/>
      <w:lang w:eastAsia="en-US"/>
    </w:rPr>
  </w:style>
  <w:style w:type="paragraph" w:styleId="main" w:customStyle="1">
    <w:name w:val="main"/>
    <w:basedOn w:val="Normal"/>
    <w:autoRedefine/>
    <w:rsid w:val="003E3772"/>
    <w:pPr>
      <w:keepNext/>
    </w:pPr>
    <w:rPr>
      <w:rFonts w:eastAsia="MS Mincho"/>
      <w:b/>
      <w:lang w:eastAsia="en-US"/>
    </w:rPr>
  </w:style>
  <w:style w:type="paragraph" w:styleId="Paralevel1" w:customStyle="1">
    <w:name w:val="Para level1"/>
    <w:basedOn w:val="Normal"/>
    <w:link w:val="Paralevel1Char"/>
    <w:autoRedefine/>
    <w:rsid w:val="003E3772"/>
    <w:pPr>
      <w:suppressAutoHyphens/>
      <w:spacing w:after="120"/>
      <w:ind w:left="1247"/>
    </w:pPr>
    <w:rPr>
      <w:rFonts w:eastAsia="Times New Roman"/>
      <w:lang w:eastAsia="en-US"/>
    </w:rPr>
  </w:style>
  <w:style w:type="character" w:styleId="Paralevel1Char" w:customStyle="1">
    <w:name w:val="Para level1 Char"/>
    <w:link w:val="Paralevel1"/>
    <w:rsid w:val="003E3772"/>
    <w:rPr>
      <w:lang w:val="en-GB" w:eastAsia="en-US"/>
    </w:rPr>
  </w:style>
  <w:style w:type="paragraph" w:styleId="Paralevel2" w:customStyle="1">
    <w:name w:val="Para level2"/>
    <w:basedOn w:val="Paralevel1"/>
    <w:link w:val="Paralevel2Char"/>
    <w:autoRedefine/>
    <w:rsid w:val="003E3772"/>
    <w:pPr>
      <w:ind w:firstLine="624"/>
    </w:pPr>
  </w:style>
  <w:style w:type="character" w:styleId="Paralevel2Char" w:customStyle="1">
    <w:name w:val="Para level2 Char"/>
    <w:basedOn w:val="Paralevel1Char"/>
    <w:link w:val="Paralevel2"/>
    <w:rsid w:val="003E3772"/>
    <w:rPr>
      <w:lang w:val="en-GB" w:eastAsia="en-US"/>
    </w:rPr>
  </w:style>
  <w:style w:type="paragraph" w:styleId="CH1" w:customStyle="1">
    <w:name w:val="CH1"/>
    <w:basedOn w:val="Heading2"/>
    <w:next w:val="BalloonText"/>
    <w:autoRedefine/>
    <w:rsid w:val="006C0E68"/>
    <w:pPr>
      <w:keepNext w:val="0"/>
      <w:spacing w:before="0" w:after="120"/>
      <w:ind w:left="714" w:right="567"/>
    </w:pPr>
    <w:rPr>
      <w:rFonts w:ascii="Times New Roman" w:hAnsi="Times New Roman"/>
      <w:bCs w:val="0"/>
      <w:i w:val="0"/>
      <w:iCs w:val="0"/>
      <w:lang w:eastAsia="en-US"/>
    </w:rPr>
  </w:style>
  <w:style w:type="paragraph" w:styleId="CH2" w:customStyle="1">
    <w:name w:val="CH2"/>
    <w:basedOn w:val="Normal"/>
    <w:autoRedefine/>
    <w:rsid w:val="009672DE"/>
    <w:pPr>
      <w:numPr>
        <w:numId w:val="18"/>
      </w:numPr>
      <w:tabs>
        <w:tab w:val="clear" w:pos="578"/>
      </w:tabs>
      <w:spacing w:after="120"/>
      <w:ind w:left="1248" w:right="567" w:hanging="624"/>
      <w:outlineLvl w:val="1"/>
    </w:pPr>
    <w:rPr>
      <w:rFonts w:eastAsia="Times New Roman"/>
      <w:b/>
      <w:bCs/>
      <w:sz w:val="24"/>
      <w:szCs w:val="24"/>
      <w:lang w:eastAsia="en-US"/>
    </w:rPr>
  </w:style>
  <w:style w:type="paragraph" w:styleId="NormalNonumber" w:customStyle="1">
    <w:name w:val="Normal_No_number"/>
    <w:basedOn w:val="Normal"/>
    <w:link w:val="NormalNonumberChar"/>
    <w:rsid w:val="009672DE"/>
    <w:pPr>
      <w:tabs>
        <w:tab w:val="left" w:pos="1814"/>
        <w:tab w:val="left" w:pos="2381"/>
        <w:tab w:val="left" w:pos="2948"/>
        <w:tab w:val="left" w:pos="3515"/>
      </w:tabs>
      <w:spacing w:after="120"/>
      <w:ind w:left="1247"/>
    </w:pPr>
    <w:rPr>
      <w:rFonts w:eastAsia="Times New Roman"/>
      <w:lang w:val="fr-FR" w:eastAsia="en-US"/>
    </w:rPr>
  </w:style>
  <w:style w:type="character" w:styleId="NormalNonumberChar" w:customStyle="1">
    <w:name w:val="Normal_No_number Char"/>
    <w:link w:val="NormalNonumber"/>
    <w:rsid w:val="009672DE"/>
    <w:rPr>
      <w:lang w:val="fr-FR" w:eastAsia="en-US"/>
    </w:rPr>
  </w:style>
  <w:style w:type="paragraph" w:styleId="Caption">
    <w:name w:val="caption"/>
    <w:basedOn w:val="Normal"/>
    <w:next w:val="Normal"/>
    <w:link w:val="CaptionChar"/>
    <w:uiPriority w:val="35"/>
    <w:unhideWhenUsed/>
    <w:qFormat/>
    <w:rsid w:val="006F3465"/>
    <w:pPr>
      <w:spacing w:after="200"/>
    </w:pPr>
    <w:rPr>
      <w:rFonts w:ascii="Calibri" w:hAnsi="Calibri" w:eastAsia="Times New Roman"/>
      <w:b/>
      <w:bCs/>
      <w:color w:val="4F81BD"/>
      <w:sz w:val="18"/>
      <w:szCs w:val="18"/>
      <w:lang w:val="nb-NO" w:eastAsia="nb-NO"/>
    </w:rPr>
  </w:style>
  <w:style w:type="character" w:styleId="CaptionChar" w:customStyle="1">
    <w:name w:val="Caption Char"/>
    <w:link w:val="Caption"/>
    <w:uiPriority w:val="35"/>
    <w:locked/>
    <w:rsid w:val="006F3465"/>
    <w:rPr>
      <w:rFonts w:ascii="Calibri" w:hAnsi="Calibri"/>
      <w:b/>
      <w:bCs/>
      <w:color w:val="4F81BD"/>
      <w:sz w:val="18"/>
      <w:szCs w:val="18"/>
      <w:lang w:val="nb-NO" w:eastAsia="nb-NO"/>
    </w:rPr>
  </w:style>
  <w:style w:type="character" w:styleId="Normal-poolChar" w:customStyle="1">
    <w:name w:val="Normal-pool Char"/>
    <w:link w:val="Normal-pool"/>
    <w:rsid w:val="00CD1D47"/>
    <w:rPr>
      <w:lang w:val="en-GB" w:eastAsia="en-US" w:bidi="ar-SA"/>
    </w:rPr>
  </w:style>
  <w:style w:type="paragraph" w:styleId="Default" w:customStyle="1">
    <w:name w:val="Default"/>
    <w:rsid w:val="00CD1D47"/>
    <w:pPr>
      <w:autoSpaceDE w:val="0"/>
      <w:autoSpaceDN w:val="0"/>
      <w:adjustRightInd w:val="0"/>
    </w:pPr>
    <w:rPr>
      <w:rFonts w:ascii="Verdana" w:hAnsi="Verdana" w:cs="Verdana"/>
      <w:color w:val="000000"/>
      <w:sz w:val="24"/>
      <w:szCs w:val="24"/>
      <w:lang w:val="de-AT" w:eastAsia="de-AT"/>
    </w:rPr>
  </w:style>
  <w:style w:type="paragraph" w:styleId="ListParagraph">
    <w:name w:val="List Paragraph"/>
    <w:basedOn w:val="Normal"/>
    <w:uiPriority w:val="34"/>
    <w:qFormat/>
    <w:rsid w:val="00D73BA6"/>
    <w:pPr>
      <w:spacing w:line="259" w:lineRule="auto"/>
      <w:ind w:left="720"/>
      <w:contextualSpacing/>
    </w:pPr>
    <w:rPr>
      <w:rFonts w:ascii="Calibri" w:hAnsi="Calibri" w:eastAsia="Times New Roman"/>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customXml" Target="../customXml/item5.xml" Id="rId17"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 Type="http://schemas.microsoft.com/office/2011/relationships/people" Target="people.xml" Id="R625ab95d283a48fe" /><Relationship Type="http://schemas.microsoft.com/office/2011/relationships/commentsExtended" Target="commentsExtended.xml" Id="Ra8dfbc7bf1ba4492" /><Relationship Type="http://schemas.microsoft.com/office/2016/09/relationships/commentsIds" Target="commentsIds.xml" Id="R727a8cc04f034b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255E6857F4D254F9842C2C0E02DFEC6" ma:contentTypeVersion="72" ma:contentTypeDescription="new Document or upload" ma:contentTypeScope="" ma:versionID="34ac94a1a7aefdb33bcdfefa720d6f2a">
  <xsd:schema xmlns:xsd="http://www.w3.org/2001/XMLSchema" xmlns:xs="http://www.w3.org/2001/XMLSchema" xmlns:p="http://schemas.microsoft.com/office/2006/metadata/properties" xmlns:ns2="6dfd283e-d7c6-4db4-b263-522c893cd078" xmlns:ns3="662745e8-e224-48e8-a2e3-254862b8c2f5" xmlns:ns4="f11b711a-085e-410d-b213-66097d4e1c8b" targetNamespace="http://schemas.microsoft.com/office/2006/metadata/properties" ma:root="true" ma:fieldsID="f1517bbb981f12067d6b7cfcf73571ea" ns2:_="" ns3:_="" ns4:_="">
    <xsd:import namespace="6dfd283e-d7c6-4db4-b263-522c893cd078"/>
    <xsd:import namespace="662745e8-e224-48e8-a2e3-254862b8c2f5"/>
    <xsd:import namespace="f11b711a-085e-410d-b213-66097d4e1c8b"/>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ddeb1fd0a9ad4436a96525d34737dc44" minOccurs="0"/>
                <xsd:element ref="ns3:k85d23755b3a46b5a51451cf336b2e9b" minOccurs="0"/>
                <xsd:element ref="ns3:fe59e9859d6a491389c5b03567f5dda5" minOccurs="0"/>
                <xsd:element ref="ns3:n7493b4506bf40e28c373b1e51a33445" minOccurs="0"/>
                <xsd:element ref="ns3:TaxCatchAllLabel" minOccurs="0"/>
                <xsd:element ref="ns3:cf401361b24e474cb011be6eb76c0e76" minOccurs="0"/>
                <xsd:element ref="ns2:bcb1675984d34ae3a1ed6b6e433c98de" minOccurs="0"/>
                <xsd:element ref="ns3:lae2bfa7b6474897ab4a53f76ea236c7" minOccurs="0"/>
                <xsd:element ref="ns2:peb8f3fab875401ca34a9f28cac46400" minOccurs="0"/>
                <xsd:element ref="ns3:TaxCatchAll"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d283e-d7c6-4db4-b263-522c893cd078" elementFormDefault="qualified">
    <xsd:import namespace="http://schemas.microsoft.com/office/2006/documentManagement/types"/>
    <xsd:import namespace="http://schemas.microsoft.com/office/infopath/2007/PartnerControls"/>
    <xsd:element name="dlc_EmailSubject" ma:index="4" nillable="true" ma:displayName="Subject" ma:internalName="dlc_EmailSubject" ma:readOnly="false">
      <xsd:simpleType>
        <xsd:restriction base="dms:Note"/>
      </xsd:simpleType>
    </xsd:element>
    <xsd:element name="dlc_EmailTo" ma:index="5" nillable="true" ma:displayName="To" ma:internalName="dlc_EmailTo" ma:readOnly="false">
      <xsd:simpleType>
        <xsd:restriction base="dms:Note"/>
      </xsd:simpleType>
    </xsd:element>
    <xsd:element name="dlc_EmailFrom" ma:index="6" nillable="true" ma:displayName="From" ma:internalName="dlc_EmailFrom" ma:readOnly="false">
      <xsd:simpleType>
        <xsd:restriction base="dms:Text">
          <xsd:maxLength value="255"/>
        </xsd:restriction>
      </xsd:simpleType>
    </xsd:element>
    <xsd:element name="dlc_EmailCC" ma:index="7" nillable="true" ma:displayName="CC" ma:internalName="dlc_EmailCC" ma:readOnly="false">
      <xsd:simpleType>
        <xsd:restriction base="dms:Note">
          <xsd:maxLength value="255"/>
        </xsd:restriction>
      </xsd:simpleType>
    </xsd:element>
    <xsd:element name="dlc_EmailSentUTC" ma:index="8" nillable="true" ma:displayName="Date Sent" ma:format="DateTime" ma:internalName="dlc_EmailSentUTC" ma:readOnly="false">
      <xsd:simpleType>
        <xsd:restriction base="dms:DateTime"/>
      </xsd:simpleType>
    </xsd:element>
    <xsd:element name="dlc_EmailReceivedUTC" ma:index="9" nillable="true" ma:displayName="Date Received" ma:format="DateTime" ma:internalName="dlc_EmailReceivedUTC" ma:readOnly="false">
      <xsd:simpleType>
        <xsd:restriction base="dms:DateTime"/>
      </xsd:simple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element name="peb8f3fab875401ca34a9f28cac46400" ma:index="33"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5" nillable="true" ma:displayName="Migrated" ma:default="0" ma:internalName="HOMigrated">
      <xsd:simpleType>
        <xsd:restriction base="dms:Boolean"/>
      </xsd:simpleType>
    </xsd:element>
    <xsd:element name="Team" ma:index="17" nillable="true" ma:displayName="Team" ma:default="CPHW  International Chemicals and Implementation" ma:internalName="Team">
      <xsd:simpleType>
        <xsd:restriction base="dms:Text"/>
      </xsd:simpleType>
    </xsd:element>
    <xsd:element name="Topic" ma:index="18" nillable="true" ma:displayName="Topic" ma:default="Stockholm Conven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d2976f41-4415-4caa-8344-a6ae0370877c}" ma:internalName="TaxCatchAllLabel" ma:readOnly="false" ma:showField="CatchAllDataLabel"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28"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lae2bfa7b6474897ab4a53f76ea236c7" ma:index="32"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d2976f41-4415-4caa-8344-a6ae0370877c}" ma:internalName="TaxCatchAll" ma:readOnly="false" ma:showField="CatchAllData" ma:web="6dfd283e-d7c6-4db4-b263-522c893cd0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b711a-085e-410d-b213-66097d4e1c8b"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lc_EmailReceivedUTC xmlns="6dfd283e-d7c6-4db4-b263-522c893cd078" xsi:nil="true"/>
    <dlc_EmailTo xmlns="6dfd283e-d7c6-4db4-b263-522c893cd078"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Subject xmlns="6dfd283e-d7c6-4db4-b263-522c893cd078" xsi:nil="true"/>
    <dlc_EmailSentUTC xmlns="6dfd283e-d7c6-4db4-b263-522c893cd078" xsi:nil="true"/>
    <k85d23755b3a46b5a51451cf336b2e9b xmlns="662745e8-e224-48e8-a2e3-254862b8c2f5">
      <Terms xmlns="http://schemas.microsoft.com/office/infopath/2007/PartnerControls"/>
    </k85d23755b3a46b5a51451cf336b2e9b>
    <TaxCatchAllLabel xmlns="662745e8-e224-48e8-a2e3-254862b8c2f5" xsi:nil="true"/>
    <bcb1675984d34ae3a1ed6b6e433c98de xmlns="6dfd283e-d7c6-4db4-b263-522c893cd078">
      <Terms xmlns="http://schemas.microsoft.com/office/infopath/2007/PartnerControls"/>
    </bcb1675984d34ae3a1ed6b6e433c98de>
    <Topic xmlns="662745e8-e224-48e8-a2e3-254862b8c2f5">Stockholm Convention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peb8f3fab875401ca34a9f28cac46400 xmlns="6dfd283e-d7c6-4db4-b263-522c893cd078">
      <Terms xmlns="http://schemas.microsoft.com/office/infopath/2007/PartnerControls"/>
    </peb8f3fab875401ca34a9f28cac46400>
    <TaxCatchAll xmlns="662745e8-e224-48e8-a2e3-254862b8c2f5">
      <Value>6</Value>
      <Value>10</Value>
      <Value>9</Value>
      <Value>8</Value>
      <Value>7</Value>
    </TaxCatchAll>
    <dlc_EmailCC xmlns="6dfd283e-d7c6-4db4-b263-522c893cd078"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dlc_EmailFrom xmlns="6dfd283e-d7c6-4db4-b263-522c893cd078" xsi:nil="true"/>
    <Team xmlns="662745e8-e224-48e8-a2e3-254862b8c2f5">CPHW  International Chemicals and Implementation</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D5D58760-5F39-410E-8DD0-B7A741C3F8EE}">
  <ds:schemaRefs>
    <ds:schemaRef ds:uri="http://schemas.openxmlformats.org/officeDocument/2006/bibliography"/>
  </ds:schemaRefs>
</ds:datastoreItem>
</file>

<file path=customXml/itemProps2.xml><?xml version="1.0" encoding="utf-8"?>
<ds:datastoreItem xmlns:ds="http://schemas.openxmlformats.org/officeDocument/2006/customXml" ds:itemID="{4BB5F849-FA48-421F-8844-B7275396E9CE}"/>
</file>

<file path=customXml/itemProps3.xml><?xml version="1.0" encoding="utf-8"?>
<ds:datastoreItem xmlns:ds="http://schemas.openxmlformats.org/officeDocument/2006/customXml" ds:itemID="{E701EEA8-6CE6-4C79-B832-EF327B0D7FBB}"/>
</file>

<file path=customXml/itemProps4.xml><?xml version="1.0" encoding="utf-8"?>
<ds:datastoreItem xmlns:ds="http://schemas.openxmlformats.org/officeDocument/2006/customXml" ds:itemID="{4DE33489-854E-4836-B642-9644D385ABCD}"/>
</file>

<file path=customXml/itemProps5.xml><?xml version="1.0" encoding="utf-8"?>
<ds:datastoreItem xmlns:ds="http://schemas.openxmlformats.org/officeDocument/2006/customXml" ds:itemID="{06BD57C6-5D62-4AFE-BADD-31E7FA62BA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B</dc:title>
  <dc:subject/>
  <dc:creator>Kei</dc:creator>
  <cp:keywords/>
  <cp:lastModifiedBy>Jackson, Leon</cp:lastModifiedBy>
  <cp:revision>8</cp:revision>
  <cp:lastPrinted>2015-11-02T10:03:00Z</cp:lastPrinted>
  <dcterms:created xsi:type="dcterms:W3CDTF">2022-02-01T15:27:00Z</dcterms:created>
  <dcterms:modified xsi:type="dcterms:W3CDTF">2024-10-22T19:53:54Z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0x010100A5BF1C78D9F64B679A5EBDE1C6598EBC01002255E6857F4D254F9842C2C0E02DFEC6</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SecurityClassification">
    <vt:lpwstr/>
  </property>
  <property fmtid="{D5CDD505-2E9C-101B-9397-08002B2CF9AE}" pid="8" name="HOGovernmentSecurityClassification">
    <vt:lpwstr>6;#Official|14c80daa-741b-422c-9722-f71693c9ede4</vt:lpwstr>
  </property>
  <property fmtid="{D5CDD505-2E9C-101B-9397-08002B2CF9AE}" pid="9" name="OrganisationalUnit">
    <vt:lpwstr>8;#Core Defra|026223dd-2e56-4615-868d-7c5bfd566810</vt:lpwstr>
  </property>
  <property fmtid="{D5CDD505-2E9C-101B-9397-08002B2CF9AE}" pid="10" name="Directorate">
    <vt:lpwstr/>
  </property>
  <property fmtid="{D5CDD505-2E9C-101B-9397-08002B2CF9AE}" pid="11" name="lcf76f155ced4ddcb4097134ff3c332f">
    <vt:lpwstr/>
  </property>
  <property fmtid="{D5CDD505-2E9C-101B-9397-08002B2CF9AE}" pid="12" name="HOSiteType">
    <vt:lpwstr>10;#Team|ff0485df-0575-416f-802f-e999165821b7</vt:lpwstr>
  </property>
</Properties>
</file>