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3772" w:rsidP="00106D78" w:rsidRDefault="003E3772" w14:paraId="7C4A4323" w14:textId="77777777">
      <w:pPr>
        <w:spacing w:after="120"/>
        <w:ind w:left="720"/>
        <w:rPr>
          <w:b/>
          <w:bCs/>
          <w:sz w:val="28"/>
          <w:szCs w:val="28"/>
        </w:rPr>
      </w:pPr>
      <w:bookmarkStart w:name="_Toc326193740" w:id="0"/>
      <w:r w:rsidRPr="008D2622">
        <w:rPr>
          <w:b/>
          <w:bCs/>
          <w:sz w:val="28"/>
          <w:szCs w:val="28"/>
        </w:rPr>
        <w:t xml:space="preserve">Form for submission of information specified in </w:t>
      </w:r>
      <w:r w:rsidRPr="00405318">
        <w:rPr>
          <w:b/>
          <w:bCs/>
          <w:sz w:val="28"/>
          <w:szCs w:val="28"/>
        </w:rPr>
        <w:t>Annex F</w:t>
      </w:r>
      <w:r w:rsidRPr="008D2622">
        <w:rPr>
          <w:b/>
          <w:bCs/>
          <w:sz w:val="28"/>
          <w:szCs w:val="28"/>
        </w:rPr>
        <w:t xml:space="preserve"> </w:t>
      </w:r>
      <w:r w:rsidR="00106D78">
        <w:rPr>
          <w:b/>
          <w:bCs/>
          <w:sz w:val="28"/>
          <w:szCs w:val="28"/>
        </w:rPr>
        <w:t>to</w:t>
      </w:r>
      <w:r w:rsidRPr="008D2622">
        <w:rPr>
          <w:b/>
          <w:bCs/>
          <w:sz w:val="28"/>
          <w:szCs w:val="28"/>
        </w:rPr>
        <w:t xml:space="preserve"> the Stockholm Convention pursuant to Article 8 of the Convention</w:t>
      </w:r>
    </w:p>
    <w:p w:rsidRPr="00106D78" w:rsidR="00106D78" w:rsidP="00106D78" w:rsidRDefault="00106D78" w14:paraId="47FE850F" w14:textId="77777777">
      <w:pPr>
        <w:ind w:left="720"/>
      </w:pPr>
    </w:p>
    <w:tbl>
      <w:tblPr>
        <w:tblW w:w="9072"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8"/>
        <w:gridCol w:w="5364"/>
      </w:tblGrid>
      <w:tr w:rsidRPr="00E9052C" w:rsidR="00106D78" w:rsidTr="62471815" w14:paraId="56DE6FBA" w14:textId="77777777">
        <w:tc>
          <w:tcPr>
            <w:tcW w:w="9072" w:type="dxa"/>
            <w:gridSpan w:val="2"/>
            <w:shd w:val="clear" w:color="auto" w:fill="F3F3F3"/>
            <w:tcMar/>
          </w:tcPr>
          <w:p w:rsidRPr="00E9052C" w:rsidR="00106D78" w:rsidP="00C1335C" w:rsidRDefault="00106D78" w14:paraId="0A43674B" w14:textId="77777777">
            <w:pPr>
              <w:rPr>
                <w:b/>
              </w:rPr>
            </w:pPr>
            <w:r w:rsidRPr="00E9052C">
              <w:rPr>
                <w:b/>
              </w:rPr>
              <w:t>Introductory information</w:t>
            </w:r>
          </w:p>
        </w:tc>
      </w:tr>
      <w:tr w:rsidRPr="00E9052C" w:rsidR="00106D78" w:rsidTr="62471815" w14:paraId="76403459" w14:textId="77777777">
        <w:tc>
          <w:tcPr>
            <w:tcW w:w="3708" w:type="dxa"/>
            <w:shd w:val="clear" w:color="auto" w:fill="F3F3F3"/>
            <w:tcMar/>
          </w:tcPr>
          <w:p w:rsidRPr="00067B3C" w:rsidR="00106D78" w:rsidP="00C1335C" w:rsidRDefault="00106D78" w14:paraId="2E71175A" w14:textId="77777777">
            <w:r w:rsidRPr="00067B3C">
              <w:t>Name of the submitting Party/observer</w:t>
            </w:r>
          </w:p>
        </w:tc>
        <w:tc>
          <w:tcPr>
            <w:tcW w:w="5364" w:type="dxa"/>
            <w:tcMar/>
          </w:tcPr>
          <w:p w:rsidRPr="00067B3C" w:rsidR="00106D78" w:rsidP="00C1335C" w:rsidRDefault="00106D78" w14:paraId="439996EF" w14:textId="77777777"/>
        </w:tc>
      </w:tr>
      <w:tr w:rsidRPr="00E9052C" w:rsidR="00106D78" w:rsidTr="62471815" w14:paraId="43D7764B" w14:textId="77777777">
        <w:tc>
          <w:tcPr>
            <w:tcW w:w="3708" w:type="dxa"/>
            <w:shd w:val="clear" w:color="auto" w:fill="F3F3F3"/>
            <w:tcMar/>
          </w:tcPr>
          <w:p w:rsidRPr="00067B3C" w:rsidR="00106D78" w:rsidP="00C1335C" w:rsidRDefault="00106D78" w14:paraId="18253F42" w14:textId="77777777">
            <w:r w:rsidRPr="00067B3C">
              <w:t>Contact details (name, telephone, e</w:t>
            </w:r>
            <w:r w:rsidRPr="00067B3C">
              <w:noBreakHyphen/>
              <w:t>mail) of the submitting Party/observer</w:t>
            </w:r>
          </w:p>
        </w:tc>
        <w:tc>
          <w:tcPr>
            <w:tcW w:w="5364" w:type="dxa"/>
            <w:tcMar/>
          </w:tcPr>
          <w:p w:rsidRPr="00067B3C" w:rsidR="00106D78" w:rsidP="00C1335C" w:rsidRDefault="00106D78" w14:paraId="67F88371" w14:textId="77777777"/>
        </w:tc>
      </w:tr>
      <w:tr w:rsidRPr="00E9052C" w:rsidR="00106D78" w:rsidTr="62471815" w14:paraId="7F59E7AD" w14:textId="77777777">
        <w:trPr>
          <w:trHeight w:val="314"/>
        </w:trPr>
        <w:tc>
          <w:tcPr>
            <w:tcW w:w="3708" w:type="dxa"/>
            <w:shd w:val="clear" w:color="auto" w:fill="F3F3F3"/>
            <w:tcMar/>
          </w:tcPr>
          <w:p w:rsidRPr="00067B3C" w:rsidR="00106D78" w:rsidP="00C1335C" w:rsidRDefault="00106D78" w14:paraId="3BE1F8D5" w14:textId="77777777">
            <w:r w:rsidR="6D7133D8">
              <w:rPr/>
              <w:t>Chemical name (as used by the POPs Review Committee)</w:t>
            </w:r>
          </w:p>
        </w:tc>
        <w:tc>
          <w:tcPr>
            <w:tcW w:w="5364" w:type="dxa"/>
            <w:tcMar/>
          </w:tcPr>
          <w:p w:rsidRPr="00F00A1D" w:rsidR="00106D78" w:rsidP="40F523BC" w:rsidRDefault="00295D76" w14:paraId="6713D832" w14:textId="0B0151A3">
            <w:pPr>
              <w:rPr>
                <w:b w:val="1"/>
                <w:bCs w:val="1"/>
              </w:rPr>
            </w:pPr>
            <w:r w:rsidRPr="62471815" w:rsidR="0115C030">
              <w:rPr>
                <w:b w:val="1"/>
                <w:bCs w:val="1"/>
              </w:rPr>
              <w:t>C</w:t>
            </w:r>
            <w:r w:rsidRPr="62471815" w:rsidR="0115C030">
              <w:rPr>
                <w:b w:val="1"/>
                <w:bCs w:val="1"/>
              </w:rPr>
              <w:t>hlorinated paraffins with carbon chain lengths in the range C14 to C17</w:t>
            </w:r>
            <w:r w:rsidRPr="62471815" w:rsidR="2DBE6AC2">
              <w:rPr>
                <w:b w:val="1"/>
                <w:bCs w:val="1"/>
              </w:rPr>
              <w:t xml:space="preserve"> – regardless of chlorination level</w:t>
            </w:r>
          </w:p>
        </w:tc>
      </w:tr>
      <w:tr w:rsidRPr="00E9052C" w:rsidR="00106D78" w:rsidTr="62471815" w14:paraId="0C7AD370" w14:textId="77777777">
        <w:trPr>
          <w:trHeight w:val="111"/>
        </w:trPr>
        <w:tc>
          <w:tcPr>
            <w:tcW w:w="3708" w:type="dxa"/>
            <w:shd w:val="clear" w:color="auto" w:fill="F3F3F3"/>
            <w:tcMar/>
          </w:tcPr>
          <w:p w:rsidRPr="00067B3C" w:rsidR="00106D78" w:rsidP="00C1335C" w:rsidRDefault="00106D78" w14:paraId="3719DF2B" w14:textId="77777777">
            <w:r w:rsidRPr="00067B3C">
              <w:t>Date of submission</w:t>
            </w:r>
          </w:p>
        </w:tc>
        <w:tc>
          <w:tcPr>
            <w:tcW w:w="5364" w:type="dxa"/>
            <w:tcMar/>
          </w:tcPr>
          <w:p w:rsidRPr="00067B3C" w:rsidR="00106D78" w:rsidP="00C1335C" w:rsidRDefault="00106D78" w14:paraId="76935041" w14:textId="77777777"/>
        </w:tc>
      </w:tr>
    </w:tbl>
    <w:p w:rsidRPr="008E6593" w:rsidR="003E3772" w:rsidP="009672DE" w:rsidRDefault="003E3772" w14:paraId="5F0E330C" w14:textId="77777777">
      <w:pPr>
        <w:pStyle w:val="main"/>
        <w:ind w:firstLine="720"/>
      </w:pPr>
      <w:r w:rsidRPr="008E6593">
        <w:t>Explanatory note</w:t>
      </w:r>
      <w:r w:rsidRPr="008E6593">
        <w:rPr>
          <w:rFonts w:hint="eastAsia"/>
        </w:rPr>
        <w:t xml:space="preserve">: </w:t>
      </w:r>
    </w:p>
    <w:p w:rsidRPr="008E6593" w:rsidR="003E3772" w:rsidP="003E3772" w:rsidRDefault="003E3772" w14:paraId="3EC93883" w14:textId="77777777">
      <w:pPr>
        <w:pStyle w:val="Paralevel1"/>
      </w:pPr>
      <w:r w:rsidRPr="008E6593">
        <w:rPr>
          <w:lang w:val="en-US" w:eastAsia="ja-JP"/>
        </w:rPr>
        <w:t>1.</w:t>
      </w:r>
      <w:r w:rsidRPr="008E6593">
        <w:rPr>
          <w:lang w:val="en-US" w:eastAsia="ja-JP"/>
        </w:rPr>
        <w:tab/>
      </w:r>
      <w:r w:rsidRPr="008E6593">
        <w:rPr>
          <w:lang w:val="en-US" w:eastAsia="ja-JP"/>
        </w:rPr>
        <w:t>This</w:t>
      </w:r>
      <w:r w:rsidRPr="008E6593">
        <w:rPr>
          <w:lang w:val="en-US"/>
        </w:rPr>
        <w:t xml:space="preserve"> chemical </w:t>
      </w:r>
      <w:r w:rsidRPr="008E6593">
        <w:rPr>
          <w:lang w:val="en-US" w:eastAsia="ja-JP"/>
        </w:rPr>
        <w:t xml:space="preserve">is </w:t>
      </w:r>
      <w:r w:rsidRPr="008E6593">
        <w:rPr>
          <w:lang w:val="en-US"/>
        </w:rPr>
        <w:t>undergoing a risk management evaluation</w:t>
      </w:r>
      <w:r w:rsidRPr="008E6593">
        <w:rPr>
          <w:lang w:val="en-US" w:eastAsia="ja-JP"/>
        </w:rPr>
        <w:t>.</w:t>
      </w:r>
      <w:r w:rsidRPr="008E6593">
        <w:rPr>
          <w:lang w:val="en-US"/>
        </w:rPr>
        <w:t xml:space="preserve"> </w:t>
      </w:r>
      <w:r w:rsidRPr="008E6593">
        <w:rPr>
          <w:lang w:eastAsia="ja-JP"/>
        </w:rPr>
        <w:t xml:space="preserve">It </w:t>
      </w:r>
      <w:r w:rsidRPr="008E6593">
        <w:t xml:space="preserve">has already satisfied the screening criteria set out in paragraph 4 (a) of Article 8 of the Convention. </w:t>
      </w:r>
      <w:r w:rsidRPr="008E6593">
        <w:rPr>
          <w:lang w:val="en-US"/>
        </w:rPr>
        <w:t xml:space="preserve">A risk profile has also been </w:t>
      </w:r>
      <w:r w:rsidRPr="008E6593">
        <w:rPr>
          <w:lang w:val="en-US" w:eastAsia="ja-JP"/>
        </w:rPr>
        <w:t>completed</w:t>
      </w:r>
      <w:r w:rsidRPr="008E6593">
        <w:rPr>
          <w:lang w:val="en-US"/>
        </w:rPr>
        <w:t xml:space="preserve"> for this chemical in accordance with paragraph 6 of Article 8 and with Annex E to the Convention.</w:t>
      </w:r>
    </w:p>
    <w:p w:rsidRPr="008248BA" w:rsidR="003E3772" w:rsidP="003E3772" w:rsidRDefault="003E3772" w14:paraId="4889DBAC" w14:textId="77777777">
      <w:pPr>
        <w:rPr>
          <w:lang w:eastAsia="ja-JP"/>
        </w:rPr>
      </w:pPr>
    </w:p>
    <w:tbl>
      <w:tblPr>
        <w:tblW w:w="9050"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31"/>
        <w:gridCol w:w="5319"/>
      </w:tblGrid>
      <w:tr w:rsidRPr="008248BA" w:rsidR="003E3772" w:rsidTr="00841D4F" w14:paraId="52774437" w14:textId="77777777">
        <w:trPr>
          <w:trHeight w:val="70"/>
        </w:trPr>
        <w:tc>
          <w:tcPr>
            <w:tcW w:w="9050" w:type="dxa"/>
            <w:gridSpan w:val="2"/>
            <w:shd w:val="clear" w:color="auto" w:fill="F3F3F3"/>
          </w:tcPr>
          <w:p w:rsidRPr="008248BA" w:rsidR="003E3772" w:rsidP="00841D4F" w:rsidRDefault="003E3772" w14:paraId="6BBD2668" w14:textId="77777777">
            <w:pPr>
              <w:pStyle w:val="main"/>
            </w:pPr>
            <w:r w:rsidRPr="008248BA">
              <w:t>Additional Annex E information</w:t>
            </w:r>
          </w:p>
        </w:tc>
      </w:tr>
      <w:tr w:rsidRPr="008248BA" w:rsidR="003E3772" w:rsidTr="00F55CB2" w14:paraId="236EEF2F" w14:textId="77777777">
        <w:trPr>
          <w:trHeight w:val="70"/>
        </w:trPr>
        <w:tc>
          <w:tcPr>
            <w:tcW w:w="3731" w:type="dxa"/>
            <w:shd w:val="clear" w:color="auto" w:fill="F3F3F3"/>
          </w:tcPr>
          <w:p w:rsidRPr="00067B3C" w:rsidR="003E3772" w:rsidP="00841D4F" w:rsidRDefault="003E3772" w14:paraId="4480C321" w14:textId="77777777">
            <w:r w:rsidRPr="00067B3C">
              <w:t>(</w:t>
            </w:r>
            <w:proofErr w:type="spellStart"/>
            <w:r w:rsidRPr="00067B3C">
              <w:t>i</w:t>
            </w:r>
            <w:proofErr w:type="spellEnd"/>
            <w:r w:rsidRPr="00067B3C">
              <w:t>) Production data, including quantity and location</w:t>
            </w:r>
          </w:p>
        </w:tc>
        <w:tc>
          <w:tcPr>
            <w:tcW w:w="5319" w:type="dxa"/>
          </w:tcPr>
          <w:p w:rsidR="003E3772" w:rsidP="00841D4F" w:rsidRDefault="003E3772" w14:paraId="1ACA97F7" w14:textId="77777777"/>
          <w:p w:rsidRPr="00067B3C" w:rsidR="003E3772" w:rsidP="00841D4F" w:rsidRDefault="003E3772" w14:paraId="6934A370" w14:textId="77777777"/>
        </w:tc>
      </w:tr>
      <w:tr w:rsidRPr="008248BA" w:rsidR="003E3772" w:rsidTr="00F55CB2" w14:paraId="3F52184B" w14:textId="77777777">
        <w:tc>
          <w:tcPr>
            <w:tcW w:w="3731" w:type="dxa"/>
            <w:shd w:val="clear" w:color="auto" w:fill="F3F3F3"/>
          </w:tcPr>
          <w:p w:rsidRPr="00067B3C" w:rsidR="003E3772" w:rsidP="00841D4F" w:rsidRDefault="003E3772" w14:paraId="71DA9C56" w14:textId="77777777">
            <w:r w:rsidRPr="00067B3C">
              <w:t>(ii) Uses</w:t>
            </w:r>
          </w:p>
        </w:tc>
        <w:tc>
          <w:tcPr>
            <w:tcW w:w="5319" w:type="dxa"/>
          </w:tcPr>
          <w:p w:rsidR="003E3772" w:rsidP="00841D4F" w:rsidRDefault="003E3772" w14:paraId="6AAC8D45" w14:textId="77777777"/>
          <w:p w:rsidRPr="00067B3C" w:rsidR="003E3772" w:rsidP="00841D4F" w:rsidRDefault="003E3772" w14:paraId="78B47DFC" w14:textId="77777777"/>
        </w:tc>
      </w:tr>
      <w:tr w:rsidRPr="008248BA" w:rsidR="003E3772" w:rsidTr="00F55CB2" w14:paraId="4F7F0C1E" w14:textId="77777777">
        <w:trPr>
          <w:trHeight w:val="276"/>
        </w:trPr>
        <w:tc>
          <w:tcPr>
            <w:tcW w:w="3731" w:type="dxa"/>
            <w:shd w:val="clear" w:color="auto" w:fill="F3F3F3"/>
          </w:tcPr>
          <w:p w:rsidRPr="00067B3C" w:rsidR="003E3772" w:rsidP="00841D4F" w:rsidRDefault="003E3772" w14:paraId="4B7AD6E1" w14:textId="77777777">
            <w:r w:rsidRPr="00067B3C">
              <w:t>(iii) Releases, such as discharges, losses and emissions</w:t>
            </w:r>
          </w:p>
        </w:tc>
        <w:tc>
          <w:tcPr>
            <w:tcW w:w="5319" w:type="dxa"/>
          </w:tcPr>
          <w:p w:rsidR="003E3772" w:rsidP="00841D4F" w:rsidRDefault="003E3772" w14:paraId="42924337" w14:textId="77777777"/>
          <w:p w:rsidRPr="00067B3C" w:rsidR="003E3772" w:rsidP="00841D4F" w:rsidRDefault="003E3772" w14:paraId="002967C8" w14:textId="77777777"/>
        </w:tc>
      </w:tr>
    </w:tbl>
    <w:p w:rsidRPr="008E6593" w:rsidR="003E3772" w:rsidP="009672DE" w:rsidRDefault="003E3772" w14:paraId="5800B809" w14:textId="77777777">
      <w:pPr>
        <w:pStyle w:val="main"/>
        <w:ind w:firstLine="720"/>
      </w:pPr>
      <w:r w:rsidRPr="008E6593">
        <w:t>Explanatory note:</w:t>
      </w:r>
    </w:p>
    <w:p w:rsidRPr="008E6593" w:rsidR="003E3772" w:rsidP="003E3772" w:rsidRDefault="003E3772" w14:paraId="2EA11107" w14:textId="77777777">
      <w:pPr>
        <w:pStyle w:val="Paralevel1"/>
      </w:pPr>
      <w:r>
        <w:rPr>
          <w:lang w:val="en-US" w:eastAsia="ja-JP"/>
        </w:rPr>
        <w:t>2</w:t>
      </w:r>
      <w:r w:rsidRPr="008E6593">
        <w:rPr>
          <w:lang w:val="en-US" w:eastAsia="ja-JP"/>
        </w:rPr>
        <w:t>.</w:t>
      </w:r>
      <w:r w:rsidRPr="008E6593">
        <w:rPr>
          <w:lang w:val="en-US" w:eastAsia="ja-JP"/>
        </w:rPr>
        <w:tab/>
      </w:r>
      <w:r w:rsidRPr="008E6593">
        <w:rPr>
          <w:lang w:val="en-US" w:eastAsia="ja-JP"/>
        </w:rPr>
        <w:t>This information was requested for preparation of the risk profile in accordance with Annex E of the Convention. Please provide any additional or updated information.</w:t>
      </w:r>
    </w:p>
    <w:tbl>
      <w:tblPr>
        <w:tblW w:w="9050"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31"/>
        <w:gridCol w:w="5319"/>
      </w:tblGrid>
      <w:tr w:rsidRPr="008248BA" w:rsidR="003E3772" w:rsidTr="00841D4F" w14:paraId="35189F39" w14:textId="77777777">
        <w:trPr>
          <w:cantSplit/>
          <w:trHeight w:val="508"/>
        </w:trPr>
        <w:tc>
          <w:tcPr>
            <w:tcW w:w="9050" w:type="dxa"/>
            <w:gridSpan w:val="2"/>
            <w:tcBorders>
              <w:bottom w:val="single" w:color="auto" w:sz="4" w:space="0"/>
            </w:tcBorders>
            <w:shd w:val="clear" w:color="auto" w:fill="F3F3F3"/>
          </w:tcPr>
          <w:p w:rsidRPr="008248BA" w:rsidR="003E3772" w:rsidP="00841D4F" w:rsidRDefault="003E3772" w14:paraId="741718A0" w14:textId="77777777">
            <w:pPr>
              <w:pStyle w:val="main"/>
            </w:pPr>
            <w:r>
              <w:t>(a)</w:t>
            </w:r>
            <w:r w:rsidRPr="008248BA">
              <w:t xml:space="preserve"> Efficacy and efficiency of possible control measures in meeting risk reduction goals (provide summary information and relevant references):</w:t>
            </w:r>
          </w:p>
        </w:tc>
      </w:tr>
      <w:tr w:rsidRPr="008248BA" w:rsidR="003E3772" w:rsidTr="00F55CB2" w14:paraId="23872A2F" w14:textId="77777777">
        <w:trPr>
          <w:cantSplit/>
        </w:trPr>
        <w:tc>
          <w:tcPr>
            <w:tcW w:w="3731" w:type="dxa"/>
            <w:tcBorders>
              <w:bottom w:val="nil"/>
            </w:tcBorders>
            <w:shd w:val="clear" w:color="auto" w:fill="F3F3F3"/>
          </w:tcPr>
          <w:p w:rsidRPr="005656CF" w:rsidR="003E3772" w:rsidP="00841D4F" w:rsidRDefault="003E3772" w14:paraId="0CA1132B" w14:textId="77777777">
            <w:r w:rsidRPr="005656CF">
              <w:t>(</w:t>
            </w:r>
            <w:proofErr w:type="spellStart"/>
            <w:r w:rsidRPr="005656CF">
              <w:t>i</w:t>
            </w:r>
            <w:proofErr w:type="spellEnd"/>
            <w:r w:rsidRPr="005656CF">
              <w:t>) Describe possible control measures</w:t>
            </w:r>
          </w:p>
        </w:tc>
        <w:tc>
          <w:tcPr>
            <w:tcW w:w="5319" w:type="dxa"/>
            <w:tcBorders>
              <w:bottom w:val="nil"/>
            </w:tcBorders>
          </w:tcPr>
          <w:p w:rsidR="003E3772" w:rsidP="00841D4F" w:rsidRDefault="003E3772" w14:paraId="1A691AB6" w14:textId="77777777"/>
          <w:p w:rsidRPr="005656CF" w:rsidR="003E3772" w:rsidP="00841D4F" w:rsidRDefault="003E3772" w14:paraId="4D327389" w14:textId="77777777"/>
        </w:tc>
      </w:tr>
      <w:tr w:rsidRPr="008248BA" w:rsidR="003E3772" w:rsidTr="00F55CB2" w14:paraId="0FB4E4CF" w14:textId="77777777">
        <w:trPr>
          <w:cantSplit/>
        </w:trPr>
        <w:tc>
          <w:tcPr>
            <w:tcW w:w="3731" w:type="dxa"/>
            <w:tcBorders>
              <w:bottom w:val="nil"/>
            </w:tcBorders>
            <w:shd w:val="clear" w:color="auto" w:fill="F3F3F3"/>
          </w:tcPr>
          <w:p w:rsidRPr="005656CF" w:rsidR="003E3772" w:rsidP="00841D4F" w:rsidRDefault="003E3772" w14:paraId="136A17A2" w14:textId="77777777">
            <w:r w:rsidRPr="005656CF">
              <w:t>(ii) Technical feasibility</w:t>
            </w:r>
          </w:p>
        </w:tc>
        <w:tc>
          <w:tcPr>
            <w:tcW w:w="5319" w:type="dxa"/>
            <w:tcBorders>
              <w:bottom w:val="nil"/>
            </w:tcBorders>
          </w:tcPr>
          <w:p w:rsidR="003E3772" w:rsidP="00841D4F" w:rsidRDefault="003E3772" w14:paraId="68194B0F" w14:textId="77777777"/>
          <w:p w:rsidRPr="005656CF" w:rsidR="003E3772" w:rsidP="00841D4F" w:rsidRDefault="003E3772" w14:paraId="2D617AE8" w14:textId="77777777"/>
        </w:tc>
      </w:tr>
      <w:tr w:rsidRPr="008248BA" w:rsidR="003E3772" w:rsidTr="00F55CB2" w14:paraId="5229C85D" w14:textId="77777777">
        <w:trPr>
          <w:trHeight w:val="70"/>
        </w:trPr>
        <w:tc>
          <w:tcPr>
            <w:tcW w:w="3731" w:type="dxa"/>
            <w:tcBorders>
              <w:bottom w:val="single" w:color="auto" w:sz="4" w:space="0"/>
            </w:tcBorders>
            <w:shd w:val="clear" w:color="auto" w:fill="F3F3F3"/>
          </w:tcPr>
          <w:p w:rsidRPr="005656CF" w:rsidR="003E3772" w:rsidP="00841D4F" w:rsidRDefault="003E3772" w14:paraId="29BA9A77" w14:textId="77777777">
            <w:r w:rsidRPr="005656CF">
              <w:t>(iii) Costs, including environmental and health costs</w:t>
            </w:r>
          </w:p>
        </w:tc>
        <w:tc>
          <w:tcPr>
            <w:tcW w:w="5319" w:type="dxa"/>
            <w:tcBorders>
              <w:bottom w:val="single" w:color="auto" w:sz="4" w:space="0"/>
            </w:tcBorders>
          </w:tcPr>
          <w:p w:rsidR="003E3772" w:rsidP="00841D4F" w:rsidRDefault="003E3772" w14:paraId="76C482B8" w14:textId="77777777"/>
          <w:p w:rsidRPr="005656CF" w:rsidR="003E3772" w:rsidP="00841D4F" w:rsidRDefault="003E3772" w14:paraId="6BD7D596" w14:textId="77777777"/>
        </w:tc>
      </w:tr>
    </w:tbl>
    <w:p w:rsidRPr="008E6593" w:rsidR="003E3772" w:rsidP="009672DE" w:rsidRDefault="003E3772" w14:paraId="27F86EC7" w14:textId="77777777">
      <w:pPr>
        <w:pStyle w:val="main"/>
        <w:ind w:firstLine="720"/>
      </w:pPr>
      <w:r w:rsidRPr="008E6593">
        <w:t>Explanatory note:</w:t>
      </w:r>
    </w:p>
    <w:p w:rsidRPr="008E6593" w:rsidR="003E3772" w:rsidP="003E3772" w:rsidRDefault="003E3772" w14:paraId="00BE9DB7" w14:textId="77777777">
      <w:pPr>
        <w:pStyle w:val="Paralevel1"/>
      </w:pPr>
      <w:r>
        <w:rPr>
          <w:lang w:val="en-US" w:eastAsia="ja-JP"/>
        </w:rPr>
        <w:t>3</w:t>
      </w:r>
      <w:r w:rsidRPr="008E6593">
        <w:rPr>
          <w:lang w:val="en-US" w:eastAsia="ja-JP"/>
        </w:rPr>
        <w:t>.</w:t>
      </w:r>
      <w:r w:rsidRPr="008E6593">
        <w:rPr>
          <w:lang w:val="en-US" w:eastAsia="ja-JP"/>
        </w:rPr>
        <w:tab/>
      </w:r>
      <w:r w:rsidRPr="008E6593">
        <w:rPr>
          <w:lang w:val="en-US" w:eastAsia="ja-JP"/>
        </w:rPr>
        <w:t>“Risk reduction goals” refers to targets or goals to reduce or eliminate releases from intentional production and use, unintentional production, stockpiles and wastes and to reduce or avoid risks associated with long-range environment transport.</w:t>
      </w:r>
    </w:p>
    <w:p w:rsidRPr="008E6593" w:rsidR="003E3772" w:rsidP="003E3772" w:rsidRDefault="003E3772" w14:paraId="2BB52BA8" w14:textId="77777777">
      <w:pPr>
        <w:pStyle w:val="Paralevel1"/>
      </w:pPr>
      <w:r>
        <w:t>4</w:t>
      </w:r>
      <w:r w:rsidRPr="008E6593">
        <w:t>.</w:t>
      </w:r>
      <w:r w:rsidRPr="008E6593">
        <w:tab/>
      </w:r>
      <w:r w:rsidRPr="008E6593">
        <w:t>Possible control measures could include the following:</w:t>
      </w:r>
    </w:p>
    <w:p w:rsidRPr="008E6593" w:rsidR="003E3772" w:rsidP="003E3772" w:rsidRDefault="003E3772" w14:paraId="60588C05" w14:textId="77777777">
      <w:pPr>
        <w:pStyle w:val="Paralevel2"/>
        <w:ind w:left="2126" w:hanging="425"/>
      </w:pPr>
      <w:r w:rsidRPr="008E6593">
        <w:t>(a)</w:t>
      </w:r>
      <w:r w:rsidRPr="008E6593">
        <w:tab/>
      </w:r>
      <w:r w:rsidRPr="008E6593">
        <w:t xml:space="preserve">Prohibition or restriction of production, use, import and </w:t>
      </w:r>
      <w:proofErr w:type="gramStart"/>
      <w:r w:rsidRPr="008E6593">
        <w:t>export;</w:t>
      </w:r>
      <w:proofErr w:type="gramEnd"/>
    </w:p>
    <w:p w:rsidRPr="008E6593" w:rsidR="003E3772" w:rsidP="003E3772" w:rsidRDefault="003E3772" w14:paraId="400085CE" w14:textId="77777777">
      <w:pPr>
        <w:pStyle w:val="Paralevel2"/>
        <w:ind w:left="2126" w:hanging="425"/>
      </w:pPr>
      <w:r w:rsidRPr="008E6593">
        <w:t>(b)</w:t>
      </w:r>
      <w:r w:rsidRPr="008E6593">
        <w:tab/>
      </w:r>
      <w:r w:rsidRPr="008E6593">
        <w:t xml:space="preserve">Control of discharges or </w:t>
      </w:r>
      <w:proofErr w:type="gramStart"/>
      <w:r w:rsidRPr="008E6593">
        <w:t>emissions;</w:t>
      </w:r>
      <w:proofErr w:type="gramEnd"/>
    </w:p>
    <w:p w:rsidRPr="008E6593" w:rsidR="003E3772" w:rsidP="003E3772" w:rsidRDefault="003E3772" w14:paraId="6F19F3DE" w14:textId="77777777">
      <w:pPr>
        <w:pStyle w:val="Paralevel2"/>
        <w:ind w:left="2126" w:hanging="425"/>
      </w:pPr>
      <w:r w:rsidRPr="008E6593">
        <w:t>(c)</w:t>
      </w:r>
      <w:r w:rsidRPr="008E6593">
        <w:tab/>
      </w:r>
      <w:r w:rsidRPr="008E6593">
        <w:t xml:space="preserve">Replacement of the chemical by </w:t>
      </w:r>
      <w:proofErr w:type="gramStart"/>
      <w:r w:rsidRPr="008E6593">
        <w:t>alternatives;</w:t>
      </w:r>
      <w:proofErr w:type="gramEnd"/>
    </w:p>
    <w:p w:rsidRPr="008E6593" w:rsidR="003E3772" w:rsidP="003E3772" w:rsidRDefault="003E3772" w14:paraId="51AD8927" w14:textId="77777777">
      <w:pPr>
        <w:pStyle w:val="Paralevel2"/>
        <w:ind w:left="2126" w:hanging="425"/>
      </w:pPr>
      <w:r w:rsidRPr="008E6593">
        <w:t>(d)</w:t>
      </w:r>
      <w:r w:rsidRPr="008E6593">
        <w:tab/>
      </w:r>
      <w:r w:rsidRPr="008E6593">
        <w:t xml:space="preserve">Termination of processes which could lead to unintentional release of the </w:t>
      </w:r>
      <w:proofErr w:type="gramStart"/>
      <w:r w:rsidRPr="008E6593">
        <w:t>chemical;</w:t>
      </w:r>
      <w:proofErr w:type="gramEnd"/>
    </w:p>
    <w:p w:rsidRPr="008E6593" w:rsidR="003E3772" w:rsidP="003E3772" w:rsidRDefault="003E3772" w14:paraId="0973809A" w14:textId="77777777">
      <w:pPr>
        <w:pStyle w:val="Paralevel2"/>
        <w:ind w:left="2126" w:hanging="425"/>
      </w:pPr>
      <w:r w:rsidRPr="008E6593">
        <w:t>(e)</w:t>
      </w:r>
      <w:r w:rsidRPr="008E6593">
        <w:tab/>
      </w:r>
      <w:r w:rsidRPr="008E6593">
        <w:t xml:space="preserve">Clean-up of contaminated </w:t>
      </w:r>
      <w:proofErr w:type="gramStart"/>
      <w:r w:rsidRPr="008E6593">
        <w:t>sites;</w:t>
      </w:r>
      <w:proofErr w:type="gramEnd"/>
    </w:p>
    <w:p w:rsidRPr="008E6593" w:rsidR="003E3772" w:rsidP="003E3772" w:rsidRDefault="003E3772" w14:paraId="2F1948D9" w14:textId="77777777">
      <w:pPr>
        <w:pStyle w:val="Paralevel2"/>
        <w:ind w:left="2126" w:hanging="425"/>
      </w:pPr>
      <w:r w:rsidRPr="008E6593">
        <w:t>(f)</w:t>
      </w:r>
      <w:r w:rsidRPr="008E6593">
        <w:tab/>
      </w:r>
      <w:r w:rsidRPr="008E6593">
        <w:t xml:space="preserve">Environmentally sound management of obsolete </w:t>
      </w:r>
      <w:proofErr w:type="gramStart"/>
      <w:r w:rsidRPr="008E6593">
        <w:t>stockpiles;</w:t>
      </w:r>
      <w:proofErr w:type="gramEnd"/>
    </w:p>
    <w:p w:rsidRPr="008E6593" w:rsidR="003E3772" w:rsidP="003E3772" w:rsidRDefault="003E3772" w14:paraId="780C6972" w14:textId="77777777">
      <w:pPr>
        <w:pStyle w:val="Paralevel2"/>
        <w:ind w:left="2126" w:hanging="425"/>
      </w:pPr>
      <w:r w:rsidRPr="008E6593">
        <w:t>(g)</w:t>
      </w:r>
      <w:r w:rsidRPr="008E6593">
        <w:tab/>
      </w:r>
      <w:r w:rsidRPr="008E6593">
        <w:t xml:space="preserve">Prohibition of reuse and recycling of wastes or </w:t>
      </w:r>
      <w:proofErr w:type="gramStart"/>
      <w:r w:rsidRPr="008E6593">
        <w:t>stockpiles;</w:t>
      </w:r>
      <w:proofErr w:type="gramEnd"/>
    </w:p>
    <w:p w:rsidRPr="008E6593" w:rsidR="003E3772" w:rsidP="003E3772" w:rsidRDefault="003E3772" w14:paraId="0F363899" w14:textId="77777777">
      <w:pPr>
        <w:pStyle w:val="Paralevel2"/>
        <w:ind w:left="2126" w:hanging="425"/>
      </w:pPr>
      <w:r w:rsidRPr="008E6593">
        <w:t>(h)</w:t>
      </w:r>
      <w:r w:rsidRPr="008E6593">
        <w:tab/>
      </w:r>
      <w:r w:rsidRPr="008E6593">
        <w:t xml:space="preserve">Establishment of exposure limits in the </w:t>
      </w:r>
      <w:proofErr w:type="gramStart"/>
      <w:r w:rsidRPr="008E6593">
        <w:t>workplace;</w:t>
      </w:r>
      <w:proofErr w:type="gramEnd"/>
    </w:p>
    <w:p w:rsidRPr="008E6593" w:rsidR="003E3772" w:rsidP="003E3772" w:rsidRDefault="003E3772" w14:paraId="2E25F490" w14:textId="77777777">
      <w:pPr>
        <w:pStyle w:val="Paralevel2"/>
        <w:ind w:left="2126" w:hanging="425"/>
      </w:pPr>
      <w:r w:rsidRPr="008E6593">
        <w:t>(</w:t>
      </w:r>
      <w:proofErr w:type="spellStart"/>
      <w:r w:rsidRPr="008E6593">
        <w:t>i</w:t>
      </w:r>
      <w:proofErr w:type="spellEnd"/>
      <w:r w:rsidRPr="008E6593">
        <w:t>)</w:t>
      </w:r>
      <w:r w:rsidRPr="008E6593">
        <w:tab/>
      </w:r>
      <w:r w:rsidRPr="008E6593">
        <w:t>Establishment of maximum residue limits in water, soil, sediment or food.</w:t>
      </w:r>
    </w:p>
    <w:p w:rsidRPr="008E6593" w:rsidR="003E3772" w:rsidP="003E3772" w:rsidRDefault="003E3772" w14:paraId="01240DE3" w14:textId="77777777">
      <w:pPr>
        <w:pStyle w:val="Paralevel1"/>
        <w:keepNext/>
      </w:pPr>
      <w:r w:rsidRPr="008E6593">
        <w:rPr>
          <w:lang w:val="en-US" w:eastAsia="ja-JP"/>
        </w:rPr>
        <w:tab/>
      </w:r>
      <w:r>
        <w:rPr>
          <w:lang w:val="en-US" w:eastAsia="ja-JP"/>
        </w:rPr>
        <w:t>5</w:t>
      </w:r>
      <w:r w:rsidRPr="008E6593">
        <w:rPr>
          <w:lang w:val="en-US" w:eastAsia="ja-JP"/>
        </w:rPr>
        <w:t>.</w:t>
      </w:r>
      <w:r w:rsidRPr="008E6593">
        <w:rPr>
          <w:lang w:val="en-US" w:eastAsia="ja-JP"/>
        </w:rPr>
        <w:tab/>
      </w:r>
      <w:r w:rsidRPr="008E6593">
        <w:rPr>
          <w:lang w:val="en-US" w:eastAsia="ja-JP"/>
        </w:rPr>
        <w:t>The following factors may influence the efficacy and efficiency of possible control measures:</w:t>
      </w:r>
    </w:p>
    <w:p w:rsidRPr="008E6593" w:rsidR="003E3772" w:rsidP="003E3772" w:rsidRDefault="003E3772" w14:paraId="5F355B36" w14:textId="77777777">
      <w:pPr>
        <w:pStyle w:val="Paralevel2"/>
        <w:ind w:left="2127" w:hanging="426"/>
      </w:pPr>
      <w:r w:rsidRPr="008E6593">
        <w:t>(a)</w:t>
      </w:r>
      <w:r w:rsidRPr="008E6593">
        <w:tab/>
      </w:r>
      <w:r w:rsidRPr="008E6593">
        <w:t xml:space="preserve">Legal, administrative, and enforcement measures in place including adequately trained </w:t>
      </w:r>
      <w:proofErr w:type="gramStart"/>
      <w:r w:rsidRPr="008E6593">
        <w:t>personnel;</w:t>
      </w:r>
      <w:proofErr w:type="gramEnd"/>
    </w:p>
    <w:p w:rsidRPr="008E6593" w:rsidR="003E3772" w:rsidP="003E3772" w:rsidRDefault="003E3772" w14:paraId="1CF904BB" w14:textId="77777777">
      <w:pPr>
        <w:pStyle w:val="Paralevel2"/>
        <w:ind w:left="2127" w:hanging="426"/>
      </w:pPr>
      <w:r w:rsidRPr="008E6593">
        <w:t>(b)</w:t>
      </w:r>
      <w:r w:rsidRPr="008E6593">
        <w:tab/>
      </w:r>
      <w:r w:rsidRPr="008E6593">
        <w:t xml:space="preserve">Monitoring measures in place including of suitable laboratory and monitoring </w:t>
      </w:r>
      <w:proofErr w:type="gramStart"/>
      <w:r w:rsidRPr="008E6593">
        <w:t>capability;</w:t>
      </w:r>
      <w:proofErr w:type="gramEnd"/>
    </w:p>
    <w:p w:rsidRPr="008E6593" w:rsidR="003E3772" w:rsidP="003E3772" w:rsidRDefault="003E3772" w14:paraId="18373E45" w14:textId="77777777">
      <w:pPr>
        <w:pStyle w:val="Paralevel2"/>
        <w:ind w:left="2127" w:hanging="426"/>
      </w:pPr>
      <w:r w:rsidRPr="008E6593">
        <w:t>(c)</w:t>
      </w:r>
      <w:r w:rsidRPr="008E6593">
        <w:tab/>
      </w:r>
      <w:r w:rsidRPr="008E6593">
        <w:t xml:space="preserve">Risk communication system and public </w:t>
      </w:r>
      <w:proofErr w:type="gramStart"/>
      <w:r w:rsidRPr="008E6593">
        <w:t>participation;</w:t>
      </w:r>
      <w:proofErr w:type="gramEnd"/>
    </w:p>
    <w:p w:rsidRPr="008E6593" w:rsidR="003E3772" w:rsidP="003E3772" w:rsidRDefault="003E3772" w14:paraId="1A5CA9B8" w14:textId="77777777">
      <w:pPr>
        <w:pStyle w:val="Paralevel2"/>
        <w:ind w:left="2127" w:hanging="426"/>
      </w:pPr>
      <w:r w:rsidRPr="008E6593">
        <w:t>(d)</w:t>
      </w:r>
      <w:r w:rsidRPr="008E6593">
        <w:tab/>
      </w:r>
      <w:r w:rsidRPr="008E6593">
        <w:t xml:space="preserve">Accessibility of alternative chemicals or </w:t>
      </w:r>
      <w:proofErr w:type="gramStart"/>
      <w:r w:rsidRPr="008E6593">
        <w:t>processes;</w:t>
      </w:r>
      <w:proofErr w:type="gramEnd"/>
    </w:p>
    <w:p w:rsidRPr="00E72596" w:rsidR="003E3772" w:rsidP="003E3772" w:rsidRDefault="003E3772" w14:paraId="6FE7CAB6" w14:textId="77777777">
      <w:pPr>
        <w:pStyle w:val="Paralevel2"/>
        <w:ind w:left="2127" w:hanging="426"/>
      </w:pPr>
      <w:r>
        <w:t>(e)</w:t>
      </w:r>
      <w:r>
        <w:tab/>
      </w:r>
      <w:r>
        <w:t>Accessibility of safe installations and technology to eliminate stockpiles.</w:t>
      </w:r>
    </w:p>
    <w:p w:rsidRPr="00EE4203" w:rsidR="003E3772" w:rsidP="003E3772" w:rsidRDefault="003E3772" w14:paraId="2A58A446" w14:textId="77777777">
      <w:pPr>
        <w:pStyle w:val="Paralevel1"/>
      </w:pPr>
      <w:r>
        <w:t>6</w:t>
      </w:r>
      <w:r w:rsidRPr="00731BF1">
        <w:t>.</w:t>
      </w:r>
      <w:r w:rsidRPr="00731BF1">
        <w:tab/>
      </w:r>
      <w:r w:rsidRPr="00731BF1">
        <w:t xml:space="preserve">Technical feasibility </w:t>
      </w:r>
      <w:r>
        <w:t>refers to</w:t>
      </w:r>
      <w:r w:rsidRPr="00401BA8">
        <w:t xml:space="preserve"> whether a </w:t>
      </w:r>
      <w:r>
        <w:t xml:space="preserve">control </w:t>
      </w:r>
      <w:r w:rsidRPr="00401BA8">
        <w:t xml:space="preserve">measure </w:t>
      </w:r>
      <w:r>
        <w:t xml:space="preserve">already </w:t>
      </w:r>
      <w:r w:rsidRPr="00401BA8">
        <w:t xml:space="preserve">exists or is expected to be developed in the foreseeable future and possible challenges </w:t>
      </w:r>
      <w:r>
        <w:t>to</w:t>
      </w:r>
      <w:r w:rsidRPr="00401BA8">
        <w:t xml:space="preserve"> its </w:t>
      </w:r>
      <w:r>
        <w:t>implementation</w:t>
      </w:r>
      <w:r w:rsidRPr="00401BA8">
        <w:t>.</w:t>
      </w:r>
      <w:r>
        <w:t xml:space="preserve"> </w:t>
      </w:r>
      <w:r>
        <w:rPr>
          <w:lang w:val="en-US"/>
        </w:rPr>
        <w:t>The following f</w:t>
      </w:r>
      <w:r w:rsidRPr="00BB093A">
        <w:t xml:space="preserve">actors may be </w:t>
      </w:r>
      <w:r>
        <w:t>considered</w:t>
      </w:r>
      <w:r>
        <w:rPr>
          <w:lang w:val="en-US" w:eastAsia="ja-JP"/>
        </w:rPr>
        <w:t>:</w:t>
      </w:r>
    </w:p>
    <w:p w:rsidR="003E3772" w:rsidP="003E3772" w:rsidRDefault="003E3772" w14:paraId="25A2EA85" w14:textId="77777777">
      <w:pPr>
        <w:pStyle w:val="Paralevel2"/>
        <w:ind w:left="2126" w:hanging="425"/>
      </w:pPr>
      <w:r>
        <w:t>(a)</w:t>
      </w:r>
      <w:r>
        <w:tab/>
      </w:r>
      <w:r w:rsidRPr="00BB093A">
        <w:t>What measures would be needed to effectively prohibit or restrict produc</w:t>
      </w:r>
      <w:r>
        <w:t>tion and</w:t>
      </w:r>
      <w:r w:rsidRPr="00BB093A">
        <w:t xml:space="preserve"> </w:t>
      </w:r>
      <w:proofErr w:type="gramStart"/>
      <w:r w:rsidRPr="00BB093A">
        <w:t>use</w:t>
      </w:r>
      <w:r>
        <w:t>;</w:t>
      </w:r>
      <w:proofErr w:type="gramEnd"/>
    </w:p>
    <w:p w:rsidR="003E3772" w:rsidP="003E3772" w:rsidRDefault="003E3772" w14:paraId="760BC907" w14:textId="77777777">
      <w:pPr>
        <w:pStyle w:val="Paralevel2"/>
        <w:ind w:left="2126" w:hanging="425"/>
      </w:pPr>
      <w:r>
        <w:t>(b)</w:t>
      </w:r>
      <w:r>
        <w:tab/>
      </w:r>
      <w:r>
        <w:t>Ch</w:t>
      </w:r>
      <w:r w:rsidRPr="00BB093A">
        <w:t xml:space="preserve">emical </w:t>
      </w:r>
      <w:r>
        <w:t>or</w:t>
      </w:r>
      <w:r w:rsidRPr="00BB093A">
        <w:t xml:space="preserve"> non-chemical alternatives which are already in </w:t>
      </w:r>
      <w:proofErr w:type="gramStart"/>
      <w:r w:rsidRPr="00BB093A">
        <w:t>use</w:t>
      </w:r>
      <w:proofErr w:type="gramEnd"/>
      <w:r w:rsidRPr="00BB093A">
        <w:t xml:space="preserve"> or which could be phased-in</w:t>
      </w:r>
      <w:r>
        <w:t>;</w:t>
      </w:r>
    </w:p>
    <w:p w:rsidR="003E3772" w:rsidP="003E3772" w:rsidRDefault="003E3772" w14:paraId="3D2C1425" w14:textId="77777777">
      <w:pPr>
        <w:pStyle w:val="Paralevel2"/>
        <w:ind w:left="2126" w:hanging="425"/>
      </w:pPr>
      <w:r>
        <w:t>(c)</w:t>
      </w:r>
      <w:r>
        <w:tab/>
      </w:r>
      <w:r>
        <w:t>N</w:t>
      </w:r>
      <w:r w:rsidRPr="00BB093A">
        <w:t xml:space="preserve">ational standards for </w:t>
      </w:r>
      <w:r>
        <w:t>b</w:t>
      </w:r>
      <w:r w:rsidRPr="00BB093A">
        <w:t xml:space="preserve">est </w:t>
      </w:r>
      <w:r>
        <w:t>a</w:t>
      </w:r>
      <w:r w:rsidRPr="00BB093A">
        <w:t xml:space="preserve">vailable </w:t>
      </w:r>
      <w:r>
        <w:t>t</w:t>
      </w:r>
      <w:r w:rsidRPr="00BB093A">
        <w:t xml:space="preserve">echniques and </w:t>
      </w:r>
      <w:r>
        <w:t>b</w:t>
      </w:r>
      <w:r w:rsidRPr="00BB093A">
        <w:t xml:space="preserve">est </w:t>
      </w:r>
      <w:r>
        <w:t>e</w:t>
      </w:r>
      <w:r w:rsidRPr="00BB093A">
        <w:t xml:space="preserve">nvironmental </w:t>
      </w:r>
      <w:r>
        <w:t>p</w:t>
      </w:r>
      <w:r w:rsidRPr="00BB093A">
        <w:t>ractices (</w:t>
      </w:r>
      <w:r>
        <w:t>BAT/BEP</w:t>
      </w:r>
      <w:r w:rsidRPr="00BB093A">
        <w:t>)</w:t>
      </w:r>
      <w:r>
        <w:t xml:space="preserve"> and</w:t>
      </w:r>
      <w:r w:rsidRPr="00BB093A">
        <w:t xml:space="preserve"> inventory of installations meeting</w:t>
      </w:r>
      <w:r>
        <w:t xml:space="preserve"> the</w:t>
      </w:r>
      <w:r w:rsidRPr="00BB093A">
        <w:t xml:space="preserve"> </w:t>
      </w:r>
      <w:r>
        <w:t>BAT/BEP</w:t>
      </w:r>
      <w:r w:rsidRPr="00BB093A">
        <w:t xml:space="preserve"> </w:t>
      </w:r>
      <w:proofErr w:type="gramStart"/>
      <w:r w:rsidRPr="00BB093A">
        <w:t>standards</w:t>
      </w:r>
      <w:r>
        <w:t>;</w:t>
      </w:r>
      <w:proofErr w:type="gramEnd"/>
    </w:p>
    <w:p w:rsidRPr="00E72596" w:rsidR="003E3772" w:rsidP="003E3772" w:rsidRDefault="003E3772" w14:paraId="5F0D99FE" w14:textId="77777777">
      <w:pPr>
        <w:pStyle w:val="Paralevel2"/>
        <w:ind w:left="2126" w:hanging="425"/>
      </w:pPr>
      <w:r>
        <w:t>(d)</w:t>
      </w:r>
      <w:r>
        <w:tab/>
      </w:r>
      <w:r>
        <w:t>P</w:t>
      </w:r>
      <w:r w:rsidRPr="00BB093A">
        <w:t>rojects in progress involving elimination of stockpiles and clean-up of contaminated sites</w:t>
      </w:r>
      <w:r>
        <w:t>.</w:t>
      </w:r>
    </w:p>
    <w:p w:rsidRPr="00CC6E32" w:rsidR="003E3772" w:rsidP="003E3772" w:rsidRDefault="003E3772" w14:paraId="27D99B36" w14:textId="77777777">
      <w:pPr>
        <w:pStyle w:val="Paralevel1"/>
      </w:pPr>
      <w:r>
        <w:rPr>
          <w:lang w:val="en-US" w:eastAsia="ja-JP"/>
        </w:rPr>
        <w:t>7</w:t>
      </w:r>
      <w:r w:rsidRPr="008248BA">
        <w:rPr>
          <w:lang w:val="en-US" w:eastAsia="ja-JP"/>
        </w:rPr>
        <w:t>.</w:t>
      </w:r>
      <w:r w:rsidRPr="008248BA">
        <w:rPr>
          <w:lang w:val="en-US" w:eastAsia="ja-JP"/>
        </w:rPr>
        <w:tab/>
      </w:r>
      <w:r w:rsidRPr="008248BA">
        <w:rPr>
          <w:lang w:val="en-US" w:eastAsia="ja-JP"/>
        </w:rPr>
        <w:t>If relevant, provide information on uses for which there may be no suitable alternative or for which the analysis of social and economic factors justifies the inclusion of an exemption to any control measure adopted by the Conference of the Parties</w:t>
      </w:r>
      <w:r>
        <w:rPr>
          <w:lang w:val="en-US" w:eastAsia="ja-JP"/>
        </w:rPr>
        <w:t xml:space="preserve">. </w:t>
      </w:r>
      <w:r>
        <w:t>Identify</w:t>
      </w:r>
      <w:r w:rsidRPr="00CC6E32">
        <w:t xml:space="preserve"> critical uses by detailing the negative impact on society that would result if no exemption </w:t>
      </w:r>
      <w:proofErr w:type="gramStart"/>
      <w:r w:rsidRPr="00CC6E32">
        <w:t>is</w:t>
      </w:r>
      <w:proofErr w:type="gramEnd"/>
      <w:r w:rsidRPr="00CC6E32">
        <w:t xml:space="preserve"> permitted. </w:t>
      </w:r>
      <w:r>
        <w:t>Explain</w:t>
      </w:r>
      <w:r w:rsidRPr="00CC6E32">
        <w:t xml:space="preserve"> why the exemption is technically or scientifically necessary and why potential alternatives are not technically or scientifically viable. In addition, provide a list of sources </w:t>
      </w:r>
      <w:proofErr w:type="gramStart"/>
      <w:r w:rsidRPr="00CC6E32">
        <w:t>taken into account</w:t>
      </w:r>
      <w:proofErr w:type="gramEnd"/>
      <w:r w:rsidRPr="00CC6E32">
        <w:t xml:space="preserve"> in arriving at the conclusion that no alternatives exist for a particular use</w:t>
      </w:r>
      <w:r>
        <w:t>.</w:t>
      </w:r>
    </w:p>
    <w:p w:rsidR="003E3772" w:rsidP="003E3772" w:rsidRDefault="003E3772" w14:paraId="62243CB5" w14:textId="77777777">
      <w:pPr>
        <w:pStyle w:val="Paralevel1"/>
        <w:rPr>
          <w:lang w:val="en-US" w:eastAsia="ja-JP"/>
        </w:rPr>
      </w:pPr>
      <w:r>
        <w:rPr>
          <w:lang w:val="en-US"/>
        </w:rPr>
        <w:t>8</w:t>
      </w:r>
      <w:r w:rsidRPr="008248BA">
        <w:rPr>
          <w:lang w:val="en-US"/>
        </w:rPr>
        <w:t>.</w:t>
      </w:r>
      <w:r w:rsidRPr="008248BA">
        <w:rPr>
          <w:lang w:val="en-US"/>
        </w:rPr>
        <w:tab/>
      </w:r>
      <w:r w:rsidRPr="008248BA">
        <w:rPr>
          <w:lang w:val="en-US"/>
        </w:rPr>
        <w:t xml:space="preserve">Where relevant and possible costs should be expressed in </w:t>
      </w:r>
      <w:smartTag w:uri="urn:schemas-microsoft-com:office:smarttags" w:element="country-region">
        <w:smartTag w:uri="urn:schemas-microsoft-com:office:smarttags" w:element="place">
          <w:r w:rsidRPr="008248BA">
            <w:rPr>
              <w:lang w:val="en-US"/>
            </w:rPr>
            <w:t>United States</w:t>
          </w:r>
        </w:smartTag>
      </w:smartTag>
      <w:r w:rsidRPr="008248BA">
        <w:rPr>
          <w:lang w:val="en-US"/>
        </w:rPr>
        <w:t xml:space="preserve"> dollars per year</w:t>
      </w:r>
      <w:r w:rsidRPr="008248BA">
        <w:rPr>
          <w:lang w:val="en-US" w:eastAsia="ja-JP"/>
        </w:rPr>
        <w:t>.</w:t>
      </w:r>
    </w:p>
    <w:p w:rsidRPr="00CC6E32" w:rsidR="003E3772" w:rsidP="003E3772" w:rsidRDefault="003E3772" w14:paraId="2339E0A5" w14:textId="77777777">
      <w:pPr>
        <w:pStyle w:val="Paralevel1"/>
      </w:pPr>
    </w:p>
    <w:tbl>
      <w:tblPr>
        <w:tblW w:w="902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53"/>
        <w:gridCol w:w="5270"/>
      </w:tblGrid>
      <w:tr w:rsidRPr="008248BA" w:rsidR="003E3772" w:rsidTr="00841D4F" w14:paraId="0AC53BC0" w14:textId="77777777">
        <w:trPr>
          <w:cantSplit/>
          <w:trHeight w:val="263"/>
        </w:trPr>
        <w:tc>
          <w:tcPr>
            <w:tcW w:w="9023" w:type="dxa"/>
            <w:gridSpan w:val="2"/>
            <w:shd w:val="clear" w:color="auto" w:fill="F3F3F3"/>
          </w:tcPr>
          <w:p w:rsidRPr="008248BA" w:rsidR="003E3772" w:rsidP="00841D4F" w:rsidRDefault="003E3772" w14:paraId="7E6BDB33" w14:textId="77777777">
            <w:pPr>
              <w:pStyle w:val="main"/>
            </w:pPr>
            <w:r>
              <w:rPr>
                <w:lang w:val="en-US"/>
              </w:rPr>
              <w:t>(b)</w:t>
            </w:r>
            <w:r w:rsidRPr="008248BA">
              <w:t xml:space="preserve"> Alternatives (products and processes) (provide summary information and relevant references):</w:t>
            </w:r>
          </w:p>
        </w:tc>
      </w:tr>
      <w:tr w:rsidRPr="008248BA" w:rsidR="003E3772" w:rsidTr="00F55CB2" w14:paraId="6BD66C40" w14:textId="77777777">
        <w:trPr>
          <w:cantSplit/>
        </w:trPr>
        <w:tc>
          <w:tcPr>
            <w:tcW w:w="3753" w:type="dxa"/>
            <w:tcBorders>
              <w:bottom w:val="nil"/>
            </w:tcBorders>
            <w:shd w:val="clear" w:color="auto" w:fill="F3F3F3"/>
          </w:tcPr>
          <w:p w:rsidRPr="00313637" w:rsidR="003E3772" w:rsidP="00841D4F" w:rsidRDefault="003E3772" w14:paraId="4B91F0EB" w14:textId="77777777">
            <w:r w:rsidRPr="00313637">
              <w:t>(</w:t>
            </w:r>
            <w:proofErr w:type="spellStart"/>
            <w:r w:rsidRPr="00313637">
              <w:t>i</w:t>
            </w:r>
            <w:proofErr w:type="spellEnd"/>
            <w:r w:rsidRPr="00313637">
              <w:t xml:space="preserve">) Describe alternatives </w:t>
            </w:r>
          </w:p>
        </w:tc>
        <w:tc>
          <w:tcPr>
            <w:tcW w:w="5270" w:type="dxa"/>
            <w:tcBorders>
              <w:bottom w:val="nil"/>
            </w:tcBorders>
          </w:tcPr>
          <w:p w:rsidR="003E3772" w:rsidP="00841D4F" w:rsidRDefault="003E3772" w14:paraId="38D43BBE" w14:textId="77777777"/>
          <w:p w:rsidRPr="00313637" w:rsidR="003E3772" w:rsidP="00841D4F" w:rsidRDefault="003E3772" w14:paraId="4104AFBB" w14:textId="77777777"/>
        </w:tc>
      </w:tr>
      <w:tr w:rsidRPr="008248BA" w:rsidR="003E3772" w:rsidTr="00F55CB2" w14:paraId="6BF2E522" w14:textId="77777777">
        <w:trPr>
          <w:cantSplit/>
        </w:trPr>
        <w:tc>
          <w:tcPr>
            <w:tcW w:w="3753" w:type="dxa"/>
            <w:tcBorders>
              <w:bottom w:val="nil"/>
            </w:tcBorders>
            <w:shd w:val="clear" w:color="auto" w:fill="F3F3F3"/>
          </w:tcPr>
          <w:p w:rsidRPr="00313637" w:rsidR="003E3772" w:rsidP="00841D4F" w:rsidRDefault="003E3772" w14:paraId="1C03D2DB" w14:textId="77777777">
            <w:r w:rsidRPr="00313637">
              <w:t>(ii) Technical feasibility</w:t>
            </w:r>
          </w:p>
        </w:tc>
        <w:tc>
          <w:tcPr>
            <w:tcW w:w="5270" w:type="dxa"/>
            <w:tcBorders>
              <w:bottom w:val="nil"/>
            </w:tcBorders>
          </w:tcPr>
          <w:p w:rsidR="003E3772" w:rsidP="00841D4F" w:rsidRDefault="003E3772" w14:paraId="59BCDBEC" w14:textId="77777777"/>
          <w:p w:rsidRPr="00313637" w:rsidR="003E3772" w:rsidP="00841D4F" w:rsidRDefault="003E3772" w14:paraId="3D4DC7B3" w14:textId="77777777"/>
        </w:tc>
      </w:tr>
      <w:tr w:rsidRPr="008248BA" w:rsidR="003E3772" w:rsidTr="00F55CB2" w14:paraId="4518AAB1" w14:textId="77777777">
        <w:tc>
          <w:tcPr>
            <w:tcW w:w="3753" w:type="dxa"/>
            <w:tcBorders>
              <w:bottom w:val="single" w:color="auto" w:sz="4" w:space="0"/>
            </w:tcBorders>
            <w:shd w:val="clear" w:color="auto" w:fill="F3F3F3"/>
          </w:tcPr>
          <w:p w:rsidRPr="00313637" w:rsidR="003E3772" w:rsidP="00841D4F" w:rsidRDefault="003E3772" w14:paraId="604D31A6" w14:textId="77777777">
            <w:r w:rsidRPr="00313637">
              <w:t>(iii) Costs, including environmental and health costs</w:t>
            </w:r>
          </w:p>
        </w:tc>
        <w:tc>
          <w:tcPr>
            <w:tcW w:w="5270" w:type="dxa"/>
            <w:tcBorders>
              <w:bottom w:val="single" w:color="auto" w:sz="4" w:space="0"/>
            </w:tcBorders>
          </w:tcPr>
          <w:p w:rsidR="003E3772" w:rsidP="00841D4F" w:rsidRDefault="003E3772" w14:paraId="0C76A784" w14:textId="77777777"/>
          <w:p w:rsidRPr="00313637" w:rsidR="003E3772" w:rsidP="00841D4F" w:rsidRDefault="003E3772" w14:paraId="3F05303F" w14:textId="77777777"/>
        </w:tc>
      </w:tr>
      <w:tr w:rsidRPr="008248BA" w:rsidR="003E3772" w:rsidTr="00F55CB2" w14:paraId="16718D96" w14:textId="77777777">
        <w:tc>
          <w:tcPr>
            <w:tcW w:w="3753" w:type="dxa"/>
            <w:tcBorders>
              <w:bottom w:val="single" w:color="auto" w:sz="4" w:space="0"/>
            </w:tcBorders>
            <w:shd w:val="clear" w:color="auto" w:fill="F3F3F3"/>
          </w:tcPr>
          <w:p w:rsidRPr="00313637" w:rsidR="003E3772" w:rsidP="00841D4F" w:rsidRDefault="003E3772" w14:paraId="5E591EEB" w14:textId="77777777">
            <w:r w:rsidRPr="00313637">
              <w:t xml:space="preserve">(iv) Efficacy </w:t>
            </w:r>
          </w:p>
        </w:tc>
        <w:tc>
          <w:tcPr>
            <w:tcW w:w="5270" w:type="dxa"/>
            <w:tcBorders>
              <w:bottom w:val="single" w:color="auto" w:sz="4" w:space="0"/>
            </w:tcBorders>
          </w:tcPr>
          <w:p w:rsidR="003E3772" w:rsidP="00841D4F" w:rsidRDefault="003E3772" w14:paraId="1C03F650" w14:textId="77777777"/>
          <w:p w:rsidRPr="00313637" w:rsidR="003E3772" w:rsidP="00841D4F" w:rsidRDefault="003E3772" w14:paraId="5F0D25D7" w14:textId="77777777"/>
        </w:tc>
      </w:tr>
      <w:tr w:rsidRPr="008248BA" w:rsidR="003E3772" w:rsidTr="00F55CB2" w14:paraId="53270AAA" w14:textId="77777777">
        <w:tc>
          <w:tcPr>
            <w:tcW w:w="3753" w:type="dxa"/>
            <w:tcBorders>
              <w:bottom w:val="single" w:color="auto" w:sz="4" w:space="0"/>
            </w:tcBorders>
            <w:shd w:val="clear" w:color="auto" w:fill="F3F3F3"/>
          </w:tcPr>
          <w:p w:rsidRPr="00313637" w:rsidR="003E3772" w:rsidP="00841D4F" w:rsidRDefault="003E3772" w14:paraId="1D517D39" w14:textId="77777777">
            <w:r w:rsidRPr="00313637">
              <w:t>(v) Risk</w:t>
            </w:r>
          </w:p>
        </w:tc>
        <w:tc>
          <w:tcPr>
            <w:tcW w:w="5270" w:type="dxa"/>
            <w:tcBorders>
              <w:bottom w:val="single" w:color="auto" w:sz="4" w:space="0"/>
            </w:tcBorders>
          </w:tcPr>
          <w:p w:rsidR="003E3772" w:rsidP="00841D4F" w:rsidRDefault="003E3772" w14:paraId="5A3DC35B" w14:textId="77777777"/>
          <w:p w:rsidRPr="00313637" w:rsidR="003E3772" w:rsidP="00841D4F" w:rsidRDefault="003E3772" w14:paraId="0E7C571F" w14:textId="77777777"/>
        </w:tc>
      </w:tr>
      <w:tr w:rsidRPr="008248BA" w:rsidR="003E3772" w:rsidTr="00F55CB2" w14:paraId="2993C5EA" w14:textId="77777777">
        <w:tc>
          <w:tcPr>
            <w:tcW w:w="3753" w:type="dxa"/>
            <w:tcBorders>
              <w:bottom w:val="single" w:color="auto" w:sz="4" w:space="0"/>
            </w:tcBorders>
            <w:shd w:val="clear" w:color="auto" w:fill="F3F3F3"/>
          </w:tcPr>
          <w:p w:rsidRPr="00313637" w:rsidR="003E3772" w:rsidP="00841D4F" w:rsidRDefault="003E3772" w14:paraId="1BD103C3" w14:textId="77777777">
            <w:r w:rsidRPr="00313637">
              <w:t>(vi) Availability</w:t>
            </w:r>
          </w:p>
        </w:tc>
        <w:tc>
          <w:tcPr>
            <w:tcW w:w="5270" w:type="dxa"/>
            <w:tcBorders>
              <w:bottom w:val="single" w:color="auto" w:sz="4" w:space="0"/>
            </w:tcBorders>
          </w:tcPr>
          <w:p w:rsidR="003E3772" w:rsidP="00841D4F" w:rsidRDefault="003E3772" w14:paraId="3C8A07D0" w14:textId="77777777"/>
          <w:p w:rsidRPr="00313637" w:rsidR="003E3772" w:rsidP="00841D4F" w:rsidRDefault="003E3772" w14:paraId="165A8457" w14:textId="77777777"/>
        </w:tc>
      </w:tr>
      <w:tr w:rsidRPr="008248BA" w:rsidR="003E3772" w:rsidTr="00F55CB2" w14:paraId="55F1346C" w14:textId="77777777">
        <w:tc>
          <w:tcPr>
            <w:tcW w:w="3753" w:type="dxa"/>
            <w:tcBorders>
              <w:bottom w:val="single" w:color="auto" w:sz="4" w:space="0"/>
            </w:tcBorders>
            <w:shd w:val="clear" w:color="auto" w:fill="F3F3F3"/>
          </w:tcPr>
          <w:p w:rsidRPr="00313637" w:rsidR="003E3772" w:rsidP="00841D4F" w:rsidRDefault="003E3772" w14:paraId="251C605A" w14:textId="77777777">
            <w:r w:rsidRPr="00313637">
              <w:t>(vii) Accessibility</w:t>
            </w:r>
          </w:p>
        </w:tc>
        <w:tc>
          <w:tcPr>
            <w:tcW w:w="5270" w:type="dxa"/>
            <w:tcBorders>
              <w:bottom w:val="single" w:color="auto" w:sz="4" w:space="0"/>
            </w:tcBorders>
          </w:tcPr>
          <w:p w:rsidR="003E3772" w:rsidP="00841D4F" w:rsidRDefault="003E3772" w14:paraId="4CA914F7" w14:textId="77777777"/>
          <w:p w:rsidRPr="00313637" w:rsidR="003E3772" w:rsidP="00841D4F" w:rsidRDefault="003E3772" w14:paraId="0D963162" w14:textId="77777777"/>
        </w:tc>
      </w:tr>
    </w:tbl>
    <w:p w:rsidRPr="008E6593" w:rsidR="003E3772" w:rsidP="009672DE" w:rsidRDefault="003E3772" w14:paraId="2174F970" w14:textId="77777777">
      <w:pPr>
        <w:pStyle w:val="main"/>
        <w:ind w:firstLine="720"/>
      </w:pPr>
      <w:r w:rsidRPr="008E6593">
        <w:t>Explanatory note:</w:t>
      </w:r>
    </w:p>
    <w:p w:rsidRPr="008E6593" w:rsidR="003E3772" w:rsidP="003E3772" w:rsidRDefault="003E3772" w14:paraId="1F920E3D" w14:textId="77777777">
      <w:pPr>
        <w:pStyle w:val="Paralevel1"/>
      </w:pPr>
      <w:r>
        <w:t>9</w:t>
      </w:r>
      <w:r w:rsidRPr="008E6593">
        <w:t>.</w:t>
      </w:r>
      <w:r w:rsidRPr="008E6593">
        <w:tab/>
      </w:r>
      <w:r w:rsidRPr="008E6593">
        <w:t>Alternatives could include chemical and non-chemical alternatives</w:t>
      </w:r>
      <w:r w:rsidRPr="008E6593">
        <w:rPr>
          <w:lang w:val="en-US"/>
        </w:rPr>
        <w:t xml:space="preserve"> such as a substitute chemical, material, product, system, production process or strategy for a specified end use of the chemical under consideration</w:t>
      </w:r>
      <w:r w:rsidRPr="008E6593">
        <w:rPr>
          <w:lang w:val="en-US" w:eastAsia="ja-JP"/>
        </w:rPr>
        <w:t>. Provide a brief description of any alternative product or process and, if appropriate, the sectors, uses or users for which it would be relevant. If several alternatives can be envisaged for the chemical under consideration, including non</w:t>
      </w:r>
      <w:r w:rsidRPr="008E6593">
        <w:rPr>
          <w:lang w:val="en-US" w:eastAsia="ja-JP"/>
        </w:rPr>
        <w:noBreakHyphen/>
        <w:t>chemical alternatives, provide information under this section for each alternative.</w:t>
      </w:r>
    </w:p>
    <w:p w:rsidRPr="008E6593" w:rsidR="003E3772" w:rsidP="003E3772" w:rsidRDefault="003E3772" w14:paraId="4138F7C0" w14:textId="77777777">
      <w:pPr>
        <w:pStyle w:val="Paralevel1"/>
      </w:pPr>
      <w:r>
        <w:t>10</w:t>
      </w:r>
      <w:r w:rsidRPr="008E6593">
        <w:t>.</w:t>
      </w:r>
      <w:r w:rsidRPr="008E6593">
        <w:tab/>
      </w:r>
      <w:r w:rsidRPr="008E6593">
        <w:t>Technical feasibility refers to whether an alternative technology exists and is applicable or is expected to be developed in the foreseeable future.</w:t>
      </w:r>
      <w:r w:rsidRPr="008E6593">
        <w:rPr>
          <w:lang w:val="en-US" w:eastAsia="ja-JP"/>
        </w:rPr>
        <w:t xml:space="preserve"> Specify for each proposed alternative whether it has actually been implemented, whether it has only reached the trial stage or whether it is just a proposal. If an alternative has not been tried or tested, information on projected impacts may also be useful. </w:t>
      </w:r>
    </w:p>
    <w:p w:rsidRPr="008E6593" w:rsidR="003E3772" w:rsidP="003E3772" w:rsidRDefault="003E3772" w14:paraId="4185666E" w14:textId="77777777">
      <w:pPr>
        <w:pStyle w:val="Paralevel1"/>
      </w:pPr>
      <w:r>
        <w:t>11</w:t>
      </w:r>
      <w:r w:rsidRPr="008E6593">
        <w:t>.</w:t>
      </w:r>
      <w:r w:rsidRPr="008E6593">
        <w:tab/>
      </w:r>
      <w:r w:rsidRPr="008E6593">
        <w:t>Evaluation of costs should include environmental and health costs.</w:t>
      </w:r>
    </w:p>
    <w:p w:rsidRPr="008E6593" w:rsidR="003E3772" w:rsidP="003E3772" w:rsidRDefault="003E3772" w14:paraId="35B75018" w14:textId="77777777">
      <w:pPr>
        <w:pStyle w:val="Paralevel1"/>
      </w:pPr>
      <w:r>
        <w:t>12</w:t>
      </w:r>
      <w:r w:rsidRPr="008E6593">
        <w:t>.</w:t>
      </w:r>
      <w:r w:rsidRPr="008E6593">
        <w:tab/>
      </w:r>
      <w:r w:rsidRPr="008E6593">
        <w:t>Evaluation of efficacy should include any information on performance, benefits, costs and limitations of potential alternatives.</w:t>
      </w:r>
    </w:p>
    <w:p w:rsidRPr="008E6593" w:rsidR="003E3772" w:rsidP="003E3772" w:rsidRDefault="003E3772" w14:paraId="54888328" w14:textId="77777777">
      <w:pPr>
        <w:pStyle w:val="Paralevel1"/>
      </w:pPr>
      <w:r>
        <w:t>13</w:t>
      </w:r>
      <w:r w:rsidRPr="008E6593">
        <w:t>.</w:t>
      </w:r>
      <w:r w:rsidRPr="008E6593">
        <w:tab/>
      </w:r>
      <w:r w:rsidRPr="008E6593">
        <w:t>Evaluation of risk should include any information on whether a proposed alternative has been thoroughly tested or evaluated in order to avoid inadvertently increasing risks to human health and the environment. It should also include any information on potential risks associated with untested alternatives and any increased risk over the life-cycle of alternatives, including manufacture, distribution, use, maintenance and disposal.</w:t>
      </w:r>
    </w:p>
    <w:p w:rsidRPr="008E6593" w:rsidR="003E3772" w:rsidP="003E3772" w:rsidRDefault="003E3772" w14:paraId="141C7897" w14:textId="77777777">
      <w:pPr>
        <w:pStyle w:val="Paralevel1"/>
      </w:pPr>
      <w:r>
        <w:t>14</w:t>
      </w:r>
      <w:r w:rsidRPr="008E6593">
        <w:t>.</w:t>
      </w:r>
      <w:r w:rsidRPr="008E6593">
        <w:tab/>
      </w:r>
      <w:r w:rsidRPr="008E6593">
        <w:t>Availability refers to whether an alternative is on the market and ready for immediate use.</w:t>
      </w:r>
    </w:p>
    <w:p w:rsidRPr="008E6593" w:rsidR="003E3772" w:rsidP="003E3772" w:rsidRDefault="003E3772" w14:paraId="234AF147" w14:textId="77777777">
      <w:pPr>
        <w:pStyle w:val="Paralevel1"/>
      </w:pPr>
      <w:r>
        <w:t>15</w:t>
      </w:r>
      <w:r w:rsidRPr="008E6593">
        <w:t>.</w:t>
      </w:r>
      <w:r w:rsidRPr="008E6593">
        <w:tab/>
      </w:r>
      <w:r w:rsidRPr="008E6593">
        <w:t xml:space="preserve">Accessibility refers to </w:t>
      </w:r>
      <w:r w:rsidRPr="008E6593" w:rsidDel="00405318">
        <w:t xml:space="preserve">the extent to which </w:t>
      </w:r>
      <w:r w:rsidRPr="008E6593">
        <w:t>geographic, legal or other limiting factors affect whether an alternative can be used. Information or comments on improving the availability and accessibility of alternatives may also be useful.</w:t>
      </w:r>
    </w:p>
    <w:p w:rsidRPr="00B35489" w:rsidR="003E3772" w:rsidP="003E3772" w:rsidRDefault="003E3772" w14:paraId="0D170205" w14:textId="77777777">
      <w:pPr>
        <w:pStyle w:val="Paralevel1"/>
      </w:pPr>
      <w:r>
        <w:rPr>
          <w:lang w:val="en-US" w:eastAsia="ja-JP"/>
        </w:rPr>
        <w:t>16</w:t>
      </w:r>
      <w:r w:rsidRPr="00B35489">
        <w:rPr>
          <w:lang w:val="en-US" w:eastAsia="ja-JP"/>
        </w:rPr>
        <w:t>.</w:t>
      </w:r>
      <w:r w:rsidRPr="00B35489">
        <w:rPr>
          <w:lang w:val="en-US" w:eastAsia="ja-JP"/>
        </w:rPr>
        <w:tab/>
      </w:r>
      <w:r w:rsidRPr="00B35489">
        <w:rPr>
          <w:lang w:val="en-US" w:eastAsia="ja-JP"/>
        </w:rPr>
        <w:t xml:space="preserve">Specify if the information provided is connected to the specific needs and circumstances of developing countries. </w:t>
      </w:r>
    </w:p>
    <w:p w:rsidRPr="00CA506C" w:rsidR="003E3772" w:rsidP="003E3772" w:rsidRDefault="003E3772" w14:paraId="46B52965" w14:textId="77777777">
      <w:pPr>
        <w:pStyle w:val="FootnoteText"/>
        <w:ind w:left="426" w:hanging="426"/>
        <w:jc w:val="both"/>
        <w:rPr>
          <w:lang w:val="en-US" w:eastAsia="ja-JP"/>
        </w:rPr>
      </w:pPr>
    </w:p>
    <w:tbl>
      <w:tblPr>
        <w:tblW w:w="9001"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31"/>
        <w:gridCol w:w="5270"/>
      </w:tblGrid>
      <w:tr w:rsidRPr="008248BA" w:rsidR="003E3772" w:rsidTr="00841D4F" w14:paraId="782CF971" w14:textId="77777777">
        <w:trPr>
          <w:cantSplit/>
          <w:trHeight w:val="423"/>
        </w:trPr>
        <w:tc>
          <w:tcPr>
            <w:tcW w:w="9001" w:type="dxa"/>
            <w:gridSpan w:val="2"/>
            <w:shd w:val="clear" w:color="auto" w:fill="F3F3F3"/>
          </w:tcPr>
          <w:p w:rsidRPr="008248BA" w:rsidR="003E3772" w:rsidP="00841D4F" w:rsidRDefault="003E3772" w14:paraId="2F01EEA5" w14:textId="77777777">
            <w:pPr>
              <w:pStyle w:val="main"/>
            </w:pPr>
            <w:r>
              <w:t xml:space="preserve">(c) </w:t>
            </w:r>
            <w:r w:rsidRPr="008248BA">
              <w:t>Positive and/or negative impacts on society of implementing possible control measures  (provide summary information and relevant references):</w:t>
            </w:r>
          </w:p>
        </w:tc>
      </w:tr>
      <w:tr w:rsidRPr="008248BA" w:rsidR="003E3772" w:rsidTr="00F55CB2" w14:paraId="14143C69" w14:textId="77777777">
        <w:tc>
          <w:tcPr>
            <w:tcW w:w="3731" w:type="dxa"/>
            <w:shd w:val="clear" w:color="auto" w:fill="F3F3F3"/>
          </w:tcPr>
          <w:p w:rsidRPr="00B90AFE" w:rsidR="003E3772" w:rsidP="00841D4F" w:rsidRDefault="003E3772" w14:paraId="706A6B85" w14:textId="77777777">
            <w:r w:rsidRPr="00B90AFE">
              <w:t>(</w:t>
            </w:r>
            <w:proofErr w:type="spellStart"/>
            <w:r w:rsidRPr="00B90AFE">
              <w:t>i</w:t>
            </w:r>
            <w:proofErr w:type="spellEnd"/>
            <w:r w:rsidRPr="00B90AFE">
              <w:t>) Health, including public, environmental and occupational health</w:t>
            </w:r>
          </w:p>
        </w:tc>
        <w:tc>
          <w:tcPr>
            <w:tcW w:w="5270" w:type="dxa"/>
          </w:tcPr>
          <w:p w:rsidR="003E3772" w:rsidP="00841D4F" w:rsidRDefault="003E3772" w14:paraId="3DABB6BE" w14:textId="77777777"/>
          <w:p w:rsidRPr="00B90AFE" w:rsidR="003E3772" w:rsidP="00841D4F" w:rsidRDefault="003E3772" w14:paraId="7F8E6060" w14:textId="77777777"/>
        </w:tc>
      </w:tr>
      <w:tr w:rsidRPr="008248BA" w:rsidR="003E3772" w:rsidTr="00F55CB2" w14:paraId="3109DE98" w14:textId="77777777">
        <w:tc>
          <w:tcPr>
            <w:tcW w:w="3731" w:type="dxa"/>
            <w:shd w:val="clear" w:color="auto" w:fill="F3F3F3"/>
          </w:tcPr>
          <w:p w:rsidRPr="00B90AFE" w:rsidR="003E3772" w:rsidP="00841D4F" w:rsidRDefault="003E3772" w14:paraId="675E5398" w14:textId="77777777">
            <w:r w:rsidRPr="00B90AFE">
              <w:t>(ii) Agriculture, including aquaculture and forestry</w:t>
            </w:r>
          </w:p>
        </w:tc>
        <w:tc>
          <w:tcPr>
            <w:tcW w:w="5270" w:type="dxa"/>
          </w:tcPr>
          <w:p w:rsidR="003E3772" w:rsidP="00841D4F" w:rsidRDefault="003E3772" w14:paraId="28B9EB0D" w14:textId="77777777"/>
          <w:p w:rsidRPr="00B90AFE" w:rsidR="003E3772" w:rsidP="00841D4F" w:rsidRDefault="003E3772" w14:paraId="7F7B1CB9" w14:textId="77777777"/>
        </w:tc>
      </w:tr>
      <w:tr w:rsidRPr="008248BA" w:rsidR="003E3772" w:rsidTr="00F55CB2" w14:paraId="032949D9" w14:textId="77777777">
        <w:trPr>
          <w:trHeight w:val="136"/>
        </w:trPr>
        <w:tc>
          <w:tcPr>
            <w:tcW w:w="3731" w:type="dxa"/>
            <w:tcBorders>
              <w:bottom w:val="single" w:color="auto" w:sz="4" w:space="0"/>
            </w:tcBorders>
            <w:shd w:val="clear" w:color="auto" w:fill="F3F3F3"/>
          </w:tcPr>
          <w:p w:rsidRPr="00B90AFE" w:rsidR="003E3772" w:rsidP="00841D4F" w:rsidRDefault="003E3772" w14:paraId="62AD2A95" w14:textId="77777777">
            <w:r w:rsidRPr="00B90AFE">
              <w:t xml:space="preserve">(iii) Biota (biodiversity) </w:t>
            </w:r>
          </w:p>
        </w:tc>
        <w:tc>
          <w:tcPr>
            <w:tcW w:w="5270" w:type="dxa"/>
          </w:tcPr>
          <w:p w:rsidR="003E3772" w:rsidP="00841D4F" w:rsidRDefault="003E3772" w14:paraId="28478D44" w14:textId="77777777"/>
          <w:p w:rsidRPr="00B90AFE" w:rsidR="003E3772" w:rsidP="00841D4F" w:rsidRDefault="003E3772" w14:paraId="5C033C33" w14:textId="77777777"/>
        </w:tc>
      </w:tr>
      <w:tr w:rsidRPr="008248BA" w:rsidR="003E3772" w:rsidTr="00F55CB2" w14:paraId="71C26C27" w14:textId="77777777">
        <w:tc>
          <w:tcPr>
            <w:tcW w:w="3731" w:type="dxa"/>
            <w:shd w:val="clear" w:color="auto" w:fill="F3F3F3"/>
          </w:tcPr>
          <w:p w:rsidRPr="00B90AFE" w:rsidR="003E3772" w:rsidP="00841D4F" w:rsidRDefault="003E3772" w14:paraId="6202AAB9" w14:textId="77777777">
            <w:r w:rsidRPr="00B90AFE">
              <w:t>(iv) Economic aspects</w:t>
            </w:r>
          </w:p>
        </w:tc>
        <w:tc>
          <w:tcPr>
            <w:tcW w:w="5270" w:type="dxa"/>
          </w:tcPr>
          <w:p w:rsidR="003E3772" w:rsidP="00841D4F" w:rsidRDefault="003E3772" w14:paraId="1B5C7173" w14:textId="77777777"/>
          <w:p w:rsidRPr="00B90AFE" w:rsidR="003E3772" w:rsidP="00841D4F" w:rsidRDefault="003E3772" w14:paraId="44790505" w14:textId="77777777"/>
        </w:tc>
      </w:tr>
      <w:tr w:rsidRPr="008248BA" w:rsidR="003E3772" w:rsidTr="00F55CB2" w14:paraId="0314A105" w14:textId="77777777">
        <w:tc>
          <w:tcPr>
            <w:tcW w:w="3731" w:type="dxa"/>
            <w:shd w:val="clear" w:color="auto" w:fill="F3F3F3"/>
          </w:tcPr>
          <w:p w:rsidRPr="00B90AFE" w:rsidR="003E3772" w:rsidP="00841D4F" w:rsidRDefault="003E3772" w14:paraId="4ABBFE1E" w14:textId="77777777">
            <w:r w:rsidRPr="00B90AFE">
              <w:t>(v) Movement towards sustainable development</w:t>
            </w:r>
          </w:p>
        </w:tc>
        <w:tc>
          <w:tcPr>
            <w:tcW w:w="5270" w:type="dxa"/>
          </w:tcPr>
          <w:p w:rsidR="003E3772" w:rsidP="00841D4F" w:rsidRDefault="003E3772" w14:paraId="291098BF" w14:textId="77777777"/>
          <w:p w:rsidRPr="00B90AFE" w:rsidR="003E3772" w:rsidP="00841D4F" w:rsidRDefault="003E3772" w14:paraId="7CC094AD" w14:textId="77777777"/>
        </w:tc>
      </w:tr>
      <w:tr w:rsidRPr="008248BA" w:rsidR="003E3772" w:rsidTr="00F55CB2" w14:paraId="53DFD4D8" w14:textId="77777777">
        <w:tc>
          <w:tcPr>
            <w:tcW w:w="3731" w:type="dxa"/>
            <w:shd w:val="clear" w:color="auto" w:fill="F3F3F3"/>
          </w:tcPr>
          <w:p w:rsidRPr="00B90AFE" w:rsidR="003E3772" w:rsidP="00841D4F" w:rsidRDefault="003E3772" w14:paraId="4971ED25" w14:textId="77777777">
            <w:r w:rsidRPr="00B90AFE">
              <w:t>(vi) Social costs</w:t>
            </w:r>
          </w:p>
        </w:tc>
        <w:tc>
          <w:tcPr>
            <w:tcW w:w="5270" w:type="dxa"/>
          </w:tcPr>
          <w:p w:rsidR="003E3772" w:rsidP="00841D4F" w:rsidRDefault="003E3772" w14:paraId="32A3845A" w14:textId="77777777"/>
          <w:p w:rsidRPr="00B90AFE" w:rsidR="003E3772" w:rsidP="00841D4F" w:rsidRDefault="003E3772" w14:paraId="46194E5B" w14:textId="77777777"/>
        </w:tc>
      </w:tr>
    </w:tbl>
    <w:p w:rsidRPr="008E6593" w:rsidR="003E3772" w:rsidP="009672DE" w:rsidRDefault="003E3772" w14:paraId="4CF54FDD" w14:textId="77777777">
      <w:pPr>
        <w:pStyle w:val="main"/>
        <w:ind w:firstLine="720"/>
      </w:pPr>
      <w:r w:rsidRPr="008E6593">
        <w:t>Explanatory note:</w:t>
      </w:r>
    </w:p>
    <w:p w:rsidRPr="008E6593" w:rsidR="003E3772" w:rsidP="003E3772" w:rsidRDefault="003E3772" w14:paraId="7A05B29D" w14:textId="77777777">
      <w:pPr>
        <w:pStyle w:val="Paralevel1"/>
      </w:pPr>
      <w:r>
        <w:rPr>
          <w:lang w:val="en-US" w:eastAsia="ja-JP"/>
        </w:rPr>
        <w:t>17</w:t>
      </w:r>
      <w:r w:rsidRPr="008E6593">
        <w:rPr>
          <w:lang w:val="en-US" w:eastAsia="ja-JP"/>
        </w:rPr>
        <w:t>.</w:t>
      </w:r>
      <w:r w:rsidRPr="008E6593">
        <w:rPr>
          <w:lang w:val="en-US" w:eastAsia="ja-JP"/>
        </w:rPr>
        <w:tab/>
      </w:r>
      <w:r w:rsidRPr="008E6593">
        <w:rPr>
          <w:lang w:val="en-US" w:eastAsia="ja-JP"/>
        </w:rPr>
        <w:t xml:space="preserve">Social and economic considerations could include: </w:t>
      </w:r>
    </w:p>
    <w:p w:rsidRPr="008E6593" w:rsidR="003E3772" w:rsidP="003E3772" w:rsidRDefault="003E3772" w14:paraId="47A22F5D" w14:textId="77777777">
      <w:pPr>
        <w:pStyle w:val="FootnoteText"/>
        <w:spacing w:after="120" w:line="240" w:lineRule="exact"/>
        <w:ind w:left="1276" w:firstLine="425"/>
        <w:rPr>
          <w:lang w:val="en-US" w:eastAsia="ja-JP"/>
        </w:rPr>
      </w:pPr>
      <w:r w:rsidRPr="008E6593">
        <w:rPr>
          <w:lang w:val="en-US" w:eastAsia="ja-JP"/>
        </w:rPr>
        <w:t>(a)</w:t>
      </w:r>
      <w:r w:rsidRPr="008E6593">
        <w:rPr>
          <w:lang w:val="en-US" w:eastAsia="ja-JP"/>
        </w:rPr>
        <w:tab/>
      </w:r>
      <w:r w:rsidRPr="008E6593" w:rsidDel="00405318">
        <w:rPr>
          <w:lang w:val="en-US" w:eastAsia="ja-JP"/>
        </w:rPr>
        <w:t>I</w:t>
      </w:r>
      <w:r w:rsidRPr="008E6593">
        <w:rPr>
          <w:lang w:val="en-US" w:eastAsia="ja-JP"/>
        </w:rPr>
        <w:t>nformation on the impact, cost and benefits to the local, national and regional economy, including the manufacturing sector and industrial and other users (e.g., capital costs and benefits associated with the transition to the alternatives), and impacts on agriculture and forestry;</w:t>
      </w:r>
    </w:p>
    <w:p w:rsidRPr="008E6593" w:rsidR="003E3772" w:rsidP="003E3772" w:rsidRDefault="003E3772" w14:paraId="33FFE637" w14:textId="77777777">
      <w:pPr>
        <w:pStyle w:val="FootnoteText"/>
        <w:spacing w:after="120" w:line="240" w:lineRule="exact"/>
        <w:ind w:left="1276" w:firstLine="425"/>
        <w:rPr>
          <w:lang w:val="en-US" w:eastAsia="ja-JP"/>
        </w:rPr>
      </w:pPr>
      <w:r w:rsidRPr="008E6593">
        <w:rPr>
          <w:lang w:val="en-US" w:eastAsia="ja-JP"/>
        </w:rPr>
        <w:t>(b)</w:t>
      </w:r>
      <w:r w:rsidRPr="008E6593">
        <w:rPr>
          <w:lang w:val="en-US" w:eastAsia="ja-JP"/>
        </w:rPr>
        <w:tab/>
      </w:r>
      <w:r w:rsidRPr="008E6593">
        <w:rPr>
          <w:lang w:val="en-US" w:eastAsia="ja-JP"/>
        </w:rPr>
        <w:t>Information on the impact on the wider society associated with the transition to alternatives, including the negative and positive impacts on public, environmental and occupational health. Consideration should also be given to the positive and negative impacts on the natural environment and biodiversity;</w:t>
      </w:r>
    </w:p>
    <w:p w:rsidR="003E3772" w:rsidP="003E3772" w:rsidRDefault="003E3772" w14:paraId="7B2FA73D" w14:textId="77777777">
      <w:pPr>
        <w:pStyle w:val="FootnoteText"/>
        <w:spacing w:after="120" w:line="240" w:lineRule="exact"/>
        <w:ind w:left="1276" w:firstLine="425"/>
        <w:rPr>
          <w:lang w:val="en-US" w:eastAsia="ja-JP"/>
        </w:rPr>
      </w:pPr>
      <w:r w:rsidRPr="008E6593">
        <w:rPr>
          <w:lang w:val="en-US"/>
        </w:rPr>
        <w:t>(c)</w:t>
      </w:r>
      <w:r w:rsidRPr="008E6593">
        <w:rPr>
          <w:lang w:val="en-US"/>
        </w:rPr>
        <w:tab/>
      </w:r>
      <w:r w:rsidRPr="008E6593">
        <w:rPr>
          <w:lang w:val="en-US"/>
        </w:rPr>
        <w:t>Information on the costs and benefits associated with environmentally sound</w:t>
      </w:r>
      <w:r w:rsidRPr="00CA506C">
        <w:rPr>
          <w:lang w:val="en-US"/>
        </w:rPr>
        <w:t xml:space="preserve"> management of waste and stockpiles of the chemical under consideration and the clean-up of contaminated sites.</w:t>
      </w:r>
    </w:p>
    <w:p w:rsidR="003E3772" w:rsidP="003E3772" w:rsidRDefault="003E3772" w14:paraId="6E2FD880" w14:textId="77777777">
      <w:pPr>
        <w:pStyle w:val="Paralevel1"/>
      </w:pPr>
      <w:r>
        <w:rPr>
          <w:lang w:val="en-US" w:eastAsia="ja-JP"/>
        </w:rPr>
        <w:t>18</w:t>
      </w:r>
      <w:r w:rsidRPr="008248BA">
        <w:rPr>
          <w:lang w:val="en-US" w:eastAsia="ja-JP"/>
        </w:rPr>
        <w:t>.</w:t>
      </w:r>
      <w:r w:rsidRPr="008248BA">
        <w:rPr>
          <w:lang w:val="en-US" w:eastAsia="ja-JP"/>
        </w:rPr>
        <w:tab/>
      </w:r>
      <w:r w:rsidRPr="008248BA">
        <w:rPr>
          <w:lang w:val="en-US" w:eastAsia="ja-JP"/>
        </w:rPr>
        <w:t>Information should be provided on how control measures fit within national sustainable development strategies and plans</w:t>
      </w:r>
      <w:r>
        <w:rPr>
          <w:lang w:val="en-US" w:eastAsia="ja-JP"/>
        </w:rPr>
        <w:t>.</w:t>
      </w:r>
      <w:r w:rsidRPr="00897087">
        <w:t xml:space="preserve"> </w:t>
      </w:r>
      <w:r>
        <w:t>D</w:t>
      </w:r>
      <w:r w:rsidRPr="00F2633A">
        <w:t xml:space="preserve">eveloping </w:t>
      </w:r>
      <w:r>
        <w:t>countries</w:t>
      </w:r>
      <w:r w:rsidRPr="00F2633A">
        <w:t xml:space="preserve">, countries </w:t>
      </w:r>
      <w:r>
        <w:t>with economies in</w:t>
      </w:r>
      <w:r w:rsidRPr="00F2633A">
        <w:t xml:space="preserve"> transition and </w:t>
      </w:r>
      <w:r>
        <w:t>s</w:t>
      </w:r>
      <w:r w:rsidRPr="00F2633A">
        <w:t xml:space="preserve">mall </w:t>
      </w:r>
      <w:r>
        <w:t>i</w:t>
      </w:r>
      <w:r w:rsidRPr="00F2633A">
        <w:t xml:space="preserve">sland </w:t>
      </w:r>
      <w:r>
        <w:t>d</w:t>
      </w:r>
      <w:r w:rsidRPr="00F2633A">
        <w:t>evelopin</w:t>
      </w:r>
      <w:r>
        <w:t>g States</w:t>
      </w:r>
      <w:r w:rsidRPr="00F2633A">
        <w:t xml:space="preserve"> </w:t>
      </w:r>
      <w:r>
        <w:t xml:space="preserve">should </w:t>
      </w:r>
      <w:r w:rsidRPr="00F2633A">
        <w:t>describe their need for technical assistance to implement certain control measures</w:t>
      </w:r>
      <w:r>
        <w:t>.</w:t>
      </w:r>
    </w:p>
    <w:p w:rsidRPr="001D6F2A" w:rsidR="003E3772" w:rsidP="003E3772" w:rsidRDefault="003E3772" w14:paraId="3C91A4C1" w14:textId="77777777">
      <w:pPr>
        <w:pStyle w:val="Paralevel1"/>
      </w:pPr>
    </w:p>
    <w:tbl>
      <w:tblPr>
        <w:tblW w:w="8949"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31"/>
        <w:gridCol w:w="5218"/>
      </w:tblGrid>
      <w:tr w:rsidRPr="008248BA" w:rsidR="003E3772" w:rsidTr="00841D4F" w14:paraId="1D6B72EB" w14:textId="77777777">
        <w:trPr>
          <w:cantSplit/>
          <w:trHeight w:val="557"/>
        </w:trPr>
        <w:tc>
          <w:tcPr>
            <w:tcW w:w="8949" w:type="dxa"/>
            <w:gridSpan w:val="2"/>
            <w:tcBorders>
              <w:bottom w:val="single" w:color="auto" w:sz="4" w:space="0"/>
            </w:tcBorders>
            <w:shd w:val="clear" w:color="auto" w:fill="F3F3F3"/>
          </w:tcPr>
          <w:p w:rsidRPr="008248BA" w:rsidR="003E3772" w:rsidP="00841D4F" w:rsidRDefault="003E3772" w14:paraId="3A6A5C80" w14:textId="77777777">
            <w:pPr>
              <w:pStyle w:val="main"/>
            </w:pPr>
            <w:r>
              <w:t>(d)</w:t>
            </w:r>
            <w:r w:rsidRPr="008248BA">
              <w:t xml:space="preserve"> Waste and disposal implications (in particular, obsolete stocks of pesticides and clean</w:t>
            </w:r>
            <w:r w:rsidRPr="008248BA">
              <w:noBreakHyphen/>
              <w:t>up of contaminated sites) (provide summary information and relevant references):</w:t>
            </w:r>
          </w:p>
        </w:tc>
      </w:tr>
      <w:tr w:rsidRPr="008248BA" w:rsidR="003E3772" w:rsidTr="00F55CB2" w14:paraId="414D4EB7" w14:textId="77777777">
        <w:trPr>
          <w:cantSplit/>
        </w:trPr>
        <w:tc>
          <w:tcPr>
            <w:tcW w:w="3731" w:type="dxa"/>
            <w:tcBorders>
              <w:bottom w:val="nil"/>
            </w:tcBorders>
            <w:shd w:val="clear" w:color="auto" w:fill="F3F3F3"/>
          </w:tcPr>
          <w:p w:rsidRPr="00B90AFE" w:rsidR="003E3772" w:rsidP="00841D4F" w:rsidRDefault="003E3772" w14:paraId="3E2461BC" w14:textId="77777777">
            <w:r w:rsidRPr="00B90AFE">
              <w:t>(</w:t>
            </w:r>
            <w:proofErr w:type="spellStart"/>
            <w:r w:rsidRPr="00B90AFE">
              <w:t>i</w:t>
            </w:r>
            <w:proofErr w:type="spellEnd"/>
            <w:r w:rsidRPr="00B90AFE">
              <w:t>) Technical feasibility</w:t>
            </w:r>
          </w:p>
        </w:tc>
        <w:tc>
          <w:tcPr>
            <w:tcW w:w="5218" w:type="dxa"/>
            <w:tcBorders>
              <w:bottom w:val="nil"/>
            </w:tcBorders>
          </w:tcPr>
          <w:p w:rsidR="003E3772" w:rsidP="00841D4F" w:rsidRDefault="003E3772" w14:paraId="14C64443" w14:textId="77777777"/>
          <w:p w:rsidRPr="00B90AFE" w:rsidR="003E3772" w:rsidP="00841D4F" w:rsidRDefault="003E3772" w14:paraId="15358573" w14:textId="77777777"/>
        </w:tc>
      </w:tr>
      <w:tr w:rsidRPr="008248BA" w:rsidR="003E3772" w:rsidTr="00F55CB2" w14:paraId="4522490E" w14:textId="77777777">
        <w:tc>
          <w:tcPr>
            <w:tcW w:w="3731" w:type="dxa"/>
            <w:tcBorders>
              <w:bottom w:val="single" w:color="auto" w:sz="4" w:space="0"/>
            </w:tcBorders>
            <w:shd w:val="clear" w:color="auto" w:fill="F3F3F3"/>
          </w:tcPr>
          <w:p w:rsidRPr="00B90AFE" w:rsidR="003E3772" w:rsidP="00841D4F" w:rsidRDefault="003E3772" w14:paraId="4DD19653" w14:textId="77777777">
            <w:r w:rsidRPr="00B90AFE">
              <w:t>(ii) Costs</w:t>
            </w:r>
          </w:p>
        </w:tc>
        <w:tc>
          <w:tcPr>
            <w:tcW w:w="5218" w:type="dxa"/>
            <w:tcBorders>
              <w:bottom w:val="single" w:color="auto" w:sz="4" w:space="0"/>
            </w:tcBorders>
          </w:tcPr>
          <w:p w:rsidR="003E3772" w:rsidP="00841D4F" w:rsidRDefault="003E3772" w14:paraId="7C80D1CE" w14:textId="77777777"/>
          <w:p w:rsidRPr="00B90AFE" w:rsidR="003E3772" w:rsidP="00841D4F" w:rsidRDefault="003E3772" w14:paraId="74FDBC00" w14:textId="77777777"/>
        </w:tc>
      </w:tr>
    </w:tbl>
    <w:p w:rsidRPr="008E6593" w:rsidR="003E3772" w:rsidP="009672DE" w:rsidRDefault="003E3772" w14:paraId="4F597E12" w14:textId="77777777">
      <w:pPr>
        <w:pStyle w:val="main"/>
        <w:ind w:firstLine="720"/>
      </w:pPr>
      <w:r w:rsidRPr="008E6593">
        <w:t>Explanatory note:</w:t>
      </w:r>
    </w:p>
    <w:p w:rsidR="003E3772" w:rsidP="003E3772" w:rsidRDefault="003E3772" w14:paraId="3746462A" w14:textId="77777777">
      <w:pPr>
        <w:pStyle w:val="Paralevel1"/>
        <w:rPr>
          <w:lang w:val="en-US" w:eastAsia="ja-JP"/>
        </w:rPr>
      </w:pPr>
      <w:r>
        <w:rPr>
          <w:lang w:val="en-US" w:eastAsia="ja-JP"/>
        </w:rPr>
        <w:t>19</w:t>
      </w:r>
      <w:r w:rsidRPr="008E6593">
        <w:rPr>
          <w:lang w:val="en-US" w:eastAsia="ja-JP"/>
        </w:rPr>
        <w:t>.</w:t>
      </w:r>
      <w:r w:rsidRPr="008E6593">
        <w:rPr>
          <w:lang w:val="en-US" w:eastAsia="ja-JP"/>
        </w:rPr>
        <w:tab/>
      </w:r>
      <w:r w:rsidRPr="008E6593">
        <w:rPr>
          <w:lang w:val="en-US" w:eastAsia="ja-JP"/>
        </w:rPr>
        <w:t xml:space="preserve">The information provided on technical feasibility and costs should take the local context into account. This is particularly important for developing countries, countries with economies in transition, </w:t>
      </w:r>
      <w:r>
        <w:rPr>
          <w:lang w:val="en-US" w:eastAsia="ja-JP"/>
        </w:rPr>
        <w:t>and small island developing States that require technical and financial assistance.</w:t>
      </w:r>
    </w:p>
    <w:p w:rsidRPr="001D6F2A" w:rsidR="003E3772" w:rsidP="003E3772" w:rsidRDefault="003E3772" w14:paraId="1DFE99FE" w14:textId="77777777">
      <w:pPr>
        <w:pStyle w:val="Paralevel1"/>
      </w:pPr>
    </w:p>
    <w:tbl>
      <w:tblPr>
        <w:tblW w:w="8949"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49"/>
      </w:tblGrid>
      <w:tr w:rsidRPr="008248BA" w:rsidR="003E3772" w:rsidTr="00841D4F" w14:paraId="33448E72" w14:textId="77777777">
        <w:trPr>
          <w:trHeight w:val="235"/>
        </w:trPr>
        <w:tc>
          <w:tcPr>
            <w:tcW w:w="8949" w:type="dxa"/>
            <w:tcBorders>
              <w:bottom w:val="single" w:color="auto" w:sz="4" w:space="0"/>
            </w:tcBorders>
            <w:shd w:val="clear" w:color="auto" w:fill="F3F3F3"/>
            <w:vAlign w:val="center"/>
          </w:tcPr>
          <w:p w:rsidRPr="008248BA" w:rsidR="003E3772" w:rsidP="00841D4F" w:rsidRDefault="003E3772" w14:paraId="4B666BDB" w14:textId="77777777">
            <w:pPr>
              <w:pStyle w:val="main"/>
            </w:pPr>
            <w:r>
              <w:t>(e)</w:t>
            </w:r>
            <w:r w:rsidRPr="008248BA">
              <w:t xml:space="preserve"> Access to information and public education  (provide summary information and relevant references):</w:t>
            </w:r>
          </w:p>
        </w:tc>
      </w:tr>
      <w:tr w:rsidRPr="008248BA" w:rsidR="003E3772" w:rsidTr="00841D4F" w14:paraId="04A5C3E7" w14:textId="77777777">
        <w:trPr>
          <w:trHeight w:val="70"/>
        </w:trPr>
        <w:tc>
          <w:tcPr>
            <w:tcW w:w="8949" w:type="dxa"/>
            <w:tcBorders>
              <w:top w:val="single" w:color="auto" w:sz="4" w:space="0"/>
            </w:tcBorders>
            <w:shd w:val="clear" w:color="auto" w:fill="auto"/>
          </w:tcPr>
          <w:p w:rsidR="003E3772" w:rsidP="00841D4F" w:rsidRDefault="003E3772" w14:paraId="681975BE" w14:textId="77777777"/>
          <w:p w:rsidR="003E3772" w:rsidP="00841D4F" w:rsidRDefault="003E3772" w14:paraId="33C6DB0F" w14:textId="77777777"/>
          <w:p w:rsidRPr="00B90AFE" w:rsidR="003E3772" w:rsidP="00841D4F" w:rsidRDefault="003E3772" w14:paraId="6ECE8A8A" w14:textId="77777777"/>
        </w:tc>
      </w:tr>
    </w:tbl>
    <w:p w:rsidRPr="008E6593" w:rsidR="003E3772" w:rsidP="009672DE" w:rsidRDefault="003E3772" w14:paraId="66591A74" w14:textId="77777777">
      <w:pPr>
        <w:pStyle w:val="main"/>
        <w:ind w:firstLine="720"/>
      </w:pPr>
      <w:r w:rsidRPr="008E6593">
        <w:t xml:space="preserve">Explanatory note: </w:t>
      </w:r>
    </w:p>
    <w:p w:rsidR="003E3772" w:rsidP="003E3772" w:rsidRDefault="003E3772" w14:paraId="0358D46C" w14:textId="77777777">
      <w:pPr>
        <w:pStyle w:val="Paralevel1"/>
        <w:rPr>
          <w:lang w:val="en-US" w:eastAsia="ja-JP"/>
        </w:rPr>
      </w:pPr>
      <w:r>
        <w:rPr>
          <w:lang w:val="en-US" w:eastAsia="ja-JP"/>
        </w:rPr>
        <w:t>20</w:t>
      </w:r>
      <w:r w:rsidRPr="008E6593">
        <w:rPr>
          <w:lang w:val="en-US" w:eastAsia="ja-JP"/>
        </w:rPr>
        <w:t>.</w:t>
      </w:r>
      <w:r w:rsidRPr="008E6593">
        <w:rPr>
          <w:lang w:val="en-US" w:eastAsia="ja-JP"/>
        </w:rPr>
        <w:tab/>
      </w:r>
      <w:r w:rsidRPr="008E6593">
        <w:rPr>
          <w:lang w:val="en-US" w:eastAsia="ja-JP"/>
        </w:rPr>
        <w:t>Please provide details on</w:t>
      </w:r>
      <w:r w:rsidRPr="008E6593">
        <w:rPr>
          <w:lang w:val="en-US"/>
        </w:rPr>
        <w:t xml:space="preserve"> access to information and public education with respect to both control measur</w:t>
      </w:r>
      <w:r w:rsidRPr="008248BA">
        <w:rPr>
          <w:lang w:val="en-US"/>
        </w:rPr>
        <w:t>es and alternatives</w:t>
      </w:r>
      <w:r>
        <w:rPr>
          <w:lang w:val="en-US" w:eastAsia="ja-JP"/>
        </w:rPr>
        <w:t>.</w:t>
      </w:r>
    </w:p>
    <w:p w:rsidRPr="00C476E0" w:rsidR="003E3772" w:rsidP="003E3772" w:rsidRDefault="003E3772" w14:paraId="01D9E584" w14:textId="77777777">
      <w:pPr>
        <w:pStyle w:val="Paralevel1"/>
      </w:pPr>
    </w:p>
    <w:tbl>
      <w:tblPr>
        <w:tblW w:w="8974"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74"/>
      </w:tblGrid>
      <w:tr w:rsidRPr="008248BA" w:rsidR="003E3772" w:rsidTr="00841D4F" w14:paraId="74A27185" w14:textId="77777777">
        <w:trPr>
          <w:trHeight w:val="229"/>
        </w:trPr>
        <w:tc>
          <w:tcPr>
            <w:tcW w:w="8974" w:type="dxa"/>
            <w:tcBorders>
              <w:bottom w:val="single" w:color="auto" w:sz="4" w:space="0"/>
            </w:tcBorders>
            <w:shd w:val="clear" w:color="auto" w:fill="F3F3F3"/>
          </w:tcPr>
          <w:p w:rsidRPr="008248BA" w:rsidR="003E3772" w:rsidP="00841D4F" w:rsidRDefault="003E3772" w14:paraId="1F46A7DC" w14:textId="77777777">
            <w:pPr>
              <w:pStyle w:val="main"/>
            </w:pPr>
            <w:r>
              <w:t>(f)</w:t>
            </w:r>
            <w:r w:rsidRPr="008248BA">
              <w:t xml:space="preserve"> Status of control and monitoring capacity (provide summary information and relevant references):</w:t>
            </w:r>
          </w:p>
        </w:tc>
      </w:tr>
      <w:tr w:rsidRPr="008248BA" w:rsidR="003E3772" w:rsidTr="00841D4F" w14:paraId="7B9B05AF" w14:textId="77777777">
        <w:trPr>
          <w:trHeight w:val="275"/>
        </w:trPr>
        <w:tc>
          <w:tcPr>
            <w:tcW w:w="8974" w:type="dxa"/>
            <w:tcBorders>
              <w:top w:val="single" w:color="auto" w:sz="4" w:space="0"/>
              <w:bottom w:val="single" w:color="auto" w:sz="4" w:space="0"/>
            </w:tcBorders>
          </w:tcPr>
          <w:p w:rsidR="003E3772" w:rsidP="00841D4F" w:rsidRDefault="003E3772" w14:paraId="16EA00EB" w14:textId="77777777">
            <w:pPr>
              <w:rPr>
                <w:lang w:eastAsia="ja-JP"/>
              </w:rPr>
            </w:pPr>
          </w:p>
          <w:p w:rsidR="003E3772" w:rsidP="00841D4F" w:rsidRDefault="003E3772" w14:paraId="2A31E5C1" w14:textId="77777777">
            <w:pPr>
              <w:rPr>
                <w:lang w:eastAsia="ja-JP"/>
              </w:rPr>
            </w:pPr>
          </w:p>
          <w:p w:rsidRPr="008248BA" w:rsidR="003E3772" w:rsidP="00841D4F" w:rsidRDefault="003E3772" w14:paraId="5747E14C" w14:textId="77777777">
            <w:pPr>
              <w:rPr>
                <w:lang w:eastAsia="ja-JP"/>
              </w:rPr>
            </w:pPr>
          </w:p>
        </w:tc>
      </w:tr>
    </w:tbl>
    <w:p w:rsidRPr="008E6593" w:rsidR="003E3772" w:rsidP="009672DE" w:rsidRDefault="003E3772" w14:paraId="05360C0E" w14:textId="77777777">
      <w:pPr>
        <w:pStyle w:val="main"/>
        <w:ind w:firstLine="720"/>
      </w:pPr>
      <w:r w:rsidRPr="008E6593">
        <w:t xml:space="preserve">Explanatory note: </w:t>
      </w:r>
    </w:p>
    <w:p w:rsidRPr="008E6593" w:rsidR="003E3772" w:rsidP="003E3772" w:rsidRDefault="003E3772" w14:paraId="057923C5" w14:textId="77777777">
      <w:pPr>
        <w:pStyle w:val="Paralevel1"/>
      </w:pPr>
      <w:r>
        <w:rPr>
          <w:lang w:val="en-US"/>
        </w:rPr>
        <w:t>21</w:t>
      </w:r>
      <w:r w:rsidRPr="008E6593">
        <w:rPr>
          <w:lang w:val="en-US"/>
        </w:rPr>
        <w:t>.</w:t>
      </w:r>
      <w:r w:rsidRPr="008E6593">
        <w:rPr>
          <w:lang w:val="en-US"/>
        </w:rPr>
        <w:tab/>
      </w:r>
      <w:r w:rsidRPr="008E6593">
        <w:rPr>
          <w:lang w:val="en-US"/>
        </w:rPr>
        <w:t xml:space="preserve">With regard to control capacity, the information required is on legislative and institutional frameworks for the chemical under consideration and their enforcement. </w:t>
      </w:r>
    </w:p>
    <w:p w:rsidR="003E3772" w:rsidP="003E3772" w:rsidRDefault="003E3772" w14:paraId="135DF644" w14:textId="77777777">
      <w:pPr>
        <w:pStyle w:val="Paralevel1"/>
        <w:rPr>
          <w:lang w:val="en-US" w:eastAsia="ja-JP"/>
        </w:rPr>
      </w:pPr>
      <w:r>
        <w:rPr>
          <w:lang w:val="en-US"/>
        </w:rPr>
        <w:t>22</w:t>
      </w:r>
      <w:r w:rsidRPr="008E6593">
        <w:rPr>
          <w:lang w:val="en-US"/>
        </w:rPr>
        <w:t>.</w:t>
      </w:r>
      <w:r w:rsidRPr="008E6593">
        <w:rPr>
          <w:lang w:val="en-US"/>
        </w:rPr>
        <w:tab/>
      </w:r>
      <w:r w:rsidRPr="008E6593">
        <w:rPr>
          <w:lang w:val="en-US"/>
        </w:rPr>
        <w:t>With regard to monitoring capacity, the information required is on the technical and institutional infrastructure for the environmental monitoring and bio-monitoring of the chemical under consideration</w:t>
      </w:r>
      <w:r w:rsidRPr="008E6593">
        <w:rPr>
          <w:lang w:val="en-US" w:eastAsia="ja-JP"/>
        </w:rPr>
        <w:t>. Please provide information on monitoring work relating to the Convention’s priority matrices (ambient air, maternal milk, human blood) and other health or environmental matrices (water, soil, sediment, food</w:t>
      </w:r>
      <w:r>
        <w:rPr>
          <w:lang w:val="en-US" w:eastAsia="ja-JP"/>
        </w:rPr>
        <w:t>, aquatic and telluric fauna, migratory birds, etc.).</w:t>
      </w:r>
    </w:p>
    <w:p w:rsidRPr="00C476E0" w:rsidR="003E3772" w:rsidP="003E3772" w:rsidRDefault="003E3772" w14:paraId="16BD3CF0" w14:textId="77777777">
      <w:pPr>
        <w:pStyle w:val="Paralevel1"/>
      </w:pPr>
    </w:p>
    <w:tbl>
      <w:tblPr>
        <w:tblW w:w="897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73"/>
      </w:tblGrid>
      <w:tr w:rsidRPr="004A71A1" w:rsidR="003E3772" w:rsidTr="00841D4F" w14:paraId="095A84A6" w14:textId="77777777">
        <w:tc>
          <w:tcPr>
            <w:tcW w:w="8973" w:type="dxa"/>
            <w:shd w:val="clear" w:color="auto" w:fill="F3F3F3"/>
          </w:tcPr>
          <w:p w:rsidRPr="008248BA" w:rsidR="003E3772" w:rsidP="00841D4F" w:rsidRDefault="003E3772" w14:paraId="74D7796F" w14:textId="77777777">
            <w:pPr>
              <w:pStyle w:val="main"/>
            </w:pPr>
            <w:r>
              <w:t>(g)</w:t>
            </w:r>
            <w:r w:rsidRPr="008248BA">
              <w:t xml:space="preserve"> Any national or regional control actions already taken, including information on alternatives, and other relevant risk management information:</w:t>
            </w:r>
          </w:p>
        </w:tc>
      </w:tr>
      <w:tr w:rsidRPr="004A71A1" w:rsidR="003E3772" w:rsidTr="00841D4F" w14:paraId="0F9F63E0" w14:textId="77777777">
        <w:tc>
          <w:tcPr>
            <w:tcW w:w="8973" w:type="dxa"/>
          </w:tcPr>
          <w:p w:rsidRPr="004A71A1" w:rsidR="003E3772" w:rsidP="00841D4F" w:rsidRDefault="003E3772" w14:paraId="709F8861" w14:textId="77777777">
            <w:pPr>
              <w:rPr>
                <w:rFonts w:eastAsia="MS Mincho"/>
              </w:rPr>
            </w:pPr>
          </w:p>
          <w:p w:rsidRPr="004A71A1" w:rsidR="003E3772" w:rsidP="00841D4F" w:rsidRDefault="003E3772" w14:paraId="333FD44B" w14:textId="77777777">
            <w:pPr>
              <w:rPr>
                <w:rFonts w:eastAsia="MS Mincho"/>
              </w:rPr>
            </w:pPr>
          </w:p>
          <w:p w:rsidRPr="004A71A1" w:rsidR="003E3772" w:rsidP="00841D4F" w:rsidRDefault="003E3772" w14:paraId="32C0202E" w14:textId="77777777">
            <w:pPr>
              <w:rPr>
                <w:rFonts w:eastAsia="MS Mincho"/>
              </w:rPr>
            </w:pPr>
          </w:p>
        </w:tc>
      </w:tr>
    </w:tbl>
    <w:p w:rsidRPr="008E6593" w:rsidR="003E3772" w:rsidP="009672DE" w:rsidRDefault="003E3772" w14:paraId="70C72FB6" w14:textId="77777777">
      <w:pPr>
        <w:pStyle w:val="main"/>
        <w:ind w:firstLine="720"/>
      </w:pPr>
      <w:r w:rsidRPr="008E6593">
        <w:t xml:space="preserve">Explanatory note: </w:t>
      </w:r>
    </w:p>
    <w:p w:rsidRPr="008E6593" w:rsidR="003E3772" w:rsidP="003E3772" w:rsidRDefault="003E3772" w14:paraId="247E40D2" w14:textId="77777777">
      <w:pPr>
        <w:pStyle w:val="Paralevel1"/>
        <w:keepNext/>
        <w:keepLines/>
      </w:pPr>
      <w:r>
        <w:rPr>
          <w:lang w:val="en-US"/>
        </w:rPr>
        <w:t>23</w:t>
      </w:r>
      <w:r w:rsidRPr="008E6593">
        <w:rPr>
          <w:lang w:val="en-US"/>
        </w:rPr>
        <w:t>.</w:t>
      </w:r>
      <w:r w:rsidRPr="008E6593">
        <w:rPr>
          <w:lang w:val="en-US"/>
        </w:rPr>
        <w:tab/>
      </w:r>
      <w:r w:rsidRPr="008E6593">
        <w:rPr>
          <w:lang w:val="en-US"/>
        </w:rPr>
        <w:t xml:space="preserve">Actions or measures taken could include </w:t>
      </w:r>
      <w:r w:rsidRPr="008E6593">
        <w:rPr>
          <w:lang w:val="en-US" w:eastAsia="ja-JP"/>
        </w:rPr>
        <w:t xml:space="preserve">prohibitions, phase-outs, restrictions, cleanup of contaminated sites, waste disposal, economic incentives and other non-legally binding </w:t>
      </w:r>
      <w:r w:rsidRPr="008E6593">
        <w:rPr>
          <w:lang w:val="en-US"/>
        </w:rPr>
        <w:t>initiatives</w:t>
      </w:r>
      <w:r w:rsidRPr="008E6593">
        <w:rPr>
          <w:lang w:val="en-US" w:eastAsia="ja-JP"/>
        </w:rPr>
        <w:t>.</w:t>
      </w:r>
    </w:p>
    <w:p w:rsidR="003E3772" w:rsidP="003E3772" w:rsidRDefault="003E3772" w14:paraId="1A897AC1" w14:textId="77777777">
      <w:pPr>
        <w:pStyle w:val="Paralevel1"/>
        <w:rPr>
          <w:lang w:val="en-US" w:eastAsia="ja-JP"/>
        </w:rPr>
      </w:pPr>
      <w:r>
        <w:rPr>
          <w:lang w:val="en-US" w:eastAsia="ja-JP"/>
        </w:rPr>
        <w:t>24</w:t>
      </w:r>
      <w:r w:rsidRPr="008E6593">
        <w:rPr>
          <w:lang w:val="en-US" w:eastAsia="ja-JP"/>
        </w:rPr>
        <w:t>.</w:t>
      </w:r>
      <w:r w:rsidRPr="008E6593">
        <w:rPr>
          <w:lang w:val="en-US" w:eastAsia="ja-JP"/>
        </w:rPr>
        <w:tab/>
      </w:r>
      <w:r w:rsidRPr="008E6593">
        <w:rPr>
          <w:lang w:val="en-US" w:eastAsia="ja-JP"/>
        </w:rPr>
        <w:t>Information could include details on whether these control actions have been cost-effective in providing the desired benefits and have had a measurable impact on reducing levels of the chemical in th</w:t>
      </w:r>
      <w:r w:rsidRPr="008248BA">
        <w:rPr>
          <w:lang w:val="en-US" w:eastAsia="ja-JP"/>
        </w:rPr>
        <w:t>e environment and have contributed to risk reduction.</w:t>
      </w:r>
    </w:p>
    <w:p w:rsidRPr="00012E62" w:rsidR="003E3772" w:rsidP="003E3772" w:rsidRDefault="003E3772" w14:paraId="2736F603" w14:textId="77777777">
      <w:pPr>
        <w:pStyle w:val="Paralevel1"/>
      </w:pPr>
    </w:p>
    <w:tbl>
      <w:tblPr>
        <w:tblW w:w="897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73"/>
      </w:tblGrid>
      <w:tr w:rsidRPr="004A71A1" w:rsidR="003E3772" w:rsidTr="00841D4F" w14:paraId="4D381EFB" w14:textId="77777777">
        <w:tc>
          <w:tcPr>
            <w:tcW w:w="8973" w:type="dxa"/>
            <w:shd w:val="clear" w:color="auto" w:fill="F3F3F3"/>
          </w:tcPr>
          <w:p w:rsidRPr="008248BA" w:rsidR="003E3772" w:rsidP="00841D4F" w:rsidRDefault="003E3772" w14:paraId="028897E7" w14:textId="77777777">
            <w:pPr>
              <w:pStyle w:val="main"/>
            </w:pPr>
            <w:r>
              <w:t>(h)</w:t>
            </w:r>
            <w:r w:rsidRPr="008248BA">
              <w:t xml:space="preserve"> Other relevant information for the risk management evaluation:</w:t>
            </w:r>
          </w:p>
        </w:tc>
      </w:tr>
      <w:tr w:rsidRPr="004A71A1" w:rsidR="003E3772" w:rsidTr="00841D4F" w14:paraId="182A757D" w14:textId="77777777">
        <w:tc>
          <w:tcPr>
            <w:tcW w:w="8973" w:type="dxa"/>
          </w:tcPr>
          <w:p w:rsidRPr="004A71A1" w:rsidR="003E3772" w:rsidP="00841D4F" w:rsidRDefault="003E3772" w14:paraId="7D096783" w14:textId="77777777">
            <w:pPr>
              <w:rPr>
                <w:rFonts w:eastAsia="MS Mincho"/>
              </w:rPr>
            </w:pPr>
          </w:p>
          <w:p w:rsidRPr="004A71A1" w:rsidR="003E3772" w:rsidP="00841D4F" w:rsidRDefault="003E3772" w14:paraId="6CD505BF" w14:textId="77777777">
            <w:pPr>
              <w:rPr>
                <w:rFonts w:eastAsia="MS Mincho"/>
              </w:rPr>
            </w:pPr>
          </w:p>
          <w:p w:rsidRPr="004A71A1" w:rsidR="003E3772" w:rsidP="00841D4F" w:rsidRDefault="003E3772" w14:paraId="434A65A6" w14:textId="77777777">
            <w:pPr>
              <w:rPr>
                <w:rFonts w:eastAsia="MS Mincho"/>
              </w:rPr>
            </w:pPr>
          </w:p>
        </w:tc>
      </w:tr>
    </w:tbl>
    <w:p w:rsidRPr="008E6593" w:rsidR="003E3772" w:rsidP="009672DE" w:rsidRDefault="003E3772" w14:paraId="2FE9EA45" w14:textId="77777777">
      <w:pPr>
        <w:pStyle w:val="main"/>
        <w:ind w:firstLine="720"/>
      </w:pPr>
      <w:r w:rsidRPr="008E6593">
        <w:t xml:space="preserve">Explanatory note: </w:t>
      </w:r>
    </w:p>
    <w:p w:rsidR="003E3772" w:rsidP="003E3772" w:rsidRDefault="003E3772" w14:paraId="3BCD12D6" w14:textId="77777777">
      <w:pPr>
        <w:pStyle w:val="Paralevel1"/>
        <w:rPr>
          <w:lang w:val="en-US" w:eastAsia="ja-JP"/>
        </w:rPr>
      </w:pPr>
      <w:r>
        <w:t>25</w:t>
      </w:r>
      <w:r w:rsidRPr="008E6593">
        <w:t>.</w:t>
      </w:r>
      <w:r w:rsidRPr="008E6593">
        <w:tab/>
      </w:r>
      <w:r w:rsidRPr="008E6593">
        <w:t>Pleas</w:t>
      </w:r>
      <w:r>
        <w:t>e provide any other relevant information for the risk management evaluation</w:t>
      </w:r>
      <w:r w:rsidRPr="008248BA">
        <w:rPr>
          <w:lang w:val="en-US" w:eastAsia="ja-JP"/>
        </w:rPr>
        <w:t>.</w:t>
      </w:r>
    </w:p>
    <w:p w:rsidRPr="00012E62" w:rsidR="003E3772" w:rsidP="003E3772" w:rsidRDefault="003E3772" w14:paraId="4558774E" w14:textId="77777777">
      <w:pPr>
        <w:pStyle w:val="Paralevel1"/>
      </w:pPr>
    </w:p>
    <w:tbl>
      <w:tblPr>
        <w:tblW w:w="897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73"/>
      </w:tblGrid>
      <w:tr w:rsidRPr="004A71A1" w:rsidR="003E3772" w:rsidTr="00841D4F" w14:paraId="22966359" w14:textId="77777777">
        <w:tc>
          <w:tcPr>
            <w:tcW w:w="8973" w:type="dxa"/>
            <w:shd w:val="clear" w:color="auto" w:fill="F3F3F3"/>
          </w:tcPr>
          <w:p w:rsidRPr="008248BA" w:rsidR="003E3772" w:rsidP="00841D4F" w:rsidRDefault="003E3772" w14:paraId="6DE5C3D3" w14:textId="77777777">
            <w:pPr>
              <w:pStyle w:val="main"/>
            </w:pPr>
            <w:r w:rsidRPr="008248BA">
              <w:t>I. Other information requested by the POPRC:</w:t>
            </w:r>
          </w:p>
        </w:tc>
      </w:tr>
      <w:tr w:rsidRPr="004A71A1" w:rsidR="003E3772" w:rsidTr="00841D4F" w14:paraId="324B9717" w14:textId="77777777">
        <w:tc>
          <w:tcPr>
            <w:tcW w:w="8973" w:type="dxa"/>
          </w:tcPr>
          <w:p w:rsidR="003E3772" w:rsidP="00841D4F" w:rsidRDefault="003E3772" w14:paraId="7E6E242C" w14:textId="77777777">
            <w:pPr>
              <w:pStyle w:val="main"/>
            </w:pPr>
          </w:p>
          <w:p w:rsidR="003E3772" w:rsidP="00841D4F" w:rsidRDefault="003E3772" w14:paraId="626E99D4" w14:textId="77777777">
            <w:pPr>
              <w:pStyle w:val="main"/>
            </w:pPr>
          </w:p>
          <w:p w:rsidRPr="008248BA" w:rsidR="003E3772" w:rsidP="00841D4F" w:rsidRDefault="003E3772" w14:paraId="48103EF2" w14:textId="77777777">
            <w:pPr>
              <w:pStyle w:val="main"/>
            </w:pPr>
          </w:p>
        </w:tc>
      </w:tr>
    </w:tbl>
    <w:p w:rsidRPr="008E6593" w:rsidR="003E3772" w:rsidP="009672DE" w:rsidRDefault="003E3772" w14:paraId="18F02AA5" w14:textId="77777777">
      <w:pPr>
        <w:pStyle w:val="main"/>
        <w:ind w:firstLine="720"/>
      </w:pPr>
      <w:r w:rsidRPr="008E6593">
        <w:t xml:space="preserve">Explanatory note: </w:t>
      </w:r>
    </w:p>
    <w:p w:rsidRPr="008E6593" w:rsidR="003E3772" w:rsidP="003E3772" w:rsidRDefault="003E3772" w14:paraId="50A0B4E3" w14:textId="77777777">
      <w:pPr>
        <w:pStyle w:val="Paralevel1"/>
        <w:rPr>
          <w:iCs/>
          <w:lang w:val="en-US"/>
        </w:rPr>
      </w:pPr>
      <w:r>
        <w:t>26</w:t>
      </w:r>
      <w:r w:rsidRPr="008E6593">
        <w:t>.</w:t>
      </w:r>
      <w:r w:rsidRPr="008E6593">
        <w:tab/>
      </w:r>
      <w:r w:rsidRPr="008E6593">
        <w:t xml:space="preserve">The Committee may identify specific information required for the process of preparing a risk management evaluation in addition to Annex F information. Please provide any such information that you may have as indicated in the letter </w:t>
      </w:r>
      <w:r w:rsidRPr="008E6593">
        <w:rPr>
          <w:iCs/>
          <w:lang w:val="en-US"/>
        </w:rPr>
        <w:t>from the Secretariat inviting Parties and observers to provide information.</w:t>
      </w:r>
    </w:p>
    <w:p w:rsidR="003E3772" w:rsidP="003E3772" w:rsidRDefault="003E3772" w14:paraId="4048441A" w14:textId="77777777">
      <w:pPr>
        <w:autoSpaceDE w:val="0"/>
        <w:autoSpaceDN w:val="0"/>
        <w:adjustRightInd w:val="0"/>
        <w:ind w:firstLine="720"/>
        <w:rPr>
          <w:rFonts w:ascii="Arial" w:hAnsi="Arial" w:cs="Arial"/>
          <w:color w:val="000000"/>
          <w:sz w:val="22"/>
          <w:szCs w:val="22"/>
        </w:rPr>
      </w:pPr>
    </w:p>
    <w:p w:rsidRPr="000C0FCA" w:rsidR="003E3772" w:rsidP="003E3772" w:rsidRDefault="003E3772" w14:paraId="2F6978E8" w14:textId="77777777">
      <w:pPr>
        <w:autoSpaceDE w:val="0"/>
        <w:autoSpaceDN w:val="0"/>
        <w:adjustRightInd w:val="0"/>
        <w:ind w:firstLine="720"/>
        <w:rPr>
          <w:rFonts w:ascii="Arial" w:hAnsi="Arial" w:cs="Arial"/>
          <w:color w:val="000000"/>
          <w:sz w:val="22"/>
          <w:szCs w:val="22"/>
        </w:rPr>
      </w:pPr>
    </w:p>
    <w:p w:rsidR="003E3772" w:rsidP="003E3772" w:rsidRDefault="003E3772" w14:paraId="7C501F7D" w14:textId="77777777">
      <w:pPr>
        <w:jc w:val="center"/>
        <w:rPr>
          <w:b/>
          <w:sz w:val="18"/>
          <w:szCs w:val="18"/>
        </w:rPr>
      </w:pPr>
    </w:p>
    <w:p w:rsidRPr="004D3EB0" w:rsidR="009672DE" w:rsidP="009672DE" w:rsidRDefault="009672DE" w14:paraId="28D4FBFE" w14:textId="77777777">
      <w:pPr>
        <w:keepNext/>
        <w:keepLines/>
        <w:spacing w:after="120"/>
        <w:ind w:left="1248"/>
        <w:rPr>
          <w:b/>
          <w:sz w:val="28"/>
          <w:szCs w:val="28"/>
        </w:rPr>
      </w:pPr>
      <w:r>
        <w:rPr>
          <w:b/>
          <w:sz w:val="28"/>
          <w:szCs w:val="28"/>
        </w:rPr>
        <w:br w:type="page"/>
      </w:r>
      <w:r w:rsidRPr="004D3EB0">
        <w:rPr>
          <w:b/>
          <w:sz w:val="28"/>
          <w:szCs w:val="28"/>
        </w:rPr>
        <w:t>General guidance on submission of information specified in Annex F</w:t>
      </w:r>
    </w:p>
    <w:p w:rsidRPr="004D3EB0" w:rsidR="009672DE" w:rsidP="009672DE" w:rsidRDefault="009672DE" w14:paraId="0DD4033D" w14:textId="77777777">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A.</w:t>
      </w:r>
      <w:r w:rsidRPr="004D3EB0">
        <w:rPr>
          <w:b/>
          <w:bCs/>
          <w:sz w:val="24"/>
          <w:szCs w:val="24"/>
          <w:lang w:val="en-GB"/>
        </w:rPr>
        <w:tab/>
      </w:r>
      <w:r w:rsidRPr="004D3EB0">
        <w:rPr>
          <w:b/>
          <w:bCs/>
          <w:sz w:val="24"/>
          <w:szCs w:val="24"/>
          <w:lang w:val="en-GB"/>
        </w:rPr>
        <w:t>Procedure</w:t>
      </w:r>
    </w:p>
    <w:p w:rsidRPr="004D3EB0" w:rsidR="009672DE" w:rsidP="009672DE" w:rsidRDefault="009672DE" w14:paraId="198CE4F9" w14:textId="77777777">
      <w:pPr>
        <w:pStyle w:val="NormalNonumber"/>
        <w:tabs>
          <w:tab w:val="clear" w:pos="1814"/>
          <w:tab w:val="clear" w:pos="2381"/>
          <w:tab w:val="clear" w:pos="2948"/>
          <w:tab w:val="clear" w:pos="3515"/>
        </w:tabs>
        <w:rPr>
          <w:lang w:val="en-US"/>
        </w:rPr>
      </w:pPr>
      <w:r w:rsidRPr="004D3EB0">
        <w:rPr>
          <w:lang w:val="en-GB"/>
        </w:rPr>
        <w:t>1.</w:t>
      </w:r>
      <w:r w:rsidRPr="004D3EB0">
        <w:rPr>
          <w:lang w:val="en-GB"/>
        </w:rPr>
        <w:tab/>
      </w:r>
      <w:r w:rsidRPr="004D3EB0">
        <w:rPr>
          <w:lang w:val="en-US"/>
        </w:rPr>
        <w:t xml:space="preserve">In accordance with paragraph 7 (a) of Article 8 of the Convention, </w:t>
      </w:r>
      <w:r w:rsidRPr="004D3EB0">
        <w:rPr>
          <w:lang w:val="en-GB"/>
        </w:rPr>
        <w:t xml:space="preserve">if the Persistent Organic Pollutants Review Committee decides on the basis of a chemical’s risk profile that the chemical is likely as a result of its long-range environmental transport to lead to significant adverse human health and/or environmental effects such that global action is warranted, consideration of the proposal for listing the chemical in Annexes A, B and/or C proceeds to the next step. </w:t>
      </w:r>
    </w:p>
    <w:p w:rsidRPr="004D3EB0" w:rsidR="009672DE" w:rsidP="009672DE" w:rsidRDefault="009672DE" w14:paraId="4D38E592" w14:textId="77777777">
      <w:pPr>
        <w:pStyle w:val="NormalNonumber"/>
        <w:tabs>
          <w:tab w:val="clear" w:pos="1814"/>
          <w:tab w:val="clear" w:pos="2381"/>
          <w:tab w:val="clear" w:pos="2948"/>
          <w:tab w:val="clear" w:pos="3515"/>
        </w:tabs>
        <w:rPr>
          <w:lang w:val="en-US"/>
        </w:rPr>
      </w:pPr>
      <w:r w:rsidRPr="004D3EB0">
        <w:rPr>
          <w:lang w:val="en-GB"/>
        </w:rPr>
        <w:t>2.</w:t>
      </w:r>
      <w:r w:rsidRPr="004D3EB0">
        <w:rPr>
          <w:lang w:val="en-GB"/>
        </w:rPr>
        <w:tab/>
      </w:r>
      <w:r w:rsidRPr="004D3EB0">
        <w:rPr>
          <w:lang w:val="en-GB"/>
        </w:rPr>
        <w:t xml:space="preserve">The Committee at that point invites Parties and observers to submit information relating to the social and economic considerations specified in Annex F of the Convention. </w:t>
      </w:r>
      <w:r w:rsidRPr="004D3EB0">
        <w:rPr>
          <w:lang w:val="en-US"/>
        </w:rPr>
        <w:t>Based on the submitted information, the Committee</w:t>
      </w:r>
      <w:r w:rsidRPr="004D3EB0">
        <w:rPr>
          <w:lang w:val="en-GB"/>
        </w:rPr>
        <w:t xml:space="preserve"> prepares a draft risk management evaluation that includes an analysis of possible control measures for the chemical.</w:t>
      </w:r>
    </w:p>
    <w:p w:rsidRPr="004D3EB0" w:rsidR="009672DE" w:rsidP="009672DE" w:rsidRDefault="009672DE" w14:paraId="1ACBE5F6" w14:textId="77777777">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B.</w:t>
      </w:r>
      <w:r w:rsidRPr="004D3EB0">
        <w:rPr>
          <w:b/>
          <w:bCs/>
          <w:sz w:val="24"/>
          <w:szCs w:val="24"/>
          <w:lang w:val="en-GB"/>
        </w:rPr>
        <w:tab/>
      </w:r>
      <w:r w:rsidRPr="004D3EB0">
        <w:rPr>
          <w:b/>
          <w:bCs/>
          <w:sz w:val="24"/>
          <w:szCs w:val="24"/>
          <w:lang w:val="en-GB"/>
        </w:rPr>
        <w:t>How to submit information</w:t>
      </w:r>
    </w:p>
    <w:p w:rsidRPr="004D3EB0" w:rsidR="009672DE" w:rsidP="009672DE" w:rsidRDefault="009672DE" w14:paraId="1B41D2A1" w14:textId="77777777">
      <w:pPr>
        <w:pStyle w:val="NormalNonumber"/>
        <w:tabs>
          <w:tab w:val="clear" w:pos="1814"/>
          <w:tab w:val="clear" w:pos="2381"/>
          <w:tab w:val="clear" w:pos="2948"/>
          <w:tab w:val="clear" w:pos="3515"/>
        </w:tabs>
        <w:rPr>
          <w:iCs/>
          <w:lang w:val="en-US"/>
        </w:rPr>
      </w:pPr>
      <w:r w:rsidRPr="004D3EB0">
        <w:rPr>
          <w:lang w:val="en-US"/>
        </w:rPr>
        <w:t>3.</w:t>
      </w:r>
      <w:r w:rsidRPr="004D3EB0">
        <w:rPr>
          <w:lang w:val="en-US"/>
        </w:rPr>
        <w:tab/>
      </w:r>
      <w:r w:rsidRPr="004D3EB0">
        <w:rPr>
          <w:lang w:val="en-US"/>
        </w:rPr>
        <w:t xml:space="preserve">Annex F information may be submitted to the Secretariat using a form provided by the Committee. The form may be obtained </w:t>
      </w:r>
      <w:r w:rsidRPr="004D3EB0" w:rsidDel="00405318">
        <w:rPr>
          <w:lang w:val="en-US"/>
        </w:rPr>
        <w:t xml:space="preserve">from </w:t>
      </w:r>
      <w:r w:rsidRPr="004D3EB0">
        <w:rPr>
          <w:lang w:val="en-US"/>
        </w:rPr>
        <w:t>the Convention focal points and from the Convention website.</w:t>
      </w:r>
      <w:r w:rsidRPr="004D3EB0">
        <w:rPr>
          <w:iCs/>
          <w:lang w:val="en-US"/>
        </w:rPr>
        <w:t xml:space="preserve"> It is preferable that Annex F information be submitted in electronic format in English; information may be submitted, however, in the other official languages of the United Nations (Arabic, Chinese, French, Russian and Spanish) and in hard copy. Please note that if you are completing the form electronically, the size of the boxes will adjust to the amount of text inserted and, thus, a complete form may be longer than the current number of pages. If you are completing a paper hard copy of the form, please include additional pages as required. The deadline for submitting information is indicated in the letter from the Secretariat inviting Parties and observers to provide information.</w:t>
      </w:r>
    </w:p>
    <w:p w:rsidRPr="004D3EB0" w:rsidR="009672DE" w:rsidP="009672DE" w:rsidRDefault="009672DE" w14:paraId="473A302C" w14:textId="77777777">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C.</w:t>
      </w:r>
      <w:r w:rsidRPr="004D3EB0">
        <w:rPr>
          <w:b/>
          <w:bCs/>
          <w:sz w:val="24"/>
          <w:szCs w:val="24"/>
          <w:lang w:val="en-GB"/>
        </w:rPr>
        <w:tab/>
      </w:r>
      <w:r w:rsidRPr="004D3EB0">
        <w:rPr>
          <w:b/>
          <w:bCs/>
          <w:sz w:val="24"/>
          <w:szCs w:val="24"/>
          <w:lang w:val="en-GB"/>
        </w:rPr>
        <w:t>Reminders to those submitting information</w:t>
      </w:r>
    </w:p>
    <w:p w:rsidRPr="004D3EB0" w:rsidR="009672DE" w:rsidP="009672DE" w:rsidRDefault="009672DE" w14:paraId="1E56DEFA" w14:textId="77777777">
      <w:pPr>
        <w:pStyle w:val="NormalNonumber"/>
        <w:tabs>
          <w:tab w:val="clear" w:pos="1814"/>
          <w:tab w:val="clear" w:pos="2381"/>
          <w:tab w:val="clear" w:pos="2948"/>
          <w:tab w:val="clear" w:pos="3515"/>
        </w:tabs>
        <w:rPr>
          <w:iCs/>
          <w:lang w:val="en-US"/>
        </w:rPr>
      </w:pPr>
      <w:r w:rsidRPr="004D3EB0">
        <w:rPr>
          <w:lang w:val="en-US"/>
        </w:rPr>
        <w:t>4.</w:t>
      </w:r>
      <w:r w:rsidRPr="004D3EB0">
        <w:rPr>
          <w:lang w:val="en-US"/>
        </w:rPr>
        <w:tab/>
      </w:r>
      <w:r w:rsidRPr="004D3EB0">
        <w:rPr>
          <w:lang w:val="en-US"/>
        </w:rPr>
        <w:t>Parties and observers providing annex F information should provide</w:t>
      </w:r>
      <w:r w:rsidRPr="004D3EB0">
        <w:rPr>
          <w:iCs/>
          <w:lang w:val="en-US"/>
        </w:rPr>
        <w:t xml:space="preserve"> it in a concise manner with clear and precise references.</w:t>
      </w:r>
      <w:r w:rsidRPr="004D3EB0">
        <w:rPr>
          <w:lang w:val="en-US"/>
        </w:rPr>
        <w:t xml:space="preserve"> If information on a specific item is not available, please so indicate. The information does not have to be national in nature; information from international sources maybe cited.</w:t>
      </w:r>
    </w:p>
    <w:p w:rsidRPr="004D3EB0" w:rsidR="009672DE" w:rsidP="009672DE" w:rsidRDefault="009672DE" w14:paraId="05B4F23E" w14:textId="77777777">
      <w:pPr>
        <w:pStyle w:val="NormalNonumber"/>
        <w:tabs>
          <w:tab w:val="clear" w:pos="1814"/>
          <w:tab w:val="clear" w:pos="2381"/>
          <w:tab w:val="clear" w:pos="2948"/>
          <w:tab w:val="clear" w:pos="3515"/>
        </w:tabs>
        <w:rPr>
          <w:lang w:val="en-US"/>
        </w:rPr>
      </w:pPr>
      <w:r w:rsidRPr="004D3EB0">
        <w:rPr>
          <w:iCs/>
          <w:lang w:val="en-US"/>
        </w:rPr>
        <w:t>5.</w:t>
      </w:r>
      <w:r w:rsidRPr="004D3EB0">
        <w:rPr>
          <w:iCs/>
          <w:lang w:val="en-US"/>
        </w:rPr>
        <w:tab/>
      </w:r>
      <w:r w:rsidRPr="004D3EB0">
        <w:rPr>
          <w:iCs/>
          <w:lang w:val="en-US"/>
        </w:rPr>
        <w:t>If possible and relevant provide additional i</w:t>
      </w:r>
      <w:r w:rsidRPr="004D3EB0">
        <w:rPr>
          <w:lang w:val="en-US"/>
        </w:rPr>
        <w:t xml:space="preserve">nformation to support the Committee’s scientific considerations in preparing the risk management evaluation such as study methods, tissue concentrations for comparative purposes and citations including original copies of papers that are not readily available in the public domain. Information which is not peer-reviewed may still be useful for the Committee. </w:t>
      </w:r>
    </w:p>
    <w:p w:rsidRPr="004D3EB0" w:rsidR="009672DE" w:rsidP="009672DE" w:rsidRDefault="009672DE" w14:paraId="09BDEAB3" w14:textId="77777777">
      <w:pPr>
        <w:pStyle w:val="NormalNonumber"/>
        <w:tabs>
          <w:tab w:val="clear" w:pos="1814"/>
          <w:tab w:val="clear" w:pos="2381"/>
          <w:tab w:val="clear" w:pos="2948"/>
          <w:tab w:val="clear" w:pos="3515"/>
        </w:tabs>
        <w:rPr>
          <w:lang w:val="en-US"/>
        </w:rPr>
      </w:pPr>
      <w:r w:rsidRPr="004D3EB0">
        <w:rPr>
          <w:lang w:val="en-US"/>
        </w:rPr>
        <w:t>6.</w:t>
      </w:r>
      <w:r w:rsidRPr="004D3EB0">
        <w:rPr>
          <w:lang w:val="en-US"/>
        </w:rPr>
        <w:tab/>
      </w:r>
      <w:r w:rsidRPr="004D3EB0">
        <w:rPr>
          <w:lang w:val="en-US"/>
        </w:rPr>
        <w:t xml:space="preserve">The explanatory notes under each item have been developed by the Persistent Organic Pollutants Review Committee to guide and assist submissions; they have no legal status. </w:t>
      </w:r>
    </w:p>
    <w:p w:rsidRPr="004D3EB0" w:rsidR="009672DE" w:rsidP="009672DE" w:rsidRDefault="009672DE" w14:paraId="55E19504" w14:textId="77777777">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D.</w:t>
      </w:r>
      <w:r w:rsidRPr="004D3EB0">
        <w:rPr>
          <w:b/>
          <w:bCs/>
          <w:sz w:val="24"/>
          <w:szCs w:val="24"/>
          <w:lang w:val="en-GB"/>
        </w:rPr>
        <w:tab/>
      </w:r>
      <w:r w:rsidRPr="004D3EB0">
        <w:rPr>
          <w:b/>
          <w:bCs/>
          <w:sz w:val="24"/>
          <w:szCs w:val="24"/>
          <w:lang w:val="en-GB"/>
        </w:rPr>
        <w:t xml:space="preserve">Possible control measures under the </w:t>
      </w:r>
      <w:smartTag w:uri="urn:schemas-microsoft-com:office:smarttags" w:element="place">
        <w:smartTag w:uri="urn:schemas-microsoft-com:office:smarttags" w:element="City">
          <w:r w:rsidRPr="004D3EB0">
            <w:rPr>
              <w:b/>
              <w:bCs/>
              <w:sz w:val="24"/>
              <w:szCs w:val="24"/>
              <w:lang w:val="en-GB"/>
            </w:rPr>
            <w:t>Stockholm</w:t>
          </w:r>
        </w:smartTag>
      </w:smartTag>
      <w:r w:rsidRPr="004D3EB0">
        <w:rPr>
          <w:b/>
          <w:bCs/>
          <w:sz w:val="24"/>
          <w:szCs w:val="24"/>
          <w:lang w:val="en-GB"/>
        </w:rPr>
        <w:t xml:space="preserve"> Convention</w:t>
      </w:r>
    </w:p>
    <w:p w:rsidRPr="004D3EB0" w:rsidR="009672DE" w:rsidP="009672DE" w:rsidRDefault="009672DE" w14:paraId="4A1E98F0" w14:textId="77777777">
      <w:pPr>
        <w:pStyle w:val="NormalNonumber"/>
        <w:tabs>
          <w:tab w:val="clear" w:pos="1814"/>
          <w:tab w:val="clear" w:pos="2381"/>
          <w:tab w:val="clear" w:pos="2948"/>
          <w:tab w:val="clear" w:pos="3515"/>
        </w:tabs>
        <w:rPr>
          <w:lang w:val="en-GB"/>
        </w:rPr>
      </w:pPr>
      <w:r w:rsidRPr="004D3EB0">
        <w:rPr>
          <w:lang w:val="en-GB"/>
        </w:rPr>
        <w:t>7.</w:t>
      </w:r>
      <w:r w:rsidRPr="004D3EB0">
        <w:rPr>
          <w:lang w:val="en-GB"/>
        </w:rPr>
        <w:tab/>
      </w:r>
      <w:r w:rsidRPr="004D3EB0">
        <w:rPr>
          <w:iCs/>
          <w:lang w:val="en-GB"/>
        </w:rPr>
        <w:t>The possible control measures under the Stockholm Convention for a given chemical are as follows:</w:t>
      </w:r>
    </w:p>
    <w:p w:rsidRPr="004D3EB0" w:rsidR="009672DE" w:rsidP="009672DE" w:rsidRDefault="009672DE" w14:paraId="12DE0AE7" w14:textId="77777777">
      <w:pPr>
        <w:spacing w:after="120"/>
        <w:ind w:left="1247" w:firstLine="624"/>
        <w:rPr>
          <w:bCs/>
          <w:iCs/>
        </w:rPr>
      </w:pPr>
      <w:r w:rsidRPr="004D3EB0">
        <w:rPr>
          <w:iCs/>
        </w:rPr>
        <w:t>(a)</w:t>
      </w:r>
      <w:r w:rsidRPr="004D3EB0">
        <w:rPr>
          <w:iCs/>
        </w:rPr>
        <w:tab/>
      </w:r>
      <w:r w:rsidRPr="004D3EB0">
        <w:rPr>
          <w:b/>
          <w:iCs/>
        </w:rPr>
        <w:t>Listing of the chemical in Annex A</w:t>
      </w:r>
      <w:r w:rsidRPr="004D3EB0">
        <w:rPr>
          <w:bCs/>
          <w:iCs/>
        </w:rPr>
        <w:t xml:space="preserve">: </w:t>
      </w:r>
      <w:r w:rsidRPr="004D3EB0">
        <w:rPr>
          <w:iCs/>
        </w:rPr>
        <w:t xml:space="preserve">This would mean elimination of the production, use, export and import of the chemical. </w:t>
      </w:r>
      <w:r w:rsidRPr="004D3EB0" w:rsidDel="00405318">
        <w:rPr>
          <w:iCs/>
        </w:rPr>
        <w:t>T</w:t>
      </w:r>
      <w:r w:rsidRPr="004D3EB0">
        <w:rPr>
          <w:iCs/>
        </w:rPr>
        <w:t>he Conference of the Parties might decide to provide for specific exemptions or to restrict the general exemptions laid down in paragraph 5 of Article 3 and notes (</w:t>
      </w:r>
      <w:proofErr w:type="spellStart"/>
      <w:r w:rsidRPr="004D3EB0">
        <w:rPr>
          <w:iCs/>
        </w:rPr>
        <w:t>i</w:t>
      </w:r>
      <w:proofErr w:type="spellEnd"/>
      <w:r w:rsidRPr="004D3EB0">
        <w:rPr>
          <w:iCs/>
        </w:rPr>
        <w:t>)–(iii) of Annex I. It might also add provisions that would apply specifically to the chemical (as is currently done for PCBs in Part II of Annex A). These additional provisions can cover a wide range of control measures such as restriction of certain uses, labelling requirements, waste management requirements or provision of information to users along with a requirement to report on progress toward elimination at certain intervals;</w:t>
      </w:r>
    </w:p>
    <w:p w:rsidRPr="004D3EB0" w:rsidR="009672DE" w:rsidP="009672DE" w:rsidRDefault="009672DE" w14:paraId="6B54FFFB" w14:textId="77777777">
      <w:pPr>
        <w:spacing w:after="120"/>
        <w:ind w:left="1247" w:firstLine="624"/>
        <w:rPr>
          <w:bCs/>
          <w:iCs/>
        </w:rPr>
      </w:pPr>
      <w:r w:rsidRPr="004D3EB0">
        <w:rPr>
          <w:iCs/>
        </w:rPr>
        <w:t>(b)</w:t>
      </w:r>
      <w:r w:rsidRPr="004D3EB0">
        <w:rPr>
          <w:iCs/>
        </w:rPr>
        <w:tab/>
      </w:r>
      <w:r w:rsidRPr="004D3EB0">
        <w:rPr>
          <w:b/>
          <w:iCs/>
        </w:rPr>
        <w:t>Listing of the chemical in Annex B</w:t>
      </w:r>
      <w:r w:rsidRPr="004D3EB0">
        <w:rPr>
          <w:bCs/>
          <w:iCs/>
        </w:rPr>
        <w:t xml:space="preserve">: </w:t>
      </w:r>
      <w:r w:rsidRPr="004D3EB0">
        <w:rPr>
          <w:iCs/>
        </w:rPr>
        <w:t xml:space="preserve">This would mean restriction of the production, use, export and import of the chemical. </w:t>
      </w:r>
      <w:r w:rsidRPr="004D3EB0" w:rsidDel="00405318">
        <w:rPr>
          <w:iCs/>
        </w:rPr>
        <w:t>If it decides to list the chemical in Annex B t</w:t>
      </w:r>
      <w:r w:rsidRPr="004D3EB0">
        <w:rPr>
          <w:iCs/>
        </w:rPr>
        <w:t>he Conference of the Parties will also specify acceptable purposes for the chemical in Annex B. It might also decide to provide for specific exemptions or to restrict the general exemptions laid down in paragraph 5 of Article 3 and notes (</w:t>
      </w:r>
      <w:proofErr w:type="spellStart"/>
      <w:r w:rsidRPr="004D3EB0">
        <w:rPr>
          <w:iCs/>
        </w:rPr>
        <w:t>i</w:t>
      </w:r>
      <w:proofErr w:type="spellEnd"/>
      <w:r w:rsidRPr="004D3EB0">
        <w:rPr>
          <w:iCs/>
        </w:rPr>
        <w:t xml:space="preserve">)–(iii) of Annex II. It might also add provisions that would apply specifically to the chemical (as is currently done for DDT in Part II of Annex B). These additional provisions can include the establishment of a register, a requirement to notify the Secretariat or other intergovernmental organizations regarding intent to use the substance, and </w:t>
      </w:r>
      <w:r w:rsidRPr="004D3EB0" w:rsidDel="00405318">
        <w:rPr>
          <w:iCs/>
        </w:rPr>
        <w:t xml:space="preserve">a requirement for </w:t>
      </w:r>
      <w:r w:rsidRPr="004D3EB0">
        <w:rPr>
          <w:iCs/>
        </w:rPr>
        <w:t>reporting on quantities used and conditions of use. Such provisions may also require the development and implementation of an action plan that includes the implementation of suitable alternatives and covers a wide range of control measures such as labelling or the provision of information to users;</w:t>
      </w:r>
    </w:p>
    <w:p w:rsidRPr="004D3EB0" w:rsidR="009672DE" w:rsidP="009672DE" w:rsidRDefault="009672DE" w14:paraId="36ED25A3" w14:textId="77777777">
      <w:pPr>
        <w:spacing w:after="120"/>
        <w:ind w:left="1247" w:firstLine="624"/>
        <w:rPr>
          <w:bCs/>
          <w:iCs/>
        </w:rPr>
      </w:pPr>
      <w:r w:rsidRPr="004D3EB0">
        <w:rPr>
          <w:iCs/>
        </w:rPr>
        <w:t>(c)</w:t>
      </w:r>
      <w:r w:rsidRPr="004D3EB0">
        <w:rPr>
          <w:iCs/>
        </w:rPr>
        <w:tab/>
      </w:r>
      <w:r w:rsidRPr="004D3EB0">
        <w:rPr>
          <w:b/>
          <w:iCs/>
        </w:rPr>
        <w:t>Listing of the chemical in Annex C</w:t>
      </w:r>
      <w:r w:rsidRPr="004D3EB0">
        <w:rPr>
          <w:bCs/>
          <w:iCs/>
        </w:rPr>
        <w:t xml:space="preserve">: </w:t>
      </w:r>
      <w:r w:rsidRPr="004D3EB0">
        <w:rPr>
          <w:iCs/>
        </w:rPr>
        <w:t xml:space="preserve">This Annex is applicable only to unintentionally produced </w:t>
      </w:r>
      <w:r w:rsidRPr="004D3EB0">
        <w:rPr>
          <w:iCs/>
          <w:lang w:eastAsia="ja-JP"/>
        </w:rPr>
        <w:t>chemicals</w:t>
      </w:r>
      <w:r w:rsidRPr="004D3EB0">
        <w:rPr>
          <w:iCs/>
        </w:rPr>
        <w:t xml:space="preserve">. Listing </w:t>
      </w:r>
      <w:r w:rsidRPr="004D3EB0">
        <w:rPr>
          <w:iCs/>
          <w:lang w:eastAsia="ja-JP"/>
        </w:rPr>
        <w:t>in</w:t>
      </w:r>
      <w:r w:rsidRPr="004D3EB0">
        <w:rPr>
          <w:iCs/>
        </w:rPr>
        <w:t xml:space="preserve"> Annex C would mean that the chemical would become subject to measures to prevent, reduce or eliminate the unintentional formation and release of the chemical. The Conference of the Parties might also include any further amendments of Annex C that would be necessary to address the chemical (e.g., additional source categories, additional process control methods or additional pollution prevention options);</w:t>
      </w:r>
    </w:p>
    <w:p w:rsidRPr="004D3EB0" w:rsidR="009672DE" w:rsidP="009672DE" w:rsidRDefault="009672DE" w14:paraId="42C9B5F5" w14:textId="77777777">
      <w:pPr>
        <w:spacing w:after="120"/>
        <w:ind w:left="1247" w:firstLine="624"/>
        <w:rPr>
          <w:iCs/>
        </w:rPr>
      </w:pPr>
      <w:r w:rsidRPr="004D3EB0">
        <w:t>(d)</w:t>
      </w:r>
      <w:r w:rsidRPr="004D3EB0">
        <w:tab/>
      </w:r>
      <w:r w:rsidRPr="004D3EB0">
        <w:t>Listing of the chemical in Annexes A, B and/or C also</w:t>
      </w:r>
      <w:r w:rsidRPr="004D3EB0">
        <w:rPr>
          <w:b/>
          <w:bCs/>
        </w:rPr>
        <w:t xml:space="preserve"> </w:t>
      </w:r>
      <w:r w:rsidRPr="004D3EB0">
        <w:t xml:space="preserve">make the chemical subject to the </w:t>
      </w:r>
      <w:r w:rsidRPr="004D3EB0">
        <w:rPr>
          <w:b/>
          <w:bCs/>
        </w:rPr>
        <w:t>control provisions of Article 6 on stockpiles</w:t>
      </w:r>
      <w:r w:rsidRPr="004D3EB0">
        <w:rPr>
          <w:b/>
          <w:bCs/>
          <w:lang w:eastAsia="ja-JP"/>
        </w:rPr>
        <w:t xml:space="preserve"> an</w:t>
      </w:r>
      <w:r w:rsidRPr="004D3EB0">
        <w:rPr>
          <w:b/>
          <w:bCs/>
        </w:rPr>
        <w:t>d waste</w:t>
      </w:r>
      <w:r w:rsidRPr="004D3EB0">
        <w:t xml:space="preserve">. These provisions include obligations to </w:t>
      </w:r>
      <w:r w:rsidRPr="004D3EB0">
        <w:rPr>
          <w:lang w:eastAsia="ja-JP"/>
        </w:rPr>
        <w:t xml:space="preserve">develop strategies for </w:t>
      </w:r>
      <w:r w:rsidRPr="004D3EB0">
        <w:t>identify</w:t>
      </w:r>
      <w:r w:rsidRPr="004D3EB0">
        <w:rPr>
          <w:lang w:eastAsia="ja-JP"/>
        </w:rPr>
        <w:t xml:space="preserve">ing products and articles in use that contain the chemical; to identify, to </w:t>
      </w:r>
      <w:r w:rsidRPr="004D3EB0">
        <w:t xml:space="preserve">the extent practicable, stockpiles and </w:t>
      </w:r>
      <w:r w:rsidRPr="004D3EB0">
        <w:rPr>
          <w:lang w:eastAsia="ja-JP"/>
        </w:rPr>
        <w:t xml:space="preserve">waste; </w:t>
      </w:r>
      <w:r w:rsidRPr="004D3EB0">
        <w:t>to manage such stockpiles safely</w:t>
      </w:r>
      <w:r w:rsidRPr="004D3EB0">
        <w:rPr>
          <w:lang w:eastAsia="ja-JP"/>
        </w:rPr>
        <w:t>;</w:t>
      </w:r>
      <w:r w:rsidRPr="004D3EB0">
        <w:t xml:space="preserve"> and to ensure that wastes are disposed of in such a way that the persistent organic pollutant content is destroyed or irreversibly transformed.</w:t>
      </w:r>
    </w:p>
    <w:p w:rsidRPr="004D3EB0" w:rsidR="009672DE" w:rsidP="009672DE" w:rsidRDefault="009672DE" w14:paraId="4F564661" w14:textId="77777777">
      <w:pPr>
        <w:pStyle w:val="NormalNonumber"/>
        <w:tabs>
          <w:tab w:val="clear" w:pos="1814"/>
          <w:tab w:val="clear" w:pos="2381"/>
          <w:tab w:val="clear" w:pos="2948"/>
          <w:tab w:val="clear" w:pos="3515"/>
        </w:tabs>
        <w:rPr>
          <w:lang w:val="en-US"/>
        </w:rPr>
      </w:pPr>
      <w:r w:rsidRPr="004D3EB0">
        <w:rPr>
          <w:lang w:val="en-US"/>
        </w:rPr>
        <w:t>8.</w:t>
      </w:r>
      <w:r w:rsidRPr="004D3EB0">
        <w:rPr>
          <w:lang w:val="en-US"/>
        </w:rPr>
        <w:tab/>
      </w:r>
      <w:r w:rsidRPr="004D3EB0">
        <w:rPr>
          <w:lang w:val="en-US"/>
        </w:rPr>
        <w:t>It should be noted that the same chemical can be listed in Annexes A, B and C.</w:t>
      </w:r>
    </w:p>
    <w:p w:rsidRPr="004D3EB0" w:rsidR="009672DE" w:rsidP="009672DE" w:rsidRDefault="009672DE" w14:paraId="3BD6D0EE" w14:textId="77777777">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E.</w:t>
      </w:r>
      <w:r w:rsidRPr="004D3EB0">
        <w:rPr>
          <w:b/>
          <w:bCs/>
          <w:sz w:val="24"/>
          <w:szCs w:val="24"/>
          <w:lang w:val="en-GB"/>
        </w:rPr>
        <w:tab/>
      </w:r>
      <w:r w:rsidRPr="004D3EB0">
        <w:rPr>
          <w:b/>
          <w:bCs/>
          <w:sz w:val="24"/>
          <w:szCs w:val="24"/>
          <w:lang w:val="en-GB"/>
        </w:rPr>
        <w:t>Guidance for information collection</w:t>
      </w:r>
    </w:p>
    <w:p w:rsidRPr="004D3EB0" w:rsidR="009672DE" w:rsidP="009672DE" w:rsidRDefault="009672DE" w14:paraId="3B19FE32" w14:textId="77777777">
      <w:pPr>
        <w:pStyle w:val="NormalNonumber"/>
        <w:tabs>
          <w:tab w:val="clear" w:pos="1814"/>
          <w:tab w:val="clear" w:pos="2381"/>
          <w:tab w:val="clear" w:pos="2948"/>
          <w:tab w:val="clear" w:pos="3515"/>
        </w:tabs>
        <w:rPr>
          <w:lang w:val="en-US"/>
        </w:rPr>
      </w:pPr>
      <w:r w:rsidRPr="004D3EB0">
        <w:rPr>
          <w:lang w:val="en-US"/>
        </w:rPr>
        <w:t>9.</w:t>
      </w:r>
      <w:r w:rsidRPr="004D3EB0">
        <w:rPr>
          <w:lang w:val="en-US"/>
        </w:rPr>
        <w:tab/>
      </w:r>
      <w:r w:rsidRPr="004D3EB0">
        <w:rPr>
          <w:lang w:val="en-US"/>
        </w:rPr>
        <w:t xml:space="preserve">A guidance document entitled “Handbook for effective participation in the work of the POPs Review Committee” contains the methodology for the identification and compilation of information required by the Committee. The handbook is available on the Convention’s website and </w:t>
      </w:r>
      <w:r w:rsidRPr="004D3EB0" w:rsidDel="00405318">
        <w:rPr>
          <w:lang w:val="en-US"/>
        </w:rPr>
        <w:t xml:space="preserve">hard copies </w:t>
      </w:r>
      <w:r w:rsidRPr="004D3EB0">
        <w:rPr>
          <w:lang w:val="en-US"/>
        </w:rPr>
        <w:t>may be obtained upon request to the Secretariat.</w:t>
      </w:r>
    </w:p>
    <w:p w:rsidRPr="004D3EB0" w:rsidR="009672DE" w:rsidP="009672DE" w:rsidRDefault="009672DE" w14:paraId="6F39A5CB" w14:textId="77777777">
      <w:pPr>
        <w:pStyle w:val="NormalNonumber"/>
        <w:tabs>
          <w:tab w:val="clear" w:pos="1814"/>
          <w:tab w:val="clear" w:pos="2381"/>
          <w:tab w:val="clear" w:pos="2948"/>
          <w:tab w:val="clear" w:pos="3515"/>
        </w:tabs>
        <w:rPr>
          <w:lang w:val="en-US"/>
        </w:rPr>
      </w:pPr>
      <w:r w:rsidRPr="004D3EB0">
        <w:rPr>
          <w:lang w:val="en-US"/>
        </w:rPr>
        <w:t>10.</w:t>
      </w:r>
      <w:r w:rsidRPr="004D3EB0">
        <w:rPr>
          <w:lang w:val="en-US"/>
        </w:rPr>
        <w:tab/>
      </w:r>
      <w:r w:rsidRPr="004D3EB0">
        <w:rPr>
          <w:lang w:val="en-US"/>
        </w:rPr>
        <w:t xml:space="preserve">It is suggested that each Party establish an ad hoc working group, perhaps building on the committee established to develop its national implementation plan, to assist the national focal point to collect and submit relevant information effectively. </w:t>
      </w:r>
    </w:p>
    <w:p w:rsidRPr="004D3EB0" w:rsidR="009672DE" w:rsidP="009672DE" w:rsidRDefault="009672DE" w14:paraId="119A5097" w14:textId="77777777">
      <w:pPr>
        <w:pStyle w:val="NormalNonumber"/>
        <w:tabs>
          <w:tab w:val="clear" w:pos="1814"/>
          <w:tab w:val="clear" w:pos="2381"/>
          <w:tab w:val="clear" w:pos="2948"/>
          <w:tab w:val="clear" w:pos="3515"/>
        </w:tabs>
        <w:rPr>
          <w:lang w:val="en-US"/>
        </w:rPr>
      </w:pPr>
      <w:smartTag w:uri="urn:schemas-microsoft-com:office:smarttags" w:element="PersonName">
        <w:r w:rsidRPr="004D3EB0">
          <w:rPr>
            <w:lang w:val="en-US"/>
          </w:rPr>
          <w:t>11</w:t>
        </w:r>
      </w:smartTag>
      <w:r w:rsidRPr="004D3EB0">
        <w:rPr>
          <w:lang w:val="en-US"/>
        </w:rPr>
        <w:t>.</w:t>
      </w:r>
      <w:r w:rsidRPr="004D3EB0">
        <w:rPr>
          <w:lang w:val="en-US"/>
        </w:rPr>
        <w:tab/>
      </w:r>
      <w:r w:rsidRPr="004D3EB0">
        <w:rPr>
          <w:lang w:val="en-US"/>
        </w:rPr>
        <w:t>Most of the information on use patterns, alternatives, production volumes, regulations and other measures taken to reduce releases could be provided by the Governments and by non-governmental organizations, including manufacturers and users from the industrial sector. Some information can be found in official Government documents or provided by non-governmental organizations such as industrial sectors while other information may be found in the so-called grey literature. Grey literature refers to literature that is not available through publishers or conventional bibliographic sources such as databases or indexes. Examples of grey literature include technical reports, fact sheets, patents, government documents, technical documents and unpublished works.</w:t>
      </w:r>
    </w:p>
    <w:p w:rsidRPr="004D3EB0" w:rsidR="009672DE" w:rsidP="009672DE" w:rsidRDefault="009672DE" w14:paraId="68125D70" w14:textId="77777777">
      <w:pPr>
        <w:pStyle w:val="NormalNonumber"/>
        <w:tabs>
          <w:tab w:val="clear" w:pos="1814"/>
          <w:tab w:val="clear" w:pos="2381"/>
          <w:tab w:val="clear" w:pos="2948"/>
          <w:tab w:val="clear" w:pos="3515"/>
        </w:tabs>
        <w:rPr>
          <w:lang w:val="en-US"/>
        </w:rPr>
      </w:pPr>
      <w:r w:rsidRPr="004D3EB0">
        <w:rPr>
          <w:lang w:val="en-US"/>
        </w:rPr>
        <w:t>12.</w:t>
      </w:r>
      <w:r w:rsidRPr="004D3EB0">
        <w:rPr>
          <w:lang w:val="en-US"/>
        </w:rPr>
        <w:tab/>
      </w:r>
      <w:r w:rsidRPr="004D3EB0" w:rsidDel="00405318">
        <w:rPr>
          <w:lang w:val="en-US"/>
        </w:rPr>
        <w:t>T</w:t>
      </w:r>
      <w:r w:rsidRPr="004D3EB0">
        <w:rPr>
          <w:lang w:val="en-US"/>
        </w:rPr>
        <w:t xml:space="preserve">o collect relevant information from various sectors a national survey could be carried out using questionnaires. A literature review on possible control measures may also be useful. </w:t>
      </w:r>
    </w:p>
    <w:p w:rsidRPr="004D3EB0" w:rsidR="009672DE" w:rsidP="009672DE" w:rsidRDefault="009672DE" w14:paraId="23976E73" w14:textId="77777777">
      <w:pPr>
        <w:pStyle w:val="NormalNonumber"/>
        <w:tabs>
          <w:tab w:val="clear" w:pos="1814"/>
          <w:tab w:val="clear" w:pos="2381"/>
          <w:tab w:val="clear" w:pos="2948"/>
          <w:tab w:val="clear" w:pos="3515"/>
        </w:tabs>
        <w:rPr>
          <w:lang w:val="en-US"/>
        </w:rPr>
      </w:pPr>
      <w:r w:rsidRPr="004D3EB0">
        <w:rPr>
          <w:lang w:val="en-US"/>
        </w:rPr>
        <w:t>13.</w:t>
      </w:r>
      <w:r w:rsidRPr="004D3EB0">
        <w:rPr>
          <w:lang w:val="en-US"/>
        </w:rPr>
        <w:tab/>
      </w:r>
      <w:r w:rsidRPr="004D3EB0">
        <w:rPr>
          <w:lang w:val="en-US"/>
        </w:rPr>
        <w:t>Other potential sources of information are listed below:</w:t>
      </w:r>
    </w:p>
    <w:p w:rsidRPr="004D3EB0" w:rsidR="009672DE" w:rsidP="009672DE" w:rsidRDefault="009672DE" w14:paraId="037506AD" w14:textId="77777777">
      <w:pPr>
        <w:spacing w:after="120"/>
        <w:ind w:left="1247" w:firstLine="624"/>
      </w:pPr>
      <w:r w:rsidRPr="004D3EB0">
        <w:t>(a)</w:t>
      </w:r>
      <w:r w:rsidRPr="004D3EB0">
        <w:tab/>
      </w:r>
      <w:r w:rsidRPr="004D3EB0">
        <w:t>International literature;</w:t>
      </w:r>
    </w:p>
    <w:p w:rsidRPr="004D3EB0" w:rsidR="009672DE" w:rsidP="009672DE" w:rsidRDefault="009672DE" w14:paraId="3B8DC69B" w14:textId="77777777">
      <w:pPr>
        <w:spacing w:after="120"/>
        <w:ind w:left="1247" w:firstLine="624"/>
      </w:pPr>
      <w:r w:rsidRPr="004D3EB0">
        <w:t>(b)</w:t>
      </w:r>
      <w:r w:rsidRPr="004D3EB0">
        <w:tab/>
      </w:r>
      <w:r w:rsidRPr="004D3EB0">
        <w:t>Databases;</w:t>
      </w:r>
    </w:p>
    <w:p w:rsidRPr="004D3EB0" w:rsidR="009672DE" w:rsidP="009672DE" w:rsidRDefault="009672DE" w14:paraId="49090525" w14:textId="77777777">
      <w:pPr>
        <w:spacing w:after="120"/>
        <w:ind w:left="1247" w:firstLine="624"/>
      </w:pPr>
      <w:r w:rsidRPr="004D3EB0">
        <w:t>(c)</w:t>
      </w:r>
      <w:r w:rsidRPr="004D3EB0">
        <w:tab/>
      </w:r>
      <w:r w:rsidRPr="004D3EB0">
        <w:t>Government sources, legislation;</w:t>
      </w:r>
    </w:p>
    <w:p w:rsidRPr="004D3EB0" w:rsidR="009672DE" w:rsidP="009672DE" w:rsidRDefault="009672DE" w14:paraId="7A17384D" w14:textId="77777777">
      <w:pPr>
        <w:spacing w:after="120"/>
        <w:ind w:left="1247" w:firstLine="624"/>
      </w:pPr>
      <w:r w:rsidRPr="004D3EB0">
        <w:t>(d)</w:t>
      </w:r>
      <w:r w:rsidRPr="004D3EB0">
        <w:tab/>
      </w:r>
      <w:r w:rsidRPr="004D3EB0">
        <w:t>National expertise (e.g., universities, institutes/research centres, non-governmental organizations, trade unions);</w:t>
      </w:r>
    </w:p>
    <w:p w:rsidRPr="004D3EB0" w:rsidR="009672DE" w:rsidP="009672DE" w:rsidRDefault="009672DE" w14:paraId="67D7D656" w14:textId="77777777">
      <w:pPr>
        <w:spacing w:after="120"/>
        <w:ind w:left="1247" w:firstLine="624"/>
      </w:pPr>
      <w:r w:rsidRPr="004D3EB0">
        <w:t>(e)</w:t>
      </w:r>
      <w:r w:rsidRPr="004D3EB0">
        <w:tab/>
      </w:r>
      <w:r w:rsidRPr="004D3EB0">
        <w:t>Industries (e.g., producers, importers, suppliers, users).</w:t>
      </w:r>
    </w:p>
    <w:p w:rsidRPr="004D3EB0" w:rsidR="009672DE" w:rsidP="009672DE" w:rsidRDefault="009672DE" w14:paraId="5E467E87" w14:textId="77777777">
      <w:pPr>
        <w:autoSpaceDE w:val="0"/>
        <w:autoSpaceDN w:val="0"/>
        <w:adjustRightInd w:val="0"/>
        <w:ind w:firstLine="720"/>
        <w:rPr>
          <w:color w:val="000000"/>
          <w:sz w:val="22"/>
          <w:szCs w:val="22"/>
        </w:rPr>
      </w:pPr>
    </w:p>
    <w:bookmarkEnd w:id="0"/>
    <w:p w:rsidR="00037C07" w:rsidP="00F10547" w:rsidRDefault="00037C07" w14:paraId="5170E05A" w14:textId="77777777">
      <w:pPr>
        <w:pStyle w:val="CH1"/>
        <w:ind w:left="0"/>
      </w:pPr>
    </w:p>
    <w:sectPr w:rsidR="00037C07" w:rsidSect="000B454B">
      <w:headerReference w:type="default" r:id="rId11"/>
      <w:footerReference w:type="default" r:id="rId12"/>
      <w:headerReference w:type="first" r:id="rId13"/>
      <w:footerReference w:type="first" r:id="rId14"/>
      <w:type w:val="continuous"/>
      <w:pgSz w:w="11907" w:h="16840" w:orient="portrait" w:code="9"/>
      <w:pgMar w:top="1134" w:right="1134" w:bottom="1134" w:left="1134" w:header="624"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7316" w:rsidRDefault="000A7316" w14:paraId="3B5D8F4C" w14:textId="77777777">
      <w:r>
        <w:separator/>
      </w:r>
    </w:p>
  </w:endnote>
  <w:endnote w:type="continuationSeparator" w:id="0">
    <w:p w:rsidR="000A7316" w:rsidRDefault="000A7316" w14:paraId="6A2B12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color="999999" w:sz="6" w:space="0"/>
      </w:tblBorders>
      <w:tblLook w:val="01E0" w:firstRow="1" w:lastRow="1" w:firstColumn="1" w:lastColumn="1" w:noHBand="0" w:noVBand="0"/>
    </w:tblPr>
    <w:tblGrid>
      <w:gridCol w:w="9639"/>
    </w:tblGrid>
    <w:tr w:rsidRPr="00986A56" w:rsidR="00A6356B" w14:paraId="1E37A920" w14:textId="77777777">
      <w:tc>
        <w:tcPr>
          <w:tcW w:w="10476" w:type="dxa"/>
        </w:tcPr>
        <w:p w:rsidRPr="00986A56" w:rsidR="00A6356B" w:rsidP="00986A56" w:rsidRDefault="00A6356B" w14:paraId="5CF42B8D" w14:textId="77777777">
          <w:pPr>
            <w:pStyle w:val="Footer"/>
            <w:spacing w:before="40"/>
            <w:jc w:val="center"/>
            <w:rPr>
              <w:rFonts w:ascii="Arial" w:hAnsi="Arial" w:cs="Arial"/>
              <w:sz w:val="14"/>
              <w:szCs w:val="14"/>
              <w:lang w:val="fr-FR"/>
            </w:rPr>
          </w:pPr>
          <w:r w:rsidRPr="00986A56">
            <w:rPr>
              <w:rFonts w:ascii="Arial" w:hAnsi="Arial" w:cs="Arial"/>
              <w:sz w:val="14"/>
              <w:szCs w:val="14"/>
              <w:lang w:val="fr-FR"/>
            </w:rPr>
            <w:t>Office location/</w:t>
          </w:r>
          <w:proofErr w:type="gramStart"/>
          <w:r w:rsidRPr="00986A56">
            <w:rPr>
              <w:rFonts w:ascii="Arial" w:hAnsi="Arial" w:cs="Arial"/>
              <w:sz w:val="14"/>
              <w:szCs w:val="14"/>
              <w:lang w:val="fr-FR"/>
            </w:rPr>
            <w:t>Bureaux:</w:t>
          </w:r>
          <w:proofErr w:type="gramEnd"/>
          <w:r w:rsidRPr="00986A56">
            <w:rPr>
              <w:rFonts w:ascii="Arial" w:hAnsi="Arial" w:cs="Arial"/>
              <w:sz w:val="14"/>
              <w:szCs w:val="14"/>
              <w:lang w:val="fr-FR"/>
            </w:rPr>
            <w:t xml:space="preserve"> International </w:t>
          </w:r>
          <w:proofErr w:type="spellStart"/>
          <w:r w:rsidRPr="00644730">
            <w:rPr>
              <w:rFonts w:ascii="Arial" w:hAnsi="Arial" w:cs="Arial"/>
              <w:sz w:val="14"/>
              <w:szCs w:val="14"/>
              <w:lang w:val="fr-CH"/>
            </w:rPr>
            <w:t>Environment</w:t>
          </w:r>
          <w:proofErr w:type="spellEnd"/>
          <w:r w:rsidRPr="00986A56">
            <w:rPr>
              <w:rFonts w:ascii="Arial" w:hAnsi="Arial" w:cs="Arial"/>
              <w:sz w:val="14"/>
              <w:szCs w:val="14"/>
              <w:lang w:val="fr-FR"/>
            </w:rPr>
            <w:t xml:space="preserve"> House 1, 11-13 chemin des Anémones, Châtelaine – Geneva. </w:t>
          </w:r>
          <w:smartTag w:uri="urn:schemas-microsoft-com:office:smarttags" w:element="country-region">
            <w:smartTag w:uri="urn:schemas-microsoft-com:office:smarttags" w:element="place">
              <w:r w:rsidRPr="00986A56">
                <w:rPr>
                  <w:rFonts w:ascii="Arial" w:hAnsi="Arial" w:cs="Arial"/>
                  <w:sz w:val="14"/>
                  <w:szCs w:val="14"/>
                </w:rPr>
                <w:t>Switzerland</w:t>
              </w:r>
            </w:smartTag>
          </w:smartTag>
        </w:p>
      </w:tc>
    </w:tr>
  </w:tbl>
  <w:p w:rsidRPr="0053646C" w:rsidR="00A6356B" w:rsidRDefault="00A6356B" w14:paraId="585FEF7D" w14:textId="7777777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color="999999" w:sz="6" w:space="0"/>
      </w:tblBorders>
      <w:tblLook w:val="01E0" w:firstRow="1" w:lastRow="1" w:firstColumn="1" w:lastColumn="1" w:noHBand="0" w:noVBand="0"/>
    </w:tblPr>
    <w:tblGrid>
      <w:gridCol w:w="9639"/>
    </w:tblGrid>
    <w:tr w:rsidRPr="00986A56" w:rsidR="00A6356B" w14:paraId="284F5CBF" w14:textId="77777777">
      <w:tc>
        <w:tcPr>
          <w:tcW w:w="10251" w:type="dxa"/>
        </w:tcPr>
        <w:p w:rsidRPr="00986A56" w:rsidR="00A6356B" w:rsidP="00986A56" w:rsidRDefault="00A6356B" w14:paraId="4B26BDE2" w14:textId="77777777">
          <w:pPr>
            <w:pStyle w:val="Footer"/>
            <w:spacing w:before="40"/>
            <w:jc w:val="center"/>
            <w:rPr>
              <w:rFonts w:ascii="Arial" w:hAnsi="Arial" w:cs="Arial"/>
              <w:sz w:val="16"/>
              <w:szCs w:val="16"/>
            </w:rPr>
          </w:pPr>
          <w:bookmarkStart w:name="OLE_LINK1" w:id="1"/>
          <w:bookmarkStart w:name="OLE_LINK2" w:id="2"/>
          <w:r w:rsidRPr="00986A56">
            <w:rPr>
              <w:rFonts w:ascii="Arial" w:hAnsi="Arial" w:cs="Arial"/>
              <w:sz w:val="16"/>
              <w:szCs w:val="16"/>
            </w:rPr>
            <w:t xml:space="preserve">Secretariat of the </w:t>
          </w:r>
          <w:smartTag w:uri="urn:schemas-microsoft-com:office:smarttags" w:element="City">
            <w:smartTag w:uri="urn:schemas-microsoft-com:office:smarttags" w:element="place">
              <w:r w:rsidRPr="00986A56">
                <w:rPr>
                  <w:rFonts w:ascii="Arial" w:hAnsi="Arial" w:cs="Arial"/>
                  <w:sz w:val="16"/>
                  <w:szCs w:val="16"/>
                </w:rPr>
                <w:t>Stockholm</w:t>
              </w:r>
            </w:smartTag>
          </w:smartTag>
          <w:r w:rsidRPr="00986A56">
            <w:rPr>
              <w:rFonts w:ascii="Arial" w:hAnsi="Arial" w:cs="Arial"/>
              <w:sz w:val="16"/>
              <w:szCs w:val="16"/>
            </w:rPr>
            <w:t xml:space="preserve"> Convention on Persistent Organic Pollutants</w:t>
          </w:r>
          <w:bookmarkEnd w:id="1"/>
          <w:bookmarkEnd w:id="2"/>
        </w:p>
      </w:tc>
    </w:tr>
  </w:tbl>
  <w:p w:rsidR="00A6356B" w:rsidP="0053646C" w:rsidRDefault="00A6356B" w14:paraId="07A5D678" w14:textId="77777777">
    <w:pPr>
      <w:pStyle w:val="Footer"/>
      <w:spacing w:before="40"/>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7316" w:rsidRDefault="000A7316" w14:paraId="5B8B691D" w14:textId="77777777">
      <w:r>
        <w:separator/>
      </w:r>
    </w:p>
  </w:footnote>
  <w:footnote w:type="continuationSeparator" w:id="0">
    <w:p w:rsidR="000A7316" w:rsidRDefault="000A7316" w14:paraId="2375BB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356B" w:rsidP="00836334" w:rsidRDefault="00A6356B" w14:paraId="073C3432" w14:textId="77777777">
    <w:pPr>
      <w:widowControl w:val="0"/>
      <w:pBdr>
        <w:bottom w:val="single" w:color="999999" w:sz="6" w:space="4"/>
      </w:pBdr>
      <w:tabs>
        <w:tab w:val="right" w:pos="10065"/>
      </w:tabs>
      <w:spacing w:after="60"/>
      <w:ind w:right="-28"/>
      <w:rPr>
        <w:rtl/>
        <w:lang w:val="fr-FR"/>
      </w:rPr>
    </w:pPr>
    <w:r w:rsidRPr="00836334">
      <w:rPr>
        <w:rFonts w:ascii="Arial" w:hAnsi="Arial" w:cs="Arial"/>
        <w:sz w:val="16"/>
        <w:szCs w:val="16"/>
      </w:rPr>
      <w:t>Secretariat of the Stockholm Convention on Persistent Organic Pollutants</w:t>
    </w:r>
    <w:r>
      <w:rPr>
        <w:rFonts w:ascii="Arial" w:hAnsi="Arial" w:cs="Arial"/>
        <w:sz w:val="12"/>
        <w:szCs w:val="12"/>
      </w:rPr>
      <w:tab/>
    </w:r>
    <w:r w:rsidRPr="00836334">
      <w:rPr>
        <w:rFonts w:ascii="Arial" w:hAnsi="Arial" w:cs="Arial"/>
        <w:sz w:val="16"/>
        <w:szCs w:val="16"/>
      </w:rPr>
      <w:t xml:space="preserve">page </w:t>
    </w:r>
    <w:r w:rsidRPr="00836334">
      <w:rPr>
        <w:rStyle w:val="PageNumber"/>
        <w:rFonts w:ascii="Arial" w:hAnsi="Arial" w:cs="Arial"/>
        <w:sz w:val="16"/>
        <w:szCs w:val="16"/>
      </w:rPr>
      <w:fldChar w:fldCharType="begin"/>
    </w:r>
    <w:r w:rsidRPr="00836334">
      <w:rPr>
        <w:rStyle w:val="PageNumber"/>
        <w:rFonts w:ascii="Arial" w:hAnsi="Arial" w:cs="Arial"/>
        <w:sz w:val="16"/>
        <w:szCs w:val="16"/>
      </w:rPr>
      <w:instrText xml:space="preserve"> PAGE </w:instrText>
    </w:r>
    <w:r w:rsidRPr="00836334">
      <w:rPr>
        <w:rStyle w:val="PageNumber"/>
        <w:rFonts w:ascii="Arial" w:hAnsi="Arial" w:cs="Arial"/>
        <w:sz w:val="16"/>
        <w:szCs w:val="16"/>
      </w:rPr>
      <w:fldChar w:fldCharType="separate"/>
    </w:r>
    <w:r w:rsidR="00F55CB2">
      <w:rPr>
        <w:rStyle w:val="PageNumber"/>
        <w:rFonts w:ascii="Arial" w:hAnsi="Arial" w:cs="Arial"/>
        <w:noProof/>
        <w:sz w:val="16"/>
        <w:szCs w:val="16"/>
      </w:rPr>
      <w:t>5</w:t>
    </w:r>
    <w:r w:rsidRPr="00836334">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6A7E" w:rsidP="005F6A7E" w:rsidRDefault="005F6A7E" w14:paraId="2FBAB6AC" w14:textId="77777777">
    <w:pPr>
      <w:widowControl w:val="0"/>
      <w:pBdr>
        <w:bottom w:val="single" w:color="999999" w:sz="6" w:space="4"/>
      </w:pBdr>
      <w:tabs>
        <w:tab w:val="right" w:pos="10065"/>
      </w:tabs>
      <w:spacing w:after="60"/>
      <w:ind w:right="-28"/>
      <w:rPr>
        <w:rtl/>
        <w:lang w:val="fr-FR"/>
      </w:rPr>
    </w:pPr>
    <w:r w:rsidRPr="00836334">
      <w:rPr>
        <w:rFonts w:ascii="Arial" w:hAnsi="Arial" w:cs="Arial"/>
        <w:sz w:val="16"/>
        <w:szCs w:val="16"/>
      </w:rPr>
      <w:t>Secretariat of the Stockholm Convention on Persistent Organic Pollutants</w:t>
    </w:r>
    <w:r>
      <w:rPr>
        <w:rFonts w:ascii="Arial" w:hAnsi="Arial" w:cs="Arial"/>
        <w:sz w:val="12"/>
        <w:szCs w:val="12"/>
      </w:rPr>
      <w:tab/>
    </w:r>
    <w:r w:rsidRPr="00836334">
      <w:rPr>
        <w:rFonts w:ascii="Arial" w:hAnsi="Arial" w:cs="Arial"/>
        <w:sz w:val="16"/>
        <w:szCs w:val="16"/>
      </w:rPr>
      <w:t xml:space="preserve">page </w:t>
    </w:r>
    <w:r w:rsidRPr="00836334">
      <w:rPr>
        <w:rStyle w:val="PageNumber"/>
        <w:rFonts w:ascii="Arial" w:hAnsi="Arial" w:cs="Arial"/>
        <w:sz w:val="16"/>
        <w:szCs w:val="16"/>
      </w:rPr>
      <w:fldChar w:fldCharType="begin"/>
    </w:r>
    <w:r w:rsidRPr="00836334">
      <w:rPr>
        <w:rStyle w:val="PageNumber"/>
        <w:rFonts w:ascii="Arial" w:hAnsi="Arial" w:cs="Arial"/>
        <w:sz w:val="16"/>
        <w:szCs w:val="16"/>
      </w:rPr>
      <w:instrText xml:space="preserve"> PAGE </w:instrText>
    </w:r>
    <w:r w:rsidRPr="00836334">
      <w:rPr>
        <w:rStyle w:val="PageNumber"/>
        <w:rFonts w:ascii="Arial" w:hAnsi="Arial" w:cs="Arial"/>
        <w:sz w:val="16"/>
        <w:szCs w:val="16"/>
      </w:rPr>
      <w:fldChar w:fldCharType="separate"/>
    </w:r>
    <w:r w:rsidR="00F55CB2">
      <w:rPr>
        <w:rStyle w:val="PageNumber"/>
        <w:rFonts w:ascii="Arial" w:hAnsi="Arial" w:cs="Arial"/>
        <w:noProof/>
        <w:sz w:val="16"/>
        <w:szCs w:val="16"/>
      </w:rPr>
      <w:t>1</w:t>
    </w:r>
    <w:r w:rsidRPr="00836334">
      <w:rPr>
        <w:rStyle w:val="PageNumbe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6FD5"/>
    <w:multiLevelType w:val="hybridMultilevel"/>
    <w:tmpl w:val="12DE13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50FFE"/>
    <w:multiLevelType w:val="hybridMultilevel"/>
    <w:tmpl w:val="65DC27D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E043C2"/>
    <w:multiLevelType w:val="hybridMultilevel"/>
    <w:tmpl w:val="A28AF862"/>
    <w:lvl w:ilvl="0" w:tplc="DC08B1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57344"/>
    <w:multiLevelType w:val="hybridMultilevel"/>
    <w:tmpl w:val="79761C04"/>
    <w:lvl w:ilvl="0" w:tplc="5F84B852">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0E045DEB"/>
    <w:multiLevelType w:val="hybridMultilevel"/>
    <w:tmpl w:val="8074720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EF27AF0"/>
    <w:multiLevelType w:val="hybridMultilevel"/>
    <w:tmpl w:val="F59E43FA"/>
    <w:lvl w:ilvl="0" w:tplc="A06CD97C">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90F30"/>
    <w:multiLevelType w:val="hybridMultilevel"/>
    <w:tmpl w:val="9B4656C4"/>
    <w:lvl w:ilvl="0" w:tplc="5F84B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E4530"/>
    <w:multiLevelType w:val="hybridMultilevel"/>
    <w:tmpl w:val="3FC62492"/>
    <w:lvl w:ilvl="0" w:tplc="E92E3CEA">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1E043DE3"/>
    <w:multiLevelType w:val="hybridMultilevel"/>
    <w:tmpl w:val="CB10E088"/>
    <w:lvl w:ilvl="0" w:tplc="04090003">
      <w:start w:val="1"/>
      <w:numFmt w:val="bullet"/>
      <w:lvlText w:val="o"/>
      <w:lvlJc w:val="left"/>
      <w:pPr>
        <w:ind w:left="1434" w:hanging="360"/>
      </w:pPr>
      <w:rPr>
        <w:rFonts w:hint="default" w:ascii="Courier New" w:hAnsi="Courier New" w:cs="Courier New"/>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203A0F01"/>
    <w:multiLevelType w:val="hybridMultilevel"/>
    <w:tmpl w:val="E2D6BD58"/>
    <w:lvl w:ilvl="0" w:tplc="9BF8F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8C0ADC"/>
    <w:multiLevelType w:val="hybridMultilevel"/>
    <w:tmpl w:val="C2B88D9C"/>
    <w:lvl w:ilvl="0" w:tplc="0A3ABFB0">
      <w:start w:val="1"/>
      <w:numFmt w:val="bullet"/>
      <w:lvlText w:val=""/>
      <w:lvlJc w:val="left"/>
      <w:pPr>
        <w:tabs>
          <w:tab w:val="num" w:pos="720"/>
        </w:tabs>
        <w:ind w:left="720" w:hanging="360"/>
      </w:pPr>
      <w:rPr>
        <w:rFonts w:hint="default" w:ascii="Symbol" w:hAnsi="Symbol"/>
        <w:sz w:val="22"/>
        <w:szCs w:val="22"/>
      </w:rPr>
    </w:lvl>
    <w:lvl w:ilvl="1" w:tplc="C616B726">
      <w:start w:val="1"/>
      <w:numFmt w:val="bullet"/>
      <w:lvlText w:val=""/>
      <w:lvlJc w:val="left"/>
      <w:pPr>
        <w:tabs>
          <w:tab w:val="num" w:pos="1512"/>
        </w:tabs>
        <w:ind w:left="1512" w:hanging="432"/>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D013ED5"/>
    <w:multiLevelType w:val="hybridMultilevel"/>
    <w:tmpl w:val="218EC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629AA"/>
    <w:multiLevelType w:val="hybridMultilevel"/>
    <w:tmpl w:val="429AA41E"/>
    <w:lvl w:ilvl="0" w:tplc="273ECBAE">
      <w:start w:val="1"/>
      <w:numFmt w:val="decimal"/>
      <w:lvlText w:val="%1."/>
      <w:lvlJc w:val="left"/>
      <w:pPr>
        <w:tabs>
          <w:tab w:val="num" w:pos="1967"/>
        </w:tabs>
        <w:ind w:left="1967" w:hanging="360"/>
      </w:pPr>
      <w:rPr>
        <w:rFonts w:cs="Times New Roman"/>
        <w:i w:val="0"/>
      </w:rPr>
    </w:lvl>
    <w:lvl w:ilvl="1" w:tplc="AC8601CC">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D1B7442"/>
    <w:multiLevelType w:val="hybridMultilevel"/>
    <w:tmpl w:val="04A6ACE4"/>
    <w:lvl w:ilvl="0" w:tplc="3CFE2820">
      <w:start w:val="1"/>
      <w:numFmt w:val="upperLetter"/>
      <w:pStyle w:val="CH2"/>
      <w:lvlText w:val="%1."/>
      <w:lvlJc w:val="left"/>
      <w:pPr>
        <w:tabs>
          <w:tab w:val="num" w:pos="578"/>
        </w:tabs>
        <w:ind w:left="578" w:firstLine="0"/>
      </w:pPr>
      <w:rPr>
        <w:rFonts w:hint="default" w:ascii="Times New Roman" w:hAnsi="Times New Roman"/>
        <w:b/>
        <w:i w:val="0"/>
        <w:sz w:val="24"/>
        <w:szCs w:val="24"/>
      </w:rPr>
    </w:lvl>
    <w:lvl w:ilvl="1" w:tplc="04090019" w:tentative="1">
      <w:start w:val="1"/>
      <w:numFmt w:val="lowerLetter"/>
      <w:lvlText w:val="%2."/>
      <w:lvlJc w:val="left"/>
      <w:pPr>
        <w:tabs>
          <w:tab w:val="num" w:pos="2494"/>
        </w:tabs>
        <w:ind w:left="2494" w:hanging="360"/>
      </w:pPr>
    </w:lvl>
    <w:lvl w:ilvl="2" w:tplc="CE08A9E6" w:tentative="1">
      <w:start w:val="1"/>
      <w:numFmt w:val="lowerRoman"/>
      <w:lvlText w:val="%3."/>
      <w:lvlJc w:val="right"/>
      <w:pPr>
        <w:tabs>
          <w:tab w:val="num" w:pos="3214"/>
        </w:tabs>
        <w:ind w:left="3214" w:hanging="180"/>
      </w:pPr>
    </w:lvl>
    <w:lvl w:ilvl="3" w:tplc="B99E908E"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4" w15:restartNumberingAfterBreak="0">
    <w:nsid w:val="3E32389A"/>
    <w:multiLevelType w:val="hybridMultilevel"/>
    <w:tmpl w:val="7B82A5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F042FD4"/>
    <w:multiLevelType w:val="hybridMultilevel"/>
    <w:tmpl w:val="D6703B60"/>
    <w:lvl w:ilvl="0" w:tplc="5F84B852">
      <w:start w:val="1"/>
      <w:numFmt w:val="lowerLetter"/>
      <w:lvlText w:val="(%1)"/>
      <w:lvlJc w:val="left"/>
      <w:pPr>
        <w:ind w:left="720" w:hanging="360"/>
      </w:pPr>
      <w:rPr>
        <w:rFonts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D524B2"/>
    <w:multiLevelType w:val="hybridMultilevel"/>
    <w:tmpl w:val="0B4E34B2"/>
    <w:lvl w:ilvl="0" w:tplc="1B224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D13E5"/>
    <w:multiLevelType w:val="hybridMultilevel"/>
    <w:tmpl w:val="5DE45D68"/>
    <w:lvl w:ilvl="0" w:tplc="EE2A406E">
      <w:start w:val="1"/>
      <w:numFmt w:val="bullet"/>
      <w:lvlText w:val=""/>
      <w:lvlJc w:val="left"/>
      <w:pPr>
        <w:ind w:left="720" w:hanging="360"/>
      </w:pPr>
      <w:rPr>
        <w:rFonts w:hint="default" w:ascii="Symbol" w:hAnsi="Symbol"/>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B068E7"/>
    <w:multiLevelType w:val="hybridMultilevel"/>
    <w:tmpl w:val="9B4656C4"/>
    <w:lvl w:ilvl="0" w:tplc="5F84B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90F34"/>
    <w:multiLevelType w:val="hybridMultilevel"/>
    <w:tmpl w:val="14380286"/>
    <w:lvl w:ilvl="0" w:tplc="0136A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1977D3"/>
    <w:multiLevelType w:val="hybridMultilevel"/>
    <w:tmpl w:val="71E279E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60FA8"/>
    <w:multiLevelType w:val="hybridMultilevel"/>
    <w:tmpl w:val="A956E8C6"/>
    <w:lvl w:ilvl="0" w:tplc="E654B3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D22CE2"/>
    <w:multiLevelType w:val="hybridMultilevel"/>
    <w:tmpl w:val="089C8DE0"/>
    <w:lvl w:ilvl="0" w:tplc="5F84B852">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0A82F8A"/>
    <w:multiLevelType w:val="hybridMultilevel"/>
    <w:tmpl w:val="238AB46C"/>
    <w:lvl w:ilvl="0" w:tplc="4D3425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C824EB"/>
    <w:multiLevelType w:val="hybridMultilevel"/>
    <w:tmpl w:val="E47E5740"/>
    <w:lvl w:ilvl="0" w:tplc="C624EF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6009E"/>
    <w:multiLevelType w:val="hybridMultilevel"/>
    <w:tmpl w:val="187EFE7E"/>
    <w:lvl w:ilvl="0" w:tplc="C7D24C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E767A"/>
    <w:multiLevelType w:val="hybridMultilevel"/>
    <w:tmpl w:val="D93A2268"/>
    <w:lvl w:ilvl="0" w:tplc="FFFFFFFF">
      <w:start w:val="1"/>
      <w:numFmt w:val="decimal"/>
      <w:lvlText w:val="%1."/>
      <w:lvlJc w:val="left"/>
      <w:pPr>
        <w:tabs>
          <w:tab w:val="num" w:pos="2340"/>
        </w:tabs>
        <w:ind w:left="23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7C523B73"/>
    <w:multiLevelType w:val="hybridMultilevel"/>
    <w:tmpl w:val="D7B6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12517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831820">
    <w:abstractNumId w:val="12"/>
  </w:num>
  <w:num w:numId="3" w16cid:durableId="757945368">
    <w:abstractNumId w:val="19"/>
  </w:num>
  <w:num w:numId="4" w16cid:durableId="338847508">
    <w:abstractNumId w:val="0"/>
  </w:num>
  <w:num w:numId="5" w16cid:durableId="1868175724">
    <w:abstractNumId w:val="11"/>
  </w:num>
  <w:num w:numId="6" w16cid:durableId="851841011">
    <w:abstractNumId w:val="4"/>
  </w:num>
  <w:num w:numId="7" w16cid:durableId="865946875">
    <w:abstractNumId w:val="10"/>
  </w:num>
  <w:num w:numId="8" w16cid:durableId="1327591840">
    <w:abstractNumId w:val="16"/>
  </w:num>
  <w:num w:numId="9" w16cid:durableId="789780329">
    <w:abstractNumId w:val="23"/>
  </w:num>
  <w:num w:numId="10" w16cid:durableId="1120108023">
    <w:abstractNumId w:val="27"/>
  </w:num>
  <w:num w:numId="11" w16cid:durableId="273290467">
    <w:abstractNumId w:val="21"/>
  </w:num>
  <w:num w:numId="12" w16cid:durableId="358745427">
    <w:abstractNumId w:val="9"/>
  </w:num>
  <w:num w:numId="13" w16cid:durableId="1285501179">
    <w:abstractNumId w:val="24"/>
  </w:num>
  <w:num w:numId="14" w16cid:durableId="150029219">
    <w:abstractNumId w:val="25"/>
  </w:num>
  <w:num w:numId="15" w16cid:durableId="796990426">
    <w:abstractNumId w:val="14"/>
  </w:num>
  <w:num w:numId="16" w16cid:durableId="185103216">
    <w:abstractNumId w:val="5"/>
  </w:num>
  <w:num w:numId="17" w16cid:durableId="1361934793">
    <w:abstractNumId w:val="17"/>
  </w:num>
  <w:num w:numId="18" w16cid:durableId="1745301411">
    <w:abstractNumId w:val="13"/>
  </w:num>
  <w:num w:numId="19" w16cid:durableId="72435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270575">
    <w:abstractNumId w:val="3"/>
  </w:num>
  <w:num w:numId="21" w16cid:durableId="85424947">
    <w:abstractNumId w:val="7"/>
  </w:num>
  <w:num w:numId="22" w16cid:durableId="481388580">
    <w:abstractNumId w:val="6"/>
  </w:num>
  <w:num w:numId="23" w16cid:durableId="1802724778">
    <w:abstractNumId w:val="2"/>
  </w:num>
  <w:num w:numId="24" w16cid:durableId="1667904095">
    <w:abstractNumId w:val="18"/>
  </w:num>
  <w:num w:numId="25" w16cid:durableId="1176650903">
    <w:abstractNumId w:val="15"/>
  </w:num>
  <w:num w:numId="26" w16cid:durableId="1777092879">
    <w:abstractNumId w:val="22"/>
  </w:num>
  <w:num w:numId="27" w16cid:durableId="780228655">
    <w:abstractNumId w:val="8"/>
  </w:num>
  <w:num w:numId="28" w16cid:durableId="2133009673">
    <w:abstractNumId w:val="20"/>
  </w:num>
  <w:num w:numId="29" w16cid:durableId="28805104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activeWritingStyle w:lang="fr-F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FC"/>
    <w:rsid w:val="000103F4"/>
    <w:rsid w:val="00011D9A"/>
    <w:rsid w:val="00022029"/>
    <w:rsid w:val="000238BC"/>
    <w:rsid w:val="00024CBD"/>
    <w:rsid w:val="00027ED2"/>
    <w:rsid w:val="00033029"/>
    <w:rsid w:val="00035323"/>
    <w:rsid w:val="0003698B"/>
    <w:rsid w:val="00036FA6"/>
    <w:rsid w:val="00037C07"/>
    <w:rsid w:val="00037D46"/>
    <w:rsid w:val="0004145B"/>
    <w:rsid w:val="000438EA"/>
    <w:rsid w:val="00045A1E"/>
    <w:rsid w:val="00051643"/>
    <w:rsid w:val="0007487C"/>
    <w:rsid w:val="00076826"/>
    <w:rsid w:val="00082A18"/>
    <w:rsid w:val="00082E7C"/>
    <w:rsid w:val="000864F0"/>
    <w:rsid w:val="0008728B"/>
    <w:rsid w:val="00087452"/>
    <w:rsid w:val="00091F86"/>
    <w:rsid w:val="00092D15"/>
    <w:rsid w:val="00096FA2"/>
    <w:rsid w:val="000A0616"/>
    <w:rsid w:val="000A19F0"/>
    <w:rsid w:val="000A3980"/>
    <w:rsid w:val="000A5F33"/>
    <w:rsid w:val="000A6FB4"/>
    <w:rsid w:val="000A7316"/>
    <w:rsid w:val="000B13C8"/>
    <w:rsid w:val="000B1B24"/>
    <w:rsid w:val="000B41F4"/>
    <w:rsid w:val="000B454B"/>
    <w:rsid w:val="000D5140"/>
    <w:rsid w:val="000D5EB7"/>
    <w:rsid w:val="000D66F4"/>
    <w:rsid w:val="000D6D66"/>
    <w:rsid w:val="000D7C14"/>
    <w:rsid w:val="000E4381"/>
    <w:rsid w:val="000E518E"/>
    <w:rsid w:val="000E7079"/>
    <w:rsid w:val="000F35E1"/>
    <w:rsid w:val="000F61C1"/>
    <w:rsid w:val="00103254"/>
    <w:rsid w:val="00103930"/>
    <w:rsid w:val="00103E9B"/>
    <w:rsid w:val="00106D78"/>
    <w:rsid w:val="00111793"/>
    <w:rsid w:val="001133E8"/>
    <w:rsid w:val="00117C3A"/>
    <w:rsid w:val="00120CAC"/>
    <w:rsid w:val="00121624"/>
    <w:rsid w:val="001305E4"/>
    <w:rsid w:val="001320D8"/>
    <w:rsid w:val="00140E80"/>
    <w:rsid w:val="00152802"/>
    <w:rsid w:val="0015350F"/>
    <w:rsid w:val="00157B16"/>
    <w:rsid w:val="00157BB1"/>
    <w:rsid w:val="001646AD"/>
    <w:rsid w:val="001706F8"/>
    <w:rsid w:val="00177ADB"/>
    <w:rsid w:val="00177B63"/>
    <w:rsid w:val="00177F75"/>
    <w:rsid w:val="0018033C"/>
    <w:rsid w:val="0019099A"/>
    <w:rsid w:val="00197334"/>
    <w:rsid w:val="001A0F90"/>
    <w:rsid w:val="001A1788"/>
    <w:rsid w:val="001A5A89"/>
    <w:rsid w:val="001B2F55"/>
    <w:rsid w:val="001B6069"/>
    <w:rsid w:val="001B6D2C"/>
    <w:rsid w:val="001B71E9"/>
    <w:rsid w:val="001B7657"/>
    <w:rsid w:val="001C5FE4"/>
    <w:rsid w:val="001D086D"/>
    <w:rsid w:val="001E14D4"/>
    <w:rsid w:val="001E208F"/>
    <w:rsid w:val="001F013F"/>
    <w:rsid w:val="001F4523"/>
    <w:rsid w:val="001F766B"/>
    <w:rsid w:val="002001E4"/>
    <w:rsid w:val="002022A0"/>
    <w:rsid w:val="00204D46"/>
    <w:rsid w:val="002052FE"/>
    <w:rsid w:val="00210D37"/>
    <w:rsid w:val="0021305B"/>
    <w:rsid w:val="00213248"/>
    <w:rsid w:val="00214A7B"/>
    <w:rsid w:val="002156F0"/>
    <w:rsid w:val="002168A7"/>
    <w:rsid w:val="00227098"/>
    <w:rsid w:val="00234708"/>
    <w:rsid w:val="002373A0"/>
    <w:rsid w:val="002437A4"/>
    <w:rsid w:val="00271985"/>
    <w:rsid w:val="00275971"/>
    <w:rsid w:val="00275D24"/>
    <w:rsid w:val="00277D21"/>
    <w:rsid w:val="00282B7C"/>
    <w:rsid w:val="00283818"/>
    <w:rsid w:val="00294A2E"/>
    <w:rsid w:val="00295D76"/>
    <w:rsid w:val="00297F5E"/>
    <w:rsid w:val="002A67E7"/>
    <w:rsid w:val="002B5EA9"/>
    <w:rsid w:val="002B5FC3"/>
    <w:rsid w:val="002C58CF"/>
    <w:rsid w:val="002D11D2"/>
    <w:rsid w:val="002D141B"/>
    <w:rsid w:val="002D2DCF"/>
    <w:rsid w:val="002D396D"/>
    <w:rsid w:val="002E0524"/>
    <w:rsid w:val="002E7999"/>
    <w:rsid w:val="002F5198"/>
    <w:rsid w:val="002F5EA3"/>
    <w:rsid w:val="002F5EE8"/>
    <w:rsid w:val="002F7610"/>
    <w:rsid w:val="00301867"/>
    <w:rsid w:val="00301AA9"/>
    <w:rsid w:val="00312CD1"/>
    <w:rsid w:val="00320830"/>
    <w:rsid w:val="00325107"/>
    <w:rsid w:val="00331661"/>
    <w:rsid w:val="003317C2"/>
    <w:rsid w:val="00343058"/>
    <w:rsid w:val="0034439C"/>
    <w:rsid w:val="00346864"/>
    <w:rsid w:val="003502A3"/>
    <w:rsid w:val="00357ED1"/>
    <w:rsid w:val="00360870"/>
    <w:rsid w:val="00363C17"/>
    <w:rsid w:val="003669C5"/>
    <w:rsid w:val="00377BE4"/>
    <w:rsid w:val="00382240"/>
    <w:rsid w:val="00386388"/>
    <w:rsid w:val="003865B1"/>
    <w:rsid w:val="0039111B"/>
    <w:rsid w:val="00395010"/>
    <w:rsid w:val="0039703A"/>
    <w:rsid w:val="0039756B"/>
    <w:rsid w:val="003A2721"/>
    <w:rsid w:val="003A2C84"/>
    <w:rsid w:val="003A7A52"/>
    <w:rsid w:val="003A7F57"/>
    <w:rsid w:val="003B284D"/>
    <w:rsid w:val="003B2FC8"/>
    <w:rsid w:val="003C1FD8"/>
    <w:rsid w:val="003D413B"/>
    <w:rsid w:val="003D551F"/>
    <w:rsid w:val="003D6586"/>
    <w:rsid w:val="003D7914"/>
    <w:rsid w:val="003E0284"/>
    <w:rsid w:val="003E0F9D"/>
    <w:rsid w:val="003E3654"/>
    <w:rsid w:val="003E3772"/>
    <w:rsid w:val="003E3BF8"/>
    <w:rsid w:val="003E504A"/>
    <w:rsid w:val="003F06B5"/>
    <w:rsid w:val="003F4647"/>
    <w:rsid w:val="003F6150"/>
    <w:rsid w:val="003F7992"/>
    <w:rsid w:val="0040428C"/>
    <w:rsid w:val="00404582"/>
    <w:rsid w:val="00407280"/>
    <w:rsid w:val="00410773"/>
    <w:rsid w:val="004120BB"/>
    <w:rsid w:val="0041319B"/>
    <w:rsid w:val="00416B4E"/>
    <w:rsid w:val="0042096A"/>
    <w:rsid w:val="00421502"/>
    <w:rsid w:val="004313A2"/>
    <w:rsid w:val="00441A30"/>
    <w:rsid w:val="00444615"/>
    <w:rsid w:val="00456BD7"/>
    <w:rsid w:val="00487A9A"/>
    <w:rsid w:val="00492F1C"/>
    <w:rsid w:val="00494B55"/>
    <w:rsid w:val="00497E93"/>
    <w:rsid w:val="004A076E"/>
    <w:rsid w:val="004A55F5"/>
    <w:rsid w:val="004B2F4A"/>
    <w:rsid w:val="004B7776"/>
    <w:rsid w:val="004C5CA2"/>
    <w:rsid w:val="004C7D37"/>
    <w:rsid w:val="004D3127"/>
    <w:rsid w:val="004D53EE"/>
    <w:rsid w:val="004E0D07"/>
    <w:rsid w:val="004E3436"/>
    <w:rsid w:val="004E48B7"/>
    <w:rsid w:val="004E4C72"/>
    <w:rsid w:val="004E5751"/>
    <w:rsid w:val="004E6548"/>
    <w:rsid w:val="004E6A15"/>
    <w:rsid w:val="004E7998"/>
    <w:rsid w:val="005018FC"/>
    <w:rsid w:val="00501F69"/>
    <w:rsid w:val="00502693"/>
    <w:rsid w:val="0052217C"/>
    <w:rsid w:val="00526D83"/>
    <w:rsid w:val="00531F87"/>
    <w:rsid w:val="0053646C"/>
    <w:rsid w:val="00536511"/>
    <w:rsid w:val="005401C8"/>
    <w:rsid w:val="00545381"/>
    <w:rsid w:val="00545C6D"/>
    <w:rsid w:val="00545F4D"/>
    <w:rsid w:val="00554649"/>
    <w:rsid w:val="005602D9"/>
    <w:rsid w:val="005678B3"/>
    <w:rsid w:val="0057499A"/>
    <w:rsid w:val="00575EDB"/>
    <w:rsid w:val="00577684"/>
    <w:rsid w:val="00577B6C"/>
    <w:rsid w:val="00581B76"/>
    <w:rsid w:val="00585EE6"/>
    <w:rsid w:val="00592666"/>
    <w:rsid w:val="005A1E3E"/>
    <w:rsid w:val="005A57A9"/>
    <w:rsid w:val="005A6230"/>
    <w:rsid w:val="005B2005"/>
    <w:rsid w:val="005B6B42"/>
    <w:rsid w:val="005B70DA"/>
    <w:rsid w:val="005C1A3D"/>
    <w:rsid w:val="005C2911"/>
    <w:rsid w:val="005C2C01"/>
    <w:rsid w:val="005C4D39"/>
    <w:rsid w:val="005C626F"/>
    <w:rsid w:val="005D7D4C"/>
    <w:rsid w:val="005E6103"/>
    <w:rsid w:val="005F6A43"/>
    <w:rsid w:val="005F6A7E"/>
    <w:rsid w:val="005F71DF"/>
    <w:rsid w:val="006004FF"/>
    <w:rsid w:val="00604205"/>
    <w:rsid w:val="006053F1"/>
    <w:rsid w:val="00605A5B"/>
    <w:rsid w:val="00606C06"/>
    <w:rsid w:val="006107A9"/>
    <w:rsid w:val="00614A20"/>
    <w:rsid w:val="0061533D"/>
    <w:rsid w:val="006176A3"/>
    <w:rsid w:val="00627785"/>
    <w:rsid w:val="00634D4B"/>
    <w:rsid w:val="00636B09"/>
    <w:rsid w:val="00642CEA"/>
    <w:rsid w:val="00644730"/>
    <w:rsid w:val="0064646F"/>
    <w:rsid w:val="00647FEA"/>
    <w:rsid w:val="00656B7E"/>
    <w:rsid w:val="006628E2"/>
    <w:rsid w:val="0066647C"/>
    <w:rsid w:val="00683DBA"/>
    <w:rsid w:val="00684B38"/>
    <w:rsid w:val="006A4AE2"/>
    <w:rsid w:val="006B2618"/>
    <w:rsid w:val="006B2E1E"/>
    <w:rsid w:val="006B43DD"/>
    <w:rsid w:val="006B44C4"/>
    <w:rsid w:val="006B6737"/>
    <w:rsid w:val="006C31FA"/>
    <w:rsid w:val="006C5135"/>
    <w:rsid w:val="006D0112"/>
    <w:rsid w:val="006D05C7"/>
    <w:rsid w:val="006D1C0C"/>
    <w:rsid w:val="006D7655"/>
    <w:rsid w:val="006E0E0B"/>
    <w:rsid w:val="006E1457"/>
    <w:rsid w:val="006E2BDA"/>
    <w:rsid w:val="006E3698"/>
    <w:rsid w:val="006E7D44"/>
    <w:rsid w:val="006F1C36"/>
    <w:rsid w:val="006F308D"/>
    <w:rsid w:val="006F3465"/>
    <w:rsid w:val="006F6C11"/>
    <w:rsid w:val="007014D1"/>
    <w:rsid w:val="0070768E"/>
    <w:rsid w:val="007102F9"/>
    <w:rsid w:val="007154A8"/>
    <w:rsid w:val="007203C7"/>
    <w:rsid w:val="00723FEC"/>
    <w:rsid w:val="00725222"/>
    <w:rsid w:val="0073030F"/>
    <w:rsid w:val="0073081A"/>
    <w:rsid w:val="00733745"/>
    <w:rsid w:val="00735993"/>
    <w:rsid w:val="007359DC"/>
    <w:rsid w:val="007446F9"/>
    <w:rsid w:val="00745302"/>
    <w:rsid w:val="00757010"/>
    <w:rsid w:val="007632DB"/>
    <w:rsid w:val="00771E9B"/>
    <w:rsid w:val="007765F8"/>
    <w:rsid w:val="00782BB3"/>
    <w:rsid w:val="0078506E"/>
    <w:rsid w:val="0078517A"/>
    <w:rsid w:val="00791ADB"/>
    <w:rsid w:val="00792389"/>
    <w:rsid w:val="007930EE"/>
    <w:rsid w:val="007954D6"/>
    <w:rsid w:val="00797092"/>
    <w:rsid w:val="007A24A2"/>
    <w:rsid w:val="007A3789"/>
    <w:rsid w:val="007A6BB4"/>
    <w:rsid w:val="007B2F9B"/>
    <w:rsid w:val="007B7CC6"/>
    <w:rsid w:val="007C5100"/>
    <w:rsid w:val="007C7290"/>
    <w:rsid w:val="007C7F2F"/>
    <w:rsid w:val="007D5757"/>
    <w:rsid w:val="007D5D63"/>
    <w:rsid w:val="007E45B9"/>
    <w:rsid w:val="007E672C"/>
    <w:rsid w:val="007F21C2"/>
    <w:rsid w:val="008005C2"/>
    <w:rsid w:val="00801F51"/>
    <w:rsid w:val="0080208B"/>
    <w:rsid w:val="00803D34"/>
    <w:rsid w:val="008047D0"/>
    <w:rsid w:val="00814E6B"/>
    <w:rsid w:val="00815C3A"/>
    <w:rsid w:val="00822538"/>
    <w:rsid w:val="00825A48"/>
    <w:rsid w:val="008266F4"/>
    <w:rsid w:val="00827BBF"/>
    <w:rsid w:val="00831B76"/>
    <w:rsid w:val="008322C1"/>
    <w:rsid w:val="0083519C"/>
    <w:rsid w:val="00836334"/>
    <w:rsid w:val="00841D4F"/>
    <w:rsid w:val="00846529"/>
    <w:rsid w:val="0085070E"/>
    <w:rsid w:val="008514A6"/>
    <w:rsid w:val="008519A9"/>
    <w:rsid w:val="00855909"/>
    <w:rsid w:val="00857E12"/>
    <w:rsid w:val="008627B4"/>
    <w:rsid w:val="008632D2"/>
    <w:rsid w:val="00864B97"/>
    <w:rsid w:val="00866D1C"/>
    <w:rsid w:val="00867D7F"/>
    <w:rsid w:val="0087338C"/>
    <w:rsid w:val="008747AA"/>
    <w:rsid w:val="0088461D"/>
    <w:rsid w:val="00884ECB"/>
    <w:rsid w:val="008900A2"/>
    <w:rsid w:val="00894254"/>
    <w:rsid w:val="008964C7"/>
    <w:rsid w:val="00897980"/>
    <w:rsid w:val="008A67CA"/>
    <w:rsid w:val="008B0F66"/>
    <w:rsid w:val="008B177E"/>
    <w:rsid w:val="008B6A41"/>
    <w:rsid w:val="008B7DD0"/>
    <w:rsid w:val="008D2859"/>
    <w:rsid w:val="008E0D78"/>
    <w:rsid w:val="008E4AF9"/>
    <w:rsid w:val="008F030F"/>
    <w:rsid w:val="008F0408"/>
    <w:rsid w:val="008F2D9E"/>
    <w:rsid w:val="008F51BF"/>
    <w:rsid w:val="0090496F"/>
    <w:rsid w:val="00910936"/>
    <w:rsid w:val="00912959"/>
    <w:rsid w:val="0092459E"/>
    <w:rsid w:val="009270E7"/>
    <w:rsid w:val="00941BC3"/>
    <w:rsid w:val="009447B4"/>
    <w:rsid w:val="009464D6"/>
    <w:rsid w:val="00947E17"/>
    <w:rsid w:val="00950F10"/>
    <w:rsid w:val="00951CBA"/>
    <w:rsid w:val="00951F8B"/>
    <w:rsid w:val="0096199C"/>
    <w:rsid w:val="00961A71"/>
    <w:rsid w:val="00964E9F"/>
    <w:rsid w:val="009672DE"/>
    <w:rsid w:val="0096730A"/>
    <w:rsid w:val="00975DB5"/>
    <w:rsid w:val="00986A56"/>
    <w:rsid w:val="00991B4D"/>
    <w:rsid w:val="00994BD5"/>
    <w:rsid w:val="00995B35"/>
    <w:rsid w:val="009A6802"/>
    <w:rsid w:val="009B650A"/>
    <w:rsid w:val="009B7C96"/>
    <w:rsid w:val="009C1EC4"/>
    <w:rsid w:val="009D6A72"/>
    <w:rsid w:val="009E0DEE"/>
    <w:rsid w:val="009E1A0E"/>
    <w:rsid w:val="009E5363"/>
    <w:rsid w:val="009F2331"/>
    <w:rsid w:val="009F6262"/>
    <w:rsid w:val="009F680E"/>
    <w:rsid w:val="009F6D0C"/>
    <w:rsid w:val="00A00A1F"/>
    <w:rsid w:val="00A01AC7"/>
    <w:rsid w:val="00A05C3C"/>
    <w:rsid w:val="00A06546"/>
    <w:rsid w:val="00A11611"/>
    <w:rsid w:val="00A150F3"/>
    <w:rsid w:val="00A17465"/>
    <w:rsid w:val="00A17608"/>
    <w:rsid w:val="00A17954"/>
    <w:rsid w:val="00A20CC3"/>
    <w:rsid w:val="00A32D00"/>
    <w:rsid w:val="00A35025"/>
    <w:rsid w:val="00A3678B"/>
    <w:rsid w:val="00A376A7"/>
    <w:rsid w:val="00A4033C"/>
    <w:rsid w:val="00A6012C"/>
    <w:rsid w:val="00A61BE3"/>
    <w:rsid w:val="00A6356B"/>
    <w:rsid w:val="00A64BE1"/>
    <w:rsid w:val="00A7299F"/>
    <w:rsid w:val="00A73A50"/>
    <w:rsid w:val="00A91172"/>
    <w:rsid w:val="00A923E9"/>
    <w:rsid w:val="00A92EC1"/>
    <w:rsid w:val="00A9400C"/>
    <w:rsid w:val="00A971BF"/>
    <w:rsid w:val="00A972BB"/>
    <w:rsid w:val="00AA289B"/>
    <w:rsid w:val="00AA2BE2"/>
    <w:rsid w:val="00AA675F"/>
    <w:rsid w:val="00AA68D9"/>
    <w:rsid w:val="00AA7AF3"/>
    <w:rsid w:val="00AB4B2D"/>
    <w:rsid w:val="00AB6040"/>
    <w:rsid w:val="00AB6661"/>
    <w:rsid w:val="00AC12AD"/>
    <w:rsid w:val="00AC149C"/>
    <w:rsid w:val="00AC51D8"/>
    <w:rsid w:val="00AC7E2D"/>
    <w:rsid w:val="00AD638C"/>
    <w:rsid w:val="00AE135D"/>
    <w:rsid w:val="00AE27FA"/>
    <w:rsid w:val="00AF36CE"/>
    <w:rsid w:val="00B0090C"/>
    <w:rsid w:val="00B00FDA"/>
    <w:rsid w:val="00B2000F"/>
    <w:rsid w:val="00B216A6"/>
    <w:rsid w:val="00B231DC"/>
    <w:rsid w:val="00B37F58"/>
    <w:rsid w:val="00B42381"/>
    <w:rsid w:val="00B45C12"/>
    <w:rsid w:val="00B469F0"/>
    <w:rsid w:val="00B477AC"/>
    <w:rsid w:val="00B52BFB"/>
    <w:rsid w:val="00B6032A"/>
    <w:rsid w:val="00B61AC0"/>
    <w:rsid w:val="00B62164"/>
    <w:rsid w:val="00B62524"/>
    <w:rsid w:val="00B63219"/>
    <w:rsid w:val="00B6673B"/>
    <w:rsid w:val="00B67014"/>
    <w:rsid w:val="00B6716E"/>
    <w:rsid w:val="00B72348"/>
    <w:rsid w:val="00B7399F"/>
    <w:rsid w:val="00B94E8F"/>
    <w:rsid w:val="00B96FF1"/>
    <w:rsid w:val="00BA1CA1"/>
    <w:rsid w:val="00BA2B6A"/>
    <w:rsid w:val="00BA462C"/>
    <w:rsid w:val="00BA5210"/>
    <w:rsid w:val="00BB0AFE"/>
    <w:rsid w:val="00BB23E0"/>
    <w:rsid w:val="00BB348A"/>
    <w:rsid w:val="00BB4A54"/>
    <w:rsid w:val="00BC0F1D"/>
    <w:rsid w:val="00BD11FE"/>
    <w:rsid w:val="00BD2BF6"/>
    <w:rsid w:val="00BD3F4F"/>
    <w:rsid w:val="00BE6551"/>
    <w:rsid w:val="00BE6CFC"/>
    <w:rsid w:val="00C01B34"/>
    <w:rsid w:val="00C03A57"/>
    <w:rsid w:val="00C04209"/>
    <w:rsid w:val="00C05327"/>
    <w:rsid w:val="00C0680D"/>
    <w:rsid w:val="00C120CC"/>
    <w:rsid w:val="00C129D1"/>
    <w:rsid w:val="00C15B4C"/>
    <w:rsid w:val="00C16B57"/>
    <w:rsid w:val="00C16BA9"/>
    <w:rsid w:val="00C24CA1"/>
    <w:rsid w:val="00C25A94"/>
    <w:rsid w:val="00C3045A"/>
    <w:rsid w:val="00C348C9"/>
    <w:rsid w:val="00C40C6B"/>
    <w:rsid w:val="00C524F2"/>
    <w:rsid w:val="00C5503B"/>
    <w:rsid w:val="00C60F15"/>
    <w:rsid w:val="00C61824"/>
    <w:rsid w:val="00C61D23"/>
    <w:rsid w:val="00C62597"/>
    <w:rsid w:val="00C66159"/>
    <w:rsid w:val="00C67DA3"/>
    <w:rsid w:val="00C72727"/>
    <w:rsid w:val="00C7730F"/>
    <w:rsid w:val="00C81C9F"/>
    <w:rsid w:val="00C827F0"/>
    <w:rsid w:val="00C960D7"/>
    <w:rsid w:val="00CA4778"/>
    <w:rsid w:val="00CA7814"/>
    <w:rsid w:val="00CB062E"/>
    <w:rsid w:val="00CB12C2"/>
    <w:rsid w:val="00CB3CFC"/>
    <w:rsid w:val="00CB6F35"/>
    <w:rsid w:val="00CC138C"/>
    <w:rsid w:val="00CC5BE3"/>
    <w:rsid w:val="00CD05C1"/>
    <w:rsid w:val="00CD1D47"/>
    <w:rsid w:val="00CD30FD"/>
    <w:rsid w:val="00CD36F7"/>
    <w:rsid w:val="00CD38F0"/>
    <w:rsid w:val="00CD3C7E"/>
    <w:rsid w:val="00CD73FA"/>
    <w:rsid w:val="00CE3282"/>
    <w:rsid w:val="00CF392A"/>
    <w:rsid w:val="00CF3B73"/>
    <w:rsid w:val="00D0061B"/>
    <w:rsid w:val="00D0384F"/>
    <w:rsid w:val="00D1499D"/>
    <w:rsid w:val="00D151C3"/>
    <w:rsid w:val="00D17106"/>
    <w:rsid w:val="00D2201C"/>
    <w:rsid w:val="00D2334B"/>
    <w:rsid w:val="00D35E94"/>
    <w:rsid w:val="00D513D3"/>
    <w:rsid w:val="00D54487"/>
    <w:rsid w:val="00D73BA6"/>
    <w:rsid w:val="00D771B3"/>
    <w:rsid w:val="00D773D4"/>
    <w:rsid w:val="00D85B7E"/>
    <w:rsid w:val="00D95091"/>
    <w:rsid w:val="00DA1C50"/>
    <w:rsid w:val="00DC16E5"/>
    <w:rsid w:val="00DC3669"/>
    <w:rsid w:val="00DC3BC3"/>
    <w:rsid w:val="00DD1C30"/>
    <w:rsid w:val="00DD41CB"/>
    <w:rsid w:val="00DD7218"/>
    <w:rsid w:val="00DE0FCA"/>
    <w:rsid w:val="00DF475F"/>
    <w:rsid w:val="00DF596C"/>
    <w:rsid w:val="00E000FB"/>
    <w:rsid w:val="00E02E2D"/>
    <w:rsid w:val="00E106CD"/>
    <w:rsid w:val="00E109C3"/>
    <w:rsid w:val="00E13709"/>
    <w:rsid w:val="00E32D9B"/>
    <w:rsid w:val="00E33083"/>
    <w:rsid w:val="00E34291"/>
    <w:rsid w:val="00E443A9"/>
    <w:rsid w:val="00E464E4"/>
    <w:rsid w:val="00E46C83"/>
    <w:rsid w:val="00E55338"/>
    <w:rsid w:val="00E5793B"/>
    <w:rsid w:val="00E64D04"/>
    <w:rsid w:val="00E7223C"/>
    <w:rsid w:val="00E73249"/>
    <w:rsid w:val="00E76936"/>
    <w:rsid w:val="00E8174C"/>
    <w:rsid w:val="00E81CA5"/>
    <w:rsid w:val="00E85A72"/>
    <w:rsid w:val="00E86129"/>
    <w:rsid w:val="00E87123"/>
    <w:rsid w:val="00E92370"/>
    <w:rsid w:val="00E96655"/>
    <w:rsid w:val="00E9679E"/>
    <w:rsid w:val="00EA7BD3"/>
    <w:rsid w:val="00EB1B23"/>
    <w:rsid w:val="00EC0759"/>
    <w:rsid w:val="00EC2735"/>
    <w:rsid w:val="00EC6495"/>
    <w:rsid w:val="00EE371E"/>
    <w:rsid w:val="00EF40EE"/>
    <w:rsid w:val="00EF4EE6"/>
    <w:rsid w:val="00EF702C"/>
    <w:rsid w:val="00EF74FA"/>
    <w:rsid w:val="00F00A41"/>
    <w:rsid w:val="00F02E53"/>
    <w:rsid w:val="00F03AAF"/>
    <w:rsid w:val="00F072AA"/>
    <w:rsid w:val="00F07C8B"/>
    <w:rsid w:val="00F10547"/>
    <w:rsid w:val="00F203B4"/>
    <w:rsid w:val="00F20C92"/>
    <w:rsid w:val="00F33B98"/>
    <w:rsid w:val="00F44CC4"/>
    <w:rsid w:val="00F450DC"/>
    <w:rsid w:val="00F46937"/>
    <w:rsid w:val="00F54E2F"/>
    <w:rsid w:val="00F55CB2"/>
    <w:rsid w:val="00F57203"/>
    <w:rsid w:val="00F709BA"/>
    <w:rsid w:val="00F75B47"/>
    <w:rsid w:val="00F77CE8"/>
    <w:rsid w:val="00F80B29"/>
    <w:rsid w:val="00F8108D"/>
    <w:rsid w:val="00F93B1C"/>
    <w:rsid w:val="00F93C40"/>
    <w:rsid w:val="00F97A2C"/>
    <w:rsid w:val="00FA23F1"/>
    <w:rsid w:val="00FA55AF"/>
    <w:rsid w:val="00FB4193"/>
    <w:rsid w:val="00FB48A6"/>
    <w:rsid w:val="00FB48DB"/>
    <w:rsid w:val="00FB63F3"/>
    <w:rsid w:val="00FB6D32"/>
    <w:rsid w:val="00FB79F2"/>
    <w:rsid w:val="00FC7C76"/>
    <w:rsid w:val="00FD7912"/>
    <w:rsid w:val="00FF4276"/>
    <w:rsid w:val="0115C030"/>
    <w:rsid w:val="02481B2F"/>
    <w:rsid w:val="109457FE"/>
    <w:rsid w:val="2DBE6AC2"/>
    <w:rsid w:val="325C3A8F"/>
    <w:rsid w:val="37F38422"/>
    <w:rsid w:val="40F523BC"/>
    <w:rsid w:val="57010206"/>
    <w:rsid w:val="62471815"/>
    <w:rsid w:val="6D71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38791BBF"/>
  <w15:chartTrackingRefBased/>
  <w15:docId w15:val="{2000AFAE-8B7A-43B4-932E-68F418B830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5EA9"/>
    <w:rPr>
      <w:rFonts w:eastAsia="SimSun"/>
      <w:lang w:val="en-GB" w:eastAsia="zh-CN"/>
    </w:rPr>
  </w:style>
  <w:style w:type="paragraph" w:styleId="Heading1">
    <w:name w:val="heading 1"/>
    <w:basedOn w:val="Normal"/>
    <w:next w:val="Normal"/>
    <w:qFormat/>
    <w:rsid w:val="00DF596C"/>
    <w:pPr>
      <w:keepNext/>
      <w:outlineLvl w:val="0"/>
    </w:pPr>
    <w:rPr>
      <w:rFonts w:eastAsia="Times New Roman"/>
      <w:sz w:val="24"/>
      <w:u w:val="single"/>
      <w:lang w:eastAsia="en-US"/>
    </w:rPr>
  </w:style>
  <w:style w:type="paragraph" w:styleId="Heading2">
    <w:name w:val="heading 2"/>
    <w:basedOn w:val="Normal"/>
    <w:next w:val="Normal"/>
    <w:link w:val="Heading2Char"/>
    <w:unhideWhenUsed/>
    <w:qFormat/>
    <w:rsid w:val="000B454B"/>
    <w:pPr>
      <w:keepNext/>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17C3A"/>
    <w:pPr>
      <w:tabs>
        <w:tab w:val="center" w:pos="4320"/>
        <w:tab w:val="right" w:pos="8640"/>
      </w:tabs>
    </w:pPr>
  </w:style>
  <w:style w:type="paragraph" w:styleId="Footer">
    <w:name w:val="footer"/>
    <w:basedOn w:val="Normal"/>
    <w:rsid w:val="00117C3A"/>
    <w:pPr>
      <w:tabs>
        <w:tab w:val="center" w:pos="4320"/>
        <w:tab w:val="right" w:pos="8640"/>
      </w:tabs>
    </w:pPr>
  </w:style>
  <w:style w:type="table" w:styleId="TableGrid">
    <w:name w:val="Table Grid"/>
    <w:basedOn w:val="TableNormal"/>
    <w:uiPriority w:val="59"/>
    <w:rsid w:val="00117C3A"/>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17C3A"/>
    <w:rPr>
      <w:color w:val="0000FF"/>
      <w:u w:val="single"/>
    </w:rPr>
  </w:style>
  <w:style w:type="paragraph" w:styleId="DocumentMap">
    <w:name w:val="Document Map"/>
    <w:basedOn w:val="Normal"/>
    <w:semiHidden/>
    <w:rsid w:val="00745302"/>
    <w:pPr>
      <w:shd w:val="clear" w:color="auto" w:fill="000080"/>
    </w:pPr>
    <w:rPr>
      <w:rFonts w:ascii="Tahoma" w:hAnsi="Tahoma" w:cs="Tahoma"/>
    </w:rPr>
  </w:style>
  <w:style w:type="character" w:styleId="PageNumber">
    <w:name w:val="page number"/>
    <w:basedOn w:val="DefaultParagraphFont"/>
    <w:rsid w:val="001A0F90"/>
  </w:style>
  <w:style w:type="paragraph" w:styleId="FootnoteText">
    <w:name w:val="footnote text"/>
    <w:aliases w:val="Geneva 9,Font: Geneva 9,Boston 10,f,93,single space,Footnote Text Rail EIS,ft,Char,footnote3,Footnotes,Footnote ak,fn cafc,Footnotes Char Char,Footnote Text Char Char,fn Char Char,footnote text,footnote text Char Char Char Ch"/>
    <w:basedOn w:val="Normal"/>
    <w:link w:val="FootnoteTextChar"/>
    <w:rsid w:val="00BE6CFC"/>
  </w:style>
  <w:style w:type="character" w:styleId="FootnoteReference">
    <w:name w:val="footnote reference"/>
    <w:aliases w:val="16 Point,Superscript 6 Point,ftref,(Ref. de nota al pie),number,SUPERS,Footnote Reference Superscript"/>
    <w:semiHidden/>
    <w:rsid w:val="00BE6CFC"/>
    <w:rPr>
      <w:vertAlign w:val="superscript"/>
    </w:rPr>
  </w:style>
  <w:style w:type="character" w:styleId="Strong">
    <w:name w:val="Strong"/>
    <w:qFormat/>
    <w:rsid w:val="00E13709"/>
    <w:rPr>
      <w:b/>
      <w:bCs/>
    </w:rPr>
  </w:style>
  <w:style w:type="paragraph" w:styleId="BalloonText">
    <w:name w:val="Balloon Text"/>
    <w:basedOn w:val="Normal"/>
    <w:semiHidden/>
    <w:rsid w:val="001B71E9"/>
    <w:rPr>
      <w:rFonts w:ascii="Tahoma" w:hAnsi="Tahoma" w:cs="Tahoma"/>
      <w:sz w:val="16"/>
      <w:szCs w:val="16"/>
    </w:rPr>
  </w:style>
  <w:style w:type="paragraph" w:styleId="BodyTextIndent2">
    <w:name w:val="Body Text Indent 2"/>
    <w:basedOn w:val="Normal"/>
    <w:link w:val="BodyTextIndent2Char"/>
    <w:rsid w:val="00EC6495"/>
    <w:pPr>
      <w:ind w:firstLine="680"/>
    </w:pPr>
    <w:rPr>
      <w:rFonts w:eastAsia="Times New Roman"/>
      <w:sz w:val="22"/>
      <w:lang w:eastAsia="en-US"/>
    </w:rPr>
  </w:style>
  <w:style w:type="character" w:styleId="BodyTextIndent2Char" w:customStyle="1">
    <w:name w:val="Body Text Indent 2 Char"/>
    <w:link w:val="BodyTextIndent2"/>
    <w:rsid w:val="00EC6495"/>
    <w:rPr>
      <w:sz w:val="22"/>
      <w:lang w:val="en-GB"/>
    </w:rPr>
  </w:style>
  <w:style w:type="character" w:styleId="CommentReference">
    <w:name w:val="annotation reference"/>
    <w:rsid w:val="001A5A89"/>
    <w:rPr>
      <w:sz w:val="16"/>
      <w:szCs w:val="16"/>
    </w:rPr>
  </w:style>
  <w:style w:type="paragraph" w:styleId="CommentText">
    <w:name w:val="annotation text"/>
    <w:basedOn w:val="Normal"/>
    <w:link w:val="CommentTextChar"/>
    <w:rsid w:val="001A5A89"/>
  </w:style>
  <w:style w:type="character" w:styleId="CommentTextChar" w:customStyle="1">
    <w:name w:val="Comment Text Char"/>
    <w:link w:val="CommentText"/>
    <w:rsid w:val="001A5A89"/>
    <w:rPr>
      <w:rFonts w:eastAsia="SimSun"/>
      <w:lang w:val="en-GB" w:eastAsia="zh-CN"/>
    </w:rPr>
  </w:style>
  <w:style w:type="paragraph" w:styleId="CommentSubject">
    <w:name w:val="annotation subject"/>
    <w:basedOn w:val="CommentText"/>
    <w:next w:val="CommentText"/>
    <w:link w:val="CommentSubjectChar"/>
    <w:rsid w:val="001A5A89"/>
    <w:rPr>
      <w:b/>
      <w:bCs/>
    </w:rPr>
  </w:style>
  <w:style w:type="character" w:styleId="CommentSubjectChar" w:customStyle="1">
    <w:name w:val="Comment Subject Char"/>
    <w:link w:val="CommentSubject"/>
    <w:rsid w:val="001A5A89"/>
    <w:rPr>
      <w:rFonts w:eastAsia="SimSun"/>
      <w:b/>
      <w:bCs/>
      <w:lang w:val="en-GB" w:eastAsia="zh-CN"/>
    </w:rPr>
  </w:style>
  <w:style w:type="character" w:styleId="Heading2Char" w:customStyle="1">
    <w:name w:val="Heading 2 Char"/>
    <w:link w:val="Heading2"/>
    <w:rsid w:val="000B454B"/>
    <w:rPr>
      <w:rFonts w:ascii="Cambria" w:hAnsi="Cambria"/>
      <w:b/>
      <w:bCs/>
      <w:i/>
      <w:iCs/>
      <w:sz w:val="28"/>
      <w:szCs w:val="28"/>
      <w:lang w:eastAsia="zh-CN"/>
    </w:rPr>
  </w:style>
  <w:style w:type="character" w:styleId="a" w:customStyle="1">
    <w:name w:val="_"/>
    <w:rsid w:val="000B454B"/>
    <w:rPr>
      <w:sz w:val="20"/>
      <w:szCs w:val="20"/>
    </w:rPr>
  </w:style>
  <w:style w:type="paragraph" w:styleId="Revision">
    <w:name w:val="Revision"/>
    <w:hidden/>
    <w:uiPriority w:val="99"/>
    <w:semiHidden/>
    <w:rsid w:val="004C7D37"/>
    <w:rPr>
      <w:rFonts w:eastAsia="SimSun"/>
      <w:lang w:val="en-GB" w:eastAsia="zh-CN"/>
    </w:rPr>
  </w:style>
  <w:style w:type="character" w:styleId="FootnoteTextChar" w:customStyle="1">
    <w:name w:val="Footnote Text Char"/>
    <w:aliases w:val="Geneva 9 Char,Font: Geneva 9 Char,Boston 10 Char,f Char,93 Char,single space Char,Footnote Text Rail EIS Char,ft Char,Char Char,footnote3 Char,Footnotes Char,Footnote ak Char,fn cafc Char,Footnotes Char Char Char,fn Char Char Char"/>
    <w:link w:val="FootnoteText"/>
    <w:rsid w:val="009F6262"/>
    <w:rPr>
      <w:rFonts w:eastAsia="SimSun"/>
      <w:lang w:eastAsia="zh-CN"/>
    </w:rPr>
  </w:style>
  <w:style w:type="paragraph" w:styleId="Normal-pool" w:customStyle="1">
    <w:name w:val="Normal-pool"/>
    <w:link w:val="Normal-poolChar"/>
    <w:rsid w:val="00037C07"/>
    <w:pPr>
      <w:tabs>
        <w:tab w:val="left" w:pos="1247"/>
        <w:tab w:val="left" w:pos="1814"/>
        <w:tab w:val="left" w:pos="2381"/>
        <w:tab w:val="left" w:pos="2948"/>
        <w:tab w:val="left" w:pos="3515"/>
        <w:tab w:val="left" w:pos="4082"/>
      </w:tabs>
    </w:pPr>
    <w:rPr>
      <w:lang w:val="en-GB" w:eastAsia="en-US"/>
    </w:rPr>
  </w:style>
  <w:style w:type="paragraph" w:styleId="ZZAnxtitle" w:customStyle="1">
    <w:name w:val="ZZ_Anx_title"/>
    <w:basedOn w:val="Normal"/>
    <w:uiPriority w:val="99"/>
    <w:rsid w:val="00037C07"/>
    <w:pPr>
      <w:tabs>
        <w:tab w:val="left" w:pos="1247"/>
        <w:tab w:val="left" w:pos="1814"/>
        <w:tab w:val="left" w:pos="2381"/>
        <w:tab w:val="left" w:pos="2948"/>
        <w:tab w:val="left" w:pos="3515"/>
        <w:tab w:val="left" w:pos="4082"/>
      </w:tabs>
      <w:spacing w:before="360" w:after="120"/>
      <w:ind w:left="1247"/>
    </w:pPr>
    <w:rPr>
      <w:rFonts w:eastAsia="Times New Roman"/>
      <w:b/>
      <w:bCs/>
      <w:sz w:val="28"/>
      <w:szCs w:val="26"/>
      <w:lang w:eastAsia="en-US"/>
    </w:rPr>
  </w:style>
  <w:style w:type="paragraph" w:styleId="main" w:customStyle="1">
    <w:name w:val="main"/>
    <w:basedOn w:val="Normal"/>
    <w:autoRedefine/>
    <w:rsid w:val="003E3772"/>
    <w:pPr>
      <w:keepNext/>
    </w:pPr>
    <w:rPr>
      <w:rFonts w:eastAsia="MS Mincho"/>
      <w:b/>
      <w:lang w:eastAsia="en-US"/>
    </w:rPr>
  </w:style>
  <w:style w:type="paragraph" w:styleId="Paralevel1" w:customStyle="1">
    <w:name w:val="Para level1"/>
    <w:basedOn w:val="Normal"/>
    <w:link w:val="Paralevel1Char"/>
    <w:autoRedefine/>
    <w:rsid w:val="003E3772"/>
    <w:pPr>
      <w:suppressAutoHyphens/>
      <w:spacing w:after="120"/>
      <w:ind w:left="1247"/>
    </w:pPr>
    <w:rPr>
      <w:rFonts w:eastAsia="Times New Roman"/>
      <w:lang w:eastAsia="en-US"/>
    </w:rPr>
  </w:style>
  <w:style w:type="character" w:styleId="Paralevel1Char" w:customStyle="1">
    <w:name w:val="Para level1 Char"/>
    <w:link w:val="Paralevel1"/>
    <w:rsid w:val="003E3772"/>
    <w:rPr>
      <w:lang w:val="en-GB" w:eastAsia="en-US"/>
    </w:rPr>
  </w:style>
  <w:style w:type="paragraph" w:styleId="Paralevel2" w:customStyle="1">
    <w:name w:val="Para level2"/>
    <w:basedOn w:val="Paralevel1"/>
    <w:link w:val="Paralevel2Char"/>
    <w:autoRedefine/>
    <w:rsid w:val="003E3772"/>
    <w:pPr>
      <w:ind w:firstLine="624"/>
    </w:pPr>
  </w:style>
  <w:style w:type="character" w:styleId="Paralevel2Char" w:customStyle="1">
    <w:name w:val="Para level2 Char"/>
    <w:basedOn w:val="Paralevel1Char"/>
    <w:link w:val="Paralevel2"/>
    <w:rsid w:val="003E3772"/>
    <w:rPr>
      <w:lang w:val="en-GB" w:eastAsia="en-US"/>
    </w:rPr>
  </w:style>
  <w:style w:type="paragraph" w:styleId="CH1" w:customStyle="1">
    <w:name w:val="CH1"/>
    <w:basedOn w:val="Heading2"/>
    <w:next w:val="BalloonText"/>
    <w:autoRedefine/>
    <w:rsid w:val="003E3772"/>
    <w:pPr>
      <w:keepNext w:val="0"/>
      <w:spacing w:before="0" w:after="120"/>
      <w:ind w:left="567" w:right="567"/>
    </w:pPr>
    <w:rPr>
      <w:rFonts w:ascii="Times New Roman" w:hAnsi="Times New Roman"/>
      <w:bCs w:val="0"/>
      <w:i w:val="0"/>
      <w:iCs w:val="0"/>
      <w:lang w:eastAsia="en-US"/>
    </w:rPr>
  </w:style>
  <w:style w:type="paragraph" w:styleId="CH2" w:customStyle="1">
    <w:name w:val="CH2"/>
    <w:basedOn w:val="Normal"/>
    <w:autoRedefine/>
    <w:rsid w:val="009672DE"/>
    <w:pPr>
      <w:numPr>
        <w:numId w:val="18"/>
      </w:numPr>
      <w:tabs>
        <w:tab w:val="clear" w:pos="578"/>
      </w:tabs>
      <w:spacing w:after="120"/>
      <w:ind w:left="1248" w:right="567" w:hanging="624"/>
      <w:outlineLvl w:val="1"/>
    </w:pPr>
    <w:rPr>
      <w:rFonts w:eastAsia="Times New Roman"/>
      <w:b/>
      <w:bCs/>
      <w:sz w:val="24"/>
      <w:szCs w:val="24"/>
      <w:lang w:eastAsia="en-US"/>
    </w:rPr>
  </w:style>
  <w:style w:type="paragraph" w:styleId="NormalNonumber" w:customStyle="1">
    <w:name w:val="Normal_No_number"/>
    <w:basedOn w:val="Normal"/>
    <w:link w:val="NormalNonumberChar"/>
    <w:rsid w:val="009672DE"/>
    <w:pPr>
      <w:tabs>
        <w:tab w:val="left" w:pos="1814"/>
        <w:tab w:val="left" w:pos="2381"/>
        <w:tab w:val="left" w:pos="2948"/>
        <w:tab w:val="left" w:pos="3515"/>
      </w:tabs>
      <w:spacing w:after="120"/>
      <w:ind w:left="1247"/>
    </w:pPr>
    <w:rPr>
      <w:rFonts w:eastAsia="Times New Roman"/>
      <w:lang w:val="fr-FR" w:eastAsia="en-US"/>
    </w:rPr>
  </w:style>
  <w:style w:type="character" w:styleId="NormalNonumberChar" w:customStyle="1">
    <w:name w:val="Normal_No_number Char"/>
    <w:link w:val="NormalNonumber"/>
    <w:rsid w:val="009672DE"/>
    <w:rPr>
      <w:lang w:val="fr-FR" w:eastAsia="en-US"/>
    </w:rPr>
  </w:style>
  <w:style w:type="paragraph" w:styleId="Caption">
    <w:name w:val="caption"/>
    <w:basedOn w:val="Normal"/>
    <w:next w:val="Normal"/>
    <w:link w:val="CaptionChar"/>
    <w:uiPriority w:val="35"/>
    <w:unhideWhenUsed/>
    <w:qFormat/>
    <w:rsid w:val="006F3465"/>
    <w:pPr>
      <w:spacing w:after="200"/>
    </w:pPr>
    <w:rPr>
      <w:rFonts w:ascii="Calibri" w:hAnsi="Calibri" w:eastAsia="Times New Roman"/>
      <w:b/>
      <w:bCs/>
      <w:color w:val="4F81BD"/>
      <w:sz w:val="18"/>
      <w:szCs w:val="18"/>
      <w:lang w:val="nb-NO" w:eastAsia="nb-NO"/>
    </w:rPr>
  </w:style>
  <w:style w:type="character" w:styleId="CaptionChar" w:customStyle="1">
    <w:name w:val="Caption Char"/>
    <w:link w:val="Caption"/>
    <w:uiPriority w:val="35"/>
    <w:locked/>
    <w:rsid w:val="006F3465"/>
    <w:rPr>
      <w:rFonts w:ascii="Calibri" w:hAnsi="Calibri"/>
      <w:b/>
      <w:bCs/>
      <w:color w:val="4F81BD"/>
      <w:sz w:val="18"/>
      <w:szCs w:val="18"/>
      <w:lang w:val="nb-NO" w:eastAsia="nb-NO"/>
    </w:rPr>
  </w:style>
  <w:style w:type="character" w:styleId="Normal-poolChar" w:customStyle="1">
    <w:name w:val="Normal-pool Char"/>
    <w:link w:val="Normal-pool"/>
    <w:rsid w:val="00CD1D47"/>
    <w:rPr>
      <w:lang w:val="en-GB" w:eastAsia="en-US" w:bidi="ar-SA"/>
    </w:rPr>
  </w:style>
  <w:style w:type="paragraph" w:styleId="Default" w:customStyle="1">
    <w:name w:val="Default"/>
    <w:rsid w:val="00CD1D47"/>
    <w:pPr>
      <w:autoSpaceDE w:val="0"/>
      <w:autoSpaceDN w:val="0"/>
      <w:adjustRightInd w:val="0"/>
    </w:pPr>
    <w:rPr>
      <w:rFonts w:ascii="Verdana" w:hAnsi="Verdana" w:cs="Verdana"/>
      <w:color w:val="000000"/>
      <w:sz w:val="24"/>
      <w:szCs w:val="24"/>
      <w:lang w:val="de-AT" w:eastAsia="de-AT"/>
    </w:rPr>
  </w:style>
  <w:style w:type="paragraph" w:styleId="ListParagraph">
    <w:name w:val="List Paragraph"/>
    <w:basedOn w:val="Normal"/>
    <w:uiPriority w:val="34"/>
    <w:qFormat/>
    <w:rsid w:val="00D73BA6"/>
    <w:pPr>
      <w:spacing w:line="259" w:lineRule="auto"/>
      <w:ind w:left="720"/>
      <w:contextualSpacing/>
    </w:pPr>
    <w:rPr>
      <w:rFonts w:ascii="Calibri" w:hAnsi="Calibri" w:eastAsia="Times New Roman"/>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people.xml" Id="Re005eaabe1284da5" /><Relationship Type="http://schemas.microsoft.com/office/2011/relationships/commentsExtended" Target="commentsExtended.xml" Id="Re594d558661e4152" /><Relationship Type="http://schemas.microsoft.com/office/2016/09/relationships/commentsIds" Target="commentsIds.xml" Id="R0b65772392494b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255E6857F4D254F9842C2C0E02DFEC6" ma:contentTypeVersion="72" ma:contentTypeDescription="new Document or upload" ma:contentTypeScope="" ma:versionID="34ac94a1a7aefdb33bcdfefa720d6f2a">
  <xsd:schema xmlns:xsd="http://www.w3.org/2001/XMLSchema" xmlns:xs="http://www.w3.org/2001/XMLSchema" xmlns:p="http://schemas.microsoft.com/office/2006/metadata/properties" xmlns:ns2="6dfd283e-d7c6-4db4-b263-522c893cd078" xmlns:ns3="662745e8-e224-48e8-a2e3-254862b8c2f5" xmlns:ns4="f11b711a-085e-410d-b213-66097d4e1c8b" targetNamespace="http://schemas.microsoft.com/office/2006/metadata/properties" ma:root="true" ma:fieldsID="f1517bbb981f12067d6b7cfcf73571ea" ns2:_="" ns3:_="" ns4:_="">
    <xsd:import namespace="6dfd283e-d7c6-4db4-b263-522c893cd078"/>
    <xsd:import namespace="662745e8-e224-48e8-a2e3-254862b8c2f5"/>
    <xsd:import namespace="f11b711a-085e-410d-b213-66097d4e1c8b"/>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CPHW  International Chemicals and Implementation" ma:internalName="Team">
      <xsd:simpleType>
        <xsd:restriction base="dms:Text"/>
      </xsd:simpleType>
    </xsd:element>
    <xsd:element name="Topic" ma:index="18" nillable="true" ma:displayName="Topic" ma:default="Stockholm Conven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d2976f41-4415-4caa-8344-a6ae0370877c}" ma:internalName="TaxCatchAllLabel" ma:readOnly="fals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d2976f41-4415-4caa-8344-a6ae0370877c}" ma:internalName="TaxCatchAll" ma:readOnly="false"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b711a-085e-410d-b213-66097d4e1c8b"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lc_EmailReceivedUTC xmlns="6dfd283e-d7c6-4db4-b263-522c893cd078" xsi:nil="true"/>
    <dlc_EmailTo xmlns="6dfd283e-d7c6-4db4-b263-522c893cd078"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6dfd283e-d7c6-4db4-b263-522c893cd078" xsi:nil="true"/>
    <dlc_EmailSentUTC xmlns="6dfd283e-d7c6-4db4-b263-522c893cd078" xsi:nil="true"/>
    <k85d23755b3a46b5a51451cf336b2e9b xmlns="662745e8-e224-48e8-a2e3-254862b8c2f5">
      <Terms xmlns="http://schemas.microsoft.com/office/infopath/2007/PartnerControls"/>
    </k85d23755b3a46b5a51451cf336b2e9b>
    <TaxCatchAllLabel xmlns="662745e8-e224-48e8-a2e3-254862b8c2f5" xsi:nil="true"/>
    <bcb1675984d34ae3a1ed6b6e433c98de xmlns="6dfd283e-d7c6-4db4-b263-522c893cd078">
      <Terms xmlns="http://schemas.microsoft.com/office/infopath/2007/PartnerControls"/>
    </bcb1675984d34ae3a1ed6b6e433c98de>
    <Topic xmlns="662745e8-e224-48e8-a2e3-254862b8c2f5">Stockholm Convention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eb8f3fab875401ca34a9f28cac46400 xmlns="6dfd283e-d7c6-4db4-b263-522c893cd078">
      <Terms xmlns="http://schemas.microsoft.com/office/infopath/2007/PartnerControls"/>
    </peb8f3fab875401ca34a9f28cac46400>
    <TaxCatchAll xmlns="662745e8-e224-48e8-a2e3-254862b8c2f5">
      <Value>6</Value>
      <Value>10</Value>
      <Value>9</Value>
      <Value>8</Value>
      <Value>7</Value>
    </TaxCatchAll>
    <dlc_EmailCC xmlns="6dfd283e-d7c6-4db4-b263-522c893cd078"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From xmlns="6dfd283e-d7c6-4db4-b263-522c893cd078" xsi:nil="true"/>
    <Team xmlns="662745e8-e224-48e8-a2e3-254862b8c2f5">CPHW  International Chemicals and Implementation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9C15DFA8-967F-4CE9-A3FF-842BA15CD59B}">
  <ds:schemaRefs>
    <ds:schemaRef ds:uri="Microsoft.SharePoint.Taxonomy.ContentTypeSync"/>
  </ds:schemaRefs>
</ds:datastoreItem>
</file>

<file path=customXml/itemProps2.xml><?xml version="1.0" encoding="utf-8"?>
<ds:datastoreItem xmlns:ds="http://schemas.openxmlformats.org/officeDocument/2006/customXml" ds:itemID="{172BE995-3718-4B11-AF43-E0586A8B821C}"/>
</file>

<file path=customXml/itemProps3.xml><?xml version="1.0" encoding="utf-8"?>
<ds:datastoreItem xmlns:ds="http://schemas.openxmlformats.org/officeDocument/2006/customXml" ds:itemID="{DF9AA0C4-7672-4848-91DB-70ACDC53CC48}">
  <ds:schemaRefs>
    <ds:schemaRef ds:uri="http://schemas.microsoft.com/sharepoint/v3/contenttype/forms"/>
  </ds:schemaRefs>
</ds:datastoreItem>
</file>

<file path=customXml/itemProps4.xml><?xml version="1.0" encoding="utf-8"?>
<ds:datastoreItem xmlns:ds="http://schemas.openxmlformats.org/officeDocument/2006/customXml" ds:itemID="{897ED35A-19B3-4BA4-BBBE-BDC35D7C18C5}">
  <ds:schemaRefs>
    <ds:schemaRef ds:uri="http://schemas.openxmlformats.org/officeDocument/2006/bibliography"/>
  </ds:schemaRefs>
</ds:datastoreItem>
</file>

<file path=customXml/itemProps5.xml><?xml version="1.0" encoding="utf-8"?>
<ds:datastoreItem xmlns:ds="http://schemas.openxmlformats.org/officeDocument/2006/customXml" ds:itemID="{4226FEA6-2B6D-4999-B24A-664D3DEC32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B</dc:title>
  <dc:subject/>
  <dc:creator>Kei</dc:creator>
  <cp:keywords/>
  <cp:lastModifiedBy>Jackson, Leon</cp:lastModifiedBy>
  <cp:revision>9</cp:revision>
  <cp:lastPrinted>2015-11-02T10:03:00Z</cp:lastPrinted>
  <dcterms:created xsi:type="dcterms:W3CDTF">2024-10-14T07:00:00Z</dcterms:created>
  <dcterms:modified xsi:type="dcterms:W3CDTF">2024-10-22T16:04:31Z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0x010100A5BF1C78D9F64B679A5EBDE1C6598EBC01002255E6857F4D254F9842C2C0E02DFEC6</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SecurityClassification">
    <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10;#Team|ff0485df-0575-416f-802f-e999165821b7</vt:lpwstr>
  </property>
</Properties>
</file>