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09B4AA57"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506C88">
        <w:rPr>
          <w:rFonts w:ascii="Arial" w:eastAsia="Arial" w:hAnsi="Arial" w:cs="Arial"/>
          <w:b/>
          <w:sz w:val="22"/>
          <w:szCs w:val="22"/>
        </w:rPr>
        <w:t xml:space="preserve">THOMAS COOK </w:t>
      </w:r>
      <w:r w:rsidR="00981FBE">
        <w:rPr>
          <w:rFonts w:ascii="Arial" w:eastAsia="Arial" w:hAnsi="Arial" w:cs="Arial"/>
          <w:b/>
          <w:sz w:val="22"/>
          <w:szCs w:val="22"/>
        </w:rPr>
        <w:t>FINANCE</w:t>
      </w:r>
      <w:r w:rsidR="00D407B1">
        <w:rPr>
          <w:rFonts w:ascii="Arial" w:eastAsia="Arial" w:hAnsi="Arial" w:cs="Arial"/>
          <w:b/>
          <w:sz w:val="22"/>
          <w:szCs w:val="22"/>
        </w:rPr>
        <w:t xml:space="preserve"> LIMITED</w:t>
      </w:r>
      <w:r w:rsidR="00E3375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5EBB952A"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w:t>
      </w:r>
      <w:r w:rsidR="00A56BDD">
        <w:rPr>
          <w:rFonts w:ascii="Arial" w:eastAsia="Arial" w:hAnsi="Arial" w:cs="Arial"/>
          <w:sz w:val="22"/>
          <w:szCs w:val="22"/>
        </w:rPr>
        <w:t>8</w:t>
      </w:r>
      <w:r w:rsidRPr="00502106">
        <w:rPr>
          <w:rFonts w:ascii="Arial" w:eastAsia="Arial" w:hAnsi="Arial" w:cs="Arial"/>
          <w:sz w:val="22"/>
          <w:szCs w:val="22"/>
        </w:rPr>
        <w:t xml:space="preserve"> </w:t>
      </w:r>
      <w:r w:rsidR="00A56BDD">
        <w:rPr>
          <w:rFonts w:ascii="Arial" w:eastAsia="Arial" w:hAnsi="Arial" w:cs="Arial"/>
          <w:sz w:val="22"/>
          <w:szCs w:val="22"/>
        </w:rPr>
        <w:t xml:space="preserve">November </w:t>
      </w:r>
      <w:r w:rsidRPr="00502106">
        <w:rPr>
          <w:rFonts w:ascii="Arial" w:eastAsia="Arial" w:hAnsi="Arial" w:cs="Arial"/>
          <w:sz w:val="22"/>
          <w:szCs w:val="22"/>
        </w:rPr>
        <w:t xml:space="preserve">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Cook</w:t>
      </w:r>
      <w:r w:rsidR="009C306E">
        <w:rPr>
          <w:rFonts w:ascii="Arial" w:eastAsia="Arial" w:hAnsi="Arial" w:cs="Arial"/>
          <w:sz w:val="22"/>
          <w:szCs w:val="22"/>
        </w:rPr>
        <w:t xml:space="preserve"> </w:t>
      </w:r>
      <w:r w:rsidR="00981FBE">
        <w:rPr>
          <w:rFonts w:ascii="Arial" w:eastAsia="Arial" w:hAnsi="Arial" w:cs="Arial"/>
          <w:sz w:val="22"/>
          <w:szCs w:val="22"/>
        </w:rPr>
        <w:t xml:space="preserve">Finance </w:t>
      </w:r>
      <w:r w:rsidR="009C306E">
        <w:rPr>
          <w:rFonts w:ascii="Arial" w:eastAsia="Arial" w:hAnsi="Arial" w:cs="Arial"/>
          <w:sz w:val="22"/>
          <w:szCs w:val="22"/>
        </w:rPr>
        <w:t xml:space="preserve">Limited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648FDD56"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w:t>
      </w:r>
    </w:p>
    <w:p w14:paraId="2BF30A36" w14:textId="5CF2A45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dividend declared and distributed on</w:t>
      </w:r>
      <w:r w:rsidR="006F4073">
        <w:rPr>
          <w:rFonts w:ascii="Arial" w:eastAsia="Arial" w:hAnsi="Arial" w:cs="Arial"/>
          <w:sz w:val="22"/>
          <w:szCs w:val="22"/>
        </w:rPr>
        <w:t xml:space="preserve"> 1 October 2024, </w:t>
      </w:r>
      <w:r w:rsidRPr="00502106">
        <w:rPr>
          <w:rFonts w:ascii="Arial" w:eastAsia="Arial" w:hAnsi="Arial" w:cs="Arial"/>
          <w:sz w:val="22"/>
          <w:szCs w:val="22"/>
        </w:rPr>
        <w:t xml:space="preserve">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0D5A7662"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w:t>
      </w:r>
      <w:r w:rsidR="00725062">
        <w:rPr>
          <w:rFonts w:ascii="Arial" w:eastAsia="Arial" w:hAnsi="Arial" w:cs="Arial"/>
          <w:sz w:val="22"/>
          <w:szCs w:val="22"/>
        </w:rPr>
        <w:t xml:space="preserve"> and </w:t>
      </w:r>
      <w:r w:rsidR="00725062" w:rsidRPr="00725062">
        <w:rPr>
          <w:rFonts w:ascii="Arial" w:eastAsia="Arial" w:hAnsi="Arial" w:cs="Arial"/>
          <w:sz w:val="22"/>
          <w:szCs w:val="22"/>
          <w:lang w:val="en-GB"/>
        </w:rPr>
        <w:t>contributories of the Company</w:t>
      </w:r>
      <w:r w:rsidRPr="004261C5">
        <w:rPr>
          <w:rFonts w:ascii="Arial" w:eastAsia="Arial" w:hAnsi="Arial" w:cs="Arial"/>
          <w:sz w:val="22"/>
          <w:szCs w:val="22"/>
        </w:rPr>
        <w:t xml:space="preserve">. </w:t>
      </w:r>
    </w:p>
    <w:p w14:paraId="12689A52" w14:textId="55B62D54"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6F4073">
        <w:rPr>
          <w:rFonts w:ascii="Arial" w:eastAsia="Arial" w:hAnsi="Arial" w:cs="Arial"/>
          <w:sz w:val="22"/>
          <w:szCs w:val="22"/>
        </w:rPr>
        <w:t xml:space="preserve"> 1 October 2024 </w:t>
      </w:r>
      <w:proofErr w:type="spellStart"/>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proofErr w:type="spellEnd"/>
      <w:r w:rsidR="00981FBE">
        <w:rPr>
          <w:rFonts w:ascii="Arial" w:eastAsia="Arial" w:hAnsi="Arial" w:cs="Arial"/>
          <w:sz w:val="22"/>
          <w:szCs w:val="22"/>
        </w:rPr>
        <w:t xml:space="preserve"> £46,541.76</w:t>
      </w:r>
      <w:r w:rsidR="00D33E75">
        <w:rPr>
          <w:rFonts w:ascii="Arial" w:eastAsia="Arial" w:hAnsi="Arial" w:cs="Arial"/>
          <w:sz w:val="22"/>
          <w:szCs w:val="22"/>
        </w:rPr>
        <w:t xml:space="preserve"> </w:t>
      </w:r>
      <w:r w:rsidRPr="004261C5">
        <w:rPr>
          <w:rFonts w:ascii="Arial" w:eastAsia="Arial" w:hAnsi="Arial" w:cs="Arial"/>
          <w:sz w:val="22"/>
          <w:szCs w:val="22"/>
        </w:rPr>
        <w:t>and the rate of the dividend was</w:t>
      </w:r>
      <w:r w:rsidR="00C03A06">
        <w:rPr>
          <w:rFonts w:ascii="Arial" w:eastAsia="Arial" w:hAnsi="Arial" w:cs="Arial"/>
          <w:sz w:val="22"/>
          <w:szCs w:val="22"/>
        </w:rPr>
        <w:t xml:space="preserve"> </w:t>
      </w:r>
      <w:r w:rsidR="00981FBE">
        <w:rPr>
          <w:rFonts w:ascii="Arial" w:eastAsia="Arial" w:hAnsi="Arial" w:cs="Arial"/>
          <w:sz w:val="22"/>
          <w:szCs w:val="22"/>
        </w:rPr>
        <w:t>0.63</w:t>
      </w:r>
      <w:r w:rsidR="00C03A06">
        <w:rPr>
          <w:rFonts w:ascii="Arial" w:eastAsia="Arial" w:hAnsi="Arial" w:cs="Arial"/>
          <w:sz w:val="22"/>
          <w:szCs w:val="22"/>
        </w:rPr>
        <w:t xml:space="preserve"> </w:t>
      </w:r>
      <w:r w:rsidRPr="004261C5">
        <w:rPr>
          <w:rFonts w:ascii="Arial" w:eastAsia="Arial" w:hAnsi="Arial" w:cs="Arial"/>
          <w:sz w:val="22"/>
          <w:szCs w:val="22"/>
        </w:rPr>
        <w:t xml:space="preserve">pence in the pound. </w:t>
      </w:r>
    </w:p>
    <w:p w14:paraId="78DD0B30" w14:textId="0C91805A" w:rsid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An account of the receipts and payments during the period of the </w:t>
      </w:r>
      <w:r>
        <w:rPr>
          <w:rFonts w:ascii="Arial" w:eastAsia="Arial" w:hAnsi="Arial" w:cs="Arial"/>
          <w:sz w:val="22"/>
          <w:szCs w:val="22"/>
        </w:rPr>
        <w:t>liquidation</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77777777" w:rsidR="00502106" w:rsidRPr="00502106" w:rsidRDefault="00502106" w:rsidP="00502106">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 xml:space="preserve">Further updates on the progress of the liquidation will be available on </w:t>
      </w:r>
      <w:bookmarkStart w:id="0" w:name="_Hlk127806623"/>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bookmarkEnd w:id="0"/>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12017ED7"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9" w:history="1">
        <w:r w:rsidR="00C03A06" w:rsidRPr="005176D1">
          <w:rPr>
            <w:rStyle w:val="Hyperlink"/>
            <w:rFonts w:ascii="Arial" w:eastAsia="Arial" w:hAnsi="Arial" w:cs="Arial"/>
            <w:sz w:val="22"/>
            <w:szCs w:val="22"/>
          </w:rPr>
          <w:t>TCUKcreditors@alixpartners.com</w:t>
        </w:r>
      </w:hyperlink>
      <w:r w:rsidR="00C15088">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71C5E607" w14:textId="77777777" w:rsidR="00D460B1" w:rsidRDefault="00D460B1" w:rsidP="00502106">
      <w:pPr>
        <w:widowControl w:val="0"/>
        <w:autoSpaceDE w:val="0"/>
        <w:autoSpaceDN w:val="0"/>
        <w:spacing w:before="93"/>
        <w:ind w:left="155"/>
        <w:rPr>
          <w:rFonts w:ascii="Arial" w:eastAsia="Arial" w:hAnsi="Arial" w:cs="Arial"/>
          <w:sz w:val="22"/>
          <w:szCs w:val="22"/>
        </w:rPr>
      </w:pPr>
    </w:p>
    <w:p w14:paraId="1E88A72F" w14:textId="42AF401F" w:rsidR="00502106" w:rsidRPr="00502106" w:rsidRDefault="00313BAF" w:rsidP="00502106">
      <w:pPr>
        <w:widowControl w:val="0"/>
        <w:autoSpaceDE w:val="0"/>
        <w:autoSpaceDN w:val="0"/>
        <w:spacing w:before="93"/>
        <w:ind w:left="155"/>
        <w:rPr>
          <w:rFonts w:ascii="Arial" w:eastAsia="Arial" w:hAnsi="Arial" w:cs="Arial"/>
          <w:sz w:val="22"/>
          <w:szCs w:val="22"/>
        </w:rPr>
      </w:pPr>
      <w:r w:rsidRPr="00313BAF">
        <w:rPr>
          <w:noProof/>
          <w:lang w:val="en-GB"/>
        </w:rPr>
        <w:lastRenderedPageBreak/>
        <w:drawing>
          <wp:anchor distT="0" distB="0" distL="114300" distR="114300" simplePos="0" relativeHeight="251658240" behindDoc="1" locked="0" layoutInCell="1" allowOverlap="1" wp14:anchorId="7BD9DBB1" wp14:editId="106BCD32">
            <wp:simplePos x="0" y="0"/>
            <wp:positionH relativeFrom="margin">
              <wp:align>left</wp:align>
            </wp:positionH>
            <wp:positionV relativeFrom="paragraph">
              <wp:posOffset>6350</wp:posOffset>
            </wp:positionV>
            <wp:extent cx="1813560" cy="717096"/>
            <wp:effectExtent l="0" t="0" r="0" b="6985"/>
            <wp:wrapNone/>
            <wp:docPr id="1947314982"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14982" name="Picture 2" descr="A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560" cy="717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106" w:rsidRPr="00502106">
        <w:rPr>
          <w:rFonts w:ascii="Arial" w:eastAsia="Arial" w:hAnsi="Arial" w:cs="Arial"/>
          <w:sz w:val="22"/>
          <w:szCs w:val="22"/>
        </w:rPr>
        <w:t>Date:</w:t>
      </w:r>
      <w:r w:rsidR="006F4073">
        <w:rPr>
          <w:rFonts w:ascii="Arial" w:eastAsia="Arial" w:hAnsi="Arial" w:cs="Arial"/>
          <w:sz w:val="22"/>
          <w:szCs w:val="22"/>
        </w:rPr>
        <w:t xml:space="preserve"> 1 October 2024</w:t>
      </w:r>
    </w:p>
    <w:p w14:paraId="6FCDFCD9" w14:textId="3F2D29F4" w:rsidR="00313BAF" w:rsidRPr="00313BAF" w:rsidRDefault="00313BAF" w:rsidP="00313BAF">
      <w:pPr>
        <w:widowControl w:val="0"/>
        <w:autoSpaceDE w:val="0"/>
        <w:autoSpaceDN w:val="0"/>
        <w:rPr>
          <w:noProof/>
          <w:lang w:val="en-GB"/>
        </w:rPr>
      </w:pPr>
    </w:p>
    <w:p w14:paraId="7B8267E6" w14:textId="2C1AF03B" w:rsidR="00502106" w:rsidRDefault="00502106" w:rsidP="00502106">
      <w:pPr>
        <w:widowControl w:val="0"/>
        <w:autoSpaceDE w:val="0"/>
        <w:autoSpaceDN w:val="0"/>
        <w:rPr>
          <w:noProof/>
        </w:rPr>
      </w:pPr>
    </w:p>
    <w:p w14:paraId="207EC7A6" w14:textId="25652CA0" w:rsidR="00BD117A" w:rsidRDefault="00BD117A" w:rsidP="00502106">
      <w:pPr>
        <w:widowControl w:val="0"/>
        <w:autoSpaceDE w:val="0"/>
        <w:autoSpaceDN w:val="0"/>
        <w:rPr>
          <w:noProof/>
        </w:rPr>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619B2645" w14:textId="77777777" w:rsidR="00313BAF"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proofErr w:type="spellStart"/>
      <w:r w:rsidRPr="00502106">
        <w:rPr>
          <w:rFonts w:ascii="Arial" w:eastAsia="Arial" w:hAnsi="Arial" w:cs="Arial"/>
          <w:position w:val="8"/>
          <w:sz w:val="15"/>
          <w:szCs w:val="22"/>
        </w:rPr>
        <w:t>th</w:t>
      </w:r>
      <w:proofErr w:type="spellEnd"/>
      <w:r w:rsidRPr="00502106">
        <w:rPr>
          <w:rFonts w:ascii="Arial" w:eastAsia="Arial" w:hAnsi="Arial" w:cs="Arial"/>
          <w:position w:val="8"/>
          <w:sz w:val="15"/>
          <w:szCs w:val="22"/>
        </w:rPr>
        <w:t xml:space="preserve"> </w:t>
      </w:r>
      <w:r w:rsidRPr="00502106">
        <w:rPr>
          <w:rFonts w:ascii="Arial" w:eastAsia="Arial" w:hAnsi="Arial" w:cs="Arial"/>
          <w:sz w:val="22"/>
          <w:szCs w:val="22"/>
        </w:rPr>
        <w:t xml:space="preserve">Floor, 1 Westfield Avenue </w:t>
      </w:r>
    </w:p>
    <w:p w14:paraId="74D78EE4" w14:textId="12ABBDC0"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2C741883" w14:textId="7CDD26C3"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B250A7D" w14:textId="67103C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B191754" w14:textId="77777777" w:rsidR="002A4E69" w:rsidRDefault="002A4E69" w:rsidP="004F44BE">
      <w:pPr>
        <w:widowControl w:val="0"/>
        <w:autoSpaceDE w:val="0"/>
        <w:autoSpaceDN w:val="0"/>
        <w:spacing w:before="150" w:after="240" w:line="266" w:lineRule="auto"/>
        <w:ind w:left="154" w:right="512"/>
        <w:rPr>
          <w:rFonts w:ascii="Arial" w:eastAsia="Arial" w:hAnsi="Arial" w:cs="Arial"/>
          <w:sz w:val="22"/>
          <w:szCs w:val="22"/>
        </w:rPr>
      </w:pPr>
    </w:p>
    <w:p w14:paraId="6800D45A" w14:textId="77777777" w:rsidR="0032527E" w:rsidRDefault="0032527E" w:rsidP="004F44BE">
      <w:pPr>
        <w:widowControl w:val="0"/>
        <w:autoSpaceDE w:val="0"/>
        <w:autoSpaceDN w:val="0"/>
        <w:spacing w:before="150" w:after="240" w:line="266" w:lineRule="auto"/>
        <w:ind w:left="154" w:right="512"/>
        <w:rPr>
          <w:rFonts w:ascii="Arial" w:eastAsia="Arial" w:hAnsi="Arial" w:cs="Arial"/>
          <w:sz w:val="22"/>
          <w:szCs w:val="22"/>
        </w:rPr>
      </w:pPr>
    </w:p>
    <w:p w14:paraId="0F2CD846" w14:textId="77777777" w:rsidR="00D460B1" w:rsidRDefault="00D460B1" w:rsidP="004F44BE">
      <w:pPr>
        <w:widowControl w:val="0"/>
        <w:autoSpaceDE w:val="0"/>
        <w:autoSpaceDN w:val="0"/>
        <w:spacing w:before="150" w:after="240" w:line="266" w:lineRule="auto"/>
        <w:ind w:left="154" w:right="512"/>
        <w:rPr>
          <w:rFonts w:ascii="Arial" w:eastAsia="Arial" w:hAnsi="Arial" w:cs="Arial"/>
          <w:sz w:val="22"/>
          <w:szCs w:val="22"/>
        </w:rPr>
      </w:pPr>
    </w:p>
    <w:p w14:paraId="12413442" w14:textId="77777777" w:rsidR="00D460B1" w:rsidRDefault="00D460B1" w:rsidP="004F44BE">
      <w:pPr>
        <w:widowControl w:val="0"/>
        <w:autoSpaceDE w:val="0"/>
        <w:autoSpaceDN w:val="0"/>
        <w:spacing w:before="150" w:after="240" w:line="266" w:lineRule="auto"/>
        <w:ind w:left="154" w:right="512"/>
        <w:rPr>
          <w:rFonts w:ascii="Arial" w:eastAsia="Arial" w:hAnsi="Arial" w:cs="Arial"/>
          <w:sz w:val="22"/>
          <w:szCs w:val="22"/>
        </w:rPr>
      </w:pPr>
    </w:p>
    <w:p w14:paraId="10EE4758" w14:textId="77777777" w:rsidR="00D460B1" w:rsidRDefault="00D460B1" w:rsidP="004F44BE">
      <w:pPr>
        <w:widowControl w:val="0"/>
        <w:autoSpaceDE w:val="0"/>
        <w:autoSpaceDN w:val="0"/>
        <w:spacing w:before="150" w:after="240" w:line="266" w:lineRule="auto"/>
        <w:ind w:left="154" w:right="512"/>
        <w:rPr>
          <w:rFonts w:ascii="Arial" w:eastAsia="Arial" w:hAnsi="Arial" w:cs="Arial"/>
          <w:sz w:val="22"/>
          <w:szCs w:val="22"/>
        </w:rPr>
      </w:pPr>
    </w:p>
    <w:p w14:paraId="78454DC4" w14:textId="77777777" w:rsidR="00D460B1" w:rsidRDefault="00D460B1" w:rsidP="004F44BE">
      <w:pPr>
        <w:widowControl w:val="0"/>
        <w:autoSpaceDE w:val="0"/>
        <w:autoSpaceDN w:val="0"/>
        <w:spacing w:before="150" w:after="240" w:line="266" w:lineRule="auto"/>
        <w:ind w:left="154" w:right="512"/>
        <w:rPr>
          <w:rFonts w:ascii="Arial" w:eastAsia="Arial" w:hAnsi="Arial" w:cs="Arial"/>
          <w:sz w:val="22"/>
          <w:szCs w:val="22"/>
        </w:rPr>
      </w:pPr>
    </w:p>
    <w:p w14:paraId="390CF204" w14:textId="26AE76ED"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 xml:space="preserve">Appendix A: Receipts and Payments account for the period </w:t>
      </w:r>
      <w:r w:rsidR="00506C88">
        <w:rPr>
          <w:rFonts w:ascii="Arial" w:eastAsia="Arial" w:hAnsi="Arial" w:cs="Arial"/>
          <w:sz w:val="22"/>
          <w:szCs w:val="22"/>
        </w:rPr>
        <w:t xml:space="preserve">8 November </w:t>
      </w:r>
      <w:r>
        <w:rPr>
          <w:rFonts w:ascii="Arial" w:eastAsia="Arial" w:hAnsi="Arial" w:cs="Arial"/>
          <w:sz w:val="22"/>
          <w:szCs w:val="22"/>
        </w:rPr>
        <w:t>2019 to</w:t>
      </w:r>
      <w:r w:rsidR="006F4073">
        <w:rPr>
          <w:rFonts w:ascii="Arial" w:eastAsia="Arial" w:hAnsi="Arial" w:cs="Arial"/>
          <w:sz w:val="22"/>
          <w:szCs w:val="22"/>
        </w:rPr>
        <w:b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44E21BCE" w:rsidR="00502106" w:rsidRPr="004F44BE" w:rsidRDefault="00506C88" w:rsidP="006A7236">
            <w:pPr>
              <w:rPr>
                <w:rFonts w:ascii="Arial" w:eastAsia="Times New Roman" w:hAnsi="Arial" w:cs="Arial"/>
                <w:color w:val="FFFFFF"/>
                <w:szCs w:val="20"/>
              </w:rPr>
            </w:pPr>
            <w:r>
              <w:rPr>
                <w:rFonts w:ascii="Arial" w:eastAsia="Times New Roman" w:hAnsi="Arial" w:cs="Arial"/>
                <w:color w:val="FFFFFF"/>
                <w:szCs w:val="20"/>
              </w:rPr>
              <w:t xml:space="preserve">Thomas Cook </w:t>
            </w:r>
            <w:r w:rsidR="00981FBE">
              <w:rPr>
                <w:rFonts w:ascii="Arial" w:eastAsia="Times New Roman" w:hAnsi="Arial" w:cs="Arial"/>
                <w:color w:val="FFFFFF"/>
                <w:szCs w:val="20"/>
              </w:rPr>
              <w:t>Finance</w:t>
            </w:r>
            <w:r>
              <w:rPr>
                <w:rFonts w:ascii="Arial" w:eastAsia="Times New Roman" w:hAnsi="Arial" w:cs="Arial"/>
                <w:color w:val="FFFFFF"/>
                <w:szCs w:val="20"/>
              </w:rPr>
              <w:t xml:space="preserve">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C03A06" w:rsidRPr="00502106" w14:paraId="3FD69505" w14:textId="77777777" w:rsidTr="00837E83">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171D977B" w14:textId="77777777" w:rsidR="00C03A06" w:rsidRPr="004F44BE" w:rsidRDefault="00C03A06" w:rsidP="00837E83">
            <w:pPr>
              <w:rPr>
                <w:rFonts w:ascii="Arial" w:eastAsia="Times New Roman" w:hAnsi="Arial" w:cs="Arial"/>
                <w:b/>
                <w:bCs/>
                <w:color w:val="000000"/>
                <w:szCs w:val="20"/>
              </w:rPr>
            </w:pPr>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654915CF"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C03A06" w:rsidRPr="00502106" w14:paraId="451B4492" w14:textId="77777777" w:rsidTr="00837E83">
        <w:trPr>
          <w:trHeight w:val="40"/>
        </w:trPr>
        <w:tc>
          <w:tcPr>
            <w:tcW w:w="6580" w:type="dxa"/>
            <w:tcBorders>
              <w:top w:val="nil"/>
              <w:left w:val="single" w:sz="8" w:space="0" w:color="auto"/>
              <w:bottom w:val="nil"/>
              <w:right w:val="single" w:sz="8" w:space="0" w:color="auto"/>
            </w:tcBorders>
            <w:shd w:val="clear" w:color="auto" w:fill="auto"/>
            <w:noWrap/>
            <w:vAlign w:val="bottom"/>
            <w:hideMark/>
          </w:tcPr>
          <w:p w14:paraId="261FAD18"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2840481D"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C03A06" w:rsidRPr="00502106" w14:paraId="4BB1D478" w14:textId="77777777" w:rsidTr="00837E83">
        <w:trPr>
          <w:trHeight w:val="250"/>
        </w:trPr>
        <w:tc>
          <w:tcPr>
            <w:tcW w:w="6580" w:type="dxa"/>
            <w:tcBorders>
              <w:top w:val="nil"/>
              <w:left w:val="single" w:sz="8" w:space="0" w:color="auto"/>
              <w:bottom w:val="nil"/>
              <w:right w:val="single" w:sz="8" w:space="0" w:color="auto"/>
            </w:tcBorders>
            <w:shd w:val="clear" w:color="auto" w:fill="auto"/>
            <w:noWrap/>
            <w:vAlign w:val="bottom"/>
            <w:hideMark/>
          </w:tcPr>
          <w:p w14:paraId="42226C2E" w14:textId="77777777" w:rsidR="00C03A06" w:rsidRPr="004F44BE" w:rsidRDefault="00C03A06" w:rsidP="00837E83">
            <w:pPr>
              <w:rPr>
                <w:rFonts w:ascii="Arial" w:eastAsia="Times New Roman" w:hAnsi="Arial" w:cs="Arial"/>
                <w:b/>
                <w:bCs/>
                <w:i/>
                <w:iCs/>
                <w:color w:val="000000"/>
                <w:szCs w:val="20"/>
              </w:rPr>
            </w:pPr>
            <w:r w:rsidRPr="004F44BE">
              <w:rPr>
                <w:rFonts w:ascii="Arial" w:eastAsia="Times New Roman" w:hAnsi="Arial" w:cs="Arial"/>
                <w:b/>
                <w:bCs/>
                <w:i/>
                <w:iCs/>
                <w:color w:val="000000"/>
                <w:szCs w:val="20"/>
              </w:rPr>
              <w:t>Asset Realisations</w:t>
            </w:r>
          </w:p>
        </w:tc>
        <w:tc>
          <w:tcPr>
            <w:tcW w:w="1805" w:type="dxa"/>
            <w:tcBorders>
              <w:top w:val="nil"/>
              <w:left w:val="nil"/>
              <w:bottom w:val="nil"/>
              <w:right w:val="single" w:sz="8" w:space="0" w:color="auto"/>
            </w:tcBorders>
            <w:shd w:val="clear" w:color="auto" w:fill="auto"/>
            <w:noWrap/>
            <w:vAlign w:val="bottom"/>
            <w:hideMark/>
          </w:tcPr>
          <w:p w14:paraId="3D9D0411"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C03A06" w:rsidRPr="00502106" w14:paraId="30366EAD" w14:textId="77777777" w:rsidTr="00837E83">
        <w:trPr>
          <w:trHeight w:val="139"/>
        </w:trPr>
        <w:tc>
          <w:tcPr>
            <w:tcW w:w="6580" w:type="dxa"/>
            <w:tcBorders>
              <w:top w:val="nil"/>
              <w:left w:val="single" w:sz="8" w:space="0" w:color="auto"/>
              <w:bottom w:val="nil"/>
              <w:right w:val="single" w:sz="8" w:space="0" w:color="auto"/>
            </w:tcBorders>
            <w:shd w:val="clear" w:color="auto" w:fill="auto"/>
            <w:noWrap/>
            <w:vAlign w:val="bottom"/>
            <w:hideMark/>
          </w:tcPr>
          <w:p w14:paraId="0030E6B3"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6F0F121A"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C03A06" w:rsidRPr="00502106" w14:paraId="7D253F9A"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039FE5AF" w14:textId="77777777" w:rsidR="00C03A06" w:rsidRPr="004F44BE" w:rsidRDefault="00C03A06" w:rsidP="00837E83">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283B11C3"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C03A06" w:rsidRPr="00502106" w14:paraId="3FD2AB34" w14:textId="77777777" w:rsidTr="00837E83">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526E26F5"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Cash and financial assets</w:t>
            </w:r>
          </w:p>
        </w:tc>
        <w:tc>
          <w:tcPr>
            <w:tcW w:w="1805" w:type="dxa"/>
            <w:tcBorders>
              <w:top w:val="nil"/>
              <w:left w:val="nil"/>
              <w:bottom w:val="nil"/>
              <w:right w:val="single" w:sz="8" w:space="0" w:color="auto"/>
            </w:tcBorders>
            <w:shd w:val="clear" w:color="auto" w:fill="auto"/>
            <w:noWrap/>
            <w:vAlign w:val="bottom"/>
            <w:hideMark/>
          </w:tcPr>
          <w:p w14:paraId="66D977B8" w14:textId="7270AD71" w:rsidR="00C03A06" w:rsidRPr="004F44BE" w:rsidRDefault="00981FBE" w:rsidP="00837E83">
            <w:pPr>
              <w:jc w:val="right"/>
              <w:rPr>
                <w:rFonts w:ascii="Arial" w:eastAsia="Times New Roman" w:hAnsi="Arial" w:cs="Arial"/>
                <w:color w:val="000000"/>
                <w:szCs w:val="20"/>
              </w:rPr>
            </w:pPr>
            <w:r>
              <w:rPr>
                <w:rFonts w:ascii="Arial" w:eastAsia="Times New Roman" w:hAnsi="Arial" w:cs="Arial"/>
                <w:color w:val="000000"/>
                <w:szCs w:val="20"/>
              </w:rPr>
              <w:t>77.1</w:t>
            </w:r>
          </w:p>
        </w:tc>
      </w:tr>
      <w:tr w:rsidR="00C03A06" w:rsidRPr="00502106" w14:paraId="2C8AF38D"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0FFED02C" w14:textId="77777777" w:rsidR="00C03A06" w:rsidRPr="004F44BE" w:rsidRDefault="00C03A06" w:rsidP="00837E83">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3D84D923" w14:textId="208267FE" w:rsidR="00C03A06" w:rsidRPr="004F44BE" w:rsidRDefault="00981FBE" w:rsidP="00837E83">
            <w:pPr>
              <w:jc w:val="right"/>
              <w:rPr>
                <w:rFonts w:ascii="Arial" w:eastAsia="Times New Roman" w:hAnsi="Arial" w:cs="Arial"/>
                <w:color w:val="000000"/>
                <w:szCs w:val="20"/>
              </w:rPr>
            </w:pPr>
            <w:r>
              <w:rPr>
                <w:rFonts w:ascii="Arial" w:eastAsia="Times New Roman" w:hAnsi="Arial" w:cs="Arial"/>
                <w:color w:val="000000"/>
                <w:szCs w:val="20"/>
              </w:rPr>
              <w:t>60.1</w:t>
            </w:r>
          </w:p>
        </w:tc>
      </w:tr>
      <w:tr w:rsidR="00C03A06" w:rsidRPr="00502106" w14:paraId="3A5DDF98"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69AE27E9" w14:textId="77777777" w:rsidR="00C03A06" w:rsidRDefault="00C03A06" w:rsidP="00837E83">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593DFE9E" w14:textId="687F0395" w:rsidR="00C03A06" w:rsidRPr="004F44BE" w:rsidRDefault="00981FBE" w:rsidP="00837E83">
            <w:pPr>
              <w:jc w:val="right"/>
              <w:rPr>
                <w:rFonts w:ascii="Arial" w:eastAsia="Times New Roman" w:hAnsi="Arial" w:cs="Arial"/>
                <w:color w:val="000000"/>
                <w:szCs w:val="20"/>
              </w:rPr>
            </w:pPr>
            <w:r>
              <w:rPr>
                <w:rFonts w:ascii="Arial" w:eastAsia="Times New Roman" w:hAnsi="Arial" w:cs="Arial"/>
                <w:color w:val="000000"/>
                <w:szCs w:val="20"/>
              </w:rPr>
              <w:t>1.</w:t>
            </w:r>
            <w:r w:rsidR="008C51EF">
              <w:rPr>
                <w:rFonts w:ascii="Arial" w:eastAsia="Times New Roman" w:hAnsi="Arial" w:cs="Arial"/>
                <w:color w:val="000000"/>
                <w:szCs w:val="20"/>
              </w:rPr>
              <w:t>9</w:t>
            </w:r>
          </w:p>
        </w:tc>
      </w:tr>
      <w:tr w:rsidR="00C03A06" w:rsidRPr="00502106" w14:paraId="1D4A890C" w14:textId="77777777" w:rsidTr="00981FBE">
        <w:trPr>
          <w:trHeight w:val="288"/>
        </w:trPr>
        <w:tc>
          <w:tcPr>
            <w:tcW w:w="6580" w:type="dxa"/>
            <w:tcBorders>
              <w:top w:val="nil"/>
              <w:left w:val="single" w:sz="8" w:space="0" w:color="auto"/>
              <w:bottom w:val="nil"/>
              <w:right w:val="single" w:sz="8" w:space="0" w:color="auto"/>
            </w:tcBorders>
            <w:shd w:val="clear" w:color="auto" w:fill="auto"/>
            <w:noWrap/>
            <w:vAlign w:val="bottom"/>
          </w:tcPr>
          <w:p w14:paraId="5A8A85E7" w14:textId="79DE32C6" w:rsidR="00C03A06" w:rsidRPr="004F44BE" w:rsidRDefault="00C03A06" w:rsidP="00837E83">
            <w:pPr>
              <w:rPr>
                <w:rFonts w:ascii="Arial" w:eastAsia="Times New Roman" w:hAnsi="Arial" w:cs="Arial"/>
                <w:b/>
                <w:bCs/>
                <w:color w:val="000000"/>
                <w:szCs w:val="20"/>
              </w:rPr>
            </w:pPr>
          </w:p>
        </w:tc>
        <w:tc>
          <w:tcPr>
            <w:tcW w:w="1805" w:type="dxa"/>
            <w:tcBorders>
              <w:top w:val="nil"/>
              <w:left w:val="nil"/>
              <w:bottom w:val="nil"/>
              <w:right w:val="single" w:sz="8" w:space="0" w:color="auto"/>
            </w:tcBorders>
            <w:shd w:val="clear" w:color="auto" w:fill="auto"/>
            <w:noWrap/>
            <w:vAlign w:val="bottom"/>
          </w:tcPr>
          <w:p w14:paraId="0F3FCA8F" w14:textId="355430BA" w:rsidR="00C03A06" w:rsidRPr="004F44BE" w:rsidRDefault="00C03A06" w:rsidP="00837E83">
            <w:pPr>
              <w:jc w:val="right"/>
              <w:rPr>
                <w:rFonts w:ascii="Arial" w:eastAsia="Times New Roman" w:hAnsi="Arial" w:cs="Arial"/>
                <w:b/>
                <w:bCs/>
                <w:color w:val="000000"/>
                <w:szCs w:val="20"/>
              </w:rPr>
            </w:pPr>
          </w:p>
        </w:tc>
      </w:tr>
      <w:tr w:rsidR="00C03A06" w:rsidRPr="00502106" w14:paraId="058173F1" w14:textId="77777777" w:rsidTr="00981FBE">
        <w:trPr>
          <w:trHeight w:val="55"/>
        </w:trPr>
        <w:tc>
          <w:tcPr>
            <w:tcW w:w="6580" w:type="dxa"/>
            <w:tcBorders>
              <w:top w:val="nil"/>
              <w:left w:val="single" w:sz="8" w:space="0" w:color="auto"/>
              <w:bottom w:val="nil"/>
              <w:right w:val="single" w:sz="8" w:space="0" w:color="auto"/>
            </w:tcBorders>
            <w:shd w:val="clear" w:color="auto" w:fill="auto"/>
            <w:noWrap/>
            <w:vAlign w:val="bottom"/>
          </w:tcPr>
          <w:p w14:paraId="4F785492" w14:textId="548E49B9" w:rsidR="00C03A06" w:rsidRPr="004F44BE" w:rsidRDefault="00C03A06" w:rsidP="00837E83">
            <w:pPr>
              <w:rPr>
                <w:rFonts w:ascii="Arial" w:eastAsia="Times New Roman" w:hAnsi="Arial" w:cs="Arial"/>
                <w:color w:val="000000"/>
                <w:szCs w:val="20"/>
              </w:rPr>
            </w:pPr>
          </w:p>
        </w:tc>
        <w:tc>
          <w:tcPr>
            <w:tcW w:w="1805" w:type="dxa"/>
            <w:tcBorders>
              <w:top w:val="nil"/>
              <w:left w:val="nil"/>
              <w:bottom w:val="nil"/>
              <w:right w:val="single" w:sz="8" w:space="0" w:color="auto"/>
            </w:tcBorders>
            <w:shd w:val="clear" w:color="auto" w:fill="auto"/>
            <w:noWrap/>
            <w:vAlign w:val="bottom"/>
          </w:tcPr>
          <w:p w14:paraId="56513C41" w14:textId="5C4EC2A6" w:rsidR="00C03A06" w:rsidRPr="004F44BE" w:rsidRDefault="00C03A06" w:rsidP="00837E83">
            <w:pPr>
              <w:rPr>
                <w:rFonts w:ascii="Arial" w:eastAsia="Times New Roman" w:hAnsi="Arial" w:cs="Arial"/>
                <w:color w:val="000000"/>
                <w:szCs w:val="20"/>
              </w:rPr>
            </w:pPr>
          </w:p>
        </w:tc>
      </w:tr>
      <w:tr w:rsidR="00C03A06" w:rsidRPr="00502106" w14:paraId="375D208E" w14:textId="77777777" w:rsidTr="00837E83">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68B34194" w14:textId="77777777" w:rsidR="00C03A06" w:rsidRPr="004F44BE" w:rsidRDefault="00C03A06" w:rsidP="00837E83">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3FE7B6D0" w14:textId="65CCEF6F" w:rsidR="00C03A06" w:rsidRPr="004F44BE" w:rsidRDefault="00981FBE" w:rsidP="00837E83">
            <w:pPr>
              <w:jc w:val="right"/>
              <w:rPr>
                <w:rFonts w:ascii="Arial" w:eastAsia="Times New Roman" w:hAnsi="Arial" w:cs="Arial"/>
                <w:b/>
                <w:bCs/>
                <w:color w:val="000000"/>
                <w:szCs w:val="20"/>
              </w:rPr>
            </w:pPr>
            <w:r>
              <w:rPr>
                <w:rFonts w:ascii="Arial" w:eastAsia="Times New Roman" w:hAnsi="Arial" w:cs="Arial"/>
                <w:b/>
                <w:bCs/>
                <w:color w:val="000000"/>
                <w:szCs w:val="20"/>
              </w:rPr>
              <w:t>139.1</w:t>
            </w:r>
          </w:p>
        </w:tc>
      </w:tr>
      <w:tr w:rsidR="00C03A06" w:rsidRPr="00502106" w14:paraId="33387CE8" w14:textId="77777777" w:rsidTr="00837E83">
        <w:trPr>
          <w:trHeight w:val="296"/>
        </w:trPr>
        <w:tc>
          <w:tcPr>
            <w:tcW w:w="6580" w:type="dxa"/>
            <w:tcBorders>
              <w:top w:val="nil"/>
              <w:left w:val="single" w:sz="8" w:space="0" w:color="auto"/>
              <w:bottom w:val="nil"/>
              <w:right w:val="nil"/>
            </w:tcBorders>
            <w:shd w:val="clear" w:color="auto" w:fill="auto"/>
            <w:noWrap/>
            <w:vAlign w:val="bottom"/>
            <w:hideMark/>
          </w:tcPr>
          <w:p w14:paraId="0AB6BD02"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F7DABE7"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r>
      <w:tr w:rsidR="00C03A06" w:rsidRPr="00502106" w14:paraId="741DA76F" w14:textId="77777777" w:rsidTr="00837E83">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191CAEC5" w14:textId="77777777" w:rsidR="00C03A06" w:rsidRPr="004F44BE" w:rsidRDefault="00C03A06" w:rsidP="00837E83">
            <w:pPr>
              <w:rPr>
                <w:rFonts w:ascii="Arial" w:eastAsia="Times New Roman" w:hAnsi="Arial" w:cs="Arial"/>
                <w:b/>
                <w:bCs/>
                <w:color w:val="000000"/>
                <w:szCs w:val="20"/>
              </w:rPr>
            </w:pPr>
            <w:r w:rsidRPr="004F44BE">
              <w:rPr>
                <w:rFonts w:ascii="Arial" w:eastAsia="Times New Roman" w:hAnsi="Arial" w:cs="Arial"/>
                <w:b/>
                <w:bCs/>
                <w:color w:val="000000"/>
                <w:szCs w:val="20"/>
              </w:rPr>
              <w:t>Payments:</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C6970E9" w14:textId="77777777" w:rsidR="00C03A06" w:rsidRPr="004F44BE" w:rsidRDefault="00C03A06" w:rsidP="00837E83">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C03A06" w:rsidRPr="00502106" w14:paraId="20F3B5AB" w14:textId="77777777" w:rsidTr="00837E83">
        <w:trPr>
          <w:trHeight w:val="40"/>
        </w:trPr>
        <w:tc>
          <w:tcPr>
            <w:tcW w:w="6580" w:type="dxa"/>
            <w:tcBorders>
              <w:top w:val="nil"/>
              <w:left w:val="single" w:sz="8" w:space="0" w:color="auto"/>
              <w:bottom w:val="nil"/>
              <w:right w:val="nil"/>
            </w:tcBorders>
            <w:shd w:val="clear" w:color="auto" w:fill="auto"/>
            <w:noWrap/>
            <w:vAlign w:val="bottom"/>
            <w:hideMark/>
          </w:tcPr>
          <w:p w14:paraId="30AD32DA"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F84B3D4" w14:textId="77777777" w:rsidR="00C03A06" w:rsidRPr="00A139DE" w:rsidRDefault="00C03A06" w:rsidP="00837E83">
            <w:pPr>
              <w:rPr>
                <w:rFonts w:ascii="Arial" w:eastAsia="Times New Roman" w:hAnsi="Arial" w:cs="Arial"/>
                <w:color w:val="000000"/>
                <w:szCs w:val="20"/>
              </w:rPr>
            </w:pPr>
            <w:r w:rsidRPr="00A139DE">
              <w:rPr>
                <w:rFonts w:ascii="Arial" w:eastAsia="Times New Roman" w:hAnsi="Arial" w:cs="Arial"/>
                <w:color w:val="000000"/>
                <w:szCs w:val="20"/>
              </w:rPr>
              <w:t> </w:t>
            </w:r>
          </w:p>
        </w:tc>
      </w:tr>
      <w:tr w:rsidR="00C03A06" w:rsidRPr="00502106" w14:paraId="2C75C9D3" w14:textId="77777777" w:rsidTr="00837E83">
        <w:trPr>
          <w:trHeight w:val="233"/>
        </w:trPr>
        <w:tc>
          <w:tcPr>
            <w:tcW w:w="6580" w:type="dxa"/>
            <w:tcBorders>
              <w:top w:val="nil"/>
              <w:left w:val="single" w:sz="8" w:space="0" w:color="auto"/>
              <w:bottom w:val="nil"/>
              <w:right w:val="nil"/>
            </w:tcBorders>
            <w:shd w:val="clear" w:color="auto" w:fill="auto"/>
            <w:noWrap/>
            <w:vAlign w:val="bottom"/>
            <w:hideMark/>
          </w:tcPr>
          <w:p w14:paraId="78BFAC8D"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Other costs of realisation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6C4BA13E" w14:textId="22AF8CD0" w:rsidR="00C03A06" w:rsidRPr="00A139DE" w:rsidRDefault="00C03A06" w:rsidP="00837E83">
            <w:pPr>
              <w:jc w:val="right"/>
              <w:rPr>
                <w:rFonts w:ascii="Arial" w:eastAsia="Times New Roman" w:hAnsi="Arial" w:cs="Arial"/>
                <w:color w:val="000000"/>
                <w:szCs w:val="20"/>
              </w:rPr>
            </w:pPr>
            <w:r w:rsidRPr="00A139DE">
              <w:rPr>
                <w:rFonts w:ascii="Arial" w:eastAsia="Times New Roman" w:hAnsi="Arial" w:cs="Arial"/>
                <w:color w:val="000000"/>
                <w:szCs w:val="20"/>
              </w:rPr>
              <w:t>(2</w:t>
            </w:r>
            <w:r w:rsidR="00981FBE">
              <w:rPr>
                <w:rFonts w:ascii="Arial" w:eastAsia="Times New Roman" w:hAnsi="Arial" w:cs="Arial"/>
                <w:color w:val="000000"/>
                <w:szCs w:val="20"/>
              </w:rPr>
              <w:t>.5</w:t>
            </w:r>
            <w:r w:rsidRPr="00A139DE">
              <w:rPr>
                <w:rFonts w:ascii="Arial" w:eastAsia="Times New Roman" w:hAnsi="Arial" w:cs="Arial"/>
                <w:color w:val="000000"/>
                <w:szCs w:val="20"/>
              </w:rPr>
              <w:t>)</w:t>
            </w:r>
          </w:p>
        </w:tc>
      </w:tr>
      <w:tr w:rsidR="00C03A06" w:rsidRPr="00502106" w14:paraId="5970A1CD" w14:textId="77777777" w:rsidTr="00837E83">
        <w:trPr>
          <w:trHeight w:val="223"/>
        </w:trPr>
        <w:tc>
          <w:tcPr>
            <w:tcW w:w="6580" w:type="dxa"/>
            <w:tcBorders>
              <w:top w:val="nil"/>
              <w:left w:val="single" w:sz="8" w:space="0" w:color="auto"/>
              <w:bottom w:val="nil"/>
              <w:right w:val="nil"/>
            </w:tcBorders>
            <w:shd w:val="clear" w:color="auto" w:fill="auto"/>
            <w:noWrap/>
            <w:vAlign w:val="bottom"/>
            <w:hideMark/>
          </w:tcPr>
          <w:p w14:paraId="3DCC78B2"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683F24B8" w14:textId="77777777" w:rsidR="00C03A06" w:rsidRPr="00A139DE" w:rsidRDefault="00C03A06" w:rsidP="00837E83">
            <w:pPr>
              <w:rPr>
                <w:rFonts w:ascii="Arial" w:eastAsia="Times New Roman" w:hAnsi="Arial" w:cs="Arial"/>
                <w:color w:val="000000"/>
                <w:szCs w:val="20"/>
              </w:rPr>
            </w:pPr>
            <w:r w:rsidRPr="00A139DE">
              <w:rPr>
                <w:rFonts w:ascii="Arial" w:eastAsia="Times New Roman" w:hAnsi="Arial" w:cs="Arial"/>
                <w:color w:val="000000"/>
                <w:szCs w:val="20"/>
              </w:rPr>
              <w:t> </w:t>
            </w:r>
          </w:p>
        </w:tc>
      </w:tr>
      <w:tr w:rsidR="00C03A06" w:rsidRPr="00502106" w14:paraId="6FE7F0A3"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50FC1215"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714E9CF2" w14:textId="77777777" w:rsidR="00C03A06" w:rsidRPr="00A139DE" w:rsidRDefault="00C03A06" w:rsidP="00837E83">
            <w:pPr>
              <w:rPr>
                <w:rFonts w:ascii="Arial" w:eastAsia="Times New Roman" w:hAnsi="Arial" w:cs="Arial"/>
                <w:color w:val="000000"/>
                <w:szCs w:val="20"/>
              </w:rPr>
            </w:pPr>
            <w:r w:rsidRPr="00A139DE">
              <w:rPr>
                <w:rFonts w:ascii="Arial" w:eastAsia="Times New Roman" w:hAnsi="Arial" w:cs="Arial"/>
                <w:color w:val="000000"/>
                <w:szCs w:val="20"/>
              </w:rPr>
              <w:t> </w:t>
            </w:r>
          </w:p>
        </w:tc>
      </w:tr>
      <w:tr w:rsidR="00C03A06" w:rsidRPr="00502106" w14:paraId="7DAC4141" w14:textId="77777777" w:rsidTr="00837E83">
        <w:trPr>
          <w:trHeight w:val="217"/>
        </w:trPr>
        <w:tc>
          <w:tcPr>
            <w:tcW w:w="6580" w:type="dxa"/>
            <w:tcBorders>
              <w:top w:val="nil"/>
              <w:left w:val="single" w:sz="8" w:space="0" w:color="auto"/>
              <w:bottom w:val="nil"/>
              <w:right w:val="nil"/>
            </w:tcBorders>
            <w:shd w:val="clear" w:color="auto" w:fill="auto"/>
            <w:noWrap/>
            <w:vAlign w:val="bottom"/>
            <w:hideMark/>
          </w:tcPr>
          <w:p w14:paraId="30079FD1"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2F8ADF7B" w14:textId="15CFAAC0" w:rsidR="00C03A06" w:rsidRPr="00A139DE" w:rsidRDefault="00C03A06" w:rsidP="00837E83">
            <w:pPr>
              <w:jc w:val="right"/>
              <w:rPr>
                <w:rFonts w:ascii="Arial" w:eastAsia="Times New Roman" w:hAnsi="Arial" w:cs="Arial"/>
                <w:color w:val="000000"/>
                <w:szCs w:val="20"/>
              </w:rPr>
            </w:pPr>
            <w:r w:rsidRPr="00A139DE">
              <w:rPr>
                <w:rFonts w:ascii="Arial" w:eastAsia="Times New Roman" w:hAnsi="Arial" w:cs="Arial"/>
                <w:color w:val="000000"/>
                <w:szCs w:val="20"/>
              </w:rPr>
              <w:t>(</w:t>
            </w:r>
            <w:r w:rsidR="00A139DE">
              <w:rPr>
                <w:rFonts w:ascii="Arial" w:eastAsia="Times New Roman" w:hAnsi="Arial" w:cs="Arial"/>
                <w:color w:val="000000"/>
                <w:szCs w:val="20"/>
              </w:rPr>
              <w:t>11.0</w:t>
            </w:r>
            <w:r w:rsidRPr="00A139DE">
              <w:rPr>
                <w:rFonts w:ascii="Arial" w:eastAsia="Times New Roman" w:hAnsi="Arial" w:cs="Arial"/>
                <w:color w:val="000000"/>
                <w:szCs w:val="20"/>
              </w:rPr>
              <w:t>)</w:t>
            </w:r>
          </w:p>
        </w:tc>
      </w:tr>
      <w:tr w:rsidR="00A139DE" w:rsidRPr="00502106" w14:paraId="11912291"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082B7F84" w14:textId="77777777" w:rsidR="00A139DE" w:rsidRPr="004F44BE" w:rsidRDefault="00A139DE" w:rsidP="00837E83">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07C7A853" w14:textId="77777777" w:rsidR="00A139DE" w:rsidRPr="00A139DE" w:rsidRDefault="00A139DE" w:rsidP="00837E83">
            <w:pPr>
              <w:jc w:val="right"/>
              <w:rPr>
                <w:rFonts w:ascii="Arial" w:eastAsia="Times New Roman" w:hAnsi="Arial" w:cs="Arial"/>
                <w:color w:val="000000"/>
                <w:szCs w:val="20"/>
              </w:rPr>
            </w:pPr>
          </w:p>
        </w:tc>
      </w:tr>
      <w:tr w:rsidR="00A139DE" w:rsidRPr="00502106" w14:paraId="0CE3F561"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0AB9F537" w14:textId="63DEC80B" w:rsidR="00A139DE" w:rsidRPr="00A139DE" w:rsidRDefault="00A139DE" w:rsidP="00837E83">
            <w:pPr>
              <w:rPr>
                <w:rFonts w:ascii="Arial" w:eastAsia="Times New Roman" w:hAnsi="Arial" w:cs="Arial"/>
                <w:color w:val="000000"/>
                <w:szCs w:val="20"/>
              </w:rPr>
            </w:pPr>
            <w:r w:rsidRPr="00A139DE">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1B00E87E" w14:textId="254C1811" w:rsidR="00A139DE" w:rsidRPr="00A139DE" w:rsidRDefault="00A139DE" w:rsidP="00A139DE">
            <w:pPr>
              <w:jc w:val="right"/>
              <w:rPr>
                <w:rFonts w:ascii="Arial" w:eastAsia="Times New Roman" w:hAnsi="Arial" w:cs="Arial"/>
                <w:color w:val="000000"/>
                <w:szCs w:val="20"/>
              </w:rPr>
            </w:pPr>
            <w:r w:rsidRPr="00A139DE">
              <w:rPr>
                <w:rFonts w:ascii="Arial" w:eastAsia="Times New Roman" w:hAnsi="Arial" w:cs="Arial"/>
                <w:color w:val="000000"/>
                <w:szCs w:val="20"/>
              </w:rPr>
              <w:t>(</w:t>
            </w:r>
            <w:r w:rsidR="00981FBE">
              <w:rPr>
                <w:rFonts w:ascii="Arial" w:eastAsia="Times New Roman" w:hAnsi="Arial" w:cs="Arial"/>
                <w:color w:val="000000"/>
                <w:szCs w:val="20"/>
              </w:rPr>
              <w:t>20.7</w:t>
            </w:r>
            <w:r w:rsidRPr="00A139DE">
              <w:rPr>
                <w:rFonts w:ascii="Arial" w:eastAsia="Times New Roman" w:hAnsi="Arial" w:cs="Arial"/>
                <w:color w:val="000000"/>
                <w:szCs w:val="20"/>
              </w:rPr>
              <w:t>)</w:t>
            </w:r>
          </w:p>
        </w:tc>
      </w:tr>
      <w:tr w:rsidR="00C03A06" w:rsidRPr="00502106" w14:paraId="29295950"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54505711"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9291C24" w14:textId="77777777" w:rsidR="00C03A06" w:rsidRPr="00A139DE" w:rsidRDefault="00C03A06" w:rsidP="00837E83">
            <w:pPr>
              <w:rPr>
                <w:rFonts w:ascii="Arial" w:eastAsia="Times New Roman" w:hAnsi="Arial" w:cs="Arial"/>
                <w:color w:val="000000"/>
                <w:szCs w:val="20"/>
              </w:rPr>
            </w:pPr>
            <w:r w:rsidRPr="00A139DE">
              <w:rPr>
                <w:rFonts w:ascii="Arial" w:eastAsia="Times New Roman" w:hAnsi="Arial" w:cs="Arial"/>
                <w:color w:val="000000"/>
                <w:szCs w:val="20"/>
              </w:rPr>
              <w:t> </w:t>
            </w:r>
          </w:p>
        </w:tc>
      </w:tr>
      <w:tr w:rsidR="00C03A06" w:rsidRPr="00502106" w14:paraId="2A6371D7" w14:textId="77777777" w:rsidTr="00837E83">
        <w:trPr>
          <w:trHeight w:val="211"/>
        </w:trPr>
        <w:tc>
          <w:tcPr>
            <w:tcW w:w="6580" w:type="dxa"/>
            <w:tcBorders>
              <w:top w:val="nil"/>
              <w:left w:val="single" w:sz="8" w:space="0" w:color="auto"/>
              <w:bottom w:val="nil"/>
              <w:right w:val="nil"/>
            </w:tcBorders>
            <w:shd w:val="clear" w:color="auto" w:fill="auto"/>
            <w:noWrap/>
            <w:vAlign w:val="bottom"/>
            <w:hideMark/>
          </w:tcPr>
          <w:p w14:paraId="32540970" w14:textId="77777777" w:rsidR="00C03A06"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5CFACA14" w14:textId="77777777" w:rsidR="00C03A06" w:rsidRPr="004F44BE" w:rsidRDefault="00C03A06" w:rsidP="00837E83">
            <w:pPr>
              <w:rPr>
                <w:rFonts w:ascii="Arial" w:eastAsia="Times New Roman" w:hAnsi="Arial" w:cs="Arial"/>
                <w:color w:val="000000"/>
                <w:szCs w:val="20"/>
              </w:rPr>
            </w:pPr>
            <w:r>
              <w:rPr>
                <w:rFonts w:ascii="Arial" w:eastAsia="Times New Roman" w:hAnsi="Arial" w:cs="Arial"/>
                <w:color w:val="000000"/>
                <w:szCs w:val="20"/>
              </w:rPr>
              <w:t>(incurred on a time cost basis)</w:t>
            </w:r>
          </w:p>
        </w:tc>
        <w:tc>
          <w:tcPr>
            <w:tcW w:w="1805" w:type="dxa"/>
            <w:tcBorders>
              <w:top w:val="nil"/>
              <w:left w:val="single" w:sz="8" w:space="0" w:color="auto"/>
              <w:bottom w:val="nil"/>
              <w:right w:val="single" w:sz="8" w:space="0" w:color="auto"/>
            </w:tcBorders>
            <w:shd w:val="clear" w:color="auto" w:fill="auto"/>
            <w:noWrap/>
            <w:vAlign w:val="bottom"/>
            <w:hideMark/>
          </w:tcPr>
          <w:p w14:paraId="1C274A8B" w14:textId="42B0B50D" w:rsidR="00C03A06" w:rsidRPr="00A139DE" w:rsidRDefault="00C03A06" w:rsidP="00837E83">
            <w:pPr>
              <w:jc w:val="right"/>
              <w:rPr>
                <w:rFonts w:ascii="Arial" w:eastAsia="Times New Roman" w:hAnsi="Arial" w:cs="Arial"/>
                <w:color w:val="000000"/>
                <w:szCs w:val="20"/>
              </w:rPr>
            </w:pPr>
            <w:r w:rsidRPr="00A139DE">
              <w:rPr>
                <w:rFonts w:ascii="Arial" w:eastAsia="Times New Roman" w:hAnsi="Arial" w:cs="Arial"/>
                <w:color w:val="000000"/>
                <w:szCs w:val="20"/>
              </w:rPr>
              <w:t>(</w:t>
            </w:r>
            <w:r w:rsidR="00981FBE">
              <w:rPr>
                <w:rFonts w:ascii="Arial" w:eastAsia="Times New Roman" w:hAnsi="Arial" w:cs="Arial"/>
                <w:color w:val="000000"/>
                <w:szCs w:val="20"/>
              </w:rPr>
              <w:t>42.</w:t>
            </w:r>
            <w:r w:rsidR="008C51EF">
              <w:rPr>
                <w:rFonts w:ascii="Arial" w:eastAsia="Times New Roman" w:hAnsi="Arial" w:cs="Arial"/>
                <w:color w:val="000000"/>
                <w:szCs w:val="20"/>
              </w:rPr>
              <w:t>8</w:t>
            </w:r>
            <w:r w:rsidRPr="00A139DE">
              <w:rPr>
                <w:rFonts w:ascii="Arial" w:eastAsia="Times New Roman" w:hAnsi="Arial" w:cs="Arial"/>
                <w:color w:val="000000"/>
                <w:szCs w:val="20"/>
              </w:rPr>
              <w:t>)</w:t>
            </w:r>
          </w:p>
        </w:tc>
      </w:tr>
      <w:tr w:rsidR="00C03A06" w:rsidRPr="00502106" w14:paraId="3370BAC1"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4413198D"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BC804E6" w14:textId="77777777" w:rsidR="00C03A06" w:rsidRPr="00A139DE" w:rsidRDefault="00C03A06" w:rsidP="00837E83">
            <w:pPr>
              <w:rPr>
                <w:rFonts w:ascii="Arial" w:eastAsia="Times New Roman" w:hAnsi="Arial" w:cs="Arial"/>
                <w:color w:val="000000"/>
                <w:szCs w:val="20"/>
              </w:rPr>
            </w:pPr>
            <w:r w:rsidRPr="00A139DE">
              <w:rPr>
                <w:rFonts w:ascii="Arial" w:eastAsia="Times New Roman" w:hAnsi="Arial" w:cs="Arial"/>
                <w:color w:val="000000"/>
                <w:szCs w:val="20"/>
              </w:rPr>
              <w:t> </w:t>
            </w:r>
          </w:p>
        </w:tc>
      </w:tr>
      <w:tr w:rsidR="00C03A06" w:rsidRPr="00502106" w14:paraId="4FD4AD60" w14:textId="77777777" w:rsidTr="00837E83">
        <w:trPr>
          <w:trHeight w:val="185"/>
        </w:trPr>
        <w:tc>
          <w:tcPr>
            <w:tcW w:w="6580" w:type="dxa"/>
            <w:tcBorders>
              <w:top w:val="nil"/>
              <w:left w:val="single" w:sz="8" w:space="0" w:color="auto"/>
              <w:bottom w:val="nil"/>
              <w:right w:val="nil"/>
            </w:tcBorders>
            <w:shd w:val="clear" w:color="auto" w:fill="auto"/>
            <w:noWrap/>
            <w:vAlign w:val="bottom"/>
            <w:hideMark/>
          </w:tcPr>
          <w:p w14:paraId="1BE89EB0" w14:textId="77777777"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461C8986" w14:textId="006B9081" w:rsidR="00C03A06" w:rsidRPr="00A139DE" w:rsidRDefault="00C03A06" w:rsidP="00837E83">
            <w:pPr>
              <w:jc w:val="right"/>
              <w:rPr>
                <w:rFonts w:ascii="Arial" w:eastAsia="Times New Roman" w:hAnsi="Arial" w:cs="Arial"/>
                <w:color w:val="000000"/>
                <w:szCs w:val="20"/>
              </w:rPr>
            </w:pPr>
            <w:r w:rsidRPr="00A139DE">
              <w:rPr>
                <w:rFonts w:ascii="Arial" w:eastAsia="Times New Roman" w:hAnsi="Arial" w:cs="Arial"/>
                <w:color w:val="000000"/>
                <w:szCs w:val="20"/>
              </w:rPr>
              <w:t>(</w:t>
            </w:r>
            <w:r w:rsidR="00981FBE">
              <w:rPr>
                <w:rFonts w:ascii="Arial" w:eastAsia="Times New Roman" w:hAnsi="Arial" w:cs="Arial"/>
                <w:color w:val="000000"/>
                <w:szCs w:val="20"/>
              </w:rPr>
              <w:t>5.</w:t>
            </w:r>
            <w:r w:rsidR="008C51EF">
              <w:rPr>
                <w:rFonts w:ascii="Arial" w:eastAsia="Times New Roman" w:hAnsi="Arial" w:cs="Arial"/>
                <w:color w:val="000000"/>
                <w:szCs w:val="20"/>
              </w:rPr>
              <w:t>4</w:t>
            </w:r>
            <w:r w:rsidRPr="00A139DE">
              <w:rPr>
                <w:rFonts w:ascii="Arial" w:eastAsia="Times New Roman" w:hAnsi="Arial" w:cs="Arial"/>
                <w:color w:val="000000"/>
                <w:szCs w:val="20"/>
              </w:rPr>
              <w:t>)</w:t>
            </w:r>
          </w:p>
        </w:tc>
      </w:tr>
      <w:tr w:rsidR="00981FBE" w:rsidRPr="00502106" w14:paraId="37469579" w14:textId="77777777" w:rsidTr="00837E83">
        <w:trPr>
          <w:trHeight w:val="185"/>
        </w:trPr>
        <w:tc>
          <w:tcPr>
            <w:tcW w:w="6580" w:type="dxa"/>
            <w:tcBorders>
              <w:top w:val="nil"/>
              <w:left w:val="single" w:sz="8" w:space="0" w:color="auto"/>
              <w:bottom w:val="nil"/>
              <w:right w:val="nil"/>
            </w:tcBorders>
            <w:shd w:val="clear" w:color="auto" w:fill="auto"/>
            <w:noWrap/>
            <w:vAlign w:val="bottom"/>
          </w:tcPr>
          <w:p w14:paraId="5DEBB1F8" w14:textId="77777777" w:rsidR="00981FBE" w:rsidRPr="004F44BE" w:rsidRDefault="00981FBE" w:rsidP="00837E83">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36174F36" w14:textId="77777777" w:rsidR="00981FBE" w:rsidRPr="00A139DE" w:rsidRDefault="00981FBE" w:rsidP="00837E83">
            <w:pPr>
              <w:jc w:val="right"/>
              <w:rPr>
                <w:rFonts w:ascii="Arial" w:eastAsia="Times New Roman" w:hAnsi="Arial" w:cs="Arial"/>
                <w:color w:val="000000"/>
                <w:szCs w:val="20"/>
              </w:rPr>
            </w:pPr>
          </w:p>
        </w:tc>
      </w:tr>
      <w:tr w:rsidR="00981FBE" w:rsidRPr="00502106" w14:paraId="5729DC08" w14:textId="77777777" w:rsidTr="00837E83">
        <w:trPr>
          <w:trHeight w:val="185"/>
        </w:trPr>
        <w:tc>
          <w:tcPr>
            <w:tcW w:w="6580" w:type="dxa"/>
            <w:tcBorders>
              <w:top w:val="nil"/>
              <w:left w:val="single" w:sz="8" w:space="0" w:color="auto"/>
              <w:bottom w:val="nil"/>
              <w:right w:val="nil"/>
            </w:tcBorders>
            <w:shd w:val="clear" w:color="auto" w:fill="auto"/>
            <w:noWrap/>
            <w:vAlign w:val="bottom"/>
          </w:tcPr>
          <w:p w14:paraId="0FDA3156" w14:textId="2F070BD6" w:rsidR="00981FBE" w:rsidRPr="004F44BE" w:rsidRDefault="00981FBE" w:rsidP="00837E83">
            <w:pPr>
              <w:rPr>
                <w:rFonts w:ascii="Arial" w:eastAsia="Times New Roman" w:hAnsi="Arial" w:cs="Arial"/>
                <w:color w:val="000000"/>
                <w:szCs w:val="20"/>
              </w:rPr>
            </w:pPr>
            <w:r>
              <w:rPr>
                <w:rFonts w:ascii="Arial" w:eastAsia="Times New Roman" w:hAnsi="Arial" w:cs="Arial"/>
                <w:color w:val="000000"/>
                <w:szCs w:val="20"/>
              </w:rPr>
              <w:t>Irrecoverable VAT</w:t>
            </w:r>
          </w:p>
        </w:tc>
        <w:tc>
          <w:tcPr>
            <w:tcW w:w="1805" w:type="dxa"/>
            <w:tcBorders>
              <w:top w:val="nil"/>
              <w:left w:val="single" w:sz="8" w:space="0" w:color="auto"/>
              <w:bottom w:val="nil"/>
              <w:right w:val="single" w:sz="8" w:space="0" w:color="auto"/>
            </w:tcBorders>
            <w:shd w:val="clear" w:color="auto" w:fill="auto"/>
            <w:noWrap/>
            <w:vAlign w:val="bottom"/>
          </w:tcPr>
          <w:p w14:paraId="40A3636B" w14:textId="6471961F" w:rsidR="00981FBE" w:rsidRPr="00A139DE" w:rsidRDefault="00981FBE" w:rsidP="00837E83">
            <w:pPr>
              <w:jc w:val="right"/>
              <w:rPr>
                <w:rFonts w:ascii="Arial" w:eastAsia="Times New Roman" w:hAnsi="Arial" w:cs="Arial"/>
                <w:color w:val="000000"/>
                <w:szCs w:val="20"/>
              </w:rPr>
            </w:pPr>
            <w:r>
              <w:rPr>
                <w:rFonts w:ascii="Arial" w:eastAsia="Times New Roman" w:hAnsi="Arial" w:cs="Arial"/>
                <w:color w:val="000000"/>
                <w:szCs w:val="20"/>
              </w:rPr>
              <w:t>(10.</w:t>
            </w:r>
            <w:r w:rsidR="008C51EF">
              <w:rPr>
                <w:rFonts w:ascii="Arial" w:eastAsia="Times New Roman" w:hAnsi="Arial" w:cs="Arial"/>
                <w:color w:val="000000"/>
                <w:szCs w:val="20"/>
              </w:rPr>
              <w:t>2</w:t>
            </w:r>
            <w:r>
              <w:rPr>
                <w:rFonts w:ascii="Arial" w:eastAsia="Times New Roman" w:hAnsi="Arial" w:cs="Arial"/>
                <w:color w:val="000000"/>
                <w:szCs w:val="20"/>
              </w:rPr>
              <w:t>)</w:t>
            </w:r>
          </w:p>
        </w:tc>
      </w:tr>
      <w:tr w:rsidR="00C03A06" w:rsidRPr="00502106" w14:paraId="1CE81392" w14:textId="77777777" w:rsidTr="00837E83">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6CD06505" w14:textId="1C44B214" w:rsidR="00C03A06" w:rsidRPr="004F44BE" w:rsidRDefault="00C03A06" w:rsidP="00837E83">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11C064CF" w14:textId="055EADF8" w:rsidR="00C03A06" w:rsidRPr="009E7D9D" w:rsidRDefault="00C03A06" w:rsidP="00837E83">
            <w:pPr>
              <w:jc w:val="right"/>
              <w:rPr>
                <w:rFonts w:ascii="Arial" w:eastAsia="Times New Roman" w:hAnsi="Arial" w:cs="Arial"/>
                <w:b/>
                <w:bCs/>
                <w:color w:val="000000"/>
                <w:szCs w:val="20"/>
              </w:rPr>
            </w:pPr>
          </w:p>
        </w:tc>
      </w:tr>
      <w:tr w:rsidR="00C03A06" w:rsidRPr="00502106" w14:paraId="6EA075A2" w14:textId="77777777" w:rsidTr="00837E83">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0E438EA0" w14:textId="77777777" w:rsidR="00C03A06" w:rsidRPr="004F44BE" w:rsidRDefault="00C03A06" w:rsidP="00837E83">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50C347A5" w14:textId="2FEFD50E" w:rsidR="00C03A06" w:rsidRPr="004F44BE" w:rsidRDefault="00C03A06" w:rsidP="00837E83">
            <w:pPr>
              <w:jc w:val="right"/>
              <w:rPr>
                <w:rFonts w:ascii="Arial" w:eastAsia="Times New Roman" w:hAnsi="Arial" w:cs="Arial"/>
                <w:b/>
                <w:bCs/>
                <w:color w:val="000000"/>
                <w:szCs w:val="20"/>
              </w:rPr>
            </w:pPr>
            <w:r w:rsidRPr="00C03A06">
              <w:rPr>
                <w:rFonts w:ascii="Arial" w:eastAsia="Times New Roman" w:hAnsi="Arial" w:cs="Arial"/>
                <w:b/>
                <w:bCs/>
                <w:color w:val="000000"/>
                <w:szCs w:val="20"/>
              </w:rPr>
              <w:t>(</w:t>
            </w:r>
            <w:r w:rsidR="00981FBE">
              <w:rPr>
                <w:rFonts w:ascii="Arial" w:eastAsia="Times New Roman" w:hAnsi="Arial" w:cs="Arial"/>
                <w:b/>
                <w:bCs/>
                <w:color w:val="000000"/>
                <w:szCs w:val="20"/>
              </w:rPr>
              <w:t>92.</w:t>
            </w:r>
            <w:r w:rsidR="008C51EF">
              <w:rPr>
                <w:rFonts w:ascii="Arial" w:eastAsia="Times New Roman" w:hAnsi="Arial" w:cs="Arial"/>
                <w:b/>
                <w:bCs/>
                <w:color w:val="000000"/>
                <w:szCs w:val="20"/>
              </w:rPr>
              <w:t>6</w:t>
            </w:r>
            <w:r w:rsidRPr="00C03A06">
              <w:rPr>
                <w:rFonts w:ascii="Arial" w:eastAsia="Times New Roman" w:hAnsi="Arial" w:cs="Arial"/>
                <w:b/>
                <w:bCs/>
                <w:color w:val="000000"/>
                <w:szCs w:val="20"/>
              </w:rPr>
              <w:t>)</w:t>
            </w:r>
          </w:p>
        </w:tc>
      </w:tr>
      <w:tr w:rsidR="00C03A06" w:rsidRPr="00502106" w14:paraId="3621C339" w14:textId="77777777" w:rsidTr="00837E83">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1CCDA8E3" w14:textId="77777777" w:rsidR="00C03A06" w:rsidRPr="004F44BE" w:rsidRDefault="00C03A06" w:rsidP="00837E83">
            <w:pPr>
              <w:rPr>
                <w:rFonts w:ascii="Arial" w:eastAsia="Times New Roman" w:hAnsi="Arial" w:cs="Arial"/>
                <w:b/>
                <w:bCs/>
                <w:color w:val="000000"/>
                <w:szCs w:val="20"/>
              </w:rPr>
            </w:pPr>
            <w:r w:rsidRPr="000B3E8F">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18D4C8A3" w14:textId="669313D2" w:rsidR="00C03A06" w:rsidRPr="004F44BE" w:rsidRDefault="00981FBE" w:rsidP="00837E83">
            <w:pPr>
              <w:jc w:val="right"/>
              <w:rPr>
                <w:rFonts w:ascii="Arial" w:eastAsia="Times New Roman" w:hAnsi="Arial" w:cs="Arial"/>
                <w:b/>
                <w:bCs/>
                <w:color w:val="000000"/>
                <w:szCs w:val="20"/>
              </w:rPr>
            </w:pPr>
            <w:r>
              <w:rPr>
                <w:rFonts w:ascii="Arial" w:eastAsia="Times New Roman" w:hAnsi="Arial" w:cs="Arial"/>
                <w:b/>
                <w:bCs/>
                <w:color w:val="000000"/>
                <w:szCs w:val="20"/>
              </w:rPr>
              <w:t>46.5</w:t>
            </w:r>
          </w:p>
        </w:tc>
      </w:tr>
      <w:tr w:rsidR="00C03A06" w:rsidRPr="00502106" w14:paraId="0EC09042" w14:textId="77777777" w:rsidTr="00837E83">
        <w:trPr>
          <w:trHeight w:val="30"/>
        </w:trPr>
        <w:tc>
          <w:tcPr>
            <w:tcW w:w="6580" w:type="dxa"/>
            <w:tcBorders>
              <w:top w:val="nil"/>
              <w:left w:val="nil"/>
              <w:bottom w:val="nil"/>
              <w:right w:val="nil"/>
            </w:tcBorders>
            <w:shd w:val="clear" w:color="auto" w:fill="auto"/>
            <w:noWrap/>
            <w:vAlign w:val="bottom"/>
            <w:hideMark/>
          </w:tcPr>
          <w:p w14:paraId="484B296A" w14:textId="77777777" w:rsidR="00C03A06" w:rsidRPr="004F44BE" w:rsidRDefault="00C03A06" w:rsidP="00837E83">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06809AD5" w14:textId="77777777" w:rsidR="00C03A06" w:rsidRPr="004F44BE" w:rsidRDefault="00C03A06" w:rsidP="00837E83">
            <w:pPr>
              <w:rPr>
                <w:rFonts w:ascii="Arial" w:eastAsia="Times New Roman" w:hAnsi="Arial" w:cs="Arial"/>
                <w:szCs w:val="20"/>
              </w:rPr>
            </w:pPr>
          </w:p>
        </w:tc>
      </w:tr>
      <w:tr w:rsidR="00C03A06" w:rsidRPr="00502106" w14:paraId="1F39A642" w14:textId="77777777" w:rsidTr="006F4073">
        <w:trPr>
          <w:trHeight w:val="50"/>
        </w:trPr>
        <w:tc>
          <w:tcPr>
            <w:tcW w:w="6580" w:type="dxa"/>
            <w:tcBorders>
              <w:top w:val="nil"/>
              <w:left w:val="nil"/>
              <w:bottom w:val="single" w:sz="4" w:space="0" w:color="auto"/>
              <w:right w:val="nil"/>
            </w:tcBorders>
            <w:shd w:val="clear" w:color="auto" w:fill="auto"/>
            <w:noWrap/>
            <w:vAlign w:val="bottom"/>
            <w:hideMark/>
          </w:tcPr>
          <w:p w14:paraId="0C6AF445" w14:textId="0C890C96" w:rsidR="00C03A06" w:rsidRPr="004F44BE" w:rsidRDefault="00C03A06" w:rsidP="00837E83">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7E29A8B2" w14:textId="77777777" w:rsidR="00C03A06" w:rsidRPr="004F44BE" w:rsidRDefault="00C03A06" w:rsidP="00837E83">
            <w:pPr>
              <w:rPr>
                <w:rFonts w:ascii="Arial" w:eastAsia="Times New Roman" w:hAnsi="Arial" w:cs="Arial"/>
                <w:color w:val="000000"/>
                <w:szCs w:val="20"/>
              </w:rPr>
            </w:pPr>
          </w:p>
        </w:tc>
      </w:tr>
      <w:tr w:rsidR="006F4073" w:rsidRPr="00502106" w14:paraId="3A7443AE" w14:textId="77777777" w:rsidTr="006F4073">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7D4A3" w14:textId="5C6F4B50" w:rsidR="006F4073" w:rsidRDefault="006F4073" w:rsidP="006F4073">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54E93" w14:textId="77777777" w:rsidR="006F4073" w:rsidRDefault="006F4073" w:rsidP="006F4073">
            <w:pPr>
              <w:jc w:val="right"/>
              <w:rPr>
                <w:rFonts w:ascii="Arial" w:eastAsia="Times New Roman" w:hAnsi="Arial" w:cs="Arial"/>
                <w:b/>
                <w:bCs/>
                <w:color w:val="000000"/>
                <w:szCs w:val="20"/>
              </w:rPr>
            </w:pPr>
          </w:p>
        </w:tc>
      </w:tr>
      <w:tr w:rsidR="006F4073" w:rsidRPr="00502106" w14:paraId="5930C178" w14:textId="77777777" w:rsidTr="006F4073">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541BB" w14:textId="34A91E85" w:rsidR="006F4073" w:rsidRDefault="006F4073" w:rsidP="006F4073">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75C67" w14:textId="34892B50" w:rsidR="006F4073" w:rsidRPr="006F4073" w:rsidRDefault="00981FBE" w:rsidP="006F4073">
            <w:pPr>
              <w:jc w:val="right"/>
              <w:rPr>
                <w:rFonts w:ascii="Arial" w:eastAsia="Times New Roman" w:hAnsi="Arial" w:cs="Arial"/>
                <w:color w:val="000000"/>
                <w:szCs w:val="20"/>
              </w:rPr>
            </w:pPr>
            <w:r>
              <w:rPr>
                <w:rFonts w:ascii="Arial" w:eastAsia="Times New Roman" w:hAnsi="Arial" w:cs="Arial"/>
                <w:color w:val="000000"/>
                <w:szCs w:val="20"/>
              </w:rPr>
              <w:t>46.5</w:t>
            </w:r>
          </w:p>
        </w:tc>
      </w:tr>
      <w:tr w:rsidR="006F4073" w:rsidRPr="00502106" w14:paraId="15463AB9" w14:textId="77777777" w:rsidTr="006F4073">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01B8" w14:textId="5704A1B7" w:rsidR="006F4073" w:rsidRDefault="006F4073" w:rsidP="006F4073">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DC39E" w14:textId="1ECD35F5" w:rsidR="006F4073" w:rsidRPr="006F4073" w:rsidRDefault="00981FBE" w:rsidP="006F4073">
            <w:pPr>
              <w:jc w:val="right"/>
              <w:rPr>
                <w:rFonts w:ascii="Arial" w:eastAsia="Times New Roman" w:hAnsi="Arial" w:cs="Arial"/>
                <w:color w:val="000000"/>
                <w:szCs w:val="20"/>
              </w:rPr>
            </w:pPr>
            <w:r>
              <w:rPr>
                <w:rFonts w:ascii="Arial" w:eastAsia="Times New Roman" w:hAnsi="Arial" w:cs="Arial"/>
                <w:color w:val="000000"/>
                <w:szCs w:val="20"/>
              </w:rPr>
              <w:t>7,377.2</w:t>
            </w:r>
          </w:p>
        </w:tc>
      </w:tr>
      <w:tr w:rsidR="006F4073" w:rsidRPr="00502106" w14:paraId="3DF1851D" w14:textId="77777777" w:rsidTr="006F4073">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32018" w14:textId="67BCDBAB" w:rsidR="006F4073" w:rsidRDefault="006F4073" w:rsidP="006F4073">
            <w:pPr>
              <w:rPr>
                <w:rFonts w:ascii="Arial" w:eastAsia="Times New Roman" w:hAnsi="Arial" w:cs="Arial"/>
                <w:b/>
                <w:bCs/>
                <w:color w:val="000000"/>
                <w:szCs w:val="20"/>
              </w:rPr>
            </w:pPr>
            <w:r w:rsidRPr="00E33D74">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2F016" w14:textId="08C7310C" w:rsidR="006F4073" w:rsidRDefault="00981FBE" w:rsidP="006F4073">
            <w:pPr>
              <w:jc w:val="right"/>
              <w:rPr>
                <w:rFonts w:ascii="Arial" w:eastAsia="Times New Roman" w:hAnsi="Arial" w:cs="Arial"/>
                <w:b/>
                <w:bCs/>
                <w:color w:val="000000"/>
                <w:szCs w:val="20"/>
              </w:rPr>
            </w:pPr>
            <w:r>
              <w:rPr>
                <w:rFonts w:ascii="Arial" w:eastAsia="Times New Roman" w:hAnsi="Arial" w:cs="Arial"/>
                <w:b/>
                <w:bCs/>
                <w:color w:val="000000"/>
                <w:szCs w:val="20"/>
              </w:rPr>
              <w:t>0.63</w:t>
            </w:r>
          </w:p>
        </w:tc>
      </w:tr>
    </w:tbl>
    <w:p w14:paraId="6F208621" w14:textId="77777777" w:rsidR="00C03A06" w:rsidRPr="00C03A06" w:rsidRDefault="00C03A06" w:rsidP="00C03A06">
      <w:pPr>
        <w:widowControl w:val="0"/>
        <w:autoSpaceDE w:val="0"/>
        <w:autoSpaceDN w:val="0"/>
        <w:spacing w:before="150" w:line="266" w:lineRule="auto"/>
        <w:ind w:left="154" w:right="512"/>
        <w:rPr>
          <w:rFonts w:ascii="Arial" w:eastAsia="Arial" w:hAnsi="Arial" w:cs="Arial"/>
          <w:sz w:val="14"/>
          <w:szCs w:val="14"/>
        </w:rPr>
      </w:pPr>
      <w:r w:rsidRPr="00C03A06">
        <w:rPr>
          <w:rFonts w:ascii="Arial" w:eastAsia="Arial" w:hAnsi="Arial" w:cs="Arial"/>
          <w:sz w:val="14"/>
          <w:szCs w:val="14"/>
        </w:rPr>
        <w:t xml:space="preserve">Notes:  </w:t>
      </w:r>
    </w:p>
    <w:p w14:paraId="5A739CD5" w14:textId="77777777" w:rsidR="006F4073" w:rsidRPr="00AA4F46" w:rsidRDefault="006F4073" w:rsidP="006F4073">
      <w:pPr>
        <w:widowControl w:val="0"/>
        <w:autoSpaceDE w:val="0"/>
        <w:autoSpaceDN w:val="0"/>
        <w:spacing w:before="150" w:line="266" w:lineRule="auto"/>
        <w:ind w:left="154" w:right="512"/>
        <w:rPr>
          <w:rFonts w:ascii="Arial" w:eastAsia="Arial" w:hAnsi="Arial" w:cs="Arial"/>
          <w:b/>
          <w:bCs/>
          <w:sz w:val="14"/>
          <w:szCs w:val="14"/>
        </w:rPr>
      </w:pPr>
      <w:bookmarkStart w:id="1"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205470EC" w14:textId="77777777" w:rsidR="006F4073" w:rsidRDefault="006F4073" w:rsidP="006F4073">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627CC388" w14:textId="77777777" w:rsidR="006F4073" w:rsidRPr="00AA4F46" w:rsidRDefault="006F4073" w:rsidP="006F4073">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67662247" w14:textId="77777777" w:rsidR="006F4073" w:rsidRPr="00C42257" w:rsidRDefault="006F4073" w:rsidP="006F4073">
      <w:pPr>
        <w:widowControl w:val="0"/>
        <w:autoSpaceDE w:val="0"/>
        <w:autoSpaceDN w:val="0"/>
        <w:spacing w:before="150" w:line="266" w:lineRule="auto"/>
        <w:ind w:left="154" w:right="512"/>
        <w:rPr>
          <w:rFonts w:ascii="Arial" w:eastAsia="Arial" w:hAnsi="Arial" w:cs="Arial"/>
          <w:sz w:val="14"/>
          <w:szCs w:val="14"/>
        </w:rPr>
      </w:pPr>
      <w:bookmarkStart w:id="2" w:name="_Hlk175733984"/>
      <w:bookmarkStart w:id="3" w:name="_Hlk175734220"/>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1"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74E550EC" w14:textId="7BF58E03" w:rsidR="004E09F6" w:rsidRPr="00E71EB5" w:rsidRDefault="006F4073" w:rsidP="006F4073">
      <w:pPr>
        <w:widowControl w:val="0"/>
        <w:autoSpaceDE w:val="0"/>
        <w:autoSpaceDN w:val="0"/>
        <w:spacing w:before="150" w:line="266" w:lineRule="auto"/>
        <w:ind w:left="154" w:right="512"/>
        <w:rPr>
          <w:rFonts w:ascii="Arial" w:eastAsia="Arial" w:hAnsi="Arial" w:cs="Arial"/>
          <w:sz w:val="14"/>
          <w:szCs w:val="14"/>
        </w:rPr>
      </w:pPr>
      <w:bookmarkStart w:id="4" w:name="_Hlk175733993"/>
      <w:bookmarkEnd w:id="2"/>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2"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bookmarkEnd w:id="1"/>
      <w:bookmarkEnd w:id="3"/>
      <w:bookmarkEnd w:id="4"/>
    </w:p>
    <w:sectPr w:rsidR="004E09F6" w:rsidRPr="00E71EB5" w:rsidSect="009E7D04">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2780" w14:textId="77777777" w:rsidR="009A26DD" w:rsidRDefault="009A26DD" w:rsidP="003F3ED2">
      <w:r>
        <w:separator/>
      </w:r>
    </w:p>
  </w:endnote>
  <w:endnote w:type="continuationSeparator" w:id="0">
    <w:p w14:paraId="5D43B827" w14:textId="77777777" w:rsidR="009A26DD" w:rsidRDefault="009A26DD"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DBF2" w14:textId="77777777" w:rsidR="00753E3C" w:rsidRDefault="00753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BB48" w14:textId="77777777" w:rsidR="00753E3C" w:rsidRDefault="00753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6BB5" w14:textId="7CFDD1D4" w:rsidR="007814E9" w:rsidRPr="00753E3C" w:rsidRDefault="00753E3C">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3451" w14:textId="77777777" w:rsidR="009A26DD" w:rsidRDefault="009A26DD" w:rsidP="003F3ED2">
      <w:r>
        <w:separator/>
      </w:r>
    </w:p>
  </w:footnote>
  <w:footnote w:type="continuationSeparator" w:id="0">
    <w:p w14:paraId="2BB9518A" w14:textId="77777777" w:rsidR="009A26DD" w:rsidRDefault="009A26DD"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7F7A" w14:textId="77777777" w:rsidR="00753E3C" w:rsidRDefault="00753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27F69"/>
    <w:rsid w:val="00033D84"/>
    <w:rsid w:val="00037B2A"/>
    <w:rsid w:val="000427AE"/>
    <w:rsid w:val="00054636"/>
    <w:rsid w:val="00055C03"/>
    <w:rsid w:val="00077A0E"/>
    <w:rsid w:val="00081DF4"/>
    <w:rsid w:val="00085E78"/>
    <w:rsid w:val="00090044"/>
    <w:rsid w:val="00090265"/>
    <w:rsid w:val="0009221B"/>
    <w:rsid w:val="0009756B"/>
    <w:rsid w:val="000D6587"/>
    <w:rsid w:val="000D73FD"/>
    <w:rsid w:val="000E2358"/>
    <w:rsid w:val="000E53C9"/>
    <w:rsid w:val="000F0FC5"/>
    <w:rsid w:val="00107F65"/>
    <w:rsid w:val="001236F3"/>
    <w:rsid w:val="00126E15"/>
    <w:rsid w:val="001276CC"/>
    <w:rsid w:val="001306C6"/>
    <w:rsid w:val="001462DB"/>
    <w:rsid w:val="001741F1"/>
    <w:rsid w:val="0018341A"/>
    <w:rsid w:val="001837B3"/>
    <w:rsid w:val="00183C8E"/>
    <w:rsid w:val="00184841"/>
    <w:rsid w:val="001919B5"/>
    <w:rsid w:val="001B605C"/>
    <w:rsid w:val="001E35B9"/>
    <w:rsid w:val="001F43C2"/>
    <w:rsid w:val="00215032"/>
    <w:rsid w:val="0024030B"/>
    <w:rsid w:val="002526A6"/>
    <w:rsid w:val="002545B8"/>
    <w:rsid w:val="00262E11"/>
    <w:rsid w:val="00266228"/>
    <w:rsid w:val="002937F1"/>
    <w:rsid w:val="002A0B3E"/>
    <w:rsid w:val="002A3607"/>
    <w:rsid w:val="002A4E69"/>
    <w:rsid w:val="002C63CE"/>
    <w:rsid w:val="002D4633"/>
    <w:rsid w:val="00313BAF"/>
    <w:rsid w:val="003167B0"/>
    <w:rsid w:val="0032527E"/>
    <w:rsid w:val="00325748"/>
    <w:rsid w:val="00345AA2"/>
    <w:rsid w:val="0034763B"/>
    <w:rsid w:val="00383348"/>
    <w:rsid w:val="00391A7D"/>
    <w:rsid w:val="003A32C6"/>
    <w:rsid w:val="003A7C94"/>
    <w:rsid w:val="003D7A11"/>
    <w:rsid w:val="003F225D"/>
    <w:rsid w:val="003F3ED2"/>
    <w:rsid w:val="00412768"/>
    <w:rsid w:val="00425C88"/>
    <w:rsid w:val="004261C5"/>
    <w:rsid w:val="004300CF"/>
    <w:rsid w:val="004308AD"/>
    <w:rsid w:val="0043376F"/>
    <w:rsid w:val="00497ECF"/>
    <w:rsid w:val="004C4DB9"/>
    <w:rsid w:val="004E09F6"/>
    <w:rsid w:val="004F44BE"/>
    <w:rsid w:val="004F4C48"/>
    <w:rsid w:val="00502106"/>
    <w:rsid w:val="00506C88"/>
    <w:rsid w:val="00506E55"/>
    <w:rsid w:val="00524E63"/>
    <w:rsid w:val="00543072"/>
    <w:rsid w:val="005478B6"/>
    <w:rsid w:val="00596DE1"/>
    <w:rsid w:val="005A45A3"/>
    <w:rsid w:val="005B0F97"/>
    <w:rsid w:val="005B21BD"/>
    <w:rsid w:val="005D36C3"/>
    <w:rsid w:val="006275C9"/>
    <w:rsid w:val="00631654"/>
    <w:rsid w:val="0065327D"/>
    <w:rsid w:val="0065617E"/>
    <w:rsid w:val="006664CF"/>
    <w:rsid w:val="00683E39"/>
    <w:rsid w:val="006A09CE"/>
    <w:rsid w:val="006C15FF"/>
    <w:rsid w:val="006D3A3E"/>
    <w:rsid w:val="006F4073"/>
    <w:rsid w:val="006F5160"/>
    <w:rsid w:val="00702E4C"/>
    <w:rsid w:val="00703E8E"/>
    <w:rsid w:val="00713BD1"/>
    <w:rsid w:val="00725062"/>
    <w:rsid w:val="00744618"/>
    <w:rsid w:val="00747DC7"/>
    <w:rsid w:val="00753E3C"/>
    <w:rsid w:val="007620D9"/>
    <w:rsid w:val="0076728B"/>
    <w:rsid w:val="00771E72"/>
    <w:rsid w:val="007814E9"/>
    <w:rsid w:val="00784945"/>
    <w:rsid w:val="00792C5F"/>
    <w:rsid w:val="007D700A"/>
    <w:rsid w:val="007D7B4C"/>
    <w:rsid w:val="007E2229"/>
    <w:rsid w:val="008000C5"/>
    <w:rsid w:val="00805445"/>
    <w:rsid w:val="00805A7A"/>
    <w:rsid w:val="008063D5"/>
    <w:rsid w:val="00814CD5"/>
    <w:rsid w:val="00821C02"/>
    <w:rsid w:val="00826BC3"/>
    <w:rsid w:val="00831F8C"/>
    <w:rsid w:val="00834669"/>
    <w:rsid w:val="00835739"/>
    <w:rsid w:val="00844FE9"/>
    <w:rsid w:val="00845050"/>
    <w:rsid w:val="00860A08"/>
    <w:rsid w:val="00876C51"/>
    <w:rsid w:val="008B48A7"/>
    <w:rsid w:val="008C51EF"/>
    <w:rsid w:val="008C58CE"/>
    <w:rsid w:val="008D7F6C"/>
    <w:rsid w:val="008F67CF"/>
    <w:rsid w:val="008F7EAF"/>
    <w:rsid w:val="00933E74"/>
    <w:rsid w:val="00944FD8"/>
    <w:rsid w:val="009554D7"/>
    <w:rsid w:val="00960F56"/>
    <w:rsid w:val="0096412F"/>
    <w:rsid w:val="0097648C"/>
    <w:rsid w:val="00981FBE"/>
    <w:rsid w:val="00991FCA"/>
    <w:rsid w:val="009A26DD"/>
    <w:rsid w:val="009C306E"/>
    <w:rsid w:val="009D3E7F"/>
    <w:rsid w:val="009E2122"/>
    <w:rsid w:val="009E2B38"/>
    <w:rsid w:val="009E7D04"/>
    <w:rsid w:val="00A04E05"/>
    <w:rsid w:val="00A11E47"/>
    <w:rsid w:val="00A139DE"/>
    <w:rsid w:val="00A16A19"/>
    <w:rsid w:val="00A20919"/>
    <w:rsid w:val="00A2137C"/>
    <w:rsid w:val="00A40A8A"/>
    <w:rsid w:val="00A56BDD"/>
    <w:rsid w:val="00A56FB1"/>
    <w:rsid w:val="00A80938"/>
    <w:rsid w:val="00A80CC1"/>
    <w:rsid w:val="00A94406"/>
    <w:rsid w:val="00AD4F56"/>
    <w:rsid w:val="00AE2D0D"/>
    <w:rsid w:val="00AE4E51"/>
    <w:rsid w:val="00AE78C8"/>
    <w:rsid w:val="00AF2653"/>
    <w:rsid w:val="00B12947"/>
    <w:rsid w:val="00B313FF"/>
    <w:rsid w:val="00B55723"/>
    <w:rsid w:val="00B66053"/>
    <w:rsid w:val="00B721D8"/>
    <w:rsid w:val="00B96ACF"/>
    <w:rsid w:val="00B97D9E"/>
    <w:rsid w:val="00BB1971"/>
    <w:rsid w:val="00BB7F66"/>
    <w:rsid w:val="00BC64DF"/>
    <w:rsid w:val="00BD117A"/>
    <w:rsid w:val="00BD244A"/>
    <w:rsid w:val="00BF40B7"/>
    <w:rsid w:val="00C03A06"/>
    <w:rsid w:val="00C15088"/>
    <w:rsid w:val="00C2132A"/>
    <w:rsid w:val="00C30BF4"/>
    <w:rsid w:val="00C36079"/>
    <w:rsid w:val="00C36CC6"/>
    <w:rsid w:val="00C47B96"/>
    <w:rsid w:val="00C61CDB"/>
    <w:rsid w:val="00C757C4"/>
    <w:rsid w:val="00C817E6"/>
    <w:rsid w:val="00CB6C7F"/>
    <w:rsid w:val="00CC1FEB"/>
    <w:rsid w:val="00CD0FD5"/>
    <w:rsid w:val="00CE2AC4"/>
    <w:rsid w:val="00D04C5C"/>
    <w:rsid w:val="00D26235"/>
    <w:rsid w:val="00D33E75"/>
    <w:rsid w:val="00D407B1"/>
    <w:rsid w:val="00D460B1"/>
    <w:rsid w:val="00D55238"/>
    <w:rsid w:val="00D74D0F"/>
    <w:rsid w:val="00DA3317"/>
    <w:rsid w:val="00DA3681"/>
    <w:rsid w:val="00DD4729"/>
    <w:rsid w:val="00DE3E62"/>
    <w:rsid w:val="00E3375F"/>
    <w:rsid w:val="00E35E9F"/>
    <w:rsid w:val="00E37F5F"/>
    <w:rsid w:val="00E566BD"/>
    <w:rsid w:val="00E56FB4"/>
    <w:rsid w:val="00E646E1"/>
    <w:rsid w:val="00E71D83"/>
    <w:rsid w:val="00E71EB5"/>
    <w:rsid w:val="00E91FAF"/>
    <w:rsid w:val="00EB09ED"/>
    <w:rsid w:val="00EC0415"/>
    <w:rsid w:val="00EC6A4E"/>
    <w:rsid w:val="00EC7742"/>
    <w:rsid w:val="00EE3D23"/>
    <w:rsid w:val="00F022D4"/>
    <w:rsid w:val="00F07CE2"/>
    <w:rsid w:val="00F15883"/>
    <w:rsid w:val="00F15FA8"/>
    <w:rsid w:val="00F16752"/>
    <w:rsid w:val="00F23AB6"/>
    <w:rsid w:val="00F241D4"/>
    <w:rsid w:val="00F30206"/>
    <w:rsid w:val="00F36FFA"/>
    <w:rsid w:val="00FA1778"/>
    <w:rsid w:val="00FB212E"/>
    <w:rsid w:val="00FC4CCF"/>
    <w:rsid w:val="00FD4E92"/>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033813">
      <w:bodyDiv w:val="1"/>
      <w:marLeft w:val="0"/>
      <w:marRight w:val="0"/>
      <w:marTop w:val="0"/>
      <w:marBottom w:val="0"/>
      <w:divBdr>
        <w:top w:val="none" w:sz="0" w:space="0" w:color="auto"/>
        <w:left w:val="none" w:sz="0" w:space="0" w:color="auto"/>
        <w:bottom w:val="none" w:sz="0" w:space="0" w:color="auto"/>
        <w:right w:val="none" w:sz="0" w:space="0" w:color="auto"/>
      </w:divBdr>
    </w:div>
    <w:div w:id="684525513">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1087847425">
      <w:bodyDiv w:val="1"/>
      <w:marLeft w:val="0"/>
      <w:marRight w:val="0"/>
      <w:marTop w:val="0"/>
      <w:marBottom w:val="0"/>
      <w:divBdr>
        <w:top w:val="none" w:sz="0" w:space="0" w:color="auto"/>
        <w:left w:val="none" w:sz="0" w:space="0" w:color="auto"/>
        <w:bottom w:val="none" w:sz="0" w:space="0" w:color="auto"/>
        <w:right w:val="none" w:sz="0" w:space="0" w:color="auto"/>
      </w:divBdr>
    </w:div>
    <w:div w:id="1088690996">
      <w:bodyDiv w:val="1"/>
      <w:marLeft w:val="0"/>
      <w:marRight w:val="0"/>
      <w:marTop w:val="0"/>
      <w:marBottom w:val="0"/>
      <w:divBdr>
        <w:top w:val="none" w:sz="0" w:space="0" w:color="auto"/>
        <w:left w:val="none" w:sz="0" w:space="0" w:color="auto"/>
        <w:bottom w:val="none" w:sz="0" w:space="0" w:color="auto"/>
        <w:right w:val="none" w:sz="0" w:space="0" w:color="auto"/>
      </w:divBdr>
    </w:div>
    <w:div w:id="1420446041">
      <w:bodyDiv w:val="1"/>
      <w:marLeft w:val="0"/>
      <w:marRight w:val="0"/>
      <w:marTop w:val="0"/>
      <w:marBottom w:val="0"/>
      <w:divBdr>
        <w:top w:val="none" w:sz="0" w:space="0" w:color="auto"/>
        <w:left w:val="none" w:sz="0" w:space="0" w:color="auto"/>
        <w:bottom w:val="none" w:sz="0" w:space="0" w:color="auto"/>
        <w:right w:val="none" w:sz="0" w:space="0" w:color="auto"/>
      </w:divBdr>
    </w:div>
    <w:div w:id="1642422041">
      <w:bodyDiv w:val="1"/>
      <w:marLeft w:val="0"/>
      <w:marRight w:val="0"/>
      <w:marTop w:val="0"/>
      <w:marBottom w:val="0"/>
      <w:divBdr>
        <w:top w:val="none" w:sz="0" w:space="0" w:color="auto"/>
        <w:left w:val="none" w:sz="0" w:space="0" w:color="auto"/>
        <w:bottom w:val="none" w:sz="0" w:space="0" w:color="auto"/>
        <w:right w:val="none" w:sz="0" w:space="0" w:color="auto"/>
      </w:divBdr>
    </w:div>
    <w:div w:id="1675575230">
      <w:bodyDiv w:val="1"/>
      <w:marLeft w:val="0"/>
      <w:marRight w:val="0"/>
      <w:marTop w:val="0"/>
      <w:marBottom w:val="0"/>
      <w:divBdr>
        <w:top w:val="none" w:sz="0" w:space="0" w:color="auto"/>
        <w:left w:val="none" w:sz="0" w:space="0" w:color="auto"/>
        <w:bottom w:val="none" w:sz="0" w:space="0" w:color="auto"/>
        <w:right w:val="none" w:sz="0" w:space="0" w:color="auto"/>
      </w:divBdr>
    </w:div>
    <w:div w:id="19240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Cook.Liquidator@insolvency.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Cook.Liquidator@insolvenc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UKcreditors@alixpartners.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6</cp:revision>
  <cp:lastPrinted>2023-11-01T08:35:00Z</cp:lastPrinted>
  <dcterms:created xsi:type="dcterms:W3CDTF">2024-09-11T13:28:00Z</dcterms:created>
  <dcterms:modified xsi:type="dcterms:W3CDTF">2024-09-30T08:45:00Z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