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0700E3CA"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D407B1">
        <w:rPr>
          <w:rFonts w:ascii="Arial" w:eastAsia="Arial" w:hAnsi="Arial" w:cs="Arial"/>
          <w:b/>
          <w:sz w:val="22"/>
          <w:szCs w:val="22"/>
        </w:rPr>
        <w:t>BLUE SEA OVERSEAS INVESTMENT</w:t>
      </w:r>
      <w:r w:rsidR="00C46E55">
        <w:rPr>
          <w:rFonts w:ascii="Arial" w:eastAsia="Arial" w:hAnsi="Arial" w:cs="Arial"/>
          <w:b/>
          <w:sz w:val="22"/>
          <w:szCs w:val="22"/>
        </w:rPr>
        <w:t>S</w:t>
      </w:r>
      <w:r w:rsidR="00D407B1">
        <w:rPr>
          <w:rFonts w:ascii="Arial" w:eastAsia="Arial" w:hAnsi="Arial" w:cs="Arial"/>
          <w:b/>
          <w:sz w:val="22"/>
          <w:szCs w:val="22"/>
        </w:rPr>
        <w:t xml:space="preserve"> 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4AF063EC" w14:textId="165733A2"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3419C5">
        <w:rPr>
          <w:rFonts w:ascii="Arial" w:eastAsia="Arial" w:hAnsi="Arial" w:cs="Arial"/>
          <w:sz w:val="22"/>
          <w:szCs w:val="22"/>
        </w:rPr>
        <w:t>Blue Sea Overseas</w:t>
      </w:r>
      <w:r w:rsidR="009C306E">
        <w:rPr>
          <w:rFonts w:ascii="Arial" w:eastAsia="Arial" w:hAnsi="Arial" w:cs="Arial"/>
          <w:sz w:val="22"/>
          <w:szCs w:val="22"/>
        </w:rPr>
        <w:t xml:space="preserve"> </w:t>
      </w:r>
      <w:r w:rsidR="00C46E55">
        <w:rPr>
          <w:rFonts w:ascii="Arial" w:eastAsia="Arial" w:hAnsi="Arial" w:cs="Arial"/>
          <w:sz w:val="22"/>
          <w:szCs w:val="22"/>
        </w:rPr>
        <w:t xml:space="preserve">Investments </w:t>
      </w:r>
      <w:r w:rsidR="009C306E">
        <w:rPr>
          <w:rFonts w:ascii="Arial" w:eastAsia="Arial" w:hAnsi="Arial" w:cs="Arial"/>
          <w:sz w:val="22"/>
          <w:szCs w:val="22"/>
        </w:rPr>
        <w:t xml:space="preserve">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75C588A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 xml:space="preserve">dividend declared and distributed </w:t>
      </w:r>
      <w:r w:rsidR="00442F0D">
        <w:rPr>
          <w:rFonts w:ascii="Arial" w:eastAsia="Arial" w:hAnsi="Arial" w:cs="Arial"/>
          <w:sz w:val="22"/>
          <w:szCs w:val="22"/>
        </w:rPr>
        <w:t>on 1 October 2024</w:t>
      </w:r>
      <w:r w:rsidR="00A26B76">
        <w:rPr>
          <w:rFonts w:ascii="Arial" w:eastAsia="Arial" w:hAnsi="Arial" w:cs="Arial"/>
          <w:sz w:val="22"/>
          <w:szCs w:val="22"/>
        </w:rPr>
        <w:t>,</w:t>
      </w:r>
      <w:r w:rsidRPr="00442F0D">
        <w:rPr>
          <w:rFonts w:ascii="Arial" w:eastAsia="Arial" w:hAnsi="Arial" w:cs="Arial"/>
          <w:sz w:val="22"/>
          <w:szCs w:val="22"/>
        </w:rPr>
        <w:t xml:space="preserve"> as</w:t>
      </w:r>
      <w:r w:rsidRPr="00502106">
        <w:rPr>
          <w:rFonts w:ascii="Arial" w:eastAsia="Arial" w:hAnsi="Arial" w:cs="Arial"/>
          <w:sz w:val="22"/>
          <w:szCs w:val="22"/>
        </w:rPr>
        <w:t xml:space="preserve">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78236408" w:rsidR="004261C5" w:rsidRPr="00D1526A" w:rsidRDefault="004261C5" w:rsidP="00CA52FB">
      <w:pPr>
        <w:widowControl w:val="0"/>
        <w:autoSpaceDE w:val="0"/>
        <w:autoSpaceDN w:val="0"/>
        <w:spacing w:before="153" w:line="266" w:lineRule="auto"/>
        <w:ind w:left="155" w:right="312"/>
        <w:rPr>
          <w:rFonts w:ascii="Arial" w:eastAsia="Arial" w:hAnsi="Arial" w:cs="Arial"/>
          <w:b/>
          <w:bCs/>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442F0D">
        <w:rPr>
          <w:rFonts w:ascii="Arial" w:eastAsia="Arial" w:hAnsi="Arial" w:cs="Arial"/>
          <w:sz w:val="22"/>
          <w:szCs w:val="22"/>
        </w:rPr>
        <w:t xml:space="preserve"> 1 October 2024</w:t>
      </w:r>
      <w:r w:rsidR="00442F0D" w:rsidRPr="00442F0D">
        <w:rPr>
          <w:rFonts w:ascii="Arial" w:eastAsia="Arial" w:hAnsi="Arial" w:cs="Arial"/>
          <w:sz w:val="22"/>
          <w:szCs w:val="22"/>
        </w:rPr>
        <w:t xml:space="preserve"> </w:t>
      </w:r>
      <w:r w:rsidR="00442F0D">
        <w:rPr>
          <w:rFonts w:ascii="Arial" w:eastAsia="Arial" w:hAnsi="Arial" w:cs="Arial"/>
          <w:sz w:val="22"/>
          <w:szCs w:val="22"/>
        </w:rPr>
        <w:t>t</w:t>
      </w:r>
      <w:r w:rsidRPr="004261C5">
        <w:rPr>
          <w:rFonts w:ascii="Arial" w:eastAsia="Arial" w:hAnsi="Arial" w:cs="Arial"/>
          <w:sz w:val="22"/>
          <w:szCs w:val="22"/>
        </w:rPr>
        <w:t>ota</w:t>
      </w:r>
      <w:r w:rsidR="00FF549E">
        <w:rPr>
          <w:rFonts w:ascii="Arial" w:eastAsia="Arial" w:hAnsi="Arial" w:cs="Arial"/>
          <w:sz w:val="22"/>
          <w:szCs w:val="22"/>
        </w:rPr>
        <w:t>l</w:t>
      </w:r>
      <w:r w:rsidRPr="004261C5">
        <w:rPr>
          <w:rFonts w:ascii="Arial" w:eastAsia="Arial" w:hAnsi="Arial" w:cs="Arial"/>
          <w:sz w:val="22"/>
          <w:szCs w:val="22"/>
        </w:rPr>
        <w:t>led</w:t>
      </w:r>
      <w:r w:rsidR="00D1526A">
        <w:rPr>
          <w:rFonts w:ascii="Arial" w:eastAsia="Arial" w:hAnsi="Arial" w:cs="Arial"/>
          <w:sz w:val="22"/>
          <w:szCs w:val="22"/>
        </w:rPr>
        <w:t xml:space="preserve"> </w:t>
      </w:r>
      <w:r w:rsidR="00C96F74">
        <w:rPr>
          <w:rFonts w:ascii="Arial" w:eastAsia="Arial" w:hAnsi="Arial" w:cs="Arial"/>
          <w:sz w:val="22"/>
          <w:szCs w:val="22"/>
        </w:rPr>
        <w:t>£</w:t>
      </w:r>
      <w:r w:rsidR="00C96F74" w:rsidRPr="00C96F74">
        <w:rPr>
          <w:rFonts w:ascii="Arial" w:eastAsia="Arial" w:hAnsi="Arial" w:cs="Arial"/>
          <w:sz w:val="22"/>
          <w:szCs w:val="22"/>
        </w:rPr>
        <w:t>4,739,554.67</w:t>
      </w:r>
      <w:r w:rsidR="00CA52FB">
        <w:rPr>
          <w:rFonts w:ascii="Arial" w:eastAsia="Arial" w:hAnsi="Arial" w:cs="Arial"/>
          <w:b/>
          <w:bCs/>
          <w:sz w:val="22"/>
          <w:szCs w:val="22"/>
        </w:rPr>
        <w:t xml:space="preserve"> </w:t>
      </w:r>
      <w:r w:rsidRPr="004261C5">
        <w:rPr>
          <w:rFonts w:ascii="Arial" w:eastAsia="Arial" w:hAnsi="Arial" w:cs="Arial"/>
          <w:sz w:val="22"/>
          <w:szCs w:val="22"/>
        </w:rPr>
        <w:t xml:space="preserve">and the rate of the dividend </w:t>
      </w:r>
      <w:r w:rsidRPr="00D1526A">
        <w:rPr>
          <w:rFonts w:ascii="Arial" w:eastAsia="Arial" w:hAnsi="Arial" w:cs="Arial"/>
          <w:sz w:val="22"/>
          <w:szCs w:val="22"/>
        </w:rPr>
        <w:t>was</w:t>
      </w:r>
      <w:r w:rsidR="00D1526A">
        <w:rPr>
          <w:rFonts w:ascii="Arial" w:eastAsia="Arial" w:hAnsi="Arial" w:cs="Arial"/>
          <w:sz w:val="22"/>
          <w:szCs w:val="22"/>
        </w:rPr>
        <w:t xml:space="preserve"> </w:t>
      </w:r>
      <w:r w:rsidR="006D73B2">
        <w:rPr>
          <w:rFonts w:ascii="Arial" w:eastAsia="Arial" w:hAnsi="Arial" w:cs="Arial"/>
          <w:sz w:val="22"/>
          <w:szCs w:val="22"/>
        </w:rPr>
        <w:t>0.</w:t>
      </w:r>
      <w:r w:rsidR="00D1526A">
        <w:rPr>
          <w:rFonts w:ascii="Arial" w:eastAsia="Arial" w:hAnsi="Arial" w:cs="Arial"/>
          <w:sz w:val="22"/>
          <w:szCs w:val="22"/>
        </w:rPr>
        <w:t>3</w:t>
      </w:r>
      <w:r w:rsidR="00C96F74">
        <w:rPr>
          <w:rFonts w:ascii="Arial" w:eastAsia="Arial" w:hAnsi="Arial" w:cs="Arial"/>
          <w:sz w:val="22"/>
          <w:szCs w:val="22"/>
        </w:rPr>
        <w:t>3</w:t>
      </w:r>
      <w:r w:rsidR="00D1526A">
        <w:rPr>
          <w:rFonts w:ascii="Arial" w:eastAsia="Arial" w:hAnsi="Arial" w:cs="Arial"/>
          <w:sz w:val="22"/>
          <w:szCs w:val="22"/>
        </w:rPr>
        <w:t xml:space="preserve"> </w:t>
      </w:r>
      <w:r w:rsidRPr="004261C5">
        <w:rPr>
          <w:rFonts w:ascii="Arial" w:eastAsia="Arial" w:hAnsi="Arial" w:cs="Arial"/>
          <w:sz w:val="22"/>
          <w:szCs w:val="22"/>
        </w:rPr>
        <w:t xml:space="preserve">pence in the pound. </w:t>
      </w:r>
    </w:p>
    <w:p w14:paraId="78DD0B30" w14:textId="66F6EB7F" w:rsid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sidR="00E33D74">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sidR="00E33D74">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w:t>
      </w:r>
      <w:r w:rsidR="00E33D74">
        <w:rPr>
          <w:rFonts w:ascii="Arial" w:eastAsia="Arial" w:hAnsi="Arial" w:cs="Arial"/>
          <w:sz w:val="22"/>
          <w:szCs w:val="22"/>
        </w:rPr>
        <w:t>,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1B9EE97B" w14:textId="3A6FD8D8"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43E5E14B" w14:textId="77777777" w:rsidR="007163A5" w:rsidRDefault="007163A5" w:rsidP="002E5BFB">
      <w:pPr>
        <w:widowControl w:val="0"/>
        <w:autoSpaceDE w:val="0"/>
        <w:autoSpaceDN w:val="0"/>
        <w:outlineLvl w:val="0"/>
        <w:rPr>
          <w:rFonts w:ascii="Arial" w:eastAsia="Arial" w:hAnsi="Arial" w:cs="Arial"/>
          <w:b/>
          <w:bCs/>
          <w:sz w:val="22"/>
          <w:szCs w:val="22"/>
        </w:rPr>
        <w:sectPr w:rsidR="007163A5" w:rsidSect="007064E4">
          <w:headerReference w:type="default" r:id="rId9"/>
          <w:headerReference w:type="first" r:id="rId10"/>
          <w:pgSz w:w="11907" w:h="16840" w:code="9"/>
          <w:pgMar w:top="1418" w:right="1418" w:bottom="0" w:left="1418" w:header="737" w:footer="1064" w:gutter="0"/>
          <w:cols w:space="720"/>
          <w:titlePg/>
          <w:docGrid w:linePitch="360"/>
        </w:sectPr>
      </w:pPr>
    </w:p>
    <w:p w14:paraId="607D2FD0" w14:textId="77777777" w:rsidR="007163A5" w:rsidRDefault="007163A5" w:rsidP="00AA4F46">
      <w:pPr>
        <w:widowControl w:val="0"/>
        <w:autoSpaceDE w:val="0"/>
        <w:autoSpaceDN w:val="0"/>
        <w:outlineLvl w:val="0"/>
        <w:rPr>
          <w:rFonts w:ascii="Arial" w:eastAsia="Arial" w:hAnsi="Arial" w:cs="Arial"/>
          <w:b/>
          <w:bCs/>
          <w:sz w:val="22"/>
          <w:szCs w:val="22"/>
        </w:rPr>
      </w:pPr>
    </w:p>
    <w:p w14:paraId="112CD80D" w14:textId="095B99F7"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5032D7">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6450F13B"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Further updates on the progress of the liquidation</w:t>
      </w:r>
      <w:r w:rsidR="007163A5">
        <w:rPr>
          <w:rFonts w:ascii="Arial" w:eastAsia="Arial" w:hAnsi="Arial" w:cs="Arial"/>
          <w:sz w:val="22"/>
          <w:szCs w:val="22"/>
        </w:rPr>
        <w:t xml:space="preserve"> are </w:t>
      </w:r>
      <w:r w:rsidRPr="00502106">
        <w:rPr>
          <w:rFonts w:ascii="Arial" w:eastAsia="Arial" w:hAnsi="Arial" w:cs="Arial"/>
          <w:sz w:val="22"/>
          <w:szCs w:val="22"/>
        </w:rPr>
        <w:t xml:space="preserve">available on </w:t>
      </w:r>
      <w:bookmarkStart w:id="0" w:name="_Hlk173512458"/>
      <w:bookmarkStart w:id="1" w:name="_Hlk173857059"/>
      <w:r w:rsidR="007163A5" w:rsidRPr="007163A5">
        <w:rPr>
          <w:rFonts w:ascii="Arial" w:eastAsia="Arial" w:hAnsi="Arial" w:cs="Arial"/>
          <w:color w:val="0461C1"/>
          <w:sz w:val="22"/>
          <w:szCs w:val="22"/>
          <w:u w:val="single" w:color="0461C1"/>
        </w:rPr>
        <w:t>GOV.UK</w:t>
      </w:r>
      <w:r w:rsidR="007163A5" w:rsidRPr="007163A5">
        <w:rPr>
          <w:rFonts w:ascii="Arial" w:eastAsia="Arial" w:hAnsi="Arial" w:cs="Arial"/>
          <w:color w:val="0461C1"/>
          <w:sz w:val="22"/>
          <w:szCs w:val="22"/>
          <w:u w:val="single" w:color="0461C1"/>
          <w:vertAlign w:val="superscript"/>
        </w:rPr>
        <w:t>1</w:t>
      </w:r>
      <w:bookmarkEnd w:id="0"/>
      <w:r w:rsidR="007163A5" w:rsidRPr="007163A5">
        <w:rPr>
          <w:rFonts w:ascii="Arial" w:eastAsia="Arial" w:hAnsi="Arial" w:cs="Arial"/>
          <w:color w:val="0461C1"/>
          <w:sz w:val="22"/>
          <w:szCs w:val="22"/>
          <w:u w:val="single" w:color="0461C1"/>
          <w:vertAlign w:val="superscript"/>
        </w:rPr>
        <w:t xml:space="preserve"> </w:t>
      </w:r>
      <w:r w:rsidR="007163A5" w:rsidRPr="007163A5">
        <w:rPr>
          <w:rFonts w:ascii="Arial" w:eastAsia="Arial" w:hAnsi="Arial" w:cs="Arial"/>
          <w:color w:val="0461C1"/>
          <w:sz w:val="22"/>
          <w:szCs w:val="22"/>
          <w:u w:val="single" w:color="0461C1"/>
        </w:rPr>
        <w:t>.</w:t>
      </w:r>
      <w:bookmarkEnd w:id="1"/>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6FBBDEC0"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1" w:history="1">
        <w:r w:rsidR="002E5BFB" w:rsidRPr="005176D1">
          <w:rPr>
            <w:rStyle w:val="Hyperlink"/>
            <w:rFonts w:ascii="Arial" w:eastAsia="Arial" w:hAnsi="Arial" w:cs="Arial"/>
            <w:sz w:val="22"/>
            <w:szCs w:val="22"/>
          </w:rPr>
          <w:t>TCUKcreditors@alixpartners.com</w:t>
        </w:r>
      </w:hyperlink>
      <w:r w:rsidR="00DE2EBD">
        <w:rPr>
          <w:rFonts w:ascii="Arial" w:eastAsia="Arial" w:hAnsi="Arial" w:cs="Arial"/>
          <w:sz w:val="22"/>
          <w:szCs w:val="22"/>
        </w:rPr>
        <w:t xml:space="preserve">. </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17F6968D" w:rsidR="00502106" w:rsidRPr="00502106" w:rsidRDefault="00502106" w:rsidP="00502106">
      <w:pPr>
        <w:widowControl w:val="0"/>
        <w:autoSpaceDE w:val="0"/>
        <w:autoSpaceDN w:val="0"/>
        <w:spacing w:before="93"/>
        <w:ind w:left="155"/>
        <w:rPr>
          <w:rFonts w:ascii="Arial" w:eastAsia="Arial" w:hAnsi="Arial" w:cs="Arial"/>
          <w:sz w:val="22"/>
          <w:szCs w:val="22"/>
        </w:rPr>
      </w:pPr>
      <w:r w:rsidRPr="00502106">
        <w:rPr>
          <w:rFonts w:ascii="Arial" w:eastAsia="Arial" w:hAnsi="Arial" w:cs="Arial"/>
          <w:sz w:val="22"/>
          <w:szCs w:val="22"/>
        </w:rPr>
        <w:t>Date:</w:t>
      </w:r>
      <w:r w:rsidR="0009221B">
        <w:rPr>
          <w:rFonts w:ascii="Arial" w:eastAsia="Arial" w:hAnsi="Arial" w:cs="Arial"/>
          <w:sz w:val="22"/>
          <w:szCs w:val="22"/>
        </w:rPr>
        <w:t xml:space="preserve"> </w:t>
      </w:r>
      <w:r w:rsidR="00442F0D">
        <w:rPr>
          <w:rFonts w:ascii="Arial" w:eastAsia="Arial" w:hAnsi="Arial" w:cs="Arial"/>
          <w:sz w:val="22"/>
          <w:szCs w:val="22"/>
        </w:rPr>
        <w:t>1 October 2024</w:t>
      </w:r>
    </w:p>
    <w:p w14:paraId="1636768E" w14:textId="0E3BFD9A" w:rsidR="00291284" w:rsidRPr="00291284" w:rsidRDefault="00291284" w:rsidP="00291284">
      <w:pPr>
        <w:widowControl w:val="0"/>
        <w:autoSpaceDE w:val="0"/>
        <w:autoSpaceDN w:val="0"/>
        <w:rPr>
          <w:noProof/>
        </w:rPr>
      </w:pPr>
      <w:r>
        <w:rPr>
          <w:noProof/>
        </w:rPr>
        <w:t xml:space="preserve">  </w:t>
      </w:r>
      <w:r w:rsidRPr="00291284">
        <w:rPr>
          <w:noProof/>
        </w:rPr>
        <w:drawing>
          <wp:inline distT="0" distB="0" distL="0" distR="0" wp14:anchorId="2D9708B9" wp14:editId="37D06E95">
            <wp:extent cx="1813560" cy="717096"/>
            <wp:effectExtent l="0" t="0" r="0" b="6985"/>
            <wp:docPr id="1946278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1637" cy="720290"/>
                    </a:xfrm>
                    <a:prstGeom prst="rect">
                      <a:avLst/>
                    </a:prstGeom>
                    <a:noFill/>
                    <a:ln>
                      <a:noFill/>
                    </a:ln>
                  </pic:spPr>
                </pic:pic>
              </a:graphicData>
            </a:graphic>
          </wp:inline>
        </w:drawing>
      </w:r>
    </w:p>
    <w:p w14:paraId="1E4C6BFD" w14:textId="61E0CFDC" w:rsidR="00502106" w:rsidRPr="00502106" w:rsidRDefault="00291284" w:rsidP="00502106">
      <w:pPr>
        <w:widowControl w:val="0"/>
        <w:autoSpaceDE w:val="0"/>
        <w:autoSpaceDN w:val="0"/>
        <w:spacing w:before="151"/>
        <w:ind w:left="155"/>
        <w:rPr>
          <w:rFonts w:ascii="Arial" w:eastAsia="Arial" w:hAnsi="Arial" w:cs="Arial"/>
          <w:sz w:val="22"/>
          <w:szCs w:val="22"/>
        </w:rPr>
      </w:pPr>
      <w:r>
        <w:rPr>
          <w:rFonts w:ascii="Arial" w:eastAsia="Arial" w:hAnsi="Arial" w:cs="Arial"/>
          <w:sz w:val="22"/>
          <w:szCs w:val="22"/>
        </w:rPr>
        <w:t>D</w:t>
      </w:r>
      <w:r w:rsidR="00502106" w:rsidRPr="00502106">
        <w:rPr>
          <w:rFonts w:ascii="Arial" w:eastAsia="Arial" w:hAnsi="Arial" w:cs="Arial"/>
          <w:sz w:val="22"/>
          <w:szCs w:val="22"/>
        </w:rPr>
        <w:t>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4D8BCFF9" w14:textId="77777777" w:rsidR="00E01525"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r w:rsidRPr="00502106">
        <w:rPr>
          <w:rFonts w:ascii="Arial" w:eastAsia="Arial" w:hAnsi="Arial" w:cs="Arial"/>
          <w:position w:val="8"/>
          <w:sz w:val="15"/>
          <w:szCs w:val="22"/>
        </w:rPr>
        <w:t xml:space="preserve">th </w:t>
      </w:r>
      <w:r w:rsidRPr="00502106">
        <w:rPr>
          <w:rFonts w:ascii="Arial" w:eastAsia="Arial" w:hAnsi="Arial" w:cs="Arial"/>
          <w:sz w:val="22"/>
          <w:szCs w:val="22"/>
        </w:rPr>
        <w:t xml:space="preserve">Floor, 1 Westfield Avenue </w:t>
      </w:r>
    </w:p>
    <w:p w14:paraId="74D78EE4" w14:textId="4683E8EE"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B191754" w14:textId="77777777" w:rsidR="002A4E69" w:rsidRDefault="002A4E69" w:rsidP="004C370F">
      <w:pPr>
        <w:widowControl w:val="0"/>
        <w:autoSpaceDE w:val="0"/>
        <w:autoSpaceDN w:val="0"/>
        <w:spacing w:before="150" w:after="240" w:line="266" w:lineRule="auto"/>
        <w:ind w:right="512"/>
        <w:rPr>
          <w:rFonts w:ascii="Arial" w:eastAsia="Arial" w:hAnsi="Arial" w:cs="Arial"/>
          <w:sz w:val="22"/>
          <w:szCs w:val="22"/>
        </w:rPr>
      </w:pPr>
    </w:p>
    <w:p w14:paraId="390CF204" w14:textId="3C06D676"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lastRenderedPageBreak/>
        <w:t>Appendix A: Receipts and Payments account for the period 23 September 2019 to</w:t>
      </w:r>
      <w:r w:rsidR="004261C5">
        <w:rPr>
          <w:rFonts w:ascii="Arial" w:eastAsia="Arial" w:hAnsi="Arial" w:cs="Arial"/>
          <w:sz w:val="22"/>
          <w:szCs w:val="22"/>
        </w:rPr>
        <w:t xml:space="preserve">   </w:t>
      </w:r>
      <w:r>
        <w:rPr>
          <w:rFonts w:ascii="Arial" w:eastAsia="Arial" w:hAnsi="Arial" w:cs="Arial"/>
          <w:sz w:val="22"/>
          <w:szCs w:val="22"/>
        </w:rPr>
        <w:t xml:space="preserve"> </w:t>
      </w:r>
      <w:r w:rsidR="00442F0D">
        <w:rPr>
          <w:rFonts w:ascii="Arial" w:eastAsia="Arial" w:hAnsi="Arial" w:cs="Arial"/>
          <w:sz w:val="22"/>
          <w:szCs w:val="22"/>
        </w:rPr>
        <w:b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5100DB49" w:rsidR="00502106" w:rsidRPr="004F44BE" w:rsidRDefault="00D407B1" w:rsidP="006A7236">
            <w:pPr>
              <w:rPr>
                <w:rFonts w:ascii="Arial" w:eastAsia="Times New Roman" w:hAnsi="Arial" w:cs="Arial"/>
                <w:color w:val="FFFFFF"/>
                <w:szCs w:val="20"/>
              </w:rPr>
            </w:pPr>
            <w:r>
              <w:rPr>
                <w:rFonts w:ascii="Arial" w:eastAsia="Times New Roman" w:hAnsi="Arial" w:cs="Arial"/>
                <w:color w:val="FFFFFF"/>
                <w:szCs w:val="20"/>
              </w:rPr>
              <w:t>Blue Sea Overseas Investment</w:t>
            </w:r>
            <w:r w:rsidR="00B81DA1">
              <w:rPr>
                <w:rFonts w:ascii="Arial" w:eastAsia="Times New Roman" w:hAnsi="Arial" w:cs="Arial"/>
                <w:color w:val="FFFFFF"/>
                <w:szCs w:val="20"/>
              </w:rPr>
              <w:t>s</w:t>
            </w:r>
            <w:r>
              <w:rPr>
                <w:rFonts w:ascii="Arial" w:eastAsia="Times New Roman" w:hAnsi="Arial" w:cs="Arial"/>
                <w:color w:val="FFFFFF"/>
                <w:szCs w:val="20"/>
              </w:rPr>
              <w:t xml:space="preserve">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32661F" w:rsidRPr="00502106" w14:paraId="0B15CA4C"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2E60CCE4" w14:textId="77777777" w:rsidR="0032661F" w:rsidRPr="004F44BE" w:rsidRDefault="0032661F" w:rsidP="00D90F64">
            <w:pPr>
              <w:rPr>
                <w:rFonts w:ascii="Arial" w:eastAsia="Times New Roman" w:hAnsi="Arial" w:cs="Arial"/>
                <w:b/>
                <w:bCs/>
                <w:color w:val="000000"/>
                <w:szCs w:val="20"/>
              </w:rPr>
            </w:pPr>
            <w:bookmarkStart w:id="2"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52A12503"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087EC847"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0B84E82A" w14:textId="77777777" w:rsidR="0032661F" w:rsidRPr="004F44BE" w:rsidRDefault="003266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04CB5B6B"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1EC86A0A"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7386BA3B"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Investments</w:t>
            </w:r>
          </w:p>
        </w:tc>
        <w:tc>
          <w:tcPr>
            <w:tcW w:w="1805" w:type="dxa"/>
            <w:tcBorders>
              <w:top w:val="nil"/>
              <w:left w:val="nil"/>
              <w:bottom w:val="nil"/>
              <w:right w:val="single" w:sz="8" w:space="0" w:color="auto"/>
            </w:tcBorders>
            <w:shd w:val="clear" w:color="auto" w:fill="auto"/>
            <w:noWrap/>
            <w:vAlign w:val="bottom"/>
            <w:hideMark/>
          </w:tcPr>
          <w:p w14:paraId="12A35389" w14:textId="1B1E30C7" w:rsidR="0032661F" w:rsidRPr="004F44BE" w:rsidRDefault="00C96F74" w:rsidP="00C96F74">
            <w:pPr>
              <w:jc w:val="right"/>
              <w:rPr>
                <w:rFonts w:ascii="Arial" w:eastAsia="Times New Roman" w:hAnsi="Arial" w:cs="Arial"/>
                <w:color w:val="000000"/>
                <w:szCs w:val="20"/>
              </w:rPr>
            </w:pPr>
            <w:r w:rsidRPr="00C96F74">
              <w:rPr>
                <w:rFonts w:ascii="Arial" w:eastAsia="Times New Roman" w:hAnsi="Arial" w:cs="Arial"/>
                <w:color w:val="000000"/>
                <w:szCs w:val="20"/>
              </w:rPr>
              <w:t>6,087</w:t>
            </w:r>
            <w:r>
              <w:rPr>
                <w:rFonts w:ascii="Arial" w:eastAsia="Times New Roman" w:hAnsi="Arial" w:cs="Arial"/>
                <w:color w:val="000000"/>
                <w:szCs w:val="20"/>
              </w:rPr>
              <w:t>.4</w:t>
            </w:r>
          </w:p>
        </w:tc>
      </w:tr>
      <w:tr w:rsidR="0032661F" w:rsidRPr="00502106" w14:paraId="3C60E076"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622B5B81" w14:textId="77777777" w:rsidR="0032661F" w:rsidRPr="004F44BE" w:rsidRDefault="0032661F"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34625B9A" w14:textId="32B6989E" w:rsidR="0032661F" w:rsidRPr="004F44BE" w:rsidRDefault="0032661F" w:rsidP="00D90F64">
            <w:pPr>
              <w:jc w:val="right"/>
              <w:rPr>
                <w:rFonts w:ascii="Arial" w:eastAsia="Times New Roman" w:hAnsi="Arial" w:cs="Arial"/>
                <w:color w:val="000000"/>
                <w:szCs w:val="20"/>
              </w:rPr>
            </w:pPr>
            <w:r>
              <w:rPr>
                <w:rFonts w:ascii="Arial" w:eastAsia="Times New Roman" w:hAnsi="Arial" w:cs="Arial"/>
                <w:color w:val="000000"/>
                <w:szCs w:val="20"/>
              </w:rPr>
              <w:t>47</w:t>
            </w:r>
            <w:r w:rsidR="00C96F74">
              <w:rPr>
                <w:rFonts w:ascii="Arial" w:eastAsia="Times New Roman" w:hAnsi="Arial" w:cs="Arial"/>
                <w:color w:val="000000"/>
                <w:szCs w:val="20"/>
              </w:rPr>
              <w:t>6.0</w:t>
            </w:r>
          </w:p>
        </w:tc>
      </w:tr>
      <w:tr w:rsidR="0032661F" w:rsidRPr="00502106" w14:paraId="308BC6F5"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6B8FED93" w14:textId="77777777" w:rsidR="0032661F" w:rsidRDefault="0032661F"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0B9A1106" w14:textId="5142FCF2" w:rsidR="0032661F" w:rsidRPr="004F44BE" w:rsidRDefault="0032661F" w:rsidP="00D90F64">
            <w:pPr>
              <w:jc w:val="right"/>
              <w:rPr>
                <w:rFonts w:ascii="Arial" w:eastAsia="Times New Roman" w:hAnsi="Arial" w:cs="Arial"/>
                <w:color w:val="000000"/>
                <w:szCs w:val="20"/>
              </w:rPr>
            </w:pPr>
            <w:r w:rsidRPr="0032661F">
              <w:rPr>
                <w:rFonts w:ascii="Arial" w:eastAsia="Times New Roman" w:hAnsi="Arial" w:cs="Arial"/>
                <w:color w:val="000000"/>
                <w:szCs w:val="20"/>
              </w:rPr>
              <w:t>3</w:t>
            </w:r>
            <w:r w:rsidR="00CD19D7">
              <w:rPr>
                <w:rFonts w:ascii="Arial" w:eastAsia="Times New Roman" w:hAnsi="Arial" w:cs="Arial"/>
                <w:color w:val="000000"/>
                <w:szCs w:val="20"/>
              </w:rPr>
              <w:t>.3</w:t>
            </w:r>
          </w:p>
        </w:tc>
      </w:tr>
      <w:tr w:rsidR="0032661F" w:rsidRPr="00502106" w14:paraId="7FC93F79" w14:textId="77777777" w:rsidTr="00BA6DB9">
        <w:trPr>
          <w:trHeight w:val="288"/>
        </w:trPr>
        <w:tc>
          <w:tcPr>
            <w:tcW w:w="6580" w:type="dxa"/>
            <w:tcBorders>
              <w:top w:val="nil"/>
              <w:left w:val="single" w:sz="8" w:space="0" w:color="auto"/>
              <w:bottom w:val="nil"/>
              <w:right w:val="single" w:sz="8" w:space="0" w:color="auto"/>
            </w:tcBorders>
            <w:shd w:val="clear" w:color="auto" w:fill="auto"/>
            <w:noWrap/>
            <w:vAlign w:val="bottom"/>
          </w:tcPr>
          <w:p w14:paraId="02E55334" w14:textId="31D0F089" w:rsidR="0032661F" w:rsidRPr="00581F27" w:rsidRDefault="0032661F" w:rsidP="00D90F64">
            <w:pPr>
              <w:rPr>
                <w:rFonts w:ascii="Arial" w:eastAsia="Times New Roman" w:hAnsi="Arial" w:cs="Arial"/>
                <w:color w:val="000000"/>
                <w:szCs w:val="20"/>
              </w:rPr>
            </w:pPr>
          </w:p>
        </w:tc>
        <w:tc>
          <w:tcPr>
            <w:tcW w:w="1805" w:type="dxa"/>
            <w:tcBorders>
              <w:top w:val="nil"/>
              <w:left w:val="nil"/>
              <w:bottom w:val="nil"/>
              <w:right w:val="single" w:sz="8" w:space="0" w:color="auto"/>
            </w:tcBorders>
            <w:shd w:val="clear" w:color="auto" w:fill="auto"/>
            <w:noWrap/>
            <w:vAlign w:val="bottom"/>
          </w:tcPr>
          <w:p w14:paraId="32B5B40E" w14:textId="70A98144" w:rsidR="0032661F" w:rsidRPr="00581F27" w:rsidRDefault="0032661F" w:rsidP="00D90F64">
            <w:pPr>
              <w:jc w:val="right"/>
              <w:rPr>
                <w:rFonts w:ascii="Arial" w:eastAsia="Times New Roman" w:hAnsi="Arial" w:cs="Arial"/>
                <w:color w:val="000000"/>
                <w:szCs w:val="20"/>
              </w:rPr>
            </w:pPr>
          </w:p>
        </w:tc>
      </w:tr>
      <w:tr w:rsidR="0032661F" w:rsidRPr="00502106" w14:paraId="187F0333"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6694F340"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7B44C679"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42709757"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3D1814BE" w14:textId="77777777" w:rsidR="0032661F" w:rsidRPr="004F44BE" w:rsidRDefault="003266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5FE07EE2" w14:textId="1556C522" w:rsidR="0032661F" w:rsidRPr="004F44BE" w:rsidRDefault="00A730FA" w:rsidP="00D90F64">
            <w:pPr>
              <w:jc w:val="right"/>
              <w:rPr>
                <w:rFonts w:ascii="Arial" w:eastAsia="Times New Roman" w:hAnsi="Arial" w:cs="Arial"/>
                <w:b/>
                <w:bCs/>
                <w:color w:val="000000"/>
                <w:szCs w:val="20"/>
              </w:rPr>
            </w:pPr>
            <w:r w:rsidRPr="00A730FA">
              <w:rPr>
                <w:rFonts w:ascii="Arial" w:eastAsia="Times New Roman" w:hAnsi="Arial" w:cs="Arial"/>
                <w:b/>
                <w:bCs/>
                <w:color w:val="000000"/>
                <w:szCs w:val="20"/>
              </w:rPr>
              <w:t>6,5</w:t>
            </w:r>
            <w:r w:rsidR="00C96F74">
              <w:rPr>
                <w:rFonts w:ascii="Arial" w:eastAsia="Times New Roman" w:hAnsi="Arial" w:cs="Arial"/>
                <w:b/>
                <w:bCs/>
                <w:color w:val="000000"/>
                <w:szCs w:val="20"/>
              </w:rPr>
              <w:t>66</w:t>
            </w:r>
            <w:r w:rsidR="00CD19D7">
              <w:rPr>
                <w:rFonts w:ascii="Arial" w:eastAsia="Times New Roman" w:hAnsi="Arial" w:cs="Arial"/>
                <w:b/>
                <w:bCs/>
                <w:color w:val="000000"/>
                <w:szCs w:val="20"/>
              </w:rPr>
              <w:t>.</w:t>
            </w:r>
            <w:r w:rsidR="008F7DD7">
              <w:rPr>
                <w:rFonts w:ascii="Arial" w:eastAsia="Times New Roman" w:hAnsi="Arial" w:cs="Arial"/>
                <w:b/>
                <w:bCs/>
                <w:color w:val="000000"/>
                <w:szCs w:val="20"/>
              </w:rPr>
              <w:t>6</w:t>
            </w:r>
          </w:p>
        </w:tc>
      </w:tr>
      <w:tr w:rsidR="0032661F" w:rsidRPr="00502106" w14:paraId="7C752E0B"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746ACC61" w14:textId="68000088" w:rsidR="0032661F" w:rsidRPr="004F44BE" w:rsidRDefault="0032661F"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402F9508"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05D858E3"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3674498B" w14:textId="0381B342" w:rsidR="0032661F" w:rsidRPr="004F44BE" w:rsidRDefault="00581F27"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32661F"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636228E" w14:textId="77777777" w:rsidR="0032661F" w:rsidRPr="004F44BE" w:rsidRDefault="003266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32661F" w:rsidRPr="00502106" w14:paraId="7A3F5F40"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57D6B1E3"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2733EDC"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79885E80"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6C361894"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Operating costs (inc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7259C931" w14:textId="01365421" w:rsidR="0032661F" w:rsidRPr="00581F27" w:rsidRDefault="00A730FA" w:rsidP="00D90F64">
            <w:pPr>
              <w:jc w:val="right"/>
              <w:rPr>
                <w:rFonts w:ascii="Arial" w:eastAsia="Times New Roman" w:hAnsi="Arial" w:cs="Arial"/>
                <w:color w:val="000000"/>
                <w:szCs w:val="20"/>
              </w:rPr>
            </w:pPr>
            <w:r w:rsidRPr="00581F27">
              <w:rPr>
                <w:rFonts w:ascii="Arial" w:eastAsia="Times New Roman" w:hAnsi="Arial" w:cs="Arial"/>
                <w:color w:val="000000"/>
                <w:szCs w:val="20"/>
              </w:rPr>
              <w:t>(105</w:t>
            </w:r>
            <w:r w:rsidR="00CD19D7" w:rsidRPr="00581F27">
              <w:rPr>
                <w:rFonts w:ascii="Arial" w:eastAsia="Times New Roman" w:hAnsi="Arial" w:cs="Arial"/>
                <w:color w:val="000000"/>
                <w:szCs w:val="20"/>
              </w:rPr>
              <w:t>.1</w:t>
            </w:r>
            <w:r w:rsidRPr="00581F27">
              <w:rPr>
                <w:rFonts w:ascii="Arial" w:eastAsia="Times New Roman" w:hAnsi="Arial" w:cs="Arial"/>
                <w:color w:val="000000"/>
                <w:szCs w:val="20"/>
              </w:rPr>
              <w:t>)</w:t>
            </w:r>
          </w:p>
        </w:tc>
      </w:tr>
      <w:tr w:rsidR="0032661F" w:rsidRPr="00502106" w14:paraId="22926283"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7F9E3E85"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4D1756A" w14:textId="77777777" w:rsidR="0032661F" w:rsidRPr="00581F27" w:rsidRDefault="0032661F" w:rsidP="00D90F64">
            <w:pPr>
              <w:rPr>
                <w:rFonts w:ascii="Arial" w:eastAsia="Times New Roman" w:hAnsi="Arial" w:cs="Arial"/>
                <w:color w:val="000000"/>
                <w:szCs w:val="20"/>
              </w:rPr>
            </w:pPr>
            <w:r w:rsidRPr="00581F27">
              <w:rPr>
                <w:rFonts w:ascii="Arial" w:eastAsia="Times New Roman" w:hAnsi="Arial" w:cs="Arial"/>
                <w:color w:val="000000"/>
                <w:szCs w:val="20"/>
              </w:rPr>
              <w:t> </w:t>
            </w:r>
          </w:p>
        </w:tc>
      </w:tr>
      <w:tr w:rsidR="0032661F" w:rsidRPr="00502106" w14:paraId="5172C4CD"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64DA10EE"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(inc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1CC87665" w14:textId="1623743B" w:rsidR="0032661F" w:rsidRPr="00581F27" w:rsidRDefault="00A730FA" w:rsidP="00D90F64">
            <w:pPr>
              <w:jc w:val="right"/>
              <w:rPr>
                <w:rFonts w:ascii="Arial" w:eastAsia="Times New Roman" w:hAnsi="Arial" w:cs="Arial"/>
                <w:color w:val="000000"/>
                <w:szCs w:val="20"/>
              </w:rPr>
            </w:pPr>
            <w:r w:rsidRPr="00581F27">
              <w:rPr>
                <w:rFonts w:ascii="Arial" w:eastAsia="Times New Roman" w:hAnsi="Arial" w:cs="Arial"/>
                <w:color w:val="000000"/>
                <w:szCs w:val="20"/>
              </w:rPr>
              <w:t>(1</w:t>
            </w:r>
            <w:r w:rsidR="00C96F74">
              <w:rPr>
                <w:rFonts w:ascii="Arial" w:eastAsia="Times New Roman" w:hAnsi="Arial" w:cs="Arial"/>
                <w:color w:val="000000"/>
                <w:szCs w:val="20"/>
              </w:rPr>
              <w:t>4.5</w:t>
            </w:r>
            <w:r w:rsidRPr="00581F27">
              <w:rPr>
                <w:rFonts w:ascii="Arial" w:eastAsia="Times New Roman" w:hAnsi="Arial" w:cs="Arial"/>
                <w:color w:val="000000"/>
                <w:szCs w:val="20"/>
              </w:rPr>
              <w:t>)</w:t>
            </w:r>
          </w:p>
        </w:tc>
      </w:tr>
      <w:tr w:rsidR="0032661F" w:rsidRPr="00502106" w14:paraId="69CAE574"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3AF4CA95"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5C0C955D" w14:textId="77777777" w:rsidR="0032661F" w:rsidRPr="00581F27" w:rsidRDefault="0032661F" w:rsidP="00D90F64">
            <w:pPr>
              <w:rPr>
                <w:rFonts w:ascii="Arial" w:eastAsia="Times New Roman" w:hAnsi="Arial" w:cs="Arial"/>
                <w:color w:val="000000"/>
                <w:szCs w:val="20"/>
              </w:rPr>
            </w:pPr>
            <w:r w:rsidRPr="00581F27">
              <w:rPr>
                <w:rFonts w:ascii="Arial" w:eastAsia="Times New Roman" w:hAnsi="Arial" w:cs="Arial"/>
                <w:color w:val="000000"/>
                <w:szCs w:val="20"/>
              </w:rPr>
              <w:t> </w:t>
            </w:r>
          </w:p>
        </w:tc>
      </w:tr>
      <w:tr w:rsidR="0032661F" w:rsidRPr="00502106" w14:paraId="6CBF32BB"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27D176B9"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9C45A0B" w14:textId="77777777" w:rsidR="0032661F" w:rsidRPr="00581F27" w:rsidRDefault="0032661F" w:rsidP="00D90F64">
            <w:pPr>
              <w:rPr>
                <w:rFonts w:ascii="Arial" w:eastAsia="Times New Roman" w:hAnsi="Arial" w:cs="Arial"/>
                <w:color w:val="000000"/>
                <w:szCs w:val="20"/>
              </w:rPr>
            </w:pPr>
            <w:r w:rsidRPr="00581F27">
              <w:rPr>
                <w:rFonts w:ascii="Arial" w:eastAsia="Times New Roman" w:hAnsi="Arial" w:cs="Arial"/>
                <w:color w:val="000000"/>
                <w:szCs w:val="20"/>
              </w:rPr>
              <w:t> </w:t>
            </w:r>
          </w:p>
        </w:tc>
      </w:tr>
      <w:tr w:rsidR="0032661F" w:rsidRPr="00502106" w14:paraId="17D3E708"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7E0A2EDC"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67B4A2BC" w14:textId="52378B47" w:rsidR="0032661F" w:rsidRPr="00581F27" w:rsidRDefault="00A730FA" w:rsidP="00D90F64">
            <w:pPr>
              <w:jc w:val="right"/>
              <w:rPr>
                <w:rFonts w:ascii="Arial" w:eastAsia="Times New Roman" w:hAnsi="Arial" w:cs="Arial"/>
                <w:color w:val="000000"/>
                <w:szCs w:val="20"/>
              </w:rPr>
            </w:pPr>
            <w:r w:rsidRPr="00581F27">
              <w:rPr>
                <w:rFonts w:ascii="Arial" w:eastAsia="Times New Roman" w:hAnsi="Arial" w:cs="Arial"/>
                <w:color w:val="000000"/>
                <w:szCs w:val="20"/>
              </w:rPr>
              <w:t>(</w:t>
            </w:r>
            <w:r w:rsidR="003B202B">
              <w:rPr>
                <w:rFonts w:ascii="Arial" w:eastAsia="Times New Roman" w:hAnsi="Arial" w:cs="Arial"/>
                <w:color w:val="000000"/>
                <w:szCs w:val="20"/>
              </w:rPr>
              <w:t>11.0</w:t>
            </w:r>
            <w:r w:rsidRPr="00581F27">
              <w:rPr>
                <w:rFonts w:ascii="Arial" w:eastAsia="Times New Roman" w:hAnsi="Arial" w:cs="Arial"/>
                <w:color w:val="000000"/>
                <w:szCs w:val="20"/>
              </w:rPr>
              <w:t>)</w:t>
            </w:r>
          </w:p>
        </w:tc>
      </w:tr>
      <w:tr w:rsidR="003B202B" w:rsidRPr="00502106" w14:paraId="69D0A778"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3A706805" w14:textId="77777777" w:rsidR="003B202B" w:rsidRPr="004F44BE" w:rsidRDefault="003B202B"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05535AD7" w14:textId="77777777" w:rsidR="003B202B" w:rsidRPr="00581F27" w:rsidRDefault="003B202B" w:rsidP="00D90F64">
            <w:pPr>
              <w:jc w:val="right"/>
              <w:rPr>
                <w:rFonts w:ascii="Arial" w:eastAsia="Times New Roman" w:hAnsi="Arial" w:cs="Arial"/>
                <w:color w:val="000000"/>
                <w:szCs w:val="20"/>
              </w:rPr>
            </w:pPr>
          </w:p>
        </w:tc>
      </w:tr>
      <w:tr w:rsidR="003B202B" w:rsidRPr="00502106" w14:paraId="4C37C3AC"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73851246" w14:textId="7CC3CEED" w:rsidR="003B202B" w:rsidRPr="003B202B" w:rsidRDefault="003B202B" w:rsidP="00D90F64">
            <w:pPr>
              <w:rPr>
                <w:rFonts w:ascii="Arial" w:eastAsia="Times New Roman" w:hAnsi="Arial" w:cs="Arial"/>
                <w:color w:val="000000"/>
                <w:szCs w:val="20"/>
              </w:rPr>
            </w:pPr>
            <w:r w:rsidRPr="003B202B">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531AF50D" w14:textId="205364E8" w:rsidR="003B202B" w:rsidRPr="00581F27" w:rsidRDefault="003B202B" w:rsidP="003B202B">
            <w:pPr>
              <w:jc w:val="right"/>
              <w:rPr>
                <w:rFonts w:ascii="Arial" w:eastAsia="Times New Roman" w:hAnsi="Arial" w:cs="Arial"/>
                <w:color w:val="000000"/>
                <w:szCs w:val="20"/>
              </w:rPr>
            </w:pPr>
            <w:r w:rsidRPr="003B202B">
              <w:rPr>
                <w:rFonts w:ascii="Arial" w:eastAsia="Times New Roman" w:hAnsi="Arial" w:cs="Arial"/>
                <w:color w:val="000000"/>
                <w:szCs w:val="20"/>
              </w:rPr>
              <w:t>(9</w:t>
            </w:r>
            <w:r w:rsidR="00C96F74">
              <w:rPr>
                <w:rFonts w:ascii="Arial" w:eastAsia="Times New Roman" w:hAnsi="Arial" w:cs="Arial"/>
                <w:color w:val="000000"/>
                <w:szCs w:val="20"/>
              </w:rPr>
              <w:t>85.3</w:t>
            </w:r>
            <w:r w:rsidRPr="003B202B">
              <w:rPr>
                <w:rFonts w:ascii="Arial" w:eastAsia="Times New Roman" w:hAnsi="Arial" w:cs="Arial"/>
                <w:color w:val="000000"/>
                <w:szCs w:val="20"/>
              </w:rPr>
              <w:t>)</w:t>
            </w:r>
          </w:p>
        </w:tc>
      </w:tr>
      <w:tr w:rsidR="0032661F" w:rsidRPr="00502106" w14:paraId="7A484FC8" w14:textId="77777777" w:rsidTr="00D90F64">
        <w:trPr>
          <w:trHeight w:val="50"/>
        </w:trPr>
        <w:tc>
          <w:tcPr>
            <w:tcW w:w="6580" w:type="dxa"/>
            <w:tcBorders>
              <w:top w:val="nil"/>
              <w:left w:val="single" w:sz="8" w:space="0" w:color="auto"/>
              <w:bottom w:val="nil"/>
              <w:right w:val="nil"/>
            </w:tcBorders>
            <w:shd w:val="clear" w:color="auto" w:fill="auto"/>
            <w:noWrap/>
            <w:vAlign w:val="bottom"/>
          </w:tcPr>
          <w:p w14:paraId="150F7EA4" w14:textId="77777777" w:rsidR="0032661F" w:rsidRPr="004F44BE" w:rsidRDefault="0032661F"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0E7A0617" w14:textId="77777777" w:rsidR="0032661F" w:rsidRPr="00581F27" w:rsidRDefault="0032661F" w:rsidP="00D90F64">
            <w:pPr>
              <w:rPr>
                <w:rFonts w:ascii="Arial" w:eastAsia="Times New Roman" w:hAnsi="Arial" w:cs="Arial"/>
                <w:color w:val="000000"/>
                <w:szCs w:val="20"/>
              </w:rPr>
            </w:pPr>
          </w:p>
        </w:tc>
      </w:tr>
      <w:tr w:rsidR="0032661F" w:rsidRPr="00502106" w14:paraId="064E04AC"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4329AB09" w14:textId="77777777" w:rsidR="0032661F"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30934A04" w14:textId="019C0E0D" w:rsidR="0032661F" w:rsidRPr="004F44BE" w:rsidRDefault="0032661F"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1D8B5BD0" w14:textId="68D2D4CE" w:rsidR="0032661F" w:rsidRPr="00581F27" w:rsidRDefault="00A730FA" w:rsidP="00D90F64">
            <w:pPr>
              <w:jc w:val="right"/>
              <w:rPr>
                <w:rFonts w:ascii="Arial" w:eastAsia="Times New Roman" w:hAnsi="Arial" w:cs="Arial"/>
                <w:color w:val="000000"/>
                <w:szCs w:val="20"/>
              </w:rPr>
            </w:pPr>
            <w:r w:rsidRPr="00581F27">
              <w:rPr>
                <w:rFonts w:ascii="Arial" w:eastAsia="Times New Roman" w:hAnsi="Arial" w:cs="Arial"/>
                <w:color w:val="000000"/>
                <w:szCs w:val="20"/>
              </w:rPr>
              <w:t>(551</w:t>
            </w:r>
            <w:r w:rsidR="00CD19D7" w:rsidRPr="00581F27">
              <w:rPr>
                <w:rFonts w:ascii="Arial" w:eastAsia="Times New Roman" w:hAnsi="Arial" w:cs="Arial"/>
                <w:color w:val="000000"/>
                <w:szCs w:val="20"/>
              </w:rPr>
              <w:t>.3</w:t>
            </w:r>
            <w:r w:rsidRPr="00581F27">
              <w:rPr>
                <w:rFonts w:ascii="Arial" w:eastAsia="Times New Roman" w:hAnsi="Arial" w:cs="Arial"/>
                <w:color w:val="000000"/>
                <w:szCs w:val="20"/>
              </w:rPr>
              <w:t>)</w:t>
            </w:r>
          </w:p>
        </w:tc>
      </w:tr>
      <w:tr w:rsidR="0032661F" w:rsidRPr="00502106" w14:paraId="4BD25728"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1CE8A060"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35D42A4" w14:textId="77777777" w:rsidR="0032661F" w:rsidRPr="00581F27" w:rsidRDefault="0032661F" w:rsidP="00D90F64">
            <w:pPr>
              <w:rPr>
                <w:rFonts w:ascii="Arial" w:eastAsia="Times New Roman" w:hAnsi="Arial" w:cs="Arial"/>
                <w:color w:val="000000"/>
                <w:szCs w:val="20"/>
              </w:rPr>
            </w:pPr>
            <w:r w:rsidRPr="00581F27">
              <w:rPr>
                <w:rFonts w:ascii="Arial" w:eastAsia="Times New Roman" w:hAnsi="Arial" w:cs="Arial"/>
                <w:color w:val="000000"/>
                <w:szCs w:val="20"/>
              </w:rPr>
              <w:t> </w:t>
            </w:r>
          </w:p>
        </w:tc>
      </w:tr>
      <w:tr w:rsidR="0032661F" w:rsidRPr="00502106" w14:paraId="2795DCB1"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5F66819B"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7A86FC9C" w14:textId="0973ADD0" w:rsidR="0032661F" w:rsidRPr="00581F27" w:rsidRDefault="00A730FA" w:rsidP="00D90F64">
            <w:pPr>
              <w:jc w:val="right"/>
              <w:rPr>
                <w:rFonts w:ascii="Arial" w:eastAsia="Times New Roman" w:hAnsi="Arial" w:cs="Arial"/>
                <w:color w:val="000000"/>
                <w:szCs w:val="20"/>
              </w:rPr>
            </w:pPr>
            <w:r w:rsidRPr="00581F27">
              <w:rPr>
                <w:rFonts w:ascii="Arial" w:eastAsia="Times New Roman" w:hAnsi="Arial" w:cs="Arial"/>
                <w:color w:val="000000"/>
                <w:szCs w:val="20"/>
              </w:rPr>
              <w:t>(1</w:t>
            </w:r>
            <w:r w:rsidR="00C96F74">
              <w:rPr>
                <w:rFonts w:ascii="Arial" w:eastAsia="Times New Roman" w:hAnsi="Arial" w:cs="Arial"/>
                <w:color w:val="000000"/>
                <w:szCs w:val="20"/>
              </w:rPr>
              <w:t>59.8</w:t>
            </w:r>
            <w:r w:rsidRPr="00581F27">
              <w:rPr>
                <w:rFonts w:ascii="Arial" w:eastAsia="Times New Roman" w:hAnsi="Arial" w:cs="Arial"/>
                <w:color w:val="000000"/>
                <w:szCs w:val="20"/>
              </w:rPr>
              <w:t>)</w:t>
            </w:r>
          </w:p>
        </w:tc>
      </w:tr>
      <w:tr w:rsidR="0032661F" w:rsidRPr="00502106" w14:paraId="1FAC9A12"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3B403B0F"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2A26703D" w14:textId="77777777" w:rsidR="0032661F" w:rsidRPr="004F44BE" w:rsidRDefault="003266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32661F" w:rsidRPr="00502106" w14:paraId="59314BAA"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3B9F6A13" w14:textId="77777777" w:rsidR="0032661F" w:rsidRPr="004F44BE" w:rsidRDefault="003266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6DB523F4" w14:textId="17108FED" w:rsidR="0032661F" w:rsidRPr="004F44BE" w:rsidRDefault="00A730FA" w:rsidP="00D90F64">
            <w:pPr>
              <w:jc w:val="right"/>
              <w:rPr>
                <w:rFonts w:ascii="Arial" w:eastAsia="Times New Roman" w:hAnsi="Arial" w:cs="Arial"/>
                <w:b/>
                <w:bCs/>
                <w:color w:val="000000"/>
                <w:szCs w:val="20"/>
              </w:rPr>
            </w:pPr>
            <w:r w:rsidRPr="00A730FA">
              <w:rPr>
                <w:rFonts w:ascii="Arial" w:eastAsia="Times New Roman" w:hAnsi="Arial" w:cs="Arial"/>
                <w:b/>
                <w:bCs/>
                <w:color w:val="000000"/>
                <w:szCs w:val="20"/>
              </w:rPr>
              <w:t>(1,8</w:t>
            </w:r>
            <w:r w:rsidR="00C96F74">
              <w:rPr>
                <w:rFonts w:ascii="Arial" w:eastAsia="Times New Roman" w:hAnsi="Arial" w:cs="Arial"/>
                <w:b/>
                <w:bCs/>
                <w:color w:val="000000"/>
                <w:szCs w:val="20"/>
              </w:rPr>
              <w:t>27.1</w:t>
            </w:r>
            <w:r w:rsidRPr="00A730FA">
              <w:rPr>
                <w:rFonts w:ascii="Arial" w:eastAsia="Times New Roman" w:hAnsi="Arial" w:cs="Arial"/>
                <w:b/>
                <w:bCs/>
                <w:color w:val="000000"/>
                <w:szCs w:val="20"/>
              </w:rPr>
              <w:t>)</w:t>
            </w:r>
          </w:p>
        </w:tc>
      </w:tr>
      <w:tr w:rsidR="0032661F" w:rsidRPr="00502106" w14:paraId="700D30F0"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533094B2" w14:textId="55079EF5" w:rsidR="0032661F" w:rsidRPr="004F44BE" w:rsidRDefault="005E2B32" w:rsidP="00D90F64">
            <w:pPr>
              <w:rPr>
                <w:rFonts w:ascii="Arial" w:eastAsia="Times New Roman" w:hAnsi="Arial" w:cs="Arial"/>
                <w:b/>
                <w:bCs/>
                <w:color w:val="000000"/>
                <w:szCs w:val="20"/>
              </w:rPr>
            </w:pPr>
            <w:r w:rsidRPr="005E2B32">
              <w:rPr>
                <w:rFonts w:ascii="Arial" w:eastAsia="Times New Roman" w:hAnsi="Arial" w:cs="Arial"/>
                <w:b/>
                <w:bCs/>
                <w:color w:val="000000"/>
                <w:szCs w:val="20"/>
              </w:rPr>
              <w:t>Available for distribution</w:t>
            </w:r>
            <w:r>
              <w:rPr>
                <w:rFonts w:ascii="Arial" w:eastAsia="Times New Roman" w:hAnsi="Arial" w:cs="Arial"/>
                <w:b/>
                <w:bCs/>
                <w:color w:val="000000"/>
                <w:szCs w:val="20"/>
              </w:rPr>
              <w:t xml:space="preserve">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09C545A3" w14:textId="55B79751" w:rsidR="0032661F" w:rsidRPr="004F44BE" w:rsidRDefault="00A730FA" w:rsidP="00D90F64">
            <w:pPr>
              <w:jc w:val="right"/>
              <w:rPr>
                <w:rFonts w:ascii="Arial" w:eastAsia="Times New Roman" w:hAnsi="Arial" w:cs="Arial"/>
                <w:b/>
                <w:bCs/>
                <w:color w:val="000000"/>
                <w:szCs w:val="20"/>
              </w:rPr>
            </w:pPr>
            <w:r w:rsidRPr="00A730FA">
              <w:rPr>
                <w:rFonts w:ascii="Arial" w:eastAsia="Times New Roman" w:hAnsi="Arial" w:cs="Arial"/>
                <w:b/>
                <w:bCs/>
                <w:color w:val="000000"/>
                <w:szCs w:val="20"/>
              </w:rPr>
              <w:t>4,</w:t>
            </w:r>
            <w:r w:rsidR="00C96F74">
              <w:rPr>
                <w:rFonts w:ascii="Arial" w:eastAsia="Times New Roman" w:hAnsi="Arial" w:cs="Arial"/>
                <w:b/>
                <w:bCs/>
                <w:color w:val="000000"/>
                <w:szCs w:val="20"/>
              </w:rPr>
              <w:t>739.6</w:t>
            </w:r>
          </w:p>
        </w:tc>
      </w:tr>
      <w:tr w:rsidR="0032661F" w:rsidRPr="00502106" w14:paraId="75295A07" w14:textId="77777777" w:rsidTr="00D90F64">
        <w:trPr>
          <w:trHeight w:val="30"/>
        </w:trPr>
        <w:tc>
          <w:tcPr>
            <w:tcW w:w="6580" w:type="dxa"/>
            <w:tcBorders>
              <w:top w:val="nil"/>
              <w:left w:val="nil"/>
              <w:bottom w:val="nil"/>
              <w:right w:val="nil"/>
            </w:tcBorders>
            <w:shd w:val="clear" w:color="auto" w:fill="auto"/>
            <w:noWrap/>
            <w:vAlign w:val="bottom"/>
            <w:hideMark/>
          </w:tcPr>
          <w:p w14:paraId="451B6644" w14:textId="77777777" w:rsidR="0032661F" w:rsidRPr="004F44BE" w:rsidRDefault="0032661F"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472F1AF1" w14:textId="77777777" w:rsidR="0032661F" w:rsidRPr="004F44BE" w:rsidRDefault="0032661F" w:rsidP="00D90F64">
            <w:pPr>
              <w:rPr>
                <w:rFonts w:ascii="Arial" w:eastAsia="Times New Roman" w:hAnsi="Arial" w:cs="Arial"/>
                <w:szCs w:val="20"/>
              </w:rPr>
            </w:pPr>
          </w:p>
        </w:tc>
      </w:tr>
      <w:tr w:rsidR="0032661F" w:rsidRPr="00502106" w14:paraId="63A510DB" w14:textId="77777777" w:rsidTr="00E67A37">
        <w:trPr>
          <w:trHeight w:val="50"/>
        </w:trPr>
        <w:tc>
          <w:tcPr>
            <w:tcW w:w="6580" w:type="dxa"/>
            <w:tcBorders>
              <w:top w:val="nil"/>
              <w:left w:val="nil"/>
              <w:bottom w:val="single" w:sz="4" w:space="0" w:color="auto"/>
              <w:right w:val="nil"/>
            </w:tcBorders>
            <w:shd w:val="clear" w:color="auto" w:fill="auto"/>
            <w:noWrap/>
            <w:vAlign w:val="bottom"/>
            <w:hideMark/>
          </w:tcPr>
          <w:p w14:paraId="4E6FAD83" w14:textId="1062FB37" w:rsidR="0032661F" w:rsidRPr="004F44BE" w:rsidRDefault="0032661F"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2D6054E1" w14:textId="77777777" w:rsidR="0032661F" w:rsidRPr="004F44BE" w:rsidRDefault="0032661F" w:rsidP="00D90F64">
            <w:pPr>
              <w:rPr>
                <w:rFonts w:ascii="Arial" w:eastAsia="Times New Roman" w:hAnsi="Arial" w:cs="Arial"/>
                <w:color w:val="000000"/>
                <w:szCs w:val="20"/>
              </w:rPr>
            </w:pPr>
          </w:p>
        </w:tc>
      </w:tr>
      <w:tr w:rsidR="00581F27" w:rsidRPr="00502106" w14:paraId="7290307C" w14:textId="77777777" w:rsidTr="00E67A3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03F8" w14:textId="6A99C41A" w:rsidR="00581F27" w:rsidRPr="005E2B32" w:rsidRDefault="00581F27" w:rsidP="00D90F64">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51D42" w14:textId="77777777" w:rsidR="00581F27" w:rsidRPr="004F44BE" w:rsidRDefault="00581F27" w:rsidP="005E2B32">
            <w:pPr>
              <w:jc w:val="right"/>
              <w:rPr>
                <w:rFonts w:ascii="Arial" w:eastAsia="Times New Roman" w:hAnsi="Arial" w:cs="Arial"/>
                <w:color w:val="000000"/>
                <w:szCs w:val="20"/>
              </w:rPr>
            </w:pPr>
          </w:p>
        </w:tc>
      </w:tr>
      <w:tr w:rsidR="00581F27" w:rsidRPr="00502106" w14:paraId="5887EF50" w14:textId="77777777" w:rsidTr="00E67A3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9ECD9" w14:textId="606FC60A" w:rsidR="00581F27" w:rsidRPr="00E33D74" w:rsidRDefault="00581F27" w:rsidP="00581F27">
            <w:pPr>
              <w:rPr>
                <w:rFonts w:ascii="Arial" w:eastAsia="Times New Roman" w:hAnsi="Arial" w:cs="Arial"/>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03CC3" w14:textId="6C6C895F" w:rsidR="00581F27" w:rsidRPr="00E33D74" w:rsidRDefault="00581F27" w:rsidP="00581F27">
            <w:pPr>
              <w:jc w:val="right"/>
              <w:rPr>
                <w:rFonts w:ascii="Arial" w:eastAsia="Times New Roman" w:hAnsi="Arial" w:cs="Arial"/>
                <w:color w:val="000000"/>
                <w:szCs w:val="20"/>
              </w:rPr>
            </w:pPr>
            <w:r w:rsidRPr="00E33D74">
              <w:rPr>
                <w:rFonts w:ascii="Arial" w:eastAsia="Times New Roman" w:hAnsi="Arial" w:cs="Arial"/>
                <w:color w:val="000000"/>
                <w:szCs w:val="20"/>
              </w:rPr>
              <w:t>4,</w:t>
            </w:r>
            <w:r w:rsidR="00C96F74">
              <w:rPr>
                <w:rFonts w:ascii="Arial" w:eastAsia="Times New Roman" w:hAnsi="Arial" w:cs="Arial"/>
                <w:color w:val="000000"/>
                <w:szCs w:val="20"/>
              </w:rPr>
              <w:t>739.6</w:t>
            </w:r>
          </w:p>
        </w:tc>
      </w:tr>
      <w:tr w:rsidR="00581F27" w:rsidRPr="00502106" w14:paraId="1EB68CF4" w14:textId="77777777" w:rsidTr="00E67A3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3ED56" w14:textId="4AC2E866" w:rsidR="00581F27" w:rsidRPr="00E33D74" w:rsidRDefault="00581F27" w:rsidP="00581F27">
            <w:pPr>
              <w:rPr>
                <w:rFonts w:ascii="Arial" w:eastAsia="Times New Roman" w:hAnsi="Arial" w:cs="Arial"/>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ED76" w14:textId="4B1CA08D" w:rsidR="00581F27" w:rsidRPr="00E33D74" w:rsidRDefault="00E33D74" w:rsidP="00581F27">
            <w:pPr>
              <w:jc w:val="right"/>
              <w:rPr>
                <w:rFonts w:ascii="Arial" w:eastAsia="Times New Roman" w:hAnsi="Arial" w:cs="Arial"/>
                <w:color w:val="000000"/>
                <w:szCs w:val="20"/>
              </w:rPr>
            </w:pPr>
            <w:r w:rsidRPr="00E33D74">
              <w:rPr>
                <w:rFonts w:ascii="Arial" w:eastAsia="Times New Roman" w:hAnsi="Arial" w:cs="Arial"/>
                <w:color w:val="000000"/>
                <w:szCs w:val="20"/>
              </w:rPr>
              <w:t>1,452,750.4</w:t>
            </w:r>
          </w:p>
        </w:tc>
      </w:tr>
      <w:tr w:rsidR="00581F27" w:rsidRPr="00502106" w14:paraId="2A768AB8" w14:textId="77777777" w:rsidTr="00E67A3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8896" w14:textId="0177D7C1" w:rsidR="00581F27" w:rsidRPr="00E33D74" w:rsidRDefault="00581F27" w:rsidP="00581F27">
            <w:pPr>
              <w:rPr>
                <w:rFonts w:ascii="Arial" w:eastAsia="Times New Roman" w:hAnsi="Arial" w:cs="Arial"/>
                <w:b/>
                <w:bCs/>
                <w:color w:val="000000"/>
                <w:szCs w:val="20"/>
              </w:rPr>
            </w:pPr>
            <w:r w:rsidRPr="00E33D74">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8B2F7" w14:textId="76888FB6" w:rsidR="00581F27" w:rsidRPr="00E33D74" w:rsidRDefault="00581F27" w:rsidP="00581F27">
            <w:pPr>
              <w:jc w:val="right"/>
              <w:rPr>
                <w:rFonts w:ascii="Arial" w:eastAsia="Times New Roman" w:hAnsi="Arial" w:cs="Arial"/>
                <w:b/>
                <w:bCs/>
                <w:color w:val="000000"/>
                <w:szCs w:val="20"/>
              </w:rPr>
            </w:pPr>
            <w:r w:rsidRPr="00E33D74">
              <w:rPr>
                <w:rFonts w:ascii="Arial" w:eastAsia="Times New Roman" w:hAnsi="Arial" w:cs="Arial"/>
                <w:b/>
                <w:bCs/>
                <w:color w:val="000000"/>
                <w:szCs w:val="20"/>
              </w:rPr>
              <w:t> 0.3</w:t>
            </w:r>
            <w:r w:rsidR="00C96F74">
              <w:rPr>
                <w:rFonts w:ascii="Arial" w:eastAsia="Times New Roman" w:hAnsi="Arial" w:cs="Arial"/>
                <w:b/>
                <w:bCs/>
                <w:color w:val="000000"/>
                <w:szCs w:val="20"/>
              </w:rPr>
              <w:t>3</w:t>
            </w:r>
          </w:p>
        </w:tc>
      </w:tr>
    </w:tbl>
    <w:p w14:paraId="61193F72" w14:textId="77777777" w:rsidR="007163A5" w:rsidRDefault="007163A5" w:rsidP="003A367F">
      <w:pPr>
        <w:widowControl w:val="0"/>
        <w:autoSpaceDE w:val="0"/>
        <w:autoSpaceDN w:val="0"/>
        <w:spacing w:before="150" w:line="266" w:lineRule="auto"/>
        <w:ind w:right="512"/>
        <w:rPr>
          <w:rFonts w:ascii="Arial" w:eastAsia="Arial" w:hAnsi="Arial" w:cs="Arial"/>
          <w:sz w:val="14"/>
          <w:szCs w:val="14"/>
        </w:rPr>
      </w:pPr>
    </w:p>
    <w:p w14:paraId="59A495BC" w14:textId="5DB41868" w:rsidR="007163A5" w:rsidRPr="007163A5" w:rsidRDefault="007163A5" w:rsidP="007163A5">
      <w:pPr>
        <w:widowControl w:val="0"/>
        <w:autoSpaceDE w:val="0"/>
        <w:autoSpaceDN w:val="0"/>
        <w:spacing w:before="150" w:line="266" w:lineRule="auto"/>
        <w:ind w:left="154" w:right="512"/>
        <w:rPr>
          <w:rFonts w:ascii="Arial" w:eastAsia="Arial" w:hAnsi="Arial" w:cs="Arial"/>
          <w:sz w:val="14"/>
          <w:szCs w:val="14"/>
        </w:rPr>
      </w:pPr>
      <w:r w:rsidRPr="007163A5">
        <w:rPr>
          <w:rFonts w:ascii="Arial" w:eastAsia="Arial" w:hAnsi="Arial" w:cs="Arial"/>
          <w:sz w:val="14"/>
          <w:szCs w:val="14"/>
        </w:rPr>
        <w:t xml:space="preserve">Notes:  </w:t>
      </w:r>
    </w:p>
    <w:p w14:paraId="1A1139A5" w14:textId="21E6077E" w:rsidR="007163A5" w:rsidRPr="00AA4F46" w:rsidRDefault="007163A5" w:rsidP="007163A5">
      <w:pPr>
        <w:widowControl w:val="0"/>
        <w:autoSpaceDE w:val="0"/>
        <w:autoSpaceDN w:val="0"/>
        <w:spacing w:before="150" w:line="266" w:lineRule="auto"/>
        <w:ind w:left="154" w:right="512"/>
        <w:rPr>
          <w:rFonts w:ascii="Arial" w:eastAsia="Arial" w:hAnsi="Arial" w:cs="Arial"/>
          <w:b/>
          <w:bCs/>
          <w:sz w:val="14"/>
          <w:szCs w:val="14"/>
        </w:rPr>
      </w:pPr>
      <w:bookmarkStart w:id="3"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00A85526" w:rsidRPr="00AA4F46">
        <w:rPr>
          <w:rFonts w:ascii="Arial" w:eastAsia="Arial" w:hAnsi="Arial" w:cs="Arial"/>
          <w:sz w:val="14"/>
          <w:szCs w:val="14"/>
        </w:rPr>
        <w:t>The above is subject to small rounding differences.</w:t>
      </w:r>
    </w:p>
    <w:p w14:paraId="21DD3B72" w14:textId="03323D99" w:rsidR="007163A5" w:rsidRDefault="007163A5" w:rsidP="007163A5">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sidR="00E33D74">
        <w:rPr>
          <w:rFonts w:ascii="Arial" w:eastAsia="Arial" w:hAnsi="Arial" w:cs="Arial"/>
          <w:sz w:val="14"/>
          <w:szCs w:val="14"/>
        </w:rPr>
        <w:t>Where applicable, t</w:t>
      </w:r>
      <w:r w:rsidR="00A85526" w:rsidRPr="00AA4F46">
        <w:rPr>
          <w:rFonts w:ascii="Arial" w:eastAsia="Arial" w:hAnsi="Arial" w:cs="Arial"/>
          <w:sz w:val="14"/>
          <w:szCs w:val="14"/>
        </w:rPr>
        <w:t>he rate of the dividend above is shown after accounting for any intercompany receivables, following the relevant distribution</w:t>
      </w:r>
      <w:r w:rsidR="00E33D74">
        <w:rPr>
          <w:rFonts w:ascii="Arial" w:eastAsia="Arial" w:hAnsi="Arial" w:cs="Arial"/>
          <w:sz w:val="14"/>
          <w:szCs w:val="14"/>
        </w:rPr>
        <w:t xml:space="preserve"> within the group. </w:t>
      </w:r>
    </w:p>
    <w:p w14:paraId="5E875B4F" w14:textId="613D0D30" w:rsidR="00701520" w:rsidRPr="00AA4F46" w:rsidRDefault="00701520" w:rsidP="00701520">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3F3E4959" w14:textId="47FAF529" w:rsidR="007163A5" w:rsidRPr="00C42257" w:rsidRDefault="00701520" w:rsidP="00AA4F46">
      <w:pPr>
        <w:widowControl w:val="0"/>
        <w:autoSpaceDE w:val="0"/>
        <w:autoSpaceDN w:val="0"/>
        <w:spacing w:before="150" w:line="266" w:lineRule="auto"/>
        <w:ind w:left="154" w:right="512"/>
        <w:rPr>
          <w:rFonts w:ascii="Arial" w:eastAsia="Arial" w:hAnsi="Arial" w:cs="Arial"/>
          <w:sz w:val="14"/>
          <w:szCs w:val="14"/>
        </w:rPr>
      </w:pPr>
      <w:bookmarkStart w:id="4" w:name="_Hlk175733984"/>
      <w:bookmarkStart w:id="5" w:name="_Hlk175734220"/>
      <w:r w:rsidRPr="00C42257">
        <w:rPr>
          <w:rFonts w:ascii="Arial" w:eastAsia="Arial" w:hAnsi="Arial" w:cs="Arial"/>
          <w:sz w:val="14"/>
          <w:szCs w:val="14"/>
          <w:vertAlign w:val="superscript"/>
        </w:rPr>
        <w:t>4</w:t>
      </w:r>
      <w:r w:rsidR="007163A5" w:rsidRPr="00C42257">
        <w:rPr>
          <w:rFonts w:ascii="Arial" w:eastAsia="Arial" w:hAnsi="Arial" w:cs="Arial"/>
          <w:sz w:val="14"/>
          <w:szCs w:val="14"/>
          <w:vertAlign w:val="superscript"/>
        </w:rPr>
        <w:t xml:space="preserve">. </w:t>
      </w:r>
      <w:r w:rsidR="007163A5" w:rsidRPr="00C42257">
        <w:rPr>
          <w:rFonts w:ascii="Arial" w:eastAsia="Arial" w:hAnsi="Arial" w:cs="Arial"/>
          <w:sz w:val="14"/>
          <w:szCs w:val="14"/>
        </w:rPr>
        <w:t xml:space="preserve"> </w:t>
      </w:r>
      <w:r w:rsidR="005E4430" w:rsidRPr="00C42257">
        <w:rPr>
          <w:rFonts w:ascii="Arial" w:eastAsia="Arial" w:hAnsi="Arial" w:cs="Arial"/>
          <w:sz w:val="14"/>
          <w:szCs w:val="14"/>
        </w:rPr>
        <w:t xml:space="preserve">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005E4430" w:rsidRPr="00C42257">
          <w:rPr>
            <w:rStyle w:val="Hyperlink"/>
            <w:rFonts w:ascii="Arial" w:eastAsia="Arial" w:hAnsi="Arial" w:cs="Arial"/>
            <w:sz w:val="14"/>
            <w:szCs w:val="14"/>
          </w:rPr>
          <w:t>ThomasCook.Liquidator@insolvency.gov.uk</w:t>
        </w:r>
      </w:hyperlink>
      <w:r w:rsidR="005E4430"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4CFEFE22" w14:textId="5832FF0C" w:rsidR="005E2B32" w:rsidRPr="00AA4F46" w:rsidRDefault="00701520" w:rsidP="00AA4F46">
      <w:pPr>
        <w:widowControl w:val="0"/>
        <w:autoSpaceDE w:val="0"/>
        <w:autoSpaceDN w:val="0"/>
        <w:spacing w:before="150" w:line="266" w:lineRule="auto"/>
        <w:ind w:left="154" w:right="512"/>
        <w:rPr>
          <w:rFonts w:ascii="Arial" w:eastAsia="Arial" w:hAnsi="Arial" w:cs="Arial"/>
          <w:sz w:val="14"/>
          <w:szCs w:val="14"/>
        </w:rPr>
      </w:pPr>
      <w:bookmarkStart w:id="6" w:name="_Hlk175733993"/>
      <w:bookmarkEnd w:id="4"/>
      <w:r w:rsidRPr="00C42257">
        <w:rPr>
          <w:rFonts w:ascii="Arial" w:eastAsia="Arial" w:hAnsi="Arial" w:cs="Arial"/>
          <w:sz w:val="14"/>
          <w:szCs w:val="14"/>
          <w:vertAlign w:val="superscript"/>
        </w:rPr>
        <w:t>5</w:t>
      </w:r>
      <w:r w:rsidR="005E2B32" w:rsidRPr="00C42257">
        <w:rPr>
          <w:rFonts w:ascii="Arial" w:eastAsia="Arial" w:hAnsi="Arial" w:cs="Arial"/>
          <w:sz w:val="14"/>
          <w:szCs w:val="14"/>
          <w:vertAlign w:val="superscript"/>
        </w:rPr>
        <w:t>.</w:t>
      </w:r>
      <w:r w:rsidR="005E2B32" w:rsidRPr="00C42257">
        <w:rPr>
          <w:rFonts w:ascii="Arial" w:eastAsia="Arial" w:hAnsi="Arial" w:cs="Arial"/>
          <w:sz w:val="14"/>
          <w:szCs w:val="14"/>
        </w:rPr>
        <w:t xml:space="preserve"> </w:t>
      </w:r>
      <w:r w:rsidR="00BA6DB9" w:rsidRPr="00C42257">
        <w:rPr>
          <w:rFonts w:ascii="Arial" w:eastAsia="Arial" w:hAnsi="Arial" w:cs="Arial"/>
          <w:sz w:val="14"/>
          <w:szCs w:val="14"/>
        </w:rPr>
        <w:t>S</w:t>
      </w:r>
      <w:r w:rsidR="005E2B32" w:rsidRPr="00C42257">
        <w:rPr>
          <w:rFonts w:ascii="Arial" w:eastAsia="Arial" w:hAnsi="Arial" w:cs="Arial"/>
          <w:sz w:val="14"/>
          <w:szCs w:val="14"/>
        </w:rPr>
        <w:t>ix months</w:t>
      </w:r>
      <w:r w:rsidR="00BA6DB9" w:rsidRPr="00C42257">
        <w:rPr>
          <w:rFonts w:ascii="Arial" w:eastAsia="Arial" w:hAnsi="Arial" w:cs="Arial"/>
          <w:sz w:val="14"/>
          <w:szCs w:val="14"/>
        </w:rPr>
        <w:t xml:space="preserve"> following</w:t>
      </w:r>
      <w:r w:rsidR="005E2B32" w:rsidRPr="00C42257">
        <w:rPr>
          <w:rFonts w:ascii="Arial" w:eastAsia="Arial" w:hAnsi="Arial" w:cs="Arial"/>
          <w:sz w:val="14"/>
          <w:szCs w:val="14"/>
        </w:rPr>
        <w:t xml:space="preserve"> the date of the dividend, all cheques which have not been cleared are cancelled and the proceeds forwarded to </w:t>
      </w:r>
      <w:r w:rsidR="00BA6DB9" w:rsidRPr="00C42257">
        <w:rPr>
          <w:rFonts w:ascii="Arial" w:eastAsia="Arial" w:hAnsi="Arial" w:cs="Arial"/>
          <w:sz w:val="14"/>
          <w:szCs w:val="14"/>
        </w:rPr>
        <w:t>T</w:t>
      </w:r>
      <w:r w:rsidR="005E2B32" w:rsidRPr="00C42257">
        <w:rPr>
          <w:rFonts w:ascii="Arial" w:eastAsia="Arial" w:hAnsi="Arial" w:cs="Arial"/>
          <w:sz w:val="14"/>
          <w:szCs w:val="14"/>
        </w:rPr>
        <w:t>he Insolvency Service, Estate Accounts Directorate, Unclaimed Monies Team, PO Box 3690, Birmingham, B2 4UY.</w:t>
      </w:r>
      <w:r w:rsidR="00AA4F46" w:rsidRPr="00C42257">
        <w:rPr>
          <w:rFonts w:ascii="Arial" w:eastAsia="Arial" w:hAnsi="Arial" w:cs="Arial"/>
          <w:sz w:val="14"/>
          <w:szCs w:val="14"/>
        </w:rPr>
        <w:t xml:space="preserve"> </w:t>
      </w:r>
      <w:r w:rsidR="005E2B32" w:rsidRPr="00C42257">
        <w:rPr>
          <w:rFonts w:ascii="Arial" w:eastAsia="Arial" w:hAnsi="Arial" w:cs="Arial"/>
          <w:sz w:val="14"/>
          <w:szCs w:val="14"/>
        </w:rPr>
        <w:t xml:space="preserve">You can submit a claim to </w:t>
      </w:r>
      <w:r w:rsidR="008454AF" w:rsidRPr="00C42257">
        <w:rPr>
          <w:rFonts w:ascii="Arial" w:eastAsia="Arial" w:hAnsi="Arial" w:cs="Arial"/>
          <w:sz w:val="14"/>
          <w:szCs w:val="14"/>
        </w:rPr>
        <w:t>T</w:t>
      </w:r>
      <w:r w:rsidR="005E2B32" w:rsidRPr="00C42257">
        <w:rPr>
          <w:rFonts w:ascii="Arial" w:eastAsia="Arial" w:hAnsi="Arial" w:cs="Arial"/>
          <w:sz w:val="14"/>
          <w:szCs w:val="14"/>
        </w:rPr>
        <w:t xml:space="preserve">he Insolvency Service in respect of </w:t>
      </w:r>
      <w:r w:rsidR="008454AF" w:rsidRPr="00C42257">
        <w:rPr>
          <w:rFonts w:ascii="Arial" w:eastAsia="Arial" w:hAnsi="Arial" w:cs="Arial"/>
          <w:sz w:val="14"/>
          <w:szCs w:val="14"/>
        </w:rPr>
        <w:t>any</w:t>
      </w:r>
      <w:r w:rsidR="005E2B32" w:rsidRPr="00C42257">
        <w:rPr>
          <w:rFonts w:ascii="Arial" w:eastAsia="Arial" w:hAnsi="Arial" w:cs="Arial"/>
          <w:sz w:val="14"/>
          <w:szCs w:val="14"/>
        </w:rPr>
        <w:t xml:space="preserve"> cancelled cheque. To make a claim, creditors should contact </w:t>
      </w:r>
      <w:r w:rsidR="008454AF" w:rsidRPr="00C42257">
        <w:rPr>
          <w:rFonts w:ascii="Arial" w:eastAsia="Arial" w:hAnsi="Arial" w:cs="Arial"/>
          <w:sz w:val="14"/>
          <w:szCs w:val="14"/>
        </w:rPr>
        <w:t>T</w:t>
      </w:r>
      <w:r w:rsidR="005E2B32" w:rsidRPr="00C42257">
        <w:rPr>
          <w:rFonts w:ascii="Arial" w:eastAsia="Arial" w:hAnsi="Arial" w:cs="Arial"/>
          <w:sz w:val="14"/>
          <w:szCs w:val="14"/>
        </w:rPr>
        <w:t>he Insolvency Service by email at: </w:t>
      </w:r>
      <w:hyperlink r:id="rId14" w:tgtFrame="_blank" w:history="1">
        <w:r w:rsidR="005E2B32" w:rsidRPr="00C42257">
          <w:rPr>
            <w:rStyle w:val="Hyperlink"/>
            <w:rFonts w:ascii="Arial" w:eastAsia="Arial" w:hAnsi="Arial" w:cs="Arial"/>
            <w:sz w:val="14"/>
            <w:szCs w:val="14"/>
          </w:rPr>
          <w:t>ThomasCook.Liquidator@insolvency.gov.uk</w:t>
        </w:r>
      </w:hyperlink>
      <w:r w:rsidR="005E2B32" w:rsidRPr="00C42257">
        <w:rPr>
          <w:rFonts w:ascii="Arial" w:eastAsia="Arial" w:hAnsi="Arial" w:cs="Arial"/>
          <w:sz w:val="14"/>
          <w:szCs w:val="14"/>
          <w:u w:val="single"/>
        </w:rPr>
        <w:t> </w:t>
      </w:r>
      <w:r w:rsidR="005E2B32" w:rsidRPr="00C42257">
        <w:rPr>
          <w:rFonts w:ascii="Arial" w:eastAsia="Arial" w:hAnsi="Arial" w:cs="Arial"/>
          <w:sz w:val="14"/>
          <w:szCs w:val="14"/>
        </w:rPr>
        <w:t>and put the respective company</w:t>
      </w:r>
      <w:r w:rsidR="008454AF" w:rsidRPr="00C42257">
        <w:rPr>
          <w:rFonts w:ascii="Arial" w:eastAsia="Arial" w:hAnsi="Arial" w:cs="Arial"/>
          <w:sz w:val="14"/>
          <w:szCs w:val="14"/>
        </w:rPr>
        <w:t xml:space="preserve"> name</w:t>
      </w:r>
      <w:r w:rsidR="005E2B32" w:rsidRPr="00C42257">
        <w:rPr>
          <w:rFonts w:ascii="Arial" w:eastAsia="Arial" w:hAnsi="Arial" w:cs="Arial"/>
          <w:sz w:val="14"/>
          <w:szCs w:val="14"/>
        </w:rPr>
        <w:t xml:space="preserve"> as the subject.</w:t>
      </w:r>
      <w:r w:rsidR="00A85526" w:rsidRPr="00AA4F46">
        <w:rPr>
          <w:rFonts w:ascii="Arial" w:eastAsia="Arial" w:hAnsi="Arial" w:cs="Arial"/>
          <w:sz w:val="14"/>
          <w:szCs w:val="14"/>
        </w:rPr>
        <w:t xml:space="preserve"> </w:t>
      </w:r>
    </w:p>
    <w:bookmarkEnd w:id="3"/>
    <w:bookmarkEnd w:id="5"/>
    <w:bookmarkEnd w:id="6"/>
    <w:p w14:paraId="7D630E11" w14:textId="6D684C1E" w:rsidR="005E2B32" w:rsidRPr="007163A5" w:rsidRDefault="005E2B32" w:rsidP="007163A5">
      <w:pPr>
        <w:widowControl w:val="0"/>
        <w:autoSpaceDE w:val="0"/>
        <w:autoSpaceDN w:val="0"/>
        <w:spacing w:before="150" w:line="266" w:lineRule="auto"/>
        <w:ind w:left="154" w:right="512"/>
        <w:rPr>
          <w:rFonts w:ascii="Arial" w:eastAsia="Arial" w:hAnsi="Arial" w:cs="Arial"/>
          <w:sz w:val="14"/>
          <w:szCs w:val="14"/>
        </w:rPr>
      </w:pPr>
    </w:p>
    <w:bookmarkEnd w:id="2"/>
    <w:p w14:paraId="74E550EC" w14:textId="2E038F7E" w:rsidR="004E09F6" w:rsidRPr="00E71EB5" w:rsidRDefault="004E09F6" w:rsidP="007163A5">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7064E4">
      <w:footerReference w:type="first" r:id="rId15"/>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2FC8" w14:textId="77777777" w:rsidR="001F1A91" w:rsidRDefault="001F1A91" w:rsidP="003F3ED2">
      <w:r>
        <w:separator/>
      </w:r>
    </w:p>
  </w:endnote>
  <w:endnote w:type="continuationSeparator" w:id="0">
    <w:p w14:paraId="39229DF3" w14:textId="77777777" w:rsidR="001F1A91" w:rsidRDefault="001F1A91"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8149" w14:textId="573D6B22" w:rsidR="007163A5" w:rsidRDefault="007163A5">
    <w:pPr>
      <w:pStyle w:val="Footer"/>
    </w:pPr>
    <w:r w:rsidRPr="00CB2383">
      <w:rPr>
        <w:vertAlign w:val="superscript"/>
      </w:rPr>
      <w:t xml:space="preserve">1 </w:t>
    </w:r>
    <w:hyperlink r:id="rId1" w:history="1">
      <w:r w:rsidRPr="00CB2383">
        <w:rPr>
          <w:rStyle w:val="Hyperlink"/>
        </w:rPr>
        <w:t>https://www.gov.uk/government/news/thomas-cook-information-for-customers-employees-creditors-and-shareholders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7763" w14:textId="77777777" w:rsidR="001F1A91" w:rsidRDefault="001F1A91" w:rsidP="003F3ED2">
      <w:r>
        <w:separator/>
      </w:r>
    </w:p>
  </w:footnote>
  <w:footnote w:type="continuationSeparator" w:id="0">
    <w:p w14:paraId="0810BDE4" w14:textId="77777777" w:rsidR="001F1A91" w:rsidRDefault="001F1A91"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131BE"/>
    <w:rsid w:val="00027F69"/>
    <w:rsid w:val="000427AE"/>
    <w:rsid w:val="00054636"/>
    <w:rsid w:val="00055C03"/>
    <w:rsid w:val="0007523B"/>
    <w:rsid w:val="00077A0E"/>
    <w:rsid w:val="00081DF4"/>
    <w:rsid w:val="00085E78"/>
    <w:rsid w:val="00090044"/>
    <w:rsid w:val="00090265"/>
    <w:rsid w:val="0009221B"/>
    <w:rsid w:val="0009756B"/>
    <w:rsid w:val="000D6587"/>
    <w:rsid w:val="000D73FD"/>
    <w:rsid w:val="000E2358"/>
    <w:rsid w:val="000E53C9"/>
    <w:rsid w:val="000E569B"/>
    <w:rsid w:val="001236F3"/>
    <w:rsid w:val="00126E15"/>
    <w:rsid w:val="001276CC"/>
    <w:rsid w:val="001306C6"/>
    <w:rsid w:val="001462DB"/>
    <w:rsid w:val="001741F1"/>
    <w:rsid w:val="00177404"/>
    <w:rsid w:val="0018341A"/>
    <w:rsid w:val="001837B3"/>
    <w:rsid w:val="00183C8E"/>
    <w:rsid w:val="001919B5"/>
    <w:rsid w:val="001B605C"/>
    <w:rsid w:val="001E35B9"/>
    <w:rsid w:val="001F1A91"/>
    <w:rsid w:val="00215032"/>
    <w:rsid w:val="00231008"/>
    <w:rsid w:val="0024030B"/>
    <w:rsid w:val="002526A6"/>
    <w:rsid w:val="002545B8"/>
    <w:rsid w:val="00262E11"/>
    <w:rsid w:val="00266228"/>
    <w:rsid w:val="00291284"/>
    <w:rsid w:val="002937F1"/>
    <w:rsid w:val="002A0B3E"/>
    <w:rsid w:val="002A3607"/>
    <w:rsid w:val="002A4E69"/>
    <w:rsid w:val="002A6BD4"/>
    <w:rsid w:val="002C63CE"/>
    <w:rsid w:val="002D4633"/>
    <w:rsid w:val="002E5BFB"/>
    <w:rsid w:val="003167B0"/>
    <w:rsid w:val="0032661F"/>
    <w:rsid w:val="00337BF0"/>
    <w:rsid w:val="003419C5"/>
    <w:rsid w:val="00345AA2"/>
    <w:rsid w:val="0034763B"/>
    <w:rsid w:val="00383348"/>
    <w:rsid w:val="00391A7D"/>
    <w:rsid w:val="003A32C6"/>
    <w:rsid w:val="003A367F"/>
    <w:rsid w:val="003A51C2"/>
    <w:rsid w:val="003B202B"/>
    <w:rsid w:val="003D7A11"/>
    <w:rsid w:val="003F1C84"/>
    <w:rsid w:val="003F225D"/>
    <w:rsid w:val="003F3ED2"/>
    <w:rsid w:val="00412768"/>
    <w:rsid w:val="00423902"/>
    <w:rsid w:val="00425C88"/>
    <w:rsid w:val="004261C5"/>
    <w:rsid w:val="004300CF"/>
    <w:rsid w:val="004415F0"/>
    <w:rsid w:val="00442F0D"/>
    <w:rsid w:val="00497ECF"/>
    <w:rsid w:val="004A03ED"/>
    <w:rsid w:val="004B6588"/>
    <w:rsid w:val="004B7F01"/>
    <w:rsid w:val="004C370F"/>
    <w:rsid w:val="004C4DB9"/>
    <w:rsid w:val="004D48A0"/>
    <w:rsid w:val="004E09F6"/>
    <w:rsid w:val="004F44BE"/>
    <w:rsid w:val="004F4C48"/>
    <w:rsid w:val="00502106"/>
    <w:rsid w:val="005032D7"/>
    <w:rsid w:val="00506E55"/>
    <w:rsid w:val="00517E99"/>
    <w:rsid w:val="00524E63"/>
    <w:rsid w:val="0052559F"/>
    <w:rsid w:val="00543072"/>
    <w:rsid w:val="005478B6"/>
    <w:rsid w:val="00581F27"/>
    <w:rsid w:val="00585C6C"/>
    <w:rsid w:val="00596DE1"/>
    <w:rsid w:val="005A45A3"/>
    <w:rsid w:val="005A51A9"/>
    <w:rsid w:val="005B0F97"/>
    <w:rsid w:val="005B21BD"/>
    <w:rsid w:val="005D36C3"/>
    <w:rsid w:val="005E2B32"/>
    <w:rsid w:val="005E4430"/>
    <w:rsid w:val="006275C9"/>
    <w:rsid w:val="00631654"/>
    <w:rsid w:val="0065617E"/>
    <w:rsid w:val="006664CF"/>
    <w:rsid w:val="00683E39"/>
    <w:rsid w:val="00690EF7"/>
    <w:rsid w:val="006A09CE"/>
    <w:rsid w:val="006B44CB"/>
    <w:rsid w:val="006C15FF"/>
    <w:rsid w:val="006D3A3E"/>
    <w:rsid w:val="006D5DDF"/>
    <w:rsid w:val="006D73B2"/>
    <w:rsid w:val="006F5160"/>
    <w:rsid w:val="00701520"/>
    <w:rsid w:val="00702E4C"/>
    <w:rsid w:val="007064E4"/>
    <w:rsid w:val="007163A5"/>
    <w:rsid w:val="00753E3C"/>
    <w:rsid w:val="00756E1A"/>
    <w:rsid w:val="007620D9"/>
    <w:rsid w:val="00771E72"/>
    <w:rsid w:val="007814E9"/>
    <w:rsid w:val="00784945"/>
    <w:rsid w:val="007D700A"/>
    <w:rsid w:val="007D7B4C"/>
    <w:rsid w:val="007E2229"/>
    <w:rsid w:val="008000C5"/>
    <w:rsid w:val="00802215"/>
    <w:rsid w:val="00805445"/>
    <w:rsid w:val="00805A7A"/>
    <w:rsid w:val="008063D5"/>
    <w:rsid w:val="00814CD5"/>
    <w:rsid w:val="00821C02"/>
    <w:rsid w:val="00834669"/>
    <w:rsid w:val="00835739"/>
    <w:rsid w:val="00844FE9"/>
    <w:rsid w:val="008454AF"/>
    <w:rsid w:val="00860A08"/>
    <w:rsid w:val="008644EF"/>
    <w:rsid w:val="00876C51"/>
    <w:rsid w:val="008B6C0A"/>
    <w:rsid w:val="008C58CE"/>
    <w:rsid w:val="008D7F6C"/>
    <w:rsid w:val="008F7DD7"/>
    <w:rsid w:val="008F7EAF"/>
    <w:rsid w:val="00933E74"/>
    <w:rsid w:val="00944FD8"/>
    <w:rsid w:val="009554D7"/>
    <w:rsid w:val="00960F56"/>
    <w:rsid w:val="0096412F"/>
    <w:rsid w:val="0097648C"/>
    <w:rsid w:val="00991FCA"/>
    <w:rsid w:val="009C306E"/>
    <w:rsid w:val="009D3E7F"/>
    <w:rsid w:val="009E2122"/>
    <w:rsid w:val="009E2B38"/>
    <w:rsid w:val="009E2E27"/>
    <w:rsid w:val="009E59CE"/>
    <w:rsid w:val="009F4F56"/>
    <w:rsid w:val="00A01BE3"/>
    <w:rsid w:val="00A04E05"/>
    <w:rsid w:val="00A11E47"/>
    <w:rsid w:val="00A20919"/>
    <w:rsid w:val="00A2137C"/>
    <w:rsid w:val="00A26B76"/>
    <w:rsid w:val="00A40A8A"/>
    <w:rsid w:val="00A56FB1"/>
    <w:rsid w:val="00A730FA"/>
    <w:rsid w:val="00A80938"/>
    <w:rsid w:val="00A80CC1"/>
    <w:rsid w:val="00A85526"/>
    <w:rsid w:val="00A94406"/>
    <w:rsid w:val="00A95B23"/>
    <w:rsid w:val="00AA4F46"/>
    <w:rsid w:val="00AD4F56"/>
    <w:rsid w:val="00AE2D0D"/>
    <w:rsid w:val="00AE4E51"/>
    <w:rsid w:val="00AE78C8"/>
    <w:rsid w:val="00AF2653"/>
    <w:rsid w:val="00B12947"/>
    <w:rsid w:val="00B313FF"/>
    <w:rsid w:val="00B4565F"/>
    <w:rsid w:val="00B467E5"/>
    <w:rsid w:val="00B66053"/>
    <w:rsid w:val="00B721D8"/>
    <w:rsid w:val="00B77AF7"/>
    <w:rsid w:val="00B81DA1"/>
    <w:rsid w:val="00B82171"/>
    <w:rsid w:val="00B87E6F"/>
    <w:rsid w:val="00B9339F"/>
    <w:rsid w:val="00B96ACF"/>
    <w:rsid w:val="00BA1C11"/>
    <w:rsid w:val="00BA6DB9"/>
    <w:rsid w:val="00BA70AD"/>
    <w:rsid w:val="00BB1971"/>
    <w:rsid w:val="00BB7F66"/>
    <w:rsid w:val="00BC64DF"/>
    <w:rsid w:val="00BD117A"/>
    <w:rsid w:val="00BD1566"/>
    <w:rsid w:val="00BD244A"/>
    <w:rsid w:val="00BF40B7"/>
    <w:rsid w:val="00C2132A"/>
    <w:rsid w:val="00C30BF4"/>
    <w:rsid w:val="00C36079"/>
    <w:rsid w:val="00C42257"/>
    <w:rsid w:val="00C46E55"/>
    <w:rsid w:val="00C47B96"/>
    <w:rsid w:val="00C513A4"/>
    <w:rsid w:val="00C61CDB"/>
    <w:rsid w:val="00C96F74"/>
    <w:rsid w:val="00CA52FB"/>
    <w:rsid w:val="00CB4FD8"/>
    <w:rsid w:val="00CB6C7F"/>
    <w:rsid w:val="00CD0FD5"/>
    <w:rsid w:val="00CD19D7"/>
    <w:rsid w:val="00CE2AC4"/>
    <w:rsid w:val="00D108B0"/>
    <w:rsid w:val="00D1526A"/>
    <w:rsid w:val="00D26235"/>
    <w:rsid w:val="00D407B1"/>
    <w:rsid w:val="00D50C3C"/>
    <w:rsid w:val="00D55238"/>
    <w:rsid w:val="00D5641F"/>
    <w:rsid w:val="00D74D0F"/>
    <w:rsid w:val="00DA3317"/>
    <w:rsid w:val="00DA3681"/>
    <w:rsid w:val="00DA5B87"/>
    <w:rsid w:val="00DD4729"/>
    <w:rsid w:val="00DE2EBD"/>
    <w:rsid w:val="00DE3E62"/>
    <w:rsid w:val="00E01065"/>
    <w:rsid w:val="00E01525"/>
    <w:rsid w:val="00E261BD"/>
    <w:rsid w:val="00E3375F"/>
    <w:rsid w:val="00E33D74"/>
    <w:rsid w:val="00E35E9F"/>
    <w:rsid w:val="00E37F5F"/>
    <w:rsid w:val="00E566BD"/>
    <w:rsid w:val="00E56FB4"/>
    <w:rsid w:val="00E67A37"/>
    <w:rsid w:val="00E71D83"/>
    <w:rsid w:val="00E71EB5"/>
    <w:rsid w:val="00E76042"/>
    <w:rsid w:val="00E91FAF"/>
    <w:rsid w:val="00EB09ED"/>
    <w:rsid w:val="00EB3F30"/>
    <w:rsid w:val="00EC0415"/>
    <w:rsid w:val="00EC7742"/>
    <w:rsid w:val="00EE3D23"/>
    <w:rsid w:val="00F022D4"/>
    <w:rsid w:val="00F07CE2"/>
    <w:rsid w:val="00F15883"/>
    <w:rsid w:val="00F15FA8"/>
    <w:rsid w:val="00F241D4"/>
    <w:rsid w:val="00F30206"/>
    <w:rsid w:val="00F4548D"/>
    <w:rsid w:val="00F534EC"/>
    <w:rsid w:val="00F83E2F"/>
    <w:rsid w:val="00FA1778"/>
    <w:rsid w:val="00FC4CCF"/>
    <w:rsid w:val="00FE3B52"/>
    <w:rsid w:val="00FE7E95"/>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29128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2251">
      <w:bodyDiv w:val="1"/>
      <w:marLeft w:val="0"/>
      <w:marRight w:val="0"/>
      <w:marTop w:val="0"/>
      <w:marBottom w:val="0"/>
      <w:divBdr>
        <w:top w:val="none" w:sz="0" w:space="0" w:color="auto"/>
        <w:left w:val="none" w:sz="0" w:space="0" w:color="auto"/>
        <w:bottom w:val="none" w:sz="0" w:space="0" w:color="auto"/>
        <w:right w:val="none" w:sz="0" w:space="0" w:color="auto"/>
      </w:divBdr>
    </w:div>
    <w:div w:id="217279877">
      <w:bodyDiv w:val="1"/>
      <w:marLeft w:val="0"/>
      <w:marRight w:val="0"/>
      <w:marTop w:val="0"/>
      <w:marBottom w:val="0"/>
      <w:divBdr>
        <w:top w:val="none" w:sz="0" w:space="0" w:color="auto"/>
        <w:left w:val="none" w:sz="0" w:space="0" w:color="auto"/>
        <w:bottom w:val="none" w:sz="0" w:space="0" w:color="auto"/>
        <w:right w:val="none" w:sz="0" w:space="0" w:color="auto"/>
      </w:divBdr>
    </w:div>
    <w:div w:id="433786646">
      <w:bodyDiv w:val="1"/>
      <w:marLeft w:val="0"/>
      <w:marRight w:val="0"/>
      <w:marTop w:val="0"/>
      <w:marBottom w:val="0"/>
      <w:divBdr>
        <w:top w:val="none" w:sz="0" w:space="0" w:color="auto"/>
        <w:left w:val="none" w:sz="0" w:space="0" w:color="auto"/>
        <w:bottom w:val="none" w:sz="0" w:space="0" w:color="auto"/>
        <w:right w:val="none" w:sz="0" w:space="0" w:color="auto"/>
      </w:divBdr>
    </w:div>
    <w:div w:id="606502616">
      <w:bodyDiv w:val="1"/>
      <w:marLeft w:val="0"/>
      <w:marRight w:val="0"/>
      <w:marTop w:val="0"/>
      <w:marBottom w:val="0"/>
      <w:divBdr>
        <w:top w:val="none" w:sz="0" w:space="0" w:color="auto"/>
        <w:left w:val="none" w:sz="0" w:space="0" w:color="auto"/>
        <w:bottom w:val="none" w:sz="0" w:space="0" w:color="auto"/>
        <w:right w:val="none" w:sz="0" w:space="0" w:color="auto"/>
      </w:divBdr>
    </w:div>
    <w:div w:id="606742131">
      <w:bodyDiv w:val="1"/>
      <w:marLeft w:val="0"/>
      <w:marRight w:val="0"/>
      <w:marTop w:val="0"/>
      <w:marBottom w:val="0"/>
      <w:divBdr>
        <w:top w:val="none" w:sz="0" w:space="0" w:color="auto"/>
        <w:left w:val="none" w:sz="0" w:space="0" w:color="auto"/>
        <w:bottom w:val="none" w:sz="0" w:space="0" w:color="auto"/>
        <w:right w:val="none" w:sz="0" w:space="0" w:color="auto"/>
      </w:divBdr>
    </w:div>
    <w:div w:id="897937259">
      <w:bodyDiv w:val="1"/>
      <w:marLeft w:val="0"/>
      <w:marRight w:val="0"/>
      <w:marTop w:val="0"/>
      <w:marBottom w:val="0"/>
      <w:divBdr>
        <w:top w:val="none" w:sz="0" w:space="0" w:color="auto"/>
        <w:left w:val="none" w:sz="0" w:space="0" w:color="auto"/>
        <w:bottom w:val="none" w:sz="0" w:space="0" w:color="auto"/>
        <w:right w:val="none" w:sz="0" w:space="0" w:color="auto"/>
      </w:divBdr>
    </w:div>
    <w:div w:id="925696424">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953247081">
      <w:bodyDiv w:val="1"/>
      <w:marLeft w:val="0"/>
      <w:marRight w:val="0"/>
      <w:marTop w:val="0"/>
      <w:marBottom w:val="0"/>
      <w:divBdr>
        <w:top w:val="none" w:sz="0" w:space="0" w:color="auto"/>
        <w:left w:val="none" w:sz="0" w:space="0" w:color="auto"/>
        <w:bottom w:val="none" w:sz="0" w:space="0" w:color="auto"/>
        <w:right w:val="none" w:sz="0" w:space="0" w:color="auto"/>
      </w:divBdr>
    </w:div>
    <w:div w:id="1166824181">
      <w:bodyDiv w:val="1"/>
      <w:marLeft w:val="0"/>
      <w:marRight w:val="0"/>
      <w:marTop w:val="0"/>
      <w:marBottom w:val="0"/>
      <w:divBdr>
        <w:top w:val="none" w:sz="0" w:space="0" w:color="auto"/>
        <w:left w:val="none" w:sz="0" w:space="0" w:color="auto"/>
        <w:bottom w:val="none" w:sz="0" w:space="0" w:color="auto"/>
        <w:right w:val="none" w:sz="0" w:space="0" w:color="auto"/>
      </w:divBdr>
    </w:div>
    <w:div w:id="1269460612">
      <w:bodyDiv w:val="1"/>
      <w:marLeft w:val="0"/>
      <w:marRight w:val="0"/>
      <w:marTop w:val="0"/>
      <w:marBottom w:val="0"/>
      <w:divBdr>
        <w:top w:val="none" w:sz="0" w:space="0" w:color="auto"/>
        <w:left w:val="none" w:sz="0" w:space="0" w:color="auto"/>
        <w:bottom w:val="none" w:sz="0" w:space="0" w:color="auto"/>
        <w:right w:val="none" w:sz="0" w:space="0" w:color="auto"/>
      </w:divBdr>
    </w:div>
    <w:div w:id="1272472413">
      <w:bodyDiv w:val="1"/>
      <w:marLeft w:val="0"/>
      <w:marRight w:val="0"/>
      <w:marTop w:val="0"/>
      <w:marBottom w:val="0"/>
      <w:divBdr>
        <w:top w:val="none" w:sz="0" w:space="0" w:color="auto"/>
        <w:left w:val="none" w:sz="0" w:space="0" w:color="auto"/>
        <w:bottom w:val="none" w:sz="0" w:space="0" w:color="auto"/>
        <w:right w:val="none" w:sz="0" w:space="0" w:color="auto"/>
      </w:divBdr>
    </w:div>
    <w:div w:id="1700473075">
      <w:bodyDiv w:val="1"/>
      <w:marLeft w:val="0"/>
      <w:marRight w:val="0"/>
      <w:marTop w:val="0"/>
      <w:marBottom w:val="0"/>
      <w:divBdr>
        <w:top w:val="none" w:sz="0" w:space="0" w:color="auto"/>
        <w:left w:val="none" w:sz="0" w:space="0" w:color="auto"/>
        <w:bottom w:val="none" w:sz="0" w:space="0" w:color="auto"/>
        <w:right w:val="none" w:sz="0" w:space="0" w:color="auto"/>
      </w:divBdr>
    </w:div>
    <w:div w:id="1884901026">
      <w:bodyDiv w:val="1"/>
      <w:marLeft w:val="0"/>
      <w:marRight w:val="0"/>
      <w:marTop w:val="0"/>
      <w:marBottom w:val="0"/>
      <w:divBdr>
        <w:top w:val="none" w:sz="0" w:space="0" w:color="auto"/>
        <w:left w:val="none" w:sz="0" w:space="0" w:color="auto"/>
        <w:bottom w:val="none" w:sz="0" w:space="0" w:color="auto"/>
        <w:right w:val="none" w:sz="0" w:space="0" w:color="auto"/>
      </w:divBdr>
    </w:div>
    <w:div w:id="2053839845">
      <w:bodyDiv w:val="1"/>
      <w:marLeft w:val="0"/>
      <w:marRight w:val="0"/>
      <w:marTop w:val="0"/>
      <w:marBottom w:val="0"/>
      <w:divBdr>
        <w:top w:val="none" w:sz="0" w:space="0" w:color="auto"/>
        <w:left w:val="none" w:sz="0" w:space="0" w:color="auto"/>
        <w:bottom w:val="none" w:sz="0" w:space="0" w:color="auto"/>
        <w:right w:val="none" w:sz="0" w:space="0" w:color="auto"/>
      </w:divBdr>
    </w:div>
    <w:div w:id="20952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UKcreditors@alix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9</cp:revision>
  <cp:lastPrinted>2023-11-01T08:35:00Z</cp:lastPrinted>
  <dcterms:created xsi:type="dcterms:W3CDTF">2024-09-11T10:30:00Z</dcterms:created>
  <dcterms:modified xsi:type="dcterms:W3CDTF">2024-09-30T08:21:00Z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