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F66B2" w14:textId="77777777" w:rsidR="009220F3" w:rsidRPr="00FD2156" w:rsidRDefault="009220F3" w:rsidP="009220F3">
      <w:pPr>
        <w:rPr>
          <w:kern w:val="0"/>
          <w14:ligatures w14:val="none"/>
        </w:rPr>
      </w:pPr>
      <w:r w:rsidRPr="00FD2156">
        <w:rPr>
          <w:rFonts w:ascii="Times New Roman"/>
          <w:noProof/>
          <w:kern w:val="0"/>
          <w14:ligatures w14:val="none"/>
        </w:rPr>
        <w:drawing>
          <wp:inline distT="0" distB="0" distL="0" distR="0" wp14:anchorId="173E63AA" wp14:editId="4F823D2F">
            <wp:extent cx="1514756" cy="795527"/>
            <wp:effectExtent l="0" t="0" r="0" b="0"/>
            <wp:docPr id="1397644183"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44183" name="image1.png" descr="A black and white logo&#10;&#10;Description automatically generated"/>
                    <pic:cNvPicPr/>
                  </pic:nvPicPr>
                  <pic:blipFill>
                    <a:blip r:embed="rId8" cstate="print"/>
                    <a:stretch>
                      <a:fillRect/>
                    </a:stretch>
                  </pic:blipFill>
                  <pic:spPr>
                    <a:xfrm>
                      <a:off x="0" y="0"/>
                      <a:ext cx="1514756" cy="795527"/>
                    </a:xfrm>
                    <a:prstGeom prst="rect">
                      <a:avLst/>
                    </a:prstGeom>
                  </pic:spPr>
                </pic:pic>
              </a:graphicData>
            </a:graphic>
          </wp:inline>
        </w:drawing>
      </w:r>
    </w:p>
    <w:p w14:paraId="45D37961" w14:textId="77777777" w:rsidR="009220F3" w:rsidRPr="00FD2156" w:rsidRDefault="009220F3" w:rsidP="009220F3">
      <w:pPr>
        <w:rPr>
          <w:kern w:val="0"/>
          <w14:ligatures w14:val="none"/>
        </w:rPr>
      </w:pPr>
    </w:p>
    <w:p w14:paraId="5CE4595A" w14:textId="77777777" w:rsidR="009220F3" w:rsidRPr="00FD2156" w:rsidRDefault="009220F3" w:rsidP="009220F3">
      <w:pPr>
        <w:widowControl w:val="0"/>
        <w:autoSpaceDE w:val="0"/>
        <w:autoSpaceDN w:val="0"/>
        <w:spacing w:before="92"/>
        <w:ind w:left="3076"/>
        <w:jc w:val="right"/>
        <w:outlineLvl w:val="0"/>
        <w:rPr>
          <w:rFonts w:ascii="Arial" w:eastAsia="Arial" w:hAnsi="Arial" w:cs="Arial"/>
          <w:b/>
          <w:bCs/>
          <w:kern w:val="0"/>
          <w:sz w:val="22"/>
          <w:szCs w:val="22"/>
          <w14:ligatures w14:val="none"/>
        </w:rPr>
      </w:pPr>
      <w:r w:rsidRPr="00FD2156">
        <w:rPr>
          <w:rFonts w:ascii="Arial" w:eastAsia="Arial" w:hAnsi="Arial" w:cs="Arial"/>
          <w:b/>
          <w:bCs/>
          <w:kern w:val="0"/>
          <w:sz w:val="22"/>
          <w:szCs w:val="22"/>
          <w14:ligatures w14:val="none"/>
        </w:rPr>
        <w:t>Rule 14.35 Insolvency (England and Wales) Rules 2016</w:t>
      </w:r>
    </w:p>
    <w:p w14:paraId="3F44A6BD" w14:textId="77777777" w:rsidR="009220F3" w:rsidRPr="00FD2156" w:rsidRDefault="009220F3" w:rsidP="009220F3">
      <w:pPr>
        <w:widowControl w:val="0"/>
        <w:autoSpaceDE w:val="0"/>
        <w:autoSpaceDN w:val="0"/>
        <w:spacing w:before="176"/>
        <w:jc w:val="right"/>
        <w:rPr>
          <w:rFonts w:ascii="Arial" w:eastAsia="Arial" w:hAnsi="Arial" w:cs="Arial"/>
          <w:b/>
          <w:kern w:val="0"/>
          <w:sz w:val="22"/>
          <w:szCs w:val="22"/>
          <w14:ligatures w14:val="none"/>
        </w:rPr>
      </w:pPr>
      <w:r w:rsidRPr="00FD2156">
        <w:rPr>
          <w:rFonts w:ascii="Arial" w:eastAsia="Arial" w:hAnsi="Arial" w:cs="Arial"/>
          <w:b/>
          <w:kern w:val="0"/>
          <w:sz w:val="22"/>
          <w:szCs w:val="22"/>
          <w14:ligatures w14:val="none"/>
        </w:rPr>
        <w:t>Notice by the Official Receiver and Liquidator</w:t>
      </w:r>
    </w:p>
    <w:p w14:paraId="47BD80B8" w14:textId="77777777" w:rsidR="009220F3" w:rsidRPr="00FD2156" w:rsidRDefault="009220F3" w:rsidP="009220F3">
      <w:pPr>
        <w:widowControl w:val="0"/>
        <w:autoSpaceDE w:val="0"/>
        <w:autoSpaceDN w:val="0"/>
        <w:rPr>
          <w:rFonts w:ascii="Arial" w:eastAsia="Arial" w:hAnsi="Arial" w:cs="Arial"/>
          <w:b/>
          <w:kern w:val="0"/>
          <w:szCs w:val="22"/>
          <w14:ligatures w14:val="none"/>
        </w:rPr>
      </w:pPr>
    </w:p>
    <w:p w14:paraId="4BFFE770" w14:textId="77777777" w:rsidR="009220F3" w:rsidRPr="00FD2156" w:rsidRDefault="009220F3" w:rsidP="009220F3">
      <w:pPr>
        <w:widowControl w:val="0"/>
        <w:autoSpaceDE w:val="0"/>
        <w:autoSpaceDN w:val="0"/>
        <w:rPr>
          <w:rFonts w:ascii="Arial" w:eastAsia="Arial" w:hAnsi="Arial" w:cs="Arial"/>
          <w:b/>
          <w:kern w:val="0"/>
          <w:szCs w:val="22"/>
          <w14:ligatures w14:val="none"/>
        </w:rPr>
      </w:pPr>
    </w:p>
    <w:p w14:paraId="335E904D" w14:textId="77777777" w:rsidR="009220F3" w:rsidRPr="00FD2156" w:rsidRDefault="009220F3" w:rsidP="009220F3">
      <w:pPr>
        <w:widowControl w:val="0"/>
        <w:autoSpaceDE w:val="0"/>
        <w:autoSpaceDN w:val="0"/>
        <w:rPr>
          <w:rFonts w:ascii="Arial" w:eastAsia="Arial" w:hAnsi="Arial" w:cs="Arial"/>
          <w:b/>
          <w:kern w:val="0"/>
          <w:szCs w:val="22"/>
          <w14:ligatures w14:val="none"/>
        </w:rPr>
      </w:pPr>
    </w:p>
    <w:p w14:paraId="4DD2A0EE" w14:textId="77777777" w:rsidR="009220F3" w:rsidRPr="00FD2156" w:rsidRDefault="009220F3" w:rsidP="009220F3">
      <w:pPr>
        <w:widowControl w:val="0"/>
        <w:autoSpaceDE w:val="0"/>
        <w:autoSpaceDN w:val="0"/>
        <w:spacing w:before="2"/>
        <w:rPr>
          <w:rFonts w:ascii="Arial" w:eastAsia="Arial" w:hAnsi="Arial" w:cs="Arial"/>
          <w:b/>
          <w:kern w:val="0"/>
          <w:szCs w:val="22"/>
          <w14:ligatures w14:val="none"/>
        </w:rPr>
      </w:pPr>
    </w:p>
    <w:p w14:paraId="2474A4D4" w14:textId="77777777" w:rsidR="009220F3" w:rsidRPr="00FD2156" w:rsidRDefault="009220F3" w:rsidP="009220F3">
      <w:pPr>
        <w:widowControl w:val="0"/>
        <w:autoSpaceDE w:val="0"/>
        <w:autoSpaceDN w:val="0"/>
        <w:spacing w:before="93" w:line="408" w:lineRule="auto"/>
        <w:ind w:left="154" w:right="5730"/>
        <w:rPr>
          <w:rFonts w:ascii="Arial" w:eastAsia="Arial" w:hAnsi="Arial" w:cs="Arial"/>
          <w:b/>
          <w:kern w:val="0"/>
          <w:sz w:val="22"/>
          <w:szCs w:val="22"/>
          <w14:ligatures w14:val="none"/>
        </w:rPr>
      </w:pPr>
      <w:r w:rsidRPr="00FD2156">
        <w:rPr>
          <w:rFonts w:ascii="Arial" w:eastAsia="Arial" w:hAnsi="Arial" w:cs="Arial"/>
          <w:b/>
          <w:kern w:val="0"/>
          <w:sz w:val="22"/>
          <w:szCs w:val="22"/>
          <w14:ligatures w14:val="none"/>
        </w:rPr>
        <w:t>THE INSOLVENCY ACT 1986 HIGH COURT OF JUSTICE</w:t>
      </w:r>
    </w:p>
    <w:p w14:paraId="29E40EBE" w14:textId="77777777" w:rsidR="009220F3" w:rsidRPr="00FD2156" w:rsidRDefault="009220F3" w:rsidP="009220F3">
      <w:pPr>
        <w:widowControl w:val="0"/>
        <w:autoSpaceDE w:val="0"/>
        <w:autoSpaceDN w:val="0"/>
        <w:spacing w:before="10"/>
        <w:ind w:left="154"/>
        <w:rPr>
          <w:rFonts w:ascii="Arial" w:eastAsia="Arial" w:hAnsi="Arial" w:cs="Arial"/>
          <w:b/>
          <w:kern w:val="0"/>
          <w:sz w:val="22"/>
          <w:szCs w:val="22"/>
          <w14:ligatures w14:val="none"/>
        </w:rPr>
      </w:pPr>
      <w:r w:rsidRPr="00FD2156">
        <w:rPr>
          <w:rFonts w:ascii="Arial" w:eastAsia="Arial" w:hAnsi="Arial" w:cs="Arial"/>
          <w:b/>
          <w:kern w:val="0"/>
          <w:sz w:val="22"/>
          <w:szCs w:val="22"/>
          <w14:ligatures w14:val="none"/>
        </w:rPr>
        <w:t>BUSINESS AND PROPERTY COURTS OF ENGLAND AND WALES</w:t>
      </w:r>
    </w:p>
    <w:p w14:paraId="2D164B91" w14:textId="21B73F5C" w:rsidR="009220F3" w:rsidRPr="00FD2156" w:rsidRDefault="009220F3" w:rsidP="009220F3">
      <w:pPr>
        <w:widowControl w:val="0"/>
        <w:autoSpaceDE w:val="0"/>
        <w:autoSpaceDN w:val="0"/>
        <w:spacing w:before="176" w:line="266" w:lineRule="auto"/>
        <w:ind w:left="154" w:right="512"/>
        <w:rPr>
          <w:rFonts w:ascii="Arial" w:eastAsia="Arial" w:hAnsi="Arial" w:cs="Arial"/>
          <w:b/>
          <w:kern w:val="0"/>
          <w:sz w:val="22"/>
          <w:szCs w:val="22"/>
          <w14:ligatures w14:val="none"/>
        </w:rPr>
      </w:pPr>
      <w:r w:rsidRPr="00FD2156">
        <w:rPr>
          <w:rFonts w:ascii="Arial" w:eastAsia="Arial" w:hAnsi="Arial" w:cs="Arial"/>
          <w:b/>
          <w:kern w:val="0"/>
          <w:sz w:val="22"/>
          <w:szCs w:val="22"/>
          <w14:ligatures w14:val="none"/>
        </w:rPr>
        <w:t xml:space="preserve">NOTICE OF DECLARATION OF A DIVIDEND BY THE OFFICIAL RECEIVER AND LIQUIDATOR FOR </w:t>
      </w:r>
      <w:r>
        <w:rPr>
          <w:rFonts w:ascii="Arial" w:eastAsia="Arial" w:hAnsi="Arial" w:cs="Arial"/>
          <w:b/>
          <w:kern w:val="0"/>
          <w:sz w:val="22"/>
          <w:szCs w:val="22"/>
          <w14:ligatures w14:val="none"/>
        </w:rPr>
        <w:t>TCCT RETAIL LIMITED</w:t>
      </w:r>
      <w:r w:rsidRPr="00FD2156">
        <w:rPr>
          <w:rFonts w:ascii="Arial" w:eastAsia="Arial" w:hAnsi="Arial" w:cs="Arial"/>
          <w:b/>
          <w:kern w:val="0"/>
          <w:sz w:val="22"/>
          <w:szCs w:val="22"/>
          <w14:ligatures w14:val="none"/>
        </w:rPr>
        <w:t xml:space="preserve"> (IN LIQUIDATION)</w:t>
      </w:r>
    </w:p>
    <w:p w14:paraId="4B5DCA86" w14:textId="77777777" w:rsidR="009220F3" w:rsidRPr="00FD2156" w:rsidRDefault="009220F3" w:rsidP="009220F3">
      <w:pPr>
        <w:widowControl w:val="0"/>
        <w:autoSpaceDE w:val="0"/>
        <w:autoSpaceDN w:val="0"/>
        <w:rPr>
          <w:rFonts w:ascii="Arial" w:eastAsia="Arial" w:hAnsi="Arial" w:cs="Arial"/>
          <w:b/>
          <w:kern w:val="0"/>
          <w:sz w:val="24"/>
          <w:szCs w:val="22"/>
          <w14:ligatures w14:val="none"/>
        </w:rPr>
      </w:pPr>
    </w:p>
    <w:p w14:paraId="682F5024" w14:textId="77777777" w:rsidR="009220F3" w:rsidRPr="00FD2156" w:rsidRDefault="009220F3" w:rsidP="009220F3">
      <w:pPr>
        <w:widowControl w:val="0"/>
        <w:autoSpaceDE w:val="0"/>
        <w:autoSpaceDN w:val="0"/>
        <w:spacing w:before="5"/>
        <w:rPr>
          <w:rFonts w:ascii="Arial" w:eastAsia="Arial" w:hAnsi="Arial" w:cs="Arial"/>
          <w:b/>
          <w:kern w:val="0"/>
          <w:sz w:val="26"/>
          <w:szCs w:val="22"/>
          <w14:ligatures w14:val="none"/>
        </w:rPr>
      </w:pPr>
    </w:p>
    <w:p w14:paraId="7A2270A2" w14:textId="715837FB" w:rsidR="009220F3" w:rsidRPr="00FD2156" w:rsidRDefault="009220F3" w:rsidP="009220F3">
      <w:pPr>
        <w:widowControl w:val="0"/>
        <w:autoSpaceDE w:val="0"/>
        <w:autoSpaceDN w:val="0"/>
        <w:spacing w:line="266" w:lineRule="auto"/>
        <w:ind w:left="154" w:right="686"/>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On 23 September 2019, a winding up order was made against</w:t>
      </w:r>
      <w:r>
        <w:rPr>
          <w:rFonts w:ascii="Arial" w:eastAsia="Arial" w:hAnsi="Arial" w:cs="Arial"/>
          <w:kern w:val="0"/>
          <w:sz w:val="22"/>
          <w:szCs w:val="22"/>
          <w14:ligatures w14:val="none"/>
        </w:rPr>
        <w:t xml:space="preserve"> TCCT</w:t>
      </w:r>
      <w:r w:rsidRPr="00FD2156">
        <w:rPr>
          <w:rFonts w:ascii="Arial" w:eastAsia="Arial" w:hAnsi="Arial" w:cs="Arial"/>
          <w:kern w:val="0"/>
          <w:sz w:val="22"/>
          <w:szCs w:val="22"/>
          <w14:ligatures w14:val="none"/>
        </w:rPr>
        <w:t xml:space="preserve"> Retail Limited (the "</w:t>
      </w:r>
      <w:r w:rsidRPr="00FD2156">
        <w:rPr>
          <w:rFonts w:ascii="Arial" w:eastAsia="Arial" w:hAnsi="Arial" w:cs="Arial"/>
          <w:b/>
          <w:kern w:val="0"/>
          <w:sz w:val="22"/>
          <w:szCs w:val="22"/>
          <w14:ligatures w14:val="none"/>
        </w:rPr>
        <w:t>Company</w:t>
      </w:r>
      <w:r w:rsidRPr="00FD2156">
        <w:rPr>
          <w:rFonts w:ascii="Arial" w:eastAsia="Arial" w:hAnsi="Arial" w:cs="Arial"/>
          <w:kern w:val="0"/>
          <w:sz w:val="22"/>
          <w:szCs w:val="22"/>
          <w14:ligatures w14:val="none"/>
        </w:rPr>
        <w:t>") on the petition of the Company’s directors, which was presented on the same date.</w:t>
      </w:r>
    </w:p>
    <w:p w14:paraId="1647E4D9" w14:textId="34A8962E" w:rsidR="009220F3" w:rsidRDefault="009220F3" w:rsidP="009220F3">
      <w:pPr>
        <w:widowControl w:val="0"/>
        <w:autoSpaceDE w:val="0"/>
        <w:autoSpaceDN w:val="0"/>
        <w:spacing w:before="148" w:line="266" w:lineRule="auto"/>
        <w:ind w:left="154" w:right="536"/>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The Official Receiver was appointed Liquidator by the Court. The Court also appointed</w:t>
      </w:r>
      <w:r w:rsidR="003347C1">
        <w:rPr>
          <w:rFonts w:ascii="Arial" w:eastAsia="Arial" w:hAnsi="Arial" w:cs="Arial"/>
          <w:kern w:val="0"/>
          <w:sz w:val="22"/>
          <w:szCs w:val="22"/>
          <w14:ligatures w14:val="none"/>
        </w:rPr>
        <w:t xml:space="preserve"> </w:t>
      </w:r>
      <w:r w:rsidRPr="003347C1">
        <w:rPr>
          <w:rFonts w:ascii="Arial" w:eastAsia="Arial" w:hAnsi="Arial" w:cs="Arial"/>
          <w:kern w:val="0"/>
          <w:sz w:val="22"/>
          <w:szCs w:val="22"/>
          <w14:ligatures w14:val="none"/>
        </w:rPr>
        <w:t>Blair Nimmo</w:t>
      </w:r>
      <w:r w:rsidRPr="003B355A">
        <w:rPr>
          <w:rFonts w:ascii="Arial" w:eastAsia="Arial" w:hAnsi="Arial" w:cs="Arial"/>
          <w:kern w:val="0"/>
          <w:sz w:val="22"/>
          <w:szCs w:val="22"/>
          <w14:ligatures w14:val="none"/>
        </w:rPr>
        <w:t>, Jim Tucker and David Pike of Interpath Advisory</w:t>
      </w:r>
      <w:r w:rsidRPr="00FD2156">
        <w:rPr>
          <w:rFonts w:ascii="Arial" w:eastAsia="Arial" w:hAnsi="Arial" w:cs="Arial"/>
          <w:kern w:val="0"/>
          <w:sz w:val="22"/>
          <w:szCs w:val="22"/>
          <w14:ligatures w14:val="none"/>
        </w:rPr>
        <w:t xml:space="preserve"> (the "</w:t>
      </w:r>
      <w:r w:rsidRPr="00FD2156">
        <w:rPr>
          <w:rFonts w:ascii="Arial" w:eastAsia="Arial" w:hAnsi="Arial" w:cs="Arial"/>
          <w:b/>
          <w:kern w:val="0"/>
          <w:sz w:val="22"/>
          <w:szCs w:val="22"/>
          <w14:ligatures w14:val="none"/>
        </w:rPr>
        <w:t>Special Managers</w:t>
      </w:r>
      <w:r w:rsidRPr="00FD2156">
        <w:rPr>
          <w:rFonts w:ascii="Arial" w:eastAsia="Arial" w:hAnsi="Arial" w:cs="Arial"/>
          <w:kern w:val="0"/>
          <w:sz w:val="22"/>
          <w:szCs w:val="22"/>
          <w14:ligatures w14:val="none"/>
        </w:rPr>
        <w:t xml:space="preserve">") as Special Managers, to assist the Official Receiver and Liquidator in managing the affairs, business and property of the Company. </w:t>
      </w:r>
    </w:p>
    <w:p w14:paraId="5AE99AE9" w14:textId="26674CAC" w:rsidR="003347C1" w:rsidRPr="00FD2156" w:rsidRDefault="003347C1" w:rsidP="003347C1">
      <w:pPr>
        <w:widowControl w:val="0"/>
        <w:autoSpaceDE w:val="0"/>
        <w:autoSpaceDN w:val="0"/>
        <w:spacing w:before="148" w:line="266" w:lineRule="auto"/>
        <w:ind w:left="154" w:right="536"/>
        <w:rPr>
          <w:rFonts w:ascii="Arial" w:eastAsia="Arial" w:hAnsi="Arial" w:cs="Arial"/>
          <w:kern w:val="0"/>
          <w:sz w:val="22"/>
          <w:szCs w:val="22"/>
          <w14:ligatures w14:val="none"/>
        </w:rPr>
      </w:pPr>
      <w:r w:rsidRPr="003347C1">
        <w:rPr>
          <w:rFonts w:ascii="Arial" w:eastAsia="Arial" w:hAnsi="Arial" w:cs="Arial"/>
          <w:kern w:val="0"/>
          <w:sz w:val="22"/>
          <w:szCs w:val="22"/>
          <w14:ligatures w14:val="none"/>
        </w:rPr>
        <w:t>Blair Nimmo resigned as Special Manager with effect from 19th September 2024. </w:t>
      </w:r>
    </w:p>
    <w:p w14:paraId="5F23252F" w14:textId="115F237F"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This notice contains further information in relation to the first and final unsecured dividend declared and distributed on</w:t>
      </w:r>
      <w:r w:rsidR="00B767C7">
        <w:rPr>
          <w:rFonts w:ascii="Arial" w:eastAsia="Arial" w:hAnsi="Arial" w:cs="Arial"/>
          <w:kern w:val="0"/>
          <w:sz w:val="22"/>
          <w:szCs w:val="22"/>
          <w14:ligatures w14:val="none"/>
        </w:rPr>
        <w:t xml:space="preserve"> 1 October 2024, </w:t>
      </w:r>
      <w:r w:rsidRPr="00FD2156">
        <w:rPr>
          <w:rFonts w:ascii="Arial" w:eastAsia="Arial" w:hAnsi="Arial" w:cs="Arial"/>
          <w:kern w:val="0"/>
          <w:sz w:val="22"/>
          <w:szCs w:val="22"/>
          <w14:ligatures w14:val="none"/>
        </w:rPr>
        <w:t>as required by Rule 14.35 of the Insolvency (England and Wales) Rules 2016.</w:t>
      </w:r>
    </w:p>
    <w:p w14:paraId="6256596F" w14:textId="77777777" w:rsidR="009220F3" w:rsidRPr="00FD2156" w:rsidRDefault="009220F3" w:rsidP="009220F3">
      <w:pPr>
        <w:widowControl w:val="0"/>
        <w:autoSpaceDE w:val="0"/>
        <w:autoSpaceDN w:val="0"/>
        <w:spacing w:before="81"/>
        <w:ind w:left="155"/>
        <w:outlineLvl w:val="0"/>
        <w:rPr>
          <w:rFonts w:ascii="Arial" w:eastAsia="Arial" w:hAnsi="Arial" w:cs="Arial"/>
          <w:b/>
          <w:bCs/>
          <w:kern w:val="0"/>
          <w:sz w:val="22"/>
          <w:szCs w:val="22"/>
          <w14:ligatures w14:val="none"/>
        </w:rPr>
      </w:pPr>
    </w:p>
    <w:p w14:paraId="25B1DD9A" w14:textId="77777777" w:rsidR="009220F3" w:rsidRPr="00FD2156" w:rsidRDefault="009220F3" w:rsidP="009220F3">
      <w:pPr>
        <w:widowControl w:val="0"/>
        <w:autoSpaceDE w:val="0"/>
        <w:autoSpaceDN w:val="0"/>
        <w:spacing w:before="81"/>
        <w:ind w:left="155"/>
        <w:outlineLvl w:val="0"/>
        <w:rPr>
          <w:rFonts w:ascii="Arial" w:eastAsia="Arial" w:hAnsi="Arial" w:cs="Arial"/>
          <w:b/>
          <w:bCs/>
          <w:kern w:val="0"/>
          <w:sz w:val="22"/>
          <w:szCs w:val="22"/>
          <w14:ligatures w14:val="none"/>
        </w:rPr>
      </w:pPr>
      <w:r w:rsidRPr="00FD2156">
        <w:rPr>
          <w:rFonts w:ascii="Arial" w:eastAsia="Arial" w:hAnsi="Arial" w:cs="Arial"/>
          <w:b/>
          <w:bCs/>
          <w:kern w:val="0"/>
          <w:sz w:val="22"/>
          <w:szCs w:val="22"/>
          <w14:ligatures w14:val="none"/>
        </w:rPr>
        <w:t>ASSETS AND DISTRIBUTION</w:t>
      </w:r>
    </w:p>
    <w:p w14:paraId="338F3476" w14:textId="77777777" w:rsidR="009220F3" w:rsidRPr="00FD2156" w:rsidRDefault="009220F3" w:rsidP="009220F3">
      <w:pPr>
        <w:widowControl w:val="0"/>
        <w:autoSpaceDE w:val="0"/>
        <w:autoSpaceDN w:val="0"/>
        <w:spacing w:before="153" w:line="266" w:lineRule="auto"/>
        <w:ind w:left="155" w:right="312"/>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 xml:space="preserve">The assets available to the creditors of the Company are sufficient to enable the Company to issue a first and final dividend to its unsecured creditors. </w:t>
      </w:r>
    </w:p>
    <w:p w14:paraId="17DC72B4" w14:textId="465BCA7A" w:rsidR="009220F3" w:rsidRPr="00FD2156" w:rsidRDefault="009220F3" w:rsidP="009220F3">
      <w:pPr>
        <w:widowControl w:val="0"/>
        <w:autoSpaceDE w:val="0"/>
        <w:autoSpaceDN w:val="0"/>
        <w:spacing w:before="153" w:line="266" w:lineRule="auto"/>
        <w:ind w:left="155" w:right="312"/>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The funds distributed to unsecured creditors on</w:t>
      </w:r>
      <w:r w:rsidR="00B767C7">
        <w:rPr>
          <w:rFonts w:ascii="Arial" w:eastAsia="Arial" w:hAnsi="Arial" w:cs="Arial"/>
          <w:kern w:val="0"/>
          <w:sz w:val="22"/>
          <w:szCs w:val="22"/>
          <w14:ligatures w14:val="none"/>
        </w:rPr>
        <w:t xml:space="preserve"> 1 October 2024 </w:t>
      </w:r>
      <w:proofErr w:type="spellStart"/>
      <w:r w:rsidRPr="00FD2156">
        <w:rPr>
          <w:rFonts w:ascii="Arial" w:eastAsia="Arial" w:hAnsi="Arial" w:cs="Arial"/>
          <w:kern w:val="0"/>
          <w:sz w:val="22"/>
          <w:szCs w:val="22"/>
          <w14:ligatures w14:val="none"/>
        </w:rPr>
        <w:t>totalled</w:t>
      </w:r>
      <w:proofErr w:type="spellEnd"/>
      <w:r w:rsidRPr="00FD2156">
        <w:rPr>
          <w:rFonts w:ascii="Arial" w:eastAsia="Arial" w:hAnsi="Arial" w:cs="Arial"/>
          <w:kern w:val="0"/>
          <w:sz w:val="22"/>
          <w:szCs w:val="22"/>
          <w14:ligatures w14:val="none"/>
        </w:rPr>
        <w:t xml:space="preserve"> </w:t>
      </w:r>
      <w:r w:rsidRPr="009220F3">
        <w:rPr>
          <w:rFonts w:ascii="Arial" w:eastAsia="Arial" w:hAnsi="Arial" w:cs="Arial"/>
          <w:kern w:val="0"/>
          <w:sz w:val="22"/>
          <w:szCs w:val="22"/>
          <w14:ligatures w14:val="none"/>
        </w:rPr>
        <w:t>£</w:t>
      </w:r>
      <w:r w:rsidR="00387E7A" w:rsidRPr="00387E7A">
        <w:rPr>
          <w:rFonts w:ascii="Arial" w:eastAsia="Arial" w:hAnsi="Arial" w:cs="Arial"/>
          <w:kern w:val="0"/>
          <w:sz w:val="22"/>
          <w:szCs w:val="22"/>
          <w14:ligatures w14:val="none"/>
        </w:rPr>
        <w:t>6,758,993.04</w:t>
      </w:r>
      <w:r w:rsidR="00387E7A">
        <w:rPr>
          <w:rFonts w:ascii="Arial" w:eastAsia="Arial" w:hAnsi="Arial" w:cs="Arial"/>
          <w:kern w:val="0"/>
          <w:sz w:val="22"/>
          <w:szCs w:val="22"/>
          <w14:ligatures w14:val="none"/>
        </w:rPr>
        <w:t xml:space="preserve"> </w:t>
      </w:r>
      <w:r w:rsidRPr="00FD2156">
        <w:rPr>
          <w:rFonts w:ascii="Arial" w:eastAsia="Arial" w:hAnsi="Arial" w:cs="Arial"/>
          <w:kern w:val="0"/>
          <w:sz w:val="22"/>
          <w:szCs w:val="22"/>
          <w14:ligatures w14:val="none"/>
        </w:rPr>
        <w:t>and the rate of the dividend was 0.</w:t>
      </w:r>
      <w:r>
        <w:rPr>
          <w:rFonts w:ascii="Arial" w:eastAsia="Arial" w:hAnsi="Arial" w:cs="Arial"/>
          <w:kern w:val="0"/>
          <w:sz w:val="22"/>
          <w:szCs w:val="22"/>
          <w14:ligatures w14:val="none"/>
        </w:rPr>
        <w:t>26</w:t>
      </w:r>
      <w:r w:rsidRPr="00FD2156">
        <w:rPr>
          <w:rFonts w:ascii="Arial" w:eastAsia="Arial" w:hAnsi="Arial" w:cs="Arial"/>
          <w:kern w:val="0"/>
          <w:sz w:val="22"/>
          <w:szCs w:val="22"/>
          <w14:ligatures w14:val="none"/>
        </w:rPr>
        <w:t xml:space="preserve"> pence in the pound. </w:t>
      </w:r>
    </w:p>
    <w:p w14:paraId="4D8D9FF6" w14:textId="77777777" w:rsidR="00B767C7" w:rsidRDefault="00B767C7" w:rsidP="00B767C7">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68339F3D" w14:textId="77777777" w:rsidR="009220F3" w:rsidRPr="00FD2156" w:rsidRDefault="009220F3" w:rsidP="009220F3">
      <w:pPr>
        <w:widowControl w:val="0"/>
        <w:autoSpaceDE w:val="0"/>
        <w:autoSpaceDN w:val="0"/>
        <w:spacing w:before="153" w:line="266" w:lineRule="auto"/>
        <w:ind w:left="155" w:right="312"/>
        <w:rPr>
          <w:rFonts w:ascii="Arial" w:eastAsia="Arial" w:hAnsi="Arial" w:cs="Arial"/>
          <w:kern w:val="0"/>
          <w:sz w:val="22"/>
          <w:szCs w:val="22"/>
          <w14:ligatures w14:val="none"/>
        </w:rPr>
      </w:pPr>
    </w:p>
    <w:p w14:paraId="1F70D36F" w14:textId="77777777" w:rsidR="009220F3" w:rsidRPr="00FD2156" w:rsidRDefault="009220F3" w:rsidP="009220F3">
      <w:pPr>
        <w:widowControl w:val="0"/>
        <w:autoSpaceDE w:val="0"/>
        <w:autoSpaceDN w:val="0"/>
        <w:spacing w:before="153" w:line="266" w:lineRule="auto"/>
        <w:ind w:left="155" w:right="312"/>
        <w:rPr>
          <w:rFonts w:ascii="Arial" w:eastAsia="Arial" w:hAnsi="Arial" w:cs="Arial"/>
          <w:kern w:val="0"/>
          <w:sz w:val="22"/>
          <w:szCs w:val="22"/>
          <w14:ligatures w14:val="none"/>
        </w:rPr>
      </w:pPr>
    </w:p>
    <w:p w14:paraId="466C0EDC" w14:textId="77777777" w:rsidR="009220F3" w:rsidRPr="00FD2156" w:rsidRDefault="009220F3" w:rsidP="009220F3">
      <w:pPr>
        <w:widowControl w:val="0"/>
        <w:autoSpaceDE w:val="0"/>
        <w:autoSpaceDN w:val="0"/>
        <w:spacing w:before="153" w:line="266" w:lineRule="auto"/>
        <w:ind w:left="155" w:right="312"/>
        <w:rPr>
          <w:rFonts w:ascii="Arial" w:eastAsia="Arial" w:hAnsi="Arial" w:cs="Arial"/>
          <w:kern w:val="0"/>
          <w:sz w:val="22"/>
          <w:szCs w:val="22"/>
          <w14:ligatures w14:val="none"/>
        </w:rPr>
      </w:pPr>
    </w:p>
    <w:p w14:paraId="3A82D6FA" w14:textId="77777777" w:rsidR="009220F3" w:rsidRPr="00FD2156" w:rsidRDefault="009220F3" w:rsidP="009220F3">
      <w:pPr>
        <w:widowControl w:val="0"/>
        <w:autoSpaceDE w:val="0"/>
        <w:autoSpaceDN w:val="0"/>
        <w:spacing w:before="153" w:line="266" w:lineRule="auto"/>
        <w:ind w:left="155" w:right="312"/>
        <w:rPr>
          <w:rFonts w:ascii="Arial" w:eastAsia="Arial" w:hAnsi="Arial" w:cs="Arial"/>
          <w:kern w:val="0"/>
          <w:sz w:val="22"/>
          <w:szCs w:val="22"/>
          <w14:ligatures w14:val="none"/>
        </w:rPr>
      </w:pPr>
    </w:p>
    <w:p w14:paraId="487E127B" w14:textId="77777777" w:rsidR="009220F3" w:rsidRPr="00FD2156" w:rsidRDefault="009220F3" w:rsidP="009220F3">
      <w:pPr>
        <w:widowControl w:val="0"/>
        <w:autoSpaceDE w:val="0"/>
        <w:autoSpaceDN w:val="0"/>
        <w:spacing w:before="153" w:line="266" w:lineRule="auto"/>
        <w:ind w:left="155" w:right="312"/>
        <w:rPr>
          <w:rFonts w:ascii="Arial" w:eastAsia="Arial" w:hAnsi="Arial" w:cs="Arial"/>
          <w:kern w:val="0"/>
          <w:sz w:val="22"/>
          <w:szCs w:val="22"/>
          <w14:ligatures w14:val="none"/>
        </w:rPr>
      </w:pPr>
    </w:p>
    <w:p w14:paraId="2797D479" w14:textId="77777777" w:rsidR="009220F3" w:rsidRPr="00FD2156" w:rsidRDefault="009220F3" w:rsidP="009220F3">
      <w:pPr>
        <w:widowControl w:val="0"/>
        <w:autoSpaceDE w:val="0"/>
        <w:autoSpaceDN w:val="0"/>
        <w:spacing w:before="153" w:line="266" w:lineRule="auto"/>
        <w:ind w:right="312"/>
        <w:rPr>
          <w:rFonts w:ascii="Arial" w:eastAsia="Arial" w:hAnsi="Arial" w:cs="Arial"/>
          <w:kern w:val="0"/>
          <w:sz w:val="22"/>
          <w:szCs w:val="22"/>
          <w14:ligatures w14:val="none"/>
        </w:rPr>
        <w:sectPr w:rsidR="009220F3" w:rsidRPr="00FD2156" w:rsidSect="009220F3">
          <w:headerReference w:type="default" r:id="rId9"/>
          <w:headerReference w:type="first" r:id="rId10"/>
          <w:pgSz w:w="11907" w:h="16840" w:code="9"/>
          <w:pgMar w:top="1418" w:right="1418" w:bottom="0" w:left="1418" w:header="737" w:footer="1064" w:gutter="0"/>
          <w:cols w:space="720"/>
          <w:titlePg/>
          <w:docGrid w:linePitch="360"/>
        </w:sectPr>
      </w:pPr>
    </w:p>
    <w:p w14:paraId="06BEECFE" w14:textId="77777777" w:rsidR="009220F3" w:rsidRPr="00FD2156" w:rsidRDefault="009220F3" w:rsidP="009220F3">
      <w:pPr>
        <w:widowControl w:val="0"/>
        <w:autoSpaceDE w:val="0"/>
        <w:autoSpaceDN w:val="0"/>
        <w:outlineLvl w:val="0"/>
        <w:rPr>
          <w:rFonts w:ascii="Arial" w:eastAsia="Arial" w:hAnsi="Arial" w:cs="Arial"/>
          <w:b/>
          <w:bCs/>
          <w:kern w:val="0"/>
          <w:sz w:val="22"/>
          <w:szCs w:val="22"/>
          <w14:ligatures w14:val="none"/>
        </w:rPr>
      </w:pPr>
      <w:r w:rsidRPr="00FD2156">
        <w:rPr>
          <w:rFonts w:ascii="Arial" w:eastAsia="Arial" w:hAnsi="Arial" w:cs="Arial"/>
          <w:kern w:val="0"/>
          <w:sz w:val="22"/>
          <w:szCs w:val="22"/>
          <w14:ligatures w14:val="none"/>
        </w:rPr>
        <w:lastRenderedPageBreak/>
        <w:t xml:space="preserve">  </w:t>
      </w:r>
      <w:r w:rsidRPr="00FD2156">
        <w:rPr>
          <w:rFonts w:ascii="Arial" w:eastAsia="Arial" w:hAnsi="Arial" w:cs="Arial"/>
          <w:b/>
          <w:bCs/>
          <w:kern w:val="0"/>
          <w:sz w:val="22"/>
          <w:szCs w:val="22"/>
          <w14:ligatures w14:val="none"/>
        </w:rPr>
        <w:t>Keeping you</w:t>
      </w:r>
      <w:r w:rsidRPr="00FD2156">
        <w:rPr>
          <w:rFonts w:ascii="Arial" w:eastAsia="Arial" w:hAnsi="Arial" w:cs="Arial"/>
          <w:b/>
          <w:bCs/>
          <w:spacing w:val="52"/>
          <w:kern w:val="0"/>
          <w:sz w:val="22"/>
          <w:szCs w:val="22"/>
          <w14:ligatures w14:val="none"/>
        </w:rPr>
        <w:t xml:space="preserve"> </w:t>
      </w:r>
      <w:r w:rsidRPr="00FD2156">
        <w:rPr>
          <w:rFonts w:ascii="Arial" w:eastAsia="Arial" w:hAnsi="Arial" w:cs="Arial"/>
          <w:b/>
          <w:bCs/>
          <w:kern w:val="0"/>
          <w:sz w:val="22"/>
          <w:szCs w:val="22"/>
          <w14:ligatures w14:val="none"/>
        </w:rPr>
        <w:t>informed</w:t>
      </w:r>
    </w:p>
    <w:p w14:paraId="6596873D" w14:textId="77777777" w:rsidR="009220F3" w:rsidRPr="00FD2156" w:rsidRDefault="009220F3" w:rsidP="009220F3">
      <w:pPr>
        <w:widowControl w:val="0"/>
        <w:autoSpaceDE w:val="0"/>
        <w:autoSpaceDN w:val="0"/>
        <w:rPr>
          <w:rFonts w:ascii="Arial" w:eastAsia="Arial" w:hAnsi="Arial" w:cs="Arial"/>
          <w:b/>
          <w:kern w:val="0"/>
          <w:sz w:val="23"/>
          <w:szCs w:val="22"/>
          <w14:ligatures w14:val="none"/>
        </w:rPr>
      </w:pPr>
    </w:p>
    <w:p w14:paraId="5ACF2D7D" w14:textId="77777777" w:rsidR="009220F3" w:rsidRPr="00FD2156" w:rsidRDefault="009220F3" w:rsidP="009220F3">
      <w:pPr>
        <w:widowControl w:val="0"/>
        <w:autoSpaceDE w:val="0"/>
        <w:autoSpaceDN w:val="0"/>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 xml:space="preserve">Further updates on the progress of the liquidation are available on </w:t>
      </w:r>
      <w:proofErr w:type="gramStart"/>
      <w:r w:rsidRPr="00FD2156">
        <w:rPr>
          <w:rFonts w:ascii="Arial" w:eastAsia="Arial" w:hAnsi="Arial" w:cs="Arial"/>
          <w:color w:val="0461C1"/>
          <w:kern w:val="0"/>
          <w:sz w:val="22"/>
          <w:szCs w:val="22"/>
          <w:u w:val="single" w:color="0461C1"/>
          <w14:ligatures w14:val="none"/>
        </w:rPr>
        <w:t>GOV.UK</w:t>
      </w:r>
      <w:r w:rsidRPr="00FD2156">
        <w:rPr>
          <w:rFonts w:ascii="Arial" w:eastAsia="Arial" w:hAnsi="Arial" w:cs="Arial"/>
          <w:color w:val="0461C1"/>
          <w:kern w:val="0"/>
          <w:sz w:val="22"/>
          <w:szCs w:val="22"/>
          <w:u w:val="single" w:color="0461C1"/>
          <w:vertAlign w:val="superscript"/>
          <w14:ligatures w14:val="none"/>
        </w:rPr>
        <w:t xml:space="preserve">1 </w:t>
      </w:r>
      <w:r w:rsidRPr="00FD2156">
        <w:rPr>
          <w:rFonts w:ascii="Arial" w:eastAsia="Arial" w:hAnsi="Arial" w:cs="Arial"/>
          <w:color w:val="0461C1"/>
          <w:kern w:val="0"/>
          <w:sz w:val="22"/>
          <w:szCs w:val="22"/>
          <w:u w:val="single" w:color="0461C1"/>
          <w14:ligatures w14:val="none"/>
        </w:rPr>
        <w:t>.</w:t>
      </w:r>
      <w:proofErr w:type="gramEnd"/>
    </w:p>
    <w:p w14:paraId="5910F7B0" w14:textId="77777777" w:rsidR="009220F3" w:rsidRPr="00FD2156" w:rsidRDefault="009220F3" w:rsidP="009220F3">
      <w:pPr>
        <w:widowControl w:val="0"/>
        <w:autoSpaceDE w:val="0"/>
        <w:autoSpaceDN w:val="0"/>
        <w:rPr>
          <w:rFonts w:ascii="Arial" w:eastAsia="Arial" w:hAnsi="Arial" w:cs="Arial"/>
          <w:kern w:val="0"/>
          <w:sz w:val="15"/>
          <w:szCs w:val="22"/>
          <w14:ligatures w14:val="none"/>
        </w:rPr>
      </w:pPr>
    </w:p>
    <w:p w14:paraId="7AFB0EA0" w14:textId="77777777" w:rsidR="009220F3" w:rsidRPr="00FD2156" w:rsidRDefault="009220F3" w:rsidP="009220F3">
      <w:pPr>
        <w:widowControl w:val="0"/>
        <w:autoSpaceDE w:val="0"/>
        <w:autoSpaceDN w:val="0"/>
        <w:spacing w:before="92"/>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 xml:space="preserve">Further information about insolvency procedures is available on </w:t>
      </w:r>
      <w:r w:rsidRPr="00FD2156">
        <w:rPr>
          <w:rFonts w:ascii="Arial" w:eastAsia="Arial" w:hAnsi="Arial" w:cs="Arial"/>
          <w:color w:val="0461C1"/>
          <w:kern w:val="0"/>
          <w:sz w:val="22"/>
          <w:szCs w:val="22"/>
          <w:u w:val="single" w:color="0461C1"/>
          <w14:ligatures w14:val="none"/>
        </w:rPr>
        <w:t>GOV.UK</w:t>
      </w:r>
      <w:r w:rsidRPr="00FD2156">
        <w:rPr>
          <w:rFonts w:ascii="Arial" w:eastAsia="Arial" w:hAnsi="Arial" w:cs="Arial"/>
          <w:kern w:val="0"/>
          <w:sz w:val="22"/>
          <w:szCs w:val="22"/>
          <w14:ligatures w14:val="none"/>
        </w:rPr>
        <w:t>.</w:t>
      </w:r>
    </w:p>
    <w:p w14:paraId="0C6CFB5A" w14:textId="77777777" w:rsidR="009220F3" w:rsidRPr="00FD2156" w:rsidRDefault="009220F3" w:rsidP="009220F3">
      <w:pPr>
        <w:widowControl w:val="0"/>
        <w:autoSpaceDE w:val="0"/>
        <w:autoSpaceDN w:val="0"/>
        <w:ind w:left="155"/>
        <w:rPr>
          <w:rFonts w:ascii="Arial" w:eastAsia="Arial" w:hAnsi="Arial" w:cs="Arial"/>
          <w:kern w:val="0"/>
          <w:sz w:val="22"/>
          <w:szCs w:val="22"/>
          <w14:ligatures w14:val="none"/>
        </w:rPr>
      </w:pPr>
    </w:p>
    <w:p w14:paraId="4BF35C79" w14:textId="77777777" w:rsidR="009220F3" w:rsidRPr="00FD2156" w:rsidRDefault="009220F3" w:rsidP="009220F3">
      <w:pPr>
        <w:widowControl w:val="0"/>
        <w:autoSpaceDE w:val="0"/>
        <w:autoSpaceDN w:val="0"/>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 xml:space="preserve">Should you have any queries regarding the dividend you have received, in the first instance, please contact </w:t>
      </w:r>
      <w:hyperlink r:id="rId11" w:history="1">
        <w:r w:rsidRPr="005176D1">
          <w:rPr>
            <w:rStyle w:val="Hyperlink"/>
            <w:rFonts w:ascii="Arial" w:eastAsia="Arial" w:hAnsi="Arial" w:cs="Arial"/>
            <w:kern w:val="0"/>
            <w:sz w:val="22"/>
            <w:szCs w:val="22"/>
            <w14:ligatures w14:val="none"/>
          </w:rPr>
          <w:t>TCtradecreditors@interpathadvisory.com</w:t>
        </w:r>
      </w:hyperlink>
      <w:r>
        <w:rPr>
          <w:rFonts w:ascii="Arial" w:eastAsia="Arial" w:hAnsi="Arial" w:cs="Arial"/>
          <w:kern w:val="0"/>
          <w:sz w:val="22"/>
          <w:szCs w:val="22"/>
          <w14:ligatures w14:val="none"/>
        </w:rPr>
        <w:t>.</w:t>
      </w:r>
    </w:p>
    <w:p w14:paraId="522F7150" w14:textId="77777777" w:rsidR="009220F3" w:rsidRPr="00FD2156" w:rsidRDefault="009220F3" w:rsidP="009220F3">
      <w:pPr>
        <w:widowControl w:val="0"/>
        <w:autoSpaceDE w:val="0"/>
        <w:autoSpaceDN w:val="0"/>
        <w:spacing w:before="4"/>
        <w:rPr>
          <w:rFonts w:ascii="Arial" w:eastAsia="Arial" w:hAnsi="Arial" w:cs="Arial"/>
          <w:kern w:val="0"/>
          <w:sz w:val="19"/>
          <w:szCs w:val="22"/>
          <w14:ligatures w14:val="none"/>
        </w:rPr>
      </w:pPr>
    </w:p>
    <w:p w14:paraId="011ADE5C" w14:textId="73F0B0CE" w:rsidR="009220F3" w:rsidRPr="00FD2156" w:rsidRDefault="009220F3" w:rsidP="009220F3">
      <w:pPr>
        <w:widowControl w:val="0"/>
        <w:autoSpaceDE w:val="0"/>
        <w:autoSpaceDN w:val="0"/>
        <w:spacing w:before="93"/>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Date</w:t>
      </w:r>
      <w:r w:rsidR="001E68D5">
        <w:rPr>
          <w:rFonts w:ascii="Arial" w:eastAsia="Arial" w:hAnsi="Arial" w:cs="Arial"/>
          <w:kern w:val="0"/>
          <w:sz w:val="22"/>
          <w:szCs w:val="22"/>
          <w14:ligatures w14:val="none"/>
        </w:rPr>
        <w:t>: 1 October 2024</w:t>
      </w:r>
    </w:p>
    <w:p w14:paraId="7ED13028" w14:textId="115222E0" w:rsidR="009220F3" w:rsidRPr="00FD2156" w:rsidRDefault="001E1B37" w:rsidP="009220F3">
      <w:pPr>
        <w:widowControl w:val="0"/>
        <w:autoSpaceDE w:val="0"/>
        <w:autoSpaceDN w:val="0"/>
        <w:rPr>
          <w:noProof/>
          <w:kern w:val="0"/>
          <w14:ligatures w14:val="none"/>
        </w:rPr>
      </w:pPr>
      <w:r w:rsidRPr="006F3200">
        <w:rPr>
          <w:noProof/>
          <w:lang w:val="en-GB"/>
        </w:rPr>
        <w:drawing>
          <wp:anchor distT="0" distB="0" distL="114300" distR="114300" simplePos="0" relativeHeight="251659264" behindDoc="1" locked="0" layoutInCell="1" allowOverlap="1" wp14:anchorId="171097F6" wp14:editId="72A26EC3">
            <wp:simplePos x="0" y="0"/>
            <wp:positionH relativeFrom="column">
              <wp:posOffset>0</wp:posOffset>
            </wp:positionH>
            <wp:positionV relativeFrom="paragraph">
              <wp:posOffset>0</wp:posOffset>
            </wp:positionV>
            <wp:extent cx="1402080" cy="554394"/>
            <wp:effectExtent l="0" t="0" r="7620" b="0"/>
            <wp:wrapNone/>
            <wp:docPr id="82765787"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5787" name="Picture 2" descr="A signature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080" cy="554394"/>
                    </a:xfrm>
                    <a:prstGeom prst="rect">
                      <a:avLst/>
                    </a:prstGeom>
                    <a:noFill/>
                    <a:ln>
                      <a:noFill/>
                    </a:ln>
                  </pic:spPr>
                </pic:pic>
              </a:graphicData>
            </a:graphic>
          </wp:anchor>
        </w:drawing>
      </w:r>
    </w:p>
    <w:p w14:paraId="3A316C56" w14:textId="77777777" w:rsidR="009220F3" w:rsidRPr="00FD2156" w:rsidRDefault="009220F3" w:rsidP="009220F3">
      <w:pPr>
        <w:widowControl w:val="0"/>
        <w:autoSpaceDE w:val="0"/>
        <w:autoSpaceDN w:val="0"/>
        <w:rPr>
          <w:noProof/>
          <w:kern w:val="0"/>
          <w14:ligatures w14:val="none"/>
        </w:rPr>
      </w:pPr>
    </w:p>
    <w:p w14:paraId="151603B9" w14:textId="77777777" w:rsidR="009220F3" w:rsidRPr="00FD2156" w:rsidRDefault="009220F3" w:rsidP="009220F3">
      <w:pPr>
        <w:widowControl w:val="0"/>
        <w:autoSpaceDE w:val="0"/>
        <w:autoSpaceDN w:val="0"/>
        <w:rPr>
          <w:rFonts w:ascii="Arial" w:eastAsia="Arial" w:hAnsi="Arial" w:cs="Arial"/>
          <w:kern w:val="0"/>
          <w:sz w:val="24"/>
          <w:szCs w:val="22"/>
          <w14:ligatures w14:val="none"/>
        </w:rPr>
      </w:pPr>
    </w:p>
    <w:p w14:paraId="089999F1" w14:textId="77777777" w:rsidR="009220F3" w:rsidRPr="00FD2156" w:rsidRDefault="009220F3" w:rsidP="009220F3">
      <w:pPr>
        <w:widowControl w:val="0"/>
        <w:autoSpaceDE w:val="0"/>
        <w:autoSpaceDN w:val="0"/>
        <w:spacing w:before="151"/>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David Chapman</w:t>
      </w:r>
    </w:p>
    <w:p w14:paraId="07B35BD7" w14:textId="77777777" w:rsidR="009220F3" w:rsidRPr="00FD2156" w:rsidRDefault="009220F3" w:rsidP="009220F3">
      <w:pPr>
        <w:widowControl w:val="0"/>
        <w:autoSpaceDE w:val="0"/>
        <w:autoSpaceDN w:val="0"/>
        <w:spacing w:before="26" w:line="259" w:lineRule="auto"/>
        <w:ind w:left="155" w:right="4870"/>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Official Receiver and Liquidator</w:t>
      </w:r>
    </w:p>
    <w:p w14:paraId="5D317651" w14:textId="77777777" w:rsidR="00CC5F48" w:rsidRDefault="009220F3" w:rsidP="009220F3">
      <w:pPr>
        <w:widowControl w:val="0"/>
        <w:autoSpaceDE w:val="0"/>
        <w:autoSpaceDN w:val="0"/>
        <w:spacing w:before="26" w:line="259" w:lineRule="auto"/>
        <w:ind w:left="155" w:right="4870"/>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16</w:t>
      </w:r>
      <w:proofErr w:type="spellStart"/>
      <w:r w:rsidRPr="00FD2156">
        <w:rPr>
          <w:rFonts w:ascii="Arial" w:eastAsia="Arial" w:hAnsi="Arial" w:cs="Arial"/>
          <w:kern w:val="0"/>
          <w:position w:val="8"/>
          <w:sz w:val="15"/>
          <w:szCs w:val="22"/>
          <w14:ligatures w14:val="none"/>
        </w:rPr>
        <w:t>th</w:t>
      </w:r>
      <w:proofErr w:type="spellEnd"/>
      <w:r w:rsidRPr="00FD2156">
        <w:rPr>
          <w:rFonts w:ascii="Arial" w:eastAsia="Arial" w:hAnsi="Arial" w:cs="Arial"/>
          <w:kern w:val="0"/>
          <w:position w:val="8"/>
          <w:sz w:val="15"/>
          <w:szCs w:val="22"/>
          <w14:ligatures w14:val="none"/>
        </w:rPr>
        <w:t xml:space="preserve"> </w:t>
      </w:r>
      <w:r w:rsidRPr="00FD2156">
        <w:rPr>
          <w:rFonts w:ascii="Arial" w:eastAsia="Arial" w:hAnsi="Arial" w:cs="Arial"/>
          <w:kern w:val="0"/>
          <w:sz w:val="22"/>
          <w:szCs w:val="22"/>
          <w14:ligatures w14:val="none"/>
        </w:rPr>
        <w:t xml:space="preserve">Floor, 1 Westfield Avenue </w:t>
      </w:r>
    </w:p>
    <w:p w14:paraId="06D6FDCF" w14:textId="35356A08" w:rsidR="009220F3" w:rsidRPr="00FD2156" w:rsidRDefault="009220F3" w:rsidP="009220F3">
      <w:pPr>
        <w:widowControl w:val="0"/>
        <w:autoSpaceDE w:val="0"/>
        <w:autoSpaceDN w:val="0"/>
        <w:spacing w:before="26" w:line="259" w:lineRule="auto"/>
        <w:ind w:left="155" w:right="4870"/>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Stratford</w:t>
      </w:r>
    </w:p>
    <w:p w14:paraId="00D3923E" w14:textId="77777777" w:rsidR="009220F3" w:rsidRPr="00FD2156" w:rsidRDefault="009220F3" w:rsidP="009220F3">
      <w:pPr>
        <w:widowControl w:val="0"/>
        <w:autoSpaceDE w:val="0"/>
        <w:autoSpaceDN w:val="0"/>
        <w:spacing w:before="6" w:line="266" w:lineRule="auto"/>
        <w:ind w:left="155" w:right="7683"/>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London</w:t>
      </w:r>
    </w:p>
    <w:p w14:paraId="4F9E1629" w14:textId="77777777" w:rsidR="009220F3" w:rsidRPr="00FD2156" w:rsidRDefault="009220F3" w:rsidP="009220F3">
      <w:pPr>
        <w:widowControl w:val="0"/>
        <w:autoSpaceDE w:val="0"/>
        <w:autoSpaceDN w:val="0"/>
        <w:spacing w:before="6" w:line="266" w:lineRule="auto"/>
        <w:ind w:left="155" w:right="7683"/>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E20 1HZ</w:t>
      </w:r>
    </w:p>
    <w:p w14:paraId="7EC5013A"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66CD0DAC"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63926636"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02680096"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6AEB1B3C"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5880B519"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5CB06B01"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7705E6EB"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3878B23E"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095ACB85"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7B3E5C5E"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226A850D"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6B7F03C9"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02C11B7A"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4547C8B3"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6DEB4967"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766BE51B"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24414435"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76E2616B"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65C0409A"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22"/>
          <w:szCs w:val="22"/>
          <w14:ligatures w14:val="none"/>
        </w:rPr>
      </w:pPr>
    </w:p>
    <w:p w14:paraId="1B7B422B" w14:textId="77777777" w:rsidR="009220F3" w:rsidRPr="00FD2156" w:rsidRDefault="009220F3" w:rsidP="009220F3">
      <w:pPr>
        <w:widowControl w:val="0"/>
        <w:autoSpaceDE w:val="0"/>
        <w:autoSpaceDN w:val="0"/>
        <w:spacing w:before="150" w:after="240" w:line="266" w:lineRule="auto"/>
        <w:ind w:left="154" w:right="512"/>
        <w:rPr>
          <w:rFonts w:ascii="Arial" w:eastAsia="Arial" w:hAnsi="Arial" w:cs="Arial"/>
          <w:kern w:val="0"/>
          <w:sz w:val="22"/>
          <w:szCs w:val="22"/>
          <w14:ligatures w14:val="none"/>
        </w:rPr>
      </w:pPr>
    </w:p>
    <w:p w14:paraId="62A62683" w14:textId="704535DD" w:rsidR="009220F3" w:rsidRPr="00FD2156" w:rsidRDefault="009220F3" w:rsidP="009220F3">
      <w:pPr>
        <w:widowControl w:val="0"/>
        <w:autoSpaceDE w:val="0"/>
        <w:autoSpaceDN w:val="0"/>
        <w:spacing w:before="150" w:after="240" w:line="266" w:lineRule="auto"/>
        <w:ind w:right="512"/>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Appendix A: Receipts and Payments account for the period 23 September 2019 to</w:t>
      </w:r>
      <w:r w:rsidR="00B767C7">
        <w:rPr>
          <w:rFonts w:ascii="Arial" w:eastAsia="Arial" w:hAnsi="Arial" w:cs="Arial"/>
          <w:kern w:val="0"/>
          <w:sz w:val="22"/>
          <w:szCs w:val="22"/>
          <w14:ligatures w14:val="none"/>
        </w:rPr>
        <w:br/>
        <w:t>1 October 2024</w:t>
      </w:r>
    </w:p>
    <w:tbl>
      <w:tblPr>
        <w:tblW w:w="8385" w:type="dxa"/>
        <w:tblInd w:w="132" w:type="dxa"/>
        <w:tblLook w:val="04A0" w:firstRow="1" w:lastRow="0" w:firstColumn="1" w:lastColumn="0" w:noHBand="0" w:noVBand="1"/>
      </w:tblPr>
      <w:tblGrid>
        <w:gridCol w:w="6580"/>
        <w:gridCol w:w="1805"/>
      </w:tblGrid>
      <w:tr w:rsidR="009220F3" w:rsidRPr="00FD2156" w14:paraId="1FD5632A" w14:textId="77777777" w:rsidTr="00837E83">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1B2066F4" w14:textId="382A5E08" w:rsidR="009220F3" w:rsidRPr="00FD2156" w:rsidRDefault="009220F3" w:rsidP="00837E83">
            <w:pPr>
              <w:rPr>
                <w:rFonts w:ascii="Arial" w:eastAsia="Times New Roman" w:hAnsi="Arial" w:cs="Arial"/>
                <w:color w:val="FFFFFF"/>
                <w:kern w:val="0"/>
                <w:szCs w:val="20"/>
                <w14:ligatures w14:val="none"/>
              </w:rPr>
            </w:pPr>
            <w:r>
              <w:rPr>
                <w:rFonts w:ascii="Arial" w:eastAsia="Times New Roman" w:hAnsi="Arial" w:cs="Arial"/>
                <w:color w:val="FFFFFF"/>
                <w:kern w:val="0"/>
                <w:szCs w:val="20"/>
                <w14:ligatures w14:val="none"/>
              </w:rPr>
              <w:t>TCCT</w:t>
            </w:r>
            <w:r w:rsidRPr="00FD2156">
              <w:rPr>
                <w:rFonts w:ascii="Arial" w:eastAsia="Times New Roman" w:hAnsi="Arial" w:cs="Arial"/>
                <w:color w:val="FFFFFF"/>
                <w:kern w:val="0"/>
                <w:szCs w:val="20"/>
                <w14:ligatures w14:val="none"/>
              </w:rPr>
              <w:t xml:space="preserve"> Retail 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51A5FAE" w14:textId="77777777" w:rsidR="009220F3" w:rsidRPr="00FD2156" w:rsidRDefault="009220F3" w:rsidP="00837E83">
            <w:pPr>
              <w:jc w:val="right"/>
              <w:rPr>
                <w:rFonts w:ascii="Arial" w:eastAsia="Times New Roman" w:hAnsi="Arial" w:cs="Arial"/>
                <w:color w:val="FFFFFF"/>
                <w:kern w:val="0"/>
                <w:szCs w:val="20"/>
                <w14:ligatures w14:val="none"/>
              </w:rPr>
            </w:pPr>
            <w:r w:rsidRPr="00FD2156">
              <w:rPr>
                <w:rFonts w:ascii="Arial" w:eastAsia="Times New Roman" w:hAnsi="Arial" w:cs="Arial"/>
                <w:color w:val="FFFFFF"/>
                <w:kern w:val="0"/>
                <w:szCs w:val="20"/>
                <w14:ligatures w14:val="none"/>
              </w:rPr>
              <w:t>£000’s</w:t>
            </w:r>
          </w:p>
        </w:tc>
      </w:tr>
      <w:tr w:rsidR="009220F3" w:rsidRPr="00FD2156" w14:paraId="7453B0FA" w14:textId="77777777" w:rsidTr="00837E83">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584A0AA3" w14:textId="77777777" w:rsidR="009220F3" w:rsidRPr="00FD2156" w:rsidRDefault="009220F3" w:rsidP="00837E8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2B86FAE3" w14:textId="77777777" w:rsidR="009220F3" w:rsidRPr="00FD2156" w:rsidRDefault="009220F3"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9220F3" w:rsidRPr="00FD2156" w14:paraId="13884ED2" w14:textId="77777777" w:rsidTr="00837E83">
        <w:trPr>
          <w:trHeight w:val="40"/>
        </w:trPr>
        <w:tc>
          <w:tcPr>
            <w:tcW w:w="6580" w:type="dxa"/>
            <w:tcBorders>
              <w:top w:val="nil"/>
              <w:left w:val="single" w:sz="8" w:space="0" w:color="auto"/>
              <w:bottom w:val="nil"/>
              <w:right w:val="single" w:sz="8" w:space="0" w:color="auto"/>
            </w:tcBorders>
            <w:shd w:val="clear" w:color="auto" w:fill="auto"/>
            <w:noWrap/>
            <w:vAlign w:val="bottom"/>
            <w:hideMark/>
          </w:tcPr>
          <w:p w14:paraId="49B950D8" w14:textId="77777777" w:rsidR="009220F3" w:rsidRPr="00FD2156" w:rsidRDefault="009220F3"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nil"/>
              <w:bottom w:val="nil"/>
              <w:right w:val="single" w:sz="8" w:space="0" w:color="auto"/>
            </w:tcBorders>
            <w:shd w:val="clear" w:color="auto" w:fill="auto"/>
            <w:noWrap/>
            <w:vAlign w:val="bottom"/>
            <w:hideMark/>
          </w:tcPr>
          <w:p w14:paraId="655F4934" w14:textId="77777777" w:rsidR="009220F3" w:rsidRPr="00FD2156" w:rsidRDefault="009220F3"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9220F3" w:rsidRPr="00FD2156" w14:paraId="654D97F6" w14:textId="77777777" w:rsidTr="00837E83">
        <w:trPr>
          <w:trHeight w:val="139"/>
        </w:trPr>
        <w:tc>
          <w:tcPr>
            <w:tcW w:w="6580" w:type="dxa"/>
            <w:tcBorders>
              <w:top w:val="nil"/>
              <w:left w:val="single" w:sz="8" w:space="0" w:color="auto"/>
              <w:bottom w:val="nil"/>
              <w:right w:val="single" w:sz="8" w:space="0" w:color="auto"/>
            </w:tcBorders>
            <w:shd w:val="clear" w:color="auto" w:fill="auto"/>
            <w:noWrap/>
            <w:vAlign w:val="bottom"/>
            <w:hideMark/>
          </w:tcPr>
          <w:p w14:paraId="49290D05" w14:textId="77777777" w:rsidR="009220F3" w:rsidRPr="00FD2156" w:rsidRDefault="009220F3"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nil"/>
              <w:bottom w:val="nil"/>
              <w:right w:val="single" w:sz="8" w:space="0" w:color="auto"/>
            </w:tcBorders>
            <w:shd w:val="clear" w:color="auto" w:fill="auto"/>
            <w:noWrap/>
            <w:vAlign w:val="bottom"/>
            <w:hideMark/>
          </w:tcPr>
          <w:p w14:paraId="46E549D0" w14:textId="77777777" w:rsidR="009220F3" w:rsidRPr="00FD2156" w:rsidRDefault="009220F3"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9220F3" w:rsidRPr="00FD2156" w14:paraId="20AB1C77" w14:textId="77777777" w:rsidTr="00837E83">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6CCBABAE" w14:textId="77777777" w:rsidR="009220F3" w:rsidRPr="00FD2156" w:rsidRDefault="009220F3" w:rsidP="00837E8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Tangible assets</w:t>
            </w:r>
          </w:p>
        </w:tc>
        <w:tc>
          <w:tcPr>
            <w:tcW w:w="1805" w:type="dxa"/>
            <w:tcBorders>
              <w:top w:val="nil"/>
              <w:left w:val="nil"/>
              <w:bottom w:val="nil"/>
              <w:right w:val="single" w:sz="8" w:space="0" w:color="auto"/>
            </w:tcBorders>
            <w:shd w:val="clear" w:color="auto" w:fill="auto"/>
            <w:noWrap/>
            <w:vAlign w:val="bottom"/>
            <w:hideMark/>
          </w:tcPr>
          <w:p w14:paraId="5C8620F4" w14:textId="77777777" w:rsidR="009220F3" w:rsidRPr="00FD2156" w:rsidRDefault="009220F3"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9220F3" w:rsidRPr="00FD2156" w14:paraId="18A0B8AB" w14:textId="77777777" w:rsidTr="00837E83">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5F6FC351" w14:textId="77777777" w:rsidR="009220F3" w:rsidRPr="00FD2156" w:rsidRDefault="009220F3"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Plant and equipment</w:t>
            </w:r>
          </w:p>
        </w:tc>
        <w:tc>
          <w:tcPr>
            <w:tcW w:w="1805" w:type="dxa"/>
            <w:tcBorders>
              <w:top w:val="nil"/>
              <w:left w:val="nil"/>
              <w:bottom w:val="nil"/>
              <w:right w:val="single" w:sz="8" w:space="0" w:color="auto"/>
            </w:tcBorders>
            <w:shd w:val="clear" w:color="auto" w:fill="auto"/>
            <w:noWrap/>
            <w:vAlign w:val="bottom"/>
            <w:hideMark/>
          </w:tcPr>
          <w:p w14:paraId="5DA4DC35" w14:textId="4C2C92DC" w:rsidR="009220F3" w:rsidRPr="00830ED2" w:rsidRDefault="00830ED2" w:rsidP="00830ED2">
            <w:pPr>
              <w:jc w:val="right"/>
              <w:rPr>
                <w:rFonts w:ascii="Arial" w:hAnsi="Arial" w:cs="Arial"/>
                <w:color w:val="000000"/>
                <w:szCs w:val="20"/>
              </w:rPr>
            </w:pPr>
            <w:r>
              <w:rPr>
                <w:rFonts w:ascii="Arial" w:hAnsi="Arial" w:cs="Arial"/>
                <w:color w:val="000000"/>
                <w:szCs w:val="20"/>
              </w:rPr>
              <w:t>5,035.0</w:t>
            </w:r>
          </w:p>
        </w:tc>
      </w:tr>
      <w:tr w:rsidR="009220F3" w:rsidRPr="00FD2156" w14:paraId="2E662354" w14:textId="77777777" w:rsidTr="00837E83">
        <w:trPr>
          <w:trHeight w:val="62"/>
        </w:trPr>
        <w:tc>
          <w:tcPr>
            <w:tcW w:w="6580" w:type="dxa"/>
            <w:tcBorders>
              <w:top w:val="nil"/>
              <w:left w:val="single" w:sz="8" w:space="0" w:color="auto"/>
              <w:bottom w:val="nil"/>
              <w:right w:val="single" w:sz="8" w:space="0" w:color="auto"/>
            </w:tcBorders>
            <w:shd w:val="clear" w:color="auto" w:fill="auto"/>
            <w:noWrap/>
            <w:vAlign w:val="bottom"/>
            <w:hideMark/>
          </w:tcPr>
          <w:p w14:paraId="68D942AC"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Cash and financial assets</w:t>
            </w:r>
          </w:p>
        </w:tc>
        <w:tc>
          <w:tcPr>
            <w:tcW w:w="1805" w:type="dxa"/>
            <w:tcBorders>
              <w:top w:val="nil"/>
              <w:left w:val="single" w:sz="8" w:space="0" w:color="auto"/>
              <w:bottom w:val="nil"/>
              <w:right w:val="single" w:sz="8" w:space="0" w:color="auto"/>
            </w:tcBorders>
            <w:shd w:val="clear" w:color="auto" w:fill="auto"/>
            <w:noWrap/>
            <w:vAlign w:val="bottom"/>
            <w:hideMark/>
          </w:tcPr>
          <w:p w14:paraId="71DFB66B" w14:textId="7BD08820" w:rsidR="009220F3" w:rsidRPr="00830ED2" w:rsidRDefault="00830ED2" w:rsidP="00830ED2">
            <w:pPr>
              <w:jc w:val="right"/>
              <w:rPr>
                <w:rFonts w:ascii="Arial" w:hAnsi="Arial" w:cs="Arial"/>
                <w:color w:val="000000"/>
                <w:szCs w:val="20"/>
              </w:rPr>
            </w:pPr>
            <w:r>
              <w:rPr>
                <w:rFonts w:ascii="Arial" w:hAnsi="Arial" w:cs="Arial"/>
                <w:color w:val="000000"/>
                <w:szCs w:val="20"/>
              </w:rPr>
              <w:t>16,712.4</w:t>
            </w:r>
          </w:p>
        </w:tc>
      </w:tr>
      <w:tr w:rsidR="009220F3" w:rsidRPr="00FD2156" w14:paraId="6EBA96B9"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1F661C1E"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Receivables and prepayments</w:t>
            </w:r>
          </w:p>
        </w:tc>
        <w:tc>
          <w:tcPr>
            <w:tcW w:w="1805" w:type="dxa"/>
            <w:tcBorders>
              <w:top w:val="nil"/>
              <w:left w:val="single" w:sz="8" w:space="0" w:color="auto"/>
              <w:bottom w:val="nil"/>
              <w:right w:val="single" w:sz="8" w:space="0" w:color="auto"/>
            </w:tcBorders>
            <w:shd w:val="clear" w:color="auto" w:fill="auto"/>
            <w:noWrap/>
            <w:vAlign w:val="bottom"/>
          </w:tcPr>
          <w:p w14:paraId="2B517322" w14:textId="280A454A" w:rsidR="009220F3" w:rsidRPr="00830ED2" w:rsidRDefault="00830ED2" w:rsidP="00830ED2">
            <w:pPr>
              <w:jc w:val="right"/>
              <w:rPr>
                <w:rFonts w:ascii="Arial" w:hAnsi="Arial" w:cs="Arial"/>
                <w:color w:val="000000"/>
                <w:szCs w:val="20"/>
              </w:rPr>
            </w:pPr>
            <w:r>
              <w:rPr>
                <w:rFonts w:ascii="Arial" w:hAnsi="Arial" w:cs="Arial"/>
                <w:color w:val="000000"/>
                <w:szCs w:val="20"/>
              </w:rPr>
              <w:t>1,239.4</w:t>
            </w:r>
          </w:p>
        </w:tc>
      </w:tr>
      <w:tr w:rsidR="009220F3" w:rsidRPr="00FD2156" w14:paraId="62C9C406"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073519F7"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Bank interest received</w:t>
            </w:r>
          </w:p>
        </w:tc>
        <w:tc>
          <w:tcPr>
            <w:tcW w:w="1805" w:type="dxa"/>
            <w:tcBorders>
              <w:top w:val="nil"/>
              <w:left w:val="single" w:sz="8" w:space="0" w:color="auto"/>
              <w:bottom w:val="nil"/>
              <w:right w:val="single" w:sz="8" w:space="0" w:color="auto"/>
            </w:tcBorders>
            <w:shd w:val="clear" w:color="auto" w:fill="auto"/>
            <w:noWrap/>
            <w:vAlign w:val="bottom"/>
          </w:tcPr>
          <w:p w14:paraId="1B31DBCB" w14:textId="4527423F" w:rsidR="009220F3" w:rsidRPr="00830ED2" w:rsidRDefault="00830ED2" w:rsidP="00830ED2">
            <w:pPr>
              <w:jc w:val="right"/>
              <w:rPr>
                <w:rFonts w:ascii="Arial" w:hAnsi="Arial" w:cs="Arial"/>
                <w:color w:val="000000"/>
                <w:szCs w:val="20"/>
              </w:rPr>
            </w:pPr>
            <w:r>
              <w:rPr>
                <w:rFonts w:ascii="Arial" w:hAnsi="Arial" w:cs="Arial"/>
                <w:color w:val="000000"/>
                <w:szCs w:val="20"/>
              </w:rPr>
              <w:t>702.3</w:t>
            </w:r>
          </w:p>
        </w:tc>
      </w:tr>
      <w:tr w:rsidR="009220F3" w:rsidRPr="00FD2156" w14:paraId="58F455B8"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71720CBE"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Other realisations</w:t>
            </w:r>
          </w:p>
        </w:tc>
        <w:tc>
          <w:tcPr>
            <w:tcW w:w="1805" w:type="dxa"/>
            <w:tcBorders>
              <w:top w:val="nil"/>
              <w:left w:val="single" w:sz="8" w:space="0" w:color="auto"/>
              <w:bottom w:val="nil"/>
              <w:right w:val="single" w:sz="8" w:space="0" w:color="auto"/>
            </w:tcBorders>
            <w:shd w:val="clear" w:color="auto" w:fill="auto"/>
            <w:noWrap/>
            <w:vAlign w:val="bottom"/>
            <w:hideMark/>
          </w:tcPr>
          <w:p w14:paraId="3F5FCAD0" w14:textId="4878C9D7" w:rsidR="009220F3" w:rsidRPr="00830ED2" w:rsidRDefault="00830ED2" w:rsidP="00830ED2">
            <w:pPr>
              <w:jc w:val="right"/>
              <w:rPr>
                <w:rFonts w:ascii="Arial" w:hAnsi="Arial" w:cs="Arial"/>
                <w:color w:val="000000"/>
                <w:szCs w:val="20"/>
              </w:rPr>
            </w:pPr>
            <w:r>
              <w:rPr>
                <w:rFonts w:ascii="Arial" w:hAnsi="Arial" w:cs="Arial"/>
                <w:color w:val="000000"/>
                <w:szCs w:val="20"/>
              </w:rPr>
              <w:t>3,102.9</w:t>
            </w:r>
          </w:p>
        </w:tc>
      </w:tr>
      <w:tr w:rsidR="009220F3" w:rsidRPr="00FD2156" w14:paraId="4516ACDA" w14:textId="77777777" w:rsidTr="00837E83">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41909FB4"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nil"/>
              <w:bottom w:val="nil"/>
              <w:right w:val="single" w:sz="8" w:space="0" w:color="auto"/>
            </w:tcBorders>
            <w:shd w:val="clear" w:color="auto" w:fill="auto"/>
            <w:noWrap/>
            <w:vAlign w:val="bottom"/>
            <w:hideMark/>
          </w:tcPr>
          <w:p w14:paraId="644BA570"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9220F3" w:rsidRPr="00FD2156" w14:paraId="19E679C6" w14:textId="77777777" w:rsidTr="00837E83">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11F20801" w14:textId="77777777" w:rsidR="009220F3" w:rsidRPr="00FD2156" w:rsidRDefault="009220F3" w:rsidP="009220F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0D29DBEB" w14:textId="2B918E60" w:rsidR="009220F3" w:rsidRPr="00830ED2" w:rsidRDefault="00830ED2" w:rsidP="00830ED2">
            <w:pPr>
              <w:jc w:val="right"/>
              <w:rPr>
                <w:rFonts w:ascii="Arial" w:hAnsi="Arial" w:cs="Arial"/>
                <w:b/>
                <w:bCs/>
                <w:color w:val="000000"/>
                <w:szCs w:val="20"/>
              </w:rPr>
            </w:pPr>
            <w:r>
              <w:rPr>
                <w:rFonts w:ascii="Arial" w:hAnsi="Arial" w:cs="Arial"/>
                <w:b/>
                <w:bCs/>
                <w:color w:val="000000"/>
                <w:szCs w:val="20"/>
              </w:rPr>
              <w:t>26,792.0</w:t>
            </w:r>
          </w:p>
        </w:tc>
      </w:tr>
      <w:tr w:rsidR="009220F3" w:rsidRPr="00FD2156" w14:paraId="35033E1A" w14:textId="77777777" w:rsidTr="00837E83">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7983407C" w14:textId="0CDEE76A" w:rsidR="009220F3" w:rsidRPr="00FD2156" w:rsidRDefault="001E68D5" w:rsidP="009220F3">
            <w:pPr>
              <w:rPr>
                <w:rFonts w:ascii="Arial" w:eastAsia="Times New Roman" w:hAnsi="Arial" w:cs="Arial"/>
                <w:b/>
                <w:bCs/>
                <w:color w:val="000000"/>
                <w:kern w:val="0"/>
                <w:szCs w:val="20"/>
                <w14:ligatures w14:val="none"/>
              </w:rPr>
            </w:pPr>
            <w:r>
              <w:rPr>
                <w:rFonts w:ascii="Arial" w:eastAsia="Times New Roman" w:hAnsi="Arial" w:cs="Arial"/>
                <w:b/>
                <w:bCs/>
                <w:color w:val="000000"/>
                <w:kern w:val="0"/>
                <w:szCs w:val="20"/>
                <w14:ligatures w14:val="none"/>
              </w:rPr>
              <w:t>PAYMENTS</w:t>
            </w:r>
            <w:r w:rsidR="009220F3" w:rsidRPr="00FD2156">
              <w:rPr>
                <w:rFonts w:ascii="Arial" w:eastAsia="Times New Roman" w:hAnsi="Arial" w:cs="Arial"/>
                <w:b/>
                <w:bCs/>
                <w:color w:val="000000"/>
                <w:kern w:val="0"/>
                <w:szCs w:val="20"/>
                <w14:ligatures w14:val="none"/>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B4DDC25" w14:textId="77777777" w:rsidR="009220F3" w:rsidRPr="00FD2156" w:rsidRDefault="009220F3" w:rsidP="009220F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 </w:t>
            </w:r>
          </w:p>
        </w:tc>
      </w:tr>
      <w:tr w:rsidR="009220F3" w:rsidRPr="00FD2156" w14:paraId="08C5DE1A" w14:textId="77777777" w:rsidTr="00837E83">
        <w:trPr>
          <w:trHeight w:val="40"/>
        </w:trPr>
        <w:tc>
          <w:tcPr>
            <w:tcW w:w="6580" w:type="dxa"/>
            <w:tcBorders>
              <w:top w:val="nil"/>
              <w:left w:val="single" w:sz="8" w:space="0" w:color="auto"/>
              <w:bottom w:val="nil"/>
              <w:right w:val="nil"/>
            </w:tcBorders>
            <w:shd w:val="clear" w:color="auto" w:fill="auto"/>
            <w:noWrap/>
            <w:vAlign w:val="bottom"/>
            <w:hideMark/>
          </w:tcPr>
          <w:p w14:paraId="587229EF"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nil"/>
              <w:right w:val="single" w:sz="8" w:space="0" w:color="auto"/>
            </w:tcBorders>
            <w:shd w:val="clear" w:color="auto" w:fill="auto"/>
            <w:noWrap/>
            <w:vAlign w:val="bottom"/>
            <w:hideMark/>
          </w:tcPr>
          <w:p w14:paraId="2EBFA266"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9220F3" w:rsidRPr="00FD2156" w14:paraId="6C8AC761" w14:textId="77777777" w:rsidTr="00837E83">
        <w:trPr>
          <w:trHeight w:val="233"/>
        </w:trPr>
        <w:tc>
          <w:tcPr>
            <w:tcW w:w="6580" w:type="dxa"/>
            <w:tcBorders>
              <w:top w:val="nil"/>
              <w:left w:val="single" w:sz="8" w:space="0" w:color="auto"/>
              <w:bottom w:val="nil"/>
              <w:right w:val="nil"/>
            </w:tcBorders>
            <w:shd w:val="clear" w:color="auto" w:fill="auto"/>
            <w:noWrap/>
            <w:vAlign w:val="bottom"/>
            <w:hideMark/>
          </w:tcPr>
          <w:p w14:paraId="06FEF43C"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Other costs of realisation (</w:t>
            </w:r>
            <w:proofErr w:type="spellStart"/>
            <w:r w:rsidRPr="00FD2156">
              <w:rPr>
                <w:rFonts w:ascii="Arial" w:eastAsia="Times New Roman" w:hAnsi="Arial" w:cs="Arial"/>
                <w:color w:val="000000"/>
                <w:kern w:val="0"/>
                <w:szCs w:val="20"/>
                <w14:ligatures w14:val="none"/>
              </w:rPr>
              <w:t>inc</w:t>
            </w:r>
            <w:proofErr w:type="spellEnd"/>
            <w:r w:rsidRPr="00FD2156">
              <w:rPr>
                <w:rFonts w:ascii="Arial" w:eastAsia="Times New Roman" w:hAnsi="Arial" w:cs="Arial"/>
                <w:color w:val="000000"/>
                <w:kern w:val="0"/>
                <w:szCs w:val="20"/>
                <w14:ligatures w14:val="none"/>
              </w:rPr>
              <w:t xml:space="preserve">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7DEC47C8" w14:textId="41BC0849" w:rsidR="009220F3" w:rsidRPr="00830ED2" w:rsidRDefault="00830ED2" w:rsidP="00830ED2">
            <w:pPr>
              <w:jc w:val="right"/>
              <w:rPr>
                <w:rFonts w:ascii="Arial" w:hAnsi="Arial" w:cs="Arial"/>
                <w:color w:val="000000"/>
                <w:szCs w:val="20"/>
              </w:rPr>
            </w:pPr>
            <w:r>
              <w:rPr>
                <w:rFonts w:ascii="Arial" w:hAnsi="Arial" w:cs="Arial"/>
                <w:color w:val="000000"/>
                <w:szCs w:val="20"/>
              </w:rPr>
              <w:t xml:space="preserve">           (4,864.5)</w:t>
            </w:r>
          </w:p>
        </w:tc>
      </w:tr>
      <w:tr w:rsidR="009220F3" w:rsidRPr="00FD2156" w14:paraId="13CD5C15" w14:textId="77777777" w:rsidTr="00837E83">
        <w:trPr>
          <w:trHeight w:val="223"/>
        </w:trPr>
        <w:tc>
          <w:tcPr>
            <w:tcW w:w="6580" w:type="dxa"/>
            <w:tcBorders>
              <w:top w:val="nil"/>
              <w:left w:val="single" w:sz="8" w:space="0" w:color="auto"/>
              <w:bottom w:val="nil"/>
              <w:right w:val="nil"/>
            </w:tcBorders>
            <w:shd w:val="clear" w:color="auto" w:fill="auto"/>
            <w:noWrap/>
            <w:vAlign w:val="bottom"/>
            <w:hideMark/>
          </w:tcPr>
          <w:p w14:paraId="230FBAAB"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2D78F149" w14:textId="77777777" w:rsidR="009220F3" w:rsidRPr="00526182" w:rsidRDefault="009220F3" w:rsidP="009220F3">
            <w:pPr>
              <w:rPr>
                <w:rFonts w:ascii="Arial" w:eastAsia="Times New Roman" w:hAnsi="Arial" w:cs="Arial"/>
                <w:color w:val="000000"/>
                <w:kern w:val="0"/>
                <w:szCs w:val="20"/>
                <w14:ligatures w14:val="none"/>
              </w:rPr>
            </w:pPr>
            <w:r w:rsidRPr="00526182">
              <w:rPr>
                <w:rFonts w:ascii="Arial" w:eastAsia="Times New Roman" w:hAnsi="Arial" w:cs="Arial"/>
                <w:color w:val="000000"/>
                <w:kern w:val="0"/>
                <w:szCs w:val="20"/>
                <w14:ligatures w14:val="none"/>
              </w:rPr>
              <w:t> </w:t>
            </w:r>
          </w:p>
        </w:tc>
      </w:tr>
      <w:tr w:rsidR="009220F3" w:rsidRPr="00FD2156" w14:paraId="460B8D2C"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48524DF2"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nil"/>
              <w:right w:val="single" w:sz="8" w:space="0" w:color="auto"/>
            </w:tcBorders>
            <w:shd w:val="clear" w:color="auto" w:fill="auto"/>
            <w:noWrap/>
            <w:vAlign w:val="bottom"/>
            <w:hideMark/>
          </w:tcPr>
          <w:p w14:paraId="18851F39" w14:textId="77777777" w:rsidR="009220F3" w:rsidRPr="00526182" w:rsidRDefault="009220F3" w:rsidP="009220F3">
            <w:pPr>
              <w:rPr>
                <w:rFonts w:ascii="Arial" w:eastAsia="Times New Roman" w:hAnsi="Arial" w:cs="Arial"/>
                <w:color w:val="000000"/>
                <w:kern w:val="0"/>
                <w:szCs w:val="20"/>
                <w14:ligatures w14:val="none"/>
              </w:rPr>
            </w:pPr>
            <w:r w:rsidRPr="00526182">
              <w:rPr>
                <w:rFonts w:ascii="Arial" w:eastAsia="Times New Roman" w:hAnsi="Arial" w:cs="Arial"/>
                <w:color w:val="000000"/>
                <w:kern w:val="0"/>
                <w:szCs w:val="20"/>
                <w14:ligatures w14:val="none"/>
              </w:rPr>
              <w:t> </w:t>
            </w:r>
          </w:p>
        </w:tc>
      </w:tr>
      <w:tr w:rsidR="009220F3" w:rsidRPr="00FD2156" w14:paraId="6EC299F5" w14:textId="77777777" w:rsidTr="00837E83">
        <w:trPr>
          <w:trHeight w:val="217"/>
        </w:trPr>
        <w:tc>
          <w:tcPr>
            <w:tcW w:w="6580" w:type="dxa"/>
            <w:tcBorders>
              <w:top w:val="nil"/>
              <w:left w:val="single" w:sz="8" w:space="0" w:color="auto"/>
              <w:bottom w:val="nil"/>
              <w:right w:val="nil"/>
            </w:tcBorders>
            <w:shd w:val="clear" w:color="auto" w:fill="auto"/>
            <w:noWrap/>
            <w:vAlign w:val="bottom"/>
            <w:hideMark/>
          </w:tcPr>
          <w:p w14:paraId="4433A50E"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Official Receiver's 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0C4FDC49" w14:textId="69671856" w:rsidR="009220F3" w:rsidRPr="00526182" w:rsidRDefault="009220F3" w:rsidP="009220F3">
            <w:pPr>
              <w:jc w:val="right"/>
              <w:rPr>
                <w:rFonts w:ascii="Arial" w:eastAsia="Times New Roman" w:hAnsi="Arial" w:cs="Arial"/>
                <w:color w:val="000000"/>
                <w:kern w:val="0"/>
                <w:szCs w:val="20"/>
                <w14:ligatures w14:val="none"/>
              </w:rPr>
            </w:pPr>
            <w:r w:rsidRPr="00526182">
              <w:rPr>
                <w:rFonts w:ascii="Arial" w:eastAsia="Times New Roman" w:hAnsi="Arial" w:cs="Arial"/>
                <w:color w:val="000000"/>
                <w:kern w:val="0"/>
                <w:szCs w:val="20"/>
                <w14:ligatures w14:val="none"/>
              </w:rPr>
              <w:t>(</w:t>
            </w:r>
            <w:r w:rsidR="0024762D">
              <w:rPr>
                <w:rFonts w:ascii="Arial" w:eastAsia="Times New Roman" w:hAnsi="Arial" w:cs="Arial"/>
                <w:color w:val="000000"/>
                <w:kern w:val="0"/>
                <w:szCs w:val="20"/>
                <w14:ligatures w14:val="none"/>
              </w:rPr>
              <w:t>11.0</w:t>
            </w:r>
            <w:r w:rsidRPr="00526182">
              <w:rPr>
                <w:rFonts w:ascii="Arial" w:eastAsia="Times New Roman" w:hAnsi="Arial" w:cs="Arial"/>
                <w:color w:val="000000"/>
                <w:kern w:val="0"/>
                <w:szCs w:val="20"/>
                <w14:ligatures w14:val="none"/>
              </w:rPr>
              <w:t>)</w:t>
            </w:r>
          </w:p>
        </w:tc>
      </w:tr>
      <w:tr w:rsidR="00526182" w:rsidRPr="00FD2156" w14:paraId="22E4A514"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0CCF7350" w14:textId="77777777" w:rsidR="00526182" w:rsidRPr="00FD2156" w:rsidRDefault="00526182" w:rsidP="009220F3">
            <w:pPr>
              <w:rPr>
                <w:rFonts w:ascii="Arial" w:eastAsia="Times New Roman" w:hAnsi="Arial" w:cs="Arial"/>
                <w:color w:val="000000"/>
                <w:kern w:val="0"/>
                <w:szCs w:val="20"/>
                <w14:ligatures w14:val="none"/>
              </w:rPr>
            </w:pPr>
          </w:p>
        </w:tc>
        <w:tc>
          <w:tcPr>
            <w:tcW w:w="1805" w:type="dxa"/>
            <w:tcBorders>
              <w:top w:val="nil"/>
              <w:left w:val="single" w:sz="8" w:space="0" w:color="auto"/>
              <w:bottom w:val="nil"/>
              <w:right w:val="single" w:sz="8" w:space="0" w:color="auto"/>
            </w:tcBorders>
            <w:shd w:val="clear" w:color="auto" w:fill="auto"/>
            <w:noWrap/>
            <w:vAlign w:val="bottom"/>
          </w:tcPr>
          <w:p w14:paraId="0D878421" w14:textId="77777777" w:rsidR="00526182" w:rsidRPr="00526182" w:rsidRDefault="00526182" w:rsidP="009220F3">
            <w:pPr>
              <w:jc w:val="right"/>
              <w:rPr>
                <w:rFonts w:ascii="Arial" w:eastAsia="Times New Roman" w:hAnsi="Arial" w:cs="Arial"/>
                <w:color w:val="000000"/>
                <w:kern w:val="0"/>
                <w:szCs w:val="20"/>
                <w14:ligatures w14:val="none"/>
              </w:rPr>
            </w:pPr>
          </w:p>
        </w:tc>
      </w:tr>
      <w:tr w:rsidR="00526182" w:rsidRPr="00FD2156" w14:paraId="677DEEAB"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2CD2C25B" w14:textId="16E7B6B3" w:rsidR="00526182" w:rsidRPr="00FD2156" w:rsidRDefault="00526182" w:rsidP="009220F3">
            <w:pPr>
              <w:rPr>
                <w:rFonts w:ascii="Arial" w:eastAsia="Times New Roman" w:hAnsi="Arial" w:cs="Arial"/>
                <w:color w:val="000000"/>
                <w:kern w:val="0"/>
                <w:szCs w:val="20"/>
                <w14:ligatures w14:val="none"/>
              </w:rPr>
            </w:pPr>
            <w:r w:rsidRPr="00526182">
              <w:rPr>
                <w:rFonts w:ascii="Arial" w:eastAsia="Times New Roman" w:hAnsi="Arial" w:cs="Arial"/>
                <w:color w:val="000000"/>
                <w:kern w:val="0"/>
                <w:szCs w:val="20"/>
                <w14:ligatures w14:val="none"/>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2C76E00C" w14:textId="21E05337" w:rsidR="00526182" w:rsidRPr="00526182" w:rsidRDefault="00526182" w:rsidP="00526182">
            <w:pPr>
              <w:jc w:val="right"/>
              <w:rPr>
                <w:rFonts w:ascii="Arial" w:eastAsia="Times New Roman" w:hAnsi="Arial" w:cs="Arial"/>
                <w:color w:val="000000"/>
                <w:kern w:val="0"/>
                <w:szCs w:val="20"/>
                <w14:ligatures w14:val="none"/>
              </w:rPr>
            </w:pPr>
            <w:r w:rsidRPr="00526182">
              <w:rPr>
                <w:rFonts w:ascii="Arial" w:eastAsia="Times New Roman" w:hAnsi="Arial" w:cs="Arial"/>
                <w:color w:val="000000"/>
                <w:kern w:val="0"/>
                <w:szCs w:val="20"/>
                <w14:ligatures w14:val="none"/>
              </w:rPr>
              <w:t>(3,88</w:t>
            </w:r>
            <w:r w:rsidR="00387E7A">
              <w:rPr>
                <w:rFonts w:ascii="Arial" w:eastAsia="Times New Roman" w:hAnsi="Arial" w:cs="Arial"/>
                <w:color w:val="000000"/>
                <w:kern w:val="0"/>
                <w:szCs w:val="20"/>
                <w14:ligatures w14:val="none"/>
              </w:rPr>
              <w:t>8.3</w:t>
            </w:r>
            <w:r w:rsidRPr="00526182">
              <w:rPr>
                <w:rFonts w:ascii="Arial" w:eastAsia="Times New Roman" w:hAnsi="Arial" w:cs="Arial"/>
                <w:color w:val="000000"/>
                <w:kern w:val="0"/>
                <w:szCs w:val="20"/>
                <w14:ligatures w14:val="none"/>
              </w:rPr>
              <w:t>)</w:t>
            </w:r>
          </w:p>
        </w:tc>
      </w:tr>
      <w:tr w:rsidR="009220F3" w:rsidRPr="00FD2156" w14:paraId="5A4ECE6B"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3A994A1C"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nil"/>
              <w:right w:val="single" w:sz="8" w:space="0" w:color="auto"/>
            </w:tcBorders>
            <w:shd w:val="clear" w:color="auto" w:fill="auto"/>
            <w:noWrap/>
            <w:vAlign w:val="bottom"/>
            <w:hideMark/>
          </w:tcPr>
          <w:p w14:paraId="25BCE2A0" w14:textId="77777777" w:rsidR="009220F3" w:rsidRPr="00526182" w:rsidRDefault="009220F3" w:rsidP="009220F3">
            <w:pPr>
              <w:rPr>
                <w:rFonts w:ascii="Arial" w:eastAsia="Times New Roman" w:hAnsi="Arial" w:cs="Arial"/>
                <w:color w:val="000000"/>
                <w:kern w:val="0"/>
                <w:szCs w:val="20"/>
                <w14:ligatures w14:val="none"/>
              </w:rPr>
            </w:pPr>
            <w:r w:rsidRPr="00526182">
              <w:rPr>
                <w:rFonts w:ascii="Arial" w:eastAsia="Times New Roman" w:hAnsi="Arial" w:cs="Arial"/>
                <w:color w:val="000000"/>
                <w:kern w:val="0"/>
                <w:szCs w:val="20"/>
                <w14:ligatures w14:val="none"/>
              </w:rPr>
              <w:t> </w:t>
            </w:r>
          </w:p>
        </w:tc>
      </w:tr>
      <w:tr w:rsidR="009220F3" w:rsidRPr="00FD2156" w14:paraId="1860C801" w14:textId="77777777" w:rsidTr="00837E83">
        <w:trPr>
          <w:trHeight w:val="211"/>
        </w:trPr>
        <w:tc>
          <w:tcPr>
            <w:tcW w:w="6580" w:type="dxa"/>
            <w:tcBorders>
              <w:top w:val="nil"/>
              <w:left w:val="single" w:sz="8" w:space="0" w:color="auto"/>
              <w:bottom w:val="nil"/>
              <w:right w:val="nil"/>
            </w:tcBorders>
            <w:shd w:val="clear" w:color="auto" w:fill="auto"/>
            <w:noWrap/>
            <w:vAlign w:val="bottom"/>
            <w:hideMark/>
          </w:tcPr>
          <w:p w14:paraId="1C51C4DA"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Professional fees and disbursements - Special Managers' fees</w:t>
            </w:r>
          </w:p>
          <w:p w14:paraId="07F99AD8" w14:textId="59E80BA5" w:rsidR="009220F3" w:rsidRPr="00FD2156" w:rsidRDefault="009220F3" w:rsidP="009220F3">
            <w:pPr>
              <w:rPr>
                <w:rFonts w:ascii="Arial" w:eastAsia="Times New Roman" w:hAnsi="Arial" w:cs="Arial"/>
                <w:color w:val="000000"/>
                <w:kern w:val="0"/>
                <w:szCs w:val="20"/>
                <w14:ligatures w14:val="none"/>
              </w:rPr>
            </w:pPr>
          </w:p>
        </w:tc>
        <w:tc>
          <w:tcPr>
            <w:tcW w:w="1805" w:type="dxa"/>
            <w:tcBorders>
              <w:top w:val="nil"/>
              <w:left w:val="single" w:sz="8" w:space="0" w:color="auto"/>
              <w:bottom w:val="nil"/>
              <w:right w:val="single" w:sz="8" w:space="0" w:color="auto"/>
            </w:tcBorders>
            <w:shd w:val="clear" w:color="auto" w:fill="auto"/>
            <w:noWrap/>
            <w:vAlign w:val="bottom"/>
            <w:hideMark/>
          </w:tcPr>
          <w:p w14:paraId="0DB5F410" w14:textId="43E5ECD5" w:rsidR="009220F3" w:rsidRPr="00830ED2" w:rsidRDefault="00830ED2" w:rsidP="00830ED2">
            <w:pPr>
              <w:jc w:val="right"/>
              <w:rPr>
                <w:rFonts w:ascii="Arial" w:hAnsi="Arial" w:cs="Arial"/>
                <w:color w:val="000000"/>
                <w:szCs w:val="20"/>
              </w:rPr>
            </w:pPr>
            <w:r>
              <w:rPr>
                <w:rFonts w:ascii="Arial" w:hAnsi="Arial" w:cs="Arial"/>
                <w:color w:val="000000"/>
                <w:szCs w:val="20"/>
              </w:rPr>
              <w:t xml:space="preserve">           (9,287.6)</w:t>
            </w:r>
          </w:p>
        </w:tc>
      </w:tr>
      <w:tr w:rsidR="009220F3" w:rsidRPr="00FD2156" w14:paraId="37918B0B"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53E59F0F"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nil"/>
              <w:right w:val="single" w:sz="8" w:space="0" w:color="auto"/>
            </w:tcBorders>
            <w:shd w:val="clear" w:color="auto" w:fill="auto"/>
            <w:noWrap/>
            <w:vAlign w:val="bottom"/>
            <w:hideMark/>
          </w:tcPr>
          <w:p w14:paraId="2B13F458" w14:textId="77777777" w:rsidR="009220F3" w:rsidRPr="00526182" w:rsidRDefault="009220F3" w:rsidP="009220F3">
            <w:pPr>
              <w:rPr>
                <w:rFonts w:ascii="Arial" w:eastAsia="Times New Roman" w:hAnsi="Arial" w:cs="Arial"/>
                <w:color w:val="000000"/>
                <w:kern w:val="0"/>
                <w:szCs w:val="20"/>
                <w14:ligatures w14:val="none"/>
              </w:rPr>
            </w:pPr>
            <w:r w:rsidRPr="00526182">
              <w:rPr>
                <w:rFonts w:ascii="Arial" w:eastAsia="Times New Roman" w:hAnsi="Arial" w:cs="Arial"/>
                <w:color w:val="000000"/>
                <w:kern w:val="0"/>
                <w:szCs w:val="20"/>
                <w14:ligatures w14:val="none"/>
              </w:rPr>
              <w:t> </w:t>
            </w:r>
          </w:p>
        </w:tc>
      </w:tr>
      <w:tr w:rsidR="009220F3" w:rsidRPr="00FD2156" w14:paraId="371AFA8F" w14:textId="77777777" w:rsidTr="00837E83">
        <w:trPr>
          <w:trHeight w:val="185"/>
        </w:trPr>
        <w:tc>
          <w:tcPr>
            <w:tcW w:w="6580" w:type="dxa"/>
            <w:tcBorders>
              <w:top w:val="nil"/>
              <w:left w:val="single" w:sz="8" w:space="0" w:color="auto"/>
              <w:bottom w:val="nil"/>
              <w:right w:val="nil"/>
            </w:tcBorders>
            <w:shd w:val="clear" w:color="auto" w:fill="auto"/>
            <w:noWrap/>
            <w:vAlign w:val="bottom"/>
            <w:hideMark/>
          </w:tcPr>
          <w:p w14:paraId="658FEBE0"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5D58EA22" w14:textId="39FC4B9E" w:rsidR="009220F3" w:rsidRPr="00830ED2" w:rsidRDefault="00830ED2" w:rsidP="00830ED2">
            <w:pPr>
              <w:jc w:val="right"/>
              <w:rPr>
                <w:rFonts w:ascii="Arial" w:hAnsi="Arial" w:cs="Arial"/>
                <w:color w:val="000000"/>
                <w:szCs w:val="20"/>
              </w:rPr>
            </w:pPr>
            <w:r>
              <w:rPr>
                <w:rFonts w:ascii="Arial" w:hAnsi="Arial" w:cs="Arial"/>
                <w:color w:val="000000"/>
                <w:szCs w:val="20"/>
              </w:rPr>
              <w:t xml:space="preserve">           (1,981.6)</w:t>
            </w:r>
          </w:p>
        </w:tc>
      </w:tr>
      <w:tr w:rsidR="009220F3" w:rsidRPr="00FD2156" w14:paraId="2133E9CB" w14:textId="77777777" w:rsidTr="00837E83">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210B227B" w14:textId="77777777" w:rsidR="009220F3" w:rsidRPr="00FD2156" w:rsidRDefault="009220F3" w:rsidP="009220F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43369D0E" w14:textId="77777777" w:rsidR="009220F3" w:rsidRPr="00FD2156" w:rsidRDefault="009220F3" w:rsidP="009220F3">
            <w:pPr>
              <w:jc w:val="right"/>
              <w:rPr>
                <w:rFonts w:ascii="Arial" w:eastAsia="Times New Roman" w:hAnsi="Arial" w:cs="Arial"/>
                <w:b/>
                <w:bCs/>
                <w:color w:val="000000"/>
                <w:kern w:val="0"/>
                <w:szCs w:val="20"/>
                <w14:ligatures w14:val="none"/>
              </w:rPr>
            </w:pPr>
          </w:p>
        </w:tc>
      </w:tr>
      <w:tr w:rsidR="009220F3" w:rsidRPr="00FD2156" w14:paraId="3B357E29" w14:textId="77777777" w:rsidTr="00837E83">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5F9CE411" w14:textId="77777777" w:rsidR="009220F3" w:rsidRPr="00FD2156" w:rsidRDefault="009220F3" w:rsidP="009220F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20E6396B" w14:textId="56A61E30" w:rsidR="009220F3" w:rsidRPr="00830ED2" w:rsidRDefault="00830ED2" w:rsidP="00830ED2">
            <w:pPr>
              <w:jc w:val="right"/>
              <w:rPr>
                <w:rFonts w:ascii="Arial" w:hAnsi="Arial" w:cs="Arial"/>
                <w:b/>
                <w:bCs/>
                <w:color w:val="000000"/>
                <w:szCs w:val="20"/>
              </w:rPr>
            </w:pPr>
            <w:r>
              <w:rPr>
                <w:rFonts w:ascii="Arial" w:hAnsi="Arial" w:cs="Arial"/>
                <w:b/>
                <w:bCs/>
                <w:color w:val="000000"/>
                <w:szCs w:val="20"/>
              </w:rPr>
              <w:t xml:space="preserve">         (20,033.0)</w:t>
            </w:r>
          </w:p>
        </w:tc>
      </w:tr>
      <w:tr w:rsidR="009220F3" w:rsidRPr="00FD2156" w14:paraId="0B1A8D04" w14:textId="77777777" w:rsidTr="00837E83">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0E35BEE4" w14:textId="77777777" w:rsidR="009220F3" w:rsidRPr="00FD2156" w:rsidRDefault="009220F3" w:rsidP="009220F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3EE8FC0E" w14:textId="3F27F692" w:rsidR="009220F3" w:rsidRPr="00FD2156" w:rsidRDefault="009220F3" w:rsidP="009220F3">
            <w:pPr>
              <w:jc w:val="right"/>
              <w:rPr>
                <w:rFonts w:ascii="Arial" w:eastAsia="Times New Roman" w:hAnsi="Arial" w:cs="Arial"/>
                <w:b/>
                <w:bCs/>
                <w:color w:val="000000"/>
                <w:kern w:val="0"/>
                <w:szCs w:val="20"/>
                <w14:ligatures w14:val="none"/>
              </w:rPr>
            </w:pPr>
            <w:r w:rsidRPr="009220F3">
              <w:rPr>
                <w:rFonts w:ascii="Arial" w:eastAsia="Times New Roman" w:hAnsi="Arial" w:cs="Arial"/>
                <w:b/>
                <w:bCs/>
                <w:color w:val="000000"/>
                <w:kern w:val="0"/>
                <w:szCs w:val="20"/>
                <w14:ligatures w14:val="none"/>
              </w:rPr>
              <w:t>6,7</w:t>
            </w:r>
            <w:r w:rsidR="00387E7A">
              <w:rPr>
                <w:rFonts w:ascii="Arial" w:eastAsia="Times New Roman" w:hAnsi="Arial" w:cs="Arial"/>
                <w:b/>
                <w:bCs/>
                <w:color w:val="000000"/>
                <w:kern w:val="0"/>
                <w:szCs w:val="20"/>
                <w14:ligatures w14:val="none"/>
              </w:rPr>
              <w:t>59.0</w:t>
            </w:r>
          </w:p>
        </w:tc>
      </w:tr>
      <w:tr w:rsidR="009220F3" w:rsidRPr="00FD2156" w14:paraId="663CC459" w14:textId="77777777" w:rsidTr="00837E83">
        <w:trPr>
          <w:trHeight w:val="30"/>
        </w:trPr>
        <w:tc>
          <w:tcPr>
            <w:tcW w:w="6580" w:type="dxa"/>
            <w:tcBorders>
              <w:top w:val="nil"/>
              <w:left w:val="nil"/>
              <w:bottom w:val="nil"/>
              <w:right w:val="nil"/>
            </w:tcBorders>
            <w:shd w:val="clear" w:color="auto" w:fill="auto"/>
            <w:noWrap/>
            <w:vAlign w:val="bottom"/>
            <w:hideMark/>
          </w:tcPr>
          <w:p w14:paraId="14A08376" w14:textId="77777777" w:rsidR="009220F3" w:rsidRPr="00FD2156" w:rsidRDefault="009220F3" w:rsidP="009220F3">
            <w:pPr>
              <w:jc w:val="right"/>
              <w:rPr>
                <w:rFonts w:ascii="Arial" w:eastAsia="Times New Roman" w:hAnsi="Arial" w:cs="Arial"/>
                <w:b/>
                <w:bCs/>
                <w:color w:val="000000"/>
                <w:kern w:val="0"/>
                <w:szCs w:val="20"/>
                <w14:ligatures w14:val="none"/>
              </w:rPr>
            </w:pPr>
          </w:p>
        </w:tc>
        <w:tc>
          <w:tcPr>
            <w:tcW w:w="1805" w:type="dxa"/>
            <w:tcBorders>
              <w:top w:val="nil"/>
              <w:left w:val="nil"/>
              <w:bottom w:val="nil"/>
              <w:right w:val="nil"/>
            </w:tcBorders>
            <w:shd w:val="clear" w:color="auto" w:fill="auto"/>
            <w:noWrap/>
            <w:vAlign w:val="bottom"/>
            <w:hideMark/>
          </w:tcPr>
          <w:p w14:paraId="6CDFF166" w14:textId="77777777" w:rsidR="009220F3" w:rsidRPr="00FD2156" w:rsidRDefault="009220F3" w:rsidP="009220F3">
            <w:pPr>
              <w:rPr>
                <w:rFonts w:ascii="Arial" w:eastAsia="Times New Roman" w:hAnsi="Arial" w:cs="Arial"/>
                <w:kern w:val="0"/>
                <w:szCs w:val="20"/>
                <w14:ligatures w14:val="none"/>
              </w:rPr>
            </w:pPr>
          </w:p>
        </w:tc>
      </w:tr>
      <w:tr w:rsidR="009220F3" w:rsidRPr="00FD2156" w14:paraId="78E81A6D" w14:textId="77777777" w:rsidTr="00837E83">
        <w:trPr>
          <w:trHeight w:val="50"/>
        </w:trPr>
        <w:tc>
          <w:tcPr>
            <w:tcW w:w="6580" w:type="dxa"/>
            <w:tcBorders>
              <w:top w:val="nil"/>
              <w:left w:val="nil"/>
              <w:bottom w:val="nil"/>
              <w:right w:val="nil"/>
            </w:tcBorders>
            <w:shd w:val="clear" w:color="auto" w:fill="auto"/>
            <w:noWrap/>
            <w:vAlign w:val="bottom"/>
            <w:hideMark/>
          </w:tcPr>
          <w:p w14:paraId="4445728F" w14:textId="6179AE21" w:rsidR="009220F3" w:rsidRPr="00FD2156" w:rsidRDefault="009220F3" w:rsidP="009220F3">
            <w:pPr>
              <w:rPr>
                <w:rFonts w:ascii="Arial" w:eastAsia="Times New Roman" w:hAnsi="Arial" w:cs="Arial"/>
                <w:color w:val="000000"/>
                <w:kern w:val="0"/>
                <w:szCs w:val="20"/>
                <w14:ligatures w14:val="none"/>
              </w:rPr>
            </w:pPr>
          </w:p>
        </w:tc>
        <w:tc>
          <w:tcPr>
            <w:tcW w:w="1805" w:type="dxa"/>
            <w:tcBorders>
              <w:top w:val="nil"/>
              <w:left w:val="nil"/>
              <w:bottom w:val="nil"/>
              <w:right w:val="nil"/>
            </w:tcBorders>
            <w:shd w:val="clear" w:color="auto" w:fill="auto"/>
            <w:noWrap/>
            <w:vAlign w:val="bottom"/>
            <w:hideMark/>
          </w:tcPr>
          <w:p w14:paraId="3748A4D4" w14:textId="77777777" w:rsidR="009220F3" w:rsidRPr="00FD2156" w:rsidRDefault="009220F3" w:rsidP="009220F3">
            <w:pPr>
              <w:rPr>
                <w:rFonts w:ascii="Arial" w:eastAsia="Times New Roman" w:hAnsi="Arial" w:cs="Arial"/>
                <w:color w:val="000000"/>
                <w:kern w:val="0"/>
                <w:szCs w:val="20"/>
                <w14:ligatures w14:val="none"/>
              </w:rPr>
            </w:pPr>
          </w:p>
        </w:tc>
      </w:tr>
      <w:tr w:rsidR="001E68D5" w:rsidRPr="00FD2156" w14:paraId="628AE41B" w14:textId="77777777" w:rsidTr="00837E83">
        <w:trPr>
          <w:trHeight w:val="273"/>
        </w:trPr>
        <w:tc>
          <w:tcPr>
            <w:tcW w:w="6580" w:type="dxa"/>
            <w:tcBorders>
              <w:top w:val="single" w:sz="8" w:space="0" w:color="auto"/>
              <w:left w:val="single" w:sz="8" w:space="0" w:color="auto"/>
              <w:bottom w:val="nil"/>
              <w:right w:val="nil"/>
            </w:tcBorders>
            <w:shd w:val="clear" w:color="auto" w:fill="auto"/>
            <w:noWrap/>
            <w:vAlign w:val="bottom"/>
          </w:tcPr>
          <w:p w14:paraId="39245583" w14:textId="51707953" w:rsidR="001E68D5" w:rsidRPr="00FD2156" w:rsidRDefault="001E68D5" w:rsidP="001E68D5">
            <w:pPr>
              <w:rPr>
                <w:rFonts w:ascii="Arial" w:eastAsia="Times New Roman" w:hAnsi="Arial" w:cs="Arial"/>
                <w:b/>
                <w:bCs/>
                <w:color w:val="000000"/>
                <w:kern w:val="0"/>
                <w:szCs w:val="20"/>
                <w14:ligatures w14:val="none"/>
              </w:rPr>
            </w:pPr>
            <w:r>
              <w:rPr>
                <w:rFonts w:ascii="Arial" w:eastAsia="Times New Roman" w:hAnsi="Arial" w:cs="Arial"/>
                <w:b/>
                <w:bCs/>
                <w:color w:val="000000"/>
                <w:szCs w:val="20"/>
              </w:rPr>
              <w:t>Distribution summary:</w:t>
            </w:r>
          </w:p>
        </w:tc>
        <w:tc>
          <w:tcPr>
            <w:tcW w:w="1805" w:type="dxa"/>
            <w:tcBorders>
              <w:top w:val="single" w:sz="8" w:space="0" w:color="auto"/>
              <w:left w:val="single" w:sz="8" w:space="0" w:color="auto"/>
              <w:bottom w:val="nil"/>
              <w:right w:val="single" w:sz="8" w:space="0" w:color="auto"/>
            </w:tcBorders>
            <w:shd w:val="clear" w:color="auto" w:fill="auto"/>
            <w:noWrap/>
            <w:vAlign w:val="bottom"/>
          </w:tcPr>
          <w:p w14:paraId="41F1565C" w14:textId="77777777" w:rsidR="001E68D5" w:rsidRPr="00FD2156" w:rsidRDefault="001E68D5" w:rsidP="001E68D5">
            <w:pPr>
              <w:jc w:val="right"/>
              <w:rPr>
                <w:rFonts w:ascii="Arial" w:eastAsia="Times New Roman" w:hAnsi="Arial" w:cs="Arial"/>
                <w:color w:val="000000"/>
                <w:kern w:val="0"/>
                <w:szCs w:val="20"/>
                <w14:ligatures w14:val="none"/>
              </w:rPr>
            </w:pPr>
          </w:p>
        </w:tc>
      </w:tr>
      <w:tr w:rsidR="001E68D5" w:rsidRPr="00FD2156" w14:paraId="0E6CE19E" w14:textId="77777777" w:rsidTr="00837E83">
        <w:trPr>
          <w:trHeight w:val="273"/>
        </w:trPr>
        <w:tc>
          <w:tcPr>
            <w:tcW w:w="6580" w:type="dxa"/>
            <w:tcBorders>
              <w:top w:val="single" w:sz="8" w:space="0" w:color="auto"/>
              <w:left w:val="single" w:sz="8" w:space="0" w:color="auto"/>
              <w:bottom w:val="nil"/>
              <w:right w:val="nil"/>
            </w:tcBorders>
            <w:shd w:val="clear" w:color="auto" w:fill="auto"/>
            <w:noWrap/>
            <w:vAlign w:val="bottom"/>
          </w:tcPr>
          <w:p w14:paraId="055DD41A" w14:textId="62EB4EE0" w:rsidR="001E68D5" w:rsidRPr="00FD2156" w:rsidRDefault="001E68D5" w:rsidP="001E68D5">
            <w:pPr>
              <w:rPr>
                <w:rFonts w:ascii="Arial" w:eastAsia="Times New Roman" w:hAnsi="Arial" w:cs="Arial"/>
                <w:b/>
                <w:bCs/>
                <w:color w:val="000000"/>
                <w:kern w:val="0"/>
                <w:szCs w:val="20"/>
                <w14:ligatures w14:val="none"/>
              </w:rPr>
            </w:pPr>
            <w:r w:rsidRPr="00E33D74">
              <w:rPr>
                <w:rFonts w:ascii="Arial" w:eastAsia="Times New Roman" w:hAnsi="Arial" w:cs="Arial"/>
                <w:color w:val="000000"/>
                <w:szCs w:val="20"/>
              </w:rPr>
              <w:t>Available for distribution to unsecured creditors</w:t>
            </w:r>
          </w:p>
        </w:tc>
        <w:tc>
          <w:tcPr>
            <w:tcW w:w="1805" w:type="dxa"/>
            <w:tcBorders>
              <w:top w:val="single" w:sz="8" w:space="0" w:color="auto"/>
              <w:left w:val="single" w:sz="8" w:space="0" w:color="auto"/>
              <w:bottom w:val="nil"/>
              <w:right w:val="single" w:sz="8" w:space="0" w:color="auto"/>
            </w:tcBorders>
            <w:shd w:val="clear" w:color="auto" w:fill="auto"/>
            <w:noWrap/>
            <w:vAlign w:val="bottom"/>
          </w:tcPr>
          <w:p w14:paraId="7B9E9952" w14:textId="1F52FE5E" w:rsidR="001E68D5" w:rsidRPr="00FD2156" w:rsidRDefault="001E68D5" w:rsidP="001E68D5">
            <w:pPr>
              <w:jc w:val="right"/>
              <w:rPr>
                <w:rFonts w:ascii="Arial" w:eastAsia="Times New Roman" w:hAnsi="Arial" w:cs="Arial"/>
                <w:color w:val="000000"/>
                <w:kern w:val="0"/>
                <w:szCs w:val="20"/>
                <w14:ligatures w14:val="none"/>
              </w:rPr>
            </w:pPr>
            <w:r>
              <w:rPr>
                <w:rFonts w:ascii="Arial" w:eastAsia="Times New Roman" w:hAnsi="Arial" w:cs="Arial"/>
                <w:color w:val="000000"/>
                <w:kern w:val="0"/>
                <w:szCs w:val="20"/>
                <w14:ligatures w14:val="none"/>
              </w:rPr>
              <w:t>6,759.0</w:t>
            </w:r>
          </w:p>
        </w:tc>
      </w:tr>
      <w:tr w:rsidR="001E68D5" w:rsidRPr="00FD2156" w14:paraId="4A0354BF" w14:textId="77777777" w:rsidTr="00837E83">
        <w:trPr>
          <w:trHeight w:val="273"/>
        </w:trPr>
        <w:tc>
          <w:tcPr>
            <w:tcW w:w="6580" w:type="dxa"/>
            <w:tcBorders>
              <w:top w:val="single" w:sz="8" w:space="0" w:color="auto"/>
              <w:left w:val="single" w:sz="8" w:space="0" w:color="auto"/>
              <w:bottom w:val="nil"/>
              <w:right w:val="nil"/>
            </w:tcBorders>
            <w:shd w:val="clear" w:color="auto" w:fill="auto"/>
            <w:noWrap/>
            <w:vAlign w:val="bottom"/>
          </w:tcPr>
          <w:p w14:paraId="1A74C4D4" w14:textId="783DCC86" w:rsidR="001E68D5" w:rsidRPr="00FD2156" w:rsidRDefault="001E68D5" w:rsidP="001E68D5">
            <w:pPr>
              <w:rPr>
                <w:rFonts w:ascii="Arial" w:eastAsia="Times New Roman" w:hAnsi="Arial" w:cs="Arial"/>
                <w:b/>
                <w:bCs/>
                <w:color w:val="000000"/>
                <w:kern w:val="0"/>
                <w:szCs w:val="20"/>
                <w14:ligatures w14:val="none"/>
              </w:rPr>
            </w:pPr>
            <w:r w:rsidRPr="00E33D74">
              <w:rPr>
                <w:rFonts w:ascii="Arial" w:eastAsia="Times New Roman" w:hAnsi="Arial" w:cs="Arial"/>
                <w:color w:val="000000"/>
                <w:szCs w:val="20"/>
              </w:rPr>
              <w:t>Total agreed unsecured creditor claims</w:t>
            </w:r>
          </w:p>
        </w:tc>
        <w:tc>
          <w:tcPr>
            <w:tcW w:w="1805" w:type="dxa"/>
            <w:tcBorders>
              <w:top w:val="single" w:sz="8" w:space="0" w:color="auto"/>
              <w:left w:val="single" w:sz="8" w:space="0" w:color="auto"/>
              <w:bottom w:val="nil"/>
              <w:right w:val="single" w:sz="8" w:space="0" w:color="auto"/>
            </w:tcBorders>
            <w:shd w:val="clear" w:color="auto" w:fill="auto"/>
            <w:noWrap/>
            <w:vAlign w:val="bottom"/>
          </w:tcPr>
          <w:p w14:paraId="0CAFA96C" w14:textId="474631A4" w:rsidR="001E68D5" w:rsidRPr="00FD2156" w:rsidRDefault="001E68D5" w:rsidP="001E68D5">
            <w:pPr>
              <w:jc w:val="right"/>
              <w:rPr>
                <w:rFonts w:ascii="Arial" w:eastAsia="Times New Roman" w:hAnsi="Arial" w:cs="Arial"/>
                <w:color w:val="000000"/>
                <w:kern w:val="0"/>
                <w:szCs w:val="20"/>
                <w14:ligatures w14:val="none"/>
              </w:rPr>
            </w:pPr>
            <w:r>
              <w:rPr>
                <w:rFonts w:ascii="Arial" w:eastAsia="Times New Roman" w:hAnsi="Arial" w:cs="Arial"/>
                <w:color w:val="000000"/>
                <w:kern w:val="0"/>
                <w:szCs w:val="20"/>
                <w14:ligatures w14:val="none"/>
              </w:rPr>
              <w:t>2,546,477.7</w:t>
            </w:r>
          </w:p>
        </w:tc>
      </w:tr>
      <w:tr w:rsidR="001E68D5" w:rsidRPr="00FD2156" w14:paraId="158E68A6" w14:textId="77777777" w:rsidTr="00837E83">
        <w:trPr>
          <w:trHeight w:val="273"/>
        </w:trPr>
        <w:tc>
          <w:tcPr>
            <w:tcW w:w="6580" w:type="dxa"/>
            <w:tcBorders>
              <w:top w:val="single" w:sz="8" w:space="0" w:color="auto"/>
              <w:left w:val="single" w:sz="8" w:space="0" w:color="auto"/>
              <w:bottom w:val="nil"/>
              <w:right w:val="nil"/>
            </w:tcBorders>
            <w:shd w:val="clear" w:color="auto" w:fill="auto"/>
            <w:noWrap/>
            <w:vAlign w:val="bottom"/>
          </w:tcPr>
          <w:p w14:paraId="1F0F7D1E" w14:textId="75DC391F" w:rsidR="001E68D5" w:rsidRPr="00FD2156" w:rsidRDefault="001E68D5" w:rsidP="001E68D5">
            <w:pPr>
              <w:rPr>
                <w:rFonts w:ascii="Arial" w:eastAsia="Times New Roman" w:hAnsi="Arial" w:cs="Arial"/>
                <w:b/>
                <w:bCs/>
                <w:color w:val="000000"/>
                <w:kern w:val="0"/>
                <w:szCs w:val="20"/>
                <w14:ligatures w14:val="none"/>
              </w:rPr>
            </w:pPr>
            <w:r w:rsidRPr="00E33D74">
              <w:rPr>
                <w:rFonts w:ascii="Arial" w:eastAsia="Times New Roman" w:hAnsi="Arial" w:cs="Arial"/>
                <w:b/>
                <w:bCs/>
                <w:color w:val="000000"/>
                <w:szCs w:val="20"/>
              </w:rPr>
              <w:t>Dividend rate p/£</w:t>
            </w:r>
          </w:p>
        </w:tc>
        <w:tc>
          <w:tcPr>
            <w:tcW w:w="1805" w:type="dxa"/>
            <w:tcBorders>
              <w:top w:val="single" w:sz="8" w:space="0" w:color="auto"/>
              <w:left w:val="single" w:sz="8" w:space="0" w:color="auto"/>
              <w:bottom w:val="nil"/>
              <w:right w:val="single" w:sz="8" w:space="0" w:color="auto"/>
            </w:tcBorders>
            <w:shd w:val="clear" w:color="auto" w:fill="auto"/>
            <w:noWrap/>
            <w:vAlign w:val="bottom"/>
          </w:tcPr>
          <w:p w14:paraId="303FAAF6" w14:textId="4F93EF8B" w:rsidR="001E68D5" w:rsidRPr="001E68D5" w:rsidRDefault="001E68D5" w:rsidP="001E68D5">
            <w:pPr>
              <w:jc w:val="right"/>
              <w:rPr>
                <w:rFonts w:ascii="Arial" w:eastAsia="Times New Roman" w:hAnsi="Arial" w:cs="Arial"/>
                <w:b/>
                <w:bCs/>
                <w:color w:val="000000"/>
                <w:kern w:val="0"/>
                <w:szCs w:val="20"/>
                <w14:ligatures w14:val="none"/>
              </w:rPr>
            </w:pPr>
            <w:r w:rsidRPr="001E68D5">
              <w:rPr>
                <w:rFonts w:ascii="Arial" w:eastAsia="Times New Roman" w:hAnsi="Arial" w:cs="Arial"/>
                <w:b/>
                <w:bCs/>
                <w:color w:val="000000"/>
                <w:kern w:val="0"/>
                <w:szCs w:val="20"/>
                <w14:ligatures w14:val="none"/>
              </w:rPr>
              <w:t>0.26</w:t>
            </w:r>
          </w:p>
        </w:tc>
      </w:tr>
      <w:tr w:rsidR="001E68D5" w:rsidRPr="00FD2156" w14:paraId="48BEF75F" w14:textId="77777777" w:rsidTr="001E68D5">
        <w:trPr>
          <w:trHeight w:val="80"/>
        </w:trPr>
        <w:tc>
          <w:tcPr>
            <w:tcW w:w="6580" w:type="dxa"/>
            <w:tcBorders>
              <w:top w:val="nil"/>
              <w:left w:val="single" w:sz="8" w:space="0" w:color="auto"/>
              <w:bottom w:val="single" w:sz="4" w:space="0" w:color="auto"/>
              <w:right w:val="nil"/>
            </w:tcBorders>
            <w:shd w:val="clear" w:color="auto" w:fill="auto"/>
            <w:noWrap/>
            <w:vAlign w:val="bottom"/>
            <w:hideMark/>
          </w:tcPr>
          <w:p w14:paraId="226C8E25" w14:textId="77777777" w:rsidR="001E68D5" w:rsidRPr="00FD2156" w:rsidRDefault="001E68D5" w:rsidP="001E68D5">
            <w:pPr>
              <w:rPr>
                <w:rFonts w:ascii="Arial" w:eastAsia="Times New Roman" w:hAnsi="Arial" w:cs="Arial"/>
                <w:color w:val="000000"/>
                <w:kern w:val="0"/>
                <w:szCs w:val="20"/>
                <w14:ligatures w14:val="none"/>
              </w:rPr>
            </w:pP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3995F403" w14:textId="77777777" w:rsidR="001E68D5" w:rsidRPr="00FD2156" w:rsidRDefault="001E68D5" w:rsidP="001E68D5">
            <w:pPr>
              <w:jc w:val="right"/>
              <w:rPr>
                <w:rFonts w:ascii="Arial" w:eastAsia="Times New Roman" w:hAnsi="Arial" w:cs="Arial"/>
                <w:color w:val="000000"/>
                <w:kern w:val="0"/>
                <w:szCs w:val="20"/>
                <w14:ligatures w14:val="none"/>
              </w:rPr>
            </w:pPr>
          </w:p>
        </w:tc>
      </w:tr>
    </w:tbl>
    <w:p w14:paraId="6124E102" w14:textId="77777777" w:rsidR="009220F3" w:rsidRPr="00FD2156" w:rsidRDefault="009220F3" w:rsidP="009220F3">
      <w:pPr>
        <w:widowControl w:val="0"/>
        <w:autoSpaceDE w:val="0"/>
        <w:autoSpaceDN w:val="0"/>
        <w:spacing w:before="150" w:line="266" w:lineRule="auto"/>
        <w:ind w:right="512"/>
        <w:rPr>
          <w:rFonts w:ascii="Arial" w:eastAsia="Arial" w:hAnsi="Arial" w:cs="Arial"/>
          <w:kern w:val="0"/>
          <w:sz w:val="14"/>
          <w:szCs w:val="14"/>
          <w14:ligatures w14:val="none"/>
        </w:rPr>
      </w:pPr>
    </w:p>
    <w:p w14:paraId="5ED90056" w14:textId="77777777" w:rsidR="009220F3" w:rsidRPr="00FD2156" w:rsidRDefault="009220F3" w:rsidP="009220F3">
      <w:pPr>
        <w:widowControl w:val="0"/>
        <w:autoSpaceDE w:val="0"/>
        <w:autoSpaceDN w:val="0"/>
        <w:spacing w:before="150" w:line="266" w:lineRule="auto"/>
        <w:ind w:left="154" w:right="512"/>
        <w:rPr>
          <w:rFonts w:ascii="Arial" w:eastAsia="Arial" w:hAnsi="Arial" w:cs="Arial"/>
          <w:kern w:val="0"/>
          <w:sz w:val="14"/>
          <w:szCs w:val="14"/>
          <w14:ligatures w14:val="none"/>
        </w:rPr>
      </w:pPr>
      <w:r w:rsidRPr="00FD2156">
        <w:rPr>
          <w:rFonts w:ascii="Arial" w:eastAsia="Arial" w:hAnsi="Arial" w:cs="Arial"/>
          <w:kern w:val="0"/>
          <w:sz w:val="14"/>
          <w:szCs w:val="14"/>
          <w14:ligatures w14:val="none"/>
        </w:rPr>
        <w:t xml:space="preserve">Notes:  </w:t>
      </w:r>
    </w:p>
    <w:p w14:paraId="163139D4" w14:textId="77777777" w:rsidR="00B767C7" w:rsidRPr="00AA4F46" w:rsidRDefault="00B767C7" w:rsidP="00B767C7">
      <w:pPr>
        <w:widowControl w:val="0"/>
        <w:autoSpaceDE w:val="0"/>
        <w:autoSpaceDN w:val="0"/>
        <w:spacing w:before="150" w:line="266" w:lineRule="auto"/>
        <w:ind w:left="154" w:right="512"/>
        <w:rPr>
          <w:rFonts w:ascii="Arial" w:eastAsia="Arial" w:hAnsi="Arial" w:cs="Arial"/>
          <w:b/>
          <w:bCs/>
          <w:sz w:val="14"/>
          <w:szCs w:val="14"/>
        </w:rPr>
      </w:pPr>
      <w:bookmarkStart w:id="0"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79843C66" w14:textId="77777777" w:rsidR="00B767C7" w:rsidRDefault="00B767C7" w:rsidP="00B767C7">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610E12B5" w14:textId="77777777" w:rsidR="00B767C7" w:rsidRPr="00AA4F46" w:rsidRDefault="00B767C7" w:rsidP="00B767C7">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73F09B1E" w14:textId="77777777" w:rsidR="00B767C7" w:rsidRPr="00C42257" w:rsidRDefault="00B767C7" w:rsidP="00B767C7">
      <w:pPr>
        <w:widowControl w:val="0"/>
        <w:autoSpaceDE w:val="0"/>
        <w:autoSpaceDN w:val="0"/>
        <w:spacing w:before="150" w:line="266" w:lineRule="auto"/>
        <w:ind w:left="154" w:right="512"/>
        <w:rPr>
          <w:rFonts w:ascii="Arial" w:eastAsia="Arial" w:hAnsi="Arial" w:cs="Arial"/>
          <w:sz w:val="14"/>
          <w:szCs w:val="14"/>
        </w:rPr>
      </w:pPr>
      <w:bookmarkStart w:id="1" w:name="_Hlk175733984"/>
      <w:bookmarkStart w:id="2" w:name="_Hlk175734220"/>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3"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707BC748" w14:textId="77777777" w:rsidR="00B767C7" w:rsidRPr="00AA4F46" w:rsidRDefault="00B767C7" w:rsidP="00B767C7">
      <w:pPr>
        <w:widowControl w:val="0"/>
        <w:autoSpaceDE w:val="0"/>
        <w:autoSpaceDN w:val="0"/>
        <w:spacing w:before="150" w:line="266" w:lineRule="auto"/>
        <w:ind w:left="154" w:right="512"/>
        <w:rPr>
          <w:rFonts w:ascii="Arial" w:eastAsia="Arial" w:hAnsi="Arial" w:cs="Arial"/>
          <w:sz w:val="14"/>
          <w:szCs w:val="14"/>
        </w:rPr>
      </w:pPr>
      <w:bookmarkStart w:id="3" w:name="_Hlk175733993"/>
      <w:bookmarkEnd w:id="1"/>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4"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p>
    <w:bookmarkEnd w:id="0"/>
    <w:bookmarkEnd w:id="2"/>
    <w:bookmarkEnd w:id="3"/>
    <w:p w14:paraId="211D6EB4" w14:textId="77777777" w:rsidR="00FA1778" w:rsidRPr="00860A08" w:rsidRDefault="00FA1778" w:rsidP="00860A08"/>
    <w:sectPr w:rsidR="00FA1778" w:rsidRPr="00860A08" w:rsidSect="002545B8">
      <w:headerReference w:type="default" r:id="rId15"/>
      <w:headerReference w:type="first" r:id="rId16"/>
      <w:pgSz w:w="11907" w:h="16840" w:code="9"/>
      <w:pgMar w:top="1418" w:right="1418" w:bottom="1418" w:left="1418" w:header="73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54E42" w14:textId="77777777" w:rsidR="003E29AD" w:rsidRDefault="003E29AD" w:rsidP="003F3ED2">
      <w:r>
        <w:separator/>
      </w:r>
    </w:p>
  </w:endnote>
  <w:endnote w:type="continuationSeparator" w:id="0">
    <w:p w14:paraId="732B0887" w14:textId="77777777" w:rsidR="003E29AD" w:rsidRDefault="003E29AD"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15434" w14:textId="77777777" w:rsidR="003E29AD" w:rsidRDefault="003E29AD" w:rsidP="003F3ED2">
      <w:r>
        <w:separator/>
      </w:r>
    </w:p>
  </w:footnote>
  <w:footnote w:type="continuationSeparator" w:id="0">
    <w:p w14:paraId="77F7BEE6" w14:textId="77777777" w:rsidR="003E29AD" w:rsidRDefault="003E29AD"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1867" w14:textId="77777777" w:rsidR="009220F3" w:rsidRDefault="009220F3"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244C" w14:textId="77777777" w:rsidR="009220F3" w:rsidRDefault="009220F3" w:rsidP="00F07CE2">
    <w:pPr>
      <w:pStyle w:val="Header"/>
    </w:pP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88E8" w14:textId="77777777" w:rsidR="00FA1778" w:rsidRDefault="00266228" w:rsidP="00266228">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F0C3"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14645210">
    <w:abstractNumId w:val="10"/>
  </w:num>
  <w:num w:numId="2" w16cid:durableId="1623805464">
    <w:abstractNumId w:val="13"/>
  </w:num>
  <w:num w:numId="3" w16cid:durableId="743382114">
    <w:abstractNumId w:val="6"/>
  </w:num>
  <w:num w:numId="4" w16cid:durableId="2040933809">
    <w:abstractNumId w:val="3"/>
  </w:num>
  <w:num w:numId="5" w16cid:durableId="1988893225">
    <w:abstractNumId w:val="3"/>
  </w:num>
  <w:num w:numId="6" w16cid:durableId="937518222">
    <w:abstractNumId w:val="1"/>
  </w:num>
  <w:num w:numId="7" w16cid:durableId="443229294">
    <w:abstractNumId w:val="1"/>
  </w:num>
  <w:num w:numId="8" w16cid:durableId="621418551">
    <w:abstractNumId w:val="2"/>
  </w:num>
  <w:num w:numId="9" w16cid:durableId="2005627699">
    <w:abstractNumId w:val="2"/>
  </w:num>
  <w:num w:numId="10" w16cid:durableId="1407150139">
    <w:abstractNumId w:val="0"/>
  </w:num>
  <w:num w:numId="11" w16cid:durableId="202443788">
    <w:abstractNumId w:val="0"/>
  </w:num>
  <w:num w:numId="12" w16cid:durableId="1995179314">
    <w:abstractNumId w:val="7"/>
  </w:num>
  <w:num w:numId="13" w16cid:durableId="1558589009">
    <w:abstractNumId w:val="12"/>
  </w:num>
  <w:num w:numId="14" w16cid:durableId="1234242613">
    <w:abstractNumId w:val="8"/>
  </w:num>
  <w:num w:numId="15" w16cid:durableId="2040545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923241">
    <w:abstractNumId w:val="5"/>
  </w:num>
  <w:num w:numId="17" w16cid:durableId="489951571">
    <w:abstractNumId w:val="4"/>
  </w:num>
  <w:num w:numId="18" w16cid:durableId="1031344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F3"/>
    <w:rsid w:val="00027F69"/>
    <w:rsid w:val="000314C3"/>
    <w:rsid w:val="000427AE"/>
    <w:rsid w:val="00081DF4"/>
    <w:rsid w:val="00090044"/>
    <w:rsid w:val="00090265"/>
    <w:rsid w:val="000D6587"/>
    <w:rsid w:val="000E2358"/>
    <w:rsid w:val="000E53C9"/>
    <w:rsid w:val="001306C6"/>
    <w:rsid w:val="0016555A"/>
    <w:rsid w:val="0018341A"/>
    <w:rsid w:val="00196945"/>
    <w:rsid w:val="001B605C"/>
    <w:rsid w:val="001E1B37"/>
    <w:rsid w:val="001E68D5"/>
    <w:rsid w:val="0024762D"/>
    <w:rsid w:val="002526A6"/>
    <w:rsid w:val="002545B8"/>
    <w:rsid w:val="00262E11"/>
    <w:rsid w:val="00266228"/>
    <w:rsid w:val="002A0B3E"/>
    <w:rsid w:val="002C6DD7"/>
    <w:rsid w:val="003347C1"/>
    <w:rsid w:val="00342C51"/>
    <w:rsid w:val="0034763B"/>
    <w:rsid w:val="00387E7A"/>
    <w:rsid w:val="003B355A"/>
    <w:rsid w:val="003D7A11"/>
    <w:rsid w:val="003E29AD"/>
    <w:rsid w:val="003F225D"/>
    <w:rsid w:val="003F3ED2"/>
    <w:rsid w:val="00425C88"/>
    <w:rsid w:val="004C1919"/>
    <w:rsid w:val="004C5E62"/>
    <w:rsid w:val="004F4C48"/>
    <w:rsid w:val="00507781"/>
    <w:rsid w:val="00524E63"/>
    <w:rsid w:val="00526182"/>
    <w:rsid w:val="00543072"/>
    <w:rsid w:val="005A7B38"/>
    <w:rsid w:val="005C5E73"/>
    <w:rsid w:val="005E274A"/>
    <w:rsid w:val="006275C9"/>
    <w:rsid w:val="00695989"/>
    <w:rsid w:val="006D3A3E"/>
    <w:rsid w:val="007438AE"/>
    <w:rsid w:val="007620D9"/>
    <w:rsid w:val="00784945"/>
    <w:rsid w:val="008063D5"/>
    <w:rsid w:val="00814CD5"/>
    <w:rsid w:val="00821C02"/>
    <w:rsid w:val="00830ED2"/>
    <w:rsid w:val="00835739"/>
    <w:rsid w:val="00860A08"/>
    <w:rsid w:val="00862785"/>
    <w:rsid w:val="008661ED"/>
    <w:rsid w:val="008672BC"/>
    <w:rsid w:val="008B0F88"/>
    <w:rsid w:val="008D7F6C"/>
    <w:rsid w:val="008F267A"/>
    <w:rsid w:val="009220F3"/>
    <w:rsid w:val="00970E44"/>
    <w:rsid w:val="00991FCA"/>
    <w:rsid w:val="00A3339D"/>
    <w:rsid w:val="00A56FB1"/>
    <w:rsid w:val="00AC09AA"/>
    <w:rsid w:val="00AE2D0D"/>
    <w:rsid w:val="00AE4E51"/>
    <w:rsid w:val="00AF2653"/>
    <w:rsid w:val="00B313FF"/>
    <w:rsid w:val="00B66053"/>
    <w:rsid w:val="00B721D8"/>
    <w:rsid w:val="00B767C7"/>
    <w:rsid w:val="00B907E3"/>
    <w:rsid w:val="00BB1971"/>
    <w:rsid w:val="00BC64DF"/>
    <w:rsid w:val="00BD244A"/>
    <w:rsid w:val="00BD2C0E"/>
    <w:rsid w:val="00C2036B"/>
    <w:rsid w:val="00C4355E"/>
    <w:rsid w:val="00C47B96"/>
    <w:rsid w:val="00CB6C7F"/>
    <w:rsid w:val="00CC228D"/>
    <w:rsid w:val="00CC5F48"/>
    <w:rsid w:val="00CD5420"/>
    <w:rsid w:val="00D55238"/>
    <w:rsid w:val="00D566D6"/>
    <w:rsid w:val="00D74D0F"/>
    <w:rsid w:val="00DA3317"/>
    <w:rsid w:val="00DA3681"/>
    <w:rsid w:val="00DE3E6C"/>
    <w:rsid w:val="00E56FB4"/>
    <w:rsid w:val="00E82295"/>
    <w:rsid w:val="00EB0B20"/>
    <w:rsid w:val="00EB7951"/>
    <w:rsid w:val="00F07CE2"/>
    <w:rsid w:val="00F15FA8"/>
    <w:rsid w:val="00F241D4"/>
    <w:rsid w:val="00FA1778"/>
    <w:rsid w:val="00FA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CC3C48"/>
  <w15:chartTrackingRefBased/>
  <w15:docId w15:val="{159BEB62-E47D-44F4-B5ED-FC0E3AF6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F3"/>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paragraph" w:styleId="Heading4">
    <w:name w:val="heading 4"/>
    <w:basedOn w:val="Normal"/>
    <w:next w:val="Normal"/>
    <w:link w:val="Heading4Char"/>
    <w:uiPriority w:val="9"/>
    <w:semiHidden/>
    <w:unhideWhenUsed/>
    <w:qFormat/>
    <w:rsid w:val="009220F3"/>
    <w:pPr>
      <w:keepNext/>
      <w:keepLines/>
      <w:spacing w:before="80" w:after="40"/>
      <w:outlineLvl w:val="3"/>
    </w:pPr>
    <w:rPr>
      <w:rFonts w:eastAsiaTheme="majorEastAsia" w:cstheme="majorBidi"/>
      <w:i/>
      <w:iCs/>
      <w:color w:val="448527" w:themeColor="accent1" w:themeShade="BF"/>
    </w:rPr>
  </w:style>
  <w:style w:type="paragraph" w:styleId="Heading5">
    <w:name w:val="heading 5"/>
    <w:basedOn w:val="Normal"/>
    <w:next w:val="Normal"/>
    <w:link w:val="Heading5Char"/>
    <w:uiPriority w:val="9"/>
    <w:semiHidden/>
    <w:unhideWhenUsed/>
    <w:qFormat/>
    <w:rsid w:val="009220F3"/>
    <w:pPr>
      <w:keepNext/>
      <w:keepLines/>
      <w:spacing w:before="80" w:after="40"/>
      <w:outlineLvl w:val="4"/>
    </w:pPr>
    <w:rPr>
      <w:rFonts w:eastAsiaTheme="majorEastAsia" w:cstheme="majorBidi"/>
      <w:color w:val="448527" w:themeColor="accent1" w:themeShade="BF"/>
    </w:rPr>
  </w:style>
  <w:style w:type="paragraph" w:styleId="Heading6">
    <w:name w:val="heading 6"/>
    <w:basedOn w:val="Normal"/>
    <w:next w:val="Normal"/>
    <w:link w:val="Heading6Char"/>
    <w:uiPriority w:val="9"/>
    <w:semiHidden/>
    <w:unhideWhenUsed/>
    <w:qFormat/>
    <w:rsid w:val="009220F3"/>
    <w:pPr>
      <w:keepNext/>
      <w:keepLines/>
      <w:spacing w:before="40"/>
      <w:outlineLvl w:val="5"/>
    </w:pPr>
    <w:rPr>
      <w:rFonts w:eastAsiaTheme="majorEastAsia" w:cstheme="majorBidi"/>
      <w:i/>
      <w:iCs/>
      <w:color w:val="7D7D7D" w:themeColor="text1" w:themeTint="A6"/>
    </w:rPr>
  </w:style>
  <w:style w:type="paragraph" w:styleId="Heading7">
    <w:name w:val="heading 7"/>
    <w:basedOn w:val="Normal"/>
    <w:next w:val="Normal"/>
    <w:link w:val="Heading7Char"/>
    <w:uiPriority w:val="9"/>
    <w:semiHidden/>
    <w:unhideWhenUsed/>
    <w:qFormat/>
    <w:rsid w:val="009220F3"/>
    <w:pPr>
      <w:keepNext/>
      <w:keepLines/>
      <w:spacing w:before="40"/>
      <w:outlineLvl w:val="6"/>
    </w:pPr>
    <w:rPr>
      <w:rFonts w:eastAsiaTheme="majorEastAsia" w:cstheme="majorBidi"/>
      <w:color w:val="7D7D7D" w:themeColor="text1" w:themeTint="A6"/>
    </w:rPr>
  </w:style>
  <w:style w:type="paragraph" w:styleId="Heading8">
    <w:name w:val="heading 8"/>
    <w:basedOn w:val="Normal"/>
    <w:next w:val="Normal"/>
    <w:link w:val="Heading8Char"/>
    <w:uiPriority w:val="9"/>
    <w:semiHidden/>
    <w:unhideWhenUsed/>
    <w:qFormat/>
    <w:rsid w:val="009220F3"/>
    <w:pPr>
      <w:keepNext/>
      <w:keepLines/>
      <w:outlineLvl w:val="7"/>
    </w:pPr>
    <w:rPr>
      <w:rFonts w:eastAsiaTheme="majorEastAsia" w:cstheme="majorBidi"/>
      <w:i/>
      <w:iCs/>
      <w:color w:val="565656" w:themeColor="text1" w:themeTint="D8"/>
    </w:rPr>
  </w:style>
  <w:style w:type="paragraph" w:styleId="Heading9">
    <w:name w:val="heading 9"/>
    <w:basedOn w:val="Normal"/>
    <w:next w:val="Normal"/>
    <w:link w:val="Heading9Char"/>
    <w:uiPriority w:val="9"/>
    <w:semiHidden/>
    <w:unhideWhenUsed/>
    <w:qFormat/>
    <w:rsid w:val="009220F3"/>
    <w:pPr>
      <w:keepNext/>
      <w:keepLines/>
      <w:outlineLvl w:val="8"/>
    </w:pPr>
    <w:rPr>
      <w:rFonts w:eastAsiaTheme="majorEastAsia" w:cstheme="majorBidi"/>
      <w:color w:val="5656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customStyle="1" w:styleId="Heading4Char">
    <w:name w:val="Heading 4 Char"/>
    <w:basedOn w:val="DefaultParagraphFont"/>
    <w:link w:val="Heading4"/>
    <w:uiPriority w:val="9"/>
    <w:semiHidden/>
    <w:rsid w:val="009220F3"/>
    <w:rPr>
      <w:rFonts w:eastAsiaTheme="majorEastAsia" w:cstheme="majorBidi"/>
      <w:i/>
      <w:iCs/>
      <w:color w:val="448527" w:themeColor="accent1" w:themeShade="BF"/>
      <w:sz w:val="20"/>
    </w:rPr>
  </w:style>
  <w:style w:type="character" w:customStyle="1" w:styleId="Heading5Char">
    <w:name w:val="Heading 5 Char"/>
    <w:basedOn w:val="DefaultParagraphFont"/>
    <w:link w:val="Heading5"/>
    <w:uiPriority w:val="9"/>
    <w:semiHidden/>
    <w:rsid w:val="009220F3"/>
    <w:rPr>
      <w:rFonts w:eastAsiaTheme="majorEastAsia" w:cstheme="majorBidi"/>
      <w:color w:val="448527" w:themeColor="accent1" w:themeShade="BF"/>
      <w:sz w:val="20"/>
    </w:rPr>
  </w:style>
  <w:style w:type="character" w:customStyle="1" w:styleId="Heading6Char">
    <w:name w:val="Heading 6 Char"/>
    <w:basedOn w:val="DefaultParagraphFont"/>
    <w:link w:val="Heading6"/>
    <w:uiPriority w:val="9"/>
    <w:semiHidden/>
    <w:rsid w:val="009220F3"/>
    <w:rPr>
      <w:rFonts w:eastAsiaTheme="majorEastAsia" w:cstheme="majorBidi"/>
      <w:i/>
      <w:iCs/>
      <w:color w:val="7D7D7D" w:themeColor="text1" w:themeTint="A6"/>
      <w:sz w:val="20"/>
    </w:rPr>
  </w:style>
  <w:style w:type="character" w:customStyle="1" w:styleId="Heading7Char">
    <w:name w:val="Heading 7 Char"/>
    <w:basedOn w:val="DefaultParagraphFont"/>
    <w:link w:val="Heading7"/>
    <w:uiPriority w:val="9"/>
    <w:semiHidden/>
    <w:rsid w:val="009220F3"/>
    <w:rPr>
      <w:rFonts w:eastAsiaTheme="majorEastAsia" w:cstheme="majorBidi"/>
      <w:color w:val="7D7D7D" w:themeColor="text1" w:themeTint="A6"/>
      <w:sz w:val="20"/>
    </w:rPr>
  </w:style>
  <w:style w:type="character" w:customStyle="1" w:styleId="Heading8Char">
    <w:name w:val="Heading 8 Char"/>
    <w:basedOn w:val="DefaultParagraphFont"/>
    <w:link w:val="Heading8"/>
    <w:uiPriority w:val="9"/>
    <w:semiHidden/>
    <w:rsid w:val="009220F3"/>
    <w:rPr>
      <w:rFonts w:eastAsiaTheme="majorEastAsia" w:cstheme="majorBidi"/>
      <w:i/>
      <w:iCs/>
      <w:color w:val="565656" w:themeColor="text1" w:themeTint="D8"/>
      <w:sz w:val="20"/>
    </w:rPr>
  </w:style>
  <w:style w:type="character" w:customStyle="1" w:styleId="Heading9Char">
    <w:name w:val="Heading 9 Char"/>
    <w:basedOn w:val="DefaultParagraphFont"/>
    <w:link w:val="Heading9"/>
    <w:uiPriority w:val="9"/>
    <w:semiHidden/>
    <w:rsid w:val="009220F3"/>
    <w:rPr>
      <w:rFonts w:eastAsiaTheme="majorEastAsia" w:cstheme="majorBidi"/>
      <w:color w:val="565656" w:themeColor="text1" w:themeTint="D8"/>
      <w:sz w:val="20"/>
    </w:rPr>
  </w:style>
  <w:style w:type="paragraph" w:styleId="Title">
    <w:name w:val="Title"/>
    <w:basedOn w:val="Normal"/>
    <w:next w:val="Normal"/>
    <w:link w:val="TitleChar"/>
    <w:uiPriority w:val="10"/>
    <w:qFormat/>
    <w:rsid w:val="009220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0F3"/>
    <w:pPr>
      <w:numPr>
        <w:ilvl w:val="1"/>
      </w:numPr>
      <w:spacing w:after="160"/>
    </w:pPr>
    <w:rPr>
      <w:rFonts w:eastAsiaTheme="majorEastAsia" w:cstheme="majorBidi"/>
      <w:color w:val="7D7D7D" w:themeColor="text1" w:themeTint="A6"/>
      <w:spacing w:val="15"/>
      <w:sz w:val="28"/>
      <w:szCs w:val="28"/>
    </w:rPr>
  </w:style>
  <w:style w:type="character" w:customStyle="1" w:styleId="SubtitleChar">
    <w:name w:val="Subtitle Char"/>
    <w:basedOn w:val="DefaultParagraphFont"/>
    <w:link w:val="Subtitle"/>
    <w:uiPriority w:val="11"/>
    <w:rsid w:val="009220F3"/>
    <w:rPr>
      <w:rFonts w:eastAsiaTheme="majorEastAsia" w:cstheme="majorBidi"/>
      <w:color w:val="7D7D7D" w:themeColor="text1" w:themeTint="A6"/>
      <w:spacing w:val="15"/>
      <w:sz w:val="28"/>
      <w:szCs w:val="28"/>
    </w:rPr>
  </w:style>
  <w:style w:type="paragraph" w:styleId="Quote">
    <w:name w:val="Quote"/>
    <w:basedOn w:val="Normal"/>
    <w:next w:val="Normal"/>
    <w:link w:val="QuoteChar"/>
    <w:uiPriority w:val="29"/>
    <w:qFormat/>
    <w:rsid w:val="009220F3"/>
    <w:pPr>
      <w:spacing w:before="160" w:after="160"/>
      <w:jc w:val="center"/>
    </w:pPr>
    <w:rPr>
      <w:i/>
      <w:iCs/>
      <w:color w:val="696969" w:themeColor="text1" w:themeTint="BF"/>
    </w:rPr>
  </w:style>
  <w:style w:type="character" w:customStyle="1" w:styleId="QuoteChar">
    <w:name w:val="Quote Char"/>
    <w:basedOn w:val="DefaultParagraphFont"/>
    <w:link w:val="Quote"/>
    <w:uiPriority w:val="29"/>
    <w:rsid w:val="009220F3"/>
    <w:rPr>
      <w:i/>
      <w:iCs/>
      <w:color w:val="696969" w:themeColor="text1" w:themeTint="BF"/>
      <w:sz w:val="20"/>
    </w:rPr>
  </w:style>
  <w:style w:type="paragraph" w:styleId="ListParagraph">
    <w:name w:val="List Paragraph"/>
    <w:basedOn w:val="Normal"/>
    <w:uiPriority w:val="34"/>
    <w:qFormat/>
    <w:rsid w:val="009220F3"/>
    <w:pPr>
      <w:ind w:left="720"/>
      <w:contextualSpacing/>
    </w:pPr>
  </w:style>
  <w:style w:type="character" w:styleId="IntenseEmphasis">
    <w:name w:val="Intense Emphasis"/>
    <w:basedOn w:val="DefaultParagraphFont"/>
    <w:uiPriority w:val="21"/>
    <w:qFormat/>
    <w:rsid w:val="009220F3"/>
    <w:rPr>
      <w:i/>
      <w:iCs/>
      <w:color w:val="448527" w:themeColor="accent1" w:themeShade="BF"/>
    </w:rPr>
  </w:style>
  <w:style w:type="paragraph" w:styleId="IntenseQuote">
    <w:name w:val="Intense Quote"/>
    <w:basedOn w:val="Normal"/>
    <w:next w:val="Normal"/>
    <w:link w:val="IntenseQuoteChar"/>
    <w:uiPriority w:val="30"/>
    <w:qFormat/>
    <w:rsid w:val="009220F3"/>
    <w:pPr>
      <w:pBdr>
        <w:top w:val="single" w:sz="4" w:space="10" w:color="448527" w:themeColor="accent1" w:themeShade="BF"/>
        <w:bottom w:val="single" w:sz="4" w:space="10" w:color="448527" w:themeColor="accent1" w:themeShade="BF"/>
      </w:pBdr>
      <w:spacing w:before="360" w:after="360"/>
      <w:ind w:left="864" w:right="864"/>
      <w:jc w:val="center"/>
    </w:pPr>
    <w:rPr>
      <w:i/>
      <w:iCs/>
      <w:color w:val="448527" w:themeColor="accent1" w:themeShade="BF"/>
    </w:rPr>
  </w:style>
  <w:style w:type="character" w:customStyle="1" w:styleId="IntenseQuoteChar">
    <w:name w:val="Intense Quote Char"/>
    <w:basedOn w:val="DefaultParagraphFont"/>
    <w:link w:val="IntenseQuote"/>
    <w:uiPriority w:val="30"/>
    <w:rsid w:val="009220F3"/>
    <w:rPr>
      <w:i/>
      <w:iCs/>
      <w:color w:val="448527" w:themeColor="accent1" w:themeShade="BF"/>
      <w:sz w:val="20"/>
    </w:rPr>
  </w:style>
  <w:style w:type="character" w:styleId="IntenseReference">
    <w:name w:val="Intense Reference"/>
    <w:basedOn w:val="DefaultParagraphFont"/>
    <w:uiPriority w:val="32"/>
    <w:qFormat/>
    <w:rsid w:val="009220F3"/>
    <w:rPr>
      <w:b/>
      <w:bCs/>
      <w:smallCaps/>
      <w:color w:val="448527" w:themeColor="accent1" w:themeShade="BF"/>
      <w:spacing w:val="5"/>
    </w:rPr>
  </w:style>
  <w:style w:type="character" w:styleId="Hyperlink">
    <w:name w:val="Hyperlink"/>
    <w:basedOn w:val="DefaultParagraphFont"/>
    <w:uiPriority w:val="99"/>
    <w:unhideWhenUsed/>
    <w:rsid w:val="009220F3"/>
    <w:rPr>
      <w:color w:val="0696A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4777">
      <w:bodyDiv w:val="1"/>
      <w:marLeft w:val="0"/>
      <w:marRight w:val="0"/>
      <w:marTop w:val="0"/>
      <w:marBottom w:val="0"/>
      <w:divBdr>
        <w:top w:val="none" w:sz="0" w:space="0" w:color="auto"/>
        <w:left w:val="none" w:sz="0" w:space="0" w:color="auto"/>
        <w:bottom w:val="none" w:sz="0" w:space="0" w:color="auto"/>
        <w:right w:val="none" w:sz="0" w:space="0" w:color="auto"/>
      </w:divBdr>
    </w:div>
    <w:div w:id="402145639">
      <w:bodyDiv w:val="1"/>
      <w:marLeft w:val="0"/>
      <w:marRight w:val="0"/>
      <w:marTop w:val="0"/>
      <w:marBottom w:val="0"/>
      <w:divBdr>
        <w:top w:val="none" w:sz="0" w:space="0" w:color="auto"/>
        <w:left w:val="none" w:sz="0" w:space="0" w:color="auto"/>
        <w:bottom w:val="none" w:sz="0" w:space="0" w:color="auto"/>
        <w:right w:val="none" w:sz="0" w:space="0" w:color="auto"/>
      </w:divBdr>
    </w:div>
    <w:div w:id="658004720">
      <w:bodyDiv w:val="1"/>
      <w:marLeft w:val="0"/>
      <w:marRight w:val="0"/>
      <w:marTop w:val="0"/>
      <w:marBottom w:val="0"/>
      <w:divBdr>
        <w:top w:val="none" w:sz="0" w:space="0" w:color="auto"/>
        <w:left w:val="none" w:sz="0" w:space="0" w:color="auto"/>
        <w:bottom w:val="none" w:sz="0" w:space="0" w:color="auto"/>
        <w:right w:val="none" w:sz="0" w:space="0" w:color="auto"/>
      </w:divBdr>
    </w:div>
    <w:div w:id="669142243">
      <w:bodyDiv w:val="1"/>
      <w:marLeft w:val="0"/>
      <w:marRight w:val="0"/>
      <w:marTop w:val="0"/>
      <w:marBottom w:val="0"/>
      <w:divBdr>
        <w:top w:val="none" w:sz="0" w:space="0" w:color="auto"/>
        <w:left w:val="none" w:sz="0" w:space="0" w:color="auto"/>
        <w:bottom w:val="none" w:sz="0" w:space="0" w:color="auto"/>
        <w:right w:val="none" w:sz="0" w:space="0" w:color="auto"/>
      </w:divBdr>
    </w:div>
    <w:div w:id="682778657">
      <w:bodyDiv w:val="1"/>
      <w:marLeft w:val="0"/>
      <w:marRight w:val="0"/>
      <w:marTop w:val="0"/>
      <w:marBottom w:val="0"/>
      <w:divBdr>
        <w:top w:val="none" w:sz="0" w:space="0" w:color="auto"/>
        <w:left w:val="none" w:sz="0" w:space="0" w:color="auto"/>
        <w:bottom w:val="none" w:sz="0" w:space="0" w:color="auto"/>
        <w:right w:val="none" w:sz="0" w:space="0" w:color="auto"/>
      </w:divBdr>
    </w:div>
    <w:div w:id="1098911962">
      <w:bodyDiv w:val="1"/>
      <w:marLeft w:val="0"/>
      <w:marRight w:val="0"/>
      <w:marTop w:val="0"/>
      <w:marBottom w:val="0"/>
      <w:divBdr>
        <w:top w:val="none" w:sz="0" w:space="0" w:color="auto"/>
        <w:left w:val="none" w:sz="0" w:space="0" w:color="auto"/>
        <w:bottom w:val="none" w:sz="0" w:space="0" w:color="auto"/>
        <w:right w:val="none" w:sz="0" w:space="0" w:color="auto"/>
      </w:divBdr>
    </w:div>
    <w:div w:id="1531650767">
      <w:bodyDiv w:val="1"/>
      <w:marLeft w:val="0"/>
      <w:marRight w:val="0"/>
      <w:marTop w:val="0"/>
      <w:marBottom w:val="0"/>
      <w:divBdr>
        <w:top w:val="none" w:sz="0" w:space="0" w:color="auto"/>
        <w:left w:val="none" w:sz="0" w:space="0" w:color="auto"/>
        <w:bottom w:val="none" w:sz="0" w:space="0" w:color="auto"/>
        <w:right w:val="none" w:sz="0" w:space="0" w:color="auto"/>
      </w:divBdr>
    </w:div>
    <w:div w:id="1642078361">
      <w:bodyDiv w:val="1"/>
      <w:marLeft w:val="0"/>
      <w:marRight w:val="0"/>
      <w:marTop w:val="0"/>
      <w:marBottom w:val="0"/>
      <w:divBdr>
        <w:top w:val="none" w:sz="0" w:space="0" w:color="auto"/>
        <w:left w:val="none" w:sz="0" w:space="0" w:color="auto"/>
        <w:bottom w:val="none" w:sz="0" w:space="0" w:color="auto"/>
        <w:right w:val="none" w:sz="0" w:space="0" w:color="auto"/>
      </w:divBdr>
    </w:div>
    <w:div w:id="1841460495">
      <w:bodyDiv w:val="1"/>
      <w:marLeft w:val="0"/>
      <w:marRight w:val="0"/>
      <w:marTop w:val="0"/>
      <w:marBottom w:val="0"/>
      <w:divBdr>
        <w:top w:val="none" w:sz="0" w:space="0" w:color="auto"/>
        <w:left w:val="none" w:sz="0" w:space="0" w:color="auto"/>
        <w:bottom w:val="none" w:sz="0" w:space="0" w:color="auto"/>
        <w:right w:val="none" w:sz="0" w:space="0" w:color="auto"/>
      </w:divBdr>
    </w:div>
    <w:div w:id="1876381241">
      <w:bodyDiv w:val="1"/>
      <w:marLeft w:val="0"/>
      <w:marRight w:val="0"/>
      <w:marTop w:val="0"/>
      <w:marBottom w:val="0"/>
      <w:divBdr>
        <w:top w:val="none" w:sz="0" w:space="0" w:color="auto"/>
        <w:left w:val="none" w:sz="0" w:space="0" w:color="auto"/>
        <w:bottom w:val="none" w:sz="0" w:space="0" w:color="auto"/>
        <w:right w:val="none" w:sz="0" w:space="0" w:color="auto"/>
      </w:divBdr>
    </w:div>
    <w:div w:id="1998729243">
      <w:bodyDiv w:val="1"/>
      <w:marLeft w:val="0"/>
      <w:marRight w:val="0"/>
      <w:marTop w:val="0"/>
      <w:marBottom w:val="0"/>
      <w:divBdr>
        <w:top w:val="none" w:sz="0" w:space="0" w:color="auto"/>
        <w:left w:val="none" w:sz="0" w:space="0" w:color="auto"/>
        <w:bottom w:val="none" w:sz="0" w:space="0" w:color="auto"/>
        <w:right w:val="none" w:sz="0" w:space="0" w:color="auto"/>
      </w:divBdr>
    </w:div>
    <w:div w:id="2010282728">
      <w:bodyDiv w:val="1"/>
      <w:marLeft w:val="0"/>
      <w:marRight w:val="0"/>
      <w:marTop w:val="0"/>
      <w:marBottom w:val="0"/>
      <w:divBdr>
        <w:top w:val="none" w:sz="0" w:space="0" w:color="auto"/>
        <w:left w:val="none" w:sz="0" w:space="0" w:color="auto"/>
        <w:bottom w:val="none" w:sz="0" w:space="0" w:color="auto"/>
        <w:right w:val="none" w:sz="0" w:space="0" w:color="auto"/>
      </w:divBdr>
    </w:div>
    <w:div w:id="2043940440">
      <w:bodyDiv w:val="1"/>
      <w:marLeft w:val="0"/>
      <w:marRight w:val="0"/>
      <w:marTop w:val="0"/>
      <w:marBottom w:val="0"/>
      <w:divBdr>
        <w:top w:val="none" w:sz="0" w:space="0" w:color="auto"/>
        <w:left w:val="none" w:sz="0" w:space="0" w:color="auto"/>
        <w:bottom w:val="none" w:sz="0" w:space="0" w:color="auto"/>
        <w:right w:val="none" w:sz="0" w:space="0" w:color="auto"/>
      </w:divBdr>
    </w:div>
    <w:div w:id="21307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Cook.Liquidator@insolvency.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tradecreditors@interpathadvisory.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ook.Liquidator@insolvency.gov.uk"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452E-1773-4A2F-A4EC-4A25973D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701</Words>
  <Characters>3997</Characters>
  <Application>Microsoft Office Word</Application>
  <DocSecurity>0</DocSecurity>
  <Lines>33</Lines>
  <Paragraphs>9</Paragraphs>
  <ScaleCrop>false</ScaleCrop>
  <Company>AlixPartners</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Aaron</dc:creator>
  <cp:keywords/>
  <dc:description/>
  <cp:lastModifiedBy>Alison.Poppitt</cp:lastModifiedBy>
  <cp:revision>5</cp:revision>
  <cp:lastPrinted>2016-07-18T15:25:00Z</cp:lastPrinted>
  <dcterms:created xsi:type="dcterms:W3CDTF">2024-09-25T21:02:00Z</dcterms:created>
  <dcterms:modified xsi:type="dcterms:W3CDTF">2024-09-30T08:54:00Z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2024-08-21T13:26:43Z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99c28c7b-8925-4c54-9b39-58ea7f568eee</vt:lpwstr>
  </property>
  <property fmtid="{D5CDD505-2E9C-101B-9397-08002B2CF9AE}" pid="8" name="MSIP_Label_07d721ce-65e0-4caf-a503-75114c3e06ab_ContentBits">
    <vt:lpwstr>0</vt:lpwstr>
  </property>
</Properties>
</file>