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4898" w14:textId="490611CF" w:rsidR="00DD3E7E" w:rsidRDefault="00DD3E7E" w:rsidP="00DD3E7E">
      <w:pPr>
        <w:pStyle w:val="Conditions1"/>
        <w:numPr>
          <w:ilvl w:val="0"/>
          <w:numId w:val="0"/>
        </w:numPr>
        <w:tabs>
          <w:tab w:val="left" w:pos="720"/>
        </w:tabs>
      </w:pPr>
      <w:r>
        <w:rPr>
          <w:noProof/>
        </w:rPr>
        <w:drawing>
          <wp:inline distT="0" distB="0" distL="0" distR="0" wp14:anchorId="47FD024E" wp14:editId="340899EE">
            <wp:extent cx="3419475" cy="357505"/>
            <wp:effectExtent l="0" t="0" r="952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9475" cy="357505"/>
                    </a:xfrm>
                    <a:prstGeom prst="rect">
                      <a:avLst/>
                    </a:prstGeom>
                    <a:noFill/>
                    <a:ln>
                      <a:noFill/>
                    </a:ln>
                  </pic:spPr>
                </pic:pic>
              </a:graphicData>
            </a:graphic>
          </wp:inline>
        </w:drawing>
      </w:r>
    </w:p>
    <w:p w14:paraId="6643DC63" w14:textId="77777777" w:rsidR="00DD3E7E" w:rsidRDefault="00DD3E7E" w:rsidP="00DD3E7E"/>
    <w:p w14:paraId="546AB4C1" w14:textId="77777777" w:rsidR="00DD3E7E" w:rsidRDefault="00DD3E7E" w:rsidP="00DD3E7E">
      <w:pPr>
        <w:spacing w:before="60" w:after="60"/>
      </w:pPr>
    </w:p>
    <w:tbl>
      <w:tblPr>
        <w:tblW w:w="9360" w:type="dxa"/>
        <w:tblBorders>
          <w:top w:val="single" w:sz="4" w:space="0" w:color="000000"/>
          <w:bottom w:val="single" w:sz="4" w:space="0" w:color="000000"/>
        </w:tblBorders>
        <w:tblLayout w:type="fixed"/>
        <w:tblLook w:val="04A0" w:firstRow="1" w:lastRow="0" w:firstColumn="1" w:lastColumn="0" w:noHBand="0" w:noVBand="1"/>
      </w:tblPr>
      <w:tblGrid>
        <w:gridCol w:w="9360"/>
      </w:tblGrid>
      <w:tr w:rsidR="00DD3E7E" w14:paraId="08D9B536" w14:textId="77777777" w:rsidTr="00DD3E7E">
        <w:trPr>
          <w:cantSplit/>
          <w:trHeight w:val="23"/>
        </w:trPr>
        <w:tc>
          <w:tcPr>
            <w:tcW w:w="9356" w:type="dxa"/>
            <w:tcBorders>
              <w:top w:val="single" w:sz="4" w:space="0" w:color="000000"/>
              <w:left w:val="nil"/>
              <w:bottom w:val="nil"/>
              <w:right w:val="nil"/>
            </w:tcBorders>
            <w:hideMark/>
          </w:tcPr>
          <w:p w14:paraId="1CA53472" w14:textId="77777777" w:rsidR="00DD3E7E" w:rsidRDefault="00DD3E7E">
            <w:pPr>
              <w:spacing w:before="120"/>
              <w:ind w:left="-105" w:right="34"/>
              <w:rPr>
                <w:rFonts w:ascii="Arial" w:hAnsi="Arial" w:cs="Arial"/>
                <w:b/>
                <w:color w:val="000000"/>
                <w:sz w:val="40"/>
                <w:szCs w:val="40"/>
              </w:rPr>
            </w:pPr>
            <w:bookmarkStart w:id="0" w:name="bmkTable00"/>
            <w:bookmarkEnd w:id="0"/>
            <w:r>
              <w:rPr>
                <w:rFonts w:ascii="Arial" w:hAnsi="Arial" w:cs="Arial"/>
                <w:b/>
                <w:color w:val="000000"/>
                <w:sz w:val="40"/>
                <w:szCs w:val="40"/>
              </w:rPr>
              <w:t>Order Decision</w:t>
            </w:r>
          </w:p>
        </w:tc>
      </w:tr>
      <w:tr w:rsidR="00DD3E7E" w14:paraId="2F828290" w14:textId="77777777" w:rsidTr="00DD3E7E">
        <w:trPr>
          <w:cantSplit/>
          <w:trHeight w:val="23"/>
        </w:trPr>
        <w:tc>
          <w:tcPr>
            <w:tcW w:w="9356" w:type="dxa"/>
            <w:tcBorders>
              <w:top w:val="nil"/>
              <w:left w:val="nil"/>
              <w:bottom w:val="nil"/>
              <w:right w:val="nil"/>
            </w:tcBorders>
            <w:vAlign w:val="center"/>
            <w:hideMark/>
          </w:tcPr>
          <w:p w14:paraId="23098A26" w14:textId="77777777" w:rsidR="00DD3E7E" w:rsidRDefault="00DD3E7E">
            <w:pPr>
              <w:spacing w:before="60"/>
              <w:ind w:right="34"/>
              <w:rPr>
                <w:rFonts w:ascii="Arial" w:hAnsi="Arial" w:cs="Arial"/>
                <w:color w:val="000000"/>
                <w:sz w:val="24"/>
                <w:szCs w:val="24"/>
              </w:rPr>
            </w:pPr>
            <w:r>
              <w:rPr>
                <w:rFonts w:ascii="Arial" w:hAnsi="Arial" w:cs="Arial"/>
                <w:color w:val="000000"/>
                <w:sz w:val="24"/>
                <w:szCs w:val="24"/>
              </w:rPr>
              <w:t>On papers on file</w:t>
            </w:r>
          </w:p>
          <w:p w14:paraId="400589C1" w14:textId="77777777" w:rsidR="00DD3E7E" w:rsidRDefault="00DD3E7E">
            <w:pPr>
              <w:spacing w:before="60"/>
              <w:ind w:left="-105" w:right="34"/>
              <w:rPr>
                <w:rFonts w:ascii="Arial" w:hAnsi="Arial" w:cs="Arial"/>
                <w:color w:val="000000"/>
                <w:sz w:val="24"/>
                <w:szCs w:val="24"/>
              </w:rPr>
            </w:pPr>
            <w:r>
              <w:rPr>
                <w:rFonts w:ascii="Arial" w:hAnsi="Arial" w:cs="Arial"/>
                <w:color w:val="000000"/>
                <w:sz w:val="24"/>
                <w:szCs w:val="24"/>
              </w:rPr>
              <w:t xml:space="preserve"> </w:t>
            </w:r>
          </w:p>
        </w:tc>
      </w:tr>
      <w:tr w:rsidR="00DD3E7E" w14:paraId="352776B3" w14:textId="77777777" w:rsidTr="00DD3E7E">
        <w:trPr>
          <w:cantSplit/>
          <w:trHeight w:val="23"/>
        </w:trPr>
        <w:tc>
          <w:tcPr>
            <w:tcW w:w="9356" w:type="dxa"/>
            <w:tcBorders>
              <w:top w:val="nil"/>
              <w:left w:val="nil"/>
              <w:bottom w:val="nil"/>
              <w:right w:val="nil"/>
            </w:tcBorders>
            <w:hideMark/>
          </w:tcPr>
          <w:p w14:paraId="3CD792CC" w14:textId="77777777" w:rsidR="00DD3E7E" w:rsidRDefault="00DD3E7E">
            <w:pPr>
              <w:spacing w:before="180"/>
              <w:ind w:left="-105" w:right="34"/>
              <w:rPr>
                <w:rFonts w:ascii="Arial" w:hAnsi="Arial" w:cs="Arial"/>
                <w:b/>
                <w:color w:val="000000"/>
                <w:sz w:val="24"/>
                <w:szCs w:val="24"/>
              </w:rPr>
            </w:pPr>
            <w:r>
              <w:rPr>
                <w:rFonts w:ascii="Arial" w:hAnsi="Arial" w:cs="Arial"/>
                <w:b/>
                <w:color w:val="000000"/>
                <w:sz w:val="24"/>
                <w:szCs w:val="24"/>
              </w:rPr>
              <w:t xml:space="preserve">by </w:t>
            </w:r>
            <w:r>
              <w:rPr>
                <w:rFonts w:ascii="Arial" w:hAnsi="Arial" w:cs="Arial"/>
                <w:b/>
                <w:sz w:val="24"/>
                <w:szCs w:val="24"/>
              </w:rPr>
              <w:t>Charlotte Ditchburn BSc (Hons) MIPROW</w:t>
            </w:r>
          </w:p>
        </w:tc>
      </w:tr>
      <w:tr w:rsidR="00DD3E7E" w14:paraId="41F1B293" w14:textId="77777777" w:rsidTr="00DD3E7E">
        <w:trPr>
          <w:cantSplit/>
          <w:trHeight w:val="23"/>
        </w:trPr>
        <w:tc>
          <w:tcPr>
            <w:tcW w:w="9356" w:type="dxa"/>
            <w:tcBorders>
              <w:top w:val="nil"/>
              <w:left w:val="nil"/>
              <w:bottom w:val="nil"/>
              <w:right w:val="nil"/>
            </w:tcBorders>
            <w:hideMark/>
          </w:tcPr>
          <w:p w14:paraId="46017BA8" w14:textId="77777777" w:rsidR="00DD3E7E" w:rsidRDefault="00DD3E7E">
            <w:pPr>
              <w:spacing w:before="120"/>
              <w:ind w:left="-105" w:right="34"/>
              <w:rPr>
                <w:rFonts w:ascii="Arial" w:hAnsi="Arial" w:cs="Arial"/>
                <w:b/>
                <w:color w:val="000000"/>
                <w:sz w:val="18"/>
                <w:szCs w:val="18"/>
              </w:rPr>
            </w:pPr>
            <w:r>
              <w:rPr>
                <w:rFonts w:ascii="Arial" w:hAnsi="Arial" w:cs="Arial"/>
                <w:b/>
                <w:color w:val="000000"/>
                <w:sz w:val="18"/>
                <w:szCs w:val="18"/>
              </w:rPr>
              <w:t>An Inspector appointed by the Secretary of State for Environment, Food and Rural Affairs</w:t>
            </w:r>
          </w:p>
        </w:tc>
      </w:tr>
      <w:tr w:rsidR="00DD3E7E" w14:paraId="2828C8C7" w14:textId="77777777" w:rsidTr="00DD3E7E">
        <w:trPr>
          <w:cantSplit/>
          <w:trHeight w:val="23"/>
        </w:trPr>
        <w:tc>
          <w:tcPr>
            <w:tcW w:w="9356" w:type="dxa"/>
            <w:tcBorders>
              <w:top w:val="nil"/>
              <w:left w:val="nil"/>
              <w:bottom w:val="single" w:sz="4" w:space="0" w:color="000000"/>
              <w:right w:val="nil"/>
            </w:tcBorders>
            <w:hideMark/>
          </w:tcPr>
          <w:p w14:paraId="705C835F" w14:textId="25DF8375" w:rsidR="00DD3E7E" w:rsidRDefault="00DD3E7E">
            <w:pPr>
              <w:spacing w:before="120"/>
              <w:ind w:left="-105" w:right="176"/>
              <w:rPr>
                <w:rFonts w:ascii="Arial" w:hAnsi="Arial" w:cs="Arial"/>
                <w:b/>
                <w:color w:val="000000"/>
                <w:sz w:val="18"/>
                <w:szCs w:val="18"/>
              </w:rPr>
            </w:pPr>
            <w:r>
              <w:rPr>
                <w:rFonts w:ascii="Arial" w:hAnsi="Arial" w:cs="Arial"/>
                <w:b/>
                <w:color w:val="000000"/>
                <w:sz w:val="18"/>
                <w:szCs w:val="18"/>
              </w:rPr>
              <w:t>Decision date:</w:t>
            </w:r>
            <w:r w:rsidR="000A7B5A">
              <w:rPr>
                <w:rFonts w:ascii="Arial" w:hAnsi="Arial" w:cs="Arial"/>
                <w:b/>
                <w:color w:val="000000"/>
                <w:sz w:val="18"/>
                <w:szCs w:val="18"/>
              </w:rPr>
              <w:t xml:space="preserve"> 16 August 2024</w:t>
            </w:r>
          </w:p>
        </w:tc>
      </w:tr>
    </w:tbl>
    <w:p w14:paraId="3FAB381C" w14:textId="77777777" w:rsidR="00DD3E7E" w:rsidRDefault="00DD3E7E" w:rsidP="00DD3E7E">
      <w:pPr>
        <w:rPr>
          <w:rFonts w:ascii="Arial" w:hAnsi="Arial" w:cs="Arial"/>
        </w:rPr>
      </w:pPr>
    </w:p>
    <w:tbl>
      <w:tblPr>
        <w:tblW w:w="0" w:type="auto"/>
        <w:tblLayout w:type="fixed"/>
        <w:tblLook w:val="04A0" w:firstRow="1" w:lastRow="0" w:firstColumn="1" w:lastColumn="0" w:noHBand="0" w:noVBand="1"/>
      </w:tblPr>
      <w:tblGrid>
        <w:gridCol w:w="9520"/>
      </w:tblGrid>
      <w:tr w:rsidR="00DD3E7E" w14:paraId="24F60277" w14:textId="77777777" w:rsidTr="00DD3E7E">
        <w:tc>
          <w:tcPr>
            <w:tcW w:w="9520" w:type="dxa"/>
            <w:hideMark/>
          </w:tcPr>
          <w:p w14:paraId="26945E65" w14:textId="77777777" w:rsidR="00DD3E7E" w:rsidRDefault="00DD3E7E">
            <w:pPr>
              <w:spacing w:after="60"/>
              <w:ind w:left="-105"/>
              <w:rPr>
                <w:rFonts w:ascii="Arial" w:hAnsi="Arial" w:cs="Arial"/>
                <w:b/>
                <w:color w:val="000000"/>
                <w:sz w:val="24"/>
                <w:szCs w:val="24"/>
              </w:rPr>
            </w:pPr>
            <w:r>
              <w:rPr>
                <w:rFonts w:ascii="Arial" w:hAnsi="Arial" w:cs="Arial"/>
                <w:b/>
                <w:color w:val="000000"/>
                <w:sz w:val="24"/>
                <w:szCs w:val="24"/>
              </w:rPr>
              <w:t>Order Ref: ROW/3327826</w:t>
            </w:r>
          </w:p>
        </w:tc>
      </w:tr>
      <w:tr w:rsidR="00DD3E7E" w14:paraId="20530874" w14:textId="77777777" w:rsidTr="00DD3E7E">
        <w:tc>
          <w:tcPr>
            <w:tcW w:w="9520" w:type="dxa"/>
            <w:hideMark/>
          </w:tcPr>
          <w:p w14:paraId="0CC9446F" w14:textId="77777777" w:rsidR="00DD3E7E" w:rsidRDefault="00DD3E7E" w:rsidP="00DD3E7E">
            <w:pPr>
              <w:pStyle w:val="TBullet"/>
              <w:numPr>
                <w:ilvl w:val="0"/>
                <w:numId w:val="28"/>
              </w:numPr>
              <w:rPr>
                <w:rFonts w:ascii="Arial" w:hAnsi="Arial" w:cs="Arial"/>
                <w:sz w:val="22"/>
                <w:szCs w:val="22"/>
              </w:rPr>
            </w:pPr>
            <w:r>
              <w:rPr>
                <w:rFonts w:ascii="Arial" w:hAnsi="Arial" w:cs="Arial"/>
                <w:sz w:val="22"/>
                <w:szCs w:val="22"/>
              </w:rPr>
              <w:t>This Order is made under Section 53(2)(b) of the Wildlife and Countryside Act 1981 (the 1981 Act) and is known as The Essex County Council Definitive Map Modification No. 695 (Footpath 32 Moreton, Epping Forest District) Order 2022.</w:t>
            </w:r>
          </w:p>
        </w:tc>
      </w:tr>
      <w:tr w:rsidR="00DD3E7E" w14:paraId="154325CD" w14:textId="77777777" w:rsidTr="00DD3E7E">
        <w:tc>
          <w:tcPr>
            <w:tcW w:w="9520" w:type="dxa"/>
            <w:hideMark/>
          </w:tcPr>
          <w:p w14:paraId="2C781179" w14:textId="77777777" w:rsidR="00DD3E7E" w:rsidRDefault="00DD3E7E" w:rsidP="00DD3E7E">
            <w:pPr>
              <w:pStyle w:val="TBullet"/>
              <w:numPr>
                <w:ilvl w:val="0"/>
                <w:numId w:val="28"/>
              </w:numPr>
              <w:rPr>
                <w:rFonts w:ascii="Arial" w:hAnsi="Arial" w:cs="Arial"/>
                <w:sz w:val="22"/>
                <w:szCs w:val="22"/>
              </w:rPr>
            </w:pPr>
            <w:r>
              <w:rPr>
                <w:rFonts w:ascii="Arial" w:hAnsi="Arial" w:cs="Arial"/>
                <w:sz w:val="22"/>
                <w:szCs w:val="22"/>
              </w:rPr>
              <w:t>The Order is dated 18 August 2022 and proposes to modify the Definitive Map and Statement for the area by adding the public footpath as shown in the Order plan and described in the Order Schedule.</w:t>
            </w:r>
          </w:p>
        </w:tc>
      </w:tr>
      <w:tr w:rsidR="00DD3E7E" w14:paraId="4DE1A56B" w14:textId="77777777" w:rsidTr="00DD3E7E">
        <w:tc>
          <w:tcPr>
            <w:tcW w:w="9520" w:type="dxa"/>
            <w:hideMark/>
          </w:tcPr>
          <w:p w14:paraId="4C0DF0F4" w14:textId="77777777" w:rsidR="00DD3E7E" w:rsidRDefault="00DD3E7E" w:rsidP="00DD3E7E">
            <w:pPr>
              <w:pStyle w:val="TBullet"/>
              <w:numPr>
                <w:ilvl w:val="0"/>
                <w:numId w:val="28"/>
              </w:numPr>
              <w:rPr>
                <w:rFonts w:ascii="Arial" w:hAnsi="Arial" w:cs="Arial"/>
                <w:sz w:val="22"/>
                <w:szCs w:val="22"/>
              </w:rPr>
            </w:pPr>
            <w:r>
              <w:rPr>
                <w:rFonts w:ascii="Arial" w:hAnsi="Arial" w:cs="Arial"/>
                <w:sz w:val="22"/>
                <w:szCs w:val="22"/>
              </w:rPr>
              <w:t>There was one objection outstanding when Essex County Council submitted the Order to the Secretary of State for Environment, Food and Rural Affairs for confirmation.</w:t>
            </w:r>
          </w:p>
        </w:tc>
      </w:tr>
      <w:tr w:rsidR="00DD3E7E" w14:paraId="17F10A7D" w14:textId="77777777" w:rsidTr="00DD3E7E">
        <w:tc>
          <w:tcPr>
            <w:tcW w:w="9520" w:type="dxa"/>
            <w:hideMark/>
          </w:tcPr>
          <w:p w14:paraId="6493DF79" w14:textId="77777777" w:rsidR="00DD3E7E" w:rsidRDefault="00DD3E7E">
            <w:pPr>
              <w:spacing w:before="60"/>
              <w:ind w:left="-105"/>
              <w:rPr>
                <w:rFonts w:ascii="Arial" w:hAnsi="Arial" w:cs="Arial"/>
                <w:b/>
                <w:color w:val="000000"/>
                <w:sz w:val="24"/>
                <w:szCs w:val="24"/>
              </w:rPr>
            </w:pPr>
            <w:r>
              <w:rPr>
                <w:rFonts w:ascii="Arial" w:hAnsi="Arial" w:cs="Arial"/>
                <w:b/>
                <w:color w:val="000000"/>
                <w:sz w:val="24"/>
                <w:szCs w:val="24"/>
              </w:rPr>
              <w:t>Summary of Decision:</w:t>
            </w:r>
            <w:r>
              <w:rPr>
                <w:rFonts w:ascii="Arial" w:hAnsi="Arial" w:cs="Arial"/>
                <w:b/>
                <w:sz w:val="24"/>
                <w:szCs w:val="24"/>
              </w:rPr>
              <w:t xml:space="preserve"> The Order is confirmed.</w:t>
            </w:r>
          </w:p>
        </w:tc>
      </w:tr>
      <w:tr w:rsidR="00DD3E7E" w14:paraId="5745BDFD" w14:textId="77777777" w:rsidTr="00DD3E7E">
        <w:tc>
          <w:tcPr>
            <w:tcW w:w="9520" w:type="dxa"/>
            <w:tcBorders>
              <w:top w:val="nil"/>
              <w:left w:val="nil"/>
              <w:bottom w:val="single" w:sz="6" w:space="0" w:color="000000"/>
              <w:right w:val="nil"/>
            </w:tcBorders>
          </w:tcPr>
          <w:p w14:paraId="152C159C" w14:textId="77777777" w:rsidR="00DD3E7E" w:rsidRDefault="00DD3E7E">
            <w:pPr>
              <w:spacing w:before="60"/>
              <w:rPr>
                <w:rFonts w:ascii="Arial" w:hAnsi="Arial" w:cs="Arial"/>
                <w:b/>
                <w:color w:val="000000"/>
                <w:sz w:val="2"/>
              </w:rPr>
            </w:pPr>
            <w:bookmarkStart w:id="1" w:name="bmkReturn"/>
            <w:bookmarkEnd w:id="1"/>
          </w:p>
        </w:tc>
      </w:tr>
    </w:tbl>
    <w:p w14:paraId="29967538" w14:textId="77777777" w:rsidR="00DD3E7E" w:rsidRDefault="00DD3E7E" w:rsidP="00DD3E7E">
      <w:pPr>
        <w:pStyle w:val="Heading6blackfont"/>
        <w:rPr>
          <w:rFonts w:ascii="Arial" w:hAnsi="Arial" w:cs="Arial"/>
          <w:sz w:val="24"/>
          <w:szCs w:val="24"/>
        </w:rPr>
      </w:pPr>
      <w:r>
        <w:rPr>
          <w:rFonts w:ascii="Arial" w:hAnsi="Arial" w:cs="Arial"/>
          <w:sz w:val="24"/>
          <w:szCs w:val="24"/>
        </w:rPr>
        <w:t>Procedural Matters</w:t>
      </w:r>
    </w:p>
    <w:p w14:paraId="0C1BA4D0" w14:textId="77777777" w:rsidR="00DD3E7E" w:rsidRDefault="00DD3E7E" w:rsidP="00DD3E7E">
      <w:pPr>
        <w:pStyle w:val="Style1"/>
        <w:numPr>
          <w:ilvl w:val="0"/>
          <w:numId w:val="26"/>
        </w:numPr>
        <w:rPr>
          <w:rFonts w:ascii="Arial" w:hAnsi="Arial" w:cs="Arial"/>
          <w:sz w:val="24"/>
          <w:szCs w:val="24"/>
        </w:rPr>
      </w:pPr>
      <w:r>
        <w:rPr>
          <w:rFonts w:ascii="Arial" w:hAnsi="Arial" w:cs="Arial"/>
          <w:sz w:val="24"/>
          <w:szCs w:val="24"/>
        </w:rPr>
        <w:t>This case concerns the addition of a Footpath from Church Road to Moreton Footpath 3 in Moreton Parish.</w:t>
      </w:r>
    </w:p>
    <w:p w14:paraId="1B8E6D45" w14:textId="77777777" w:rsidR="00DD3E7E" w:rsidRDefault="00DD3E7E" w:rsidP="00DD3E7E">
      <w:pPr>
        <w:pStyle w:val="Style1"/>
        <w:numPr>
          <w:ilvl w:val="0"/>
          <w:numId w:val="26"/>
        </w:numPr>
        <w:rPr>
          <w:rFonts w:ascii="Arial" w:hAnsi="Arial" w:cs="Arial"/>
          <w:sz w:val="24"/>
          <w:szCs w:val="24"/>
        </w:rPr>
      </w:pPr>
      <w:r>
        <w:rPr>
          <w:rFonts w:ascii="Arial" w:hAnsi="Arial" w:cs="Arial"/>
          <w:sz w:val="24"/>
          <w:szCs w:val="24"/>
        </w:rPr>
        <w:t>The objection was solely based on concerns regarding safeguarding and health and safety. Whilst I understand these concerns, the legal basis on which I must determine this case, which is set out below, does not encompass consideration of such matters. It follows that I have not taken these into account in reaching my decision.</w:t>
      </w:r>
    </w:p>
    <w:p w14:paraId="4202C243" w14:textId="77777777" w:rsidR="00DD3E7E" w:rsidRDefault="00DD3E7E" w:rsidP="00DD3E7E">
      <w:pPr>
        <w:pStyle w:val="Heading6blackfont"/>
        <w:rPr>
          <w:rFonts w:ascii="Arial" w:hAnsi="Arial" w:cs="Arial"/>
          <w:sz w:val="24"/>
          <w:szCs w:val="24"/>
        </w:rPr>
      </w:pPr>
      <w:r>
        <w:rPr>
          <w:rFonts w:ascii="Arial" w:hAnsi="Arial" w:cs="Arial"/>
          <w:sz w:val="24"/>
          <w:szCs w:val="24"/>
        </w:rPr>
        <w:t>The Main Issues</w:t>
      </w:r>
    </w:p>
    <w:p w14:paraId="7EE36824" w14:textId="77777777" w:rsidR="00DD3E7E" w:rsidRDefault="00DD3E7E" w:rsidP="00DD3E7E">
      <w:pPr>
        <w:pStyle w:val="Style1"/>
        <w:numPr>
          <w:ilvl w:val="0"/>
          <w:numId w:val="26"/>
        </w:numPr>
        <w:rPr>
          <w:rFonts w:ascii="Arial" w:hAnsi="Arial" w:cs="Arial"/>
          <w:sz w:val="24"/>
          <w:szCs w:val="24"/>
        </w:rPr>
      </w:pPr>
      <w:r>
        <w:rPr>
          <w:rFonts w:ascii="Arial" w:hAnsi="Arial" w:cs="Arial"/>
          <w:sz w:val="24"/>
          <w:szCs w:val="24"/>
        </w:rPr>
        <w:t>The Order has been made under Section 53(2(b) of the Wildlife and Countryside Act 1981 in consequence of the occurrence of an event specified in Section 53(3)(c)(i).</w:t>
      </w:r>
    </w:p>
    <w:p w14:paraId="751F2B2E" w14:textId="77777777" w:rsidR="00DD3E7E" w:rsidRDefault="00DD3E7E" w:rsidP="00DD3E7E">
      <w:pPr>
        <w:pStyle w:val="Style1"/>
        <w:numPr>
          <w:ilvl w:val="0"/>
          <w:numId w:val="26"/>
        </w:numPr>
        <w:rPr>
          <w:rFonts w:ascii="Arial" w:hAnsi="Arial" w:cs="Arial"/>
          <w:sz w:val="24"/>
          <w:szCs w:val="24"/>
        </w:rPr>
      </w:pPr>
      <w:r>
        <w:rPr>
          <w:rFonts w:ascii="Arial" w:hAnsi="Arial" w:cs="Arial"/>
          <w:sz w:val="24"/>
          <w:szCs w:val="24"/>
        </w:rPr>
        <w:t>Whilst it suffices under Section 53(3)(c)(i) for a public right of way to be reasonably alleged to subsist, the standard of proof is higher for the Order to be confirmed. At this stage, evidence is required on the balance of probabilities that a right of way subsists.</w:t>
      </w:r>
    </w:p>
    <w:p w14:paraId="47C87886" w14:textId="77777777" w:rsidR="00DD3E7E" w:rsidRDefault="00DD3E7E" w:rsidP="00DD3E7E">
      <w:pPr>
        <w:pStyle w:val="Heading6blackfont"/>
        <w:rPr>
          <w:rFonts w:ascii="Arial" w:hAnsi="Arial" w:cs="Arial"/>
          <w:sz w:val="24"/>
          <w:szCs w:val="24"/>
        </w:rPr>
      </w:pPr>
      <w:r>
        <w:rPr>
          <w:rFonts w:ascii="Arial" w:hAnsi="Arial" w:cs="Arial"/>
          <w:sz w:val="24"/>
          <w:szCs w:val="24"/>
        </w:rPr>
        <w:t>Reasons</w:t>
      </w:r>
    </w:p>
    <w:p w14:paraId="70C48D69" w14:textId="77777777" w:rsidR="00DD3E7E" w:rsidRDefault="00DD3E7E" w:rsidP="00DD3E7E">
      <w:pPr>
        <w:pStyle w:val="Style1"/>
        <w:numPr>
          <w:ilvl w:val="0"/>
          <w:numId w:val="0"/>
        </w:numPr>
        <w:rPr>
          <w:rFonts w:ascii="Arial" w:hAnsi="Arial" w:cs="Arial"/>
          <w:b/>
          <w:bCs/>
          <w:i/>
          <w:iCs/>
          <w:sz w:val="24"/>
          <w:szCs w:val="24"/>
        </w:rPr>
      </w:pPr>
      <w:r>
        <w:rPr>
          <w:rFonts w:ascii="Arial" w:hAnsi="Arial" w:cs="Arial"/>
          <w:b/>
          <w:bCs/>
          <w:i/>
          <w:iCs/>
          <w:sz w:val="24"/>
          <w:szCs w:val="24"/>
        </w:rPr>
        <w:t>Documentary evidence</w:t>
      </w:r>
    </w:p>
    <w:p w14:paraId="3F71E217" w14:textId="77777777" w:rsidR="00DD3E7E" w:rsidRDefault="00DD3E7E" w:rsidP="00DD3E7E">
      <w:pPr>
        <w:pStyle w:val="Style1"/>
        <w:numPr>
          <w:ilvl w:val="0"/>
          <w:numId w:val="26"/>
        </w:numPr>
        <w:rPr>
          <w:rFonts w:ascii="Arial" w:hAnsi="Arial" w:cs="Arial"/>
          <w:sz w:val="24"/>
          <w:szCs w:val="24"/>
        </w:rPr>
      </w:pPr>
      <w:r>
        <w:rPr>
          <w:rFonts w:ascii="Arial" w:hAnsi="Arial" w:cs="Arial"/>
          <w:sz w:val="24"/>
          <w:szCs w:val="24"/>
        </w:rPr>
        <w:t xml:space="preserve">Aerial photographs of the area from 1960 to 2010 were held by the Council along with aerial photographs submitted by the applicant from 1999 to 2018, some of which pertain to the relevant </w:t>
      </w:r>
      <w:proofErr w:type="gramStart"/>
      <w:r>
        <w:rPr>
          <w:rFonts w:ascii="Arial" w:hAnsi="Arial" w:cs="Arial"/>
          <w:sz w:val="24"/>
          <w:szCs w:val="24"/>
        </w:rPr>
        <w:t>20 year</w:t>
      </w:r>
      <w:proofErr w:type="gramEnd"/>
      <w:r>
        <w:rPr>
          <w:rFonts w:ascii="Arial" w:hAnsi="Arial" w:cs="Arial"/>
          <w:sz w:val="24"/>
          <w:szCs w:val="24"/>
        </w:rPr>
        <w:t xml:space="preserve"> period. The images from 1960 to 1999 do not show the existence of the order route. The images between 2004 and 2018 provide the strongest support for the existence of a walked path over the application route, </w:t>
      </w:r>
      <w:r>
        <w:rPr>
          <w:rFonts w:ascii="Arial" w:hAnsi="Arial" w:cs="Arial"/>
          <w:sz w:val="24"/>
          <w:szCs w:val="24"/>
        </w:rPr>
        <w:lastRenderedPageBreak/>
        <w:t xml:space="preserve">although at times the route is not fully clear due to vegetation. Whilst the aerial photographs help to demonstrate the existence of a path from 2004 </w:t>
      </w:r>
      <w:proofErr w:type="gramStart"/>
      <w:r>
        <w:rPr>
          <w:rFonts w:ascii="Arial" w:hAnsi="Arial" w:cs="Arial"/>
          <w:sz w:val="24"/>
          <w:szCs w:val="24"/>
        </w:rPr>
        <w:t>onwards</w:t>
      </w:r>
      <w:proofErr w:type="gramEnd"/>
      <w:r>
        <w:rPr>
          <w:rFonts w:ascii="Arial" w:hAnsi="Arial" w:cs="Arial"/>
          <w:sz w:val="24"/>
          <w:szCs w:val="24"/>
        </w:rPr>
        <w:t xml:space="preserve"> they do not give evidence about its status. Little weight can therefore be attached to the aerial photographs beyond them verifying that the line of the order route existed at that time. </w:t>
      </w:r>
    </w:p>
    <w:p w14:paraId="0EFB6A65" w14:textId="77777777" w:rsidR="00DD3E7E" w:rsidRDefault="00DD3E7E" w:rsidP="00DD3E7E">
      <w:pPr>
        <w:pStyle w:val="Style1"/>
        <w:numPr>
          <w:ilvl w:val="0"/>
          <w:numId w:val="26"/>
        </w:numPr>
        <w:rPr>
          <w:rFonts w:ascii="Arial" w:hAnsi="Arial" w:cs="Arial"/>
          <w:sz w:val="24"/>
          <w:szCs w:val="24"/>
        </w:rPr>
      </w:pPr>
      <w:r>
        <w:rPr>
          <w:rFonts w:ascii="Arial" w:hAnsi="Arial" w:cs="Arial"/>
          <w:sz w:val="24"/>
          <w:szCs w:val="24"/>
        </w:rPr>
        <w:t xml:space="preserve">Other than aerial photographs there was no other documentary evidence submitted with the original application. The Council carried out a thorough review of the documentary evidence and it is not necessary to repeat </w:t>
      </w:r>
      <w:proofErr w:type="gramStart"/>
      <w:r>
        <w:rPr>
          <w:rFonts w:ascii="Arial" w:hAnsi="Arial" w:cs="Arial"/>
          <w:sz w:val="24"/>
          <w:szCs w:val="24"/>
        </w:rPr>
        <w:t>all of</w:t>
      </w:r>
      <w:proofErr w:type="gramEnd"/>
      <w:r>
        <w:rPr>
          <w:rFonts w:ascii="Arial" w:hAnsi="Arial" w:cs="Arial"/>
          <w:sz w:val="24"/>
          <w:szCs w:val="24"/>
        </w:rPr>
        <w:t xml:space="preserve"> that information again here. What is germane is that the order route is not shown on any map including: </w:t>
      </w:r>
      <w:proofErr w:type="spellStart"/>
      <w:r>
        <w:rPr>
          <w:rFonts w:ascii="Arial" w:hAnsi="Arial" w:cs="Arial"/>
          <w:sz w:val="24"/>
          <w:szCs w:val="24"/>
        </w:rPr>
        <w:t>Champan</w:t>
      </w:r>
      <w:proofErr w:type="spellEnd"/>
      <w:r>
        <w:rPr>
          <w:rFonts w:ascii="Arial" w:hAnsi="Arial" w:cs="Arial"/>
          <w:sz w:val="24"/>
          <w:szCs w:val="24"/>
        </w:rPr>
        <w:t xml:space="preserve"> and Andre Map 1777, OS maps of various scales between 1870 and 1923, Moreton Tithe Map 1839, Finance Act Map 1910, County Surveyors Book of Maps 1932, Parish Survey Map 1951-2. The order route is not shown on the 1953 Definitive Map nor on the subsequent reviews in 1963, 1971 and 2002. There is also no record of any objections being received to the route’s omission from these maps.</w:t>
      </w:r>
    </w:p>
    <w:p w14:paraId="5E2D5698" w14:textId="77777777" w:rsidR="00DD3E7E" w:rsidRDefault="00DD3E7E" w:rsidP="00DD3E7E">
      <w:pPr>
        <w:pStyle w:val="Style1"/>
        <w:numPr>
          <w:ilvl w:val="0"/>
          <w:numId w:val="26"/>
        </w:numPr>
        <w:rPr>
          <w:rFonts w:ascii="Arial" w:hAnsi="Arial" w:cs="Arial"/>
          <w:sz w:val="24"/>
          <w:szCs w:val="24"/>
        </w:rPr>
      </w:pPr>
      <w:r>
        <w:rPr>
          <w:rFonts w:ascii="Arial" w:hAnsi="Arial" w:cs="Arial"/>
          <w:sz w:val="24"/>
          <w:szCs w:val="24"/>
        </w:rPr>
        <w:t xml:space="preserve">The documentary evidence does not therefore provide any material support for the existence of a public footpath along the entirety of the claimed route before nor during the relevant </w:t>
      </w:r>
      <w:proofErr w:type="gramStart"/>
      <w:r>
        <w:rPr>
          <w:rFonts w:ascii="Arial" w:hAnsi="Arial" w:cs="Arial"/>
          <w:sz w:val="24"/>
          <w:szCs w:val="24"/>
        </w:rPr>
        <w:t>20 year</w:t>
      </w:r>
      <w:proofErr w:type="gramEnd"/>
      <w:r>
        <w:rPr>
          <w:rFonts w:ascii="Arial" w:hAnsi="Arial" w:cs="Arial"/>
          <w:sz w:val="24"/>
          <w:szCs w:val="24"/>
        </w:rPr>
        <w:t xml:space="preserve"> period.</w:t>
      </w:r>
    </w:p>
    <w:p w14:paraId="0C5FDE03" w14:textId="77777777" w:rsidR="00DD3E7E" w:rsidRDefault="00DD3E7E" w:rsidP="00DD3E7E">
      <w:pPr>
        <w:pStyle w:val="Style1"/>
        <w:numPr>
          <w:ilvl w:val="0"/>
          <w:numId w:val="0"/>
        </w:numPr>
        <w:rPr>
          <w:rFonts w:ascii="Arial" w:hAnsi="Arial" w:cs="Arial"/>
          <w:b/>
          <w:bCs/>
          <w:i/>
          <w:iCs/>
          <w:sz w:val="24"/>
          <w:szCs w:val="24"/>
        </w:rPr>
      </w:pPr>
      <w:r>
        <w:rPr>
          <w:rFonts w:ascii="Arial" w:hAnsi="Arial" w:cs="Arial"/>
          <w:b/>
          <w:bCs/>
          <w:i/>
          <w:iCs/>
          <w:sz w:val="24"/>
          <w:szCs w:val="24"/>
        </w:rPr>
        <w:t>Statutory Dedication</w:t>
      </w:r>
    </w:p>
    <w:p w14:paraId="54D4D5EE" w14:textId="77777777" w:rsidR="00DD3E7E" w:rsidRDefault="00DD3E7E" w:rsidP="00DD3E7E">
      <w:pPr>
        <w:pStyle w:val="Style1"/>
        <w:numPr>
          <w:ilvl w:val="0"/>
          <w:numId w:val="0"/>
        </w:numPr>
        <w:rPr>
          <w:rFonts w:ascii="Arial" w:hAnsi="Arial" w:cs="Arial"/>
          <w:i/>
          <w:iCs/>
          <w:sz w:val="24"/>
          <w:szCs w:val="24"/>
        </w:rPr>
      </w:pPr>
      <w:r>
        <w:rPr>
          <w:rFonts w:ascii="Arial" w:hAnsi="Arial" w:cs="Arial"/>
          <w:i/>
          <w:iCs/>
          <w:sz w:val="24"/>
          <w:szCs w:val="24"/>
        </w:rPr>
        <w:t>When the right to use the way was brought into question</w:t>
      </w:r>
    </w:p>
    <w:p w14:paraId="041FF830" w14:textId="77777777" w:rsidR="00DD3E7E" w:rsidRDefault="00DD3E7E" w:rsidP="00DD3E7E">
      <w:pPr>
        <w:pStyle w:val="Style1"/>
        <w:numPr>
          <w:ilvl w:val="0"/>
          <w:numId w:val="26"/>
        </w:numPr>
        <w:rPr>
          <w:rFonts w:ascii="Arial" w:hAnsi="Arial" w:cs="Arial"/>
          <w:sz w:val="24"/>
          <w:szCs w:val="24"/>
        </w:rPr>
      </w:pPr>
      <w:r>
        <w:rPr>
          <w:rFonts w:ascii="Arial" w:hAnsi="Arial" w:cs="Arial"/>
          <w:sz w:val="24"/>
          <w:szCs w:val="24"/>
        </w:rPr>
        <w:t xml:space="preserve">The Council considered 2019 to be the date of challenge for pedestrian rights along the order route. The Council states that the basis for this is that in the absence of any other major identifiable challenge to the public’s use of the claimed route, the date of the application will be used as the challenge date, accordingly, the requisite </w:t>
      </w:r>
      <w:proofErr w:type="gramStart"/>
      <w:r>
        <w:rPr>
          <w:rFonts w:ascii="Arial" w:hAnsi="Arial" w:cs="Arial"/>
          <w:sz w:val="24"/>
          <w:szCs w:val="24"/>
        </w:rPr>
        <w:t>20 year</w:t>
      </w:r>
      <w:proofErr w:type="gramEnd"/>
      <w:r>
        <w:rPr>
          <w:rFonts w:ascii="Arial" w:hAnsi="Arial" w:cs="Arial"/>
          <w:sz w:val="24"/>
          <w:szCs w:val="24"/>
        </w:rPr>
        <w:t xml:space="preserve"> period of use was calculated retrospectively from this date. Consequently, the years 1999 to 2019 are the relevant </w:t>
      </w:r>
      <w:proofErr w:type="gramStart"/>
      <w:r>
        <w:rPr>
          <w:rFonts w:ascii="Arial" w:hAnsi="Arial" w:cs="Arial"/>
          <w:sz w:val="24"/>
          <w:szCs w:val="24"/>
        </w:rPr>
        <w:t>20 year</w:t>
      </w:r>
      <w:proofErr w:type="gramEnd"/>
      <w:r>
        <w:rPr>
          <w:rFonts w:ascii="Arial" w:hAnsi="Arial" w:cs="Arial"/>
          <w:sz w:val="24"/>
          <w:szCs w:val="24"/>
        </w:rPr>
        <w:t xml:space="preserve"> period where the majority of users provide evidence of use. I have found no good reason to disagree in this regard.</w:t>
      </w:r>
    </w:p>
    <w:p w14:paraId="5980EC0E" w14:textId="77777777" w:rsidR="00DD3E7E" w:rsidRDefault="00DD3E7E" w:rsidP="00DD3E7E">
      <w:pPr>
        <w:pStyle w:val="Style1"/>
        <w:numPr>
          <w:ilvl w:val="0"/>
          <w:numId w:val="0"/>
        </w:numPr>
        <w:rPr>
          <w:rFonts w:ascii="Arial" w:hAnsi="Arial" w:cs="Arial"/>
          <w:i/>
          <w:iCs/>
          <w:sz w:val="24"/>
          <w:szCs w:val="24"/>
        </w:rPr>
      </w:pPr>
      <w:r>
        <w:rPr>
          <w:rFonts w:ascii="Arial" w:hAnsi="Arial" w:cs="Arial"/>
          <w:i/>
          <w:iCs/>
          <w:sz w:val="24"/>
          <w:szCs w:val="24"/>
        </w:rPr>
        <w:t>Whether the claimed footpath was used by the public as of right and without interruption for a period of not less than 20 years ending on the date the public’s right to do so was brought into question</w:t>
      </w:r>
    </w:p>
    <w:p w14:paraId="41ECABC7" w14:textId="77777777" w:rsidR="00DD3E7E" w:rsidRDefault="00DD3E7E" w:rsidP="00DD3E7E">
      <w:pPr>
        <w:pStyle w:val="Style1"/>
        <w:numPr>
          <w:ilvl w:val="0"/>
          <w:numId w:val="26"/>
        </w:numPr>
        <w:rPr>
          <w:rFonts w:ascii="Arial" w:hAnsi="Arial" w:cs="Arial"/>
          <w:sz w:val="24"/>
          <w:szCs w:val="24"/>
        </w:rPr>
      </w:pPr>
      <w:r>
        <w:rPr>
          <w:rFonts w:ascii="Arial" w:hAnsi="Arial" w:cs="Arial"/>
          <w:sz w:val="24"/>
          <w:szCs w:val="24"/>
        </w:rPr>
        <w:t xml:space="preserve">Some 32 user evidence forms (UEFs) were submitted, covering evidence from 35 witnesses as three married couples completed a single form between them. The UEFs cover additional routes to the order route, a total of ten witnesses state that they have used this variation of the application route over the whole of the </w:t>
      </w:r>
      <w:proofErr w:type="gramStart"/>
      <w:r>
        <w:rPr>
          <w:rFonts w:ascii="Arial" w:hAnsi="Arial" w:cs="Arial"/>
          <w:sz w:val="24"/>
          <w:szCs w:val="24"/>
        </w:rPr>
        <w:t>twenty year</w:t>
      </w:r>
      <w:proofErr w:type="gramEnd"/>
      <w:r>
        <w:rPr>
          <w:rFonts w:ascii="Arial" w:hAnsi="Arial" w:cs="Arial"/>
          <w:sz w:val="24"/>
          <w:szCs w:val="24"/>
        </w:rPr>
        <w:t xml:space="preserve"> period with a total of twenty seven witnesses using it for part of the period. The evidence provided is of recreational use of the route. The earliest claimed use was from 1979, but the evidence of use is predominantly from the mid 1990’s. </w:t>
      </w:r>
    </w:p>
    <w:p w14:paraId="2F86D134" w14:textId="77777777" w:rsidR="00DD3E7E" w:rsidRDefault="00DD3E7E" w:rsidP="00DD3E7E">
      <w:pPr>
        <w:pStyle w:val="Style1"/>
        <w:numPr>
          <w:ilvl w:val="0"/>
          <w:numId w:val="26"/>
        </w:numPr>
        <w:rPr>
          <w:rFonts w:ascii="Arial" w:hAnsi="Arial" w:cs="Arial"/>
          <w:sz w:val="24"/>
          <w:szCs w:val="24"/>
        </w:rPr>
      </w:pPr>
      <w:r>
        <w:rPr>
          <w:rFonts w:ascii="Arial" w:hAnsi="Arial" w:cs="Arial"/>
          <w:sz w:val="24"/>
          <w:szCs w:val="24"/>
        </w:rPr>
        <w:t>Whilst most use described is on foot, there is also claimed use by one user on bicycle. Whilst the rider was not challenged, with only one UEF attesting to use of higher rights, I would not regard this as sufficient to reasonably allege the existence of public rights higher than on foot.</w:t>
      </w:r>
    </w:p>
    <w:p w14:paraId="62147E8C" w14:textId="77777777" w:rsidR="00DD3E7E" w:rsidRDefault="00DD3E7E" w:rsidP="00DD3E7E">
      <w:pPr>
        <w:pStyle w:val="Style1"/>
        <w:numPr>
          <w:ilvl w:val="0"/>
          <w:numId w:val="26"/>
        </w:numPr>
        <w:rPr>
          <w:rFonts w:ascii="Arial" w:hAnsi="Arial" w:cs="Arial"/>
          <w:sz w:val="24"/>
          <w:szCs w:val="24"/>
        </w:rPr>
      </w:pPr>
      <w:r>
        <w:rPr>
          <w:rFonts w:ascii="Arial" w:hAnsi="Arial" w:cs="Arial"/>
          <w:sz w:val="24"/>
          <w:szCs w:val="24"/>
        </w:rPr>
        <w:t>I am satisfied that there is sufficient evidence of uninterrupted use by the public as of right to give rise to a presumption of dedication.</w:t>
      </w:r>
    </w:p>
    <w:p w14:paraId="4747A5B6" w14:textId="77777777" w:rsidR="00DD3E7E" w:rsidRDefault="00DD3E7E" w:rsidP="00DD3E7E">
      <w:pPr>
        <w:rPr>
          <w:rFonts w:ascii="Arial" w:hAnsi="Arial" w:cs="Arial"/>
          <w:i/>
          <w:iCs/>
          <w:color w:val="000000"/>
          <w:kern w:val="28"/>
          <w:sz w:val="24"/>
          <w:szCs w:val="24"/>
        </w:rPr>
      </w:pPr>
      <w:r>
        <w:rPr>
          <w:rFonts w:ascii="Arial" w:hAnsi="Arial" w:cs="Arial"/>
          <w:i/>
          <w:iCs/>
          <w:sz w:val="24"/>
          <w:szCs w:val="24"/>
        </w:rPr>
        <w:br w:type="page"/>
      </w:r>
    </w:p>
    <w:p w14:paraId="22AD23B1" w14:textId="77777777" w:rsidR="00DD3E7E" w:rsidRDefault="00DD3E7E" w:rsidP="00DD3E7E">
      <w:pPr>
        <w:pStyle w:val="Style1"/>
        <w:numPr>
          <w:ilvl w:val="0"/>
          <w:numId w:val="0"/>
        </w:numPr>
        <w:rPr>
          <w:rFonts w:ascii="Arial" w:hAnsi="Arial" w:cs="Arial"/>
          <w:i/>
          <w:iCs/>
          <w:sz w:val="24"/>
          <w:szCs w:val="24"/>
        </w:rPr>
      </w:pPr>
      <w:r>
        <w:rPr>
          <w:rFonts w:ascii="Arial" w:hAnsi="Arial" w:cs="Arial"/>
          <w:i/>
          <w:iCs/>
          <w:sz w:val="24"/>
          <w:szCs w:val="24"/>
        </w:rPr>
        <w:lastRenderedPageBreak/>
        <w:t>The evidence and action of landowners</w:t>
      </w:r>
    </w:p>
    <w:p w14:paraId="673EF858" w14:textId="77777777" w:rsidR="00DD3E7E" w:rsidRDefault="00DD3E7E" w:rsidP="00DD3E7E">
      <w:pPr>
        <w:pStyle w:val="Style1"/>
        <w:numPr>
          <w:ilvl w:val="0"/>
          <w:numId w:val="26"/>
        </w:numPr>
        <w:rPr>
          <w:rFonts w:ascii="Arial" w:hAnsi="Arial" w:cs="Arial"/>
          <w:sz w:val="24"/>
          <w:szCs w:val="24"/>
        </w:rPr>
      </w:pPr>
      <w:r>
        <w:rPr>
          <w:rFonts w:ascii="Arial" w:hAnsi="Arial" w:cs="Arial"/>
          <w:sz w:val="24"/>
          <w:szCs w:val="24"/>
        </w:rPr>
        <w:t>The remaining part of the Section 31 test considers whether the landowner has taken any action to rebut the statutory presumption of dedication. Often this is evidenced by way of notices or obstructions to prevent people accessing or using the path.</w:t>
      </w:r>
    </w:p>
    <w:p w14:paraId="75CA26E6" w14:textId="77777777" w:rsidR="00DD3E7E" w:rsidRDefault="00DD3E7E" w:rsidP="00DD3E7E">
      <w:pPr>
        <w:pStyle w:val="Style1"/>
        <w:numPr>
          <w:ilvl w:val="0"/>
          <w:numId w:val="26"/>
        </w:numPr>
        <w:rPr>
          <w:rFonts w:ascii="Arial" w:hAnsi="Arial" w:cs="Arial"/>
          <w:sz w:val="24"/>
          <w:szCs w:val="24"/>
        </w:rPr>
      </w:pPr>
      <w:r>
        <w:rPr>
          <w:rFonts w:ascii="Arial" w:hAnsi="Arial" w:cs="Arial"/>
          <w:sz w:val="24"/>
          <w:szCs w:val="24"/>
        </w:rPr>
        <w:t>The landowner claims that public use of the route would have been habitually subject to interruption by parked cars which would conflict with vehicular use of the area as a car park serving both the school and the public house. None of the users mention any such difficulties on their evidence forms.</w:t>
      </w:r>
    </w:p>
    <w:p w14:paraId="67434B13" w14:textId="77777777" w:rsidR="00DD3E7E" w:rsidRDefault="00DD3E7E" w:rsidP="00DD3E7E">
      <w:pPr>
        <w:pStyle w:val="Style1"/>
        <w:numPr>
          <w:ilvl w:val="0"/>
          <w:numId w:val="26"/>
        </w:numPr>
        <w:rPr>
          <w:rFonts w:ascii="Arial" w:hAnsi="Arial" w:cs="Arial"/>
          <w:sz w:val="24"/>
          <w:szCs w:val="24"/>
        </w:rPr>
      </w:pPr>
      <w:r>
        <w:rPr>
          <w:rFonts w:ascii="Arial" w:hAnsi="Arial" w:cs="Arial"/>
          <w:sz w:val="24"/>
          <w:szCs w:val="24"/>
        </w:rPr>
        <w:t xml:space="preserve">Gates and chains were recently erected on the route, the landowner submitted undated photographs of these, the google earth image from November 2020 shows no trace of either feature, therefore their installation does not affect the relevant </w:t>
      </w:r>
      <w:proofErr w:type="gramStart"/>
      <w:r>
        <w:rPr>
          <w:rFonts w:ascii="Arial" w:hAnsi="Arial" w:cs="Arial"/>
          <w:sz w:val="24"/>
          <w:szCs w:val="24"/>
        </w:rPr>
        <w:t>20 year</w:t>
      </w:r>
      <w:proofErr w:type="gramEnd"/>
      <w:r>
        <w:rPr>
          <w:rFonts w:ascii="Arial" w:hAnsi="Arial" w:cs="Arial"/>
          <w:sz w:val="24"/>
          <w:szCs w:val="24"/>
        </w:rPr>
        <w:t xml:space="preserve"> period.</w:t>
      </w:r>
    </w:p>
    <w:p w14:paraId="1BA40C1E" w14:textId="77777777" w:rsidR="00DD3E7E" w:rsidRDefault="00DD3E7E" w:rsidP="00DD3E7E">
      <w:pPr>
        <w:pStyle w:val="Style1"/>
        <w:numPr>
          <w:ilvl w:val="0"/>
          <w:numId w:val="26"/>
        </w:numPr>
        <w:rPr>
          <w:rFonts w:ascii="Arial" w:hAnsi="Arial" w:cs="Arial"/>
          <w:sz w:val="24"/>
          <w:szCs w:val="24"/>
        </w:rPr>
      </w:pPr>
      <w:r>
        <w:rPr>
          <w:rFonts w:ascii="Arial" w:hAnsi="Arial" w:cs="Arial"/>
          <w:sz w:val="24"/>
          <w:szCs w:val="24"/>
        </w:rPr>
        <w:t xml:space="preserve">Signage is shown in photographs adjacent to the order route, the photographs of the signage do not show the specific wording. The applicant and objector were not able to provide details as to the exact wording of the signage. Of the three signs, one indicates parents on the school run should only use the upper carpark, one shows a standard public house car park sign not referring to any public rights of way and one sign shows a picture of a CCTV camera. The CCTV sign is the most likely of the three to have been intended as a deterrent to public pedestrian use of the route, although it may have been intended as a warning to dissuade criminal activity. The sign is visible on the November 2020 view, but not on earlier ones, so was erected between 2014 and 2020. While the Parish Council maintain that it was present before the application was submitted, they are unable to provide a specific date. It is plausible that it was erected contemporaneously to the closure of the “Nags Head” which prompted the submission of the application. In the absence of further detail, this evidence is insufficient to be treated either as lack of intention to dedicate, or an earlier “bringing into question” that might define a slightly earlier </w:t>
      </w:r>
      <w:proofErr w:type="gramStart"/>
      <w:r>
        <w:rPr>
          <w:rFonts w:ascii="Arial" w:hAnsi="Arial" w:cs="Arial"/>
          <w:sz w:val="24"/>
          <w:szCs w:val="24"/>
        </w:rPr>
        <w:t>twenty year</w:t>
      </w:r>
      <w:proofErr w:type="gramEnd"/>
      <w:r>
        <w:rPr>
          <w:rFonts w:ascii="Arial" w:hAnsi="Arial" w:cs="Arial"/>
          <w:sz w:val="24"/>
          <w:szCs w:val="24"/>
        </w:rPr>
        <w:t xml:space="preserve"> period. I do not consider any of the three signs as evidence of a lack of intention to dedicate the order route within the relevant </w:t>
      </w:r>
      <w:proofErr w:type="gramStart"/>
      <w:r>
        <w:rPr>
          <w:rFonts w:ascii="Arial" w:hAnsi="Arial" w:cs="Arial"/>
          <w:sz w:val="24"/>
          <w:szCs w:val="24"/>
        </w:rPr>
        <w:t>20 year</w:t>
      </w:r>
      <w:proofErr w:type="gramEnd"/>
      <w:r>
        <w:rPr>
          <w:rFonts w:ascii="Arial" w:hAnsi="Arial" w:cs="Arial"/>
          <w:sz w:val="24"/>
          <w:szCs w:val="24"/>
        </w:rPr>
        <w:t xml:space="preserve"> period.</w:t>
      </w:r>
    </w:p>
    <w:p w14:paraId="7F71AA2B" w14:textId="77777777" w:rsidR="00DD3E7E" w:rsidRDefault="00DD3E7E" w:rsidP="00DD3E7E">
      <w:pPr>
        <w:pStyle w:val="Style1"/>
        <w:numPr>
          <w:ilvl w:val="0"/>
          <w:numId w:val="26"/>
        </w:numPr>
        <w:ind w:left="425" w:hanging="425"/>
        <w:rPr>
          <w:rFonts w:ascii="Arial" w:hAnsi="Arial" w:cs="Arial"/>
          <w:sz w:val="24"/>
          <w:szCs w:val="24"/>
        </w:rPr>
      </w:pPr>
      <w:r>
        <w:rPr>
          <w:rFonts w:ascii="Arial" w:hAnsi="Arial" w:cs="Arial"/>
          <w:sz w:val="24"/>
          <w:szCs w:val="24"/>
        </w:rPr>
        <w:t>Overall, it is my view that there is not sufficient evidence of actions by landowners indicating their lack of intention to dedicate the Order route as a public footpath in the period 1999 to 2019 to rebut the presumption that it had been dedicated.</w:t>
      </w:r>
    </w:p>
    <w:p w14:paraId="469A3A91" w14:textId="77777777" w:rsidR="00DD3E7E" w:rsidRDefault="00DD3E7E" w:rsidP="00DD3E7E">
      <w:pPr>
        <w:pStyle w:val="Style1"/>
        <w:numPr>
          <w:ilvl w:val="0"/>
          <w:numId w:val="0"/>
        </w:numPr>
        <w:rPr>
          <w:rFonts w:ascii="Arial" w:hAnsi="Arial" w:cs="Arial"/>
          <w:b/>
          <w:bCs/>
          <w:i/>
          <w:iCs/>
          <w:sz w:val="24"/>
          <w:szCs w:val="24"/>
        </w:rPr>
      </w:pPr>
      <w:r>
        <w:rPr>
          <w:rFonts w:ascii="Arial" w:hAnsi="Arial" w:cs="Arial"/>
          <w:b/>
          <w:bCs/>
          <w:i/>
          <w:iCs/>
          <w:sz w:val="24"/>
          <w:szCs w:val="24"/>
        </w:rPr>
        <w:t>Conclusions regarding Statutory Dedication</w:t>
      </w:r>
    </w:p>
    <w:p w14:paraId="25C5ABC3" w14:textId="77777777" w:rsidR="00DD3E7E" w:rsidRDefault="00DD3E7E" w:rsidP="00DD3E7E">
      <w:pPr>
        <w:pStyle w:val="Style1"/>
        <w:numPr>
          <w:ilvl w:val="0"/>
          <w:numId w:val="26"/>
        </w:numPr>
        <w:ind w:left="425" w:hanging="425"/>
        <w:rPr>
          <w:rFonts w:ascii="Arial" w:hAnsi="Arial" w:cs="Arial"/>
          <w:sz w:val="24"/>
          <w:szCs w:val="24"/>
        </w:rPr>
      </w:pPr>
      <w:r>
        <w:rPr>
          <w:rFonts w:ascii="Arial" w:hAnsi="Arial" w:cs="Arial"/>
          <w:sz w:val="24"/>
          <w:szCs w:val="24"/>
        </w:rPr>
        <w:t>In view of my findings above I am satisfied that a public right of way on foot subsists over the order route.</w:t>
      </w:r>
    </w:p>
    <w:p w14:paraId="2B5B1E93" w14:textId="77777777" w:rsidR="00DD3E7E" w:rsidRDefault="00DD3E7E" w:rsidP="00DD3E7E">
      <w:pPr>
        <w:pStyle w:val="Style1"/>
        <w:numPr>
          <w:ilvl w:val="0"/>
          <w:numId w:val="0"/>
        </w:numPr>
        <w:rPr>
          <w:rFonts w:ascii="Arial" w:hAnsi="Arial" w:cs="Arial"/>
          <w:b/>
          <w:bCs/>
          <w:i/>
          <w:iCs/>
          <w:sz w:val="24"/>
          <w:szCs w:val="24"/>
        </w:rPr>
      </w:pPr>
      <w:r>
        <w:rPr>
          <w:rFonts w:ascii="Arial" w:hAnsi="Arial" w:cs="Arial"/>
          <w:b/>
          <w:bCs/>
          <w:i/>
          <w:iCs/>
          <w:sz w:val="24"/>
          <w:szCs w:val="24"/>
        </w:rPr>
        <w:t>Common Law</w:t>
      </w:r>
    </w:p>
    <w:p w14:paraId="61B0B2DC" w14:textId="77777777" w:rsidR="00DD3E7E" w:rsidRDefault="00DD3E7E" w:rsidP="00DD3E7E">
      <w:pPr>
        <w:pStyle w:val="Style1"/>
        <w:numPr>
          <w:ilvl w:val="0"/>
          <w:numId w:val="26"/>
        </w:numPr>
        <w:rPr>
          <w:rFonts w:ascii="Arial" w:hAnsi="Arial" w:cs="Arial"/>
          <w:sz w:val="24"/>
          <w:szCs w:val="24"/>
        </w:rPr>
      </w:pPr>
      <w:r>
        <w:rPr>
          <w:rFonts w:ascii="Arial" w:hAnsi="Arial" w:cs="Arial"/>
          <w:sz w:val="24"/>
          <w:szCs w:val="24"/>
        </w:rPr>
        <w:t xml:space="preserve">Where an inference that a way has been dedicated for public use where the actions of the landowners (or lack of action) indicate that they intended a way to be dedicated as a highway and where the public have accepted it. In this case a claim under statute succeeds, therefore, I do not need to </w:t>
      </w:r>
      <w:proofErr w:type="gramStart"/>
      <w:r>
        <w:rPr>
          <w:rFonts w:ascii="Arial" w:hAnsi="Arial" w:cs="Arial"/>
          <w:sz w:val="24"/>
          <w:szCs w:val="24"/>
        </w:rPr>
        <w:t>give consideration to</w:t>
      </w:r>
      <w:proofErr w:type="gramEnd"/>
      <w:r>
        <w:rPr>
          <w:rFonts w:ascii="Arial" w:hAnsi="Arial" w:cs="Arial"/>
          <w:sz w:val="24"/>
          <w:szCs w:val="24"/>
        </w:rPr>
        <w:t xml:space="preserve"> the evidence of common law.</w:t>
      </w:r>
    </w:p>
    <w:p w14:paraId="52CA8A5F" w14:textId="77777777" w:rsidR="00DD3E7E" w:rsidRDefault="00DD3E7E" w:rsidP="00DD3E7E">
      <w:pPr>
        <w:pStyle w:val="Heading6blackfont"/>
        <w:rPr>
          <w:rFonts w:ascii="Arial" w:hAnsi="Arial" w:cs="Arial"/>
          <w:sz w:val="24"/>
          <w:szCs w:val="24"/>
        </w:rPr>
      </w:pPr>
      <w:r>
        <w:rPr>
          <w:rFonts w:ascii="Arial" w:hAnsi="Arial" w:cs="Arial"/>
          <w:sz w:val="24"/>
          <w:szCs w:val="24"/>
        </w:rPr>
        <w:lastRenderedPageBreak/>
        <w:t>Conclusions</w:t>
      </w:r>
    </w:p>
    <w:p w14:paraId="3F2B404B" w14:textId="77777777" w:rsidR="00DD3E7E" w:rsidRDefault="00DD3E7E" w:rsidP="00DD3E7E">
      <w:pPr>
        <w:pStyle w:val="Style1"/>
        <w:numPr>
          <w:ilvl w:val="0"/>
          <w:numId w:val="26"/>
        </w:numPr>
        <w:ind w:left="425" w:hanging="425"/>
        <w:rPr>
          <w:rFonts w:ascii="Arial" w:hAnsi="Arial" w:cs="Arial"/>
          <w:sz w:val="24"/>
          <w:szCs w:val="24"/>
        </w:rPr>
      </w:pPr>
      <w:bookmarkStart w:id="2" w:name="bmkScheduleStart"/>
      <w:bookmarkEnd w:id="2"/>
      <w:r>
        <w:rPr>
          <w:rFonts w:ascii="Arial" w:hAnsi="Arial" w:cs="Arial"/>
          <w:sz w:val="24"/>
          <w:szCs w:val="24"/>
        </w:rPr>
        <w:t>Having regard to these and all other matters raised in the written representations I conclude that the Order should be confirmed.</w:t>
      </w:r>
    </w:p>
    <w:p w14:paraId="794E58A8" w14:textId="77777777" w:rsidR="00DD3E7E" w:rsidRDefault="00DD3E7E" w:rsidP="00DD3E7E">
      <w:pPr>
        <w:pStyle w:val="Heading6blackfont"/>
        <w:rPr>
          <w:rFonts w:ascii="Arial" w:hAnsi="Arial" w:cs="Arial"/>
          <w:sz w:val="24"/>
          <w:szCs w:val="24"/>
        </w:rPr>
      </w:pPr>
      <w:r>
        <w:rPr>
          <w:rFonts w:ascii="Arial" w:hAnsi="Arial" w:cs="Arial"/>
          <w:sz w:val="24"/>
          <w:szCs w:val="24"/>
        </w:rPr>
        <w:t>Formal Decision</w:t>
      </w:r>
    </w:p>
    <w:p w14:paraId="4DAC15F3" w14:textId="77777777" w:rsidR="00DD3E7E" w:rsidRDefault="00DD3E7E" w:rsidP="00DD3E7E">
      <w:pPr>
        <w:pStyle w:val="Style1"/>
        <w:numPr>
          <w:ilvl w:val="0"/>
          <w:numId w:val="26"/>
        </w:numPr>
        <w:rPr>
          <w:rFonts w:ascii="Arial" w:hAnsi="Arial" w:cs="Arial"/>
          <w:sz w:val="24"/>
          <w:szCs w:val="24"/>
        </w:rPr>
      </w:pPr>
      <w:r>
        <w:rPr>
          <w:rFonts w:ascii="Arial" w:hAnsi="Arial" w:cs="Arial"/>
          <w:sz w:val="24"/>
          <w:szCs w:val="24"/>
        </w:rPr>
        <w:t>I confirm the Order.</w:t>
      </w:r>
    </w:p>
    <w:p w14:paraId="5DD2DAED" w14:textId="77777777" w:rsidR="00DD3E7E" w:rsidRDefault="00DD3E7E" w:rsidP="00DD3E7E">
      <w:pPr>
        <w:pStyle w:val="Style1"/>
        <w:numPr>
          <w:ilvl w:val="0"/>
          <w:numId w:val="0"/>
        </w:numPr>
        <w:rPr>
          <w:rFonts w:ascii="Arial" w:hAnsi="Arial" w:cs="Arial"/>
          <w:color w:val="auto"/>
          <w:sz w:val="24"/>
          <w:szCs w:val="24"/>
        </w:rPr>
      </w:pPr>
    </w:p>
    <w:p w14:paraId="7D259328" w14:textId="77777777" w:rsidR="00DD3E7E" w:rsidRDefault="00DD3E7E" w:rsidP="00DD3E7E">
      <w:pPr>
        <w:pStyle w:val="Style1"/>
        <w:numPr>
          <w:ilvl w:val="0"/>
          <w:numId w:val="0"/>
        </w:numPr>
        <w:rPr>
          <w:rFonts w:ascii="Arial" w:hAnsi="Arial" w:cs="Arial"/>
          <w:color w:val="auto"/>
          <w:sz w:val="24"/>
          <w:szCs w:val="24"/>
        </w:rPr>
      </w:pPr>
    </w:p>
    <w:p w14:paraId="258B564D" w14:textId="77777777" w:rsidR="00DD3E7E" w:rsidRDefault="00DD3E7E" w:rsidP="00DD3E7E">
      <w:pPr>
        <w:pStyle w:val="Style1"/>
        <w:numPr>
          <w:ilvl w:val="0"/>
          <w:numId w:val="0"/>
        </w:numPr>
        <w:rPr>
          <w:rFonts w:ascii="Monotype Corsiva" w:hAnsi="Monotype Corsiva"/>
          <w:sz w:val="36"/>
          <w:szCs w:val="36"/>
        </w:rPr>
      </w:pPr>
      <w:r>
        <w:rPr>
          <w:rFonts w:ascii="Monotype Corsiva" w:hAnsi="Monotype Corsiva"/>
          <w:sz w:val="36"/>
          <w:szCs w:val="36"/>
        </w:rPr>
        <w:t>Charlotte Ditchburn</w:t>
      </w:r>
    </w:p>
    <w:p w14:paraId="6D7A89AF" w14:textId="77777777" w:rsidR="00DD3E7E" w:rsidRDefault="00DD3E7E" w:rsidP="00DD3E7E">
      <w:pPr>
        <w:pStyle w:val="Style1"/>
        <w:numPr>
          <w:ilvl w:val="0"/>
          <w:numId w:val="0"/>
        </w:numPr>
        <w:ind w:left="431" w:hanging="431"/>
        <w:rPr>
          <w:rFonts w:ascii="Arial" w:hAnsi="Arial" w:cs="Arial"/>
          <w:sz w:val="24"/>
          <w:szCs w:val="24"/>
        </w:rPr>
      </w:pPr>
      <w:r>
        <w:rPr>
          <w:rFonts w:ascii="Arial" w:hAnsi="Arial" w:cs="Arial"/>
          <w:sz w:val="24"/>
          <w:szCs w:val="24"/>
        </w:rPr>
        <w:t>INSPECTOR</w:t>
      </w:r>
    </w:p>
    <w:p w14:paraId="1100E3E1" w14:textId="77777777" w:rsidR="00DD3E7E" w:rsidRDefault="00DD3E7E" w:rsidP="00DD3E7E">
      <w:pPr>
        <w:pStyle w:val="Noindent"/>
      </w:pPr>
    </w:p>
    <w:p w14:paraId="5370EF00" w14:textId="70B1BEBE" w:rsidR="000A7B5A" w:rsidRDefault="000A7B5A">
      <w:r>
        <w:br w:type="page"/>
      </w:r>
    </w:p>
    <w:p w14:paraId="3AF5A428" w14:textId="6B26F984" w:rsidR="000A7B5A" w:rsidRPr="000A7B5A" w:rsidRDefault="000A7B5A" w:rsidP="000A7B5A">
      <w:r>
        <w:lastRenderedPageBreak/>
        <w:t xml:space="preserve"> </w:t>
      </w:r>
      <w:r w:rsidRPr="000A7B5A">
        <w:drawing>
          <wp:inline distT="0" distB="0" distL="0" distR="0" wp14:anchorId="665A8D8F" wp14:editId="0AC2E8DD">
            <wp:extent cx="5764314" cy="8149590"/>
            <wp:effectExtent l="0" t="0" r="825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6012" cy="8151991"/>
                    </a:xfrm>
                    <a:prstGeom prst="rect">
                      <a:avLst/>
                    </a:prstGeom>
                    <a:noFill/>
                    <a:ln>
                      <a:noFill/>
                    </a:ln>
                  </pic:spPr>
                </pic:pic>
              </a:graphicData>
            </a:graphic>
          </wp:inline>
        </w:drawing>
      </w:r>
    </w:p>
    <w:p w14:paraId="6DEF7EDA" w14:textId="7CA75A02" w:rsidR="00355FCC" w:rsidRPr="00DD3E7E" w:rsidRDefault="00355FCC" w:rsidP="00DD3E7E"/>
    <w:sectPr w:rsidR="00355FCC" w:rsidRPr="00DD3E7E"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9AFE" w14:textId="77777777" w:rsidR="00913FF7" w:rsidRDefault="00913FF7" w:rsidP="00F62916">
      <w:r>
        <w:separator/>
      </w:r>
    </w:p>
  </w:endnote>
  <w:endnote w:type="continuationSeparator" w:id="0">
    <w:p w14:paraId="2FC37E1A" w14:textId="77777777" w:rsidR="00913FF7" w:rsidRDefault="00913FF7" w:rsidP="00F62916">
      <w:r>
        <w:continuationSeparator/>
      </w:r>
    </w:p>
  </w:endnote>
  <w:endnote w:type="continuationNotice" w:id="1">
    <w:p w14:paraId="40E04C27" w14:textId="77777777" w:rsidR="00913FF7" w:rsidRDefault="00913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F1B5"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325BE2"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AC89"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241" behindDoc="0" locked="0" layoutInCell="1" allowOverlap="1" wp14:anchorId="646A679A" wp14:editId="61157B06">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968CF" id="Line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23AE08FE" w14:textId="77777777" w:rsidR="00366F95" w:rsidRPr="00E45340" w:rsidRDefault="00A547A0"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BA1D" w14:textId="77777777" w:rsidR="00366F95" w:rsidRDefault="00366F95" w:rsidP="009C36BC">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101D8D98" wp14:editId="58CDAFB9">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70B06"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CA3C700" w14:textId="77777777" w:rsidR="00366F95" w:rsidRPr="00451EE4" w:rsidRDefault="00A547A0">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531C" w14:textId="77777777" w:rsidR="00913FF7" w:rsidRDefault="00913FF7" w:rsidP="00F62916">
      <w:r>
        <w:separator/>
      </w:r>
    </w:p>
  </w:footnote>
  <w:footnote w:type="continuationSeparator" w:id="0">
    <w:p w14:paraId="333359AC" w14:textId="77777777" w:rsidR="00913FF7" w:rsidRDefault="00913FF7" w:rsidP="00F62916">
      <w:r>
        <w:continuationSeparator/>
      </w:r>
    </w:p>
  </w:footnote>
  <w:footnote w:type="continuationNotice" w:id="1">
    <w:p w14:paraId="379C5AAD" w14:textId="77777777" w:rsidR="00913FF7" w:rsidRDefault="00913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6D848BEB" w14:textId="77777777">
      <w:tc>
        <w:tcPr>
          <w:tcW w:w="9520" w:type="dxa"/>
        </w:tcPr>
        <w:p w14:paraId="2C9BBBE8" w14:textId="7C0D45B0" w:rsidR="00354C2E" w:rsidRPr="00166502" w:rsidRDefault="009C36BC">
          <w:pPr>
            <w:pStyle w:val="Footer"/>
            <w:rPr>
              <w:rFonts w:ascii="Arial" w:hAnsi="Arial" w:cs="Arial"/>
              <w:sz w:val="20"/>
            </w:rPr>
          </w:pPr>
          <w:r w:rsidRPr="00166502">
            <w:rPr>
              <w:rFonts w:ascii="Arial" w:hAnsi="Arial" w:cs="Arial"/>
              <w:sz w:val="20"/>
            </w:rPr>
            <w:t xml:space="preserve">Order Decision </w:t>
          </w:r>
          <w:r w:rsidR="00166502" w:rsidRPr="00166502">
            <w:rPr>
              <w:rFonts w:ascii="Arial" w:hAnsi="Arial" w:cs="Arial"/>
              <w:sz w:val="20"/>
            </w:rPr>
            <w:t>ROW</w:t>
          </w:r>
          <w:r w:rsidRPr="00166502">
            <w:rPr>
              <w:rFonts w:ascii="Arial" w:hAnsi="Arial" w:cs="Arial"/>
              <w:sz w:val="20"/>
            </w:rPr>
            <w:t>/</w:t>
          </w:r>
          <w:r w:rsidR="00354C2E">
            <w:rPr>
              <w:rFonts w:ascii="Arial" w:hAnsi="Arial" w:cs="Arial"/>
              <w:sz w:val="20"/>
            </w:rPr>
            <w:t>3327826</w:t>
          </w:r>
        </w:p>
      </w:tc>
    </w:tr>
  </w:tbl>
  <w:p w14:paraId="10F8B202" w14:textId="77777777" w:rsidR="00366F95" w:rsidRDefault="00366F95" w:rsidP="00087477">
    <w:pPr>
      <w:pStyle w:val="Footer"/>
      <w:spacing w:after="180"/>
    </w:pPr>
    <w:r>
      <w:rPr>
        <w:noProof/>
      </w:rPr>
      <mc:AlternateContent>
        <mc:Choice Requires="wps">
          <w:drawing>
            <wp:anchor distT="0" distB="0" distL="114300" distR="114300" simplePos="0" relativeHeight="251658242" behindDoc="0" locked="0" layoutInCell="1" allowOverlap="1" wp14:anchorId="255A0893" wp14:editId="0A07B2FE">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BE0A6" id="Line 1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F6CC"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0FC539DC"/>
    <w:multiLevelType w:val="hybridMultilevel"/>
    <w:tmpl w:val="F8C0616A"/>
    <w:lvl w:ilvl="0" w:tplc="08090001">
      <w:start w:val="1"/>
      <w:numFmt w:val="bullet"/>
      <w:lvlText w:val=""/>
      <w:lvlJc w:val="left"/>
      <w:pPr>
        <w:ind w:left="255" w:hanging="360"/>
      </w:pPr>
      <w:rPr>
        <w:rFonts w:ascii="Symbol" w:hAnsi="Symbol" w:hint="default"/>
      </w:rPr>
    </w:lvl>
    <w:lvl w:ilvl="1" w:tplc="08090003" w:tentative="1">
      <w:start w:val="1"/>
      <w:numFmt w:val="bullet"/>
      <w:lvlText w:val="o"/>
      <w:lvlJc w:val="left"/>
      <w:pPr>
        <w:ind w:left="975" w:hanging="360"/>
      </w:pPr>
      <w:rPr>
        <w:rFonts w:ascii="Courier New" w:hAnsi="Courier New" w:cs="Courier New" w:hint="default"/>
      </w:rPr>
    </w:lvl>
    <w:lvl w:ilvl="2" w:tplc="08090005" w:tentative="1">
      <w:start w:val="1"/>
      <w:numFmt w:val="bullet"/>
      <w:lvlText w:val=""/>
      <w:lvlJc w:val="left"/>
      <w:pPr>
        <w:ind w:left="1695" w:hanging="360"/>
      </w:pPr>
      <w:rPr>
        <w:rFonts w:ascii="Wingdings" w:hAnsi="Wingdings" w:hint="default"/>
      </w:rPr>
    </w:lvl>
    <w:lvl w:ilvl="3" w:tplc="08090001" w:tentative="1">
      <w:start w:val="1"/>
      <w:numFmt w:val="bullet"/>
      <w:lvlText w:val=""/>
      <w:lvlJc w:val="left"/>
      <w:pPr>
        <w:ind w:left="2415" w:hanging="360"/>
      </w:pPr>
      <w:rPr>
        <w:rFonts w:ascii="Symbol" w:hAnsi="Symbol" w:hint="default"/>
      </w:rPr>
    </w:lvl>
    <w:lvl w:ilvl="4" w:tplc="08090003" w:tentative="1">
      <w:start w:val="1"/>
      <w:numFmt w:val="bullet"/>
      <w:lvlText w:val="o"/>
      <w:lvlJc w:val="left"/>
      <w:pPr>
        <w:ind w:left="3135" w:hanging="360"/>
      </w:pPr>
      <w:rPr>
        <w:rFonts w:ascii="Courier New" w:hAnsi="Courier New" w:cs="Courier New" w:hint="default"/>
      </w:rPr>
    </w:lvl>
    <w:lvl w:ilvl="5" w:tplc="08090005" w:tentative="1">
      <w:start w:val="1"/>
      <w:numFmt w:val="bullet"/>
      <w:lvlText w:val=""/>
      <w:lvlJc w:val="left"/>
      <w:pPr>
        <w:ind w:left="3855" w:hanging="360"/>
      </w:pPr>
      <w:rPr>
        <w:rFonts w:ascii="Wingdings" w:hAnsi="Wingdings" w:hint="default"/>
      </w:rPr>
    </w:lvl>
    <w:lvl w:ilvl="6" w:tplc="08090001" w:tentative="1">
      <w:start w:val="1"/>
      <w:numFmt w:val="bullet"/>
      <w:lvlText w:val=""/>
      <w:lvlJc w:val="left"/>
      <w:pPr>
        <w:ind w:left="4575" w:hanging="360"/>
      </w:pPr>
      <w:rPr>
        <w:rFonts w:ascii="Symbol" w:hAnsi="Symbol" w:hint="default"/>
      </w:rPr>
    </w:lvl>
    <w:lvl w:ilvl="7" w:tplc="08090003" w:tentative="1">
      <w:start w:val="1"/>
      <w:numFmt w:val="bullet"/>
      <w:lvlText w:val="o"/>
      <w:lvlJc w:val="left"/>
      <w:pPr>
        <w:ind w:left="5295" w:hanging="360"/>
      </w:pPr>
      <w:rPr>
        <w:rFonts w:ascii="Courier New" w:hAnsi="Courier New" w:cs="Courier New" w:hint="default"/>
      </w:rPr>
    </w:lvl>
    <w:lvl w:ilvl="8" w:tplc="08090005" w:tentative="1">
      <w:start w:val="1"/>
      <w:numFmt w:val="bullet"/>
      <w:lvlText w:val=""/>
      <w:lvlJc w:val="left"/>
      <w:pPr>
        <w:ind w:left="6015" w:hanging="360"/>
      </w:pPr>
      <w:rPr>
        <w:rFonts w:ascii="Wingdings" w:hAnsi="Wingdings" w:hint="default"/>
      </w:rPr>
    </w:lvl>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2342F1"/>
    <w:multiLevelType w:val="multilevel"/>
    <w:tmpl w:val="A22611FC"/>
    <w:numStyleLink w:val="ConditionsList"/>
  </w:abstractNum>
  <w:abstractNum w:abstractNumId="14" w15:restartNumberingAfterBreak="0">
    <w:nsid w:val="5137716E"/>
    <w:multiLevelType w:val="multilevel"/>
    <w:tmpl w:val="A22611FC"/>
    <w:numStyleLink w:val="ConditionsList"/>
  </w:abstractNum>
  <w:abstractNum w:abstractNumId="15" w15:restartNumberingAfterBreak="0">
    <w:nsid w:val="53F51752"/>
    <w:multiLevelType w:val="multilevel"/>
    <w:tmpl w:val="A22611FC"/>
    <w:numStyleLink w:val="ConditionsList"/>
  </w:abstractNum>
  <w:abstractNum w:abstractNumId="16"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7"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5B7639F"/>
    <w:multiLevelType w:val="multilevel"/>
    <w:tmpl w:val="A22611FC"/>
    <w:numStyleLink w:val="ConditionsList"/>
  </w:abstractNum>
  <w:abstractNum w:abstractNumId="20"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1"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56192363">
    <w:abstractNumId w:val="18"/>
  </w:num>
  <w:num w:numId="2" w16cid:durableId="106587993">
    <w:abstractNumId w:val="18"/>
  </w:num>
  <w:num w:numId="3" w16cid:durableId="739134184">
    <w:abstractNumId w:val="20"/>
  </w:num>
  <w:num w:numId="4" w16cid:durableId="2101099719">
    <w:abstractNumId w:val="0"/>
  </w:num>
  <w:num w:numId="5" w16cid:durableId="2033914262">
    <w:abstractNumId w:val="9"/>
  </w:num>
  <w:num w:numId="6" w16cid:durableId="2080209955">
    <w:abstractNumId w:val="17"/>
  </w:num>
  <w:num w:numId="7" w16cid:durableId="1206526138">
    <w:abstractNumId w:val="21"/>
  </w:num>
  <w:num w:numId="8" w16cid:durableId="1513690930">
    <w:abstractNumId w:val="16"/>
  </w:num>
  <w:num w:numId="9" w16cid:durableId="98842746">
    <w:abstractNumId w:val="4"/>
  </w:num>
  <w:num w:numId="10" w16cid:durableId="1673752176">
    <w:abstractNumId w:val="5"/>
  </w:num>
  <w:num w:numId="11" w16cid:durableId="287976854">
    <w:abstractNumId w:val="12"/>
  </w:num>
  <w:num w:numId="12" w16cid:durableId="40328497">
    <w:abstractNumId w:val="13"/>
  </w:num>
  <w:num w:numId="13" w16cid:durableId="1781877839">
    <w:abstractNumId w:val="8"/>
  </w:num>
  <w:num w:numId="14" w16cid:durableId="636838888">
    <w:abstractNumId w:val="11"/>
  </w:num>
  <w:num w:numId="15" w16cid:durableId="949896181">
    <w:abstractNumId w:val="14"/>
  </w:num>
  <w:num w:numId="16" w16cid:durableId="359430039">
    <w:abstractNumId w:val="1"/>
  </w:num>
  <w:num w:numId="17" w16cid:durableId="981538561">
    <w:abstractNumId w:val="15"/>
  </w:num>
  <w:num w:numId="18" w16cid:durableId="927420121">
    <w:abstractNumId w:val="6"/>
  </w:num>
  <w:num w:numId="19" w16cid:durableId="521404460">
    <w:abstractNumId w:val="3"/>
  </w:num>
  <w:num w:numId="20" w16cid:durableId="498348241">
    <w:abstractNumId w:val="7"/>
  </w:num>
  <w:num w:numId="21" w16cid:durableId="1134984906">
    <w:abstractNumId w:val="10"/>
  </w:num>
  <w:num w:numId="22" w16cid:durableId="448162108">
    <w:abstractNumId w:val="10"/>
  </w:num>
  <w:num w:numId="23" w16cid:durableId="355817684">
    <w:abstractNumId w:val="19"/>
  </w:num>
  <w:num w:numId="24" w16cid:durableId="403643100">
    <w:abstractNumId w:val="2"/>
  </w:num>
  <w:num w:numId="25" w16cid:durableId="1194995832">
    <w:abstractNumId w:val="10"/>
    <w:lvlOverride w:ilvl="0">
      <w:lvl w:ilvl="0">
        <w:start w:val="1"/>
        <w:numFmt w:val="decimal"/>
        <w:pStyle w:val="Style1"/>
        <w:lvlText w:val="%1."/>
        <w:lvlJc w:val="left"/>
        <w:pPr>
          <w:tabs>
            <w:tab w:val="num" w:pos="720"/>
          </w:tabs>
          <w:ind w:left="431" w:hanging="431"/>
        </w:pPr>
        <w:rPr>
          <w:rFonts w:ascii="Arial" w:hAnsi="Arial" w:cs="Arial" w:hint="default"/>
          <w:i w:val="0"/>
          <w:iCs w:val="0"/>
          <w:sz w:val="24"/>
          <w:szCs w:val="24"/>
        </w:rPr>
      </w:lvl>
    </w:lvlOverride>
  </w:num>
  <w:num w:numId="26" w16cid:durableId="953707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0125607">
    <w:abstractNumId w:val="20"/>
  </w:num>
  <w:num w:numId="28" w16cid:durableId="3117563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C36BC"/>
    <w:rsid w:val="0000335F"/>
    <w:rsid w:val="00024500"/>
    <w:rsid w:val="000247B2"/>
    <w:rsid w:val="00032884"/>
    <w:rsid w:val="000401B0"/>
    <w:rsid w:val="00044695"/>
    <w:rsid w:val="00046145"/>
    <w:rsid w:val="0004625F"/>
    <w:rsid w:val="00053135"/>
    <w:rsid w:val="000600A9"/>
    <w:rsid w:val="00077358"/>
    <w:rsid w:val="00081A23"/>
    <w:rsid w:val="00087477"/>
    <w:rsid w:val="00087DEC"/>
    <w:rsid w:val="00094A44"/>
    <w:rsid w:val="000A4AEB"/>
    <w:rsid w:val="000A64AE"/>
    <w:rsid w:val="000A7B5A"/>
    <w:rsid w:val="000B02BC"/>
    <w:rsid w:val="000B0589"/>
    <w:rsid w:val="000C3F13"/>
    <w:rsid w:val="000C5098"/>
    <w:rsid w:val="000C698E"/>
    <w:rsid w:val="000D0673"/>
    <w:rsid w:val="000E322E"/>
    <w:rsid w:val="000E57C1"/>
    <w:rsid w:val="000E7142"/>
    <w:rsid w:val="000F16F4"/>
    <w:rsid w:val="000F6EC2"/>
    <w:rsid w:val="000F7C52"/>
    <w:rsid w:val="000F7FAF"/>
    <w:rsid w:val="001000CB"/>
    <w:rsid w:val="00104D93"/>
    <w:rsid w:val="001440C3"/>
    <w:rsid w:val="00152C92"/>
    <w:rsid w:val="001600F5"/>
    <w:rsid w:val="00161B5C"/>
    <w:rsid w:val="00166502"/>
    <w:rsid w:val="00197B5B"/>
    <w:rsid w:val="001B37BF"/>
    <w:rsid w:val="001D5102"/>
    <w:rsid w:val="001F5990"/>
    <w:rsid w:val="00206573"/>
    <w:rsid w:val="00207816"/>
    <w:rsid w:val="00212C8F"/>
    <w:rsid w:val="00225D09"/>
    <w:rsid w:val="002308A8"/>
    <w:rsid w:val="00242A5E"/>
    <w:rsid w:val="00262857"/>
    <w:rsid w:val="00265DBA"/>
    <w:rsid w:val="002819AB"/>
    <w:rsid w:val="00286D1C"/>
    <w:rsid w:val="002958D9"/>
    <w:rsid w:val="002A0041"/>
    <w:rsid w:val="002B5A3A"/>
    <w:rsid w:val="002B6F86"/>
    <w:rsid w:val="002C068A"/>
    <w:rsid w:val="002C2524"/>
    <w:rsid w:val="002C47E9"/>
    <w:rsid w:val="002D2BFB"/>
    <w:rsid w:val="002D5A7C"/>
    <w:rsid w:val="002E267D"/>
    <w:rsid w:val="00303CA5"/>
    <w:rsid w:val="0030500E"/>
    <w:rsid w:val="003206FD"/>
    <w:rsid w:val="00320F54"/>
    <w:rsid w:val="00324442"/>
    <w:rsid w:val="00343A1F"/>
    <w:rsid w:val="00344294"/>
    <w:rsid w:val="00344CD1"/>
    <w:rsid w:val="00354C2E"/>
    <w:rsid w:val="00355FCC"/>
    <w:rsid w:val="00360664"/>
    <w:rsid w:val="00361890"/>
    <w:rsid w:val="00364E17"/>
    <w:rsid w:val="00366F95"/>
    <w:rsid w:val="003753FE"/>
    <w:rsid w:val="003941CF"/>
    <w:rsid w:val="00395F03"/>
    <w:rsid w:val="003B2FE6"/>
    <w:rsid w:val="003C25AC"/>
    <w:rsid w:val="003D1D4A"/>
    <w:rsid w:val="003D3715"/>
    <w:rsid w:val="003E54CC"/>
    <w:rsid w:val="003F3533"/>
    <w:rsid w:val="003F7DFB"/>
    <w:rsid w:val="004029F3"/>
    <w:rsid w:val="004137B8"/>
    <w:rsid w:val="004156F0"/>
    <w:rsid w:val="00434739"/>
    <w:rsid w:val="004474DE"/>
    <w:rsid w:val="00451EE4"/>
    <w:rsid w:val="004522C1"/>
    <w:rsid w:val="00453E15"/>
    <w:rsid w:val="00466B2D"/>
    <w:rsid w:val="0047718B"/>
    <w:rsid w:val="0048041A"/>
    <w:rsid w:val="004830E4"/>
    <w:rsid w:val="00483D15"/>
    <w:rsid w:val="004976CF"/>
    <w:rsid w:val="004A2EB8"/>
    <w:rsid w:val="004A7FFE"/>
    <w:rsid w:val="004C07CB"/>
    <w:rsid w:val="004E04E0"/>
    <w:rsid w:val="004E17CB"/>
    <w:rsid w:val="004E6091"/>
    <w:rsid w:val="004F274A"/>
    <w:rsid w:val="005050BE"/>
    <w:rsid w:val="00506851"/>
    <w:rsid w:val="00517039"/>
    <w:rsid w:val="0052347F"/>
    <w:rsid w:val="00523706"/>
    <w:rsid w:val="00541734"/>
    <w:rsid w:val="00542B4C"/>
    <w:rsid w:val="00557D4C"/>
    <w:rsid w:val="00561E69"/>
    <w:rsid w:val="0056634F"/>
    <w:rsid w:val="0057098A"/>
    <w:rsid w:val="005718AF"/>
    <w:rsid w:val="00571FD4"/>
    <w:rsid w:val="005723C3"/>
    <w:rsid w:val="00572879"/>
    <w:rsid w:val="0057471E"/>
    <w:rsid w:val="0057782A"/>
    <w:rsid w:val="00582C09"/>
    <w:rsid w:val="00586BD8"/>
    <w:rsid w:val="00590AAC"/>
    <w:rsid w:val="00591235"/>
    <w:rsid w:val="005A0799"/>
    <w:rsid w:val="005A3A64"/>
    <w:rsid w:val="005B0984"/>
    <w:rsid w:val="005B16B7"/>
    <w:rsid w:val="005C0E8B"/>
    <w:rsid w:val="005D739E"/>
    <w:rsid w:val="005E34E1"/>
    <w:rsid w:val="005E34FF"/>
    <w:rsid w:val="005E3542"/>
    <w:rsid w:val="005E52F9"/>
    <w:rsid w:val="005F1261"/>
    <w:rsid w:val="005F5EF5"/>
    <w:rsid w:val="00602315"/>
    <w:rsid w:val="006052EF"/>
    <w:rsid w:val="006127F0"/>
    <w:rsid w:val="00613986"/>
    <w:rsid w:val="00614E46"/>
    <w:rsid w:val="00615462"/>
    <w:rsid w:val="00624606"/>
    <w:rsid w:val="006319E6"/>
    <w:rsid w:val="0063373D"/>
    <w:rsid w:val="00646B29"/>
    <w:rsid w:val="00655A10"/>
    <w:rsid w:val="0065719B"/>
    <w:rsid w:val="0066322F"/>
    <w:rsid w:val="00681108"/>
    <w:rsid w:val="00683417"/>
    <w:rsid w:val="00685A46"/>
    <w:rsid w:val="0069559D"/>
    <w:rsid w:val="00696368"/>
    <w:rsid w:val="00696554"/>
    <w:rsid w:val="006A5BB3"/>
    <w:rsid w:val="006A7B8B"/>
    <w:rsid w:val="006C0FD4"/>
    <w:rsid w:val="006C4C25"/>
    <w:rsid w:val="006C6D1A"/>
    <w:rsid w:val="006D1004"/>
    <w:rsid w:val="006D2842"/>
    <w:rsid w:val="006D5133"/>
    <w:rsid w:val="006F16D9"/>
    <w:rsid w:val="006F1C9A"/>
    <w:rsid w:val="006F6496"/>
    <w:rsid w:val="00702319"/>
    <w:rsid w:val="00704126"/>
    <w:rsid w:val="0071604A"/>
    <w:rsid w:val="0076330D"/>
    <w:rsid w:val="00785862"/>
    <w:rsid w:val="007A0537"/>
    <w:rsid w:val="007A06BE"/>
    <w:rsid w:val="007A2220"/>
    <w:rsid w:val="007B4C9B"/>
    <w:rsid w:val="007C1DBC"/>
    <w:rsid w:val="007D528B"/>
    <w:rsid w:val="007D65B4"/>
    <w:rsid w:val="007E03EF"/>
    <w:rsid w:val="007E5195"/>
    <w:rsid w:val="007F1352"/>
    <w:rsid w:val="007F3F10"/>
    <w:rsid w:val="007F59EB"/>
    <w:rsid w:val="007F5F59"/>
    <w:rsid w:val="00806F2A"/>
    <w:rsid w:val="00825700"/>
    <w:rsid w:val="00827937"/>
    <w:rsid w:val="00834368"/>
    <w:rsid w:val="008411A4"/>
    <w:rsid w:val="00882B66"/>
    <w:rsid w:val="008A03E3"/>
    <w:rsid w:val="008B7DE6"/>
    <w:rsid w:val="008C6FA3"/>
    <w:rsid w:val="008E359C"/>
    <w:rsid w:val="00901334"/>
    <w:rsid w:val="009124CE"/>
    <w:rsid w:val="00912954"/>
    <w:rsid w:val="00913FF7"/>
    <w:rsid w:val="00921F34"/>
    <w:rsid w:val="009226CE"/>
    <w:rsid w:val="0092304C"/>
    <w:rsid w:val="00923F06"/>
    <w:rsid w:val="0092562E"/>
    <w:rsid w:val="00960B10"/>
    <w:rsid w:val="0096535A"/>
    <w:rsid w:val="009841DA"/>
    <w:rsid w:val="00986627"/>
    <w:rsid w:val="00994A8E"/>
    <w:rsid w:val="009A4CB4"/>
    <w:rsid w:val="009A6469"/>
    <w:rsid w:val="009B3075"/>
    <w:rsid w:val="009B72ED"/>
    <w:rsid w:val="009B7BD4"/>
    <w:rsid w:val="009B7F3F"/>
    <w:rsid w:val="009C1BA7"/>
    <w:rsid w:val="009C36BC"/>
    <w:rsid w:val="009E1447"/>
    <w:rsid w:val="009E179D"/>
    <w:rsid w:val="009E3C69"/>
    <w:rsid w:val="009E4076"/>
    <w:rsid w:val="009E6FB7"/>
    <w:rsid w:val="00A00FCD"/>
    <w:rsid w:val="00A101CD"/>
    <w:rsid w:val="00A23FC7"/>
    <w:rsid w:val="00A357C3"/>
    <w:rsid w:val="00A418A7"/>
    <w:rsid w:val="00A45DBE"/>
    <w:rsid w:val="00A5760C"/>
    <w:rsid w:val="00A60DB3"/>
    <w:rsid w:val="00A83795"/>
    <w:rsid w:val="00AC39D0"/>
    <w:rsid w:val="00AD0E39"/>
    <w:rsid w:val="00AD2F56"/>
    <w:rsid w:val="00AE2FAA"/>
    <w:rsid w:val="00B049F2"/>
    <w:rsid w:val="00B15B24"/>
    <w:rsid w:val="00B32324"/>
    <w:rsid w:val="00B345C9"/>
    <w:rsid w:val="00B51D9F"/>
    <w:rsid w:val="00B56990"/>
    <w:rsid w:val="00B61A59"/>
    <w:rsid w:val="00B7142C"/>
    <w:rsid w:val="00B8289C"/>
    <w:rsid w:val="00BC0524"/>
    <w:rsid w:val="00BC2702"/>
    <w:rsid w:val="00BD09CD"/>
    <w:rsid w:val="00BE38C5"/>
    <w:rsid w:val="00BE6377"/>
    <w:rsid w:val="00BF34D7"/>
    <w:rsid w:val="00C00E8A"/>
    <w:rsid w:val="00C11BD0"/>
    <w:rsid w:val="00C274BD"/>
    <w:rsid w:val="00C31AE8"/>
    <w:rsid w:val="00C36797"/>
    <w:rsid w:val="00C40EA6"/>
    <w:rsid w:val="00C50266"/>
    <w:rsid w:val="00C54391"/>
    <w:rsid w:val="00C57B84"/>
    <w:rsid w:val="00C74873"/>
    <w:rsid w:val="00C81607"/>
    <w:rsid w:val="00C8343C"/>
    <w:rsid w:val="00C857CB"/>
    <w:rsid w:val="00C8740F"/>
    <w:rsid w:val="00C915A8"/>
    <w:rsid w:val="00CA3B07"/>
    <w:rsid w:val="00CC28C1"/>
    <w:rsid w:val="00CC50AC"/>
    <w:rsid w:val="00CD7877"/>
    <w:rsid w:val="00CE21C0"/>
    <w:rsid w:val="00D02B48"/>
    <w:rsid w:val="00D1120A"/>
    <w:rsid w:val="00D125BE"/>
    <w:rsid w:val="00D1410D"/>
    <w:rsid w:val="00D354A3"/>
    <w:rsid w:val="00D423EB"/>
    <w:rsid w:val="00D5068C"/>
    <w:rsid w:val="00D555DA"/>
    <w:rsid w:val="00DB1128"/>
    <w:rsid w:val="00DB7937"/>
    <w:rsid w:val="00DD0F21"/>
    <w:rsid w:val="00DD262D"/>
    <w:rsid w:val="00DD3E7E"/>
    <w:rsid w:val="00DE265F"/>
    <w:rsid w:val="00E0750F"/>
    <w:rsid w:val="00E11244"/>
    <w:rsid w:val="00E15353"/>
    <w:rsid w:val="00E16CAE"/>
    <w:rsid w:val="00E45340"/>
    <w:rsid w:val="00E515DB"/>
    <w:rsid w:val="00E54F7C"/>
    <w:rsid w:val="00E551C2"/>
    <w:rsid w:val="00E55881"/>
    <w:rsid w:val="00E55A9C"/>
    <w:rsid w:val="00E674DD"/>
    <w:rsid w:val="00E67B22"/>
    <w:rsid w:val="00E81323"/>
    <w:rsid w:val="00E85E3D"/>
    <w:rsid w:val="00E86764"/>
    <w:rsid w:val="00E974ED"/>
    <w:rsid w:val="00EA406E"/>
    <w:rsid w:val="00EA43AC"/>
    <w:rsid w:val="00EA52D3"/>
    <w:rsid w:val="00EA73CE"/>
    <w:rsid w:val="00EB2329"/>
    <w:rsid w:val="00EB44C5"/>
    <w:rsid w:val="00ED043A"/>
    <w:rsid w:val="00ED3727"/>
    <w:rsid w:val="00ED3DDF"/>
    <w:rsid w:val="00ED3FF4"/>
    <w:rsid w:val="00ED50F4"/>
    <w:rsid w:val="00EE1C1A"/>
    <w:rsid w:val="00EE2613"/>
    <w:rsid w:val="00EE550A"/>
    <w:rsid w:val="00EF1E98"/>
    <w:rsid w:val="00EF5820"/>
    <w:rsid w:val="00F1025A"/>
    <w:rsid w:val="00F2297F"/>
    <w:rsid w:val="00F35EDC"/>
    <w:rsid w:val="00F5694C"/>
    <w:rsid w:val="00F62916"/>
    <w:rsid w:val="00F63D9A"/>
    <w:rsid w:val="00F659A3"/>
    <w:rsid w:val="00F7417F"/>
    <w:rsid w:val="00FA02D2"/>
    <w:rsid w:val="00FA3137"/>
    <w:rsid w:val="00FB743C"/>
    <w:rsid w:val="00FC6E8D"/>
    <w:rsid w:val="00FD307B"/>
    <w:rsid w:val="00FE68E4"/>
    <w:rsid w:val="00FE7138"/>
    <w:rsid w:val="00FE7F78"/>
    <w:rsid w:val="00FF34A3"/>
    <w:rsid w:val="00FF6FAD"/>
    <w:rsid w:val="00FF7763"/>
    <w:rsid w:val="343DA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B216E"/>
  <w15:docId w15:val="{6D16D0AC-BD29-47A3-B834-64EA846E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E7E"/>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clear" w:pos="720"/>
        <w:tab w:val="num" w:pos="360"/>
        <w:tab w:val="left" w:pos="851"/>
      </w:tabs>
      <w:spacing w:before="60" w:after="60"/>
      <w:ind w:left="0" w:firstLine="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tabs>
        <w:tab w:val="clear" w:pos="1361"/>
        <w:tab w:val="num" w:pos="862"/>
      </w:tabs>
      <w:spacing w:before="40"/>
      <w:ind w:left="862" w:right="516" w:hanging="862"/>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paragraph" w:styleId="Revision">
    <w:name w:val="Revision"/>
    <w:hidden/>
    <w:uiPriority w:val="99"/>
    <w:semiHidden/>
    <w:rsid w:val="005B16B7"/>
    <w:rPr>
      <w:rFonts w:ascii="Verdana" w:hAnsi="Verdana"/>
      <w:sz w:val="22"/>
    </w:rPr>
  </w:style>
  <w:style w:type="character" w:customStyle="1" w:styleId="Style1Char">
    <w:name w:val="Style1 Char"/>
    <w:basedOn w:val="DefaultParagraphFont"/>
    <w:link w:val="Style1"/>
    <w:locked/>
    <w:rsid w:val="00320F54"/>
    <w:rPr>
      <w:rFonts w:ascii="Verdana" w:hAnsi="Verdana"/>
      <w:color w:val="000000"/>
      <w:kern w:val="28"/>
      <w:sz w:val="22"/>
    </w:rPr>
  </w:style>
  <w:style w:type="paragraph" w:styleId="NormalWeb">
    <w:name w:val="Normal (Web)"/>
    <w:basedOn w:val="Normal"/>
    <w:semiHidden/>
    <w:unhideWhenUsed/>
    <w:rsid w:val="000A7B5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99258">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8226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BAE78-EC2C-4E59-937A-CCEF5D8E5A1D}">
  <ds:schemaRefs>
    <ds:schemaRef ds:uri="http://schemas.microsoft.com/sharepoint/v3/contenttype/forms"/>
  </ds:schemaRefs>
</ds:datastoreItem>
</file>

<file path=customXml/itemProps2.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C26128-0A32-4901-B4BA-471E73ADE367}">
  <ds:schemaRefs>
    <ds:schemaRef ds:uri="http://schemas.microsoft.com/office/2006/metadata/properties"/>
    <ds:schemaRef ds:uri="171a6d4e-846b-4045-8024-24f3590889e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a4cad7d-cde0-4c4b-9900-a6ca365b2969"/>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51861ABF-A483-4ED5-AD14-B867A3BCF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Decisions.dotm</Template>
  <TotalTime>1</TotalTime>
  <Pages>5</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Ditchburn, Charlotte</dc:creator>
  <cp:lastModifiedBy>Baylis, Caroline</cp:lastModifiedBy>
  <cp:revision>2</cp:revision>
  <cp:lastPrinted>2024-08-01T11:25:00Z</cp:lastPrinted>
  <dcterms:created xsi:type="dcterms:W3CDTF">2024-08-16T13:46:00Z</dcterms:created>
  <dcterms:modified xsi:type="dcterms:W3CDTF">2024-08-16T13:46:00Z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MediaServiceImageTags">
    <vt:lpwstr/>
  </property>
</Properties>
</file>