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AAD99" w14:textId="77777777" w:rsidR="000B0589" w:rsidRDefault="000B0589" w:rsidP="00BC2702">
      <w:pPr>
        <w:pStyle w:val="Conditions1"/>
        <w:numPr>
          <w:ilvl w:val="0"/>
          <w:numId w:val="0"/>
        </w:numPr>
      </w:pPr>
      <w:r>
        <w:rPr>
          <w:noProof/>
        </w:rPr>
        <w:drawing>
          <wp:inline distT="0" distB="0" distL="0" distR="0" wp14:anchorId="0D2F3A24" wp14:editId="67D636D7">
            <wp:extent cx="3419475" cy="35962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4B29B7A" w14:textId="77777777" w:rsidR="000B0589" w:rsidRDefault="000B0589" w:rsidP="00A5760C"/>
    <w:p w14:paraId="73036970" w14:textId="77777777" w:rsidR="000B0589" w:rsidRDefault="000B0589" w:rsidP="000B0589">
      <w:pPr>
        <w:spacing w:before="60" w:after="60"/>
      </w:pPr>
    </w:p>
    <w:tbl>
      <w:tblPr>
        <w:tblW w:w="9356"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265DBA" w14:paraId="0A561068" w14:textId="77777777" w:rsidTr="001D5102">
        <w:trPr>
          <w:cantSplit/>
          <w:trHeight w:val="23"/>
        </w:trPr>
        <w:tc>
          <w:tcPr>
            <w:tcW w:w="9356" w:type="dxa"/>
            <w:shd w:val="clear" w:color="auto" w:fill="auto"/>
          </w:tcPr>
          <w:p w14:paraId="64F0F0E3" w14:textId="1AF7DF13" w:rsidR="000B0589" w:rsidRPr="00265DBA" w:rsidRDefault="009C36BC" w:rsidP="001D5102">
            <w:pPr>
              <w:spacing w:before="120"/>
              <w:ind w:left="-105" w:right="34"/>
              <w:rPr>
                <w:rFonts w:ascii="Arial" w:hAnsi="Arial" w:cs="Arial"/>
                <w:b/>
                <w:color w:val="000000"/>
                <w:sz w:val="40"/>
                <w:szCs w:val="40"/>
              </w:rPr>
            </w:pPr>
            <w:bookmarkStart w:id="0" w:name="bmkTable00"/>
            <w:bookmarkEnd w:id="0"/>
            <w:r w:rsidRPr="00265DBA">
              <w:rPr>
                <w:rFonts w:ascii="Arial" w:hAnsi="Arial" w:cs="Arial"/>
                <w:b/>
                <w:color w:val="000000"/>
                <w:sz w:val="40"/>
                <w:szCs w:val="40"/>
              </w:rPr>
              <w:t>Order Decision</w:t>
            </w:r>
          </w:p>
        </w:tc>
      </w:tr>
      <w:tr w:rsidR="000B0589" w:rsidRPr="00265DBA" w14:paraId="3DDAF30E" w14:textId="77777777" w:rsidTr="001D5102">
        <w:trPr>
          <w:cantSplit/>
          <w:trHeight w:val="23"/>
        </w:trPr>
        <w:tc>
          <w:tcPr>
            <w:tcW w:w="9356" w:type="dxa"/>
            <w:shd w:val="clear" w:color="auto" w:fill="auto"/>
            <w:vAlign w:val="center"/>
          </w:tcPr>
          <w:p w14:paraId="21E7B631" w14:textId="146257D0" w:rsidR="009C36BC" w:rsidRPr="00265DBA" w:rsidRDefault="009C36BC" w:rsidP="001D5102">
            <w:pPr>
              <w:spacing w:before="60"/>
              <w:ind w:left="-105" w:right="34"/>
              <w:rPr>
                <w:rFonts w:ascii="Arial" w:hAnsi="Arial" w:cs="Arial"/>
                <w:color w:val="000000"/>
                <w:sz w:val="24"/>
                <w:szCs w:val="24"/>
              </w:rPr>
            </w:pPr>
            <w:r w:rsidRPr="00265DBA">
              <w:rPr>
                <w:rFonts w:ascii="Arial" w:hAnsi="Arial" w:cs="Arial"/>
                <w:color w:val="000000"/>
                <w:sz w:val="24"/>
                <w:szCs w:val="24"/>
              </w:rPr>
              <w:t>Site visit made on</w:t>
            </w:r>
            <w:r w:rsidR="007864F4">
              <w:rPr>
                <w:rFonts w:ascii="Arial" w:hAnsi="Arial" w:cs="Arial"/>
                <w:sz w:val="24"/>
                <w:szCs w:val="24"/>
              </w:rPr>
              <w:t xml:space="preserve"> 16 July 2024</w:t>
            </w:r>
          </w:p>
          <w:p w14:paraId="22C01464" w14:textId="78E2CC67" w:rsidR="000B0589" w:rsidRPr="00265DBA" w:rsidRDefault="000B0589" w:rsidP="001D5102">
            <w:pPr>
              <w:spacing w:before="60"/>
              <w:ind w:left="-105" w:right="34"/>
              <w:rPr>
                <w:rFonts w:ascii="Arial" w:hAnsi="Arial" w:cs="Arial"/>
                <w:color w:val="000000"/>
                <w:sz w:val="24"/>
                <w:szCs w:val="24"/>
              </w:rPr>
            </w:pPr>
          </w:p>
        </w:tc>
      </w:tr>
      <w:tr w:rsidR="000B0589" w:rsidRPr="00265DBA" w14:paraId="2AAEECB6" w14:textId="77777777" w:rsidTr="001D5102">
        <w:trPr>
          <w:cantSplit/>
          <w:trHeight w:val="23"/>
        </w:trPr>
        <w:tc>
          <w:tcPr>
            <w:tcW w:w="9356" w:type="dxa"/>
            <w:shd w:val="clear" w:color="auto" w:fill="auto"/>
          </w:tcPr>
          <w:p w14:paraId="13AB38CE" w14:textId="4209A12D" w:rsidR="000B0589" w:rsidRPr="00265DBA" w:rsidRDefault="009C36BC" w:rsidP="001D5102">
            <w:pPr>
              <w:spacing w:before="180"/>
              <w:ind w:left="-105" w:right="34"/>
              <w:rPr>
                <w:rFonts w:ascii="Arial" w:hAnsi="Arial" w:cs="Arial"/>
                <w:b/>
                <w:color w:val="000000"/>
                <w:sz w:val="24"/>
                <w:szCs w:val="24"/>
              </w:rPr>
            </w:pPr>
            <w:r w:rsidRPr="00265DBA">
              <w:rPr>
                <w:rFonts w:ascii="Arial" w:hAnsi="Arial" w:cs="Arial"/>
                <w:b/>
                <w:color w:val="000000"/>
                <w:sz w:val="24"/>
                <w:szCs w:val="24"/>
              </w:rPr>
              <w:t xml:space="preserve">by </w:t>
            </w:r>
            <w:r w:rsidR="007864F4">
              <w:rPr>
                <w:rFonts w:ascii="Arial" w:hAnsi="Arial" w:cs="Arial"/>
                <w:b/>
                <w:sz w:val="24"/>
                <w:szCs w:val="24"/>
              </w:rPr>
              <w:t>Charlotte Ditchburn BSc (Hons) MIPROW</w:t>
            </w:r>
          </w:p>
        </w:tc>
      </w:tr>
      <w:tr w:rsidR="000B0589" w:rsidRPr="00265DBA" w14:paraId="26A4D230" w14:textId="77777777" w:rsidTr="001D5102">
        <w:trPr>
          <w:cantSplit/>
          <w:trHeight w:val="23"/>
        </w:trPr>
        <w:tc>
          <w:tcPr>
            <w:tcW w:w="9356" w:type="dxa"/>
            <w:shd w:val="clear" w:color="auto" w:fill="auto"/>
          </w:tcPr>
          <w:p w14:paraId="13BBCC99" w14:textId="7E37286C" w:rsidR="000B0589" w:rsidRPr="00265DBA" w:rsidRDefault="009C36BC" w:rsidP="001D5102">
            <w:pPr>
              <w:spacing w:before="120"/>
              <w:ind w:left="-105" w:right="34"/>
              <w:rPr>
                <w:rFonts w:ascii="Arial" w:hAnsi="Arial" w:cs="Arial"/>
                <w:b/>
                <w:color w:val="000000"/>
                <w:sz w:val="18"/>
                <w:szCs w:val="18"/>
              </w:rPr>
            </w:pPr>
            <w:r w:rsidRPr="00265DBA">
              <w:rPr>
                <w:rFonts w:ascii="Arial" w:hAnsi="Arial" w:cs="Arial"/>
                <w:b/>
                <w:color w:val="000000"/>
                <w:sz w:val="18"/>
                <w:szCs w:val="18"/>
              </w:rPr>
              <w:t>An Inspector appointed by the Secretary of State for Environment, Food and Rural Affairs</w:t>
            </w:r>
          </w:p>
        </w:tc>
      </w:tr>
      <w:tr w:rsidR="000B0589" w:rsidRPr="00265DBA" w14:paraId="1F82B5D2" w14:textId="77777777" w:rsidTr="001D5102">
        <w:trPr>
          <w:cantSplit/>
          <w:trHeight w:val="23"/>
        </w:trPr>
        <w:tc>
          <w:tcPr>
            <w:tcW w:w="9356" w:type="dxa"/>
            <w:shd w:val="clear" w:color="auto" w:fill="auto"/>
          </w:tcPr>
          <w:p w14:paraId="1C2055A7" w14:textId="1FD29B5F" w:rsidR="000B0589" w:rsidRPr="00265DBA" w:rsidRDefault="000B0589" w:rsidP="001D5102">
            <w:pPr>
              <w:spacing w:before="120"/>
              <w:ind w:left="-105" w:right="176"/>
              <w:rPr>
                <w:rFonts w:ascii="Arial" w:hAnsi="Arial" w:cs="Arial"/>
                <w:b/>
                <w:color w:val="000000"/>
                <w:sz w:val="18"/>
                <w:szCs w:val="18"/>
              </w:rPr>
            </w:pPr>
            <w:r w:rsidRPr="00265DBA">
              <w:rPr>
                <w:rFonts w:ascii="Arial" w:hAnsi="Arial" w:cs="Arial"/>
                <w:b/>
                <w:color w:val="000000"/>
                <w:sz w:val="18"/>
                <w:szCs w:val="18"/>
              </w:rPr>
              <w:t>Decision date:</w:t>
            </w:r>
            <w:r w:rsidR="00480373">
              <w:rPr>
                <w:rFonts w:ascii="Arial" w:hAnsi="Arial" w:cs="Arial"/>
                <w:b/>
                <w:color w:val="000000"/>
                <w:sz w:val="18"/>
                <w:szCs w:val="18"/>
              </w:rPr>
              <w:t xml:space="preserve"> 15 August 2024</w:t>
            </w:r>
          </w:p>
        </w:tc>
      </w:tr>
    </w:tbl>
    <w:p w14:paraId="5F687658" w14:textId="77777777" w:rsidR="009C36BC" w:rsidRPr="00265DBA" w:rsidRDefault="009C36BC" w:rsidP="000B0589">
      <w:pPr>
        <w:rPr>
          <w:rFonts w:ascii="Arial" w:hAnsi="Arial" w:cs="Arial"/>
        </w:rPr>
      </w:pPr>
    </w:p>
    <w:tbl>
      <w:tblPr>
        <w:tblW w:w="0" w:type="auto"/>
        <w:tblLayout w:type="fixed"/>
        <w:tblLook w:val="0000" w:firstRow="0" w:lastRow="0" w:firstColumn="0" w:lastColumn="0" w:noHBand="0" w:noVBand="0"/>
      </w:tblPr>
      <w:tblGrid>
        <w:gridCol w:w="9520"/>
      </w:tblGrid>
      <w:tr w:rsidR="009C36BC" w:rsidRPr="00265DBA" w14:paraId="0BAFA738" w14:textId="77777777" w:rsidTr="009C36BC">
        <w:tc>
          <w:tcPr>
            <w:tcW w:w="9520" w:type="dxa"/>
            <w:shd w:val="clear" w:color="auto" w:fill="auto"/>
          </w:tcPr>
          <w:p w14:paraId="63533F48" w14:textId="0A969628" w:rsidR="009C36BC" w:rsidRPr="00265DBA" w:rsidRDefault="009C36BC" w:rsidP="00517039">
            <w:pPr>
              <w:spacing w:after="60"/>
              <w:ind w:left="-105"/>
              <w:rPr>
                <w:rFonts w:ascii="Arial" w:hAnsi="Arial" w:cs="Arial"/>
                <w:b/>
                <w:color w:val="000000"/>
                <w:sz w:val="24"/>
                <w:szCs w:val="24"/>
              </w:rPr>
            </w:pPr>
            <w:r w:rsidRPr="00265DBA">
              <w:rPr>
                <w:rFonts w:ascii="Arial" w:hAnsi="Arial" w:cs="Arial"/>
                <w:b/>
                <w:color w:val="000000"/>
                <w:sz w:val="24"/>
                <w:szCs w:val="24"/>
              </w:rPr>
              <w:t>Order Ref: ROW/</w:t>
            </w:r>
            <w:r w:rsidR="00C04C6E">
              <w:rPr>
                <w:rFonts w:ascii="Arial" w:hAnsi="Arial" w:cs="Arial"/>
                <w:b/>
                <w:color w:val="000000"/>
                <w:sz w:val="24"/>
                <w:szCs w:val="24"/>
              </w:rPr>
              <w:t>3318181</w:t>
            </w:r>
          </w:p>
        </w:tc>
      </w:tr>
      <w:tr w:rsidR="009C36BC" w:rsidRPr="00265DBA" w14:paraId="0C8AC406" w14:textId="77777777" w:rsidTr="009C36BC">
        <w:tc>
          <w:tcPr>
            <w:tcW w:w="9520" w:type="dxa"/>
            <w:shd w:val="clear" w:color="auto" w:fill="auto"/>
          </w:tcPr>
          <w:p w14:paraId="302B69E8" w14:textId="0A4286BE" w:rsidR="009C36BC" w:rsidRPr="00265DBA" w:rsidRDefault="009C36BC" w:rsidP="00E55A9C">
            <w:pPr>
              <w:pStyle w:val="TBullet"/>
              <w:numPr>
                <w:ilvl w:val="0"/>
                <w:numId w:val="24"/>
              </w:numPr>
              <w:rPr>
                <w:rFonts w:ascii="Arial" w:hAnsi="Arial" w:cs="Arial"/>
                <w:sz w:val="22"/>
                <w:szCs w:val="22"/>
              </w:rPr>
            </w:pPr>
            <w:r w:rsidRPr="00265DBA">
              <w:rPr>
                <w:rFonts w:ascii="Arial" w:hAnsi="Arial" w:cs="Arial"/>
                <w:sz w:val="22"/>
                <w:szCs w:val="22"/>
              </w:rPr>
              <w:t>This Order is made under Section 53(2)(</w:t>
            </w:r>
            <w:r w:rsidR="00EF6F49">
              <w:rPr>
                <w:rFonts w:ascii="Arial" w:hAnsi="Arial" w:cs="Arial"/>
                <w:sz w:val="22"/>
                <w:szCs w:val="22"/>
              </w:rPr>
              <w:t>b</w:t>
            </w:r>
            <w:r w:rsidRPr="00265DBA">
              <w:rPr>
                <w:rFonts w:ascii="Arial" w:hAnsi="Arial" w:cs="Arial"/>
                <w:sz w:val="22"/>
                <w:szCs w:val="22"/>
              </w:rPr>
              <w:t xml:space="preserve">) of the Wildlife and Countryside Act 1981 (the 1981 Act) and is known as </w:t>
            </w:r>
            <w:r w:rsidR="00C04C6E">
              <w:rPr>
                <w:rFonts w:ascii="Arial" w:hAnsi="Arial" w:cs="Arial"/>
                <w:sz w:val="22"/>
                <w:szCs w:val="22"/>
              </w:rPr>
              <w:t xml:space="preserve">Footpath No 35.5/23 South Duffield Road to Sand Lane, </w:t>
            </w:r>
            <w:proofErr w:type="spellStart"/>
            <w:r w:rsidR="00C04C6E">
              <w:rPr>
                <w:rFonts w:ascii="Arial" w:hAnsi="Arial" w:cs="Arial"/>
                <w:sz w:val="22"/>
                <w:szCs w:val="22"/>
              </w:rPr>
              <w:t>Barlby</w:t>
            </w:r>
            <w:proofErr w:type="spellEnd"/>
            <w:r w:rsidR="00C04C6E">
              <w:rPr>
                <w:rFonts w:ascii="Arial" w:hAnsi="Arial" w:cs="Arial"/>
                <w:sz w:val="22"/>
                <w:szCs w:val="22"/>
              </w:rPr>
              <w:t xml:space="preserve"> with </w:t>
            </w:r>
            <w:proofErr w:type="spellStart"/>
            <w:r w:rsidR="00C04C6E">
              <w:rPr>
                <w:rFonts w:ascii="Arial" w:hAnsi="Arial" w:cs="Arial"/>
                <w:sz w:val="22"/>
                <w:szCs w:val="22"/>
              </w:rPr>
              <w:t>Osgodby</w:t>
            </w:r>
            <w:proofErr w:type="spellEnd"/>
            <w:r w:rsidR="00E67B24">
              <w:rPr>
                <w:rFonts w:ascii="Arial" w:hAnsi="Arial" w:cs="Arial"/>
                <w:sz w:val="22"/>
                <w:szCs w:val="22"/>
              </w:rPr>
              <w:t>, Selby Modification Order 2012</w:t>
            </w:r>
            <w:r w:rsidRPr="00265DBA">
              <w:rPr>
                <w:rFonts w:ascii="Arial" w:hAnsi="Arial" w:cs="Arial"/>
                <w:sz w:val="22"/>
                <w:szCs w:val="22"/>
              </w:rPr>
              <w:t>.</w:t>
            </w:r>
          </w:p>
        </w:tc>
      </w:tr>
      <w:tr w:rsidR="009C36BC" w:rsidRPr="00265DBA" w14:paraId="5D092C6F" w14:textId="77777777" w:rsidTr="009C36BC">
        <w:tc>
          <w:tcPr>
            <w:tcW w:w="9520" w:type="dxa"/>
            <w:shd w:val="clear" w:color="auto" w:fill="auto"/>
          </w:tcPr>
          <w:p w14:paraId="6B7405A3" w14:textId="07C891A2" w:rsidR="009C36BC" w:rsidRPr="00265DBA" w:rsidRDefault="009C36BC" w:rsidP="00E55A9C">
            <w:pPr>
              <w:pStyle w:val="TBullet"/>
              <w:numPr>
                <w:ilvl w:val="0"/>
                <w:numId w:val="24"/>
              </w:numPr>
              <w:rPr>
                <w:rFonts w:ascii="Arial" w:hAnsi="Arial" w:cs="Arial"/>
                <w:sz w:val="22"/>
                <w:szCs w:val="22"/>
              </w:rPr>
            </w:pPr>
            <w:r w:rsidRPr="00265DBA">
              <w:rPr>
                <w:rFonts w:ascii="Arial" w:hAnsi="Arial" w:cs="Arial"/>
                <w:sz w:val="22"/>
                <w:szCs w:val="22"/>
              </w:rPr>
              <w:t xml:space="preserve">The Order is dated </w:t>
            </w:r>
            <w:r w:rsidR="00E67B24">
              <w:rPr>
                <w:rFonts w:ascii="Arial" w:hAnsi="Arial" w:cs="Arial"/>
                <w:sz w:val="22"/>
                <w:szCs w:val="22"/>
              </w:rPr>
              <w:t>30 April 2012</w:t>
            </w:r>
            <w:r w:rsidRPr="00265DBA">
              <w:rPr>
                <w:rFonts w:ascii="Arial" w:hAnsi="Arial" w:cs="Arial"/>
                <w:sz w:val="22"/>
                <w:szCs w:val="22"/>
              </w:rPr>
              <w:t xml:space="preserve"> and proposes to modify the Definitive Map and Statement for the area by </w:t>
            </w:r>
            <w:r w:rsidR="00E67B24">
              <w:rPr>
                <w:rFonts w:ascii="Arial" w:hAnsi="Arial" w:cs="Arial"/>
                <w:sz w:val="22"/>
                <w:szCs w:val="22"/>
              </w:rPr>
              <w:t>adding the public footpath</w:t>
            </w:r>
            <w:r w:rsidRPr="00265DBA">
              <w:rPr>
                <w:rFonts w:ascii="Arial" w:hAnsi="Arial" w:cs="Arial"/>
                <w:sz w:val="22"/>
                <w:szCs w:val="22"/>
              </w:rPr>
              <w:t xml:space="preserve"> as shown in the Order plan and described in the Order Schedule.</w:t>
            </w:r>
          </w:p>
        </w:tc>
      </w:tr>
      <w:tr w:rsidR="009C36BC" w:rsidRPr="00265DBA" w14:paraId="245FB8C6" w14:textId="77777777" w:rsidTr="009C36BC">
        <w:tc>
          <w:tcPr>
            <w:tcW w:w="9520" w:type="dxa"/>
            <w:shd w:val="clear" w:color="auto" w:fill="auto"/>
          </w:tcPr>
          <w:p w14:paraId="2D0B44EB" w14:textId="7DBC80F7" w:rsidR="009C36BC" w:rsidRPr="00265DBA" w:rsidRDefault="009C36BC" w:rsidP="00E55A9C">
            <w:pPr>
              <w:pStyle w:val="TBullet"/>
              <w:numPr>
                <w:ilvl w:val="0"/>
                <w:numId w:val="24"/>
              </w:numPr>
              <w:rPr>
                <w:rFonts w:ascii="Arial" w:hAnsi="Arial" w:cs="Arial"/>
                <w:sz w:val="22"/>
                <w:szCs w:val="22"/>
              </w:rPr>
            </w:pPr>
            <w:r w:rsidRPr="00265DBA">
              <w:rPr>
                <w:rFonts w:ascii="Arial" w:hAnsi="Arial" w:cs="Arial"/>
                <w:sz w:val="22"/>
                <w:szCs w:val="22"/>
              </w:rPr>
              <w:t>There w</w:t>
            </w:r>
            <w:r w:rsidR="007C2046">
              <w:rPr>
                <w:rFonts w:ascii="Arial" w:hAnsi="Arial" w:cs="Arial"/>
                <w:sz w:val="22"/>
                <w:szCs w:val="22"/>
              </w:rPr>
              <w:t>as 1</w:t>
            </w:r>
            <w:r w:rsidRPr="00265DBA">
              <w:rPr>
                <w:rFonts w:ascii="Arial" w:hAnsi="Arial" w:cs="Arial"/>
                <w:sz w:val="22"/>
                <w:szCs w:val="22"/>
              </w:rPr>
              <w:t xml:space="preserve"> objection outstanding when </w:t>
            </w:r>
            <w:r w:rsidR="007C2046">
              <w:rPr>
                <w:rFonts w:ascii="Arial" w:hAnsi="Arial" w:cs="Arial"/>
                <w:sz w:val="22"/>
                <w:szCs w:val="22"/>
              </w:rPr>
              <w:t xml:space="preserve">North Yorkshire County Council (now </w:t>
            </w:r>
            <w:r w:rsidR="00983106">
              <w:rPr>
                <w:rFonts w:ascii="Arial" w:hAnsi="Arial" w:cs="Arial"/>
                <w:sz w:val="22"/>
                <w:szCs w:val="22"/>
              </w:rPr>
              <w:t>North Yorkshire Council)</w:t>
            </w:r>
            <w:r w:rsidRPr="00265DBA">
              <w:rPr>
                <w:rFonts w:ascii="Arial" w:hAnsi="Arial" w:cs="Arial"/>
                <w:sz w:val="22"/>
                <w:szCs w:val="22"/>
              </w:rPr>
              <w:t xml:space="preserve"> submitted the Order to the Secretary of State for Environment, Food and Rural Affairs for confirmation</w:t>
            </w:r>
            <w:r w:rsidR="00983106">
              <w:rPr>
                <w:rFonts w:ascii="Arial" w:hAnsi="Arial" w:cs="Arial"/>
                <w:sz w:val="22"/>
                <w:szCs w:val="22"/>
              </w:rPr>
              <w:t>.</w:t>
            </w:r>
          </w:p>
        </w:tc>
      </w:tr>
      <w:tr w:rsidR="009C36BC" w:rsidRPr="00265DBA" w14:paraId="60516287" w14:textId="77777777" w:rsidTr="009C36BC">
        <w:tc>
          <w:tcPr>
            <w:tcW w:w="9520" w:type="dxa"/>
            <w:shd w:val="clear" w:color="auto" w:fill="auto"/>
          </w:tcPr>
          <w:p w14:paraId="4E2443FF" w14:textId="7202F483" w:rsidR="009C36BC" w:rsidRPr="00265DBA" w:rsidRDefault="009C36BC" w:rsidP="00517039">
            <w:pPr>
              <w:spacing w:before="60"/>
              <w:ind w:left="-105"/>
              <w:rPr>
                <w:rFonts w:ascii="Arial" w:hAnsi="Arial" w:cs="Arial"/>
                <w:b/>
                <w:color w:val="000000"/>
                <w:sz w:val="24"/>
                <w:szCs w:val="24"/>
              </w:rPr>
            </w:pPr>
            <w:r w:rsidRPr="00265DBA">
              <w:rPr>
                <w:rFonts w:ascii="Arial" w:hAnsi="Arial" w:cs="Arial"/>
                <w:b/>
                <w:color w:val="000000"/>
                <w:sz w:val="24"/>
                <w:szCs w:val="24"/>
              </w:rPr>
              <w:t>Summary of Decision:</w:t>
            </w:r>
            <w:r w:rsidRPr="00265DBA">
              <w:rPr>
                <w:rFonts w:ascii="Arial" w:hAnsi="Arial" w:cs="Arial"/>
                <w:b/>
                <w:sz w:val="24"/>
                <w:szCs w:val="24"/>
              </w:rPr>
              <w:t xml:space="preserve"> The Order is confirmed</w:t>
            </w:r>
            <w:r w:rsidR="00E474EB">
              <w:rPr>
                <w:rFonts w:ascii="Arial" w:hAnsi="Arial" w:cs="Arial"/>
                <w:b/>
                <w:sz w:val="24"/>
                <w:szCs w:val="24"/>
              </w:rPr>
              <w:t xml:space="preserve"> subject to</w:t>
            </w:r>
            <w:r w:rsidR="00E474EB" w:rsidRPr="00265DBA">
              <w:rPr>
                <w:rFonts w:ascii="Arial" w:hAnsi="Arial" w:cs="Arial"/>
                <w:b/>
                <w:sz w:val="24"/>
                <w:szCs w:val="24"/>
              </w:rPr>
              <w:t xml:space="preserve"> the modifications set out below in the Formal Decision.</w:t>
            </w:r>
          </w:p>
        </w:tc>
      </w:tr>
      <w:tr w:rsidR="009C36BC" w:rsidRPr="00265DBA" w14:paraId="6A3458F2" w14:textId="77777777" w:rsidTr="009C36BC">
        <w:tc>
          <w:tcPr>
            <w:tcW w:w="9520" w:type="dxa"/>
            <w:tcBorders>
              <w:bottom w:val="single" w:sz="6" w:space="0" w:color="000000"/>
            </w:tcBorders>
            <w:shd w:val="clear" w:color="auto" w:fill="auto"/>
          </w:tcPr>
          <w:p w14:paraId="787CE399" w14:textId="77777777" w:rsidR="009C36BC" w:rsidRPr="00265DBA" w:rsidRDefault="009C36BC" w:rsidP="009C36BC">
            <w:pPr>
              <w:spacing w:before="60"/>
              <w:rPr>
                <w:rFonts w:ascii="Arial" w:hAnsi="Arial" w:cs="Arial"/>
                <w:b/>
                <w:color w:val="000000"/>
                <w:sz w:val="2"/>
              </w:rPr>
            </w:pPr>
            <w:bookmarkStart w:id="1" w:name="bmkReturn"/>
            <w:bookmarkEnd w:id="1"/>
          </w:p>
        </w:tc>
      </w:tr>
    </w:tbl>
    <w:p w14:paraId="4200E907" w14:textId="475B5E42" w:rsidR="009C36BC" w:rsidRPr="00265DBA" w:rsidRDefault="00295E60" w:rsidP="009C36BC">
      <w:pPr>
        <w:pStyle w:val="Heading6blackfont"/>
        <w:rPr>
          <w:rFonts w:ascii="Arial" w:hAnsi="Arial" w:cs="Arial"/>
          <w:sz w:val="24"/>
          <w:szCs w:val="24"/>
        </w:rPr>
      </w:pPr>
      <w:r w:rsidRPr="00265DBA">
        <w:rPr>
          <w:rFonts w:ascii="Arial" w:hAnsi="Arial" w:cs="Arial"/>
          <w:sz w:val="24"/>
          <w:szCs w:val="24"/>
        </w:rPr>
        <w:t>Pr</w:t>
      </w:r>
      <w:r>
        <w:rPr>
          <w:rFonts w:ascii="Arial" w:hAnsi="Arial" w:cs="Arial"/>
          <w:sz w:val="24"/>
          <w:szCs w:val="24"/>
        </w:rPr>
        <w:t>ocedural</w:t>
      </w:r>
      <w:r w:rsidR="009C36BC" w:rsidRPr="00265DBA">
        <w:rPr>
          <w:rFonts w:ascii="Arial" w:hAnsi="Arial" w:cs="Arial"/>
          <w:sz w:val="24"/>
          <w:szCs w:val="24"/>
        </w:rPr>
        <w:t xml:space="preserve"> Matters</w:t>
      </w:r>
    </w:p>
    <w:p w14:paraId="0B75029C" w14:textId="6F990C22" w:rsidR="00A83795" w:rsidRDefault="00757D4E" w:rsidP="00A83795">
      <w:pPr>
        <w:pStyle w:val="Style1"/>
        <w:rPr>
          <w:rFonts w:ascii="Arial" w:hAnsi="Arial" w:cs="Arial"/>
          <w:sz w:val="24"/>
          <w:szCs w:val="24"/>
        </w:rPr>
      </w:pPr>
      <w:r>
        <w:rPr>
          <w:rFonts w:ascii="Arial" w:hAnsi="Arial" w:cs="Arial"/>
          <w:sz w:val="24"/>
          <w:szCs w:val="24"/>
        </w:rPr>
        <w:t xml:space="preserve">I made an unaccompanied site visit on 16 July 2024 when I was able </w:t>
      </w:r>
      <w:r w:rsidR="00EA7C77">
        <w:rPr>
          <w:rFonts w:ascii="Arial" w:hAnsi="Arial" w:cs="Arial"/>
          <w:sz w:val="24"/>
          <w:szCs w:val="24"/>
        </w:rPr>
        <w:t xml:space="preserve">to view the whole of the Order route. The Order route itself was not passable on this day due to </w:t>
      </w:r>
      <w:r w:rsidR="00E768BF">
        <w:rPr>
          <w:rFonts w:ascii="Arial" w:hAnsi="Arial" w:cs="Arial"/>
          <w:sz w:val="24"/>
          <w:szCs w:val="24"/>
        </w:rPr>
        <w:t>overgrown vegetation.</w:t>
      </w:r>
    </w:p>
    <w:p w14:paraId="303D097E" w14:textId="4D9F9F4A" w:rsidR="00E768BF" w:rsidRDefault="00E768BF" w:rsidP="00A83795">
      <w:pPr>
        <w:pStyle w:val="Style1"/>
        <w:rPr>
          <w:rFonts w:ascii="Arial" w:hAnsi="Arial" w:cs="Arial"/>
          <w:sz w:val="24"/>
          <w:szCs w:val="24"/>
        </w:rPr>
      </w:pPr>
      <w:r>
        <w:rPr>
          <w:rFonts w:ascii="Arial" w:hAnsi="Arial" w:cs="Arial"/>
          <w:sz w:val="24"/>
          <w:szCs w:val="24"/>
        </w:rPr>
        <w:t>There was</w:t>
      </w:r>
      <w:r w:rsidR="00621F6C">
        <w:rPr>
          <w:rFonts w:ascii="Arial" w:hAnsi="Arial" w:cs="Arial"/>
          <w:sz w:val="24"/>
          <w:szCs w:val="24"/>
        </w:rPr>
        <w:t xml:space="preserve"> one objection </w:t>
      </w:r>
      <w:r w:rsidR="00494523">
        <w:rPr>
          <w:rFonts w:ascii="Arial" w:hAnsi="Arial" w:cs="Arial"/>
          <w:sz w:val="24"/>
          <w:szCs w:val="24"/>
        </w:rPr>
        <w:t xml:space="preserve">outstanding </w:t>
      </w:r>
      <w:r w:rsidR="00621F6C">
        <w:rPr>
          <w:rFonts w:ascii="Arial" w:hAnsi="Arial" w:cs="Arial"/>
          <w:sz w:val="24"/>
          <w:szCs w:val="24"/>
        </w:rPr>
        <w:t xml:space="preserve">when </w:t>
      </w:r>
      <w:r w:rsidR="006162EA">
        <w:rPr>
          <w:rFonts w:ascii="Arial" w:hAnsi="Arial" w:cs="Arial"/>
          <w:sz w:val="24"/>
          <w:szCs w:val="24"/>
        </w:rPr>
        <w:t xml:space="preserve">North Yorkshire Council submitted the Order to the Secretary of State for </w:t>
      </w:r>
      <w:r w:rsidR="008C58E0">
        <w:rPr>
          <w:rFonts w:ascii="Arial" w:hAnsi="Arial" w:cs="Arial"/>
          <w:sz w:val="24"/>
          <w:szCs w:val="24"/>
        </w:rPr>
        <w:t>Environment, Food and Rural Affair</w:t>
      </w:r>
      <w:r w:rsidR="008B3196">
        <w:rPr>
          <w:rFonts w:ascii="Arial" w:hAnsi="Arial" w:cs="Arial"/>
          <w:sz w:val="24"/>
          <w:szCs w:val="24"/>
        </w:rPr>
        <w:t>s</w:t>
      </w:r>
      <w:r w:rsidR="008C58E0">
        <w:rPr>
          <w:rFonts w:ascii="Arial" w:hAnsi="Arial" w:cs="Arial"/>
          <w:sz w:val="24"/>
          <w:szCs w:val="24"/>
        </w:rPr>
        <w:t xml:space="preserve"> for confirmation. The Order Making Authority</w:t>
      </w:r>
      <w:r w:rsidR="003F1DDB">
        <w:rPr>
          <w:rFonts w:ascii="Arial" w:hAnsi="Arial" w:cs="Arial"/>
          <w:sz w:val="24"/>
          <w:szCs w:val="24"/>
        </w:rPr>
        <w:t xml:space="preserve"> (OMA)</w:t>
      </w:r>
      <w:r w:rsidR="008C58E0">
        <w:rPr>
          <w:rFonts w:ascii="Arial" w:hAnsi="Arial" w:cs="Arial"/>
          <w:sz w:val="24"/>
          <w:szCs w:val="24"/>
        </w:rPr>
        <w:t xml:space="preserve"> is supporting the Order.</w:t>
      </w:r>
    </w:p>
    <w:p w14:paraId="57C83E5F" w14:textId="5713E959" w:rsidR="00350A15" w:rsidRDefault="00350A15" w:rsidP="00A83795">
      <w:pPr>
        <w:pStyle w:val="Style1"/>
        <w:rPr>
          <w:rFonts w:ascii="Arial" w:hAnsi="Arial" w:cs="Arial"/>
          <w:sz w:val="24"/>
          <w:szCs w:val="24"/>
        </w:rPr>
      </w:pPr>
      <w:r>
        <w:rPr>
          <w:rFonts w:ascii="Arial" w:hAnsi="Arial" w:cs="Arial"/>
          <w:sz w:val="24"/>
          <w:szCs w:val="24"/>
        </w:rPr>
        <w:t xml:space="preserve">The OMA </w:t>
      </w:r>
      <w:r w:rsidR="007508F3">
        <w:rPr>
          <w:rFonts w:ascii="Arial" w:hAnsi="Arial" w:cs="Arial"/>
          <w:sz w:val="24"/>
          <w:szCs w:val="24"/>
        </w:rPr>
        <w:t>has requested a minor modification to the wording of the Order, to reflect the correct Section of legislation</w:t>
      </w:r>
      <w:r w:rsidR="00B23ADF">
        <w:rPr>
          <w:rFonts w:ascii="Arial" w:hAnsi="Arial" w:cs="Arial"/>
          <w:sz w:val="24"/>
          <w:szCs w:val="24"/>
        </w:rPr>
        <w:t>. There would be no need for this modification to be advertised further.</w:t>
      </w:r>
    </w:p>
    <w:p w14:paraId="52A6E881" w14:textId="666A86C7" w:rsidR="003F57DC" w:rsidRPr="00265DBA" w:rsidRDefault="003F57DC" w:rsidP="00A83795">
      <w:pPr>
        <w:pStyle w:val="Style1"/>
        <w:rPr>
          <w:rFonts w:ascii="Arial" w:hAnsi="Arial" w:cs="Arial"/>
          <w:sz w:val="24"/>
          <w:szCs w:val="24"/>
        </w:rPr>
      </w:pPr>
      <w:r>
        <w:rPr>
          <w:rFonts w:ascii="Arial" w:hAnsi="Arial" w:cs="Arial"/>
          <w:sz w:val="24"/>
          <w:szCs w:val="24"/>
        </w:rPr>
        <w:t>There was one letter of support for the application from the Ramblers Association dated 16 March 2011.</w:t>
      </w:r>
    </w:p>
    <w:p w14:paraId="64FF11F4" w14:textId="0C6A7A66" w:rsidR="009C36BC" w:rsidRPr="00265DBA" w:rsidRDefault="009C36BC" w:rsidP="009C36BC">
      <w:pPr>
        <w:pStyle w:val="Heading6blackfont"/>
        <w:rPr>
          <w:rFonts w:ascii="Arial" w:hAnsi="Arial" w:cs="Arial"/>
          <w:sz w:val="24"/>
          <w:szCs w:val="24"/>
        </w:rPr>
      </w:pPr>
      <w:r w:rsidRPr="00265DBA">
        <w:rPr>
          <w:rFonts w:ascii="Arial" w:hAnsi="Arial" w:cs="Arial"/>
          <w:sz w:val="24"/>
          <w:szCs w:val="24"/>
        </w:rPr>
        <w:t>The Main Issues</w:t>
      </w:r>
    </w:p>
    <w:p w14:paraId="1CFD1474" w14:textId="060C2049" w:rsidR="00624606" w:rsidRDefault="008B3196" w:rsidP="00624606">
      <w:pPr>
        <w:pStyle w:val="Style1"/>
        <w:rPr>
          <w:rFonts w:ascii="Arial" w:hAnsi="Arial" w:cs="Arial"/>
          <w:sz w:val="24"/>
          <w:szCs w:val="24"/>
        </w:rPr>
      </w:pPr>
      <w:r>
        <w:rPr>
          <w:rFonts w:ascii="Arial" w:hAnsi="Arial" w:cs="Arial"/>
          <w:sz w:val="24"/>
          <w:szCs w:val="24"/>
        </w:rPr>
        <w:t>The Order has been made under Section 53(3)(2)(</w:t>
      </w:r>
      <w:r w:rsidR="00EF6F49">
        <w:rPr>
          <w:rFonts w:ascii="Arial" w:hAnsi="Arial" w:cs="Arial"/>
          <w:sz w:val="24"/>
          <w:szCs w:val="24"/>
        </w:rPr>
        <w:t>b</w:t>
      </w:r>
      <w:r>
        <w:rPr>
          <w:rFonts w:ascii="Arial" w:hAnsi="Arial" w:cs="Arial"/>
          <w:sz w:val="24"/>
          <w:szCs w:val="24"/>
        </w:rPr>
        <w:t>) of the Wildlife and Countryside Act 1981 in consequence of the occurrence of an event specified in Section 53(3)(c)(i)</w:t>
      </w:r>
      <w:r w:rsidR="003F1DDB">
        <w:rPr>
          <w:rFonts w:ascii="Arial" w:hAnsi="Arial" w:cs="Arial"/>
          <w:sz w:val="24"/>
          <w:szCs w:val="24"/>
        </w:rPr>
        <w:t>.</w:t>
      </w:r>
    </w:p>
    <w:p w14:paraId="1E692642" w14:textId="5703BB95" w:rsidR="005A65C1" w:rsidRPr="00265DBA" w:rsidRDefault="005A65C1" w:rsidP="00624606">
      <w:pPr>
        <w:pStyle w:val="Style1"/>
        <w:rPr>
          <w:rFonts w:ascii="Arial" w:hAnsi="Arial" w:cs="Arial"/>
          <w:sz w:val="24"/>
          <w:szCs w:val="24"/>
        </w:rPr>
      </w:pPr>
      <w:r>
        <w:rPr>
          <w:rFonts w:ascii="Arial" w:hAnsi="Arial" w:cs="Arial"/>
          <w:sz w:val="24"/>
          <w:szCs w:val="24"/>
        </w:rPr>
        <w:t xml:space="preserve">Whilst it suffices under section 53(3)(c)(i) for a public right of way to be </w:t>
      </w:r>
      <w:r w:rsidRPr="005A65C1">
        <w:rPr>
          <w:rFonts w:ascii="Arial" w:hAnsi="Arial" w:cs="Arial"/>
          <w:i/>
          <w:iCs/>
          <w:sz w:val="24"/>
          <w:szCs w:val="24"/>
        </w:rPr>
        <w:t>reasonably alleged</w:t>
      </w:r>
      <w:r>
        <w:rPr>
          <w:rFonts w:ascii="Arial" w:hAnsi="Arial" w:cs="Arial"/>
          <w:sz w:val="24"/>
          <w:szCs w:val="24"/>
        </w:rPr>
        <w:t xml:space="preserve"> to subsist, </w:t>
      </w:r>
      <w:r w:rsidR="00D623C9">
        <w:rPr>
          <w:rFonts w:ascii="Arial" w:hAnsi="Arial" w:cs="Arial"/>
          <w:sz w:val="24"/>
          <w:szCs w:val="24"/>
        </w:rPr>
        <w:t>the standard of proof is higher for the Order to be confirmed. At this stage, evidence is required on the balance of probabilities that a right of way subsists.</w:t>
      </w:r>
      <w:r w:rsidR="00493D6D">
        <w:rPr>
          <w:rFonts w:ascii="Arial" w:hAnsi="Arial" w:cs="Arial"/>
          <w:sz w:val="24"/>
          <w:szCs w:val="24"/>
        </w:rPr>
        <w:t xml:space="preserve"> </w:t>
      </w:r>
    </w:p>
    <w:p w14:paraId="1D0D5672" w14:textId="5BBEAE8A" w:rsidR="009C36BC" w:rsidRPr="00265DBA" w:rsidRDefault="009C36BC" w:rsidP="009C36BC">
      <w:pPr>
        <w:pStyle w:val="Heading6blackfont"/>
        <w:rPr>
          <w:rFonts w:ascii="Arial" w:hAnsi="Arial" w:cs="Arial"/>
          <w:sz w:val="24"/>
          <w:szCs w:val="24"/>
        </w:rPr>
      </w:pPr>
      <w:r w:rsidRPr="00265DBA">
        <w:rPr>
          <w:rFonts w:ascii="Arial" w:hAnsi="Arial" w:cs="Arial"/>
          <w:sz w:val="24"/>
          <w:szCs w:val="24"/>
        </w:rPr>
        <w:lastRenderedPageBreak/>
        <w:t>Reasons</w:t>
      </w:r>
    </w:p>
    <w:p w14:paraId="05FD39F1" w14:textId="1EC1896A" w:rsidR="00FE7F78" w:rsidRPr="00D01132" w:rsidRDefault="00A809B3" w:rsidP="00A809B3">
      <w:pPr>
        <w:pStyle w:val="Style1"/>
        <w:numPr>
          <w:ilvl w:val="0"/>
          <w:numId w:val="0"/>
        </w:numPr>
        <w:ind w:left="431" w:hanging="431"/>
        <w:rPr>
          <w:rFonts w:ascii="Arial" w:hAnsi="Arial" w:cs="Arial"/>
          <w:b/>
          <w:bCs/>
          <w:i/>
          <w:iCs/>
          <w:sz w:val="24"/>
          <w:szCs w:val="24"/>
        </w:rPr>
      </w:pPr>
      <w:r w:rsidRPr="00D01132">
        <w:rPr>
          <w:rFonts w:ascii="Arial" w:hAnsi="Arial" w:cs="Arial"/>
          <w:b/>
          <w:bCs/>
          <w:i/>
          <w:iCs/>
          <w:sz w:val="24"/>
          <w:szCs w:val="24"/>
        </w:rPr>
        <w:t>Background</w:t>
      </w:r>
    </w:p>
    <w:p w14:paraId="1D0A62A7" w14:textId="2B9980CB" w:rsidR="00A809B3" w:rsidRDefault="003A2D87" w:rsidP="00FE7F78">
      <w:pPr>
        <w:pStyle w:val="Style1"/>
        <w:rPr>
          <w:rFonts w:ascii="Arial" w:hAnsi="Arial" w:cs="Arial"/>
          <w:sz w:val="24"/>
          <w:szCs w:val="24"/>
        </w:rPr>
      </w:pPr>
      <w:r>
        <w:rPr>
          <w:rFonts w:ascii="Arial" w:hAnsi="Arial" w:cs="Arial"/>
          <w:sz w:val="24"/>
          <w:szCs w:val="24"/>
        </w:rPr>
        <w:t>The Order relates to a</w:t>
      </w:r>
      <w:r w:rsidR="007F58F4">
        <w:rPr>
          <w:rFonts w:ascii="Arial" w:hAnsi="Arial" w:cs="Arial"/>
          <w:sz w:val="24"/>
          <w:szCs w:val="24"/>
        </w:rPr>
        <w:t>n alleged</w:t>
      </w:r>
      <w:r>
        <w:rPr>
          <w:rFonts w:ascii="Arial" w:hAnsi="Arial" w:cs="Arial"/>
          <w:sz w:val="24"/>
          <w:szCs w:val="24"/>
        </w:rPr>
        <w:t xml:space="preserve"> Public Footpath with a length of approximately </w:t>
      </w:r>
      <w:r w:rsidR="00DD4723">
        <w:rPr>
          <w:rFonts w:ascii="Arial" w:hAnsi="Arial" w:cs="Arial"/>
          <w:sz w:val="24"/>
          <w:szCs w:val="24"/>
        </w:rPr>
        <w:t>382 metres</w:t>
      </w:r>
      <w:r>
        <w:rPr>
          <w:rFonts w:ascii="Arial" w:hAnsi="Arial" w:cs="Arial"/>
          <w:sz w:val="24"/>
          <w:szCs w:val="24"/>
        </w:rPr>
        <w:t xml:space="preserve"> </w:t>
      </w:r>
      <w:r w:rsidR="00AE3B2A">
        <w:rPr>
          <w:rFonts w:ascii="Arial" w:hAnsi="Arial" w:cs="Arial"/>
          <w:sz w:val="24"/>
          <w:szCs w:val="24"/>
        </w:rPr>
        <w:t xml:space="preserve">that runs south from South Duffield Road to </w:t>
      </w:r>
      <w:r w:rsidR="000C12EB">
        <w:rPr>
          <w:rFonts w:ascii="Arial" w:hAnsi="Arial" w:cs="Arial"/>
          <w:sz w:val="24"/>
          <w:szCs w:val="24"/>
        </w:rPr>
        <w:t>Sand Lane.</w:t>
      </w:r>
    </w:p>
    <w:p w14:paraId="0004C874" w14:textId="2C3CDCE7" w:rsidR="000C12EB" w:rsidRDefault="000C12EB" w:rsidP="00FE7F78">
      <w:pPr>
        <w:pStyle w:val="Style1"/>
        <w:rPr>
          <w:rFonts w:ascii="Arial" w:hAnsi="Arial" w:cs="Arial"/>
          <w:sz w:val="24"/>
          <w:szCs w:val="24"/>
        </w:rPr>
      </w:pPr>
      <w:r>
        <w:rPr>
          <w:rFonts w:ascii="Arial" w:hAnsi="Arial" w:cs="Arial"/>
          <w:sz w:val="24"/>
          <w:szCs w:val="24"/>
        </w:rPr>
        <w:t>At the time of my visit, the route was</w:t>
      </w:r>
      <w:r w:rsidR="00356996">
        <w:rPr>
          <w:rFonts w:ascii="Arial" w:hAnsi="Arial" w:cs="Arial"/>
          <w:sz w:val="24"/>
          <w:szCs w:val="24"/>
        </w:rPr>
        <w:t xml:space="preserve"> clearly visible on the ground from Point C to D. </w:t>
      </w:r>
      <w:r w:rsidR="00072A76">
        <w:rPr>
          <w:rFonts w:ascii="Arial" w:hAnsi="Arial" w:cs="Arial"/>
          <w:sz w:val="24"/>
          <w:szCs w:val="24"/>
        </w:rPr>
        <w:t xml:space="preserve">At Points A and B there were hedges and </w:t>
      </w:r>
      <w:r w:rsidR="0025356E">
        <w:rPr>
          <w:rFonts w:ascii="Arial" w:hAnsi="Arial" w:cs="Arial"/>
          <w:sz w:val="24"/>
          <w:szCs w:val="24"/>
        </w:rPr>
        <w:t xml:space="preserve">between Points B and C there was </w:t>
      </w:r>
      <w:r w:rsidR="00A01135">
        <w:rPr>
          <w:rFonts w:ascii="Arial" w:hAnsi="Arial" w:cs="Arial"/>
          <w:sz w:val="24"/>
          <w:szCs w:val="24"/>
        </w:rPr>
        <w:t>a lot of surface vegetation.</w:t>
      </w:r>
    </w:p>
    <w:p w14:paraId="7E1A80AB" w14:textId="595B6E46" w:rsidR="003E5B5D" w:rsidRDefault="003E5B5D" w:rsidP="003E5B5D">
      <w:pPr>
        <w:pStyle w:val="Style1"/>
        <w:numPr>
          <w:ilvl w:val="0"/>
          <w:numId w:val="0"/>
        </w:numPr>
        <w:rPr>
          <w:rFonts w:ascii="Arial" w:hAnsi="Arial" w:cs="Arial"/>
          <w:b/>
          <w:bCs/>
          <w:i/>
          <w:iCs/>
          <w:sz w:val="24"/>
          <w:szCs w:val="24"/>
        </w:rPr>
      </w:pPr>
      <w:r w:rsidRPr="00D01132">
        <w:rPr>
          <w:rFonts w:ascii="Arial" w:hAnsi="Arial" w:cs="Arial"/>
          <w:b/>
          <w:bCs/>
          <w:i/>
          <w:iCs/>
          <w:sz w:val="24"/>
          <w:szCs w:val="24"/>
        </w:rPr>
        <w:t>Documentary evidence</w:t>
      </w:r>
    </w:p>
    <w:p w14:paraId="69F9789B" w14:textId="2062D995" w:rsidR="00D01132" w:rsidRPr="00D01132" w:rsidRDefault="00D01132" w:rsidP="003E5B5D">
      <w:pPr>
        <w:pStyle w:val="Style1"/>
        <w:numPr>
          <w:ilvl w:val="0"/>
          <w:numId w:val="0"/>
        </w:numPr>
        <w:rPr>
          <w:rFonts w:ascii="Arial" w:hAnsi="Arial" w:cs="Arial"/>
          <w:i/>
          <w:iCs/>
          <w:sz w:val="24"/>
          <w:szCs w:val="24"/>
        </w:rPr>
      </w:pPr>
      <w:r w:rsidRPr="00D01132">
        <w:rPr>
          <w:rFonts w:ascii="Arial" w:hAnsi="Arial" w:cs="Arial"/>
          <w:i/>
          <w:iCs/>
          <w:sz w:val="24"/>
          <w:szCs w:val="24"/>
        </w:rPr>
        <w:t>Ordnance Survey (OS) Maps</w:t>
      </w:r>
    </w:p>
    <w:p w14:paraId="7BE929EE" w14:textId="5DE7F77F" w:rsidR="003E5B5D" w:rsidRDefault="00D5727F" w:rsidP="00FE7F78">
      <w:pPr>
        <w:pStyle w:val="Style1"/>
        <w:rPr>
          <w:rFonts w:ascii="Arial" w:hAnsi="Arial" w:cs="Arial"/>
          <w:sz w:val="24"/>
          <w:szCs w:val="24"/>
        </w:rPr>
      </w:pPr>
      <w:r>
        <w:rPr>
          <w:rFonts w:ascii="Arial" w:hAnsi="Arial" w:cs="Arial"/>
          <w:sz w:val="24"/>
          <w:szCs w:val="24"/>
        </w:rPr>
        <w:t>OS maps of various scales between 1889 and 1</w:t>
      </w:r>
      <w:r w:rsidR="0086647E">
        <w:rPr>
          <w:rFonts w:ascii="Arial" w:hAnsi="Arial" w:cs="Arial"/>
          <w:sz w:val="24"/>
          <w:szCs w:val="24"/>
        </w:rPr>
        <w:t xml:space="preserve">952 show </w:t>
      </w:r>
      <w:r w:rsidR="001F03FC">
        <w:rPr>
          <w:rFonts w:ascii="Arial" w:hAnsi="Arial" w:cs="Arial"/>
          <w:sz w:val="24"/>
          <w:szCs w:val="24"/>
        </w:rPr>
        <w:t xml:space="preserve">a </w:t>
      </w:r>
      <w:r w:rsidR="0086647E">
        <w:rPr>
          <w:rFonts w:ascii="Arial" w:hAnsi="Arial" w:cs="Arial"/>
          <w:sz w:val="24"/>
          <w:szCs w:val="24"/>
        </w:rPr>
        <w:t xml:space="preserve">route approximating to the alignment of the order route, showing the physical existence of a route from Point A to Point D. </w:t>
      </w:r>
    </w:p>
    <w:p w14:paraId="22E05B76" w14:textId="630B02BF" w:rsidR="0086647E" w:rsidRDefault="0086647E" w:rsidP="00FE7F78">
      <w:pPr>
        <w:pStyle w:val="Style1"/>
        <w:rPr>
          <w:rFonts w:ascii="Arial" w:hAnsi="Arial" w:cs="Arial"/>
          <w:sz w:val="24"/>
          <w:szCs w:val="24"/>
        </w:rPr>
      </w:pPr>
      <w:r>
        <w:rPr>
          <w:rFonts w:ascii="Arial" w:hAnsi="Arial" w:cs="Arial"/>
          <w:sz w:val="24"/>
          <w:szCs w:val="24"/>
        </w:rPr>
        <w:t xml:space="preserve">OS maps have </w:t>
      </w:r>
      <w:r w:rsidR="0036033D">
        <w:rPr>
          <w:rFonts w:ascii="Arial" w:hAnsi="Arial" w:cs="Arial"/>
          <w:sz w:val="24"/>
          <w:szCs w:val="24"/>
        </w:rPr>
        <w:t>long carried a disclaimer as regards to the routes they show, so do not provide evidence of status but are useful evidence of the physical existence and alignment of the routes recorded at the time. Nevertheless, the inclu</w:t>
      </w:r>
      <w:r w:rsidR="00580EF9">
        <w:rPr>
          <w:rFonts w:ascii="Arial" w:hAnsi="Arial" w:cs="Arial"/>
          <w:sz w:val="24"/>
          <w:szCs w:val="24"/>
        </w:rPr>
        <w:t>s</w:t>
      </w:r>
      <w:r w:rsidR="0036033D">
        <w:rPr>
          <w:rFonts w:ascii="Arial" w:hAnsi="Arial" w:cs="Arial"/>
          <w:sz w:val="24"/>
          <w:szCs w:val="24"/>
        </w:rPr>
        <w:t xml:space="preserve">ion of the route on a series of OS maps, as here, can be useful evidence in helping to </w:t>
      </w:r>
      <w:r w:rsidR="00596988">
        <w:rPr>
          <w:rFonts w:ascii="Arial" w:hAnsi="Arial" w:cs="Arial"/>
          <w:sz w:val="24"/>
          <w:szCs w:val="24"/>
        </w:rPr>
        <w:t>determine status when considered together with other evidence. I conclude that alone, the OS maps are of limited value as regards status but show a route capable of use on foot.</w:t>
      </w:r>
    </w:p>
    <w:p w14:paraId="4CE3EBCE" w14:textId="313A8C9C" w:rsidR="00CE268E" w:rsidRPr="00705C2F" w:rsidRDefault="00CE268E" w:rsidP="00CE268E">
      <w:pPr>
        <w:pStyle w:val="Style1"/>
        <w:numPr>
          <w:ilvl w:val="0"/>
          <w:numId w:val="0"/>
        </w:numPr>
        <w:rPr>
          <w:rFonts w:ascii="Arial" w:hAnsi="Arial" w:cs="Arial"/>
          <w:i/>
          <w:iCs/>
          <w:sz w:val="24"/>
          <w:szCs w:val="24"/>
        </w:rPr>
      </w:pPr>
      <w:r w:rsidRPr="00705C2F">
        <w:rPr>
          <w:rFonts w:ascii="Arial" w:hAnsi="Arial" w:cs="Arial"/>
          <w:i/>
          <w:iCs/>
          <w:sz w:val="24"/>
          <w:szCs w:val="24"/>
        </w:rPr>
        <w:t xml:space="preserve">Aerial </w:t>
      </w:r>
      <w:r w:rsidR="00705C2F" w:rsidRPr="00705C2F">
        <w:rPr>
          <w:rFonts w:ascii="Arial" w:hAnsi="Arial" w:cs="Arial"/>
          <w:i/>
          <w:iCs/>
          <w:sz w:val="24"/>
          <w:szCs w:val="24"/>
        </w:rPr>
        <w:t>photograph</w:t>
      </w:r>
      <w:r w:rsidR="00705C2F">
        <w:rPr>
          <w:rFonts w:ascii="Arial" w:hAnsi="Arial" w:cs="Arial"/>
          <w:i/>
          <w:iCs/>
          <w:sz w:val="24"/>
          <w:szCs w:val="24"/>
        </w:rPr>
        <w:t>s</w:t>
      </w:r>
    </w:p>
    <w:p w14:paraId="10A282CC" w14:textId="10EE1BE1" w:rsidR="003E5B5D" w:rsidRDefault="005A4E81" w:rsidP="00FE7F78">
      <w:pPr>
        <w:pStyle w:val="Style1"/>
        <w:rPr>
          <w:rFonts w:ascii="Arial" w:hAnsi="Arial" w:cs="Arial"/>
          <w:sz w:val="24"/>
          <w:szCs w:val="24"/>
        </w:rPr>
      </w:pPr>
      <w:r>
        <w:rPr>
          <w:rFonts w:ascii="Arial" w:hAnsi="Arial" w:cs="Arial"/>
          <w:sz w:val="24"/>
          <w:szCs w:val="24"/>
        </w:rPr>
        <w:t>A</w:t>
      </w:r>
      <w:r w:rsidR="00EE33DA">
        <w:rPr>
          <w:rFonts w:ascii="Arial" w:hAnsi="Arial" w:cs="Arial"/>
          <w:sz w:val="24"/>
          <w:szCs w:val="24"/>
        </w:rPr>
        <w:t>n a</w:t>
      </w:r>
      <w:r>
        <w:rPr>
          <w:rFonts w:ascii="Arial" w:hAnsi="Arial" w:cs="Arial"/>
          <w:sz w:val="24"/>
          <w:szCs w:val="24"/>
        </w:rPr>
        <w:t>erial photograph</w:t>
      </w:r>
      <w:r w:rsidR="00EE33DA">
        <w:rPr>
          <w:rFonts w:ascii="Arial" w:hAnsi="Arial" w:cs="Arial"/>
          <w:sz w:val="24"/>
          <w:szCs w:val="24"/>
        </w:rPr>
        <w:t xml:space="preserve"> from </w:t>
      </w:r>
      <w:r w:rsidR="001535A5">
        <w:rPr>
          <w:rFonts w:ascii="Arial" w:hAnsi="Arial" w:cs="Arial"/>
          <w:sz w:val="24"/>
          <w:szCs w:val="24"/>
        </w:rPr>
        <w:t>1948 shows a worn path</w:t>
      </w:r>
      <w:r w:rsidR="00F408AF">
        <w:rPr>
          <w:rFonts w:ascii="Arial" w:hAnsi="Arial" w:cs="Arial"/>
          <w:sz w:val="24"/>
          <w:szCs w:val="24"/>
        </w:rPr>
        <w:t xml:space="preserve"> from D-C and </w:t>
      </w:r>
      <w:r w:rsidR="00B27F48">
        <w:rPr>
          <w:rFonts w:ascii="Arial" w:hAnsi="Arial" w:cs="Arial"/>
          <w:sz w:val="24"/>
          <w:szCs w:val="24"/>
        </w:rPr>
        <w:t xml:space="preserve">shows evidence of gaps corresponding to Points A and B </w:t>
      </w:r>
      <w:r w:rsidR="00F408AF">
        <w:rPr>
          <w:rFonts w:ascii="Arial" w:hAnsi="Arial" w:cs="Arial"/>
          <w:sz w:val="24"/>
          <w:szCs w:val="24"/>
        </w:rPr>
        <w:t>but does not provide a clear picture of the boundary at Point C.</w:t>
      </w:r>
      <w:r w:rsidR="001478C3">
        <w:rPr>
          <w:rFonts w:ascii="Arial" w:hAnsi="Arial" w:cs="Arial"/>
          <w:sz w:val="24"/>
          <w:szCs w:val="24"/>
        </w:rPr>
        <w:t xml:space="preserve"> </w:t>
      </w:r>
      <w:r w:rsidR="00B12319">
        <w:rPr>
          <w:rFonts w:ascii="Arial" w:hAnsi="Arial" w:cs="Arial"/>
          <w:sz w:val="24"/>
          <w:szCs w:val="24"/>
        </w:rPr>
        <w:t xml:space="preserve">The aerial photograph </w:t>
      </w:r>
      <w:r w:rsidR="00937D78">
        <w:rPr>
          <w:rFonts w:ascii="Arial" w:hAnsi="Arial" w:cs="Arial"/>
          <w:sz w:val="24"/>
          <w:szCs w:val="24"/>
        </w:rPr>
        <w:t>helps to demonstrate the existence of a path, but not its status. Little weight can therefore be attached to the aerial photograph beyond it verifying that the line of the order route existed at that time.</w:t>
      </w:r>
    </w:p>
    <w:p w14:paraId="2B19FE32" w14:textId="2C1EA85C" w:rsidR="00705C2F" w:rsidRPr="00705C2F" w:rsidRDefault="00705C2F" w:rsidP="00705C2F">
      <w:pPr>
        <w:pStyle w:val="Style1"/>
        <w:numPr>
          <w:ilvl w:val="0"/>
          <w:numId w:val="0"/>
        </w:numPr>
        <w:rPr>
          <w:rFonts w:ascii="Arial" w:hAnsi="Arial" w:cs="Arial"/>
          <w:b/>
          <w:bCs/>
          <w:i/>
          <w:iCs/>
          <w:sz w:val="24"/>
          <w:szCs w:val="24"/>
        </w:rPr>
      </w:pPr>
      <w:r w:rsidRPr="00705C2F">
        <w:rPr>
          <w:rFonts w:ascii="Arial" w:hAnsi="Arial" w:cs="Arial"/>
          <w:b/>
          <w:bCs/>
          <w:i/>
          <w:iCs/>
          <w:sz w:val="24"/>
          <w:szCs w:val="24"/>
        </w:rPr>
        <w:t>Statutory Dedication</w:t>
      </w:r>
    </w:p>
    <w:p w14:paraId="01D44BC6" w14:textId="43C90C03" w:rsidR="00705C2F" w:rsidRPr="00705C2F" w:rsidRDefault="00705C2F" w:rsidP="00705C2F">
      <w:pPr>
        <w:pStyle w:val="Style1"/>
        <w:numPr>
          <w:ilvl w:val="0"/>
          <w:numId w:val="0"/>
        </w:numPr>
        <w:rPr>
          <w:rFonts w:ascii="Arial" w:hAnsi="Arial" w:cs="Arial"/>
          <w:i/>
          <w:iCs/>
          <w:sz w:val="24"/>
          <w:szCs w:val="24"/>
        </w:rPr>
      </w:pPr>
      <w:r w:rsidRPr="00705C2F">
        <w:rPr>
          <w:rFonts w:ascii="Arial" w:hAnsi="Arial" w:cs="Arial"/>
          <w:i/>
          <w:iCs/>
          <w:sz w:val="24"/>
          <w:szCs w:val="24"/>
        </w:rPr>
        <w:t>When the status of the claimed route was brought into question</w:t>
      </w:r>
    </w:p>
    <w:p w14:paraId="598243BF" w14:textId="62FBEDB0" w:rsidR="00705C2F" w:rsidRDefault="005949D0" w:rsidP="00FE7F78">
      <w:pPr>
        <w:pStyle w:val="Style1"/>
        <w:rPr>
          <w:rFonts w:ascii="Arial" w:hAnsi="Arial" w:cs="Arial"/>
          <w:sz w:val="24"/>
          <w:szCs w:val="24"/>
        </w:rPr>
      </w:pPr>
      <w:r>
        <w:rPr>
          <w:rFonts w:ascii="Arial" w:hAnsi="Arial" w:cs="Arial"/>
          <w:sz w:val="24"/>
          <w:szCs w:val="24"/>
        </w:rPr>
        <w:t xml:space="preserve">The </w:t>
      </w:r>
      <w:r w:rsidR="00245889">
        <w:rPr>
          <w:rFonts w:ascii="Arial" w:hAnsi="Arial" w:cs="Arial"/>
          <w:sz w:val="24"/>
          <w:szCs w:val="24"/>
        </w:rPr>
        <w:t>OMA</w:t>
      </w:r>
      <w:r>
        <w:rPr>
          <w:rFonts w:ascii="Arial" w:hAnsi="Arial" w:cs="Arial"/>
          <w:sz w:val="24"/>
          <w:szCs w:val="24"/>
        </w:rPr>
        <w:t xml:space="preserve"> considered 2004 to be the date of challenge for pedestrian rights along the order route. The </w:t>
      </w:r>
      <w:r w:rsidR="00350A15">
        <w:rPr>
          <w:rFonts w:ascii="Arial" w:hAnsi="Arial" w:cs="Arial"/>
          <w:sz w:val="24"/>
          <w:szCs w:val="24"/>
        </w:rPr>
        <w:t xml:space="preserve">OMA </w:t>
      </w:r>
      <w:r>
        <w:rPr>
          <w:rFonts w:ascii="Arial" w:hAnsi="Arial" w:cs="Arial"/>
          <w:sz w:val="24"/>
          <w:szCs w:val="24"/>
        </w:rPr>
        <w:t>states that the basis for this is that</w:t>
      </w:r>
      <w:r w:rsidR="004B64A0">
        <w:rPr>
          <w:rFonts w:ascii="Arial" w:hAnsi="Arial" w:cs="Arial"/>
          <w:sz w:val="24"/>
          <w:szCs w:val="24"/>
        </w:rPr>
        <w:t xml:space="preserve"> in the absence of any other major identifiable challenge to the public’s use of the claimed route, the route was obstructed by barbed wire</w:t>
      </w:r>
      <w:r w:rsidR="00E96EB4">
        <w:rPr>
          <w:rFonts w:ascii="Arial" w:hAnsi="Arial" w:cs="Arial"/>
          <w:sz w:val="24"/>
          <w:szCs w:val="24"/>
        </w:rPr>
        <w:t xml:space="preserve"> around a stile</w:t>
      </w:r>
      <w:r w:rsidR="004B64A0">
        <w:rPr>
          <w:rFonts w:ascii="Arial" w:hAnsi="Arial" w:cs="Arial"/>
          <w:sz w:val="24"/>
          <w:szCs w:val="24"/>
        </w:rPr>
        <w:t xml:space="preserve"> </w:t>
      </w:r>
      <w:r w:rsidR="008D2AA2">
        <w:rPr>
          <w:rFonts w:ascii="Arial" w:hAnsi="Arial" w:cs="Arial"/>
          <w:sz w:val="24"/>
          <w:szCs w:val="24"/>
        </w:rPr>
        <w:t>in 2004</w:t>
      </w:r>
      <w:r w:rsidR="00607A44">
        <w:rPr>
          <w:rFonts w:ascii="Arial" w:hAnsi="Arial" w:cs="Arial"/>
          <w:sz w:val="24"/>
          <w:szCs w:val="24"/>
        </w:rPr>
        <w:t>. Accordingly</w:t>
      </w:r>
      <w:r w:rsidR="00C0688F">
        <w:rPr>
          <w:rFonts w:ascii="Arial" w:hAnsi="Arial" w:cs="Arial"/>
          <w:sz w:val="24"/>
          <w:szCs w:val="24"/>
        </w:rPr>
        <w:t xml:space="preserve">, the requisite </w:t>
      </w:r>
      <w:proofErr w:type="gramStart"/>
      <w:r w:rsidR="00C0688F">
        <w:rPr>
          <w:rFonts w:ascii="Arial" w:hAnsi="Arial" w:cs="Arial"/>
          <w:sz w:val="24"/>
          <w:szCs w:val="24"/>
        </w:rPr>
        <w:t>20 year</w:t>
      </w:r>
      <w:proofErr w:type="gramEnd"/>
      <w:r w:rsidR="00C0688F">
        <w:rPr>
          <w:rFonts w:ascii="Arial" w:hAnsi="Arial" w:cs="Arial"/>
          <w:sz w:val="24"/>
          <w:szCs w:val="24"/>
        </w:rPr>
        <w:t xml:space="preserve"> period of use was calculated retrospectively from this date. Consequently, the years </w:t>
      </w:r>
      <w:r w:rsidR="006A4D34">
        <w:rPr>
          <w:rFonts w:ascii="Arial" w:hAnsi="Arial" w:cs="Arial"/>
          <w:sz w:val="24"/>
          <w:szCs w:val="24"/>
        </w:rPr>
        <w:t xml:space="preserve">1984 to 2004 are the relevant </w:t>
      </w:r>
      <w:proofErr w:type="gramStart"/>
      <w:r w:rsidR="006A4D34">
        <w:rPr>
          <w:rFonts w:ascii="Arial" w:hAnsi="Arial" w:cs="Arial"/>
          <w:sz w:val="24"/>
          <w:szCs w:val="24"/>
        </w:rPr>
        <w:t>20 year</w:t>
      </w:r>
      <w:proofErr w:type="gramEnd"/>
      <w:r w:rsidR="006A4D34">
        <w:rPr>
          <w:rFonts w:ascii="Arial" w:hAnsi="Arial" w:cs="Arial"/>
          <w:sz w:val="24"/>
          <w:szCs w:val="24"/>
        </w:rPr>
        <w:t xml:space="preserve"> period where the majority of users provide evidence of use. I have found no good reason to disagree in this regard.</w:t>
      </w:r>
    </w:p>
    <w:p w14:paraId="21A1C08D" w14:textId="1AC73440" w:rsidR="00705C2F" w:rsidRPr="004822BC" w:rsidRDefault="004822BC" w:rsidP="00705C2F">
      <w:pPr>
        <w:pStyle w:val="Style1"/>
        <w:numPr>
          <w:ilvl w:val="0"/>
          <w:numId w:val="0"/>
        </w:numPr>
        <w:rPr>
          <w:rFonts w:ascii="Arial" w:hAnsi="Arial" w:cs="Arial"/>
          <w:i/>
          <w:iCs/>
          <w:sz w:val="24"/>
          <w:szCs w:val="24"/>
        </w:rPr>
      </w:pPr>
      <w:r w:rsidRPr="004822BC">
        <w:rPr>
          <w:rFonts w:ascii="Arial" w:hAnsi="Arial" w:cs="Arial"/>
          <w:i/>
          <w:iCs/>
          <w:sz w:val="24"/>
          <w:szCs w:val="24"/>
        </w:rPr>
        <w:t>Whether the claimed footpath was used by the public as of right and without interruption for a period of not less than 20 years ending on the date the public’s right to do so was brought into question</w:t>
      </w:r>
    </w:p>
    <w:p w14:paraId="65D8DEE2" w14:textId="3F526084" w:rsidR="008078BF" w:rsidRDefault="00345388" w:rsidP="008078BF">
      <w:pPr>
        <w:pStyle w:val="Style1"/>
        <w:rPr>
          <w:rFonts w:ascii="Arial" w:hAnsi="Arial" w:cs="Arial"/>
          <w:sz w:val="24"/>
          <w:szCs w:val="24"/>
        </w:rPr>
      </w:pPr>
      <w:r>
        <w:rPr>
          <w:rFonts w:ascii="Arial" w:hAnsi="Arial" w:cs="Arial"/>
          <w:sz w:val="24"/>
          <w:szCs w:val="24"/>
        </w:rPr>
        <w:t>Nineteen</w:t>
      </w:r>
      <w:r w:rsidR="00EC7117">
        <w:rPr>
          <w:rFonts w:ascii="Arial" w:hAnsi="Arial" w:cs="Arial"/>
          <w:sz w:val="24"/>
          <w:szCs w:val="24"/>
        </w:rPr>
        <w:t xml:space="preserve"> individuals completed user evidence forms (UEFs)</w:t>
      </w:r>
      <w:r w:rsidR="008078BF">
        <w:rPr>
          <w:rFonts w:ascii="Arial" w:hAnsi="Arial" w:cs="Arial"/>
          <w:sz w:val="24"/>
          <w:szCs w:val="24"/>
        </w:rPr>
        <w:t xml:space="preserve"> as part of applications </w:t>
      </w:r>
      <w:r w:rsidR="006364CD">
        <w:rPr>
          <w:rFonts w:ascii="Arial" w:hAnsi="Arial" w:cs="Arial"/>
          <w:sz w:val="24"/>
          <w:szCs w:val="24"/>
        </w:rPr>
        <w:t xml:space="preserve">made </w:t>
      </w:r>
      <w:r w:rsidR="008078BF">
        <w:rPr>
          <w:rFonts w:ascii="Arial" w:hAnsi="Arial" w:cs="Arial"/>
          <w:sz w:val="24"/>
          <w:szCs w:val="24"/>
        </w:rPr>
        <w:t>in 1977 and 2007</w:t>
      </w:r>
      <w:r w:rsidR="00EC7117">
        <w:rPr>
          <w:rFonts w:ascii="Arial" w:hAnsi="Arial" w:cs="Arial"/>
          <w:sz w:val="24"/>
          <w:szCs w:val="24"/>
        </w:rPr>
        <w:t xml:space="preserve">. </w:t>
      </w:r>
      <w:r w:rsidR="00152421">
        <w:rPr>
          <w:rFonts w:ascii="Arial" w:hAnsi="Arial" w:cs="Arial"/>
          <w:sz w:val="24"/>
          <w:szCs w:val="24"/>
        </w:rPr>
        <w:t xml:space="preserve">The evidence within the 1977 </w:t>
      </w:r>
      <w:r w:rsidR="00C659EE">
        <w:rPr>
          <w:rFonts w:ascii="Arial" w:hAnsi="Arial" w:cs="Arial"/>
          <w:sz w:val="24"/>
          <w:szCs w:val="24"/>
        </w:rPr>
        <w:t xml:space="preserve">UEFs does not relate to use during the relevant period. </w:t>
      </w:r>
      <w:r w:rsidR="00EC7117">
        <w:rPr>
          <w:rFonts w:ascii="Arial" w:hAnsi="Arial" w:cs="Arial"/>
          <w:sz w:val="24"/>
          <w:szCs w:val="24"/>
        </w:rPr>
        <w:t xml:space="preserve">The evidence </w:t>
      </w:r>
      <w:r w:rsidR="002F180C">
        <w:rPr>
          <w:rFonts w:ascii="Arial" w:hAnsi="Arial" w:cs="Arial"/>
          <w:sz w:val="24"/>
          <w:szCs w:val="24"/>
        </w:rPr>
        <w:t xml:space="preserve">provided </w:t>
      </w:r>
      <w:r w:rsidR="00C659EE">
        <w:rPr>
          <w:rFonts w:ascii="Arial" w:hAnsi="Arial" w:cs="Arial"/>
          <w:sz w:val="24"/>
          <w:szCs w:val="24"/>
        </w:rPr>
        <w:t xml:space="preserve">within the 2007 UEFs </w:t>
      </w:r>
      <w:r w:rsidR="002F180C">
        <w:rPr>
          <w:rFonts w:ascii="Arial" w:hAnsi="Arial" w:cs="Arial"/>
          <w:sz w:val="24"/>
          <w:szCs w:val="24"/>
        </w:rPr>
        <w:t>is of recreational use of the route</w:t>
      </w:r>
      <w:r w:rsidR="00834D00">
        <w:rPr>
          <w:rFonts w:ascii="Arial" w:hAnsi="Arial" w:cs="Arial"/>
          <w:sz w:val="24"/>
          <w:szCs w:val="24"/>
        </w:rPr>
        <w:t xml:space="preserve"> on foot</w:t>
      </w:r>
      <w:r w:rsidR="002F180C">
        <w:rPr>
          <w:rFonts w:ascii="Arial" w:hAnsi="Arial" w:cs="Arial"/>
          <w:sz w:val="24"/>
          <w:szCs w:val="24"/>
        </w:rPr>
        <w:t>.</w:t>
      </w:r>
      <w:r w:rsidR="00834D00">
        <w:rPr>
          <w:rFonts w:ascii="Arial" w:hAnsi="Arial" w:cs="Arial"/>
          <w:sz w:val="24"/>
          <w:szCs w:val="24"/>
        </w:rPr>
        <w:t xml:space="preserve"> One UEF mentions horse riders using the route but does not provide any further details regarding numbers or frequency.</w:t>
      </w:r>
      <w:r w:rsidR="002F180C">
        <w:rPr>
          <w:rFonts w:ascii="Arial" w:hAnsi="Arial" w:cs="Arial"/>
          <w:sz w:val="24"/>
          <w:szCs w:val="24"/>
        </w:rPr>
        <w:t xml:space="preserve"> The </w:t>
      </w:r>
      <w:r w:rsidR="002F180C">
        <w:rPr>
          <w:rFonts w:ascii="Arial" w:hAnsi="Arial" w:cs="Arial"/>
          <w:sz w:val="24"/>
          <w:szCs w:val="24"/>
        </w:rPr>
        <w:lastRenderedPageBreak/>
        <w:t>earliest claimed use was from 1922, but several users claim to</w:t>
      </w:r>
      <w:r w:rsidR="00042185">
        <w:rPr>
          <w:rFonts w:ascii="Arial" w:hAnsi="Arial" w:cs="Arial"/>
          <w:sz w:val="24"/>
          <w:szCs w:val="24"/>
        </w:rPr>
        <w:t xml:space="preserve"> have used the route from the 1950s</w:t>
      </w:r>
      <w:r w:rsidR="00726294">
        <w:rPr>
          <w:rFonts w:ascii="Arial" w:hAnsi="Arial" w:cs="Arial"/>
          <w:sz w:val="24"/>
          <w:szCs w:val="24"/>
        </w:rPr>
        <w:t xml:space="preserve">. Most claimed to have used the route up to the date of the application. The frequency of use </w:t>
      </w:r>
      <w:r w:rsidR="001D0A61">
        <w:rPr>
          <w:rFonts w:ascii="Arial" w:hAnsi="Arial" w:cs="Arial"/>
          <w:sz w:val="24"/>
          <w:szCs w:val="24"/>
        </w:rPr>
        <w:t xml:space="preserve">varied but a significant number of users claimed </w:t>
      </w:r>
      <w:r w:rsidR="00486A37">
        <w:rPr>
          <w:rFonts w:ascii="Arial" w:hAnsi="Arial" w:cs="Arial"/>
          <w:sz w:val="24"/>
          <w:szCs w:val="24"/>
        </w:rPr>
        <w:t xml:space="preserve">regular use </w:t>
      </w:r>
      <w:r w:rsidR="008078BF">
        <w:rPr>
          <w:rFonts w:ascii="Arial" w:hAnsi="Arial" w:cs="Arial"/>
          <w:sz w:val="24"/>
          <w:szCs w:val="24"/>
        </w:rPr>
        <w:t>being 10 times a year or more during the relevant period.</w:t>
      </w:r>
    </w:p>
    <w:p w14:paraId="1CDC546F" w14:textId="77777777" w:rsidR="008078BF" w:rsidRDefault="008078BF" w:rsidP="008078BF">
      <w:pPr>
        <w:pStyle w:val="Style1"/>
        <w:rPr>
          <w:rFonts w:ascii="Arial" w:hAnsi="Arial" w:cs="Arial"/>
          <w:sz w:val="24"/>
          <w:szCs w:val="24"/>
        </w:rPr>
      </w:pPr>
      <w:r>
        <w:rPr>
          <w:rFonts w:ascii="Arial" w:hAnsi="Arial" w:cs="Arial"/>
          <w:sz w:val="24"/>
          <w:szCs w:val="24"/>
        </w:rPr>
        <w:t>One UEF mentions the route being marked with a public footpath sign at the A63 end of the route, this may have served to encourage people to use the route. None of the UEFs mention any signage deterring use but four users describe barbed wire as an obstruction.</w:t>
      </w:r>
    </w:p>
    <w:p w14:paraId="3BB52B52" w14:textId="2D31B3D9" w:rsidR="008078BF" w:rsidRDefault="008078BF" w:rsidP="008078BF">
      <w:pPr>
        <w:pStyle w:val="Style1"/>
        <w:rPr>
          <w:rFonts w:ascii="Arial" w:hAnsi="Arial" w:cs="Arial"/>
          <w:sz w:val="24"/>
          <w:szCs w:val="24"/>
        </w:rPr>
      </w:pPr>
      <w:r>
        <w:rPr>
          <w:rFonts w:ascii="Arial" w:hAnsi="Arial" w:cs="Arial"/>
          <w:sz w:val="24"/>
          <w:szCs w:val="24"/>
        </w:rPr>
        <w:t>One UEF was completed by one of the farmers who used the route to access their fields to the east of the path in addition to using the whole route recreationally, therefore this use was</w:t>
      </w:r>
      <w:r w:rsidR="00C064BE">
        <w:rPr>
          <w:rFonts w:ascii="Arial" w:hAnsi="Arial" w:cs="Arial"/>
          <w:sz w:val="24"/>
          <w:szCs w:val="24"/>
        </w:rPr>
        <w:t xml:space="preserve"> not</w:t>
      </w:r>
      <w:r>
        <w:rPr>
          <w:rFonts w:ascii="Arial" w:hAnsi="Arial" w:cs="Arial"/>
          <w:sz w:val="24"/>
          <w:szCs w:val="24"/>
        </w:rPr>
        <w:t xml:space="preserve"> ‘as of right’ therefore this evidence carries little evidential weight.</w:t>
      </w:r>
    </w:p>
    <w:p w14:paraId="42E816A8" w14:textId="77777777" w:rsidR="00834D00" w:rsidRDefault="008078BF" w:rsidP="008078BF">
      <w:pPr>
        <w:pStyle w:val="Style1"/>
        <w:rPr>
          <w:rFonts w:ascii="Arial" w:hAnsi="Arial" w:cs="Arial"/>
          <w:sz w:val="24"/>
          <w:szCs w:val="24"/>
        </w:rPr>
      </w:pPr>
      <w:r>
        <w:rPr>
          <w:rFonts w:ascii="Arial" w:hAnsi="Arial" w:cs="Arial"/>
          <w:sz w:val="24"/>
          <w:szCs w:val="24"/>
        </w:rPr>
        <w:t xml:space="preserve">Two of the UEFs fail to state the exact years of use only attesting to </w:t>
      </w:r>
      <w:r w:rsidR="00FD6B92">
        <w:rPr>
          <w:rFonts w:ascii="Arial" w:hAnsi="Arial" w:cs="Arial"/>
          <w:sz w:val="24"/>
          <w:szCs w:val="24"/>
        </w:rPr>
        <w:t>30 years</w:t>
      </w:r>
      <w:r w:rsidR="00345388">
        <w:rPr>
          <w:rFonts w:ascii="Arial" w:hAnsi="Arial" w:cs="Arial"/>
          <w:sz w:val="24"/>
          <w:szCs w:val="24"/>
        </w:rPr>
        <w:t xml:space="preserve"> and 10 years, without stated dates of use, these UEFs show potential use within the relevant period but there must be some doubt regarding when they used the route.</w:t>
      </w:r>
      <w:r w:rsidR="00FD6B92">
        <w:rPr>
          <w:rFonts w:ascii="Arial" w:hAnsi="Arial" w:cs="Arial"/>
          <w:sz w:val="24"/>
          <w:szCs w:val="24"/>
        </w:rPr>
        <w:t xml:space="preserve"> </w:t>
      </w:r>
      <w:r>
        <w:rPr>
          <w:rFonts w:ascii="Arial" w:hAnsi="Arial" w:cs="Arial"/>
          <w:sz w:val="24"/>
          <w:szCs w:val="24"/>
        </w:rPr>
        <w:t xml:space="preserve"> </w:t>
      </w:r>
    </w:p>
    <w:p w14:paraId="154C9B14" w14:textId="5305146B" w:rsidR="008078BF" w:rsidRDefault="00834D00" w:rsidP="008078BF">
      <w:pPr>
        <w:pStyle w:val="Style1"/>
        <w:rPr>
          <w:rFonts w:ascii="Arial" w:hAnsi="Arial" w:cs="Arial"/>
          <w:sz w:val="24"/>
          <w:szCs w:val="24"/>
        </w:rPr>
      </w:pPr>
      <w:r>
        <w:rPr>
          <w:rFonts w:ascii="Arial" w:hAnsi="Arial" w:cs="Arial"/>
          <w:sz w:val="24"/>
          <w:szCs w:val="24"/>
        </w:rPr>
        <w:t xml:space="preserve">Eight of the UEFs state to have used a route to the east side of the boundary between Points B and C as an alternative route due to natural standing water. Whilst this shows users deviating from the claimed route, taking the </w:t>
      </w:r>
      <w:proofErr w:type="gramStart"/>
      <w:r>
        <w:rPr>
          <w:rFonts w:ascii="Arial" w:hAnsi="Arial" w:cs="Arial"/>
          <w:sz w:val="24"/>
          <w:szCs w:val="24"/>
        </w:rPr>
        <w:t>evidence as a whole</w:t>
      </w:r>
      <w:r w:rsidR="006364CD">
        <w:rPr>
          <w:rFonts w:ascii="Arial" w:hAnsi="Arial" w:cs="Arial"/>
          <w:sz w:val="24"/>
          <w:szCs w:val="24"/>
        </w:rPr>
        <w:t>,</w:t>
      </w:r>
      <w:r>
        <w:rPr>
          <w:rFonts w:ascii="Arial" w:hAnsi="Arial" w:cs="Arial"/>
          <w:sz w:val="24"/>
          <w:szCs w:val="24"/>
        </w:rPr>
        <w:t xml:space="preserve"> I</w:t>
      </w:r>
      <w:proofErr w:type="gramEnd"/>
      <w:r>
        <w:rPr>
          <w:rFonts w:ascii="Arial" w:hAnsi="Arial" w:cs="Arial"/>
          <w:sz w:val="24"/>
          <w:szCs w:val="24"/>
        </w:rPr>
        <w:t xml:space="preserve"> am satisfied that the users were using </w:t>
      </w:r>
      <w:r w:rsidR="002A13F0">
        <w:rPr>
          <w:rFonts w:ascii="Arial" w:hAnsi="Arial" w:cs="Arial"/>
          <w:sz w:val="24"/>
          <w:szCs w:val="24"/>
        </w:rPr>
        <w:t xml:space="preserve">broadly </w:t>
      </w:r>
      <w:r>
        <w:rPr>
          <w:rFonts w:ascii="Arial" w:hAnsi="Arial" w:cs="Arial"/>
          <w:sz w:val="24"/>
          <w:szCs w:val="24"/>
        </w:rPr>
        <w:t>the same alignment and not wandering at will.</w:t>
      </w:r>
    </w:p>
    <w:p w14:paraId="15FF1926" w14:textId="03E1CB10" w:rsidR="00E164C3" w:rsidRDefault="00834D00" w:rsidP="00D20839">
      <w:pPr>
        <w:pStyle w:val="Style1"/>
        <w:rPr>
          <w:rFonts w:ascii="Arial" w:hAnsi="Arial" w:cs="Arial"/>
          <w:sz w:val="24"/>
          <w:szCs w:val="24"/>
        </w:rPr>
      </w:pPr>
      <w:proofErr w:type="gramStart"/>
      <w:r w:rsidRPr="00E164C3">
        <w:rPr>
          <w:rFonts w:ascii="Arial" w:hAnsi="Arial" w:cs="Arial"/>
          <w:sz w:val="24"/>
          <w:szCs w:val="24"/>
        </w:rPr>
        <w:t>A number of</w:t>
      </w:r>
      <w:proofErr w:type="gramEnd"/>
      <w:r w:rsidRPr="00E164C3">
        <w:rPr>
          <w:rFonts w:ascii="Arial" w:hAnsi="Arial" w:cs="Arial"/>
          <w:sz w:val="24"/>
          <w:szCs w:val="24"/>
        </w:rPr>
        <w:t xml:space="preserve"> the UEFs refer to kissing gates at Point A and/or Point B</w:t>
      </w:r>
      <w:r w:rsidR="00E164C3" w:rsidRPr="00E164C3">
        <w:rPr>
          <w:rFonts w:ascii="Arial" w:hAnsi="Arial" w:cs="Arial"/>
          <w:sz w:val="24"/>
          <w:szCs w:val="24"/>
        </w:rPr>
        <w:t xml:space="preserve">, described as being overgrown with thorns in 1977. There is no sign of the kissing gates on the route at present but remnants of the structure at Point A is shown on Google Street View images dated February 2009, April </w:t>
      </w:r>
      <w:proofErr w:type="gramStart"/>
      <w:r w:rsidR="00E164C3" w:rsidRPr="00E164C3">
        <w:rPr>
          <w:rFonts w:ascii="Arial" w:hAnsi="Arial" w:cs="Arial"/>
          <w:sz w:val="24"/>
          <w:szCs w:val="24"/>
        </w:rPr>
        <w:t>2009</w:t>
      </w:r>
      <w:proofErr w:type="gramEnd"/>
      <w:r w:rsidR="00E164C3" w:rsidRPr="00E164C3">
        <w:rPr>
          <w:rFonts w:ascii="Arial" w:hAnsi="Arial" w:cs="Arial"/>
          <w:sz w:val="24"/>
          <w:szCs w:val="24"/>
        </w:rPr>
        <w:t xml:space="preserve"> and June 2011. In a letter dated 11 November 2009 an </w:t>
      </w:r>
      <w:proofErr w:type="spellStart"/>
      <w:r w:rsidR="00E164C3" w:rsidRPr="00E164C3">
        <w:rPr>
          <w:rFonts w:ascii="Arial" w:hAnsi="Arial" w:cs="Arial"/>
          <w:sz w:val="24"/>
          <w:szCs w:val="24"/>
        </w:rPr>
        <w:t>Osgodby</w:t>
      </w:r>
      <w:proofErr w:type="spellEnd"/>
      <w:r w:rsidR="00E164C3" w:rsidRPr="00E164C3">
        <w:rPr>
          <w:rFonts w:ascii="Arial" w:hAnsi="Arial" w:cs="Arial"/>
          <w:sz w:val="24"/>
          <w:szCs w:val="24"/>
        </w:rPr>
        <w:t xml:space="preserve"> resident described the history of </w:t>
      </w:r>
      <w:proofErr w:type="spellStart"/>
      <w:r w:rsidR="00E164C3" w:rsidRPr="00E164C3">
        <w:rPr>
          <w:rFonts w:ascii="Arial" w:hAnsi="Arial" w:cs="Arial"/>
          <w:sz w:val="24"/>
          <w:szCs w:val="24"/>
        </w:rPr>
        <w:t>Osgodby</w:t>
      </w:r>
      <w:proofErr w:type="spellEnd"/>
      <w:r w:rsidR="00E164C3" w:rsidRPr="00E164C3">
        <w:rPr>
          <w:rFonts w:ascii="Arial" w:hAnsi="Arial" w:cs="Arial"/>
          <w:sz w:val="24"/>
          <w:szCs w:val="24"/>
        </w:rPr>
        <w:t xml:space="preserve"> Hall, speculating that the kissing gates were installed under the ownership of Riley Briggs, who owned the Estate from 1861-1913. Parkland was often enclosed with iron fencing in this period and iron kissing gates were a typical method of providing stock-proof pedestrian access where required and the ornate post and pedestrian gate seen in the 2009 and 2011 images are typical of such structures seen on other estates.</w:t>
      </w:r>
    </w:p>
    <w:p w14:paraId="5F85D6AB" w14:textId="254CC1EE" w:rsidR="00E164C3" w:rsidRPr="00E164C3" w:rsidRDefault="00E164C3" w:rsidP="007A072C">
      <w:pPr>
        <w:pStyle w:val="Style1"/>
      </w:pPr>
      <w:r w:rsidRPr="003F57DC">
        <w:rPr>
          <w:rFonts w:ascii="Arial" w:hAnsi="Arial" w:cs="Arial"/>
          <w:sz w:val="24"/>
          <w:szCs w:val="24"/>
        </w:rPr>
        <w:t>One UEF describes the iron kissing gate being replaced by a stile, with seven of the UEFs mentioning barbed wire</w:t>
      </w:r>
      <w:r w:rsidR="003F57DC" w:rsidRPr="003F57DC">
        <w:rPr>
          <w:rFonts w:ascii="Arial" w:hAnsi="Arial" w:cs="Arial"/>
          <w:sz w:val="24"/>
          <w:szCs w:val="24"/>
        </w:rPr>
        <w:t>.</w:t>
      </w:r>
      <w:r w:rsidRPr="003F57DC">
        <w:rPr>
          <w:rFonts w:ascii="Arial" w:hAnsi="Arial" w:cs="Arial"/>
          <w:sz w:val="24"/>
          <w:szCs w:val="24"/>
        </w:rPr>
        <w:t xml:space="preserve"> </w:t>
      </w:r>
      <w:proofErr w:type="gramStart"/>
      <w:r w:rsidR="003F57DC" w:rsidRPr="003F57DC">
        <w:rPr>
          <w:rFonts w:ascii="Arial" w:hAnsi="Arial" w:cs="Arial"/>
          <w:sz w:val="24"/>
          <w:szCs w:val="24"/>
        </w:rPr>
        <w:t>A number of</w:t>
      </w:r>
      <w:proofErr w:type="gramEnd"/>
      <w:r w:rsidR="003F57DC" w:rsidRPr="003F57DC">
        <w:rPr>
          <w:rFonts w:ascii="Arial" w:hAnsi="Arial" w:cs="Arial"/>
          <w:sz w:val="24"/>
          <w:szCs w:val="24"/>
        </w:rPr>
        <w:t xml:space="preserve"> users refer to barbed wire in the vicinity of the kissing gates and stiles, but the fences do not appear to have prevented use, although one witness states that they stopped using the route in 2004 when the stile was wrapped with barbed wire</w:t>
      </w:r>
      <w:r w:rsidR="009A70CD">
        <w:rPr>
          <w:rFonts w:ascii="Arial" w:hAnsi="Arial" w:cs="Arial"/>
          <w:sz w:val="24"/>
          <w:szCs w:val="24"/>
        </w:rPr>
        <w:t>.</w:t>
      </w:r>
    </w:p>
    <w:p w14:paraId="18442BD0" w14:textId="0FE541E5" w:rsidR="004822BC" w:rsidRPr="00BA6208" w:rsidRDefault="003C6D1C" w:rsidP="004822BC">
      <w:pPr>
        <w:pStyle w:val="Style1"/>
        <w:numPr>
          <w:ilvl w:val="0"/>
          <w:numId w:val="0"/>
        </w:numPr>
        <w:rPr>
          <w:rFonts w:ascii="Arial" w:hAnsi="Arial" w:cs="Arial"/>
          <w:i/>
          <w:iCs/>
          <w:sz w:val="24"/>
          <w:szCs w:val="24"/>
        </w:rPr>
      </w:pPr>
      <w:r w:rsidRPr="00BA6208">
        <w:rPr>
          <w:rFonts w:ascii="Arial" w:hAnsi="Arial" w:cs="Arial"/>
          <w:i/>
          <w:iCs/>
          <w:sz w:val="24"/>
          <w:szCs w:val="24"/>
        </w:rPr>
        <w:t>The evidence and actions of landowners</w:t>
      </w:r>
    </w:p>
    <w:p w14:paraId="3B70D4B2" w14:textId="031778D2" w:rsidR="004822BC" w:rsidRDefault="00921D62" w:rsidP="00FE7F78">
      <w:pPr>
        <w:pStyle w:val="Style1"/>
        <w:rPr>
          <w:rFonts w:ascii="Arial" w:hAnsi="Arial" w:cs="Arial"/>
          <w:sz w:val="24"/>
          <w:szCs w:val="24"/>
        </w:rPr>
      </w:pPr>
      <w:r>
        <w:rPr>
          <w:rFonts w:ascii="Arial" w:hAnsi="Arial" w:cs="Arial"/>
          <w:sz w:val="24"/>
          <w:szCs w:val="24"/>
        </w:rPr>
        <w:t>The remaining part of the Section 31 test considers whe</w:t>
      </w:r>
      <w:r w:rsidR="003D460F">
        <w:rPr>
          <w:rFonts w:ascii="Arial" w:hAnsi="Arial" w:cs="Arial"/>
          <w:sz w:val="24"/>
          <w:szCs w:val="24"/>
        </w:rPr>
        <w:t>ther</w:t>
      </w:r>
      <w:r>
        <w:rPr>
          <w:rFonts w:ascii="Arial" w:hAnsi="Arial" w:cs="Arial"/>
          <w:sz w:val="24"/>
          <w:szCs w:val="24"/>
        </w:rPr>
        <w:t xml:space="preserve"> the landowner has taken any action to rebut the statutory presumption of dedication. Often this is evidenced by way of notices or obstructions to prevent people accessing or using the path.</w:t>
      </w:r>
    </w:p>
    <w:p w14:paraId="01372DBB" w14:textId="535450A0" w:rsidR="00140160" w:rsidRDefault="00030821" w:rsidP="00FE7F78">
      <w:pPr>
        <w:pStyle w:val="Style1"/>
        <w:rPr>
          <w:rFonts w:ascii="Arial" w:hAnsi="Arial" w:cs="Arial"/>
          <w:sz w:val="24"/>
          <w:szCs w:val="24"/>
        </w:rPr>
      </w:pPr>
      <w:r>
        <w:rPr>
          <w:rFonts w:ascii="Arial" w:hAnsi="Arial" w:cs="Arial"/>
          <w:sz w:val="24"/>
          <w:szCs w:val="24"/>
        </w:rPr>
        <w:t>The landowner states to have routinely challenged anyone using the order route but does not provide any specific dates of this. None of the UEFs mention any challenge being made by the landowner.</w:t>
      </w:r>
    </w:p>
    <w:p w14:paraId="4A19188F" w14:textId="49904BD3" w:rsidR="00030821" w:rsidRPr="00030821" w:rsidRDefault="00030821" w:rsidP="00771529">
      <w:pPr>
        <w:pStyle w:val="Style1"/>
        <w:rPr>
          <w:rFonts w:ascii="Arial" w:hAnsi="Arial" w:cs="Arial"/>
          <w:sz w:val="24"/>
          <w:szCs w:val="24"/>
        </w:rPr>
      </w:pPr>
      <w:r w:rsidRPr="00030821">
        <w:rPr>
          <w:rFonts w:ascii="Arial" w:hAnsi="Arial" w:cs="Arial"/>
          <w:sz w:val="24"/>
          <w:szCs w:val="24"/>
        </w:rPr>
        <w:lastRenderedPageBreak/>
        <w:t xml:space="preserve">The landowner provided a cropping history for Chapel Field, commencing in 1994 and the field was in arable production during 1994, set-aside in 1995, when an old, barbed wire fence was renewed, </w:t>
      </w:r>
      <w:r w:rsidR="00C74CC0">
        <w:rPr>
          <w:rFonts w:ascii="Arial" w:hAnsi="Arial" w:cs="Arial"/>
          <w:sz w:val="24"/>
          <w:szCs w:val="24"/>
        </w:rPr>
        <w:t xml:space="preserve">it was </w:t>
      </w:r>
      <w:r w:rsidRPr="00030821">
        <w:rPr>
          <w:rFonts w:ascii="Arial" w:hAnsi="Arial" w:cs="Arial"/>
          <w:sz w:val="24"/>
          <w:szCs w:val="24"/>
        </w:rPr>
        <w:t>then used for grazing between 1996 and 2002</w:t>
      </w:r>
      <w:r>
        <w:rPr>
          <w:rFonts w:ascii="Arial" w:hAnsi="Arial" w:cs="Arial"/>
          <w:sz w:val="24"/>
          <w:szCs w:val="24"/>
        </w:rPr>
        <w:t xml:space="preserve">. </w:t>
      </w:r>
      <w:r w:rsidRPr="00030821">
        <w:rPr>
          <w:rFonts w:ascii="Arial" w:hAnsi="Arial" w:cs="Arial"/>
          <w:sz w:val="24"/>
          <w:szCs w:val="24"/>
        </w:rPr>
        <w:t>The landowner described “Keep Out/Cattle Danger” signs erected when cattle were grazing o</w:t>
      </w:r>
      <w:r>
        <w:rPr>
          <w:rFonts w:ascii="Arial" w:hAnsi="Arial" w:cs="Arial"/>
          <w:sz w:val="24"/>
          <w:szCs w:val="24"/>
        </w:rPr>
        <w:t>n the route</w:t>
      </w:r>
      <w:r w:rsidRPr="00030821">
        <w:rPr>
          <w:rFonts w:ascii="Arial" w:hAnsi="Arial" w:cs="Arial"/>
          <w:sz w:val="24"/>
          <w:szCs w:val="24"/>
        </w:rPr>
        <w:t>. None of the UEFs mention any reference to signs.</w:t>
      </w:r>
    </w:p>
    <w:p w14:paraId="318F533A" w14:textId="36BB1AD2" w:rsidR="00030821" w:rsidRDefault="00030821" w:rsidP="00FE7F78">
      <w:pPr>
        <w:pStyle w:val="Style1"/>
        <w:rPr>
          <w:rFonts w:ascii="Arial" w:hAnsi="Arial" w:cs="Arial"/>
          <w:sz w:val="24"/>
          <w:szCs w:val="24"/>
        </w:rPr>
      </w:pPr>
      <w:r>
        <w:rPr>
          <w:rFonts w:ascii="Arial" w:hAnsi="Arial" w:cs="Arial"/>
          <w:sz w:val="24"/>
          <w:szCs w:val="24"/>
        </w:rPr>
        <w:t>The landowner submits they provided a makeshift stile for their stockman to access the field, this is corroborated by the UEFs mentioning a stile in the same location. If this structure was not suitably signed to advise the public that they had no right to use it, I find it to be quite probable that they did so.</w:t>
      </w:r>
    </w:p>
    <w:p w14:paraId="76F4C173" w14:textId="23A1CD0F" w:rsidR="002602BA" w:rsidRDefault="002602BA" w:rsidP="00FE7F78">
      <w:pPr>
        <w:pStyle w:val="Style1"/>
        <w:rPr>
          <w:rFonts w:ascii="Arial" w:hAnsi="Arial" w:cs="Arial"/>
          <w:sz w:val="24"/>
          <w:szCs w:val="24"/>
        </w:rPr>
      </w:pPr>
      <w:r>
        <w:rPr>
          <w:rFonts w:ascii="Arial" w:hAnsi="Arial" w:cs="Arial"/>
          <w:sz w:val="24"/>
          <w:szCs w:val="24"/>
        </w:rPr>
        <w:t>In this case,</w:t>
      </w:r>
      <w:r w:rsidR="00104669">
        <w:rPr>
          <w:rFonts w:ascii="Arial" w:hAnsi="Arial" w:cs="Arial"/>
          <w:sz w:val="24"/>
          <w:szCs w:val="24"/>
        </w:rPr>
        <w:t xml:space="preserve"> although there is conflicting evidence</w:t>
      </w:r>
      <w:r w:rsidR="00D31FA1">
        <w:rPr>
          <w:rFonts w:ascii="Arial" w:hAnsi="Arial" w:cs="Arial"/>
          <w:sz w:val="24"/>
          <w:szCs w:val="24"/>
        </w:rPr>
        <w:t xml:space="preserve"> </w:t>
      </w:r>
      <w:r w:rsidR="005A6253">
        <w:rPr>
          <w:rFonts w:ascii="Arial" w:hAnsi="Arial" w:cs="Arial"/>
          <w:sz w:val="24"/>
          <w:szCs w:val="24"/>
        </w:rPr>
        <w:t xml:space="preserve">there </w:t>
      </w:r>
      <w:r>
        <w:rPr>
          <w:rFonts w:ascii="Arial" w:hAnsi="Arial" w:cs="Arial"/>
          <w:sz w:val="24"/>
          <w:szCs w:val="24"/>
        </w:rPr>
        <w:t xml:space="preserve">is </w:t>
      </w:r>
      <w:r w:rsidR="00EB007D">
        <w:rPr>
          <w:rFonts w:ascii="Arial" w:hAnsi="Arial" w:cs="Arial"/>
          <w:sz w:val="24"/>
          <w:szCs w:val="24"/>
        </w:rPr>
        <w:t xml:space="preserve">sufficient </w:t>
      </w:r>
      <w:r w:rsidR="00F154C5">
        <w:rPr>
          <w:rFonts w:ascii="Arial" w:hAnsi="Arial" w:cs="Arial"/>
          <w:sz w:val="24"/>
          <w:szCs w:val="24"/>
        </w:rPr>
        <w:t xml:space="preserve">user evidence during the relevant </w:t>
      </w:r>
      <w:proofErr w:type="gramStart"/>
      <w:r w:rsidR="00F154C5">
        <w:rPr>
          <w:rFonts w:ascii="Arial" w:hAnsi="Arial" w:cs="Arial"/>
          <w:sz w:val="24"/>
          <w:szCs w:val="24"/>
        </w:rPr>
        <w:t>20 year</w:t>
      </w:r>
      <w:proofErr w:type="gramEnd"/>
      <w:r w:rsidR="00F154C5">
        <w:rPr>
          <w:rFonts w:ascii="Arial" w:hAnsi="Arial" w:cs="Arial"/>
          <w:sz w:val="24"/>
          <w:szCs w:val="24"/>
        </w:rPr>
        <w:t xml:space="preserve"> period, the </w:t>
      </w:r>
      <w:r>
        <w:rPr>
          <w:rFonts w:ascii="Arial" w:hAnsi="Arial" w:cs="Arial"/>
          <w:sz w:val="24"/>
          <w:szCs w:val="24"/>
        </w:rPr>
        <w:t xml:space="preserve">evidence of public use </w:t>
      </w:r>
      <w:r w:rsidR="00F154C5">
        <w:rPr>
          <w:rFonts w:ascii="Arial" w:hAnsi="Arial" w:cs="Arial"/>
          <w:sz w:val="24"/>
          <w:szCs w:val="24"/>
        </w:rPr>
        <w:t>goes back to</w:t>
      </w:r>
      <w:r>
        <w:rPr>
          <w:rFonts w:ascii="Arial" w:hAnsi="Arial" w:cs="Arial"/>
          <w:sz w:val="24"/>
          <w:szCs w:val="24"/>
        </w:rPr>
        <w:t xml:space="preserve"> 1922</w:t>
      </w:r>
      <w:r w:rsidR="00F154C5">
        <w:rPr>
          <w:rFonts w:ascii="Arial" w:hAnsi="Arial" w:cs="Arial"/>
          <w:sz w:val="24"/>
          <w:szCs w:val="24"/>
        </w:rPr>
        <w:t>,</w:t>
      </w:r>
      <w:r>
        <w:rPr>
          <w:rFonts w:ascii="Arial" w:hAnsi="Arial" w:cs="Arial"/>
          <w:sz w:val="24"/>
          <w:szCs w:val="24"/>
        </w:rPr>
        <w:t xml:space="preserve"> and there is not sufficient evidence of actions by landowners that would indicate a lack of intention to dedicate it as a public right of way before </w:t>
      </w:r>
      <w:r w:rsidR="00165AE8">
        <w:rPr>
          <w:rFonts w:ascii="Arial" w:hAnsi="Arial" w:cs="Arial"/>
          <w:sz w:val="24"/>
          <w:szCs w:val="24"/>
        </w:rPr>
        <w:t>2004</w:t>
      </w:r>
      <w:r>
        <w:rPr>
          <w:rFonts w:ascii="Arial" w:hAnsi="Arial" w:cs="Arial"/>
          <w:sz w:val="24"/>
          <w:szCs w:val="24"/>
        </w:rPr>
        <w:t>.</w:t>
      </w:r>
    </w:p>
    <w:p w14:paraId="767134C7" w14:textId="1C9631CA" w:rsidR="003C6D1C" w:rsidRPr="008F7489" w:rsidRDefault="003C6D1C" w:rsidP="003C6D1C">
      <w:pPr>
        <w:pStyle w:val="Style1"/>
        <w:numPr>
          <w:ilvl w:val="0"/>
          <w:numId w:val="0"/>
        </w:numPr>
        <w:rPr>
          <w:rFonts w:ascii="Arial" w:hAnsi="Arial" w:cs="Arial"/>
          <w:b/>
          <w:bCs/>
          <w:i/>
          <w:iCs/>
          <w:sz w:val="24"/>
          <w:szCs w:val="24"/>
        </w:rPr>
      </w:pPr>
      <w:r w:rsidRPr="008F7489">
        <w:rPr>
          <w:rFonts w:ascii="Arial" w:hAnsi="Arial" w:cs="Arial"/>
          <w:b/>
          <w:bCs/>
          <w:i/>
          <w:iCs/>
          <w:sz w:val="24"/>
          <w:szCs w:val="24"/>
        </w:rPr>
        <w:t>Conclusions regarding Statutory Dedication</w:t>
      </w:r>
    </w:p>
    <w:p w14:paraId="1F614D67" w14:textId="2C36B63C" w:rsidR="003C6D1C" w:rsidRDefault="00B51B8C" w:rsidP="00FE7F78">
      <w:pPr>
        <w:pStyle w:val="Style1"/>
        <w:rPr>
          <w:rFonts w:ascii="Arial" w:hAnsi="Arial" w:cs="Arial"/>
          <w:sz w:val="24"/>
          <w:szCs w:val="24"/>
        </w:rPr>
      </w:pPr>
      <w:r>
        <w:rPr>
          <w:rFonts w:ascii="Arial" w:hAnsi="Arial" w:cs="Arial"/>
          <w:sz w:val="24"/>
          <w:szCs w:val="24"/>
        </w:rPr>
        <w:t xml:space="preserve">Overall, it is my view that there is not sufficient evidence of actions by landowners indicating their lack of intention to dedicate the Order </w:t>
      </w:r>
      <w:r w:rsidR="00B277F6">
        <w:rPr>
          <w:rFonts w:ascii="Arial" w:hAnsi="Arial" w:cs="Arial"/>
          <w:sz w:val="24"/>
          <w:szCs w:val="24"/>
        </w:rPr>
        <w:t>route as a public footpath in the period 1984 to 2004 to rebut the presum</w:t>
      </w:r>
      <w:r w:rsidR="006E5D27">
        <w:rPr>
          <w:rFonts w:ascii="Arial" w:hAnsi="Arial" w:cs="Arial"/>
          <w:sz w:val="24"/>
          <w:szCs w:val="24"/>
        </w:rPr>
        <w:t>ption that it had been dedicated.</w:t>
      </w:r>
    </w:p>
    <w:p w14:paraId="4E5D8FDD" w14:textId="0A8E71A7" w:rsidR="003E15E5" w:rsidRPr="008F7489" w:rsidRDefault="008F7489" w:rsidP="003E15E5">
      <w:pPr>
        <w:pStyle w:val="Style1"/>
        <w:numPr>
          <w:ilvl w:val="0"/>
          <w:numId w:val="0"/>
        </w:numPr>
        <w:rPr>
          <w:rFonts w:ascii="Arial" w:hAnsi="Arial" w:cs="Arial"/>
          <w:b/>
          <w:bCs/>
          <w:i/>
          <w:iCs/>
          <w:sz w:val="24"/>
          <w:szCs w:val="24"/>
        </w:rPr>
      </w:pPr>
      <w:r w:rsidRPr="008F7489">
        <w:rPr>
          <w:rFonts w:ascii="Arial" w:hAnsi="Arial" w:cs="Arial"/>
          <w:b/>
          <w:bCs/>
          <w:i/>
          <w:iCs/>
          <w:sz w:val="24"/>
          <w:szCs w:val="24"/>
        </w:rPr>
        <w:t>Common Law</w:t>
      </w:r>
    </w:p>
    <w:p w14:paraId="622BEF2D" w14:textId="56DF83D8" w:rsidR="003E15E5" w:rsidRPr="00265DBA" w:rsidRDefault="008F7489" w:rsidP="00FE7F78">
      <w:pPr>
        <w:pStyle w:val="Style1"/>
        <w:rPr>
          <w:rFonts w:ascii="Arial" w:hAnsi="Arial" w:cs="Arial"/>
          <w:sz w:val="24"/>
          <w:szCs w:val="24"/>
        </w:rPr>
      </w:pPr>
      <w:r>
        <w:rPr>
          <w:rFonts w:ascii="Arial" w:hAnsi="Arial" w:cs="Arial"/>
          <w:sz w:val="24"/>
          <w:szCs w:val="24"/>
        </w:rPr>
        <w:t xml:space="preserve">As a claim under statute succeeds, I do not need to </w:t>
      </w:r>
      <w:proofErr w:type="gramStart"/>
      <w:r>
        <w:rPr>
          <w:rFonts w:ascii="Arial" w:hAnsi="Arial" w:cs="Arial"/>
          <w:sz w:val="24"/>
          <w:szCs w:val="24"/>
        </w:rPr>
        <w:t>give consideration to</w:t>
      </w:r>
      <w:proofErr w:type="gramEnd"/>
      <w:r>
        <w:rPr>
          <w:rFonts w:ascii="Arial" w:hAnsi="Arial" w:cs="Arial"/>
          <w:sz w:val="24"/>
          <w:szCs w:val="24"/>
        </w:rPr>
        <w:t xml:space="preserve"> the evidence of common law i.e. where an inference that a way has been dedicated for public use where the actions of the landowners (or lack of action) indicate that </w:t>
      </w:r>
      <w:r w:rsidR="008258AF">
        <w:rPr>
          <w:rFonts w:ascii="Arial" w:hAnsi="Arial" w:cs="Arial"/>
          <w:sz w:val="24"/>
          <w:szCs w:val="24"/>
        </w:rPr>
        <w:t>they intended</w:t>
      </w:r>
      <w:r w:rsidR="006E05F0">
        <w:rPr>
          <w:rFonts w:ascii="Arial" w:hAnsi="Arial" w:cs="Arial"/>
          <w:sz w:val="24"/>
          <w:szCs w:val="24"/>
        </w:rPr>
        <w:t xml:space="preserve"> a way to be dedicated as a highway and where the public have accepted it. </w:t>
      </w:r>
    </w:p>
    <w:p w14:paraId="56DD51F2" w14:textId="07519533" w:rsidR="009C36BC" w:rsidRPr="00265DBA" w:rsidRDefault="009C36BC" w:rsidP="009C36BC">
      <w:pPr>
        <w:pStyle w:val="Heading6blackfont"/>
        <w:rPr>
          <w:rFonts w:ascii="Arial" w:hAnsi="Arial" w:cs="Arial"/>
          <w:sz w:val="24"/>
          <w:szCs w:val="24"/>
        </w:rPr>
      </w:pPr>
      <w:r w:rsidRPr="00265DBA">
        <w:rPr>
          <w:rFonts w:ascii="Arial" w:hAnsi="Arial" w:cs="Arial"/>
          <w:sz w:val="24"/>
          <w:szCs w:val="24"/>
        </w:rPr>
        <w:t>Conclusions</w:t>
      </w:r>
    </w:p>
    <w:p w14:paraId="7CE52BBF" w14:textId="1C198D22" w:rsidR="00646B29" w:rsidRPr="00265DBA" w:rsidRDefault="00646B29" w:rsidP="00646B29">
      <w:pPr>
        <w:pStyle w:val="Style1"/>
        <w:rPr>
          <w:rFonts w:ascii="Arial" w:hAnsi="Arial" w:cs="Arial"/>
          <w:sz w:val="24"/>
          <w:szCs w:val="24"/>
        </w:rPr>
      </w:pPr>
      <w:r w:rsidRPr="00265DBA">
        <w:rPr>
          <w:rFonts w:ascii="Arial" w:hAnsi="Arial" w:cs="Arial"/>
          <w:sz w:val="24"/>
          <w:szCs w:val="24"/>
        </w:rPr>
        <w:t>Having regard to these and all other matters raised in the written representations I conclude that the Order should be confirmed.</w:t>
      </w:r>
    </w:p>
    <w:p w14:paraId="524036AF" w14:textId="77777777" w:rsidR="009C36BC" w:rsidRPr="00265DBA" w:rsidRDefault="009C36BC" w:rsidP="009C36BC">
      <w:pPr>
        <w:pStyle w:val="Heading6blackfont"/>
        <w:rPr>
          <w:rFonts w:ascii="Arial" w:hAnsi="Arial" w:cs="Arial"/>
          <w:sz w:val="24"/>
          <w:szCs w:val="24"/>
        </w:rPr>
      </w:pPr>
      <w:bookmarkStart w:id="2" w:name="bmkScheduleStart"/>
      <w:bookmarkEnd w:id="2"/>
      <w:r w:rsidRPr="00265DBA">
        <w:rPr>
          <w:rFonts w:ascii="Arial" w:hAnsi="Arial" w:cs="Arial"/>
          <w:sz w:val="24"/>
          <w:szCs w:val="24"/>
        </w:rPr>
        <w:t>Formal Decision</w:t>
      </w:r>
    </w:p>
    <w:p w14:paraId="30889664" w14:textId="490851C1" w:rsidR="009C36BC" w:rsidRDefault="009C36BC" w:rsidP="009C36BC">
      <w:pPr>
        <w:pStyle w:val="Style1"/>
        <w:rPr>
          <w:rFonts w:ascii="Arial" w:hAnsi="Arial" w:cs="Arial"/>
          <w:sz w:val="24"/>
          <w:szCs w:val="24"/>
        </w:rPr>
      </w:pPr>
      <w:r w:rsidRPr="00265DBA">
        <w:rPr>
          <w:rFonts w:ascii="Arial" w:hAnsi="Arial" w:cs="Arial"/>
          <w:sz w:val="24"/>
          <w:szCs w:val="24"/>
        </w:rPr>
        <w:t>I confirm the Order</w:t>
      </w:r>
      <w:r w:rsidR="00B23ADF">
        <w:rPr>
          <w:rFonts w:ascii="Arial" w:hAnsi="Arial" w:cs="Arial"/>
          <w:sz w:val="24"/>
          <w:szCs w:val="24"/>
        </w:rPr>
        <w:t xml:space="preserve"> subject to</w:t>
      </w:r>
      <w:r w:rsidR="003F39F1">
        <w:rPr>
          <w:rFonts w:ascii="Arial" w:hAnsi="Arial" w:cs="Arial"/>
          <w:sz w:val="24"/>
          <w:szCs w:val="24"/>
        </w:rPr>
        <w:t xml:space="preserve"> the following modifications:</w:t>
      </w:r>
    </w:p>
    <w:p w14:paraId="14F0E356" w14:textId="3EA6F019" w:rsidR="003F39F1" w:rsidRPr="00265DBA" w:rsidRDefault="000C2029" w:rsidP="003F39F1">
      <w:pPr>
        <w:pStyle w:val="Style1"/>
        <w:numPr>
          <w:ilvl w:val="0"/>
          <w:numId w:val="25"/>
        </w:numPr>
        <w:rPr>
          <w:rFonts w:ascii="Arial" w:hAnsi="Arial" w:cs="Arial"/>
          <w:sz w:val="24"/>
          <w:szCs w:val="24"/>
        </w:rPr>
      </w:pPr>
      <w:r>
        <w:rPr>
          <w:rFonts w:ascii="Arial" w:hAnsi="Arial" w:cs="Arial"/>
          <w:sz w:val="24"/>
          <w:szCs w:val="24"/>
        </w:rPr>
        <w:t xml:space="preserve">Replace the </w:t>
      </w:r>
      <w:r w:rsidR="00CB3480">
        <w:rPr>
          <w:rFonts w:ascii="Arial" w:hAnsi="Arial" w:cs="Arial"/>
          <w:sz w:val="24"/>
          <w:szCs w:val="24"/>
        </w:rPr>
        <w:t xml:space="preserve">“a” in line one of the </w:t>
      </w:r>
      <w:proofErr w:type="gramStart"/>
      <w:r w:rsidR="00CB3480">
        <w:rPr>
          <w:rFonts w:ascii="Arial" w:hAnsi="Arial" w:cs="Arial"/>
          <w:sz w:val="24"/>
          <w:szCs w:val="24"/>
        </w:rPr>
        <w:t>description</w:t>
      </w:r>
      <w:proofErr w:type="gramEnd"/>
      <w:r w:rsidR="00CB3480">
        <w:rPr>
          <w:rFonts w:ascii="Arial" w:hAnsi="Arial" w:cs="Arial"/>
          <w:sz w:val="24"/>
          <w:szCs w:val="24"/>
        </w:rPr>
        <w:t xml:space="preserve"> of the Order with “b”.</w:t>
      </w:r>
    </w:p>
    <w:p w14:paraId="68354AF5" w14:textId="77777777" w:rsidR="008258AF" w:rsidRDefault="008258AF" w:rsidP="009C36BC">
      <w:pPr>
        <w:pStyle w:val="Style1"/>
        <w:numPr>
          <w:ilvl w:val="0"/>
          <w:numId w:val="0"/>
        </w:numPr>
        <w:rPr>
          <w:rFonts w:ascii="Monotype Corsiva" w:hAnsi="Monotype Corsiva"/>
          <w:sz w:val="36"/>
          <w:szCs w:val="36"/>
        </w:rPr>
      </w:pPr>
    </w:p>
    <w:p w14:paraId="2C0D8EE7" w14:textId="5F899708" w:rsidR="009C36BC" w:rsidRDefault="008258AF" w:rsidP="009C36BC">
      <w:pPr>
        <w:pStyle w:val="Style1"/>
        <w:numPr>
          <w:ilvl w:val="0"/>
          <w:numId w:val="0"/>
        </w:numPr>
        <w:rPr>
          <w:rFonts w:ascii="Monotype Corsiva" w:hAnsi="Monotype Corsiva"/>
          <w:sz w:val="36"/>
          <w:szCs w:val="36"/>
        </w:rPr>
      </w:pPr>
      <w:r>
        <w:rPr>
          <w:rFonts w:ascii="Monotype Corsiva" w:hAnsi="Monotype Corsiva"/>
          <w:sz w:val="36"/>
          <w:szCs w:val="36"/>
        </w:rPr>
        <w:t>Charlotte Ditchburn</w:t>
      </w:r>
    </w:p>
    <w:p w14:paraId="51AC25B4" w14:textId="4C2A741E" w:rsidR="009C36BC" w:rsidRDefault="009C36BC" w:rsidP="009C36BC">
      <w:pPr>
        <w:pStyle w:val="Style1"/>
        <w:numPr>
          <w:ilvl w:val="0"/>
          <w:numId w:val="0"/>
        </w:numPr>
        <w:ind w:left="431" w:hanging="431"/>
        <w:rPr>
          <w:rFonts w:ascii="Arial" w:hAnsi="Arial" w:cs="Arial"/>
          <w:sz w:val="24"/>
          <w:szCs w:val="24"/>
        </w:rPr>
      </w:pPr>
      <w:r w:rsidRPr="009C36BC">
        <w:rPr>
          <w:rFonts w:ascii="Arial" w:hAnsi="Arial" w:cs="Arial"/>
          <w:sz w:val="24"/>
          <w:szCs w:val="24"/>
        </w:rPr>
        <w:t>INSPECTOR</w:t>
      </w:r>
    </w:p>
    <w:p w14:paraId="7F230D7D" w14:textId="77777777" w:rsidR="00480373" w:rsidRDefault="00480373" w:rsidP="009C36BC">
      <w:pPr>
        <w:pStyle w:val="Style1"/>
        <w:numPr>
          <w:ilvl w:val="0"/>
          <w:numId w:val="0"/>
        </w:numPr>
        <w:ind w:left="431" w:hanging="431"/>
        <w:rPr>
          <w:rFonts w:ascii="Arial" w:hAnsi="Arial" w:cs="Arial"/>
          <w:sz w:val="24"/>
          <w:szCs w:val="24"/>
        </w:rPr>
      </w:pPr>
    </w:p>
    <w:p w14:paraId="10214D15" w14:textId="6896C6DD" w:rsidR="00480373" w:rsidRDefault="00480373">
      <w:pPr>
        <w:rPr>
          <w:rFonts w:ascii="Arial" w:hAnsi="Arial" w:cs="Arial"/>
          <w:color w:val="000000"/>
          <w:kern w:val="28"/>
          <w:sz w:val="24"/>
          <w:szCs w:val="24"/>
        </w:rPr>
      </w:pPr>
      <w:r>
        <w:rPr>
          <w:rFonts w:ascii="Arial" w:hAnsi="Arial" w:cs="Arial"/>
          <w:sz w:val="24"/>
          <w:szCs w:val="24"/>
        </w:rPr>
        <w:br w:type="page"/>
      </w:r>
    </w:p>
    <w:p w14:paraId="774266A3" w14:textId="6DDADFC4" w:rsidR="00480373" w:rsidRPr="00480373" w:rsidRDefault="00480373" w:rsidP="00480373">
      <w:pPr>
        <w:pStyle w:val="Style1"/>
        <w:rPr>
          <w:rFonts w:ascii="Arial" w:hAnsi="Arial" w:cs="Arial"/>
        </w:rPr>
      </w:pPr>
      <w:r>
        <w:rPr>
          <w:rFonts w:ascii="Arial" w:hAnsi="Arial" w:cs="Arial"/>
          <w:sz w:val="24"/>
          <w:szCs w:val="24"/>
        </w:rPr>
        <w:lastRenderedPageBreak/>
        <w:t xml:space="preserve">  </w:t>
      </w:r>
      <w:r w:rsidRPr="00480373">
        <w:rPr>
          <w:rFonts w:ascii="Arial" w:hAnsi="Arial" w:cs="Arial"/>
        </w:rPr>
        <w:drawing>
          <wp:inline distT="0" distB="0" distL="0" distR="0" wp14:anchorId="1C189CC1" wp14:editId="6D9F55EA">
            <wp:extent cx="5908040" cy="4175760"/>
            <wp:effectExtent l="889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5908040" cy="4175760"/>
                    </a:xfrm>
                    <a:prstGeom prst="rect">
                      <a:avLst/>
                    </a:prstGeom>
                    <a:noFill/>
                    <a:ln>
                      <a:noFill/>
                    </a:ln>
                  </pic:spPr>
                </pic:pic>
              </a:graphicData>
            </a:graphic>
          </wp:inline>
        </w:drawing>
      </w:r>
    </w:p>
    <w:p w14:paraId="7B57FAE0" w14:textId="496862D7" w:rsidR="00480373" w:rsidRPr="009C36BC" w:rsidRDefault="00480373" w:rsidP="009C36BC">
      <w:pPr>
        <w:pStyle w:val="Style1"/>
        <w:numPr>
          <w:ilvl w:val="0"/>
          <w:numId w:val="0"/>
        </w:numPr>
        <w:ind w:left="431" w:hanging="431"/>
        <w:rPr>
          <w:rFonts w:ascii="Arial" w:hAnsi="Arial" w:cs="Arial"/>
          <w:sz w:val="24"/>
          <w:szCs w:val="24"/>
        </w:rPr>
      </w:pPr>
    </w:p>
    <w:p w14:paraId="5370EF00" w14:textId="5B7C9A86" w:rsidR="00355FCC" w:rsidRPr="009C36BC" w:rsidRDefault="00355FCC" w:rsidP="009C36BC">
      <w:pPr>
        <w:pStyle w:val="Noindent"/>
      </w:pPr>
    </w:p>
    <w:sectPr w:rsidR="00355FCC" w:rsidRPr="009C36BC"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EDFB" w14:textId="77777777" w:rsidR="003C5688" w:rsidRDefault="003C5688" w:rsidP="00F62916">
      <w:r>
        <w:separator/>
      </w:r>
    </w:p>
  </w:endnote>
  <w:endnote w:type="continuationSeparator" w:id="0">
    <w:p w14:paraId="02FA44F4" w14:textId="77777777" w:rsidR="003C5688" w:rsidRDefault="003C5688" w:rsidP="00F62916">
      <w:r>
        <w:continuationSeparator/>
      </w:r>
    </w:p>
  </w:endnote>
  <w:endnote w:type="continuationNotice" w:id="1">
    <w:p w14:paraId="23AB3E19" w14:textId="77777777" w:rsidR="003C5688" w:rsidRDefault="003C5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1B5"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25BE2"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AC8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646A679A" wp14:editId="61157B06">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ED5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3AE08FE" w14:textId="77777777" w:rsidR="00366F95" w:rsidRPr="00E45340" w:rsidRDefault="003815AC"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BA1D" w14:textId="77777777" w:rsidR="00366F95" w:rsidRDefault="00366F95" w:rsidP="009C36BC">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01D8D98" wp14:editId="58CDAFB9">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B54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CA3C700" w14:textId="77777777" w:rsidR="00366F95" w:rsidRPr="00451EE4" w:rsidRDefault="003815AC">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3A69" w14:textId="77777777" w:rsidR="003C5688" w:rsidRDefault="003C5688" w:rsidP="00F62916">
      <w:r>
        <w:separator/>
      </w:r>
    </w:p>
  </w:footnote>
  <w:footnote w:type="continuationSeparator" w:id="0">
    <w:p w14:paraId="109D720D" w14:textId="77777777" w:rsidR="003C5688" w:rsidRDefault="003C5688" w:rsidP="00F62916">
      <w:r>
        <w:continuationSeparator/>
      </w:r>
    </w:p>
  </w:footnote>
  <w:footnote w:type="continuationNotice" w:id="1">
    <w:p w14:paraId="767F3BE8" w14:textId="77777777" w:rsidR="003C5688" w:rsidRDefault="003C5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6D848BEB" w14:textId="77777777">
      <w:tc>
        <w:tcPr>
          <w:tcW w:w="9520" w:type="dxa"/>
        </w:tcPr>
        <w:p w14:paraId="2C9BBBE8" w14:textId="24DBF6E4" w:rsidR="00366F95" w:rsidRPr="00166502" w:rsidRDefault="009C36BC">
          <w:pPr>
            <w:pStyle w:val="Footer"/>
            <w:rPr>
              <w:rFonts w:ascii="Arial" w:hAnsi="Arial" w:cs="Arial"/>
              <w:sz w:val="20"/>
            </w:rPr>
          </w:pPr>
          <w:r w:rsidRPr="00166502">
            <w:rPr>
              <w:rFonts w:ascii="Arial" w:hAnsi="Arial" w:cs="Arial"/>
              <w:sz w:val="20"/>
            </w:rPr>
            <w:t xml:space="preserve">Order Decision </w:t>
          </w:r>
          <w:r w:rsidR="00166502" w:rsidRPr="00166502">
            <w:rPr>
              <w:rFonts w:ascii="Arial" w:hAnsi="Arial" w:cs="Arial"/>
              <w:sz w:val="20"/>
            </w:rPr>
            <w:t>ROW</w:t>
          </w:r>
          <w:r w:rsidRPr="00166502">
            <w:rPr>
              <w:rFonts w:ascii="Arial" w:hAnsi="Arial" w:cs="Arial"/>
              <w:sz w:val="20"/>
            </w:rPr>
            <w:t>/</w:t>
          </w:r>
          <w:r w:rsidR="003F57DC">
            <w:rPr>
              <w:rFonts w:ascii="Arial" w:hAnsi="Arial" w:cs="Arial"/>
              <w:sz w:val="20"/>
            </w:rPr>
            <w:t>3318181</w:t>
          </w:r>
        </w:p>
      </w:tc>
    </w:tr>
  </w:tbl>
  <w:p w14:paraId="10F8B202" w14:textId="77777777" w:rsidR="00366F95" w:rsidRDefault="00366F95" w:rsidP="00087477">
    <w:pPr>
      <w:pStyle w:val="Footer"/>
      <w:spacing w:after="180"/>
    </w:pPr>
    <w:r>
      <w:rPr>
        <w:noProof/>
      </w:rPr>
      <mc:AlternateContent>
        <mc:Choice Requires="wps">
          <w:drawing>
            <wp:anchor distT="0" distB="0" distL="114300" distR="114300" simplePos="0" relativeHeight="251658242" behindDoc="0" locked="0" layoutInCell="1" allowOverlap="1" wp14:anchorId="255A0893" wp14:editId="0A07B2FE">
              <wp:simplePos x="0" y="0"/>
              <wp:positionH relativeFrom="column">
                <wp:posOffset>0</wp:posOffset>
              </wp:positionH>
              <wp:positionV relativeFrom="paragraph">
                <wp:posOffset>114300</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0EA6" id="Straight Connector 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F6C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0FC539DC"/>
    <w:multiLevelType w:val="hybridMultilevel"/>
    <w:tmpl w:val="F8C0616A"/>
    <w:lvl w:ilvl="0" w:tplc="08090001">
      <w:start w:val="1"/>
      <w:numFmt w:val="bullet"/>
      <w:lvlText w:val=""/>
      <w:lvlJc w:val="left"/>
      <w:pPr>
        <w:ind w:left="255" w:hanging="360"/>
      </w:pPr>
      <w:rPr>
        <w:rFonts w:ascii="Symbol" w:hAnsi="Symbol"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7AF2FA5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2246FA"/>
    <w:multiLevelType w:val="hybridMultilevel"/>
    <w:tmpl w:val="3292835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6192363">
    <w:abstractNumId w:val="19"/>
  </w:num>
  <w:num w:numId="2" w16cid:durableId="106587993">
    <w:abstractNumId w:val="19"/>
  </w:num>
  <w:num w:numId="3" w16cid:durableId="739134184">
    <w:abstractNumId w:val="21"/>
  </w:num>
  <w:num w:numId="4" w16cid:durableId="2101099719">
    <w:abstractNumId w:val="0"/>
  </w:num>
  <w:num w:numId="5" w16cid:durableId="2033914262">
    <w:abstractNumId w:val="9"/>
  </w:num>
  <w:num w:numId="6" w16cid:durableId="2080209955">
    <w:abstractNumId w:val="18"/>
  </w:num>
  <w:num w:numId="7" w16cid:durableId="1206526138">
    <w:abstractNumId w:val="22"/>
  </w:num>
  <w:num w:numId="8" w16cid:durableId="1513690930">
    <w:abstractNumId w:val="17"/>
  </w:num>
  <w:num w:numId="9" w16cid:durableId="98842746">
    <w:abstractNumId w:val="4"/>
  </w:num>
  <w:num w:numId="10" w16cid:durableId="1673752176">
    <w:abstractNumId w:val="5"/>
  </w:num>
  <w:num w:numId="11" w16cid:durableId="287976854">
    <w:abstractNumId w:val="13"/>
  </w:num>
  <w:num w:numId="12" w16cid:durableId="40328497">
    <w:abstractNumId w:val="14"/>
  </w:num>
  <w:num w:numId="13" w16cid:durableId="1781877839">
    <w:abstractNumId w:val="8"/>
  </w:num>
  <w:num w:numId="14" w16cid:durableId="636838888">
    <w:abstractNumId w:val="12"/>
  </w:num>
  <w:num w:numId="15" w16cid:durableId="949896181">
    <w:abstractNumId w:val="15"/>
  </w:num>
  <w:num w:numId="16" w16cid:durableId="359430039">
    <w:abstractNumId w:val="1"/>
  </w:num>
  <w:num w:numId="17" w16cid:durableId="981538561">
    <w:abstractNumId w:val="16"/>
  </w:num>
  <w:num w:numId="18" w16cid:durableId="927420121">
    <w:abstractNumId w:val="6"/>
  </w:num>
  <w:num w:numId="19" w16cid:durableId="521404460">
    <w:abstractNumId w:val="3"/>
  </w:num>
  <w:num w:numId="20" w16cid:durableId="498348241">
    <w:abstractNumId w:val="7"/>
  </w:num>
  <w:num w:numId="21" w16cid:durableId="1134984906">
    <w:abstractNumId w:val="10"/>
  </w:num>
  <w:num w:numId="22" w16cid:durableId="448162108">
    <w:abstractNumId w:val="10"/>
    <w:lvlOverride w:ilvl="0">
      <w:lvl w:ilvl="0">
        <w:start w:val="1"/>
        <w:numFmt w:val="decimal"/>
        <w:pStyle w:val="Style1"/>
        <w:lvlText w:val="%1."/>
        <w:lvlJc w:val="left"/>
        <w:pPr>
          <w:tabs>
            <w:tab w:val="num" w:pos="720"/>
          </w:tabs>
          <w:ind w:left="431" w:hanging="431"/>
        </w:pPr>
        <w:rPr>
          <w:rFonts w:ascii="Arial" w:hAnsi="Arial" w:cs="Arial" w:hint="default"/>
          <w:sz w:val="24"/>
          <w:szCs w:val="24"/>
        </w:rPr>
      </w:lvl>
    </w:lvlOverride>
  </w:num>
  <w:num w:numId="23" w16cid:durableId="355817684">
    <w:abstractNumId w:val="20"/>
  </w:num>
  <w:num w:numId="24" w16cid:durableId="403643100">
    <w:abstractNumId w:val="2"/>
  </w:num>
  <w:num w:numId="25" w16cid:durableId="5190101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9C36BC"/>
    <w:rsid w:val="0000335F"/>
    <w:rsid w:val="00024500"/>
    <w:rsid w:val="000247B2"/>
    <w:rsid w:val="00030821"/>
    <w:rsid w:val="00032144"/>
    <w:rsid w:val="00042185"/>
    <w:rsid w:val="00046145"/>
    <w:rsid w:val="0004625F"/>
    <w:rsid w:val="000471EA"/>
    <w:rsid w:val="00053135"/>
    <w:rsid w:val="000544B2"/>
    <w:rsid w:val="00072A76"/>
    <w:rsid w:val="00077358"/>
    <w:rsid w:val="00081711"/>
    <w:rsid w:val="00087477"/>
    <w:rsid w:val="00087DEC"/>
    <w:rsid w:val="00094A44"/>
    <w:rsid w:val="00094AAC"/>
    <w:rsid w:val="000A4AEB"/>
    <w:rsid w:val="000A64AE"/>
    <w:rsid w:val="000B02BC"/>
    <w:rsid w:val="000B0589"/>
    <w:rsid w:val="000C12EB"/>
    <w:rsid w:val="000C2029"/>
    <w:rsid w:val="000C3F13"/>
    <w:rsid w:val="000C5098"/>
    <w:rsid w:val="000C698E"/>
    <w:rsid w:val="000D0673"/>
    <w:rsid w:val="000D51D7"/>
    <w:rsid w:val="000E57C1"/>
    <w:rsid w:val="000F16F4"/>
    <w:rsid w:val="000F6EC2"/>
    <w:rsid w:val="001000CB"/>
    <w:rsid w:val="00104669"/>
    <w:rsid w:val="00104D93"/>
    <w:rsid w:val="00140160"/>
    <w:rsid w:val="001440C3"/>
    <w:rsid w:val="001478C3"/>
    <w:rsid w:val="00152421"/>
    <w:rsid w:val="00152C92"/>
    <w:rsid w:val="001535A5"/>
    <w:rsid w:val="00161B5C"/>
    <w:rsid w:val="00165AE8"/>
    <w:rsid w:val="00166502"/>
    <w:rsid w:val="00197B5B"/>
    <w:rsid w:val="001B11E3"/>
    <w:rsid w:val="001B37BF"/>
    <w:rsid w:val="001D0A61"/>
    <w:rsid w:val="001D2EEB"/>
    <w:rsid w:val="001D5102"/>
    <w:rsid w:val="001F03FC"/>
    <w:rsid w:val="001F5990"/>
    <w:rsid w:val="00207816"/>
    <w:rsid w:val="00212C8F"/>
    <w:rsid w:val="00225D09"/>
    <w:rsid w:val="00242A5E"/>
    <w:rsid w:val="00245889"/>
    <w:rsid w:val="0025356E"/>
    <w:rsid w:val="002602BA"/>
    <w:rsid w:val="00262857"/>
    <w:rsid w:val="00265DBA"/>
    <w:rsid w:val="002819AB"/>
    <w:rsid w:val="002958D9"/>
    <w:rsid w:val="00295E60"/>
    <w:rsid w:val="002A13F0"/>
    <w:rsid w:val="002B5A3A"/>
    <w:rsid w:val="002C068A"/>
    <w:rsid w:val="002C2524"/>
    <w:rsid w:val="002D5A7C"/>
    <w:rsid w:val="002F0B5F"/>
    <w:rsid w:val="002F180C"/>
    <w:rsid w:val="00303CA5"/>
    <w:rsid w:val="0030500E"/>
    <w:rsid w:val="003206FD"/>
    <w:rsid w:val="00343A1F"/>
    <w:rsid w:val="00344294"/>
    <w:rsid w:val="00344CD1"/>
    <w:rsid w:val="00345388"/>
    <w:rsid w:val="00350A15"/>
    <w:rsid w:val="00355FCC"/>
    <w:rsid w:val="00356996"/>
    <w:rsid w:val="0036033D"/>
    <w:rsid w:val="00360664"/>
    <w:rsid w:val="00361890"/>
    <w:rsid w:val="00364E17"/>
    <w:rsid w:val="00366F95"/>
    <w:rsid w:val="003753FE"/>
    <w:rsid w:val="003941CF"/>
    <w:rsid w:val="003A2D87"/>
    <w:rsid w:val="003A5617"/>
    <w:rsid w:val="003B2FE6"/>
    <w:rsid w:val="003C5688"/>
    <w:rsid w:val="003C6D1C"/>
    <w:rsid w:val="003D1D4A"/>
    <w:rsid w:val="003D3715"/>
    <w:rsid w:val="003D460F"/>
    <w:rsid w:val="003E15E5"/>
    <w:rsid w:val="003E54CC"/>
    <w:rsid w:val="003E5B5D"/>
    <w:rsid w:val="003F1DDB"/>
    <w:rsid w:val="003F3533"/>
    <w:rsid w:val="003F39F1"/>
    <w:rsid w:val="003F57DC"/>
    <w:rsid w:val="003F7DFB"/>
    <w:rsid w:val="004029F3"/>
    <w:rsid w:val="004156F0"/>
    <w:rsid w:val="00434739"/>
    <w:rsid w:val="004474DE"/>
    <w:rsid w:val="00451EE4"/>
    <w:rsid w:val="004522C1"/>
    <w:rsid w:val="00453E15"/>
    <w:rsid w:val="0047718B"/>
    <w:rsid w:val="00480373"/>
    <w:rsid w:val="0048041A"/>
    <w:rsid w:val="004822BC"/>
    <w:rsid w:val="00483D15"/>
    <w:rsid w:val="00486A37"/>
    <w:rsid w:val="00493D6D"/>
    <w:rsid w:val="00494523"/>
    <w:rsid w:val="004976CF"/>
    <w:rsid w:val="004A2EB8"/>
    <w:rsid w:val="004B64A0"/>
    <w:rsid w:val="004B7E41"/>
    <w:rsid w:val="004C07CB"/>
    <w:rsid w:val="004D78CC"/>
    <w:rsid w:val="004E04E0"/>
    <w:rsid w:val="004E17CB"/>
    <w:rsid w:val="004E6091"/>
    <w:rsid w:val="004F274A"/>
    <w:rsid w:val="00506851"/>
    <w:rsid w:val="00517039"/>
    <w:rsid w:val="0052347F"/>
    <w:rsid w:val="00523706"/>
    <w:rsid w:val="00541734"/>
    <w:rsid w:val="00542B4C"/>
    <w:rsid w:val="00561E69"/>
    <w:rsid w:val="0056634F"/>
    <w:rsid w:val="0057098A"/>
    <w:rsid w:val="005718AF"/>
    <w:rsid w:val="00571FD4"/>
    <w:rsid w:val="00572879"/>
    <w:rsid w:val="0057471E"/>
    <w:rsid w:val="0057782A"/>
    <w:rsid w:val="00580EF9"/>
    <w:rsid w:val="00591235"/>
    <w:rsid w:val="0059290E"/>
    <w:rsid w:val="005949D0"/>
    <w:rsid w:val="00596988"/>
    <w:rsid w:val="005A0799"/>
    <w:rsid w:val="005A3A64"/>
    <w:rsid w:val="005A4E81"/>
    <w:rsid w:val="005A6253"/>
    <w:rsid w:val="005A65C1"/>
    <w:rsid w:val="005B1012"/>
    <w:rsid w:val="005D739E"/>
    <w:rsid w:val="005E34E1"/>
    <w:rsid w:val="005E34FF"/>
    <w:rsid w:val="005E3542"/>
    <w:rsid w:val="005E52F9"/>
    <w:rsid w:val="005F1261"/>
    <w:rsid w:val="00602315"/>
    <w:rsid w:val="006052EF"/>
    <w:rsid w:val="00607A44"/>
    <w:rsid w:val="006127F0"/>
    <w:rsid w:val="00614E46"/>
    <w:rsid w:val="00615462"/>
    <w:rsid w:val="006162EA"/>
    <w:rsid w:val="00621F6C"/>
    <w:rsid w:val="006228D7"/>
    <w:rsid w:val="00624606"/>
    <w:rsid w:val="006319E6"/>
    <w:rsid w:val="0063373D"/>
    <w:rsid w:val="006364CD"/>
    <w:rsid w:val="00646B29"/>
    <w:rsid w:val="0065719B"/>
    <w:rsid w:val="0066322F"/>
    <w:rsid w:val="00681108"/>
    <w:rsid w:val="00683417"/>
    <w:rsid w:val="00685A46"/>
    <w:rsid w:val="0069559D"/>
    <w:rsid w:val="00696368"/>
    <w:rsid w:val="006A4D34"/>
    <w:rsid w:val="006A5BB3"/>
    <w:rsid w:val="006A7B8B"/>
    <w:rsid w:val="006C0FD4"/>
    <w:rsid w:val="006C4C25"/>
    <w:rsid w:val="006C6D1A"/>
    <w:rsid w:val="006D2842"/>
    <w:rsid w:val="006D5133"/>
    <w:rsid w:val="006E05F0"/>
    <w:rsid w:val="006E5D27"/>
    <w:rsid w:val="006F16D9"/>
    <w:rsid w:val="006F6496"/>
    <w:rsid w:val="00704126"/>
    <w:rsid w:val="00705C2F"/>
    <w:rsid w:val="0071604A"/>
    <w:rsid w:val="00726294"/>
    <w:rsid w:val="007508F3"/>
    <w:rsid w:val="00757D4E"/>
    <w:rsid w:val="0078524F"/>
    <w:rsid w:val="00785862"/>
    <w:rsid w:val="007864F4"/>
    <w:rsid w:val="007A0537"/>
    <w:rsid w:val="007A06BE"/>
    <w:rsid w:val="007B4C9B"/>
    <w:rsid w:val="007C1DBC"/>
    <w:rsid w:val="007C2046"/>
    <w:rsid w:val="007D65B4"/>
    <w:rsid w:val="007F1352"/>
    <w:rsid w:val="007F3F10"/>
    <w:rsid w:val="007F58F4"/>
    <w:rsid w:val="007F59EB"/>
    <w:rsid w:val="00806F2A"/>
    <w:rsid w:val="008078BF"/>
    <w:rsid w:val="008232B3"/>
    <w:rsid w:val="008258AF"/>
    <w:rsid w:val="00827937"/>
    <w:rsid w:val="00834368"/>
    <w:rsid w:val="00834D00"/>
    <w:rsid w:val="008411A4"/>
    <w:rsid w:val="0086647E"/>
    <w:rsid w:val="00882B66"/>
    <w:rsid w:val="008A03E3"/>
    <w:rsid w:val="008B3196"/>
    <w:rsid w:val="008C58E0"/>
    <w:rsid w:val="008C6FA3"/>
    <w:rsid w:val="008D2AA2"/>
    <w:rsid w:val="008E359C"/>
    <w:rsid w:val="008F7489"/>
    <w:rsid w:val="00901334"/>
    <w:rsid w:val="009124CE"/>
    <w:rsid w:val="00912954"/>
    <w:rsid w:val="00921D62"/>
    <w:rsid w:val="00921F34"/>
    <w:rsid w:val="0092304C"/>
    <w:rsid w:val="00923F06"/>
    <w:rsid w:val="0092562E"/>
    <w:rsid w:val="00937D78"/>
    <w:rsid w:val="00960B10"/>
    <w:rsid w:val="00983106"/>
    <w:rsid w:val="009841DA"/>
    <w:rsid w:val="00986627"/>
    <w:rsid w:val="00994A8E"/>
    <w:rsid w:val="009A70CD"/>
    <w:rsid w:val="009B3075"/>
    <w:rsid w:val="009B72ED"/>
    <w:rsid w:val="009B7BD4"/>
    <w:rsid w:val="009B7F3F"/>
    <w:rsid w:val="009C1BA7"/>
    <w:rsid w:val="009C36BC"/>
    <w:rsid w:val="009E1447"/>
    <w:rsid w:val="009E179D"/>
    <w:rsid w:val="009E3C69"/>
    <w:rsid w:val="009E4076"/>
    <w:rsid w:val="009E5D90"/>
    <w:rsid w:val="009E6FB7"/>
    <w:rsid w:val="00A00FCD"/>
    <w:rsid w:val="00A01135"/>
    <w:rsid w:val="00A101CD"/>
    <w:rsid w:val="00A23FC7"/>
    <w:rsid w:val="00A418A7"/>
    <w:rsid w:val="00A5760C"/>
    <w:rsid w:val="00A60DB3"/>
    <w:rsid w:val="00A809B3"/>
    <w:rsid w:val="00A83795"/>
    <w:rsid w:val="00AB01E3"/>
    <w:rsid w:val="00AD0E39"/>
    <w:rsid w:val="00AD2F56"/>
    <w:rsid w:val="00AE2FAA"/>
    <w:rsid w:val="00AE3B2A"/>
    <w:rsid w:val="00B049F2"/>
    <w:rsid w:val="00B05639"/>
    <w:rsid w:val="00B12319"/>
    <w:rsid w:val="00B23ADF"/>
    <w:rsid w:val="00B277F6"/>
    <w:rsid w:val="00B27F48"/>
    <w:rsid w:val="00B32324"/>
    <w:rsid w:val="00B345C9"/>
    <w:rsid w:val="00B51B8C"/>
    <w:rsid w:val="00B51D9F"/>
    <w:rsid w:val="00B56990"/>
    <w:rsid w:val="00B61A59"/>
    <w:rsid w:val="00B7142C"/>
    <w:rsid w:val="00BA6208"/>
    <w:rsid w:val="00BC0524"/>
    <w:rsid w:val="00BC2702"/>
    <w:rsid w:val="00BD09CD"/>
    <w:rsid w:val="00BE6377"/>
    <w:rsid w:val="00BF34D7"/>
    <w:rsid w:val="00C00E8A"/>
    <w:rsid w:val="00C04C6E"/>
    <w:rsid w:val="00C064BE"/>
    <w:rsid w:val="00C0688F"/>
    <w:rsid w:val="00C11BD0"/>
    <w:rsid w:val="00C274BD"/>
    <w:rsid w:val="00C329CE"/>
    <w:rsid w:val="00C32CD1"/>
    <w:rsid w:val="00C36797"/>
    <w:rsid w:val="00C40EA6"/>
    <w:rsid w:val="00C57B84"/>
    <w:rsid w:val="00C63EFB"/>
    <w:rsid w:val="00C659EE"/>
    <w:rsid w:val="00C74873"/>
    <w:rsid w:val="00C74CC0"/>
    <w:rsid w:val="00C8343C"/>
    <w:rsid w:val="00C857CB"/>
    <w:rsid w:val="00C8740F"/>
    <w:rsid w:val="00C915A8"/>
    <w:rsid w:val="00CB3480"/>
    <w:rsid w:val="00CC50AC"/>
    <w:rsid w:val="00CE21C0"/>
    <w:rsid w:val="00CE268E"/>
    <w:rsid w:val="00CE7FB1"/>
    <w:rsid w:val="00D01132"/>
    <w:rsid w:val="00D02B48"/>
    <w:rsid w:val="00D1120A"/>
    <w:rsid w:val="00D125BE"/>
    <w:rsid w:val="00D1410D"/>
    <w:rsid w:val="00D31FA1"/>
    <w:rsid w:val="00D354A3"/>
    <w:rsid w:val="00D423EB"/>
    <w:rsid w:val="00D555DA"/>
    <w:rsid w:val="00D5727F"/>
    <w:rsid w:val="00D623C9"/>
    <w:rsid w:val="00D71A86"/>
    <w:rsid w:val="00DB1128"/>
    <w:rsid w:val="00DB7937"/>
    <w:rsid w:val="00DB7FE2"/>
    <w:rsid w:val="00DD0F21"/>
    <w:rsid w:val="00DD262D"/>
    <w:rsid w:val="00DD4723"/>
    <w:rsid w:val="00DE265F"/>
    <w:rsid w:val="00E11244"/>
    <w:rsid w:val="00E15353"/>
    <w:rsid w:val="00E164C3"/>
    <w:rsid w:val="00E16CAE"/>
    <w:rsid w:val="00E45340"/>
    <w:rsid w:val="00E474EB"/>
    <w:rsid w:val="00E515DB"/>
    <w:rsid w:val="00E54F7C"/>
    <w:rsid w:val="00E55A9C"/>
    <w:rsid w:val="00E674DD"/>
    <w:rsid w:val="00E67B22"/>
    <w:rsid w:val="00E67B24"/>
    <w:rsid w:val="00E768BF"/>
    <w:rsid w:val="00E81323"/>
    <w:rsid w:val="00E84C9D"/>
    <w:rsid w:val="00E85E3D"/>
    <w:rsid w:val="00E96EB4"/>
    <w:rsid w:val="00E974ED"/>
    <w:rsid w:val="00EA406E"/>
    <w:rsid w:val="00EA43AC"/>
    <w:rsid w:val="00EA52D3"/>
    <w:rsid w:val="00EA73CE"/>
    <w:rsid w:val="00EA7C77"/>
    <w:rsid w:val="00EB007D"/>
    <w:rsid w:val="00EB2329"/>
    <w:rsid w:val="00EC3D3C"/>
    <w:rsid w:val="00EC7117"/>
    <w:rsid w:val="00ED043A"/>
    <w:rsid w:val="00ED20C1"/>
    <w:rsid w:val="00ED3727"/>
    <w:rsid w:val="00ED3DDF"/>
    <w:rsid w:val="00ED3FF4"/>
    <w:rsid w:val="00ED50F4"/>
    <w:rsid w:val="00EE1C1A"/>
    <w:rsid w:val="00EE2613"/>
    <w:rsid w:val="00EE33DA"/>
    <w:rsid w:val="00EE550A"/>
    <w:rsid w:val="00EF1E98"/>
    <w:rsid w:val="00EF5820"/>
    <w:rsid w:val="00EF6F49"/>
    <w:rsid w:val="00F1025A"/>
    <w:rsid w:val="00F154C5"/>
    <w:rsid w:val="00F2297F"/>
    <w:rsid w:val="00F35EDC"/>
    <w:rsid w:val="00F36906"/>
    <w:rsid w:val="00F408AF"/>
    <w:rsid w:val="00F62916"/>
    <w:rsid w:val="00F63D9A"/>
    <w:rsid w:val="00F659A3"/>
    <w:rsid w:val="00F7417F"/>
    <w:rsid w:val="00FA02D2"/>
    <w:rsid w:val="00FA668A"/>
    <w:rsid w:val="00FB743C"/>
    <w:rsid w:val="00FC6E8D"/>
    <w:rsid w:val="00FD307B"/>
    <w:rsid w:val="00FD6B92"/>
    <w:rsid w:val="00FE2F99"/>
    <w:rsid w:val="00FE3A1E"/>
    <w:rsid w:val="00FE68E4"/>
    <w:rsid w:val="00FE7F78"/>
    <w:rsid w:val="00FF34A3"/>
    <w:rsid w:val="00FF7763"/>
    <w:rsid w:val="343DA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B216E"/>
  <w15:docId w15:val="{6D16D0AC-BD29-47A3-B834-64EA846E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Revision">
    <w:name w:val="Revision"/>
    <w:hidden/>
    <w:uiPriority w:val="99"/>
    <w:semiHidden/>
    <w:rsid w:val="002602BA"/>
    <w:rPr>
      <w:rFonts w:ascii="Verdana" w:hAnsi="Verdana"/>
      <w:sz w:val="22"/>
    </w:rPr>
  </w:style>
  <w:style w:type="paragraph" w:styleId="NormalWeb">
    <w:name w:val="Normal (Web)"/>
    <w:basedOn w:val="Normal"/>
    <w:semiHidden/>
    <w:unhideWhenUsed/>
    <w:rsid w:val="0048037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46225">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1a6d4e-846b-4045-8024-24f3590889ec">
      <Terms xmlns="http://schemas.microsoft.com/office/infopath/2007/PartnerControls"/>
    </lcf76f155ced4ddcb4097134ff3c332f>
    <TaxCatchAll xmlns="9a4cad7d-cde0-4c4b-9900-a6ca365b2969" xsi:nil="true"/>
    <NUMBER xmlns="171a6d4e-846b-4045-8024-24f3590889e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BAE78-EC2C-4E59-937A-CCEF5D8E5A1D}">
  <ds:schemaRefs>
    <ds:schemaRef ds:uri="http://schemas.microsoft.com/sharepoint/v3/contenttype/forms"/>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9C26128-0A32-4901-B4BA-471E73ADE367}">
  <ds:schemaRefs>
    <ds:schemaRef ds:uri="http://schemas.microsoft.com/office/2006/documentManagement/types"/>
    <ds:schemaRef ds:uri="http://schemas.microsoft.com/office/2006/metadata/properties"/>
    <ds:schemaRef ds:uri="http://purl.org/dc/elements/1.1/"/>
    <ds:schemaRef ds:uri="171a6d4e-846b-4045-8024-24f3590889ec"/>
    <ds:schemaRef ds:uri="http://schemas.openxmlformats.org/package/2006/metadata/core-properties"/>
    <ds:schemaRef ds:uri="http://purl.org/dc/terms/"/>
    <ds:schemaRef ds:uri="http://schemas.microsoft.com/office/infopath/2007/PartnerControls"/>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A78DF452-3E29-4E38-A215-B4142AF4A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5</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Ditchburn, Charlotte</dc:creator>
  <cp:lastModifiedBy>Baylis, Caroline</cp:lastModifiedBy>
  <cp:revision>2</cp:revision>
  <cp:lastPrinted>2024-07-17T14:28:00Z</cp:lastPrinted>
  <dcterms:created xsi:type="dcterms:W3CDTF">2024-08-15T14:54:00Z</dcterms:created>
  <dcterms:modified xsi:type="dcterms:W3CDTF">2024-08-15T14:54:00Z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MediaServiceImageTags">
    <vt:lpwstr/>
  </property>
</Properties>
</file>