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5" w:type="dxa"/>
        <w:tblInd w:w="19" w:type="dxa"/>
        <w:tblLayout w:type="fixed"/>
        <w:tblCellMar>
          <w:left w:w="10" w:type="dxa"/>
          <w:right w:w="10" w:type="dxa"/>
        </w:tblCellMar>
        <w:tblLook w:val="04A0" w:firstRow="1" w:lastRow="0" w:firstColumn="1" w:lastColumn="0" w:noHBand="0" w:noVBand="1"/>
      </w:tblPr>
      <w:tblGrid>
        <w:gridCol w:w="3989"/>
        <w:gridCol w:w="2864"/>
        <w:gridCol w:w="2862"/>
      </w:tblGrid>
      <w:tr w:rsidR="00593114" w14:paraId="72345E8E" w14:textId="77777777" w:rsidTr="00556576">
        <w:trPr>
          <w:trHeight w:hRule="exact" w:val="551"/>
        </w:trPr>
        <w:tc>
          <w:tcPr>
            <w:tcW w:w="3989" w:type="dxa"/>
            <w:shd w:val="clear" w:color="auto" w:fill="auto"/>
            <w:tcMar>
              <w:top w:w="0" w:type="dxa"/>
              <w:left w:w="0" w:type="dxa"/>
              <w:bottom w:w="0" w:type="dxa"/>
              <w:right w:w="0" w:type="dxa"/>
            </w:tcMar>
          </w:tcPr>
          <w:p w14:paraId="40A4ED5F" w14:textId="77777777" w:rsidR="00593114" w:rsidRDefault="00593114">
            <w:pPr>
              <w:pStyle w:val="Textbody"/>
              <w:snapToGrid w:val="0"/>
              <w:rPr>
                <w:lang w:val="en-GB"/>
              </w:rPr>
            </w:pPr>
          </w:p>
        </w:tc>
        <w:tc>
          <w:tcPr>
            <w:tcW w:w="2864" w:type="dxa"/>
            <w:shd w:val="clear" w:color="auto" w:fill="auto"/>
            <w:tcMar>
              <w:top w:w="0" w:type="dxa"/>
              <w:left w:w="0" w:type="dxa"/>
              <w:bottom w:w="0" w:type="dxa"/>
              <w:right w:w="0" w:type="dxa"/>
            </w:tcMar>
          </w:tcPr>
          <w:p w14:paraId="123334D3" w14:textId="77777777" w:rsidR="00593114" w:rsidRDefault="00593114">
            <w:pPr>
              <w:pStyle w:val="BodyText2"/>
              <w:snapToGrid w:val="0"/>
              <w:spacing w:line="240" w:lineRule="auto"/>
              <w:ind w:left="34"/>
              <w:rPr>
                <w:rFonts w:ascii="Arial" w:hAnsi="Arial" w:cs="Arial"/>
                <w:sz w:val="20"/>
                <w:szCs w:val="20"/>
                <w:lang w:val="en-GB"/>
              </w:rPr>
            </w:pPr>
          </w:p>
        </w:tc>
        <w:tc>
          <w:tcPr>
            <w:tcW w:w="2862" w:type="dxa"/>
            <w:shd w:val="clear" w:color="auto" w:fill="auto"/>
            <w:tcMar>
              <w:top w:w="0" w:type="dxa"/>
              <w:left w:w="0" w:type="dxa"/>
              <w:bottom w:w="0" w:type="dxa"/>
              <w:right w:w="0" w:type="dxa"/>
            </w:tcMar>
          </w:tcPr>
          <w:p w14:paraId="517E37ED" w14:textId="77777777" w:rsidR="00593114" w:rsidRPr="00AE4FBE" w:rsidRDefault="00593114">
            <w:pPr>
              <w:pStyle w:val="BodyText2"/>
              <w:tabs>
                <w:tab w:val="left" w:pos="318"/>
              </w:tabs>
              <w:snapToGrid w:val="0"/>
              <w:spacing w:line="240" w:lineRule="auto"/>
              <w:ind w:left="34"/>
              <w:rPr>
                <w:rFonts w:ascii="Arial" w:hAnsi="Arial" w:cs="Arial"/>
                <w:sz w:val="20"/>
                <w:szCs w:val="20"/>
                <w:lang w:val="en-GB"/>
              </w:rPr>
            </w:pPr>
          </w:p>
        </w:tc>
      </w:tr>
      <w:tr w:rsidR="00593114" w14:paraId="0245BD7E" w14:textId="77777777" w:rsidTr="00556576">
        <w:trPr>
          <w:trHeight w:hRule="exact" w:val="2167"/>
        </w:trPr>
        <w:tc>
          <w:tcPr>
            <w:tcW w:w="3989" w:type="dxa"/>
            <w:shd w:val="clear" w:color="auto" w:fill="auto"/>
            <w:tcMar>
              <w:top w:w="0" w:type="dxa"/>
              <w:left w:w="0" w:type="dxa"/>
              <w:bottom w:w="0" w:type="dxa"/>
              <w:right w:w="0" w:type="dxa"/>
            </w:tcMar>
          </w:tcPr>
          <w:p w14:paraId="5E1C5729" w14:textId="77777777" w:rsidR="00593114" w:rsidRDefault="006E6D4D">
            <w:pPr>
              <w:pStyle w:val="Textbody"/>
              <w:snapToGrid w:val="0"/>
            </w:pPr>
            <w:r>
              <w:rPr>
                <w:noProof/>
                <w:lang w:val="en-GB" w:eastAsia="en-GB"/>
              </w:rPr>
              <w:drawing>
                <wp:anchor distT="0" distB="0" distL="114300" distR="114300" simplePos="0" relativeHeight="251657216" behindDoc="1" locked="0" layoutInCell="1" allowOverlap="1" wp14:anchorId="7016FC41" wp14:editId="3CD84C10">
                  <wp:simplePos x="0" y="0"/>
                  <wp:positionH relativeFrom="margin">
                    <wp:posOffset>-9528</wp:posOffset>
                  </wp:positionH>
                  <wp:positionV relativeFrom="paragraph">
                    <wp:posOffset>-158118</wp:posOffset>
                  </wp:positionV>
                  <wp:extent cx="1263600" cy="545403"/>
                  <wp:effectExtent l="0" t="0" r="0" b="7047"/>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263600" cy="545403"/>
                          </a:xfrm>
                          <a:prstGeom prst="rect">
                            <a:avLst/>
                          </a:prstGeom>
                          <a:noFill/>
                          <a:ln>
                            <a:noFill/>
                            <a:prstDash/>
                          </a:ln>
                        </pic:spPr>
                      </pic:pic>
                    </a:graphicData>
                  </a:graphic>
                </wp:anchor>
              </w:drawing>
            </w:r>
          </w:p>
        </w:tc>
        <w:tc>
          <w:tcPr>
            <w:tcW w:w="2864" w:type="dxa"/>
            <w:shd w:val="clear" w:color="auto" w:fill="auto"/>
            <w:tcMar>
              <w:top w:w="0" w:type="dxa"/>
              <w:left w:w="0" w:type="dxa"/>
              <w:bottom w:w="0" w:type="dxa"/>
              <w:right w:w="0" w:type="dxa"/>
            </w:tcMar>
          </w:tcPr>
          <w:p w14:paraId="7790DBF5" w14:textId="77777777" w:rsidR="00AE4FBE" w:rsidRDefault="00AE4FBE" w:rsidP="006B73F7">
            <w:pPr>
              <w:pStyle w:val="BodyText2"/>
              <w:spacing w:line="240" w:lineRule="auto"/>
              <w:ind w:left="34"/>
            </w:pPr>
          </w:p>
          <w:p w14:paraId="12B0E87D" w14:textId="77777777" w:rsidR="00AE4FBE" w:rsidRDefault="00AE4FBE" w:rsidP="006B73F7">
            <w:pPr>
              <w:pStyle w:val="BodyText2"/>
              <w:spacing w:line="240" w:lineRule="auto"/>
              <w:ind w:left="34"/>
            </w:pPr>
          </w:p>
          <w:p w14:paraId="42B28FF9" w14:textId="0B5338A6" w:rsidR="006B73F7" w:rsidRDefault="00295A27" w:rsidP="006B73F7">
            <w:pPr>
              <w:pStyle w:val="BodyText2"/>
              <w:spacing w:line="240" w:lineRule="auto"/>
              <w:ind w:left="34"/>
              <w:rPr>
                <w:rFonts w:ascii="Arial" w:hAnsi="Arial" w:cs="Arial"/>
                <w:bCs/>
                <w:spacing w:val="-3"/>
                <w:sz w:val="20"/>
                <w:szCs w:val="20"/>
              </w:rPr>
            </w:pPr>
            <w:hyperlink r:id="rId12" w:history="1"/>
          </w:p>
          <w:p w14:paraId="18D2B2F8" w14:textId="77777777" w:rsidR="006B73F7" w:rsidRDefault="006B73F7" w:rsidP="006B73F7">
            <w:pPr>
              <w:pStyle w:val="BodyText2"/>
              <w:spacing w:line="240" w:lineRule="auto"/>
              <w:ind w:left="34"/>
              <w:rPr>
                <w:rFonts w:ascii="Arial" w:hAnsi="Arial" w:cs="Arial"/>
                <w:bCs/>
                <w:spacing w:val="-3"/>
                <w:sz w:val="20"/>
                <w:szCs w:val="20"/>
              </w:rPr>
            </w:pPr>
          </w:p>
          <w:p w14:paraId="5814B8FF" w14:textId="6A7CB591" w:rsidR="006B73F7" w:rsidRPr="006B73F7" w:rsidRDefault="006B73F7" w:rsidP="006B73F7">
            <w:pPr>
              <w:pStyle w:val="BodyText2"/>
              <w:spacing w:line="240" w:lineRule="auto"/>
              <w:ind w:left="34"/>
              <w:rPr>
                <w:rFonts w:ascii="Arial" w:hAnsi="Arial" w:cs="Arial"/>
                <w:bCs/>
                <w:spacing w:val="-3"/>
                <w:sz w:val="20"/>
                <w:szCs w:val="20"/>
              </w:rPr>
            </w:pPr>
          </w:p>
          <w:p w14:paraId="258483D7" w14:textId="1C45A876" w:rsidR="00593114" w:rsidRDefault="00593114">
            <w:pPr>
              <w:pStyle w:val="Textbody"/>
              <w:spacing w:line="240" w:lineRule="auto"/>
              <w:ind w:left="34"/>
              <w:rPr>
                <w:sz w:val="20"/>
                <w:szCs w:val="20"/>
                <w:lang w:val="en-GB"/>
              </w:rPr>
            </w:pPr>
          </w:p>
        </w:tc>
        <w:tc>
          <w:tcPr>
            <w:tcW w:w="2862" w:type="dxa"/>
            <w:shd w:val="clear" w:color="auto" w:fill="auto"/>
            <w:tcMar>
              <w:top w:w="0" w:type="dxa"/>
              <w:left w:w="0" w:type="dxa"/>
              <w:bottom w:w="0" w:type="dxa"/>
              <w:right w:w="0" w:type="dxa"/>
            </w:tcMar>
          </w:tcPr>
          <w:p w14:paraId="28F2D5DD" w14:textId="2305D5C0" w:rsidR="00593114" w:rsidRDefault="00AE4FBE">
            <w:pPr>
              <w:pStyle w:val="BodyText2"/>
              <w:spacing w:line="240" w:lineRule="auto"/>
              <w:ind w:left="34"/>
              <w:rPr>
                <w:rFonts w:ascii="Arial" w:hAnsi="Arial" w:cs="Arial"/>
                <w:sz w:val="20"/>
                <w:szCs w:val="20"/>
              </w:rPr>
            </w:pPr>
            <w:r w:rsidRPr="00AE4FBE">
              <w:rPr>
                <w:rFonts w:ascii="Arial" w:hAnsi="Arial" w:cs="Arial"/>
                <w:sz w:val="20"/>
                <w:szCs w:val="20"/>
              </w:rPr>
              <w:t xml:space="preserve">Head of Firearms </w:t>
            </w:r>
            <w:r w:rsidR="00556576">
              <w:rPr>
                <w:rFonts w:ascii="Arial" w:hAnsi="Arial" w:cs="Arial"/>
                <w:sz w:val="20"/>
                <w:szCs w:val="20"/>
              </w:rPr>
              <w:t xml:space="preserve">&amp; Weapons </w:t>
            </w:r>
            <w:r w:rsidRPr="00AE4FBE">
              <w:rPr>
                <w:rFonts w:ascii="Arial" w:hAnsi="Arial" w:cs="Arial"/>
                <w:sz w:val="20"/>
                <w:szCs w:val="20"/>
              </w:rPr>
              <w:t>Policy Unit</w:t>
            </w:r>
          </w:p>
          <w:p w14:paraId="7FD78470" w14:textId="4C110364" w:rsidR="00AE4FBE" w:rsidRDefault="00AE4FBE">
            <w:pPr>
              <w:pStyle w:val="BodyText2"/>
              <w:spacing w:line="240" w:lineRule="auto"/>
              <w:ind w:left="34"/>
              <w:rPr>
                <w:rFonts w:ascii="Arial" w:hAnsi="Arial" w:cs="Arial"/>
                <w:sz w:val="20"/>
                <w:szCs w:val="20"/>
              </w:rPr>
            </w:pPr>
            <w:r>
              <w:rPr>
                <w:rFonts w:ascii="Arial" w:hAnsi="Arial" w:cs="Arial"/>
                <w:sz w:val="20"/>
                <w:szCs w:val="20"/>
              </w:rPr>
              <w:t>Home Office</w:t>
            </w:r>
          </w:p>
          <w:p w14:paraId="43BBF4CF" w14:textId="222DE735" w:rsidR="00AE4FBE" w:rsidRDefault="00AE4FBE">
            <w:pPr>
              <w:pStyle w:val="BodyText2"/>
              <w:spacing w:line="240" w:lineRule="auto"/>
              <w:ind w:left="34"/>
              <w:rPr>
                <w:rFonts w:ascii="Arial" w:hAnsi="Arial" w:cs="Arial"/>
                <w:sz w:val="20"/>
                <w:szCs w:val="20"/>
              </w:rPr>
            </w:pPr>
            <w:r>
              <w:rPr>
                <w:rFonts w:ascii="Arial" w:hAnsi="Arial" w:cs="Arial"/>
                <w:sz w:val="20"/>
                <w:szCs w:val="20"/>
              </w:rPr>
              <w:t>5</w:t>
            </w:r>
            <w:r w:rsidRPr="00AE4FBE">
              <w:rPr>
                <w:rFonts w:ascii="Arial" w:hAnsi="Arial" w:cs="Arial"/>
                <w:sz w:val="20"/>
                <w:szCs w:val="20"/>
                <w:vertAlign w:val="superscript"/>
              </w:rPr>
              <w:t>th</w:t>
            </w:r>
            <w:r>
              <w:rPr>
                <w:rFonts w:ascii="Arial" w:hAnsi="Arial" w:cs="Arial"/>
                <w:sz w:val="20"/>
                <w:szCs w:val="20"/>
              </w:rPr>
              <w:t xml:space="preserve"> Floor, NW Quarter</w:t>
            </w:r>
          </w:p>
          <w:p w14:paraId="560BAC80" w14:textId="00B8D240" w:rsidR="00AE4FBE" w:rsidRDefault="00AE4FBE">
            <w:pPr>
              <w:pStyle w:val="BodyText2"/>
              <w:spacing w:line="240" w:lineRule="auto"/>
              <w:ind w:left="34"/>
              <w:rPr>
                <w:rFonts w:ascii="Arial" w:hAnsi="Arial" w:cs="Arial"/>
                <w:sz w:val="20"/>
                <w:szCs w:val="20"/>
              </w:rPr>
            </w:pPr>
            <w:r>
              <w:rPr>
                <w:rFonts w:ascii="Arial" w:hAnsi="Arial" w:cs="Arial"/>
                <w:sz w:val="20"/>
                <w:szCs w:val="20"/>
              </w:rPr>
              <w:t xml:space="preserve">Fry Building </w:t>
            </w:r>
          </w:p>
          <w:p w14:paraId="4D669ACB" w14:textId="605F4653" w:rsidR="00AE4FBE" w:rsidRDefault="00AE4FBE">
            <w:pPr>
              <w:pStyle w:val="BodyText2"/>
              <w:spacing w:line="240" w:lineRule="auto"/>
              <w:ind w:left="34"/>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Marsham</w:t>
            </w:r>
            <w:proofErr w:type="spellEnd"/>
            <w:r>
              <w:rPr>
                <w:rFonts w:ascii="Arial" w:hAnsi="Arial" w:cs="Arial"/>
                <w:sz w:val="20"/>
                <w:szCs w:val="20"/>
              </w:rPr>
              <w:t xml:space="preserve"> Street</w:t>
            </w:r>
          </w:p>
          <w:p w14:paraId="4219BA8A" w14:textId="7E000D3D" w:rsidR="00AE4FBE" w:rsidRDefault="00AE4FBE">
            <w:pPr>
              <w:pStyle w:val="BodyText2"/>
              <w:spacing w:line="240" w:lineRule="auto"/>
              <w:ind w:left="34"/>
              <w:rPr>
                <w:rFonts w:ascii="Arial" w:hAnsi="Arial" w:cs="Arial"/>
                <w:sz w:val="20"/>
                <w:szCs w:val="20"/>
              </w:rPr>
            </w:pPr>
            <w:r>
              <w:rPr>
                <w:rFonts w:ascii="Arial" w:hAnsi="Arial" w:cs="Arial"/>
                <w:sz w:val="20"/>
                <w:szCs w:val="20"/>
              </w:rPr>
              <w:t>London, SW1P 4DF</w:t>
            </w:r>
          </w:p>
          <w:p w14:paraId="56C2543E" w14:textId="77777777" w:rsidR="00AE4FBE" w:rsidRDefault="00AE4FBE" w:rsidP="00AE4FBE">
            <w:pPr>
              <w:pStyle w:val="BodyText2"/>
              <w:spacing w:line="240" w:lineRule="auto"/>
              <w:rPr>
                <w:rFonts w:ascii="Arial" w:hAnsi="Arial" w:cs="Arial"/>
                <w:sz w:val="20"/>
                <w:szCs w:val="20"/>
              </w:rPr>
            </w:pPr>
          </w:p>
          <w:p w14:paraId="07034233" w14:textId="77777777" w:rsidR="00AE4FBE" w:rsidRDefault="00AE4FBE" w:rsidP="00AE4FBE">
            <w:pPr>
              <w:spacing w:after="2" w:line="259" w:lineRule="auto"/>
              <w:ind w:left="6954"/>
              <w:rPr>
                <w:rFonts w:hint="eastAsia"/>
              </w:rPr>
            </w:pPr>
            <w:r>
              <w:rPr>
                <w:sz w:val="20"/>
              </w:rPr>
              <w:t xml:space="preserve">Home Office </w:t>
            </w:r>
          </w:p>
          <w:p w14:paraId="230F59DF" w14:textId="77777777" w:rsidR="00AE4FBE" w:rsidRDefault="00AE4FBE" w:rsidP="00AE4FBE">
            <w:pPr>
              <w:spacing w:after="33" w:line="259" w:lineRule="auto"/>
              <w:ind w:left="6954"/>
              <w:rPr>
                <w:rFonts w:hint="eastAsia"/>
              </w:rPr>
            </w:pPr>
            <w:r>
              <w:rPr>
                <w:sz w:val="20"/>
              </w:rPr>
              <w:t>5</w:t>
            </w:r>
            <w:r>
              <w:rPr>
                <w:sz w:val="20"/>
                <w:vertAlign w:val="superscript"/>
              </w:rPr>
              <w:t>th</w:t>
            </w:r>
            <w:r>
              <w:rPr>
                <w:sz w:val="20"/>
              </w:rPr>
              <w:t xml:space="preserve"> Floor, Fry Building </w:t>
            </w:r>
          </w:p>
          <w:p w14:paraId="1EF79475" w14:textId="77777777" w:rsidR="00AE4FBE" w:rsidRDefault="00AE4FBE" w:rsidP="00AE4FBE">
            <w:pPr>
              <w:spacing w:after="2" w:line="259" w:lineRule="auto"/>
              <w:ind w:left="6954"/>
              <w:rPr>
                <w:rFonts w:hint="eastAsia"/>
              </w:rPr>
            </w:pPr>
            <w:r>
              <w:rPr>
                <w:sz w:val="20"/>
              </w:rPr>
              <w:t xml:space="preserve">2 Marsham Street </w:t>
            </w:r>
          </w:p>
          <w:p w14:paraId="1B071B2E" w14:textId="77777777" w:rsidR="00AE4FBE" w:rsidRDefault="00AE4FBE" w:rsidP="00AE4FBE">
            <w:pPr>
              <w:spacing w:after="2" w:line="259" w:lineRule="auto"/>
              <w:ind w:left="6954"/>
              <w:rPr>
                <w:rFonts w:hint="eastAsia"/>
              </w:rPr>
            </w:pPr>
            <w:r>
              <w:rPr>
                <w:sz w:val="20"/>
              </w:rPr>
              <w:t xml:space="preserve">London, SW1P 4DF </w:t>
            </w:r>
          </w:p>
          <w:p w14:paraId="7AAA82E8" w14:textId="77777777" w:rsidR="00AE4FBE" w:rsidRDefault="00AE4FBE" w:rsidP="00AE4FBE">
            <w:pPr>
              <w:spacing w:after="15" w:line="259" w:lineRule="auto"/>
              <w:ind w:left="4298"/>
              <w:jc w:val="center"/>
              <w:rPr>
                <w:rFonts w:hint="eastAsia"/>
              </w:rPr>
            </w:pPr>
            <w:r>
              <w:rPr>
                <w:sz w:val="20"/>
              </w:rPr>
              <w:t xml:space="preserve"> </w:t>
            </w:r>
          </w:p>
          <w:p w14:paraId="7A6CFE41" w14:textId="77777777" w:rsidR="00AE4FBE" w:rsidRDefault="00AE4FBE" w:rsidP="00AE4FBE">
            <w:pPr>
              <w:spacing w:after="2" w:line="259" w:lineRule="auto"/>
              <w:ind w:left="6954"/>
              <w:rPr>
                <w:rFonts w:hint="eastAsia"/>
              </w:rPr>
            </w:pPr>
            <w:r>
              <w:rPr>
                <w:sz w:val="20"/>
              </w:rPr>
              <w:t xml:space="preserve">Tel: 07879 809183 </w:t>
            </w:r>
          </w:p>
          <w:p w14:paraId="42630D1B" w14:textId="77777777" w:rsidR="00AE4FBE" w:rsidRDefault="00AE4FBE" w:rsidP="00AE4FBE">
            <w:pPr>
              <w:spacing w:line="259" w:lineRule="auto"/>
              <w:ind w:left="6959"/>
              <w:rPr>
                <w:rFonts w:hint="eastAsia"/>
              </w:rPr>
            </w:pPr>
            <w:r>
              <w:rPr>
                <w:color w:val="0563C1"/>
                <w:sz w:val="20"/>
                <w:u w:val="single" w:color="0563C1"/>
              </w:rPr>
              <w:t>nick.hunt3@homeoffice.gov.uk</w:t>
            </w:r>
            <w:r>
              <w:rPr>
                <w:sz w:val="20"/>
              </w:rPr>
              <w:t xml:space="preserve"> </w:t>
            </w:r>
          </w:p>
          <w:p w14:paraId="6CFAAAA2" w14:textId="77777777" w:rsidR="00AE4FBE" w:rsidRDefault="00AE4FBE" w:rsidP="00AE4FBE">
            <w:pPr>
              <w:spacing w:after="212" w:line="259" w:lineRule="auto"/>
              <w:ind w:left="4298"/>
              <w:jc w:val="center"/>
              <w:rPr>
                <w:rFonts w:hint="eastAsia"/>
              </w:rPr>
            </w:pPr>
            <w:r>
              <w:rPr>
                <w:sz w:val="20"/>
              </w:rPr>
              <w:t xml:space="preserve"> </w:t>
            </w:r>
          </w:p>
          <w:p w14:paraId="30C14A22" w14:textId="3BAAF7D7" w:rsidR="00AE4FBE" w:rsidRPr="00AE4FBE" w:rsidRDefault="00AE4FBE">
            <w:pPr>
              <w:pStyle w:val="BodyText2"/>
              <w:spacing w:line="240" w:lineRule="auto"/>
              <w:ind w:left="34"/>
              <w:rPr>
                <w:rFonts w:ascii="Arial" w:hAnsi="Arial" w:cs="Arial"/>
                <w:sz w:val="20"/>
                <w:szCs w:val="20"/>
              </w:rPr>
            </w:pPr>
          </w:p>
        </w:tc>
      </w:tr>
    </w:tbl>
    <w:p w14:paraId="472FCA0C" w14:textId="77777777" w:rsidR="00CC2CBA" w:rsidRDefault="00CC2CBA" w:rsidP="00CC2CBA">
      <w:pPr>
        <w:rPr>
          <w:rFonts w:ascii="Arial" w:hAnsi="Arial" w:cs="Arial"/>
          <w:lang w:eastAsia="en-GB"/>
        </w:rPr>
      </w:pPr>
    </w:p>
    <w:p w14:paraId="0075C3AE" w14:textId="40E08E07" w:rsidR="00836AEB" w:rsidRDefault="00836AEB" w:rsidP="00D320AA">
      <w:pPr>
        <w:rPr>
          <w:rFonts w:ascii="Arial" w:hAnsi="Arial" w:cs="Arial"/>
        </w:rPr>
      </w:pPr>
    </w:p>
    <w:p w14:paraId="3D9042FA" w14:textId="284DB611" w:rsidR="0054207C" w:rsidRDefault="0054207C" w:rsidP="00D320AA">
      <w:pPr>
        <w:rPr>
          <w:rFonts w:ascii="Arial" w:hAnsi="Arial" w:cs="Arial"/>
        </w:rPr>
      </w:pPr>
      <w:r>
        <w:rPr>
          <w:rFonts w:ascii="Arial" w:hAnsi="Arial" w:cs="Arial"/>
        </w:rPr>
        <w:t>Relevant Local Authority Chief Executives in England and Wales</w:t>
      </w:r>
    </w:p>
    <w:p w14:paraId="704E8A5B" w14:textId="77777777" w:rsidR="0054207C" w:rsidRDefault="0054207C" w:rsidP="00D320AA">
      <w:pPr>
        <w:rPr>
          <w:rFonts w:ascii="Arial" w:hAnsi="Arial" w:cs="Arial"/>
        </w:rPr>
      </w:pPr>
    </w:p>
    <w:p w14:paraId="07CA49C8" w14:textId="77777777" w:rsidR="0054207C" w:rsidRDefault="0054207C" w:rsidP="00D320AA">
      <w:pPr>
        <w:rPr>
          <w:rFonts w:ascii="Arial" w:hAnsi="Arial" w:cs="Arial"/>
        </w:rPr>
      </w:pPr>
    </w:p>
    <w:p w14:paraId="01B575A5" w14:textId="2B06232E" w:rsidR="00836AEB" w:rsidRPr="00EE4FC0" w:rsidRDefault="00836AEB" w:rsidP="00D320AA">
      <w:pPr>
        <w:rPr>
          <w:rFonts w:hint="eastAsia"/>
        </w:rPr>
      </w:pPr>
      <w:r>
        <w:rPr>
          <w:rFonts w:ascii="Arial" w:hAnsi="Arial" w:cs="Arial"/>
        </w:rPr>
        <w:t>Sent by email only</w:t>
      </w:r>
    </w:p>
    <w:p w14:paraId="75811FC1" w14:textId="77777777" w:rsidR="00D320AA" w:rsidRPr="00EE4FC0" w:rsidRDefault="00D320AA" w:rsidP="00D320AA">
      <w:pPr>
        <w:rPr>
          <w:rFonts w:ascii="Arial" w:hAnsi="Arial" w:cs="Arial"/>
          <w:b/>
          <w:color w:val="FF0000"/>
        </w:rPr>
      </w:pPr>
    </w:p>
    <w:p w14:paraId="75AC2F16" w14:textId="328DAA99" w:rsidR="00D320AA" w:rsidRPr="00EE4FC0" w:rsidRDefault="0054207C" w:rsidP="00D320AA">
      <w:pPr>
        <w:jc w:val="right"/>
        <w:rPr>
          <w:rFonts w:ascii="Arial" w:hAnsi="Arial" w:cs="Arial"/>
          <w:color w:val="000000" w:themeColor="text1"/>
        </w:rPr>
      </w:pPr>
      <w:r>
        <w:rPr>
          <w:rFonts w:ascii="Arial" w:hAnsi="Arial" w:cs="Arial"/>
          <w:color w:val="000000" w:themeColor="text1"/>
        </w:rPr>
        <w:t>1</w:t>
      </w:r>
      <w:r w:rsidR="00B1103C">
        <w:rPr>
          <w:rFonts w:ascii="Arial" w:hAnsi="Arial" w:cs="Arial"/>
          <w:color w:val="000000" w:themeColor="text1"/>
        </w:rPr>
        <w:t>8</w:t>
      </w:r>
      <w:r w:rsidR="00D320AA" w:rsidRPr="00EE4FC0">
        <w:rPr>
          <w:rFonts w:ascii="Arial" w:hAnsi="Arial" w:cs="Arial"/>
          <w:color w:val="000000" w:themeColor="text1"/>
        </w:rPr>
        <w:t xml:space="preserve"> </w:t>
      </w:r>
      <w:r w:rsidR="00556576">
        <w:rPr>
          <w:rFonts w:ascii="Arial" w:hAnsi="Arial" w:cs="Arial"/>
          <w:color w:val="000000" w:themeColor="text1"/>
        </w:rPr>
        <w:t>March</w:t>
      </w:r>
      <w:r w:rsidR="00D320AA" w:rsidRPr="00EE4FC0">
        <w:rPr>
          <w:rFonts w:ascii="Arial" w:hAnsi="Arial" w:cs="Arial"/>
          <w:color w:val="000000" w:themeColor="text1"/>
        </w:rPr>
        <w:t xml:space="preserve"> 202</w:t>
      </w:r>
      <w:r w:rsidR="00556576">
        <w:rPr>
          <w:rFonts w:ascii="Arial" w:hAnsi="Arial" w:cs="Arial"/>
          <w:color w:val="000000" w:themeColor="text1"/>
        </w:rPr>
        <w:t>4</w:t>
      </w:r>
    </w:p>
    <w:p w14:paraId="6997687C" w14:textId="1B482DBF" w:rsidR="00D320AA" w:rsidRPr="00B87A21" w:rsidRDefault="00D320AA" w:rsidP="00D320AA">
      <w:pPr>
        <w:jc w:val="both"/>
        <w:rPr>
          <w:rFonts w:ascii="Arial" w:hAnsi="Arial" w:cs="Arial"/>
        </w:rPr>
      </w:pPr>
      <w:r w:rsidRPr="00EE4FC0">
        <w:rPr>
          <w:rFonts w:ascii="Arial" w:hAnsi="Arial" w:cs="Arial"/>
        </w:rPr>
        <w:t xml:space="preserve">Dear </w:t>
      </w:r>
      <w:r w:rsidR="0054207C">
        <w:rPr>
          <w:rFonts w:ascii="Arial" w:hAnsi="Arial" w:cs="Arial"/>
        </w:rPr>
        <w:t>Local Authority Chief Executive</w:t>
      </w:r>
      <w:r w:rsidRPr="00EE4FC0">
        <w:rPr>
          <w:rFonts w:ascii="Arial" w:hAnsi="Arial" w:cs="Arial"/>
        </w:rPr>
        <w:t>,</w:t>
      </w:r>
      <w:r w:rsidRPr="00B87A21">
        <w:rPr>
          <w:rFonts w:ascii="Arial" w:hAnsi="Arial" w:cs="Arial"/>
        </w:rPr>
        <w:t xml:space="preserve"> </w:t>
      </w:r>
    </w:p>
    <w:p w14:paraId="7F6DBE27" w14:textId="77777777" w:rsidR="00224CF5" w:rsidRDefault="00224CF5" w:rsidP="00224CF5">
      <w:pPr>
        <w:rPr>
          <w:rFonts w:ascii="Arial" w:hAnsi="Arial" w:cs="Arial"/>
          <w:color w:val="000000" w:themeColor="text1"/>
        </w:rPr>
      </w:pPr>
    </w:p>
    <w:p w14:paraId="6438854F" w14:textId="77777777" w:rsidR="0054207C" w:rsidRPr="00301D01" w:rsidRDefault="0054207C" w:rsidP="0054207C">
      <w:pPr>
        <w:rPr>
          <w:rFonts w:ascii="Arial" w:hAnsi="Arial" w:cs="Arial"/>
          <w:b/>
          <w:bCs/>
        </w:rPr>
      </w:pPr>
      <w:bookmarkStart w:id="0" w:name="_Hlk140155346"/>
      <w:r w:rsidRPr="00301D01">
        <w:rPr>
          <w:rFonts w:ascii="Arial" w:hAnsi="Arial" w:cs="Arial"/>
          <w:b/>
          <w:bCs/>
        </w:rPr>
        <w:t xml:space="preserve">S31 GRANT DETERMINATION LETTER – OFFENSIVE WEAPONS ACT 2019 TRADING STANDARDS COSTS FOR CORROSIVE PRODUCTS SALES AND DELIVERY PROVISIONS (2022/03 AND 2023/24) </w:t>
      </w:r>
      <w:r>
        <w:rPr>
          <w:rFonts w:ascii="Arial" w:hAnsi="Arial" w:cs="Arial"/>
          <w:b/>
          <w:bCs/>
        </w:rPr>
        <w:t>[</w:t>
      </w:r>
      <w:r w:rsidRPr="00301D01">
        <w:rPr>
          <w:rFonts w:ascii="Arial" w:hAnsi="Arial" w:cs="Arial"/>
          <w:b/>
          <w:bCs/>
        </w:rPr>
        <w:t>No</w:t>
      </w:r>
      <w:r>
        <w:rPr>
          <w:rFonts w:ascii="Arial" w:hAnsi="Arial" w:cs="Arial"/>
          <w:b/>
          <w:bCs/>
        </w:rPr>
        <w:t xml:space="preserve"> 31</w:t>
      </w:r>
      <w:r w:rsidRPr="00301D01">
        <w:rPr>
          <w:rFonts w:ascii="Arial" w:hAnsi="Arial" w:cs="Arial"/>
          <w:b/>
          <w:bCs/>
        </w:rPr>
        <w:t>/</w:t>
      </w:r>
      <w:r>
        <w:rPr>
          <w:rFonts w:ascii="Arial" w:hAnsi="Arial" w:cs="Arial"/>
          <w:b/>
          <w:bCs/>
        </w:rPr>
        <w:t>7142]</w:t>
      </w:r>
    </w:p>
    <w:p w14:paraId="450CF71B" w14:textId="77777777" w:rsidR="0054207C" w:rsidRDefault="0054207C" w:rsidP="0054207C">
      <w:pPr>
        <w:rPr>
          <w:rFonts w:ascii="Arial" w:hAnsi="Arial" w:cs="Arial"/>
        </w:rPr>
      </w:pPr>
    </w:p>
    <w:p w14:paraId="675F0E0D" w14:textId="187469D6" w:rsidR="0054207C" w:rsidRDefault="0054207C" w:rsidP="0054207C">
      <w:pPr>
        <w:rPr>
          <w:rFonts w:ascii="Arial" w:hAnsi="Arial" w:cs="Arial"/>
        </w:rPr>
      </w:pPr>
      <w:r w:rsidRPr="00301D01">
        <w:rPr>
          <w:rFonts w:ascii="Arial" w:hAnsi="Arial" w:cs="Arial"/>
        </w:rPr>
        <w:t xml:space="preserve">This Determination is made between: </w:t>
      </w:r>
    </w:p>
    <w:p w14:paraId="04FAF00A" w14:textId="77777777" w:rsidR="0054207C" w:rsidRPr="00301D01" w:rsidRDefault="0054207C" w:rsidP="0054207C">
      <w:pPr>
        <w:rPr>
          <w:rFonts w:ascii="Arial" w:hAnsi="Arial" w:cs="Arial"/>
        </w:rPr>
      </w:pPr>
    </w:p>
    <w:p w14:paraId="44AAE735" w14:textId="77777777" w:rsidR="0054207C" w:rsidRPr="00301D01" w:rsidRDefault="0054207C" w:rsidP="0054207C">
      <w:pPr>
        <w:rPr>
          <w:rFonts w:ascii="Arial" w:hAnsi="Arial" w:cs="Arial"/>
        </w:rPr>
      </w:pPr>
      <w:r w:rsidRPr="00301D01">
        <w:rPr>
          <w:rFonts w:ascii="Arial" w:hAnsi="Arial" w:cs="Arial"/>
        </w:rPr>
        <w:t xml:space="preserve">(1) </w:t>
      </w:r>
      <w:r w:rsidRPr="00301D01">
        <w:rPr>
          <w:rFonts w:ascii="Arial" w:hAnsi="Arial" w:cs="Arial"/>
          <w:b/>
          <w:bCs/>
        </w:rPr>
        <w:t xml:space="preserve">The Secretary of State for the Home Department, </w:t>
      </w:r>
      <w:r w:rsidRPr="00301D01">
        <w:rPr>
          <w:rFonts w:ascii="Arial" w:hAnsi="Arial" w:cs="Arial"/>
        </w:rPr>
        <w:t xml:space="preserve">and </w:t>
      </w:r>
    </w:p>
    <w:p w14:paraId="078E9646" w14:textId="77777777" w:rsidR="0054207C" w:rsidRDefault="0054207C" w:rsidP="0054207C">
      <w:pPr>
        <w:rPr>
          <w:rFonts w:ascii="Arial" w:hAnsi="Arial" w:cs="Arial"/>
        </w:rPr>
      </w:pPr>
    </w:p>
    <w:p w14:paraId="6B74B7F7" w14:textId="665FE2D9" w:rsidR="0054207C" w:rsidRPr="00301D01" w:rsidRDefault="0054207C" w:rsidP="0054207C">
      <w:pPr>
        <w:rPr>
          <w:rFonts w:ascii="Arial" w:hAnsi="Arial" w:cs="Arial"/>
          <w:b/>
          <w:bCs/>
        </w:rPr>
      </w:pPr>
      <w:r w:rsidRPr="00301D01">
        <w:rPr>
          <w:rFonts w:ascii="Arial" w:hAnsi="Arial" w:cs="Arial"/>
        </w:rPr>
        <w:t xml:space="preserve">(2) </w:t>
      </w:r>
      <w:r w:rsidRPr="00301D01">
        <w:rPr>
          <w:rFonts w:ascii="Arial" w:hAnsi="Arial" w:cs="Arial"/>
          <w:b/>
          <w:bCs/>
        </w:rPr>
        <w:t xml:space="preserve">The local authorities listed in Annex A </w:t>
      </w:r>
      <w:r w:rsidRPr="00301D01">
        <w:rPr>
          <w:rFonts w:ascii="Arial" w:hAnsi="Arial" w:cs="Arial"/>
        </w:rPr>
        <w:t xml:space="preserve"> </w:t>
      </w:r>
    </w:p>
    <w:p w14:paraId="77C26528" w14:textId="77777777" w:rsidR="0054207C" w:rsidRPr="00301D01" w:rsidRDefault="0054207C" w:rsidP="0054207C">
      <w:pPr>
        <w:rPr>
          <w:rFonts w:ascii="Arial" w:hAnsi="Arial" w:cs="Arial"/>
          <w:b/>
          <w:bCs/>
          <w:u w:val="single"/>
        </w:rPr>
      </w:pPr>
    </w:p>
    <w:p w14:paraId="77AF950E" w14:textId="77777777" w:rsidR="0054207C" w:rsidRPr="00301D01" w:rsidRDefault="0054207C" w:rsidP="0054207C">
      <w:pPr>
        <w:rPr>
          <w:rFonts w:ascii="Arial" w:hAnsi="Arial" w:cs="Arial"/>
          <w:b/>
          <w:bCs/>
          <w:u w:val="single"/>
        </w:rPr>
      </w:pPr>
      <w:r w:rsidRPr="00301D01">
        <w:rPr>
          <w:rFonts w:ascii="Arial" w:hAnsi="Arial" w:cs="Arial"/>
          <w:b/>
          <w:bCs/>
          <w:u w:val="single"/>
        </w:rPr>
        <w:t>Purpose of the Grant</w:t>
      </w:r>
    </w:p>
    <w:p w14:paraId="25F63F16" w14:textId="77777777" w:rsidR="0054207C" w:rsidRPr="00301D01" w:rsidRDefault="0054207C" w:rsidP="0054207C">
      <w:pPr>
        <w:rPr>
          <w:rFonts w:ascii="Arial" w:hAnsi="Arial" w:cs="Arial"/>
        </w:rPr>
      </w:pPr>
    </w:p>
    <w:p w14:paraId="72DEF25A" w14:textId="77777777" w:rsidR="0054207C" w:rsidRPr="00301D01" w:rsidRDefault="0054207C" w:rsidP="0054207C">
      <w:pPr>
        <w:rPr>
          <w:rFonts w:ascii="Arial" w:hAnsi="Arial" w:cs="Arial"/>
        </w:rPr>
      </w:pPr>
      <w:r w:rsidRPr="00301D01">
        <w:rPr>
          <w:rFonts w:ascii="Arial" w:hAnsi="Arial" w:cs="Arial"/>
        </w:rPr>
        <w:t xml:space="preserve">The purpose of this grant is to provide support to local authorities in England and Wales to meet the new burdens and additional costs incurred by their </w:t>
      </w:r>
      <w:r>
        <w:rPr>
          <w:rFonts w:ascii="Arial" w:hAnsi="Arial" w:cs="Arial"/>
        </w:rPr>
        <w:t>T</w:t>
      </w:r>
      <w:r w:rsidRPr="00301D01">
        <w:rPr>
          <w:rFonts w:ascii="Arial" w:hAnsi="Arial" w:cs="Arial"/>
        </w:rPr>
        <w:t xml:space="preserve">rading </w:t>
      </w:r>
      <w:r>
        <w:rPr>
          <w:rFonts w:ascii="Arial" w:hAnsi="Arial" w:cs="Arial"/>
        </w:rPr>
        <w:t>S</w:t>
      </w:r>
      <w:r w:rsidRPr="00301D01">
        <w:rPr>
          <w:rFonts w:ascii="Arial" w:hAnsi="Arial" w:cs="Arial"/>
        </w:rPr>
        <w:t xml:space="preserve">tandards </w:t>
      </w:r>
      <w:r>
        <w:rPr>
          <w:rFonts w:ascii="Arial" w:hAnsi="Arial" w:cs="Arial"/>
        </w:rPr>
        <w:t>Authorities</w:t>
      </w:r>
      <w:r w:rsidRPr="00301D01">
        <w:rPr>
          <w:rFonts w:ascii="Arial" w:hAnsi="Arial" w:cs="Arial"/>
        </w:rPr>
        <w:t xml:space="preserve"> through commencement of the sales and delivery provisions relating to corrosive products within the Offensive Weapons Act 2019.  </w:t>
      </w:r>
    </w:p>
    <w:p w14:paraId="6E044BD9" w14:textId="77777777" w:rsidR="0054207C" w:rsidRPr="00301D01" w:rsidRDefault="0054207C" w:rsidP="0054207C">
      <w:pPr>
        <w:rPr>
          <w:rFonts w:ascii="Arial" w:hAnsi="Arial" w:cs="Arial"/>
        </w:rPr>
      </w:pPr>
    </w:p>
    <w:p w14:paraId="35DEA610" w14:textId="77777777" w:rsidR="0054207C" w:rsidRPr="00301D01" w:rsidRDefault="0054207C" w:rsidP="0054207C">
      <w:pPr>
        <w:rPr>
          <w:rFonts w:ascii="Arial" w:hAnsi="Arial" w:cs="Arial"/>
        </w:rPr>
      </w:pPr>
      <w:r w:rsidRPr="00301D01">
        <w:rPr>
          <w:rFonts w:ascii="Arial" w:hAnsi="Arial" w:cs="Arial"/>
        </w:rPr>
        <w:t>The provisions within the Act prohibit the sale and delivery of corrosive products to under 18s, prohibit delivery to residential premises and lockers in the case of remote sales and an offence of delivering a corrosive product to under 18s on delivery companies in the case of overseas sellers.  These prohibitions were commenced in April 202</w:t>
      </w:r>
      <w:r>
        <w:rPr>
          <w:rFonts w:ascii="Arial" w:hAnsi="Arial" w:cs="Arial"/>
        </w:rPr>
        <w:t>2</w:t>
      </w:r>
      <w:r w:rsidRPr="00301D01">
        <w:rPr>
          <w:rFonts w:ascii="Arial" w:hAnsi="Arial" w:cs="Arial"/>
        </w:rPr>
        <w:t xml:space="preserve">.   </w:t>
      </w:r>
    </w:p>
    <w:p w14:paraId="399592BF" w14:textId="77777777" w:rsidR="0054207C" w:rsidRPr="00301D01" w:rsidRDefault="0054207C" w:rsidP="0054207C">
      <w:pPr>
        <w:rPr>
          <w:rFonts w:ascii="Arial" w:hAnsi="Arial" w:cs="Arial"/>
        </w:rPr>
      </w:pPr>
    </w:p>
    <w:p w14:paraId="3A2B888C" w14:textId="77777777" w:rsidR="0054207C" w:rsidRPr="00301D01" w:rsidRDefault="0054207C" w:rsidP="0054207C">
      <w:pPr>
        <w:rPr>
          <w:rFonts w:ascii="Arial" w:hAnsi="Arial" w:cs="Arial"/>
        </w:rPr>
      </w:pPr>
      <w:r w:rsidRPr="00301D01">
        <w:rPr>
          <w:rFonts w:ascii="Arial" w:hAnsi="Arial" w:cs="Arial"/>
        </w:rPr>
        <w:t>Loca</w:t>
      </w:r>
      <w:r>
        <w:rPr>
          <w:rFonts w:ascii="Arial" w:hAnsi="Arial" w:cs="Arial"/>
        </w:rPr>
        <w:t>l A</w:t>
      </w:r>
      <w:r w:rsidRPr="00301D01">
        <w:rPr>
          <w:rFonts w:ascii="Arial" w:hAnsi="Arial" w:cs="Arial"/>
        </w:rPr>
        <w:t xml:space="preserve">uthority </w:t>
      </w:r>
      <w:r>
        <w:rPr>
          <w:rFonts w:ascii="Arial" w:hAnsi="Arial" w:cs="Arial"/>
        </w:rPr>
        <w:t>T</w:t>
      </w:r>
      <w:r w:rsidRPr="00301D01">
        <w:rPr>
          <w:rFonts w:ascii="Arial" w:hAnsi="Arial" w:cs="Arial"/>
        </w:rPr>
        <w:t xml:space="preserve">rading </w:t>
      </w:r>
      <w:r>
        <w:rPr>
          <w:rFonts w:ascii="Arial" w:hAnsi="Arial" w:cs="Arial"/>
        </w:rPr>
        <w:t>S</w:t>
      </w:r>
      <w:r w:rsidRPr="00301D01">
        <w:rPr>
          <w:rFonts w:ascii="Arial" w:hAnsi="Arial" w:cs="Arial"/>
        </w:rPr>
        <w:t xml:space="preserve">tandards are the enforcing agency for these provisions and the funding being provided is to meet the costs of the additional burdens which these provisions have imposed.  The funding is intended to meet the costs of activities such as awareness raising and compliance visits, conducting regular test purchasing operations and follow-up actions, investigations and prosecutions of any retailers or delivery companies who fail any test purchasing operations.  </w:t>
      </w:r>
    </w:p>
    <w:p w14:paraId="33223090" w14:textId="77777777" w:rsidR="0054207C" w:rsidRPr="00301D01" w:rsidRDefault="0054207C" w:rsidP="0054207C">
      <w:pPr>
        <w:rPr>
          <w:rFonts w:ascii="Arial" w:hAnsi="Arial" w:cs="Arial"/>
        </w:rPr>
      </w:pPr>
    </w:p>
    <w:p w14:paraId="41ADC5A6" w14:textId="7EC1AABB" w:rsidR="0054207C" w:rsidRPr="00301D01" w:rsidRDefault="0054207C" w:rsidP="0054207C">
      <w:pPr>
        <w:rPr>
          <w:rFonts w:ascii="Arial" w:hAnsi="Arial" w:cs="Arial"/>
        </w:rPr>
      </w:pPr>
      <w:r w:rsidRPr="00301D01">
        <w:rPr>
          <w:rFonts w:ascii="Arial" w:hAnsi="Arial" w:cs="Arial"/>
        </w:rPr>
        <w:t>The Section 31 grant being provided covers both 2022/23 and 2023/24.  This is a non-</w:t>
      </w:r>
      <w:proofErr w:type="gramStart"/>
      <w:r w:rsidRPr="00301D01">
        <w:rPr>
          <w:rFonts w:ascii="Arial" w:hAnsi="Arial" w:cs="Arial"/>
        </w:rPr>
        <w:t xml:space="preserve">ring </w:t>
      </w:r>
      <w:r>
        <w:rPr>
          <w:rFonts w:ascii="Arial" w:hAnsi="Arial" w:cs="Arial"/>
        </w:rPr>
        <w:t>f</w:t>
      </w:r>
      <w:r w:rsidRPr="00301D01">
        <w:rPr>
          <w:rFonts w:ascii="Arial" w:hAnsi="Arial" w:cs="Arial"/>
        </w:rPr>
        <w:t>enced</w:t>
      </w:r>
      <w:proofErr w:type="gramEnd"/>
      <w:r w:rsidRPr="00301D01">
        <w:rPr>
          <w:rFonts w:ascii="Arial" w:hAnsi="Arial" w:cs="Arial"/>
        </w:rPr>
        <w:t xml:space="preserve"> grant to those local authorities with responsibility for the operation of </w:t>
      </w:r>
      <w:r>
        <w:rPr>
          <w:rFonts w:ascii="Arial" w:hAnsi="Arial" w:cs="Arial"/>
        </w:rPr>
        <w:t>T</w:t>
      </w:r>
      <w:r w:rsidRPr="00301D01">
        <w:rPr>
          <w:rFonts w:ascii="Arial" w:hAnsi="Arial" w:cs="Arial"/>
        </w:rPr>
        <w:t xml:space="preserve">rading </w:t>
      </w:r>
      <w:r>
        <w:rPr>
          <w:rFonts w:ascii="Arial" w:hAnsi="Arial" w:cs="Arial"/>
        </w:rPr>
        <w:t>S</w:t>
      </w:r>
      <w:r w:rsidRPr="00301D01">
        <w:rPr>
          <w:rFonts w:ascii="Arial" w:hAnsi="Arial" w:cs="Arial"/>
        </w:rPr>
        <w:t xml:space="preserve">tandards </w:t>
      </w:r>
      <w:r>
        <w:rPr>
          <w:rFonts w:ascii="Arial" w:hAnsi="Arial" w:cs="Arial"/>
        </w:rPr>
        <w:t>A</w:t>
      </w:r>
      <w:r w:rsidRPr="00301D01">
        <w:rPr>
          <w:rFonts w:ascii="Arial" w:hAnsi="Arial" w:cs="Arial"/>
        </w:rPr>
        <w:t xml:space="preserve">uthorities in England and Wales.  Annex A provides details of payments being made to the relevant local authorities. </w:t>
      </w:r>
    </w:p>
    <w:p w14:paraId="42845A21" w14:textId="77777777" w:rsidR="0054207C" w:rsidRPr="00301D01" w:rsidRDefault="0054207C" w:rsidP="0054207C">
      <w:pPr>
        <w:rPr>
          <w:rFonts w:ascii="Arial" w:hAnsi="Arial" w:cs="Arial"/>
        </w:rPr>
      </w:pPr>
    </w:p>
    <w:p w14:paraId="6A82823F" w14:textId="1260A299" w:rsidR="0054207C" w:rsidRPr="00301D01" w:rsidRDefault="0054207C" w:rsidP="0054207C">
      <w:pPr>
        <w:rPr>
          <w:rFonts w:ascii="Arial" w:hAnsi="Arial" w:cs="Arial"/>
        </w:rPr>
      </w:pPr>
      <w:r w:rsidRPr="00301D01">
        <w:rPr>
          <w:rFonts w:ascii="Arial" w:hAnsi="Arial" w:cs="Arial"/>
        </w:rPr>
        <w:lastRenderedPageBreak/>
        <w:t xml:space="preserve">The expectation is that the Home Office will provide funding for 2024/25 through a further Section 31 grant subject to approval by Home Office Ministers, HM Treasury and </w:t>
      </w:r>
      <w:r>
        <w:rPr>
          <w:rFonts w:ascii="Arial" w:hAnsi="Arial" w:cs="Arial"/>
        </w:rPr>
        <w:t xml:space="preserve">with the agreement of </w:t>
      </w:r>
      <w:r w:rsidRPr="00301D01">
        <w:rPr>
          <w:rFonts w:ascii="Arial" w:hAnsi="Arial" w:cs="Arial"/>
        </w:rPr>
        <w:t xml:space="preserve">the Department for Levelling Up, Housing and Communities.  </w:t>
      </w:r>
    </w:p>
    <w:p w14:paraId="2BCB980F" w14:textId="77777777" w:rsidR="0054207C" w:rsidRPr="00301D01" w:rsidRDefault="0054207C" w:rsidP="0054207C">
      <w:pPr>
        <w:rPr>
          <w:rFonts w:ascii="Arial" w:hAnsi="Arial" w:cs="Arial"/>
        </w:rPr>
      </w:pPr>
    </w:p>
    <w:p w14:paraId="3C9543E0" w14:textId="77777777" w:rsidR="0054207C" w:rsidRPr="0054207C" w:rsidRDefault="0054207C" w:rsidP="0054207C">
      <w:pPr>
        <w:rPr>
          <w:rFonts w:ascii="Arial" w:hAnsi="Arial" w:cs="Arial"/>
        </w:rPr>
      </w:pPr>
      <w:r w:rsidRPr="00301D01">
        <w:rPr>
          <w:rFonts w:ascii="Arial" w:hAnsi="Arial" w:cs="Arial"/>
        </w:rPr>
        <w:t xml:space="preserve">If you have any queries relating to this Section 31 grant then please contact the relevant policy lead Simon Eglington in the first instance </w:t>
      </w:r>
      <w:hyperlink r:id="rId13" w:history="1">
        <w:r w:rsidRPr="0054207C">
          <w:rPr>
            <w:rStyle w:val="Hyperlink"/>
            <w:rFonts w:ascii="Arial" w:hAnsi="Arial" w:cs="Arial"/>
          </w:rPr>
          <w:t>simon.eglington@homeoffice.gov.uk</w:t>
        </w:r>
      </w:hyperlink>
    </w:p>
    <w:p w14:paraId="4559CCB4" w14:textId="77777777" w:rsidR="0054207C" w:rsidRPr="00301D01" w:rsidRDefault="0054207C" w:rsidP="0054207C">
      <w:pPr>
        <w:rPr>
          <w:rFonts w:ascii="Arial" w:hAnsi="Arial" w:cs="Arial"/>
        </w:rPr>
      </w:pPr>
    </w:p>
    <w:p w14:paraId="210EF78D" w14:textId="77777777" w:rsidR="0054207C" w:rsidRPr="00301D01" w:rsidRDefault="0054207C" w:rsidP="0054207C">
      <w:pPr>
        <w:rPr>
          <w:rFonts w:ascii="Arial" w:hAnsi="Arial" w:cs="Arial"/>
        </w:rPr>
      </w:pPr>
      <w:r w:rsidRPr="00301D01">
        <w:rPr>
          <w:rFonts w:ascii="Arial" w:hAnsi="Arial" w:cs="Arial"/>
        </w:rPr>
        <w:t xml:space="preserve">I would be grateful if this letter is copied to your Chief Finance Officer for their information.  </w:t>
      </w:r>
    </w:p>
    <w:p w14:paraId="563B8DC0" w14:textId="77777777" w:rsidR="0054207C" w:rsidRPr="00301D01" w:rsidRDefault="0054207C" w:rsidP="0054207C">
      <w:pPr>
        <w:rPr>
          <w:rFonts w:ascii="Arial" w:hAnsi="Arial" w:cs="Arial"/>
        </w:rPr>
      </w:pPr>
    </w:p>
    <w:p w14:paraId="45B9DB10" w14:textId="77777777" w:rsidR="0054207C" w:rsidRPr="00301D01" w:rsidRDefault="0054207C" w:rsidP="0054207C">
      <w:pPr>
        <w:rPr>
          <w:rFonts w:ascii="Arial" w:hAnsi="Arial" w:cs="Arial"/>
        </w:rPr>
      </w:pPr>
      <w:r w:rsidRPr="00301D01">
        <w:rPr>
          <w:rFonts w:ascii="Arial" w:hAnsi="Arial" w:cs="Arial"/>
        </w:rPr>
        <w:t>A copy of this letter has also been sent to the Section31 Grant Team in the Department for Levelling Up, Housing and Communities and HM Treasury.</w:t>
      </w:r>
    </w:p>
    <w:p w14:paraId="436F77F2" w14:textId="77777777" w:rsidR="0054207C" w:rsidRDefault="0054207C" w:rsidP="0054207C">
      <w:pPr>
        <w:rPr>
          <w:rFonts w:ascii="Arial" w:hAnsi="Arial" w:cs="Arial"/>
        </w:rPr>
      </w:pPr>
    </w:p>
    <w:p w14:paraId="0C63BCD4" w14:textId="77777777" w:rsidR="0054207C" w:rsidRPr="00301D01" w:rsidRDefault="0054207C" w:rsidP="0054207C">
      <w:pPr>
        <w:rPr>
          <w:rFonts w:ascii="Arial" w:hAnsi="Arial" w:cs="Arial"/>
        </w:rPr>
      </w:pPr>
    </w:p>
    <w:p w14:paraId="694FC53D" w14:textId="63DE55F2" w:rsidR="0054207C" w:rsidRDefault="0054207C" w:rsidP="0054207C">
      <w:pPr>
        <w:rPr>
          <w:rFonts w:ascii="Arial" w:hAnsi="Arial" w:cs="Arial"/>
        </w:rPr>
      </w:pPr>
      <w:r w:rsidRPr="00301D01">
        <w:rPr>
          <w:rFonts w:ascii="Arial" w:hAnsi="Arial" w:cs="Arial"/>
        </w:rPr>
        <w:t>Yours sincerely</w:t>
      </w:r>
      <w:r>
        <w:rPr>
          <w:rFonts w:ascii="Arial" w:hAnsi="Arial" w:cs="Arial"/>
        </w:rPr>
        <w:t xml:space="preserve">, </w:t>
      </w:r>
      <w:r w:rsidRPr="00301D01">
        <w:rPr>
          <w:rFonts w:ascii="Arial" w:hAnsi="Arial" w:cs="Arial"/>
        </w:rPr>
        <w:t xml:space="preserve"> </w:t>
      </w:r>
    </w:p>
    <w:p w14:paraId="344EA627" w14:textId="77777777" w:rsidR="0054207C" w:rsidRDefault="0054207C" w:rsidP="0054207C">
      <w:pPr>
        <w:rPr>
          <w:rFonts w:ascii="Arial" w:hAnsi="Arial" w:cs="Arial"/>
        </w:rPr>
      </w:pPr>
    </w:p>
    <w:p w14:paraId="4848FCB6" w14:textId="0DBE90D0" w:rsidR="0054207C" w:rsidRPr="00301D01" w:rsidRDefault="0039068E" w:rsidP="0054207C">
      <w:pPr>
        <w:rPr>
          <w:rFonts w:ascii="Arial" w:hAnsi="Arial" w:cs="Arial"/>
        </w:rPr>
      </w:pPr>
      <w:r w:rsidRPr="003966C6">
        <w:rPr>
          <w:noProof/>
        </w:rPr>
        <w:drawing>
          <wp:inline distT="0" distB="0" distL="0" distR="0" wp14:anchorId="62C6346E" wp14:editId="68D65AFE">
            <wp:extent cx="1708150" cy="58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0" cy="586740"/>
                    </a:xfrm>
                    <a:prstGeom prst="rect">
                      <a:avLst/>
                    </a:prstGeom>
                    <a:noFill/>
                    <a:ln>
                      <a:noFill/>
                    </a:ln>
                  </pic:spPr>
                </pic:pic>
              </a:graphicData>
            </a:graphic>
          </wp:inline>
        </w:drawing>
      </w:r>
    </w:p>
    <w:p w14:paraId="3313A417" w14:textId="77777777" w:rsidR="0054207C" w:rsidRPr="00301D01" w:rsidRDefault="0054207C" w:rsidP="0054207C">
      <w:pPr>
        <w:rPr>
          <w:rFonts w:ascii="Arial" w:hAnsi="Arial" w:cs="Arial"/>
        </w:rPr>
      </w:pPr>
    </w:p>
    <w:p w14:paraId="138AD542" w14:textId="77777777" w:rsidR="0054207C" w:rsidRPr="00301D01" w:rsidRDefault="0054207C" w:rsidP="0054207C">
      <w:pPr>
        <w:rPr>
          <w:rFonts w:ascii="Arial" w:hAnsi="Arial" w:cs="Arial"/>
          <w:b/>
          <w:bCs/>
        </w:rPr>
      </w:pPr>
      <w:r w:rsidRPr="00301D01">
        <w:rPr>
          <w:rFonts w:ascii="Arial" w:hAnsi="Arial" w:cs="Arial"/>
        </w:rPr>
        <w:t>Nick Hunt</w:t>
      </w:r>
    </w:p>
    <w:p w14:paraId="502402B8" w14:textId="77777777" w:rsidR="0054207C" w:rsidRPr="00301D01" w:rsidRDefault="0054207C" w:rsidP="0054207C">
      <w:pPr>
        <w:rPr>
          <w:rFonts w:ascii="Arial" w:eastAsia="Times New Roman" w:hAnsi="Arial" w:cs="Arial"/>
          <w:b/>
          <w:bCs/>
          <w:color w:val="0B0C0C"/>
          <w:lang w:eastAsia="en-GB"/>
        </w:rPr>
      </w:pPr>
      <w:r w:rsidRPr="00301D01">
        <w:rPr>
          <w:rFonts w:ascii="Arial" w:hAnsi="Arial" w:cs="Arial"/>
          <w:b/>
          <w:bCs/>
        </w:rPr>
        <w:t>Head of Firearms</w:t>
      </w:r>
      <w:r>
        <w:rPr>
          <w:rFonts w:ascii="Arial" w:hAnsi="Arial" w:cs="Arial"/>
          <w:b/>
          <w:bCs/>
        </w:rPr>
        <w:t xml:space="preserve"> &amp; Weapons</w:t>
      </w:r>
      <w:r w:rsidRPr="00301D01">
        <w:rPr>
          <w:rFonts w:ascii="Arial" w:hAnsi="Arial" w:cs="Arial"/>
          <w:b/>
          <w:bCs/>
        </w:rPr>
        <w:t xml:space="preserve"> Policy Unit </w:t>
      </w:r>
    </w:p>
    <w:p w14:paraId="7FBD84B6" w14:textId="77777777" w:rsidR="0054207C" w:rsidRDefault="0054207C" w:rsidP="00556576">
      <w:pPr>
        <w:jc w:val="both"/>
        <w:rPr>
          <w:rFonts w:ascii="Arial" w:hAnsi="Arial" w:cs="Arial"/>
        </w:rPr>
      </w:pPr>
    </w:p>
    <w:p w14:paraId="247C17AE" w14:textId="77777777" w:rsidR="0054207C" w:rsidRDefault="0054207C" w:rsidP="00556576">
      <w:pPr>
        <w:jc w:val="both"/>
        <w:rPr>
          <w:rFonts w:ascii="Arial" w:hAnsi="Arial" w:cs="Arial"/>
        </w:rPr>
      </w:pPr>
    </w:p>
    <w:p w14:paraId="1A04AC7D" w14:textId="77777777" w:rsidR="00556576" w:rsidRDefault="00556576" w:rsidP="00556576">
      <w:pPr>
        <w:jc w:val="both"/>
        <w:rPr>
          <w:rFonts w:ascii="Arial" w:hAnsi="Arial" w:cs="Arial"/>
          <w:color w:val="000000" w:themeColor="text1"/>
        </w:rPr>
      </w:pPr>
    </w:p>
    <w:bookmarkEnd w:id="0"/>
    <w:p w14:paraId="47DEDE68" w14:textId="5E2198CC" w:rsidR="00D320AA" w:rsidRPr="00B87A21" w:rsidRDefault="00D320AA" w:rsidP="00556576">
      <w:pPr>
        <w:jc w:val="both"/>
        <w:rPr>
          <w:rFonts w:ascii="Arial" w:hAnsi="Arial" w:cs="Arial"/>
          <w:b/>
          <w:bCs/>
        </w:rPr>
      </w:pPr>
    </w:p>
    <w:sectPr w:rsidR="00D320AA" w:rsidRPr="00B87A21">
      <w:type w:val="continuous"/>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1174" w14:textId="77777777" w:rsidR="00E67495" w:rsidRDefault="00E67495">
      <w:pPr>
        <w:rPr>
          <w:rFonts w:hint="eastAsia"/>
        </w:rPr>
      </w:pPr>
      <w:r>
        <w:separator/>
      </w:r>
    </w:p>
  </w:endnote>
  <w:endnote w:type="continuationSeparator" w:id="0">
    <w:p w14:paraId="1B774D82" w14:textId="77777777" w:rsidR="00E67495" w:rsidRDefault="00E674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B388" w14:textId="77777777" w:rsidR="00E67495" w:rsidRDefault="00E67495">
      <w:pPr>
        <w:rPr>
          <w:rFonts w:hint="eastAsia"/>
        </w:rPr>
      </w:pPr>
      <w:r>
        <w:rPr>
          <w:color w:val="000000"/>
        </w:rPr>
        <w:separator/>
      </w:r>
    </w:p>
  </w:footnote>
  <w:footnote w:type="continuationSeparator" w:id="0">
    <w:p w14:paraId="5D8F8518" w14:textId="77777777" w:rsidR="00E67495" w:rsidRDefault="00E674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41861"/>
    <w:multiLevelType w:val="hybridMultilevel"/>
    <w:tmpl w:val="0A2A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48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15"/>
    <w:rsid w:val="00011439"/>
    <w:rsid w:val="000205C0"/>
    <w:rsid w:val="0006239A"/>
    <w:rsid w:val="00140160"/>
    <w:rsid w:val="001E580D"/>
    <w:rsid w:val="0021793D"/>
    <w:rsid w:val="00224CF5"/>
    <w:rsid w:val="00266CE0"/>
    <w:rsid w:val="002913B8"/>
    <w:rsid w:val="00295A27"/>
    <w:rsid w:val="002D6E46"/>
    <w:rsid w:val="002E5175"/>
    <w:rsid w:val="0038707A"/>
    <w:rsid w:val="0039068E"/>
    <w:rsid w:val="0054207C"/>
    <w:rsid w:val="00556576"/>
    <w:rsid w:val="00564DDF"/>
    <w:rsid w:val="00593114"/>
    <w:rsid w:val="005C213A"/>
    <w:rsid w:val="005C3A02"/>
    <w:rsid w:val="005E43F1"/>
    <w:rsid w:val="00625515"/>
    <w:rsid w:val="00670F2B"/>
    <w:rsid w:val="006B2B81"/>
    <w:rsid w:val="006B73F7"/>
    <w:rsid w:val="006E6D4D"/>
    <w:rsid w:val="007602E4"/>
    <w:rsid w:val="00791794"/>
    <w:rsid w:val="00836AEB"/>
    <w:rsid w:val="00855C09"/>
    <w:rsid w:val="00895104"/>
    <w:rsid w:val="008F0C0C"/>
    <w:rsid w:val="00904273"/>
    <w:rsid w:val="0092452C"/>
    <w:rsid w:val="00995D8E"/>
    <w:rsid w:val="009D30DC"/>
    <w:rsid w:val="009F7EC0"/>
    <w:rsid w:val="00A06131"/>
    <w:rsid w:val="00A719C3"/>
    <w:rsid w:val="00AC7971"/>
    <w:rsid w:val="00AE4FBE"/>
    <w:rsid w:val="00B1103C"/>
    <w:rsid w:val="00B87AFD"/>
    <w:rsid w:val="00BC434A"/>
    <w:rsid w:val="00BE3797"/>
    <w:rsid w:val="00BE7594"/>
    <w:rsid w:val="00C03784"/>
    <w:rsid w:val="00C22D99"/>
    <w:rsid w:val="00C67946"/>
    <w:rsid w:val="00C843B4"/>
    <w:rsid w:val="00CA5D3E"/>
    <w:rsid w:val="00CC2CBA"/>
    <w:rsid w:val="00CE623C"/>
    <w:rsid w:val="00D31C85"/>
    <w:rsid w:val="00D320AA"/>
    <w:rsid w:val="00D359FB"/>
    <w:rsid w:val="00E16571"/>
    <w:rsid w:val="00E67495"/>
    <w:rsid w:val="00EE4FC0"/>
    <w:rsid w:val="00F32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2297"/>
  <w15:docId w15:val="{8DA8AA1B-BA2F-4346-B81F-3A90BF15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spacing w:line="240" w:lineRule="auto"/>
      <w:outlineLvl w:val="0"/>
    </w:pPr>
    <w:rPr>
      <w:rFonts w:ascii="Times New Roman" w:hAnsi="Times New Roman" w:cs="Times New Roman"/>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80" w:lineRule="atLeast"/>
    </w:pPr>
    <w:rPr>
      <w:rFonts w:ascii="Arial" w:eastAsia="Times New Roman" w:hAnsi="Arial" w:cs="Arial"/>
      <w:sz w:val="22"/>
      <w:szCs w:val="22"/>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line="220" w:lineRule="atLeast"/>
    </w:pPr>
    <w:rPr>
      <w:sz w:val="18"/>
      <w:szCs w:val="18"/>
    </w:r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Header">
    <w:name w:val="header"/>
    <w:basedOn w:val="Standard"/>
  </w:style>
  <w:style w:type="paragraph" w:styleId="Footer">
    <w:name w:val="footer"/>
    <w:basedOn w:val="Standard"/>
  </w:style>
  <w:style w:type="paragraph" w:styleId="BodyText2">
    <w:name w:val="Body Text 2"/>
    <w:basedOn w:val="Standard"/>
    <w:pPr>
      <w:spacing w:line="220" w:lineRule="atLeast"/>
    </w:pPr>
    <w:rPr>
      <w:rFonts w:ascii="Arial Black" w:eastAsia="Arial Black" w:hAnsi="Arial Black" w:cs="Arial Black"/>
      <w:sz w:val="18"/>
      <w:szCs w:val="18"/>
    </w:rPr>
  </w:style>
  <w:style w:type="paragraph" w:styleId="BodyText3">
    <w:name w:val="Body Text 3"/>
    <w:basedOn w:val="Standard"/>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Char1">
    <w:name w:val="Char1"/>
    <w:basedOn w:val="DefaultParagraphFont"/>
    <w:rPr>
      <w:rFonts w:ascii="Arial" w:eastAsia="Arial" w:hAnsi="Arial" w:cs="Arial"/>
      <w:sz w:val="18"/>
      <w:szCs w:val="18"/>
      <w:lang w:val="en-US" w:bidi="ar-SA"/>
    </w:rPr>
  </w:style>
  <w:style w:type="character" w:customStyle="1" w:styleId="Char">
    <w:name w:val="Char"/>
    <w:basedOn w:val="DefaultParagraphFont"/>
    <w:rPr>
      <w:rFonts w:ascii="Arial Black" w:eastAsia="Arial Black" w:hAnsi="Arial Black" w:cs="Arial Black"/>
      <w:sz w:val="18"/>
      <w:szCs w:val="18"/>
      <w:lang w:val="en-US" w:bidi="ar-SA"/>
    </w:rPr>
  </w:style>
  <w:style w:type="character" w:customStyle="1" w:styleId="WW-Char1">
    <w:name w:val="WW-Char1"/>
    <w:basedOn w:val="DefaultParagraphFont"/>
    <w:rPr>
      <w:rFonts w:ascii="Arial" w:eastAsia="Arial" w:hAnsi="Arial" w:cs="Arial"/>
      <w:sz w:val="18"/>
      <w:szCs w:val="18"/>
      <w:lang w:val="en-US" w:bidi="ar-SA"/>
    </w:rPr>
  </w:style>
  <w:style w:type="character" w:customStyle="1" w:styleId="Heading1Char">
    <w:name w:val="Heading 1 Char"/>
    <w:basedOn w:val="DefaultParagraphFont"/>
    <w:rPr>
      <w:b/>
      <w:bCs/>
      <w:sz w:val="24"/>
    </w:rPr>
  </w:style>
  <w:style w:type="character" w:styleId="Hyperlink">
    <w:name w:val="Hyperlink"/>
    <w:basedOn w:val="DefaultParagraphFont"/>
    <w:rPr>
      <w:color w:val="0563C1"/>
      <w:u w:val="single"/>
    </w:rPr>
  </w:style>
  <w:style w:type="paragraph" w:styleId="NormalWeb">
    <w:name w:val="Normal (Web)"/>
    <w:basedOn w:val="Normal"/>
    <w:rsid w:val="00564DDF"/>
    <w:pPr>
      <w:textAlignment w:val="auto"/>
    </w:pPr>
    <w:rPr>
      <w:rFonts w:ascii="Times New Roman" w:hAnsi="Times New Roman"/>
      <w:szCs w:val="21"/>
    </w:rPr>
  </w:style>
  <w:style w:type="character" w:styleId="UnresolvedMention">
    <w:name w:val="Unresolved Mention"/>
    <w:basedOn w:val="DefaultParagraphFont"/>
    <w:uiPriority w:val="99"/>
    <w:semiHidden/>
    <w:unhideWhenUsed/>
    <w:rsid w:val="006B73F7"/>
    <w:rPr>
      <w:color w:val="605E5C"/>
      <w:shd w:val="clear" w:color="auto" w:fill="E1DFDD"/>
    </w:rPr>
  </w:style>
  <w:style w:type="paragraph" w:styleId="FootnoteText">
    <w:name w:val="footnote text"/>
    <w:basedOn w:val="Normal"/>
    <w:link w:val="FootnoteTextChar"/>
    <w:uiPriority w:val="99"/>
    <w:rsid w:val="006B2B81"/>
    <w:pPr>
      <w:widowControl/>
      <w:suppressAutoHyphens w:val="0"/>
      <w:autoSpaceDN/>
      <w:textAlignment w:val="auto"/>
    </w:pPr>
    <w:rPr>
      <w:rFonts w:ascii="Times New Roman" w:eastAsia="Times New Roman" w:hAnsi="Times New Roman" w:cs="Times New Roman"/>
      <w:kern w:val="0"/>
      <w:sz w:val="20"/>
      <w:szCs w:val="20"/>
      <w:lang w:eastAsia="en-GB" w:bidi="ar-SA"/>
    </w:rPr>
  </w:style>
  <w:style w:type="character" w:customStyle="1" w:styleId="FootnoteTextChar">
    <w:name w:val="Footnote Text Char"/>
    <w:basedOn w:val="DefaultParagraphFont"/>
    <w:link w:val="FootnoteText"/>
    <w:uiPriority w:val="99"/>
    <w:rsid w:val="006B2B81"/>
    <w:rPr>
      <w:rFonts w:ascii="Times New Roman" w:eastAsia="Times New Roman" w:hAnsi="Times New Roman" w:cs="Times New Roman"/>
      <w:kern w:val="0"/>
      <w:sz w:val="20"/>
      <w:szCs w:val="20"/>
      <w:lang w:eastAsia="en-GB" w:bidi="ar-SA"/>
    </w:rPr>
  </w:style>
  <w:style w:type="character" w:styleId="FootnoteReference">
    <w:name w:val="footnote reference"/>
    <w:basedOn w:val="DefaultParagraphFont"/>
    <w:uiPriority w:val="99"/>
    <w:rsid w:val="006B2B81"/>
    <w:rPr>
      <w:vertAlign w:val="superscript"/>
    </w:rPr>
  </w:style>
  <w:style w:type="paragraph" w:styleId="Revision">
    <w:name w:val="Revision"/>
    <w:hidden/>
    <w:uiPriority w:val="99"/>
    <w:semiHidden/>
    <w:rsid w:val="00556576"/>
    <w:pPr>
      <w:widowControl/>
      <w:autoSpaceDN/>
      <w:textAlignment w:val="auto"/>
    </w:pPr>
    <w:rPr>
      <w:szCs w:val="21"/>
    </w:rPr>
  </w:style>
  <w:style w:type="paragraph" w:styleId="ListParagraph">
    <w:name w:val="List Paragraph"/>
    <w:basedOn w:val="Normal"/>
    <w:uiPriority w:val="34"/>
    <w:qFormat/>
    <w:rsid w:val="0054207C"/>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eglington@homeoffic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eglington@homeoff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Serious Violence Unit (SVU)</TermName>
          <TermId xmlns="http://schemas.microsoft.com/office/infopath/2007/PartnerControls">a196f65b-3b63-4ac7-8c86-194554014609</TermId>
        </TermInfo>
      </Terms>
    </jb5e598af17141539648acf311d7477b>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18BCDC1BD6CBF4799B0C2590932FD35" ma:contentTypeVersion="10" ma:contentTypeDescription="Create a new document." ma:contentTypeScope="" ma:versionID="31442ce2aef7c3530e1a240d783495fe">
  <xsd:schema xmlns:xsd="http://www.w3.org/2001/XMLSchema" xmlns:xs="http://www.w3.org/2001/XMLSchema" xmlns:p="http://schemas.microsoft.com/office/2006/metadata/properties" xmlns:ns2="4e9417ab-6472-4075-af16-7dc6074df91e" xmlns:ns3="78ab85d3-c9eb-4fe5-afcd-019b73645737" xmlns:ns4="62dff710-1361-4a70-977e-37e1c0367ee4" targetNamespace="http://schemas.microsoft.com/office/2006/metadata/properties" ma:root="true" ma:fieldsID="a04b99570b7568b5f22ad192bdd32122" ns2:_="" ns3:_="" ns4:_="">
    <xsd:import namespace="4e9417ab-6472-4075-af16-7dc6074df91e"/>
    <xsd:import namespace="78ab85d3-c9eb-4fe5-afcd-019b73645737"/>
    <xsd:import namespace="62dff710-1361-4a70-977e-37e1c0367ee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6a637ed-4672-4ed0-8038-23528ce136ce}" ma:internalName="TaxCatchAll" ma:showField="CatchAllData" ma:web="62dff710-1361-4a70-977e-37e1c0367e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6a637ed-4672-4ed0-8038-23528ce136ce}" ma:internalName="TaxCatchAllLabel" ma:readOnly="true" ma:showField="CatchAllDataLabel" ma:web="62dff710-1361-4a70-977e-37e1c0367ee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Serious Violence Unit (SVU)|a196f65b-3b63-4ac7-8c86-19455401460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ab85d3-c9eb-4fe5-afcd-019b7364573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dff710-1361-4a70-977e-37e1c0367ee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CB8FA-4C0F-4C4B-8F6B-780BD388673B}">
  <ds:schemaRefs>
    <ds:schemaRef ds:uri="http://schemas.microsoft.com/office/2006/metadata/properties"/>
    <ds:schemaRef ds:uri="http://schemas.microsoft.com/office/infopath/2007/PartnerControls"/>
    <ds:schemaRef ds:uri="4e9417ab-6472-4075-af16-7dc6074df91e"/>
  </ds:schemaRefs>
</ds:datastoreItem>
</file>

<file path=customXml/itemProps2.xml><?xml version="1.0" encoding="utf-8"?>
<ds:datastoreItem xmlns:ds="http://schemas.openxmlformats.org/officeDocument/2006/customXml" ds:itemID="{4D5AE495-13E0-40F8-81EE-C2C76E9C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78ab85d3-c9eb-4fe5-afcd-019b73645737"/>
    <ds:schemaRef ds:uri="62dff710-1361-4a70-977e-37e1c0367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0922E-DFCF-4983-A1B5-41C96380E7D9}">
  <ds:schemaRefs>
    <ds:schemaRef ds:uri="Microsoft.SharePoint.Taxonomy.ContentTypeSync"/>
  </ds:schemaRefs>
</ds:datastoreItem>
</file>

<file path=customXml/itemProps4.xml><?xml version="1.0" encoding="utf-8"?>
<ds:datastoreItem xmlns:ds="http://schemas.openxmlformats.org/officeDocument/2006/customXml" ds:itemID="{5500EA79-792D-4325-BEC2-390A2EE87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[Region/Directorate]</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[Region/Directorate]</dc:title>
  <dc:creator>User</dc:creator>
  <cp:lastModifiedBy>Simon Eglington</cp:lastModifiedBy>
  <cp:revision>2</cp:revision>
  <cp:lastPrinted>2024-03-06T12:09:00Z</cp:lastPrinted>
  <dcterms:created xsi:type="dcterms:W3CDTF">2024-09-13T14:39:00Z</dcterms:created>
  <dcterms:modified xsi:type="dcterms:W3CDTF">2024-09-13T14:39:00Z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0x010100A5BF1C78D9F64B679A5EBDE1C6598EBC0100B18BCDC1BD6CBF4799B0C2590932FD35</vt:lpwstr>
  </property>
</Properties>
</file>