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089BF9" w14:textId="297A6E7C" w:rsidR="009D4212" w:rsidRPr="00F651E1" w:rsidRDefault="00FC4DC7" w:rsidP="0090114F">
      <w:pPr>
        <w:pStyle w:val="Heading1"/>
        <w:ind w:left="-426"/>
        <w:rPr>
          <w:b/>
          <w:bCs/>
          <w:color w:val="auto"/>
          <w:sz w:val="40"/>
          <w:szCs w:val="40"/>
        </w:rPr>
      </w:pPr>
      <w:bookmarkStart w:id="0" w:name="_GoBack"/>
      <w:bookmarkEnd w:id="0"/>
      <w:r w:rsidRPr="00F651E1">
        <w:rPr>
          <w:b/>
          <w:bCs/>
          <w:color w:val="auto"/>
          <w:sz w:val="40"/>
          <w:szCs w:val="40"/>
        </w:rPr>
        <w:t>A</w:t>
      </w:r>
      <w:r w:rsidR="00F651E1" w:rsidRPr="00F651E1">
        <w:rPr>
          <w:b/>
          <w:bCs/>
          <w:color w:val="auto"/>
          <w:sz w:val="40"/>
          <w:szCs w:val="40"/>
        </w:rPr>
        <w:t xml:space="preserve">cademy </w:t>
      </w:r>
      <w:r w:rsidR="00B7414F">
        <w:rPr>
          <w:b/>
          <w:bCs/>
          <w:color w:val="auto"/>
          <w:sz w:val="40"/>
          <w:szCs w:val="40"/>
        </w:rPr>
        <w:t>t</w:t>
      </w:r>
      <w:r w:rsidR="00F651E1" w:rsidRPr="00F651E1">
        <w:rPr>
          <w:b/>
          <w:bCs/>
          <w:color w:val="auto"/>
          <w:sz w:val="40"/>
          <w:szCs w:val="40"/>
        </w:rPr>
        <w:t xml:space="preserve">rust </w:t>
      </w:r>
      <w:r w:rsidR="00B7414F">
        <w:rPr>
          <w:b/>
          <w:bCs/>
          <w:color w:val="auto"/>
          <w:sz w:val="40"/>
          <w:szCs w:val="40"/>
        </w:rPr>
        <w:t>external a</w:t>
      </w:r>
      <w:r w:rsidR="00F651E1" w:rsidRPr="00F651E1">
        <w:rPr>
          <w:b/>
          <w:bCs/>
          <w:color w:val="auto"/>
          <w:sz w:val="40"/>
          <w:szCs w:val="40"/>
        </w:rPr>
        <w:t xml:space="preserve">udit </w:t>
      </w:r>
      <w:r w:rsidR="00B7414F">
        <w:rPr>
          <w:b/>
          <w:bCs/>
          <w:color w:val="auto"/>
          <w:sz w:val="40"/>
          <w:szCs w:val="40"/>
        </w:rPr>
        <w:t>p</w:t>
      </w:r>
      <w:r w:rsidR="00F651E1" w:rsidRPr="00F651E1">
        <w:rPr>
          <w:b/>
          <w:bCs/>
          <w:color w:val="auto"/>
          <w:sz w:val="40"/>
          <w:szCs w:val="40"/>
        </w:rPr>
        <w:t xml:space="preserve">reparation </w:t>
      </w:r>
      <w:r w:rsidR="00B7414F">
        <w:rPr>
          <w:b/>
          <w:bCs/>
          <w:color w:val="auto"/>
          <w:sz w:val="40"/>
          <w:szCs w:val="40"/>
        </w:rPr>
        <w:t>c</w:t>
      </w:r>
      <w:r w:rsidR="00F651E1" w:rsidRPr="00F651E1">
        <w:rPr>
          <w:b/>
          <w:bCs/>
          <w:color w:val="auto"/>
          <w:sz w:val="40"/>
          <w:szCs w:val="40"/>
        </w:rPr>
        <w:t>hecklist</w:t>
      </w:r>
    </w:p>
    <w:p w14:paraId="1BE84640" w14:textId="77777777" w:rsidR="007F34BB" w:rsidRDefault="007F34BB" w:rsidP="00C96A4F"/>
    <w:tbl>
      <w:tblPr>
        <w:tblStyle w:val="TableGrid"/>
        <w:tblW w:w="10065" w:type="dxa"/>
        <w:tblInd w:w="-431" w:type="dxa"/>
        <w:tblLook w:val="04A0" w:firstRow="1" w:lastRow="0" w:firstColumn="1" w:lastColumn="0" w:noHBand="0" w:noVBand="1"/>
      </w:tblPr>
      <w:tblGrid>
        <w:gridCol w:w="4104"/>
        <w:gridCol w:w="1142"/>
        <w:gridCol w:w="1346"/>
        <w:gridCol w:w="1347"/>
        <w:gridCol w:w="2126"/>
      </w:tblGrid>
      <w:tr w:rsidR="006E3332" w:rsidRPr="00417761" w14:paraId="63B718A9" w14:textId="77777777" w:rsidTr="006E3332">
        <w:tc>
          <w:tcPr>
            <w:tcW w:w="4104" w:type="dxa"/>
            <w:shd w:val="clear" w:color="auto" w:fill="BFBFBF" w:themeFill="background1" w:themeFillShade="BF"/>
          </w:tcPr>
          <w:p w14:paraId="25A1633F" w14:textId="77777777" w:rsidR="006E3332" w:rsidRPr="00417761" w:rsidRDefault="006E3332" w:rsidP="0061662C">
            <w:pPr>
              <w:spacing w:after="60"/>
              <w:jc w:val="center"/>
              <w:rPr>
                <w:b/>
              </w:rPr>
            </w:pPr>
            <w:r w:rsidRPr="00417761">
              <w:rPr>
                <w:b/>
              </w:rPr>
              <w:t>Schedules, listings, information</w:t>
            </w:r>
          </w:p>
          <w:p w14:paraId="05C9BA78" w14:textId="13A7C0F0" w:rsidR="006E3332" w:rsidRPr="00417761" w:rsidRDefault="006E3332" w:rsidP="0061662C">
            <w:pPr>
              <w:spacing w:after="60"/>
              <w:jc w:val="center"/>
              <w:rPr>
                <w:b/>
              </w:rPr>
            </w:pPr>
          </w:p>
        </w:tc>
        <w:tc>
          <w:tcPr>
            <w:tcW w:w="1142" w:type="dxa"/>
            <w:shd w:val="clear" w:color="auto" w:fill="BFBFBF" w:themeFill="background1" w:themeFillShade="BF"/>
          </w:tcPr>
          <w:p w14:paraId="27032E44" w14:textId="1ACDEE98" w:rsidR="006E3332" w:rsidRPr="00417761" w:rsidRDefault="006E3332" w:rsidP="00B7414F">
            <w:pPr>
              <w:spacing w:after="60"/>
              <w:jc w:val="center"/>
              <w:rPr>
                <w:b/>
              </w:rPr>
            </w:pPr>
            <w:r w:rsidRPr="00417761">
              <w:rPr>
                <w:b/>
              </w:rPr>
              <w:t xml:space="preserve">Working paper </w:t>
            </w:r>
            <w:r w:rsidR="00B7414F">
              <w:rPr>
                <w:b/>
              </w:rPr>
              <w:t>r</w:t>
            </w:r>
            <w:r w:rsidRPr="00417761">
              <w:rPr>
                <w:b/>
              </w:rPr>
              <w:t>eference</w:t>
            </w:r>
          </w:p>
        </w:tc>
        <w:tc>
          <w:tcPr>
            <w:tcW w:w="1346" w:type="dxa"/>
            <w:shd w:val="clear" w:color="auto" w:fill="BFBFBF" w:themeFill="background1" w:themeFillShade="BF"/>
          </w:tcPr>
          <w:p w14:paraId="7DE74B9D" w14:textId="77777777" w:rsidR="006E3332" w:rsidRPr="00417761" w:rsidRDefault="006E3332" w:rsidP="0061662C">
            <w:pPr>
              <w:spacing w:after="60"/>
              <w:jc w:val="center"/>
              <w:rPr>
                <w:b/>
              </w:rPr>
            </w:pPr>
            <w:r w:rsidRPr="00417761">
              <w:rPr>
                <w:b/>
              </w:rPr>
              <w:t>Person responsible and contact number</w:t>
            </w:r>
          </w:p>
        </w:tc>
        <w:tc>
          <w:tcPr>
            <w:tcW w:w="1347" w:type="dxa"/>
            <w:shd w:val="clear" w:color="auto" w:fill="BFBFBF" w:themeFill="background1" w:themeFillShade="BF"/>
          </w:tcPr>
          <w:p w14:paraId="4012AF54" w14:textId="6A36D805" w:rsidR="006E3332" w:rsidRPr="00417761" w:rsidRDefault="006E3332" w:rsidP="0061662C">
            <w:pPr>
              <w:spacing w:after="60"/>
              <w:jc w:val="center"/>
              <w:rPr>
                <w:b/>
              </w:rPr>
            </w:pPr>
            <w:r>
              <w:rPr>
                <w:b/>
              </w:rPr>
              <w:t>Target delivery date</w:t>
            </w:r>
          </w:p>
        </w:tc>
        <w:tc>
          <w:tcPr>
            <w:tcW w:w="2126" w:type="dxa"/>
            <w:shd w:val="clear" w:color="auto" w:fill="BFBFBF" w:themeFill="background1" w:themeFillShade="BF"/>
          </w:tcPr>
          <w:p w14:paraId="27DCFBDD" w14:textId="37C01E39" w:rsidR="006E3332" w:rsidRPr="00417761" w:rsidRDefault="006E3332" w:rsidP="0061662C">
            <w:pPr>
              <w:spacing w:after="60"/>
              <w:jc w:val="center"/>
              <w:rPr>
                <w:b/>
              </w:rPr>
            </w:pPr>
            <w:r w:rsidRPr="00417761">
              <w:rPr>
                <w:b/>
              </w:rPr>
              <w:t>Comments</w:t>
            </w:r>
          </w:p>
        </w:tc>
      </w:tr>
      <w:tr w:rsidR="006E3332" w14:paraId="45B7190F" w14:textId="77777777" w:rsidTr="00052C9D">
        <w:tc>
          <w:tcPr>
            <w:tcW w:w="4104" w:type="dxa"/>
          </w:tcPr>
          <w:p w14:paraId="5267023B" w14:textId="77777777" w:rsidR="006E3332" w:rsidRPr="00C51279" w:rsidRDefault="006E3332" w:rsidP="0061662C">
            <w:pPr>
              <w:spacing w:after="60"/>
              <w:rPr>
                <w:b/>
              </w:rPr>
            </w:pPr>
          </w:p>
        </w:tc>
        <w:tc>
          <w:tcPr>
            <w:tcW w:w="1142" w:type="dxa"/>
          </w:tcPr>
          <w:p w14:paraId="54CD6BB9" w14:textId="77777777" w:rsidR="006E3332" w:rsidRDefault="006E3332" w:rsidP="0061662C">
            <w:pPr>
              <w:spacing w:after="60"/>
            </w:pPr>
          </w:p>
        </w:tc>
        <w:tc>
          <w:tcPr>
            <w:tcW w:w="1346" w:type="dxa"/>
          </w:tcPr>
          <w:p w14:paraId="67AA6D53" w14:textId="77777777" w:rsidR="006E3332" w:rsidRDefault="006E3332" w:rsidP="0061662C">
            <w:pPr>
              <w:spacing w:after="60"/>
            </w:pPr>
          </w:p>
        </w:tc>
        <w:tc>
          <w:tcPr>
            <w:tcW w:w="1347" w:type="dxa"/>
          </w:tcPr>
          <w:p w14:paraId="1030F02F" w14:textId="77777777" w:rsidR="006E3332" w:rsidRDefault="006E3332" w:rsidP="0061662C">
            <w:pPr>
              <w:spacing w:after="60"/>
            </w:pPr>
          </w:p>
        </w:tc>
        <w:tc>
          <w:tcPr>
            <w:tcW w:w="2126" w:type="dxa"/>
          </w:tcPr>
          <w:p w14:paraId="407AE52F" w14:textId="77777777" w:rsidR="006E3332" w:rsidRDefault="006E3332" w:rsidP="0061662C">
            <w:pPr>
              <w:spacing w:after="60"/>
            </w:pPr>
          </w:p>
        </w:tc>
      </w:tr>
      <w:tr w:rsidR="006E3332" w14:paraId="38A2E838" w14:textId="77777777" w:rsidTr="006E3332">
        <w:tc>
          <w:tcPr>
            <w:tcW w:w="4104" w:type="dxa"/>
            <w:shd w:val="clear" w:color="auto" w:fill="BFBFBF" w:themeFill="background1" w:themeFillShade="BF"/>
          </w:tcPr>
          <w:p w14:paraId="722387BD" w14:textId="1E552266" w:rsidR="006E3332" w:rsidRPr="00C51279" w:rsidRDefault="006E3332" w:rsidP="0061662C">
            <w:pPr>
              <w:spacing w:after="60"/>
              <w:rPr>
                <w:b/>
              </w:rPr>
            </w:pPr>
            <w:r w:rsidRPr="00C51279">
              <w:rPr>
                <w:b/>
              </w:rPr>
              <w:t xml:space="preserve">A </w:t>
            </w:r>
            <w:r>
              <w:rPr>
                <w:b/>
              </w:rPr>
              <w:t>Financial Statements</w:t>
            </w:r>
            <w:r w:rsidRPr="00C51279">
              <w:rPr>
                <w:b/>
              </w:rPr>
              <w:t xml:space="preserve"> </w:t>
            </w:r>
          </w:p>
        </w:tc>
        <w:tc>
          <w:tcPr>
            <w:tcW w:w="1142" w:type="dxa"/>
            <w:shd w:val="clear" w:color="auto" w:fill="BFBFBF" w:themeFill="background1" w:themeFillShade="BF"/>
          </w:tcPr>
          <w:p w14:paraId="581B564B" w14:textId="77777777" w:rsidR="006E3332" w:rsidRDefault="006E3332" w:rsidP="0061662C">
            <w:pPr>
              <w:spacing w:after="60"/>
            </w:pPr>
          </w:p>
        </w:tc>
        <w:tc>
          <w:tcPr>
            <w:tcW w:w="1346" w:type="dxa"/>
            <w:shd w:val="clear" w:color="auto" w:fill="BFBFBF" w:themeFill="background1" w:themeFillShade="BF"/>
          </w:tcPr>
          <w:p w14:paraId="2E3730D7" w14:textId="77777777" w:rsidR="006E3332" w:rsidRDefault="006E3332" w:rsidP="0061662C">
            <w:pPr>
              <w:spacing w:after="60"/>
            </w:pPr>
          </w:p>
        </w:tc>
        <w:tc>
          <w:tcPr>
            <w:tcW w:w="1347" w:type="dxa"/>
            <w:shd w:val="clear" w:color="auto" w:fill="BFBFBF" w:themeFill="background1" w:themeFillShade="BF"/>
          </w:tcPr>
          <w:p w14:paraId="2BCA662C" w14:textId="413BCD13" w:rsidR="006E3332" w:rsidRDefault="006E3332" w:rsidP="0061662C">
            <w:pPr>
              <w:spacing w:after="60"/>
            </w:pPr>
          </w:p>
        </w:tc>
        <w:tc>
          <w:tcPr>
            <w:tcW w:w="2126" w:type="dxa"/>
            <w:shd w:val="clear" w:color="auto" w:fill="BFBFBF" w:themeFill="background1" w:themeFillShade="BF"/>
          </w:tcPr>
          <w:p w14:paraId="0EBE612E" w14:textId="77777777" w:rsidR="006E3332" w:rsidRDefault="006E3332" w:rsidP="0061662C">
            <w:pPr>
              <w:spacing w:after="60"/>
            </w:pPr>
          </w:p>
        </w:tc>
      </w:tr>
      <w:tr w:rsidR="006E3332" w14:paraId="4CC6B46B" w14:textId="77777777" w:rsidTr="00052C9D">
        <w:tc>
          <w:tcPr>
            <w:tcW w:w="4104" w:type="dxa"/>
          </w:tcPr>
          <w:p w14:paraId="70C7A5F8" w14:textId="43156345" w:rsidR="006E3332" w:rsidRDefault="006E3332" w:rsidP="0061662C">
            <w:pPr>
              <w:pStyle w:val="ListParagraph"/>
              <w:numPr>
                <w:ilvl w:val="0"/>
                <w:numId w:val="6"/>
              </w:numPr>
              <w:spacing w:after="60"/>
              <w:ind w:left="315" w:hanging="315"/>
            </w:pPr>
            <w:r>
              <w:t xml:space="preserve">The </w:t>
            </w:r>
            <w:r w:rsidR="00B90E67">
              <w:t xml:space="preserve">draft </w:t>
            </w:r>
            <w:r>
              <w:t>financial statements including all statements, reports and notes to the accounts described in “Coketown Academy Trust” in the Academies Accounts Direction</w:t>
            </w:r>
            <w:r w:rsidR="0049074D">
              <w:t>:</w:t>
            </w:r>
          </w:p>
          <w:p w14:paraId="50491A3E" w14:textId="77777777" w:rsidR="002A0001" w:rsidRDefault="002A0001" w:rsidP="0061662C">
            <w:pPr>
              <w:pStyle w:val="ListParagraph"/>
              <w:numPr>
                <w:ilvl w:val="0"/>
                <w:numId w:val="26"/>
              </w:numPr>
              <w:spacing w:after="60"/>
              <w:ind w:left="599" w:hanging="284"/>
            </w:pPr>
            <w:r>
              <w:t>Trustees’ report</w:t>
            </w:r>
          </w:p>
          <w:p w14:paraId="1F809744" w14:textId="77777777" w:rsidR="002A0001" w:rsidRDefault="002A0001" w:rsidP="0061662C">
            <w:pPr>
              <w:pStyle w:val="ListParagraph"/>
              <w:numPr>
                <w:ilvl w:val="0"/>
                <w:numId w:val="26"/>
              </w:numPr>
              <w:spacing w:after="60"/>
              <w:ind w:left="599" w:hanging="284"/>
            </w:pPr>
            <w:r>
              <w:t>Governance statement</w:t>
            </w:r>
          </w:p>
          <w:p w14:paraId="2337BDE8" w14:textId="77777777" w:rsidR="002A0001" w:rsidRDefault="002A0001" w:rsidP="0061662C">
            <w:pPr>
              <w:pStyle w:val="ListParagraph"/>
              <w:numPr>
                <w:ilvl w:val="0"/>
                <w:numId w:val="26"/>
              </w:numPr>
              <w:spacing w:after="60"/>
              <w:ind w:left="599" w:hanging="284"/>
            </w:pPr>
            <w:r>
              <w:t>Statement on regularity and compliance</w:t>
            </w:r>
          </w:p>
          <w:p w14:paraId="2C7D3B95" w14:textId="77777777" w:rsidR="002A0001" w:rsidRDefault="002A0001" w:rsidP="0061662C">
            <w:pPr>
              <w:pStyle w:val="ListParagraph"/>
              <w:numPr>
                <w:ilvl w:val="0"/>
                <w:numId w:val="26"/>
              </w:numPr>
              <w:spacing w:after="60"/>
              <w:ind w:left="599" w:hanging="284"/>
            </w:pPr>
            <w:r>
              <w:t>Statement of trustees’ responsibilities</w:t>
            </w:r>
          </w:p>
          <w:p w14:paraId="5B6395D9" w14:textId="77777777" w:rsidR="002A0001" w:rsidRDefault="002A0001" w:rsidP="0061662C">
            <w:pPr>
              <w:pStyle w:val="ListParagraph"/>
              <w:numPr>
                <w:ilvl w:val="0"/>
                <w:numId w:val="26"/>
              </w:numPr>
              <w:spacing w:after="60"/>
              <w:ind w:left="599" w:hanging="284"/>
            </w:pPr>
            <w:r>
              <w:t>Statement of financial activities</w:t>
            </w:r>
          </w:p>
          <w:p w14:paraId="1678940E" w14:textId="77777777" w:rsidR="002A0001" w:rsidRDefault="002A0001" w:rsidP="0061662C">
            <w:pPr>
              <w:pStyle w:val="ListParagraph"/>
              <w:numPr>
                <w:ilvl w:val="0"/>
                <w:numId w:val="26"/>
              </w:numPr>
              <w:spacing w:after="60"/>
              <w:ind w:left="599" w:hanging="284"/>
            </w:pPr>
            <w:r>
              <w:t>Balance Sheet</w:t>
            </w:r>
          </w:p>
          <w:p w14:paraId="5DEE7E0D" w14:textId="77777777" w:rsidR="002A0001" w:rsidRDefault="002A0001" w:rsidP="0061662C">
            <w:pPr>
              <w:pStyle w:val="ListParagraph"/>
              <w:numPr>
                <w:ilvl w:val="0"/>
                <w:numId w:val="26"/>
              </w:numPr>
              <w:spacing w:after="60"/>
              <w:ind w:left="599" w:hanging="284"/>
            </w:pPr>
            <w:r>
              <w:t>Statement of Cashflows</w:t>
            </w:r>
          </w:p>
          <w:p w14:paraId="5CB38342" w14:textId="55B00CF9" w:rsidR="002A0001" w:rsidRPr="00D80254" w:rsidRDefault="002A0001" w:rsidP="0061662C">
            <w:pPr>
              <w:pStyle w:val="ListParagraph"/>
              <w:numPr>
                <w:ilvl w:val="0"/>
                <w:numId w:val="26"/>
              </w:numPr>
              <w:spacing w:after="60"/>
              <w:ind w:left="599" w:hanging="284"/>
            </w:pPr>
            <w:r>
              <w:t>Notes to the accounts</w:t>
            </w:r>
          </w:p>
        </w:tc>
        <w:tc>
          <w:tcPr>
            <w:tcW w:w="1142" w:type="dxa"/>
          </w:tcPr>
          <w:p w14:paraId="6DBF6FCA" w14:textId="77777777" w:rsidR="006E3332" w:rsidRDefault="006E3332" w:rsidP="0061662C">
            <w:pPr>
              <w:spacing w:after="60"/>
            </w:pPr>
          </w:p>
        </w:tc>
        <w:tc>
          <w:tcPr>
            <w:tcW w:w="1346" w:type="dxa"/>
          </w:tcPr>
          <w:p w14:paraId="7B7B38B7" w14:textId="77777777" w:rsidR="006E3332" w:rsidRDefault="006E3332" w:rsidP="0061662C">
            <w:pPr>
              <w:spacing w:after="60"/>
            </w:pPr>
          </w:p>
        </w:tc>
        <w:tc>
          <w:tcPr>
            <w:tcW w:w="1347" w:type="dxa"/>
          </w:tcPr>
          <w:p w14:paraId="6430790A" w14:textId="437F08A3" w:rsidR="006E3332" w:rsidRDefault="006E3332" w:rsidP="0061662C">
            <w:pPr>
              <w:spacing w:after="60"/>
            </w:pPr>
          </w:p>
        </w:tc>
        <w:tc>
          <w:tcPr>
            <w:tcW w:w="2126" w:type="dxa"/>
          </w:tcPr>
          <w:p w14:paraId="32A05AC3" w14:textId="77777777" w:rsidR="006E3332" w:rsidRDefault="006E3332" w:rsidP="0061662C">
            <w:pPr>
              <w:spacing w:after="60"/>
            </w:pPr>
          </w:p>
        </w:tc>
      </w:tr>
      <w:tr w:rsidR="00506F55" w14:paraId="49A4E8A3" w14:textId="77777777" w:rsidTr="00052C9D">
        <w:tc>
          <w:tcPr>
            <w:tcW w:w="4104" w:type="dxa"/>
          </w:tcPr>
          <w:p w14:paraId="3D6DB326" w14:textId="447190C0" w:rsidR="00506F55" w:rsidRDefault="00506F55" w:rsidP="0061662C">
            <w:pPr>
              <w:pStyle w:val="ListParagraph"/>
              <w:numPr>
                <w:ilvl w:val="0"/>
                <w:numId w:val="6"/>
              </w:numPr>
              <w:spacing w:after="60"/>
              <w:ind w:left="318" w:hanging="318"/>
            </w:pPr>
            <w:r>
              <w:t>A statement of principal accounting policies</w:t>
            </w:r>
            <w:r w:rsidRPr="00506F55">
              <w:t xml:space="preserve"> adopted, judgements and key sources of estimation uncertainty</w:t>
            </w:r>
            <w:r>
              <w:t>.</w:t>
            </w:r>
          </w:p>
        </w:tc>
        <w:tc>
          <w:tcPr>
            <w:tcW w:w="1142" w:type="dxa"/>
          </w:tcPr>
          <w:p w14:paraId="347E8F0C" w14:textId="77777777" w:rsidR="00506F55" w:rsidRDefault="00506F55" w:rsidP="0061662C">
            <w:pPr>
              <w:spacing w:after="60"/>
            </w:pPr>
          </w:p>
        </w:tc>
        <w:tc>
          <w:tcPr>
            <w:tcW w:w="1346" w:type="dxa"/>
          </w:tcPr>
          <w:p w14:paraId="76429BD1" w14:textId="77777777" w:rsidR="00506F55" w:rsidRDefault="00506F55" w:rsidP="0061662C">
            <w:pPr>
              <w:spacing w:after="60"/>
            </w:pPr>
          </w:p>
        </w:tc>
        <w:tc>
          <w:tcPr>
            <w:tcW w:w="1347" w:type="dxa"/>
          </w:tcPr>
          <w:p w14:paraId="7460A6AB" w14:textId="77777777" w:rsidR="00506F55" w:rsidRDefault="00506F55" w:rsidP="0061662C">
            <w:pPr>
              <w:spacing w:after="60"/>
            </w:pPr>
          </w:p>
        </w:tc>
        <w:tc>
          <w:tcPr>
            <w:tcW w:w="2126" w:type="dxa"/>
          </w:tcPr>
          <w:p w14:paraId="3AE6F72A" w14:textId="77777777" w:rsidR="00506F55" w:rsidRDefault="00506F55" w:rsidP="0061662C">
            <w:pPr>
              <w:spacing w:after="60"/>
            </w:pPr>
          </w:p>
        </w:tc>
      </w:tr>
      <w:tr w:rsidR="006E3332" w14:paraId="6ADEFA43" w14:textId="77777777" w:rsidTr="00052C9D">
        <w:tc>
          <w:tcPr>
            <w:tcW w:w="4104" w:type="dxa"/>
          </w:tcPr>
          <w:p w14:paraId="65AF18D1" w14:textId="268E1B18" w:rsidR="006E3332" w:rsidRDefault="006E3332" w:rsidP="0061662C">
            <w:pPr>
              <w:pStyle w:val="ListParagraph"/>
              <w:numPr>
                <w:ilvl w:val="0"/>
                <w:numId w:val="6"/>
              </w:numPr>
              <w:spacing w:after="60"/>
              <w:ind w:left="318" w:hanging="318"/>
            </w:pPr>
            <w:r>
              <w:t>Opening trial balance reconciled to the previous year’s audited financial statements and final closing trial balance.</w:t>
            </w:r>
          </w:p>
        </w:tc>
        <w:tc>
          <w:tcPr>
            <w:tcW w:w="1142" w:type="dxa"/>
          </w:tcPr>
          <w:p w14:paraId="0957FFCB" w14:textId="77777777" w:rsidR="006E3332" w:rsidRDefault="006E3332" w:rsidP="0061662C">
            <w:pPr>
              <w:spacing w:after="60"/>
            </w:pPr>
          </w:p>
        </w:tc>
        <w:tc>
          <w:tcPr>
            <w:tcW w:w="1346" w:type="dxa"/>
          </w:tcPr>
          <w:p w14:paraId="3DF6E369" w14:textId="77777777" w:rsidR="006E3332" w:rsidRDefault="006E3332" w:rsidP="0061662C">
            <w:pPr>
              <w:spacing w:after="60"/>
            </w:pPr>
          </w:p>
        </w:tc>
        <w:tc>
          <w:tcPr>
            <w:tcW w:w="1347" w:type="dxa"/>
          </w:tcPr>
          <w:p w14:paraId="0FFCB783" w14:textId="34EB3256" w:rsidR="006E3332" w:rsidRDefault="006E3332" w:rsidP="0061662C">
            <w:pPr>
              <w:spacing w:after="60"/>
            </w:pPr>
          </w:p>
        </w:tc>
        <w:tc>
          <w:tcPr>
            <w:tcW w:w="2126" w:type="dxa"/>
          </w:tcPr>
          <w:p w14:paraId="6D18C8DF" w14:textId="77777777" w:rsidR="006E3332" w:rsidRDefault="006E3332" w:rsidP="0061662C">
            <w:pPr>
              <w:spacing w:after="60"/>
            </w:pPr>
          </w:p>
        </w:tc>
      </w:tr>
      <w:tr w:rsidR="006E3332" w14:paraId="67651B64" w14:textId="77777777" w:rsidTr="00052C9D">
        <w:tc>
          <w:tcPr>
            <w:tcW w:w="4104" w:type="dxa"/>
          </w:tcPr>
          <w:p w14:paraId="7E0454F1" w14:textId="758B1965" w:rsidR="006E3332" w:rsidRDefault="006E3332" w:rsidP="0061662C">
            <w:pPr>
              <w:pStyle w:val="ListParagraph"/>
              <w:numPr>
                <w:ilvl w:val="0"/>
                <w:numId w:val="6"/>
              </w:numPr>
              <w:spacing w:after="60"/>
              <w:ind w:left="318" w:hanging="318"/>
            </w:pPr>
            <w:r>
              <w:t>A closing trial balance which reconciles to the financial statements together with a schedule detailing how the account codes have been mapped to the primary statements and the notes to the accounts</w:t>
            </w:r>
            <w:r w:rsidR="002A0001">
              <w:t>.</w:t>
            </w:r>
          </w:p>
        </w:tc>
        <w:tc>
          <w:tcPr>
            <w:tcW w:w="1142" w:type="dxa"/>
          </w:tcPr>
          <w:p w14:paraId="073BAD39" w14:textId="77777777" w:rsidR="006E3332" w:rsidRDefault="006E3332" w:rsidP="0061662C">
            <w:pPr>
              <w:spacing w:after="60"/>
            </w:pPr>
          </w:p>
        </w:tc>
        <w:tc>
          <w:tcPr>
            <w:tcW w:w="1346" w:type="dxa"/>
          </w:tcPr>
          <w:p w14:paraId="66A3CC8D" w14:textId="77777777" w:rsidR="006E3332" w:rsidRDefault="006E3332" w:rsidP="0061662C">
            <w:pPr>
              <w:spacing w:after="60"/>
            </w:pPr>
          </w:p>
        </w:tc>
        <w:tc>
          <w:tcPr>
            <w:tcW w:w="1347" w:type="dxa"/>
          </w:tcPr>
          <w:p w14:paraId="17710700" w14:textId="73718FBA" w:rsidR="006E3332" w:rsidRDefault="006E3332" w:rsidP="0061662C">
            <w:pPr>
              <w:spacing w:after="60"/>
            </w:pPr>
          </w:p>
        </w:tc>
        <w:tc>
          <w:tcPr>
            <w:tcW w:w="2126" w:type="dxa"/>
          </w:tcPr>
          <w:p w14:paraId="662653AE" w14:textId="77777777" w:rsidR="006E3332" w:rsidRDefault="006E3332" w:rsidP="0061662C">
            <w:pPr>
              <w:spacing w:after="60"/>
            </w:pPr>
          </w:p>
        </w:tc>
      </w:tr>
      <w:tr w:rsidR="006E3332" w14:paraId="38AA9DDB" w14:textId="77777777" w:rsidTr="00052C9D">
        <w:tc>
          <w:tcPr>
            <w:tcW w:w="4104" w:type="dxa"/>
          </w:tcPr>
          <w:p w14:paraId="1F6C13BD" w14:textId="1FA695C9" w:rsidR="006E3332" w:rsidRDefault="006E3332" w:rsidP="0061662C">
            <w:pPr>
              <w:pStyle w:val="ListParagraph"/>
              <w:numPr>
                <w:ilvl w:val="0"/>
                <w:numId w:val="6"/>
              </w:numPr>
              <w:spacing w:after="60"/>
              <w:ind w:left="318" w:hanging="318"/>
            </w:pPr>
            <w:r>
              <w:t xml:space="preserve">A listing of </w:t>
            </w:r>
            <w:r w:rsidR="002A0001">
              <w:t xml:space="preserve">post </w:t>
            </w:r>
            <w:r>
              <w:t>year</w:t>
            </w:r>
            <w:r w:rsidR="002A0001">
              <w:t>-</w:t>
            </w:r>
            <w:r>
              <w:t>end journals</w:t>
            </w:r>
            <w:r w:rsidR="002A0001">
              <w:t>.</w:t>
            </w:r>
          </w:p>
        </w:tc>
        <w:tc>
          <w:tcPr>
            <w:tcW w:w="1142" w:type="dxa"/>
          </w:tcPr>
          <w:p w14:paraId="103E020B" w14:textId="77777777" w:rsidR="006E3332" w:rsidRDefault="006E3332" w:rsidP="0061662C">
            <w:pPr>
              <w:spacing w:after="60"/>
            </w:pPr>
          </w:p>
        </w:tc>
        <w:tc>
          <w:tcPr>
            <w:tcW w:w="1346" w:type="dxa"/>
          </w:tcPr>
          <w:p w14:paraId="650E5F79" w14:textId="77777777" w:rsidR="006E3332" w:rsidRDefault="006E3332" w:rsidP="0061662C">
            <w:pPr>
              <w:spacing w:after="60"/>
            </w:pPr>
          </w:p>
        </w:tc>
        <w:tc>
          <w:tcPr>
            <w:tcW w:w="1347" w:type="dxa"/>
          </w:tcPr>
          <w:p w14:paraId="35E1254E" w14:textId="211606C4" w:rsidR="006E3332" w:rsidRDefault="006E3332" w:rsidP="0061662C">
            <w:pPr>
              <w:spacing w:after="60"/>
            </w:pPr>
          </w:p>
        </w:tc>
        <w:tc>
          <w:tcPr>
            <w:tcW w:w="2126" w:type="dxa"/>
          </w:tcPr>
          <w:p w14:paraId="1960FBDA" w14:textId="77777777" w:rsidR="006E3332" w:rsidRDefault="006E3332" w:rsidP="0061662C">
            <w:pPr>
              <w:spacing w:after="60"/>
            </w:pPr>
          </w:p>
        </w:tc>
      </w:tr>
      <w:tr w:rsidR="006E3332" w14:paraId="2C928AE4" w14:textId="77777777" w:rsidTr="00052C9D">
        <w:tc>
          <w:tcPr>
            <w:tcW w:w="4104" w:type="dxa"/>
          </w:tcPr>
          <w:p w14:paraId="77935940" w14:textId="54CD137D" w:rsidR="006E3332" w:rsidRDefault="006E3332" w:rsidP="0061662C">
            <w:pPr>
              <w:pStyle w:val="ListParagraph"/>
              <w:numPr>
                <w:ilvl w:val="0"/>
                <w:numId w:val="6"/>
              </w:numPr>
              <w:spacing w:after="60"/>
              <w:ind w:left="318" w:hanging="318"/>
            </w:pPr>
            <w:r>
              <w:t xml:space="preserve">Period 12 management accounts and a reconciliation of the of the surplus to that in the </w:t>
            </w:r>
            <w:r w:rsidR="002A0001">
              <w:t>S</w:t>
            </w:r>
            <w:r>
              <w:t xml:space="preserve">tatement of </w:t>
            </w:r>
            <w:r w:rsidR="002A0001">
              <w:t>Financial Activities.</w:t>
            </w:r>
          </w:p>
        </w:tc>
        <w:tc>
          <w:tcPr>
            <w:tcW w:w="1142" w:type="dxa"/>
          </w:tcPr>
          <w:p w14:paraId="6AD3E34F" w14:textId="77777777" w:rsidR="006E3332" w:rsidRDefault="006E3332" w:rsidP="0061662C">
            <w:pPr>
              <w:spacing w:after="60"/>
            </w:pPr>
          </w:p>
        </w:tc>
        <w:tc>
          <w:tcPr>
            <w:tcW w:w="1346" w:type="dxa"/>
          </w:tcPr>
          <w:p w14:paraId="1F2D1F49" w14:textId="77777777" w:rsidR="006E3332" w:rsidRDefault="006E3332" w:rsidP="0061662C">
            <w:pPr>
              <w:spacing w:after="60"/>
            </w:pPr>
          </w:p>
        </w:tc>
        <w:tc>
          <w:tcPr>
            <w:tcW w:w="1347" w:type="dxa"/>
          </w:tcPr>
          <w:p w14:paraId="5DC43FAA" w14:textId="3078A3B5" w:rsidR="006E3332" w:rsidRDefault="006E3332" w:rsidP="0061662C">
            <w:pPr>
              <w:spacing w:after="60"/>
            </w:pPr>
          </w:p>
        </w:tc>
        <w:tc>
          <w:tcPr>
            <w:tcW w:w="2126" w:type="dxa"/>
          </w:tcPr>
          <w:p w14:paraId="4CCB413C" w14:textId="77777777" w:rsidR="006E3332" w:rsidRDefault="006E3332" w:rsidP="0061662C">
            <w:pPr>
              <w:spacing w:after="60"/>
            </w:pPr>
          </w:p>
        </w:tc>
      </w:tr>
      <w:tr w:rsidR="006E3332" w14:paraId="2526766F" w14:textId="77777777" w:rsidTr="00052C9D">
        <w:tc>
          <w:tcPr>
            <w:tcW w:w="4104" w:type="dxa"/>
          </w:tcPr>
          <w:p w14:paraId="3BF68D21" w14:textId="7065F9FB" w:rsidR="006E3332" w:rsidRDefault="006E3332" w:rsidP="0061662C">
            <w:pPr>
              <w:pStyle w:val="ListParagraph"/>
              <w:numPr>
                <w:ilvl w:val="0"/>
                <w:numId w:val="6"/>
              </w:numPr>
              <w:spacing w:after="60"/>
              <w:ind w:left="318" w:hanging="318"/>
            </w:pPr>
            <w:r>
              <w:t>The submitted Budget Forecast Return</w:t>
            </w:r>
            <w:r w:rsidR="001A22CD">
              <w:t xml:space="preserve"> for the following year</w:t>
            </w:r>
            <w:r>
              <w:t>, including any assumptions used</w:t>
            </w:r>
            <w:r w:rsidR="002A0001">
              <w:t>.</w:t>
            </w:r>
            <w:r>
              <w:t xml:space="preserve"> </w:t>
            </w:r>
          </w:p>
        </w:tc>
        <w:tc>
          <w:tcPr>
            <w:tcW w:w="1142" w:type="dxa"/>
          </w:tcPr>
          <w:p w14:paraId="7C90FFF4" w14:textId="77777777" w:rsidR="006E3332" w:rsidRDefault="006E3332" w:rsidP="0061662C">
            <w:pPr>
              <w:spacing w:after="60"/>
            </w:pPr>
          </w:p>
        </w:tc>
        <w:tc>
          <w:tcPr>
            <w:tcW w:w="1346" w:type="dxa"/>
          </w:tcPr>
          <w:p w14:paraId="318E0593" w14:textId="77777777" w:rsidR="006E3332" w:rsidRDefault="006E3332" w:rsidP="0061662C">
            <w:pPr>
              <w:spacing w:after="60"/>
            </w:pPr>
          </w:p>
        </w:tc>
        <w:tc>
          <w:tcPr>
            <w:tcW w:w="1347" w:type="dxa"/>
          </w:tcPr>
          <w:p w14:paraId="61B83318" w14:textId="43AF2793" w:rsidR="006E3332" w:rsidRDefault="006E3332" w:rsidP="0061662C">
            <w:pPr>
              <w:spacing w:after="60"/>
            </w:pPr>
          </w:p>
        </w:tc>
        <w:tc>
          <w:tcPr>
            <w:tcW w:w="2126" w:type="dxa"/>
          </w:tcPr>
          <w:p w14:paraId="728CF882" w14:textId="77777777" w:rsidR="006E3332" w:rsidRDefault="006E3332" w:rsidP="0061662C">
            <w:pPr>
              <w:spacing w:after="60"/>
            </w:pPr>
          </w:p>
        </w:tc>
      </w:tr>
    </w:tbl>
    <w:p w14:paraId="60185159" w14:textId="77777777" w:rsidR="005A6F10" w:rsidRDefault="005A6F10">
      <w:r>
        <w:br w:type="page"/>
      </w:r>
    </w:p>
    <w:tbl>
      <w:tblPr>
        <w:tblStyle w:val="TableGrid"/>
        <w:tblW w:w="10065" w:type="dxa"/>
        <w:tblInd w:w="-431" w:type="dxa"/>
        <w:tblLook w:val="04A0" w:firstRow="1" w:lastRow="0" w:firstColumn="1" w:lastColumn="0" w:noHBand="0" w:noVBand="1"/>
      </w:tblPr>
      <w:tblGrid>
        <w:gridCol w:w="4104"/>
        <w:gridCol w:w="1142"/>
        <w:gridCol w:w="1346"/>
        <w:gridCol w:w="1347"/>
        <w:gridCol w:w="2126"/>
      </w:tblGrid>
      <w:tr w:rsidR="006E3332" w14:paraId="50917614" w14:textId="77777777" w:rsidTr="006E3332">
        <w:tc>
          <w:tcPr>
            <w:tcW w:w="4104" w:type="dxa"/>
            <w:shd w:val="clear" w:color="auto" w:fill="BFBFBF" w:themeFill="background1" w:themeFillShade="BF"/>
          </w:tcPr>
          <w:p w14:paraId="29D3F3C0" w14:textId="51B677A2" w:rsidR="006E3332" w:rsidRDefault="006E3332" w:rsidP="0061662C">
            <w:pPr>
              <w:tabs>
                <w:tab w:val="left" w:pos="315"/>
              </w:tabs>
              <w:spacing w:after="60"/>
              <w:rPr>
                <w:b/>
              </w:rPr>
            </w:pPr>
            <w:r w:rsidRPr="00836CD5">
              <w:rPr>
                <w:b/>
              </w:rPr>
              <w:lastRenderedPageBreak/>
              <w:t>B</w:t>
            </w:r>
            <w:r w:rsidR="002A0001">
              <w:rPr>
                <w:b/>
              </w:rPr>
              <w:tab/>
            </w:r>
            <w:r>
              <w:rPr>
                <w:b/>
              </w:rPr>
              <w:t>Governance Statement</w:t>
            </w:r>
          </w:p>
        </w:tc>
        <w:tc>
          <w:tcPr>
            <w:tcW w:w="1142" w:type="dxa"/>
            <w:shd w:val="clear" w:color="auto" w:fill="BFBFBF" w:themeFill="background1" w:themeFillShade="BF"/>
          </w:tcPr>
          <w:p w14:paraId="433AC998" w14:textId="77777777" w:rsidR="006E3332" w:rsidRDefault="006E3332" w:rsidP="0061662C">
            <w:pPr>
              <w:spacing w:after="60"/>
            </w:pPr>
          </w:p>
        </w:tc>
        <w:tc>
          <w:tcPr>
            <w:tcW w:w="1346" w:type="dxa"/>
            <w:shd w:val="clear" w:color="auto" w:fill="BFBFBF" w:themeFill="background1" w:themeFillShade="BF"/>
          </w:tcPr>
          <w:p w14:paraId="05F28399" w14:textId="77777777" w:rsidR="006E3332" w:rsidRDefault="006E3332" w:rsidP="0061662C">
            <w:pPr>
              <w:spacing w:after="60"/>
            </w:pPr>
          </w:p>
        </w:tc>
        <w:tc>
          <w:tcPr>
            <w:tcW w:w="1347" w:type="dxa"/>
            <w:shd w:val="clear" w:color="auto" w:fill="BFBFBF" w:themeFill="background1" w:themeFillShade="BF"/>
          </w:tcPr>
          <w:p w14:paraId="41549294" w14:textId="17C89B17" w:rsidR="006E3332" w:rsidRDefault="006E3332" w:rsidP="0061662C">
            <w:pPr>
              <w:spacing w:after="60"/>
            </w:pPr>
          </w:p>
        </w:tc>
        <w:tc>
          <w:tcPr>
            <w:tcW w:w="2126" w:type="dxa"/>
            <w:shd w:val="clear" w:color="auto" w:fill="BFBFBF" w:themeFill="background1" w:themeFillShade="BF"/>
          </w:tcPr>
          <w:p w14:paraId="648800BE" w14:textId="77777777" w:rsidR="006E3332" w:rsidRDefault="006E3332" w:rsidP="0061662C">
            <w:pPr>
              <w:spacing w:after="60"/>
            </w:pPr>
          </w:p>
        </w:tc>
      </w:tr>
      <w:tr w:rsidR="006E3332" w14:paraId="7D04BC76" w14:textId="77777777" w:rsidTr="00052C9D">
        <w:tc>
          <w:tcPr>
            <w:tcW w:w="4104" w:type="dxa"/>
          </w:tcPr>
          <w:p w14:paraId="3EF88A01" w14:textId="3028F399" w:rsidR="006E3332" w:rsidRDefault="0061662C" w:rsidP="0061662C">
            <w:pPr>
              <w:pStyle w:val="ListParagraph"/>
              <w:numPr>
                <w:ilvl w:val="0"/>
                <w:numId w:val="19"/>
              </w:numPr>
              <w:spacing w:after="60"/>
              <w:ind w:left="315" w:hanging="315"/>
            </w:pPr>
            <w:r>
              <w:t>D</w:t>
            </w:r>
            <w:r w:rsidR="006E3332">
              <w:t>ocumentation underpinning the assurance provided in the governance statement</w:t>
            </w:r>
            <w:r w:rsidR="002A0001">
              <w:t>, including</w:t>
            </w:r>
          </w:p>
          <w:p w14:paraId="6CB138B7" w14:textId="77777777" w:rsidR="006E3332" w:rsidRDefault="006E3332" w:rsidP="0061662C">
            <w:pPr>
              <w:pStyle w:val="ListParagraph"/>
              <w:numPr>
                <w:ilvl w:val="0"/>
                <w:numId w:val="20"/>
              </w:numPr>
              <w:spacing w:after="60"/>
              <w:ind w:left="599" w:hanging="315"/>
            </w:pPr>
            <w:r>
              <w:t>annual assurance statements provided by management team and executive team</w:t>
            </w:r>
          </w:p>
          <w:p w14:paraId="471E1334" w14:textId="7476465D" w:rsidR="006E3332" w:rsidRPr="001E6342" w:rsidRDefault="006E3332" w:rsidP="0061662C">
            <w:pPr>
              <w:pStyle w:val="ListParagraph"/>
              <w:numPr>
                <w:ilvl w:val="0"/>
                <w:numId w:val="20"/>
              </w:numPr>
              <w:spacing w:after="60"/>
              <w:ind w:left="599" w:hanging="315"/>
            </w:pPr>
            <w:r>
              <w:t xml:space="preserve">internal audit reports </w:t>
            </w:r>
            <w:r w:rsidRPr="001E6342">
              <w:t xml:space="preserve"> </w:t>
            </w:r>
          </w:p>
        </w:tc>
        <w:tc>
          <w:tcPr>
            <w:tcW w:w="1142" w:type="dxa"/>
          </w:tcPr>
          <w:p w14:paraId="67D396E4" w14:textId="77777777" w:rsidR="006E3332" w:rsidRDefault="006E3332" w:rsidP="0061662C">
            <w:pPr>
              <w:spacing w:after="60"/>
            </w:pPr>
          </w:p>
        </w:tc>
        <w:tc>
          <w:tcPr>
            <w:tcW w:w="1346" w:type="dxa"/>
          </w:tcPr>
          <w:p w14:paraId="430451F2" w14:textId="77777777" w:rsidR="006E3332" w:rsidRDefault="006E3332" w:rsidP="0061662C">
            <w:pPr>
              <w:spacing w:after="60"/>
            </w:pPr>
          </w:p>
        </w:tc>
        <w:tc>
          <w:tcPr>
            <w:tcW w:w="1347" w:type="dxa"/>
          </w:tcPr>
          <w:p w14:paraId="3B50A356" w14:textId="7AA91129" w:rsidR="006E3332" w:rsidRDefault="006E3332" w:rsidP="0061662C">
            <w:pPr>
              <w:spacing w:after="60"/>
            </w:pPr>
          </w:p>
        </w:tc>
        <w:tc>
          <w:tcPr>
            <w:tcW w:w="2126" w:type="dxa"/>
          </w:tcPr>
          <w:p w14:paraId="1F96F369" w14:textId="3EA20BB5" w:rsidR="006E3332" w:rsidRDefault="006E3332" w:rsidP="0061662C">
            <w:pPr>
              <w:spacing w:after="60"/>
            </w:pPr>
          </w:p>
        </w:tc>
      </w:tr>
      <w:tr w:rsidR="006E3332" w14:paraId="3444B019" w14:textId="77777777" w:rsidTr="00426D40">
        <w:tc>
          <w:tcPr>
            <w:tcW w:w="10065" w:type="dxa"/>
            <w:gridSpan w:val="5"/>
          </w:tcPr>
          <w:p w14:paraId="514A8E5F" w14:textId="77777777" w:rsidR="006E3332" w:rsidRDefault="006E3332" w:rsidP="0061662C">
            <w:pPr>
              <w:spacing w:after="60"/>
              <w:rPr>
                <w:b/>
              </w:rPr>
            </w:pPr>
          </w:p>
        </w:tc>
      </w:tr>
      <w:tr w:rsidR="006E3332" w14:paraId="2BC99876" w14:textId="77777777" w:rsidTr="006E3332">
        <w:tc>
          <w:tcPr>
            <w:tcW w:w="10065" w:type="dxa"/>
            <w:gridSpan w:val="5"/>
            <w:shd w:val="clear" w:color="auto" w:fill="BFBFBF" w:themeFill="background1" w:themeFillShade="BF"/>
          </w:tcPr>
          <w:p w14:paraId="3D637699" w14:textId="1DF2A903" w:rsidR="006E3332" w:rsidRDefault="006E3332" w:rsidP="0061662C">
            <w:pPr>
              <w:tabs>
                <w:tab w:val="left" w:pos="315"/>
              </w:tabs>
              <w:spacing w:after="60"/>
            </w:pPr>
            <w:r>
              <w:rPr>
                <w:b/>
              </w:rPr>
              <w:t>C</w:t>
            </w:r>
            <w:r w:rsidR="002A0001">
              <w:rPr>
                <w:b/>
              </w:rPr>
              <w:tab/>
            </w:r>
            <w:r w:rsidRPr="00836CD5">
              <w:rPr>
                <w:b/>
              </w:rPr>
              <w:t>Statement of Financial Activities</w:t>
            </w:r>
          </w:p>
        </w:tc>
      </w:tr>
      <w:tr w:rsidR="006E3332" w14:paraId="58799FDA" w14:textId="77777777" w:rsidTr="00052C9D">
        <w:tc>
          <w:tcPr>
            <w:tcW w:w="4104" w:type="dxa"/>
          </w:tcPr>
          <w:p w14:paraId="73EF3791" w14:textId="2E15F120" w:rsidR="006E3332" w:rsidRDefault="006E3332" w:rsidP="0061662C">
            <w:pPr>
              <w:pStyle w:val="ListParagraph"/>
              <w:numPr>
                <w:ilvl w:val="0"/>
                <w:numId w:val="7"/>
              </w:numPr>
              <w:spacing w:after="60"/>
              <w:ind w:left="315" w:hanging="315"/>
            </w:pPr>
            <w:r>
              <w:t>Analytical review</w:t>
            </w:r>
            <w:r w:rsidR="0061662C">
              <w:t>,</w:t>
            </w:r>
            <w:r>
              <w:t xml:space="preserve"> giving an explanation for significant year on year variances (over 10%)</w:t>
            </w:r>
            <w:r w:rsidR="00506F55">
              <w:t>.</w:t>
            </w:r>
            <w:r>
              <w:t xml:space="preserve"> </w:t>
            </w:r>
          </w:p>
        </w:tc>
        <w:tc>
          <w:tcPr>
            <w:tcW w:w="1142" w:type="dxa"/>
          </w:tcPr>
          <w:p w14:paraId="3B33A253" w14:textId="77777777" w:rsidR="006E3332" w:rsidRDefault="006E3332" w:rsidP="0061662C">
            <w:pPr>
              <w:spacing w:after="60"/>
            </w:pPr>
          </w:p>
        </w:tc>
        <w:tc>
          <w:tcPr>
            <w:tcW w:w="1346" w:type="dxa"/>
          </w:tcPr>
          <w:p w14:paraId="7F4028CD" w14:textId="77777777" w:rsidR="006E3332" w:rsidRDefault="006E3332" w:rsidP="0061662C">
            <w:pPr>
              <w:spacing w:after="60"/>
            </w:pPr>
          </w:p>
        </w:tc>
        <w:tc>
          <w:tcPr>
            <w:tcW w:w="1347" w:type="dxa"/>
          </w:tcPr>
          <w:p w14:paraId="46E70C50" w14:textId="6A028F4B" w:rsidR="006E3332" w:rsidRDefault="006E3332" w:rsidP="0061662C">
            <w:pPr>
              <w:spacing w:after="60"/>
            </w:pPr>
          </w:p>
        </w:tc>
        <w:tc>
          <w:tcPr>
            <w:tcW w:w="2126" w:type="dxa"/>
          </w:tcPr>
          <w:p w14:paraId="28D041D0" w14:textId="77777777" w:rsidR="006E3332" w:rsidRDefault="006E3332" w:rsidP="0061662C">
            <w:pPr>
              <w:spacing w:after="60"/>
            </w:pPr>
          </w:p>
        </w:tc>
      </w:tr>
      <w:tr w:rsidR="006E3332" w14:paraId="452BEC8B" w14:textId="77777777" w:rsidTr="00052C9D">
        <w:tc>
          <w:tcPr>
            <w:tcW w:w="4104" w:type="dxa"/>
          </w:tcPr>
          <w:p w14:paraId="53462739" w14:textId="29C99760" w:rsidR="006E3332" w:rsidRDefault="006E3332" w:rsidP="0061662C">
            <w:pPr>
              <w:pStyle w:val="ListParagraph"/>
              <w:numPr>
                <w:ilvl w:val="0"/>
                <w:numId w:val="7"/>
              </w:numPr>
              <w:spacing w:after="60"/>
              <w:ind w:left="315" w:hanging="315"/>
            </w:pPr>
            <w:r>
              <w:t>Report on outturn compared to approved budget with explanation of significant variances (over 10%)</w:t>
            </w:r>
            <w:r w:rsidR="00506F55">
              <w:t>.</w:t>
            </w:r>
          </w:p>
        </w:tc>
        <w:tc>
          <w:tcPr>
            <w:tcW w:w="1142" w:type="dxa"/>
          </w:tcPr>
          <w:p w14:paraId="455B84E8" w14:textId="77777777" w:rsidR="006E3332" w:rsidRDefault="006E3332" w:rsidP="0061662C">
            <w:pPr>
              <w:spacing w:after="60"/>
            </w:pPr>
          </w:p>
        </w:tc>
        <w:tc>
          <w:tcPr>
            <w:tcW w:w="1346" w:type="dxa"/>
          </w:tcPr>
          <w:p w14:paraId="0FC74083" w14:textId="77777777" w:rsidR="006E3332" w:rsidRDefault="006E3332" w:rsidP="0061662C">
            <w:pPr>
              <w:spacing w:after="60"/>
            </w:pPr>
          </w:p>
        </w:tc>
        <w:tc>
          <w:tcPr>
            <w:tcW w:w="1347" w:type="dxa"/>
          </w:tcPr>
          <w:p w14:paraId="630691E5" w14:textId="338EFE87" w:rsidR="006E3332" w:rsidRDefault="006E3332" w:rsidP="0061662C">
            <w:pPr>
              <w:spacing w:after="60"/>
            </w:pPr>
          </w:p>
        </w:tc>
        <w:tc>
          <w:tcPr>
            <w:tcW w:w="2126" w:type="dxa"/>
          </w:tcPr>
          <w:p w14:paraId="0E17E153" w14:textId="77777777" w:rsidR="006E3332" w:rsidRDefault="006E3332" w:rsidP="0061662C">
            <w:pPr>
              <w:spacing w:after="60"/>
            </w:pPr>
          </w:p>
        </w:tc>
      </w:tr>
      <w:tr w:rsidR="006E3332" w14:paraId="62A3F9DB" w14:textId="77777777" w:rsidTr="003F6166">
        <w:tc>
          <w:tcPr>
            <w:tcW w:w="10065" w:type="dxa"/>
            <w:gridSpan w:val="5"/>
          </w:tcPr>
          <w:p w14:paraId="09B0E73E" w14:textId="77777777" w:rsidR="006E3332" w:rsidRPr="0076504E" w:rsidRDefault="006E3332" w:rsidP="0061662C">
            <w:pPr>
              <w:spacing w:after="60"/>
              <w:rPr>
                <w:b/>
              </w:rPr>
            </w:pPr>
          </w:p>
        </w:tc>
      </w:tr>
      <w:tr w:rsidR="006E3332" w14:paraId="69DC5E70" w14:textId="77777777" w:rsidTr="006E3332">
        <w:tc>
          <w:tcPr>
            <w:tcW w:w="10065" w:type="dxa"/>
            <w:gridSpan w:val="5"/>
            <w:shd w:val="clear" w:color="auto" w:fill="BFBFBF" w:themeFill="background1" w:themeFillShade="BF"/>
          </w:tcPr>
          <w:p w14:paraId="7ACB71DE" w14:textId="10799636" w:rsidR="006E3332" w:rsidRDefault="00E8167F" w:rsidP="00B7414F">
            <w:pPr>
              <w:tabs>
                <w:tab w:val="left" w:pos="315"/>
              </w:tabs>
              <w:spacing w:after="60"/>
            </w:pPr>
            <w:r>
              <w:rPr>
                <w:b/>
              </w:rPr>
              <w:t>C1</w:t>
            </w:r>
            <w:r>
              <w:rPr>
                <w:b/>
              </w:rPr>
              <w:tab/>
            </w:r>
            <w:r w:rsidR="006E3332" w:rsidRPr="0076504E">
              <w:rPr>
                <w:b/>
              </w:rPr>
              <w:t>Income</w:t>
            </w:r>
          </w:p>
        </w:tc>
      </w:tr>
      <w:tr w:rsidR="006E3332" w14:paraId="56273473" w14:textId="77777777" w:rsidTr="00052C9D">
        <w:tc>
          <w:tcPr>
            <w:tcW w:w="4104" w:type="dxa"/>
          </w:tcPr>
          <w:p w14:paraId="5F735178" w14:textId="6FC33CDD" w:rsidR="006E3332" w:rsidRDefault="006E3332" w:rsidP="0061662C">
            <w:pPr>
              <w:pStyle w:val="ListParagraph"/>
              <w:numPr>
                <w:ilvl w:val="0"/>
                <w:numId w:val="7"/>
              </w:numPr>
              <w:spacing w:after="60"/>
              <w:ind w:left="315" w:hanging="284"/>
            </w:pPr>
            <w:r>
              <w:t>A schedule in the format of the note to the accounts that analyses donations and capital grants</w:t>
            </w:r>
            <w:r w:rsidR="002A0001">
              <w:t>,</w:t>
            </w:r>
            <w:r>
              <w:t xml:space="preserve"> together with external evidence to support entries e</w:t>
            </w:r>
            <w:r w:rsidR="002A0001">
              <w:t>.</w:t>
            </w:r>
            <w:r>
              <w:t>g</w:t>
            </w:r>
            <w:r w:rsidR="002A0001">
              <w:t>.</w:t>
            </w:r>
            <w:r>
              <w:t xml:space="preserve"> grant funding letter, any donations</w:t>
            </w:r>
            <w:r w:rsidR="00506F55">
              <w:t>.</w:t>
            </w:r>
            <w:r w:rsidR="001D718B">
              <w:t xml:space="preserve"> Explanations and documentation for significant differences compared with prior year (over 10%).</w:t>
            </w:r>
          </w:p>
        </w:tc>
        <w:tc>
          <w:tcPr>
            <w:tcW w:w="1142" w:type="dxa"/>
          </w:tcPr>
          <w:p w14:paraId="66094A13" w14:textId="77777777" w:rsidR="006E3332" w:rsidRDefault="006E3332" w:rsidP="0061662C">
            <w:pPr>
              <w:spacing w:after="60"/>
            </w:pPr>
          </w:p>
        </w:tc>
        <w:tc>
          <w:tcPr>
            <w:tcW w:w="1346" w:type="dxa"/>
          </w:tcPr>
          <w:p w14:paraId="5EF891AB" w14:textId="77777777" w:rsidR="006E3332" w:rsidRDefault="006E3332" w:rsidP="0061662C">
            <w:pPr>
              <w:spacing w:after="60"/>
            </w:pPr>
          </w:p>
        </w:tc>
        <w:tc>
          <w:tcPr>
            <w:tcW w:w="1347" w:type="dxa"/>
          </w:tcPr>
          <w:p w14:paraId="0D6BA0CF" w14:textId="29B6A584" w:rsidR="006E3332" w:rsidRDefault="006E3332" w:rsidP="0061662C">
            <w:pPr>
              <w:spacing w:after="60"/>
            </w:pPr>
          </w:p>
        </w:tc>
        <w:tc>
          <w:tcPr>
            <w:tcW w:w="2126" w:type="dxa"/>
          </w:tcPr>
          <w:p w14:paraId="7504D9DF" w14:textId="77777777" w:rsidR="006E3332" w:rsidRDefault="006E3332" w:rsidP="0061662C">
            <w:pPr>
              <w:spacing w:after="60"/>
            </w:pPr>
          </w:p>
        </w:tc>
      </w:tr>
      <w:tr w:rsidR="006E3332" w14:paraId="49CB0AF5" w14:textId="77777777" w:rsidTr="00052C9D">
        <w:tc>
          <w:tcPr>
            <w:tcW w:w="4104" w:type="dxa"/>
          </w:tcPr>
          <w:p w14:paraId="6005E9C3" w14:textId="780D900F" w:rsidR="006E3332" w:rsidRDefault="006E3332" w:rsidP="0061662C">
            <w:pPr>
              <w:pStyle w:val="ListParagraph"/>
              <w:numPr>
                <w:ilvl w:val="0"/>
                <w:numId w:val="7"/>
              </w:numPr>
              <w:spacing w:after="60"/>
              <w:ind w:left="315" w:hanging="284"/>
            </w:pPr>
            <w:r>
              <w:t>A schedule in the format of the note to the accounts that analyses funding for educational operations together with external evidence to support entries e</w:t>
            </w:r>
            <w:r w:rsidR="0061662C">
              <w:t>.</w:t>
            </w:r>
            <w:r>
              <w:t>g</w:t>
            </w:r>
            <w:r w:rsidR="0061662C">
              <w:t>.</w:t>
            </w:r>
            <w:r>
              <w:t xml:space="preserve"> grant funding letters</w:t>
            </w:r>
            <w:r w:rsidR="00506F55">
              <w:t>.</w:t>
            </w:r>
            <w:r w:rsidR="001D718B">
              <w:t xml:space="preserve"> Explanations and documentation for significant differences compared with prior year (over 10%).</w:t>
            </w:r>
          </w:p>
        </w:tc>
        <w:tc>
          <w:tcPr>
            <w:tcW w:w="1142" w:type="dxa"/>
          </w:tcPr>
          <w:p w14:paraId="5DE5C6D0" w14:textId="77777777" w:rsidR="006E3332" w:rsidRDefault="006E3332" w:rsidP="0061662C">
            <w:pPr>
              <w:spacing w:after="60"/>
            </w:pPr>
          </w:p>
        </w:tc>
        <w:tc>
          <w:tcPr>
            <w:tcW w:w="1346" w:type="dxa"/>
          </w:tcPr>
          <w:p w14:paraId="20C7BD52" w14:textId="77777777" w:rsidR="006E3332" w:rsidRDefault="006E3332" w:rsidP="0061662C">
            <w:pPr>
              <w:spacing w:after="60"/>
            </w:pPr>
          </w:p>
        </w:tc>
        <w:tc>
          <w:tcPr>
            <w:tcW w:w="1347" w:type="dxa"/>
          </w:tcPr>
          <w:p w14:paraId="530905C2" w14:textId="67AE322C" w:rsidR="006E3332" w:rsidRDefault="006E3332" w:rsidP="0061662C">
            <w:pPr>
              <w:spacing w:after="60"/>
            </w:pPr>
          </w:p>
        </w:tc>
        <w:tc>
          <w:tcPr>
            <w:tcW w:w="2126" w:type="dxa"/>
          </w:tcPr>
          <w:p w14:paraId="1C2EC868" w14:textId="77777777" w:rsidR="006E3332" w:rsidRDefault="006E3332" w:rsidP="0061662C">
            <w:pPr>
              <w:spacing w:after="60"/>
            </w:pPr>
          </w:p>
        </w:tc>
      </w:tr>
      <w:tr w:rsidR="006E3332" w14:paraId="11C572A9" w14:textId="77777777" w:rsidTr="00052C9D">
        <w:tc>
          <w:tcPr>
            <w:tcW w:w="4104" w:type="dxa"/>
          </w:tcPr>
          <w:p w14:paraId="432C6C15" w14:textId="20B096B6" w:rsidR="006E3332" w:rsidRDefault="006E3332" w:rsidP="0061662C">
            <w:pPr>
              <w:pStyle w:val="ListParagraph"/>
              <w:numPr>
                <w:ilvl w:val="0"/>
                <w:numId w:val="7"/>
              </w:numPr>
              <w:spacing w:after="60"/>
              <w:ind w:left="315" w:hanging="284"/>
            </w:pPr>
            <w:r>
              <w:t>Analysis of all individual ESFA grant income received each month during the year with the total reconciled to the balances per the trial balance</w:t>
            </w:r>
            <w:r w:rsidR="00506F55">
              <w:t>.</w:t>
            </w:r>
          </w:p>
        </w:tc>
        <w:tc>
          <w:tcPr>
            <w:tcW w:w="1142" w:type="dxa"/>
          </w:tcPr>
          <w:p w14:paraId="1A3B28E3" w14:textId="77777777" w:rsidR="006E3332" w:rsidRDefault="006E3332" w:rsidP="0061662C">
            <w:pPr>
              <w:spacing w:after="60"/>
            </w:pPr>
          </w:p>
        </w:tc>
        <w:tc>
          <w:tcPr>
            <w:tcW w:w="1346" w:type="dxa"/>
          </w:tcPr>
          <w:p w14:paraId="30773161" w14:textId="77777777" w:rsidR="006E3332" w:rsidRDefault="006E3332" w:rsidP="0061662C">
            <w:pPr>
              <w:spacing w:after="60"/>
            </w:pPr>
          </w:p>
        </w:tc>
        <w:tc>
          <w:tcPr>
            <w:tcW w:w="1347" w:type="dxa"/>
          </w:tcPr>
          <w:p w14:paraId="6A9C5C56" w14:textId="4C13D8F6" w:rsidR="006E3332" w:rsidRDefault="006E3332" w:rsidP="0061662C">
            <w:pPr>
              <w:spacing w:after="60"/>
            </w:pPr>
          </w:p>
        </w:tc>
        <w:tc>
          <w:tcPr>
            <w:tcW w:w="2126" w:type="dxa"/>
          </w:tcPr>
          <w:p w14:paraId="0B8F4136" w14:textId="77777777" w:rsidR="006E3332" w:rsidRDefault="006E3332" w:rsidP="0061662C">
            <w:pPr>
              <w:spacing w:after="60"/>
            </w:pPr>
          </w:p>
        </w:tc>
      </w:tr>
      <w:tr w:rsidR="006E3332" w14:paraId="03652BB8" w14:textId="77777777" w:rsidTr="00052C9D">
        <w:tc>
          <w:tcPr>
            <w:tcW w:w="4104" w:type="dxa"/>
          </w:tcPr>
          <w:p w14:paraId="4D0A0672" w14:textId="319288AE" w:rsidR="006E3332" w:rsidRDefault="006E3332" w:rsidP="0061662C">
            <w:pPr>
              <w:pStyle w:val="ListParagraph"/>
              <w:numPr>
                <w:ilvl w:val="0"/>
                <w:numId w:val="7"/>
              </w:numPr>
              <w:spacing w:after="60"/>
              <w:ind w:left="315" w:hanging="284"/>
            </w:pPr>
            <w:r>
              <w:t>A schedule in the format of the note to the accounts that analyses other trading activities</w:t>
            </w:r>
            <w:r w:rsidR="00506F55">
              <w:t>.</w:t>
            </w:r>
          </w:p>
        </w:tc>
        <w:tc>
          <w:tcPr>
            <w:tcW w:w="1142" w:type="dxa"/>
          </w:tcPr>
          <w:p w14:paraId="14A61397" w14:textId="77777777" w:rsidR="006E3332" w:rsidRDefault="006E3332" w:rsidP="0061662C">
            <w:pPr>
              <w:spacing w:after="60"/>
            </w:pPr>
          </w:p>
        </w:tc>
        <w:tc>
          <w:tcPr>
            <w:tcW w:w="1346" w:type="dxa"/>
          </w:tcPr>
          <w:p w14:paraId="31CACC7E" w14:textId="77777777" w:rsidR="006E3332" w:rsidRDefault="006E3332" w:rsidP="0061662C">
            <w:pPr>
              <w:spacing w:after="60"/>
            </w:pPr>
          </w:p>
        </w:tc>
        <w:tc>
          <w:tcPr>
            <w:tcW w:w="1347" w:type="dxa"/>
          </w:tcPr>
          <w:p w14:paraId="424A48F8" w14:textId="19D8EB62" w:rsidR="006E3332" w:rsidRDefault="006E3332" w:rsidP="0061662C">
            <w:pPr>
              <w:spacing w:after="60"/>
            </w:pPr>
          </w:p>
        </w:tc>
        <w:tc>
          <w:tcPr>
            <w:tcW w:w="2126" w:type="dxa"/>
          </w:tcPr>
          <w:p w14:paraId="36DE2604" w14:textId="77777777" w:rsidR="006E3332" w:rsidRDefault="006E3332" w:rsidP="0061662C">
            <w:pPr>
              <w:spacing w:after="60"/>
            </w:pPr>
          </w:p>
        </w:tc>
      </w:tr>
      <w:tr w:rsidR="006E3332" w14:paraId="13965AF1" w14:textId="77777777" w:rsidTr="00052C9D">
        <w:tc>
          <w:tcPr>
            <w:tcW w:w="4104" w:type="dxa"/>
          </w:tcPr>
          <w:p w14:paraId="6154FAEB" w14:textId="5D924D68" w:rsidR="006E3332" w:rsidRDefault="006E3332" w:rsidP="0061662C">
            <w:pPr>
              <w:pStyle w:val="ListParagraph"/>
              <w:numPr>
                <w:ilvl w:val="0"/>
                <w:numId w:val="7"/>
              </w:numPr>
              <w:spacing w:after="60"/>
              <w:ind w:left="315" w:hanging="284"/>
            </w:pPr>
            <w:r>
              <w:t>A schedule in the format of the note to the accounts that analyses investments together with notifications evidencing income received</w:t>
            </w:r>
            <w:r w:rsidR="00506F55">
              <w:t>.</w:t>
            </w:r>
          </w:p>
        </w:tc>
        <w:tc>
          <w:tcPr>
            <w:tcW w:w="1142" w:type="dxa"/>
          </w:tcPr>
          <w:p w14:paraId="142B0083" w14:textId="77777777" w:rsidR="006E3332" w:rsidRDefault="006E3332" w:rsidP="0061662C">
            <w:pPr>
              <w:spacing w:after="60"/>
            </w:pPr>
          </w:p>
        </w:tc>
        <w:tc>
          <w:tcPr>
            <w:tcW w:w="1346" w:type="dxa"/>
          </w:tcPr>
          <w:p w14:paraId="3D5C5295" w14:textId="77777777" w:rsidR="006E3332" w:rsidRDefault="006E3332" w:rsidP="0061662C">
            <w:pPr>
              <w:spacing w:after="60"/>
            </w:pPr>
          </w:p>
        </w:tc>
        <w:tc>
          <w:tcPr>
            <w:tcW w:w="1347" w:type="dxa"/>
          </w:tcPr>
          <w:p w14:paraId="50BF4DB9" w14:textId="0F9E0CC3" w:rsidR="006E3332" w:rsidRDefault="006E3332" w:rsidP="0061662C">
            <w:pPr>
              <w:spacing w:after="60"/>
            </w:pPr>
          </w:p>
        </w:tc>
        <w:tc>
          <w:tcPr>
            <w:tcW w:w="2126" w:type="dxa"/>
          </w:tcPr>
          <w:p w14:paraId="56158B85" w14:textId="77777777" w:rsidR="006E3332" w:rsidRDefault="006E3332" w:rsidP="0061662C">
            <w:pPr>
              <w:spacing w:after="60"/>
            </w:pPr>
          </w:p>
        </w:tc>
      </w:tr>
    </w:tbl>
    <w:p w14:paraId="0341C753" w14:textId="77777777" w:rsidR="0090114F" w:rsidRDefault="0090114F">
      <w:r>
        <w:br w:type="page"/>
      </w:r>
    </w:p>
    <w:tbl>
      <w:tblPr>
        <w:tblStyle w:val="TableGrid"/>
        <w:tblW w:w="10065" w:type="dxa"/>
        <w:tblInd w:w="-431" w:type="dxa"/>
        <w:tblLook w:val="04A0" w:firstRow="1" w:lastRow="0" w:firstColumn="1" w:lastColumn="0" w:noHBand="0" w:noVBand="1"/>
      </w:tblPr>
      <w:tblGrid>
        <w:gridCol w:w="4104"/>
        <w:gridCol w:w="1142"/>
        <w:gridCol w:w="1346"/>
        <w:gridCol w:w="1347"/>
        <w:gridCol w:w="2126"/>
      </w:tblGrid>
      <w:tr w:rsidR="006E3332" w14:paraId="45566FE4" w14:textId="77777777" w:rsidTr="006E3332">
        <w:tc>
          <w:tcPr>
            <w:tcW w:w="10065" w:type="dxa"/>
            <w:gridSpan w:val="5"/>
            <w:shd w:val="clear" w:color="auto" w:fill="BFBFBF" w:themeFill="background1" w:themeFillShade="BF"/>
          </w:tcPr>
          <w:p w14:paraId="4F853BDD" w14:textId="7B74FDE7" w:rsidR="006E3332" w:rsidRDefault="00E8167F" w:rsidP="00B7414F">
            <w:pPr>
              <w:tabs>
                <w:tab w:val="left" w:pos="315"/>
              </w:tabs>
              <w:spacing w:after="60"/>
            </w:pPr>
            <w:r>
              <w:rPr>
                <w:b/>
              </w:rPr>
              <w:lastRenderedPageBreak/>
              <w:t>C2</w:t>
            </w:r>
            <w:r>
              <w:rPr>
                <w:b/>
              </w:rPr>
              <w:tab/>
            </w:r>
            <w:r w:rsidR="006E3332" w:rsidRPr="0076504E">
              <w:rPr>
                <w:b/>
              </w:rPr>
              <w:t>Expenditure</w:t>
            </w:r>
          </w:p>
        </w:tc>
      </w:tr>
      <w:tr w:rsidR="001D718B" w14:paraId="4FCDA95A" w14:textId="77777777" w:rsidTr="00052C9D">
        <w:tc>
          <w:tcPr>
            <w:tcW w:w="4104" w:type="dxa"/>
          </w:tcPr>
          <w:p w14:paraId="2A519A97" w14:textId="1AC2B2B0" w:rsidR="001D718B" w:rsidRDefault="001D718B" w:rsidP="0061662C">
            <w:pPr>
              <w:pStyle w:val="ListParagraph"/>
              <w:numPr>
                <w:ilvl w:val="0"/>
                <w:numId w:val="7"/>
              </w:numPr>
              <w:spacing w:after="60"/>
              <w:ind w:left="315" w:hanging="284"/>
            </w:pPr>
            <w:r>
              <w:t>A schedule in the format of the note to the accounts that analyses non-pay expenditure. Explanations and documentation for significant differences compared with prior year (over 10%).</w:t>
            </w:r>
          </w:p>
        </w:tc>
        <w:tc>
          <w:tcPr>
            <w:tcW w:w="1142" w:type="dxa"/>
          </w:tcPr>
          <w:p w14:paraId="17A45E89" w14:textId="77777777" w:rsidR="001D718B" w:rsidRDefault="001D718B" w:rsidP="0061662C">
            <w:pPr>
              <w:spacing w:after="60"/>
            </w:pPr>
          </w:p>
        </w:tc>
        <w:tc>
          <w:tcPr>
            <w:tcW w:w="1346" w:type="dxa"/>
          </w:tcPr>
          <w:p w14:paraId="17CB72C8" w14:textId="77777777" w:rsidR="001D718B" w:rsidRDefault="001D718B" w:rsidP="0061662C">
            <w:pPr>
              <w:spacing w:after="60"/>
            </w:pPr>
          </w:p>
        </w:tc>
        <w:tc>
          <w:tcPr>
            <w:tcW w:w="1347" w:type="dxa"/>
          </w:tcPr>
          <w:p w14:paraId="72FF214B" w14:textId="77777777" w:rsidR="001D718B" w:rsidRDefault="001D718B" w:rsidP="0061662C">
            <w:pPr>
              <w:spacing w:after="60"/>
            </w:pPr>
          </w:p>
        </w:tc>
        <w:tc>
          <w:tcPr>
            <w:tcW w:w="2126" w:type="dxa"/>
          </w:tcPr>
          <w:p w14:paraId="40AD34C1" w14:textId="77777777" w:rsidR="001D718B" w:rsidRDefault="001D718B" w:rsidP="0061662C">
            <w:pPr>
              <w:spacing w:after="60"/>
            </w:pPr>
          </w:p>
        </w:tc>
      </w:tr>
      <w:tr w:rsidR="001D718B" w14:paraId="43F34550" w14:textId="77777777" w:rsidTr="00052C9D">
        <w:tc>
          <w:tcPr>
            <w:tcW w:w="4104" w:type="dxa"/>
          </w:tcPr>
          <w:p w14:paraId="2F96C1E3" w14:textId="71ACBAEC" w:rsidR="001D718B" w:rsidRDefault="001D718B" w:rsidP="0061662C">
            <w:pPr>
              <w:pStyle w:val="ListParagraph"/>
              <w:numPr>
                <w:ilvl w:val="0"/>
                <w:numId w:val="7"/>
              </w:numPr>
              <w:spacing w:after="60"/>
              <w:ind w:left="315" w:hanging="284"/>
            </w:pPr>
            <w:r>
              <w:t>A schedule in the format of the note to the accounts that analyses grant expenditure. Explanations and documentation for significant differences compared with prior year (over 10%).</w:t>
            </w:r>
          </w:p>
        </w:tc>
        <w:tc>
          <w:tcPr>
            <w:tcW w:w="1142" w:type="dxa"/>
          </w:tcPr>
          <w:p w14:paraId="459900C6" w14:textId="77777777" w:rsidR="001D718B" w:rsidRDefault="001D718B" w:rsidP="0061662C">
            <w:pPr>
              <w:spacing w:after="60"/>
            </w:pPr>
          </w:p>
        </w:tc>
        <w:tc>
          <w:tcPr>
            <w:tcW w:w="1346" w:type="dxa"/>
          </w:tcPr>
          <w:p w14:paraId="19BF8792" w14:textId="77777777" w:rsidR="001D718B" w:rsidRDefault="001D718B" w:rsidP="0061662C">
            <w:pPr>
              <w:spacing w:after="60"/>
            </w:pPr>
          </w:p>
        </w:tc>
        <w:tc>
          <w:tcPr>
            <w:tcW w:w="1347" w:type="dxa"/>
          </w:tcPr>
          <w:p w14:paraId="63C0A522" w14:textId="77777777" w:rsidR="001D718B" w:rsidRDefault="001D718B" w:rsidP="0061662C">
            <w:pPr>
              <w:spacing w:after="60"/>
            </w:pPr>
          </w:p>
        </w:tc>
        <w:tc>
          <w:tcPr>
            <w:tcW w:w="2126" w:type="dxa"/>
          </w:tcPr>
          <w:p w14:paraId="708BF2EC" w14:textId="77777777" w:rsidR="001D718B" w:rsidRDefault="001D718B" w:rsidP="0061662C">
            <w:pPr>
              <w:spacing w:after="60"/>
            </w:pPr>
          </w:p>
        </w:tc>
      </w:tr>
      <w:tr w:rsidR="006E3332" w14:paraId="3CAF6869" w14:textId="77777777" w:rsidTr="00052C9D">
        <w:tc>
          <w:tcPr>
            <w:tcW w:w="4104" w:type="dxa"/>
          </w:tcPr>
          <w:p w14:paraId="32066AE8" w14:textId="083163CB" w:rsidR="006E3332" w:rsidRDefault="006E3332" w:rsidP="0061662C">
            <w:pPr>
              <w:pStyle w:val="ListParagraph"/>
              <w:numPr>
                <w:ilvl w:val="0"/>
                <w:numId w:val="7"/>
              </w:numPr>
              <w:spacing w:after="60"/>
              <w:ind w:left="315" w:hanging="284"/>
            </w:pPr>
            <w:r>
              <w:t>A schedule in the format of the note to the accounts that analyses expenditure on educational operations direct costs</w:t>
            </w:r>
            <w:r w:rsidR="00506F55">
              <w:t>.</w:t>
            </w:r>
            <w:r w:rsidR="001D718B">
              <w:t xml:space="preserve"> Explanations and documentation for significant differences compared with prior year (over 10%).</w:t>
            </w:r>
          </w:p>
        </w:tc>
        <w:tc>
          <w:tcPr>
            <w:tcW w:w="1142" w:type="dxa"/>
          </w:tcPr>
          <w:p w14:paraId="3B400FF0" w14:textId="77777777" w:rsidR="006E3332" w:rsidRDefault="006E3332" w:rsidP="0061662C">
            <w:pPr>
              <w:spacing w:after="60"/>
            </w:pPr>
          </w:p>
        </w:tc>
        <w:tc>
          <w:tcPr>
            <w:tcW w:w="1346" w:type="dxa"/>
          </w:tcPr>
          <w:p w14:paraId="218E4EFE" w14:textId="77777777" w:rsidR="006E3332" w:rsidRDefault="006E3332" w:rsidP="0061662C">
            <w:pPr>
              <w:spacing w:after="60"/>
            </w:pPr>
          </w:p>
        </w:tc>
        <w:tc>
          <w:tcPr>
            <w:tcW w:w="1347" w:type="dxa"/>
          </w:tcPr>
          <w:p w14:paraId="23B032DF" w14:textId="6722150C" w:rsidR="006E3332" w:rsidRDefault="006E3332" w:rsidP="0061662C">
            <w:pPr>
              <w:spacing w:after="60"/>
            </w:pPr>
          </w:p>
        </w:tc>
        <w:tc>
          <w:tcPr>
            <w:tcW w:w="2126" w:type="dxa"/>
          </w:tcPr>
          <w:p w14:paraId="399C4FD5" w14:textId="77777777" w:rsidR="006E3332" w:rsidRDefault="006E3332" w:rsidP="0061662C">
            <w:pPr>
              <w:spacing w:after="60"/>
            </w:pPr>
          </w:p>
        </w:tc>
      </w:tr>
      <w:tr w:rsidR="006E3332" w14:paraId="7AA0C26C" w14:textId="77777777" w:rsidTr="00052C9D">
        <w:tc>
          <w:tcPr>
            <w:tcW w:w="4104" w:type="dxa"/>
          </w:tcPr>
          <w:p w14:paraId="33CF1B6E" w14:textId="5D528C17" w:rsidR="006E3332" w:rsidRDefault="006E3332" w:rsidP="0061662C">
            <w:pPr>
              <w:pStyle w:val="ListParagraph"/>
              <w:numPr>
                <w:ilvl w:val="0"/>
                <w:numId w:val="7"/>
              </w:numPr>
              <w:spacing w:after="60"/>
              <w:ind w:left="315" w:hanging="284"/>
            </w:pPr>
            <w:r>
              <w:t>A schedule in the format of the note to the accounts that analyses expenditure on educational operations support costs</w:t>
            </w:r>
            <w:r w:rsidR="00506F55">
              <w:t>.</w:t>
            </w:r>
            <w:r w:rsidR="001D718B">
              <w:t xml:space="preserve"> Explanations and documentation for significant differences compared with prior year (over 10%).</w:t>
            </w:r>
          </w:p>
        </w:tc>
        <w:tc>
          <w:tcPr>
            <w:tcW w:w="1142" w:type="dxa"/>
          </w:tcPr>
          <w:p w14:paraId="2B5C0FAC" w14:textId="77777777" w:rsidR="006E3332" w:rsidRDefault="006E3332" w:rsidP="0061662C">
            <w:pPr>
              <w:spacing w:after="60"/>
            </w:pPr>
          </w:p>
        </w:tc>
        <w:tc>
          <w:tcPr>
            <w:tcW w:w="1346" w:type="dxa"/>
          </w:tcPr>
          <w:p w14:paraId="1EE8E190" w14:textId="77777777" w:rsidR="006E3332" w:rsidRDefault="006E3332" w:rsidP="0061662C">
            <w:pPr>
              <w:spacing w:after="60"/>
            </w:pPr>
          </w:p>
        </w:tc>
        <w:tc>
          <w:tcPr>
            <w:tcW w:w="1347" w:type="dxa"/>
          </w:tcPr>
          <w:p w14:paraId="05D2029E" w14:textId="5C5E0B6B" w:rsidR="006E3332" w:rsidRDefault="006E3332" w:rsidP="0061662C">
            <w:pPr>
              <w:spacing w:after="60"/>
            </w:pPr>
          </w:p>
        </w:tc>
        <w:tc>
          <w:tcPr>
            <w:tcW w:w="2126" w:type="dxa"/>
          </w:tcPr>
          <w:p w14:paraId="64BB25A9" w14:textId="77777777" w:rsidR="006E3332" w:rsidRDefault="006E3332" w:rsidP="0061662C">
            <w:pPr>
              <w:spacing w:after="60"/>
            </w:pPr>
          </w:p>
        </w:tc>
      </w:tr>
      <w:tr w:rsidR="001D718B" w14:paraId="13610ED4" w14:textId="77777777" w:rsidTr="00052C9D">
        <w:tc>
          <w:tcPr>
            <w:tcW w:w="4104" w:type="dxa"/>
          </w:tcPr>
          <w:p w14:paraId="541F1CC3" w14:textId="2FF986C6" w:rsidR="001D718B" w:rsidRDefault="001D718B" w:rsidP="0061662C">
            <w:pPr>
              <w:pStyle w:val="ListParagraph"/>
              <w:numPr>
                <w:ilvl w:val="0"/>
                <w:numId w:val="7"/>
              </w:numPr>
              <w:spacing w:after="60"/>
              <w:ind w:left="315" w:hanging="284"/>
            </w:pPr>
            <w:r>
              <w:t>A schedule detailing basis of allocation of support costs.</w:t>
            </w:r>
          </w:p>
        </w:tc>
        <w:tc>
          <w:tcPr>
            <w:tcW w:w="1142" w:type="dxa"/>
          </w:tcPr>
          <w:p w14:paraId="489F3AA2" w14:textId="77777777" w:rsidR="001D718B" w:rsidRDefault="001D718B" w:rsidP="0061662C">
            <w:pPr>
              <w:spacing w:after="60"/>
            </w:pPr>
          </w:p>
        </w:tc>
        <w:tc>
          <w:tcPr>
            <w:tcW w:w="1346" w:type="dxa"/>
          </w:tcPr>
          <w:p w14:paraId="1F9931DE" w14:textId="77777777" w:rsidR="001D718B" w:rsidRDefault="001D718B" w:rsidP="0061662C">
            <w:pPr>
              <w:spacing w:after="60"/>
            </w:pPr>
          </w:p>
        </w:tc>
        <w:tc>
          <w:tcPr>
            <w:tcW w:w="1347" w:type="dxa"/>
          </w:tcPr>
          <w:p w14:paraId="531AE365" w14:textId="77777777" w:rsidR="001D718B" w:rsidRDefault="001D718B" w:rsidP="0061662C">
            <w:pPr>
              <w:spacing w:after="60"/>
            </w:pPr>
          </w:p>
        </w:tc>
        <w:tc>
          <w:tcPr>
            <w:tcW w:w="2126" w:type="dxa"/>
          </w:tcPr>
          <w:p w14:paraId="49927A0D" w14:textId="77777777" w:rsidR="001D718B" w:rsidRDefault="001D718B" w:rsidP="0061662C">
            <w:pPr>
              <w:spacing w:after="60"/>
            </w:pPr>
          </w:p>
        </w:tc>
      </w:tr>
      <w:tr w:rsidR="006E3332" w14:paraId="557FDD94" w14:textId="77777777" w:rsidTr="00052C9D">
        <w:tc>
          <w:tcPr>
            <w:tcW w:w="4104" w:type="dxa"/>
          </w:tcPr>
          <w:p w14:paraId="5F37CB8A" w14:textId="61CA182C" w:rsidR="006E3332" w:rsidRDefault="006E3332" w:rsidP="0061662C">
            <w:pPr>
              <w:pStyle w:val="ListParagraph"/>
              <w:numPr>
                <w:ilvl w:val="0"/>
                <w:numId w:val="7"/>
              </w:numPr>
              <w:spacing w:after="60"/>
              <w:ind w:left="315" w:hanging="284"/>
            </w:pPr>
            <w:r>
              <w:t>A schedule detailing any compensation payments and approval of these</w:t>
            </w:r>
            <w:r w:rsidR="00506F55">
              <w:t>.</w:t>
            </w:r>
          </w:p>
        </w:tc>
        <w:tc>
          <w:tcPr>
            <w:tcW w:w="1142" w:type="dxa"/>
          </w:tcPr>
          <w:p w14:paraId="7A884F83" w14:textId="77777777" w:rsidR="006E3332" w:rsidRDefault="006E3332" w:rsidP="0061662C">
            <w:pPr>
              <w:spacing w:after="60"/>
            </w:pPr>
          </w:p>
        </w:tc>
        <w:tc>
          <w:tcPr>
            <w:tcW w:w="1346" w:type="dxa"/>
          </w:tcPr>
          <w:p w14:paraId="5C1CEA86" w14:textId="77777777" w:rsidR="006E3332" w:rsidRDefault="006E3332" w:rsidP="0061662C">
            <w:pPr>
              <w:spacing w:after="60"/>
            </w:pPr>
          </w:p>
        </w:tc>
        <w:tc>
          <w:tcPr>
            <w:tcW w:w="1347" w:type="dxa"/>
          </w:tcPr>
          <w:p w14:paraId="5A5F4162" w14:textId="52427F5D" w:rsidR="006E3332" w:rsidRDefault="006E3332" w:rsidP="0061662C">
            <w:pPr>
              <w:spacing w:after="60"/>
            </w:pPr>
          </w:p>
        </w:tc>
        <w:tc>
          <w:tcPr>
            <w:tcW w:w="2126" w:type="dxa"/>
          </w:tcPr>
          <w:p w14:paraId="135C42EB" w14:textId="77777777" w:rsidR="006E3332" w:rsidRDefault="006E3332" w:rsidP="0061662C">
            <w:pPr>
              <w:spacing w:after="60"/>
            </w:pPr>
          </w:p>
        </w:tc>
      </w:tr>
      <w:tr w:rsidR="006E3332" w14:paraId="35BCE240" w14:textId="77777777" w:rsidTr="00052C9D">
        <w:tc>
          <w:tcPr>
            <w:tcW w:w="4104" w:type="dxa"/>
          </w:tcPr>
          <w:p w14:paraId="6E293872" w14:textId="37619595" w:rsidR="006E3332" w:rsidRDefault="006E3332" w:rsidP="0061662C">
            <w:pPr>
              <w:pStyle w:val="ListParagraph"/>
              <w:numPr>
                <w:ilvl w:val="0"/>
                <w:numId w:val="7"/>
              </w:numPr>
              <w:spacing w:after="60"/>
              <w:ind w:left="315" w:hanging="284"/>
            </w:pPr>
            <w:r>
              <w:t>A schedule detailing any ex-gratia payments and approval of these</w:t>
            </w:r>
            <w:r w:rsidR="00506F55">
              <w:t>.</w:t>
            </w:r>
          </w:p>
        </w:tc>
        <w:tc>
          <w:tcPr>
            <w:tcW w:w="1142" w:type="dxa"/>
          </w:tcPr>
          <w:p w14:paraId="3E6756EA" w14:textId="77777777" w:rsidR="006E3332" w:rsidRDefault="006E3332" w:rsidP="0061662C">
            <w:pPr>
              <w:spacing w:after="60"/>
            </w:pPr>
          </w:p>
        </w:tc>
        <w:tc>
          <w:tcPr>
            <w:tcW w:w="1346" w:type="dxa"/>
          </w:tcPr>
          <w:p w14:paraId="334752DC" w14:textId="77777777" w:rsidR="006E3332" w:rsidRDefault="006E3332" w:rsidP="0061662C">
            <w:pPr>
              <w:spacing w:after="60"/>
            </w:pPr>
          </w:p>
        </w:tc>
        <w:tc>
          <w:tcPr>
            <w:tcW w:w="1347" w:type="dxa"/>
          </w:tcPr>
          <w:p w14:paraId="1D7E1F42" w14:textId="109806BE" w:rsidR="006E3332" w:rsidRDefault="006E3332" w:rsidP="0061662C">
            <w:pPr>
              <w:spacing w:after="60"/>
            </w:pPr>
          </w:p>
        </w:tc>
        <w:tc>
          <w:tcPr>
            <w:tcW w:w="2126" w:type="dxa"/>
          </w:tcPr>
          <w:p w14:paraId="0A81EF10" w14:textId="77777777" w:rsidR="006E3332" w:rsidRDefault="006E3332" w:rsidP="0061662C">
            <w:pPr>
              <w:spacing w:after="60"/>
            </w:pPr>
          </w:p>
        </w:tc>
      </w:tr>
      <w:tr w:rsidR="006E3332" w14:paraId="28BD6345" w14:textId="77777777" w:rsidTr="00052C9D">
        <w:tc>
          <w:tcPr>
            <w:tcW w:w="4104" w:type="dxa"/>
          </w:tcPr>
          <w:p w14:paraId="5932B129" w14:textId="54EE980E" w:rsidR="006E3332" w:rsidRDefault="006E3332" w:rsidP="0061662C">
            <w:pPr>
              <w:pStyle w:val="ListParagraph"/>
              <w:numPr>
                <w:ilvl w:val="0"/>
                <w:numId w:val="7"/>
              </w:numPr>
              <w:spacing w:after="60"/>
              <w:ind w:left="315" w:hanging="284"/>
            </w:pPr>
            <w:r>
              <w:t>A schedule in the format of the note to the accounts that analyses staff costs. Explanations and documentation for significant differences compared with prior year</w:t>
            </w:r>
            <w:r w:rsidR="001D718B">
              <w:t xml:space="preserve"> (over 10%)</w:t>
            </w:r>
            <w:r w:rsidR="00506F55">
              <w:t>.</w:t>
            </w:r>
          </w:p>
        </w:tc>
        <w:tc>
          <w:tcPr>
            <w:tcW w:w="1142" w:type="dxa"/>
          </w:tcPr>
          <w:p w14:paraId="08C35674" w14:textId="77777777" w:rsidR="006E3332" w:rsidRDefault="006E3332" w:rsidP="0061662C">
            <w:pPr>
              <w:spacing w:after="60"/>
            </w:pPr>
          </w:p>
        </w:tc>
        <w:tc>
          <w:tcPr>
            <w:tcW w:w="1346" w:type="dxa"/>
          </w:tcPr>
          <w:p w14:paraId="6A9BD4BC" w14:textId="77777777" w:rsidR="006E3332" w:rsidRDefault="006E3332" w:rsidP="0061662C">
            <w:pPr>
              <w:spacing w:after="60"/>
            </w:pPr>
          </w:p>
        </w:tc>
        <w:tc>
          <w:tcPr>
            <w:tcW w:w="1347" w:type="dxa"/>
          </w:tcPr>
          <w:p w14:paraId="48D84A7A" w14:textId="5F8ACB08" w:rsidR="006E3332" w:rsidRDefault="006E3332" w:rsidP="0061662C">
            <w:pPr>
              <w:spacing w:after="60"/>
            </w:pPr>
          </w:p>
        </w:tc>
        <w:tc>
          <w:tcPr>
            <w:tcW w:w="2126" w:type="dxa"/>
          </w:tcPr>
          <w:p w14:paraId="2CADF5D9" w14:textId="77777777" w:rsidR="006E3332" w:rsidRDefault="006E3332" w:rsidP="0061662C">
            <w:pPr>
              <w:spacing w:after="60"/>
            </w:pPr>
          </w:p>
        </w:tc>
      </w:tr>
      <w:tr w:rsidR="006E3332" w14:paraId="7BF36DFE" w14:textId="77777777" w:rsidTr="00052C9D">
        <w:tc>
          <w:tcPr>
            <w:tcW w:w="4104" w:type="dxa"/>
          </w:tcPr>
          <w:p w14:paraId="12B790F9" w14:textId="62714450" w:rsidR="006E3332" w:rsidRDefault="006E3332" w:rsidP="0061662C">
            <w:pPr>
              <w:pStyle w:val="ListParagraph"/>
              <w:numPr>
                <w:ilvl w:val="0"/>
                <w:numId w:val="7"/>
              </w:numPr>
              <w:spacing w:after="60"/>
              <w:ind w:left="315" w:hanging="284"/>
            </w:pPr>
            <w:r>
              <w:t>A schedule of the monthly gross salary, employer’s NI and pension contributions for the year from the payroll reports with total reconciled to the staff costs per the trial balance</w:t>
            </w:r>
            <w:r w:rsidR="00506F55">
              <w:t>.</w:t>
            </w:r>
          </w:p>
        </w:tc>
        <w:tc>
          <w:tcPr>
            <w:tcW w:w="1142" w:type="dxa"/>
          </w:tcPr>
          <w:p w14:paraId="2741623F" w14:textId="77777777" w:rsidR="006E3332" w:rsidRDefault="006E3332" w:rsidP="0061662C">
            <w:pPr>
              <w:spacing w:after="60"/>
            </w:pPr>
          </w:p>
        </w:tc>
        <w:tc>
          <w:tcPr>
            <w:tcW w:w="1346" w:type="dxa"/>
          </w:tcPr>
          <w:p w14:paraId="1954A6AC" w14:textId="77777777" w:rsidR="006E3332" w:rsidRDefault="006E3332" w:rsidP="0061662C">
            <w:pPr>
              <w:spacing w:after="60"/>
            </w:pPr>
          </w:p>
        </w:tc>
        <w:tc>
          <w:tcPr>
            <w:tcW w:w="1347" w:type="dxa"/>
          </w:tcPr>
          <w:p w14:paraId="1262D0CC" w14:textId="337136EB" w:rsidR="006E3332" w:rsidRDefault="006E3332" w:rsidP="0061662C">
            <w:pPr>
              <w:spacing w:after="60"/>
            </w:pPr>
          </w:p>
        </w:tc>
        <w:tc>
          <w:tcPr>
            <w:tcW w:w="2126" w:type="dxa"/>
          </w:tcPr>
          <w:p w14:paraId="73F0E7A4" w14:textId="77777777" w:rsidR="006E3332" w:rsidRDefault="006E3332" w:rsidP="0061662C">
            <w:pPr>
              <w:spacing w:after="60"/>
            </w:pPr>
          </w:p>
        </w:tc>
      </w:tr>
      <w:tr w:rsidR="006E3332" w14:paraId="18BFA1AE" w14:textId="77777777" w:rsidTr="00052C9D">
        <w:tc>
          <w:tcPr>
            <w:tcW w:w="4104" w:type="dxa"/>
          </w:tcPr>
          <w:p w14:paraId="16EF86E7" w14:textId="4DCD1B88" w:rsidR="006E3332" w:rsidRDefault="006E3332" w:rsidP="0061662C">
            <w:pPr>
              <w:pStyle w:val="ListParagraph"/>
              <w:numPr>
                <w:ilvl w:val="0"/>
                <w:numId w:val="7"/>
              </w:numPr>
              <w:spacing w:after="60"/>
              <w:ind w:left="315" w:hanging="284"/>
            </w:pPr>
            <w:r>
              <w:t>Number of Full Time Equivalent staff employed in each grade at the start of each month and the headcount. Details of calculation and analysis of average headcount disclosed</w:t>
            </w:r>
            <w:r w:rsidR="00506F55">
              <w:t>.</w:t>
            </w:r>
          </w:p>
        </w:tc>
        <w:tc>
          <w:tcPr>
            <w:tcW w:w="1142" w:type="dxa"/>
          </w:tcPr>
          <w:p w14:paraId="7E1705C2" w14:textId="77777777" w:rsidR="006E3332" w:rsidRDefault="006E3332" w:rsidP="0061662C">
            <w:pPr>
              <w:spacing w:after="60"/>
            </w:pPr>
          </w:p>
        </w:tc>
        <w:tc>
          <w:tcPr>
            <w:tcW w:w="1346" w:type="dxa"/>
          </w:tcPr>
          <w:p w14:paraId="1729A37A" w14:textId="77777777" w:rsidR="006E3332" w:rsidRDefault="006E3332" w:rsidP="0061662C">
            <w:pPr>
              <w:spacing w:after="60"/>
            </w:pPr>
          </w:p>
        </w:tc>
        <w:tc>
          <w:tcPr>
            <w:tcW w:w="1347" w:type="dxa"/>
          </w:tcPr>
          <w:p w14:paraId="5444EC5F" w14:textId="65DE2B22" w:rsidR="006E3332" w:rsidRDefault="006E3332" w:rsidP="0061662C">
            <w:pPr>
              <w:spacing w:after="60"/>
            </w:pPr>
          </w:p>
        </w:tc>
        <w:tc>
          <w:tcPr>
            <w:tcW w:w="2126" w:type="dxa"/>
          </w:tcPr>
          <w:p w14:paraId="732CCCF4" w14:textId="77777777" w:rsidR="006E3332" w:rsidRDefault="006E3332" w:rsidP="0061662C">
            <w:pPr>
              <w:spacing w:after="60"/>
            </w:pPr>
          </w:p>
        </w:tc>
      </w:tr>
    </w:tbl>
    <w:p w14:paraId="30C022F0" w14:textId="77777777" w:rsidR="005A6F10" w:rsidRDefault="005A6F10">
      <w:r>
        <w:br w:type="page"/>
      </w:r>
    </w:p>
    <w:tbl>
      <w:tblPr>
        <w:tblStyle w:val="TableGrid"/>
        <w:tblW w:w="10065" w:type="dxa"/>
        <w:tblInd w:w="-431" w:type="dxa"/>
        <w:tblLook w:val="04A0" w:firstRow="1" w:lastRow="0" w:firstColumn="1" w:lastColumn="0" w:noHBand="0" w:noVBand="1"/>
      </w:tblPr>
      <w:tblGrid>
        <w:gridCol w:w="4104"/>
        <w:gridCol w:w="1142"/>
        <w:gridCol w:w="1346"/>
        <w:gridCol w:w="1347"/>
        <w:gridCol w:w="2126"/>
      </w:tblGrid>
      <w:tr w:rsidR="006E3332" w14:paraId="211F678F" w14:textId="77777777" w:rsidTr="00052C9D">
        <w:tc>
          <w:tcPr>
            <w:tcW w:w="4104" w:type="dxa"/>
          </w:tcPr>
          <w:p w14:paraId="326C4BAC" w14:textId="1FF5B8D2" w:rsidR="006E3332" w:rsidRDefault="006E3332" w:rsidP="0061662C">
            <w:pPr>
              <w:pStyle w:val="ListParagraph"/>
              <w:numPr>
                <w:ilvl w:val="0"/>
                <w:numId w:val="7"/>
              </w:numPr>
              <w:spacing w:after="60"/>
              <w:ind w:left="315" w:hanging="284"/>
            </w:pPr>
            <w:r>
              <w:lastRenderedPageBreak/>
              <w:t>Details of redundancy and severance payments identifying any non-statutory / non-contractual payments and approval of these</w:t>
            </w:r>
            <w:r w:rsidR="00506F55">
              <w:t>.</w:t>
            </w:r>
          </w:p>
        </w:tc>
        <w:tc>
          <w:tcPr>
            <w:tcW w:w="1142" w:type="dxa"/>
          </w:tcPr>
          <w:p w14:paraId="7F9FD641" w14:textId="77777777" w:rsidR="006E3332" w:rsidRDefault="006E3332" w:rsidP="0061662C">
            <w:pPr>
              <w:spacing w:after="60"/>
            </w:pPr>
          </w:p>
        </w:tc>
        <w:tc>
          <w:tcPr>
            <w:tcW w:w="1346" w:type="dxa"/>
          </w:tcPr>
          <w:p w14:paraId="0E40C54F" w14:textId="77777777" w:rsidR="006E3332" w:rsidRDefault="006E3332" w:rsidP="0061662C">
            <w:pPr>
              <w:spacing w:after="60"/>
            </w:pPr>
          </w:p>
        </w:tc>
        <w:tc>
          <w:tcPr>
            <w:tcW w:w="1347" w:type="dxa"/>
          </w:tcPr>
          <w:p w14:paraId="31EB7479" w14:textId="564E207A" w:rsidR="006E3332" w:rsidRDefault="006E3332" w:rsidP="0061662C">
            <w:pPr>
              <w:spacing w:after="60"/>
            </w:pPr>
          </w:p>
        </w:tc>
        <w:tc>
          <w:tcPr>
            <w:tcW w:w="2126" w:type="dxa"/>
          </w:tcPr>
          <w:p w14:paraId="30E01F59" w14:textId="77777777" w:rsidR="006E3332" w:rsidRDefault="006E3332" w:rsidP="0061662C">
            <w:pPr>
              <w:spacing w:after="60"/>
            </w:pPr>
          </w:p>
        </w:tc>
      </w:tr>
      <w:tr w:rsidR="006E3332" w14:paraId="6A915AFD" w14:textId="77777777" w:rsidTr="00052C9D">
        <w:tc>
          <w:tcPr>
            <w:tcW w:w="4104" w:type="dxa"/>
          </w:tcPr>
          <w:p w14:paraId="70E541A2" w14:textId="0D625EDF" w:rsidR="006E3332" w:rsidRDefault="006E3332" w:rsidP="0061662C">
            <w:pPr>
              <w:pStyle w:val="ListParagraph"/>
              <w:numPr>
                <w:ilvl w:val="0"/>
                <w:numId w:val="7"/>
              </w:numPr>
              <w:spacing w:after="60"/>
              <w:ind w:left="315" w:hanging="284"/>
            </w:pPr>
            <w:r>
              <w:t>Details and calculation of employees with benefits exceeding £60k</w:t>
            </w:r>
            <w:r w:rsidR="00506F55">
              <w:t>.</w:t>
            </w:r>
          </w:p>
        </w:tc>
        <w:tc>
          <w:tcPr>
            <w:tcW w:w="1142" w:type="dxa"/>
          </w:tcPr>
          <w:p w14:paraId="2613DC57" w14:textId="77777777" w:rsidR="006E3332" w:rsidRDefault="006E3332" w:rsidP="0061662C">
            <w:pPr>
              <w:spacing w:after="60"/>
            </w:pPr>
          </w:p>
        </w:tc>
        <w:tc>
          <w:tcPr>
            <w:tcW w:w="1346" w:type="dxa"/>
          </w:tcPr>
          <w:p w14:paraId="710E8D42" w14:textId="77777777" w:rsidR="006E3332" w:rsidRDefault="006E3332" w:rsidP="0061662C">
            <w:pPr>
              <w:spacing w:after="60"/>
            </w:pPr>
          </w:p>
        </w:tc>
        <w:tc>
          <w:tcPr>
            <w:tcW w:w="1347" w:type="dxa"/>
          </w:tcPr>
          <w:p w14:paraId="62F8AC14" w14:textId="0181F131" w:rsidR="006E3332" w:rsidRDefault="006E3332" w:rsidP="0061662C">
            <w:pPr>
              <w:spacing w:after="60"/>
            </w:pPr>
          </w:p>
        </w:tc>
        <w:tc>
          <w:tcPr>
            <w:tcW w:w="2126" w:type="dxa"/>
          </w:tcPr>
          <w:p w14:paraId="78EE5720" w14:textId="77777777" w:rsidR="006E3332" w:rsidRDefault="006E3332" w:rsidP="0061662C">
            <w:pPr>
              <w:spacing w:after="60"/>
            </w:pPr>
          </w:p>
        </w:tc>
      </w:tr>
      <w:tr w:rsidR="006E3332" w14:paraId="451BA8A7" w14:textId="77777777" w:rsidTr="00052C9D">
        <w:tc>
          <w:tcPr>
            <w:tcW w:w="4104" w:type="dxa"/>
          </w:tcPr>
          <w:p w14:paraId="7C010F19" w14:textId="11DE4E88" w:rsidR="006E3332" w:rsidRDefault="006E3332" w:rsidP="0061662C">
            <w:pPr>
              <w:pStyle w:val="ListParagraph"/>
              <w:numPr>
                <w:ilvl w:val="0"/>
                <w:numId w:val="7"/>
              </w:numPr>
              <w:spacing w:after="60"/>
              <w:ind w:left="315" w:hanging="284"/>
            </w:pPr>
            <w:r>
              <w:t>Details and calculation of total employee benefits of key management personnel. Include role, gross salary, employers NI contributions and employers pension contributions</w:t>
            </w:r>
            <w:r w:rsidR="00506F55">
              <w:t>.</w:t>
            </w:r>
            <w:r>
              <w:t xml:space="preserve"> </w:t>
            </w:r>
          </w:p>
        </w:tc>
        <w:tc>
          <w:tcPr>
            <w:tcW w:w="1142" w:type="dxa"/>
          </w:tcPr>
          <w:p w14:paraId="4FAD289E" w14:textId="77777777" w:rsidR="006E3332" w:rsidRDefault="006E3332" w:rsidP="0061662C">
            <w:pPr>
              <w:spacing w:after="60"/>
            </w:pPr>
          </w:p>
        </w:tc>
        <w:tc>
          <w:tcPr>
            <w:tcW w:w="1346" w:type="dxa"/>
          </w:tcPr>
          <w:p w14:paraId="4B3669B4" w14:textId="77777777" w:rsidR="006E3332" w:rsidRDefault="006E3332" w:rsidP="0061662C">
            <w:pPr>
              <w:spacing w:after="60"/>
            </w:pPr>
          </w:p>
        </w:tc>
        <w:tc>
          <w:tcPr>
            <w:tcW w:w="1347" w:type="dxa"/>
          </w:tcPr>
          <w:p w14:paraId="40FC1D06" w14:textId="7D80A492" w:rsidR="006E3332" w:rsidRDefault="006E3332" w:rsidP="0061662C">
            <w:pPr>
              <w:spacing w:after="60"/>
            </w:pPr>
          </w:p>
        </w:tc>
        <w:tc>
          <w:tcPr>
            <w:tcW w:w="2126" w:type="dxa"/>
          </w:tcPr>
          <w:p w14:paraId="22F2510A" w14:textId="77777777" w:rsidR="006E3332" w:rsidRDefault="006E3332" w:rsidP="0061662C">
            <w:pPr>
              <w:spacing w:after="60"/>
            </w:pPr>
          </w:p>
        </w:tc>
      </w:tr>
      <w:tr w:rsidR="006E3332" w14:paraId="24A705FC" w14:textId="77777777" w:rsidTr="00052C9D">
        <w:tc>
          <w:tcPr>
            <w:tcW w:w="4104" w:type="dxa"/>
          </w:tcPr>
          <w:p w14:paraId="070751E3" w14:textId="7F7F002D" w:rsidR="006E3332" w:rsidRDefault="006E3332" w:rsidP="0061662C">
            <w:pPr>
              <w:pStyle w:val="ListParagraph"/>
              <w:numPr>
                <w:ilvl w:val="0"/>
                <w:numId w:val="7"/>
              </w:numPr>
              <w:spacing w:after="60"/>
              <w:ind w:left="315" w:hanging="284"/>
            </w:pPr>
            <w:r>
              <w:t xml:space="preserve">A detailed listing of all payments made in September and October </w:t>
            </w:r>
            <w:r w:rsidR="00506F55">
              <w:t>(after the year-end).</w:t>
            </w:r>
          </w:p>
        </w:tc>
        <w:tc>
          <w:tcPr>
            <w:tcW w:w="1142" w:type="dxa"/>
          </w:tcPr>
          <w:p w14:paraId="3EDD16C8" w14:textId="77777777" w:rsidR="006E3332" w:rsidRDefault="006E3332" w:rsidP="0061662C">
            <w:pPr>
              <w:spacing w:after="60"/>
            </w:pPr>
          </w:p>
        </w:tc>
        <w:tc>
          <w:tcPr>
            <w:tcW w:w="1346" w:type="dxa"/>
          </w:tcPr>
          <w:p w14:paraId="23B1F7EA" w14:textId="77777777" w:rsidR="006E3332" w:rsidRDefault="006E3332" w:rsidP="0061662C">
            <w:pPr>
              <w:spacing w:after="60"/>
            </w:pPr>
          </w:p>
        </w:tc>
        <w:tc>
          <w:tcPr>
            <w:tcW w:w="1347" w:type="dxa"/>
          </w:tcPr>
          <w:p w14:paraId="42BFBBAA" w14:textId="0BC1C512" w:rsidR="006E3332" w:rsidRDefault="006E3332" w:rsidP="0061662C">
            <w:pPr>
              <w:spacing w:after="60"/>
            </w:pPr>
          </w:p>
        </w:tc>
        <w:tc>
          <w:tcPr>
            <w:tcW w:w="2126" w:type="dxa"/>
          </w:tcPr>
          <w:p w14:paraId="508F4DC3" w14:textId="77777777" w:rsidR="006E3332" w:rsidRDefault="006E3332" w:rsidP="0061662C">
            <w:pPr>
              <w:spacing w:after="60"/>
            </w:pPr>
          </w:p>
        </w:tc>
      </w:tr>
      <w:tr w:rsidR="001D718B" w14:paraId="37C9330B" w14:textId="77777777" w:rsidTr="00052C9D">
        <w:tc>
          <w:tcPr>
            <w:tcW w:w="4104" w:type="dxa"/>
          </w:tcPr>
          <w:p w14:paraId="70CC3901" w14:textId="1BACB5A1" w:rsidR="001D718B" w:rsidRDefault="001D718B" w:rsidP="0061662C">
            <w:pPr>
              <w:pStyle w:val="ListParagraph"/>
              <w:numPr>
                <w:ilvl w:val="0"/>
                <w:numId w:val="7"/>
              </w:numPr>
              <w:spacing w:after="60"/>
              <w:ind w:left="315" w:hanging="284"/>
            </w:pPr>
            <w:r>
              <w:t>A schedule in the format of the note to the accounts that analyses trustees’ remuneration and expenses.</w:t>
            </w:r>
            <w:r w:rsidR="00DE481D">
              <w:t xml:space="preserve"> </w:t>
            </w:r>
            <w:r>
              <w:t>Explanations and documentation for significant differences compared with prior year (over 10%).</w:t>
            </w:r>
          </w:p>
        </w:tc>
        <w:tc>
          <w:tcPr>
            <w:tcW w:w="1142" w:type="dxa"/>
          </w:tcPr>
          <w:p w14:paraId="65B3D844" w14:textId="77777777" w:rsidR="001D718B" w:rsidRDefault="001D718B" w:rsidP="0061662C">
            <w:pPr>
              <w:spacing w:after="60"/>
            </w:pPr>
          </w:p>
        </w:tc>
        <w:tc>
          <w:tcPr>
            <w:tcW w:w="1346" w:type="dxa"/>
          </w:tcPr>
          <w:p w14:paraId="3F7CA11D" w14:textId="77777777" w:rsidR="001D718B" w:rsidRDefault="001D718B" w:rsidP="0061662C">
            <w:pPr>
              <w:spacing w:after="60"/>
            </w:pPr>
          </w:p>
        </w:tc>
        <w:tc>
          <w:tcPr>
            <w:tcW w:w="1347" w:type="dxa"/>
          </w:tcPr>
          <w:p w14:paraId="2B3DAB68" w14:textId="77777777" w:rsidR="001D718B" w:rsidRDefault="001D718B" w:rsidP="0061662C">
            <w:pPr>
              <w:spacing w:after="60"/>
            </w:pPr>
          </w:p>
        </w:tc>
        <w:tc>
          <w:tcPr>
            <w:tcW w:w="2126" w:type="dxa"/>
          </w:tcPr>
          <w:p w14:paraId="77E56E66" w14:textId="77777777" w:rsidR="001D718B" w:rsidRDefault="001D718B" w:rsidP="0061662C">
            <w:pPr>
              <w:spacing w:after="60"/>
            </w:pPr>
          </w:p>
        </w:tc>
      </w:tr>
      <w:tr w:rsidR="006E3332" w14:paraId="030BB0A3" w14:textId="77777777" w:rsidTr="00A209CA">
        <w:tc>
          <w:tcPr>
            <w:tcW w:w="10065" w:type="dxa"/>
            <w:gridSpan w:val="5"/>
          </w:tcPr>
          <w:p w14:paraId="118A55D6" w14:textId="77777777" w:rsidR="006E3332" w:rsidRDefault="006E3332" w:rsidP="0061662C">
            <w:pPr>
              <w:spacing w:after="60"/>
              <w:rPr>
                <w:b/>
              </w:rPr>
            </w:pPr>
          </w:p>
        </w:tc>
      </w:tr>
      <w:tr w:rsidR="006E3332" w14:paraId="28EE7A04" w14:textId="77777777" w:rsidTr="006E3332">
        <w:tc>
          <w:tcPr>
            <w:tcW w:w="10065" w:type="dxa"/>
            <w:gridSpan w:val="5"/>
            <w:shd w:val="clear" w:color="auto" w:fill="BFBFBF" w:themeFill="background1" w:themeFillShade="BF"/>
          </w:tcPr>
          <w:p w14:paraId="77704405" w14:textId="3F4D8ECB" w:rsidR="006E3332" w:rsidRDefault="006E3332" w:rsidP="00E8167F">
            <w:pPr>
              <w:tabs>
                <w:tab w:val="left" w:pos="315"/>
              </w:tabs>
              <w:spacing w:after="60"/>
            </w:pPr>
            <w:r>
              <w:rPr>
                <w:b/>
              </w:rPr>
              <w:t>D</w:t>
            </w:r>
            <w:r w:rsidR="00E8167F">
              <w:rPr>
                <w:b/>
              </w:rPr>
              <w:t>1</w:t>
            </w:r>
            <w:r w:rsidR="00E8167F">
              <w:rPr>
                <w:b/>
              </w:rPr>
              <w:tab/>
            </w:r>
            <w:r w:rsidRPr="00995B9E">
              <w:rPr>
                <w:b/>
              </w:rPr>
              <w:t>Balance Sheet</w:t>
            </w:r>
            <w:r>
              <w:rPr>
                <w:b/>
              </w:rPr>
              <w:t xml:space="preserve"> – Fixed Assets</w:t>
            </w:r>
          </w:p>
        </w:tc>
      </w:tr>
      <w:tr w:rsidR="006E3332" w14:paraId="0E84B9AB" w14:textId="77777777" w:rsidTr="00052C9D">
        <w:tc>
          <w:tcPr>
            <w:tcW w:w="4104" w:type="dxa"/>
          </w:tcPr>
          <w:p w14:paraId="0AC806D3" w14:textId="77466CF1" w:rsidR="006E3332" w:rsidRDefault="00E8167F" w:rsidP="0061662C">
            <w:pPr>
              <w:pStyle w:val="ListParagraph"/>
              <w:numPr>
                <w:ilvl w:val="0"/>
                <w:numId w:val="12"/>
              </w:numPr>
              <w:spacing w:after="60"/>
              <w:ind w:left="315" w:hanging="315"/>
            </w:pPr>
            <w:r>
              <w:t>A schedule in the format of the note to the accounts that analyse intangible fixed assets into appropriate categories.</w:t>
            </w:r>
          </w:p>
        </w:tc>
        <w:tc>
          <w:tcPr>
            <w:tcW w:w="1142" w:type="dxa"/>
          </w:tcPr>
          <w:p w14:paraId="36BA7065" w14:textId="77777777" w:rsidR="006E3332" w:rsidRDefault="006E3332" w:rsidP="0061662C">
            <w:pPr>
              <w:spacing w:after="60"/>
            </w:pPr>
          </w:p>
        </w:tc>
        <w:tc>
          <w:tcPr>
            <w:tcW w:w="1346" w:type="dxa"/>
          </w:tcPr>
          <w:p w14:paraId="32959F66" w14:textId="77777777" w:rsidR="006E3332" w:rsidRDefault="006E3332" w:rsidP="0061662C">
            <w:pPr>
              <w:spacing w:after="60"/>
            </w:pPr>
          </w:p>
        </w:tc>
        <w:tc>
          <w:tcPr>
            <w:tcW w:w="1347" w:type="dxa"/>
          </w:tcPr>
          <w:p w14:paraId="29769ED2" w14:textId="1964296B" w:rsidR="006E3332" w:rsidRDefault="006E3332" w:rsidP="0061662C">
            <w:pPr>
              <w:spacing w:after="60"/>
            </w:pPr>
          </w:p>
        </w:tc>
        <w:tc>
          <w:tcPr>
            <w:tcW w:w="2126" w:type="dxa"/>
          </w:tcPr>
          <w:p w14:paraId="46B7A6BF" w14:textId="77777777" w:rsidR="006E3332" w:rsidRDefault="006E3332" w:rsidP="0061662C">
            <w:pPr>
              <w:spacing w:after="60"/>
            </w:pPr>
          </w:p>
        </w:tc>
      </w:tr>
      <w:tr w:rsidR="006E3332" w14:paraId="6683BDA6" w14:textId="77777777" w:rsidTr="00052C9D">
        <w:tc>
          <w:tcPr>
            <w:tcW w:w="4104" w:type="dxa"/>
          </w:tcPr>
          <w:p w14:paraId="52A79678" w14:textId="77950956" w:rsidR="006E3332" w:rsidRDefault="006E3332" w:rsidP="0061662C">
            <w:pPr>
              <w:pStyle w:val="ListParagraph"/>
              <w:numPr>
                <w:ilvl w:val="0"/>
                <w:numId w:val="12"/>
              </w:numPr>
              <w:spacing w:after="60"/>
              <w:ind w:left="315" w:hanging="315"/>
            </w:pPr>
            <w:r>
              <w:t>A schedule in the format of the note to the accounts that analys</w:t>
            </w:r>
            <w:r w:rsidR="00E8167F">
              <w:t>e</w:t>
            </w:r>
            <w:r>
              <w:t>s tangible fixed assets into appropriate categories</w:t>
            </w:r>
            <w:r w:rsidR="00506F55">
              <w:t>.</w:t>
            </w:r>
          </w:p>
        </w:tc>
        <w:tc>
          <w:tcPr>
            <w:tcW w:w="1142" w:type="dxa"/>
          </w:tcPr>
          <w:p w14:paraId="024465DF" w14:textId="77777777" w:rsidR="006E3332" w:rsidRDefault="006E3332" w:rsidP="0061662C">
            <w:pPr>
              <w:spacing w:after="60"/>
            </w:pPr>
          </w:p>
        </w:tc>
        <w:tc>
          <w:tcPr>
            <w:tcW w:w="1346" w:type="dxa"/>
          </w:tcPr>
          <w:p w14:paraId="490D2C2A" w14:textId="77777777" w:rsidR="006E3332" w:rsidRDefault="006E3332" w:rsidP="0061662C">
            <w:pPr>
              <w:spacing w:after="60"/>
            </w:pPr>
          </w:p>
        </w:tc>
        <w:tc>
          <w:tcPr>
            <w:tcW w:w="1347" w:type="dxa"/>
          </w:tcPr>
          <w:p w14:paraId="1504BB2F" w14:textId="495E7DCE" w:rsidR="006E3332" w:rsidRDefault="006E3332" w:rsidP="0061662C">
            <w:pPr>
              <w:spacing w:after="60"/>
            </w:pPr>
          </w:p>
        </w:tc>
        <w:tc>
          <w:tcPr>
            <w:tcW w:w="2126" w:type="dxa"/>
          </w:tcPr>
          <w:p w14:paraId="718DC321" w14:textId="66268C5D" w:rsidR="006E3332" w:rsidRDefault="006E3332" w:rsidP="0061662C">
            <w:pPr>
              <w:spacing w:after="60"/>
            </w:pPr>
          </w:p>
        </w:tc>
      </w:tr>
      <w:tr w:rsidR="006E3332" w14:paraId="0FDE6895" w14:textId="77777777" w:rsidTr="00052C9D">
        <w:tc>
          <w:tcPr>
            <w:tcW w:w="4104" w:type="dxa"/>
          </w:tcPr>
          <w:p w14:paraId="32FC876C" w14:textId="39589449" w:rsidR="006E3332" w:rsidRDefault="006E3332" w:rsidP="0061662C">
            <w:pPr>
              <w:pStyle w:val="ListParagraph"/>
              <w:numPr>
                <w:ilvl w:val="0"/>
                <w:numId w:val="12"/>
              </w:numPr>
              <w:spacing w:after="60"/>
              <w:ind w:left="315" w:hanging="315"/>
            </w:pPr>
            <w:r>
              <w:t>Fixed asset register for the year</w:t>
            </w:r>
            <w:r w:rsidR="00DE481D">
              <w:t>-</w:t>
            </w:r>
            <w:r>
              <w:t>end. This should reconcile to the trial balance and the fixed asset disclosure note</w:t>
            </w:r>
            <w:r w:rsidR="00506F55">
              <w:t>.</w:t>
            </w:r>
          </w:p>
        </w:tc>
        <w:tc>
          <w:tcPr>
            <w:tcW w:w="1142" w:type="dxa"/>
          </w:tcPr>
          <w:p w14:paraId="1CE4144D" w14:textId="77777777" w:rsidR="006E3332" w:rsidRDefault="006E3332" w:rsidP="0061662C">
            <w:pPr>
              <w:spacing w:after="60"/>
            </w:pPr>
          </w:p>
        </w:tc>
        <w:tc>
          <w:tcPr>
            <w:tcW w:w="1346" w:type="dxa"/>
          </w:tcPr>
          <w:p w14:paraId="6D3C9CF6" w14:textId="77777777" w:rsidR="006E3332" w:rsidRDefault="006E3332" w:rsidP="0061662C">
            <w:pPr>
              <w:spacing w:after="60"/>
            </w:pPr>
          </w:p>
        </w:tc>
        <w:tc>
          <w:tcPr>
            <w:tcW w:w="1347" w:type="dxa"/>
          </w:tcPr>
          <w:p w14:paraId="74EB8E2F" w14:textId="2A6B30D1" w:rsidR="006E3332" w:rsidRDefault="006E3332" w:rsidP="0061662C">
            <w:pPr>
              <w:spacing w:after="60"/>
            </w:pPr>
          </w:p>
        </w:tc>
        <w:tc>
          <w:tcPr>
            <w:tcW w:w="2126" w:type="dxa"/>
          </w:tcPr>
          <w:p w14:paraId="0BBA9478" w14:textId="57C08C18" w:rsidR="006E3332" w:rsidRDefault="006E3332" w:rsidP="0061662C">
            <w:pPr>
              <w:spacing w:after="60"/>
            </w:pPr>
          </w:p>
        </w:tc>
      </w:tr>
      <w:tr w:rsidR="006E3332" w14:paraId="4B58F247" w14:textId="77777777" w:rsidTr="00052C9D">
        <w:tc>
          <w:tcPr>
            <w:tcW w:w="4104" w:type="dxa"/>
          </w:tcPr>
          <w:p w14:paraId="2B1F9AA6" w14:textId="3E2A6E1B" w:rsidR="006E3332" w:rsidRDefault="006E3332" w:rsidP="0061662C">
            <w:pPr>
              <w:pStyle w:val="ListParagraph"/>
              <w:numPr>
                <w:ilvl w:val="0"/>
                <w:numId w:val="12"/>
              </w:numPr>
              <w:spacing w:after="60"/>
              <w:ind w:left="315" w:hanging="315"/>
            </w:pPr>
            <w:r>
              <w:t>A schedule of acquisitions and additions, showing for each asset the purchase cost. This should reconcile to the fixed asset disclosure note. Include evidence of Board review / approval and ESFA approval if asset is land or buildings</w:t>
            </w:r>
            <w:r w:rsidR="00506F55">
              <w:t>.</w:t>
            </w:r>
            <w:r>
              <w:t xml:space="preserve"> </w:t>
            </w:r>
          </w:p>
        </w:tc>
        <w:tc>
          <w:tcPr>
            <w:tcW w:w="1142" w:type="dxa"/>
          </w:tcPr>
          <w:p w14:paraId="767CA70C" w14:textId="77777777" w:rsidR="006E3332" w:rsidRDefault="006E3332" w:rsidP="0061662C">
            <w:pPr>
              <w:spacing w:after="60"/>
            </w:pPr>
          </w:p>
        </w:tc>
        <w:tc>
          <w:tcPr>
            <w:tcW w:w="1346" w:type="dxa"/>
          </w:tcPr>
          <w:p w14:paraId="5193B3F2" w14:textId="77777777" w:rsidR="006E3332" w:rsidRDefault="006E3332" w:rsidP="0061662C">
            <w:pPr>
              <w:spacing w:after="60"/>
            </w:pPr>
          </w:p>
        </w:tc>
        <w:tc>
          <w:tcPr>
            <w:tcW w:w="1347" w:type="dxa"/>
          </w:tcPr>
          <w:p w14:paraId="272161E9" w14:textId="224F26E4" w:rsidR="006E3332" w:rsidRDefault="006E3332" w:rsidP="0061662C">
            <w:pPr>
              <w:spacing w:after="60"/>
            </w:pPr>
          </w:p>
        </w:tc>
        <w:tc>
          <w:tcPr>
            <w:tcW w:w="2126" w:type="dxa"/>
          </w:tcPr>
          <w:p w14:paraId="46B5E682" w14:textId="70AD3D74" w:rsidR="006E3332" w:rsidRDefault="006E3332" w:rsidP="0061662C">
            <w:pPr>
              <w:spacing w:after="60"/>
            </w:pPr>
          </w:p>
        </w:tc>
      </w:tr>
      <w:tr w:rsidR="006E3332" w14:paraId="39811337" w14:textId="77777777" w:rsidTr="00052C9D">
        <w:tc>
          <w:tcPr>
            <w:tcW w:w="4104" w:type="dxa"/>
          </w:tcPr>
          <w:p w14:paraId="3D3B2C31" w14:textId="27A4D747" w:rsidR="006E3332" w:rsidRDefault="006E3332" w:rsidP="0061662C">
            <w:pPr>
              <w:pStyle w:val="ListParagraph"/>
              <w:numPr>
                <w:ilvl w:val="0"/>
                <w:numId w:val="12"/>
              </w:numPr>
              <w:spacing w:after="60"/>
              <w:ind w:left="315" w:hanging="315"/>
            </w:pPr>
            <w:r>
              <w:t>A schedule of disposals This should reconcile to the fixed asset disclosure note. Include evidence of Board review / approval and ESFA approval if asset is land or buildings</w:t>
            </w:r>
            <w:r w:rsidR="00506F55">
              <w:t>.</w:t>
            </w:r>
          </w:p>
        </w:tc>
        <w:tc>
          <w:tcPr>
            <w:tcW w:w="1142" w:type="dxa"/>
          </w:tcPr>
          <w:p w14:paraId="221B2314" w14:textId="77777777" w:rsidR="006E3332" w:rsidRDefault="006E3332" w:rsidP="0061662C">
            <w:pPr>
              <w:spacing w:after="60"/>
            </w:pPr>
          </w:p>
        </w:tc>
        <w:tc>
          <w:tcPr>
            <w:tcW w:w="1346" w:type="dxa"/>
          </w:tcPr>
          <w:p w14:paraId="4614AD74" w14:textId="77777777" w:rsidR="006E3332" w:rsidRDefault="006E3332" w:rsidP="0061662C">
            <w:pPr>
              <w:spacing w:after="60"/>
            </w:pPr>
          </w:p>
        </w:tc>
        <w:tc>
          <w:tcPr>
            <w:tcW w:w="1347" w:type="dxa"/>
          </w:tcPr>
          <w:p w14:paraId="061D707D" w14:textId="212C931E" w:rsidR="006E3332" w:rsidRDefault="006E3332" w:rsidP="0061662C">
            <w:pPr>
              <w:spacing w:after="60"/>
            </w:pPr>
          </w:p>
        </w:tc>
        <w:tc>
          <w:tcPr>
            <w:tcW w:w="2126" w:type="dxa"/>
          </w:tcPr>
          <w:p w14:paraId="3271240F" w14:textId="7F014AE7" w:rsidR="006E3332" w:rsidRDefault="006E3332" w:rsidP="0061662C">
            <w:pPr>
              <w:spacing w:after="60"/>
            </w:pPr>
          </w:p>
        </w:tc>
      </w:tr>
      <w:tr w:rsidR="006E3332" w14:paraId="325EE592" w14:textId="77777777" w:rsidTr="00052C9D">
        <w:tc>
          <w:tcPr>
            <w:tcW w:w="4104" w:type="dxa"/>
          </w:tcPr>
          <w:p w14:paraId="1351880F" w14:textId="79E39615" w:rsidR="006E3332" w:rsidRDefault="006E3332" w:rsidP="0061662C">
            <w:pPr>
              <w:pStyle w:val="ListParagraph"/>
              <w:numPr>
                <w:ilvl w:val="0"/>
                <w:numId w:val="12"/>
              </w:numPr>
              <w:spacing w:after="60"/>
              <w:ind w:left="315" w:hanging="315"/>
            </w:pPr>
            <w:r>
              <w:t>A schedule of any revaluations in the year with supporting working papers</w:t>
            </w:r>
            <w:r w:rsidR="00506F55">
              <w:t>.</w:t>
            </w:r>
          </w:p>
        </w:tc>
        <w:tc>
          <w:tcPr>
            <w:tcW w:w="1142" w:type="dxa"/>
          </w:tcPr>
          <w:p w14:paraId="39DD6AE3" w14:textId="77777777" w:rsidR="006E3332" w:rsidRDefault="006E3332" w:rsidP="0061662C">
            <w:pPr>
              <w:spacing w:after="60"/>
            </w:pPr>
          </w:p>
        </w:tc>
        <w:tc>
          <w:tcPr>
            <w:tcW w:w="1346" w:type="dxa"/>
          </w:tcPr>
          <w:p w14:paraId="10978DEE" w14:textId="77777777" w:rsidR="006E3332" w:rsidRDefault="006E3332" w:rsidP="0061662C">
            <w:pPr>
              <w:spacing w:after="60"/>
            </w:pPr>
          </w:p>
        </w:tc>
        <w:tc>
          <w:tcPr>
            <w:tcW w:w="1347" w:type="dxa"/>
          </w:tcPr>
          <w:p w14:paraId="7E5A4C38" w14:textId="1C0BED33" w:rsidR="006E3332" w:rsidRDefault="006E3332" w:rsidP="0061662C">
            <w:pPr>
              <w:spacing w:after="60"/>
            </w:pPr>
          </w:p>
        </w:tc>
        <w:tc>
          <w:tcPr>
            <w:tcW w:w="2126" w:type="dxa"/>
          </w:tcPr>
          <w:p w14:paraId="692B04AA" w14:textId="299D7FCB" w:rsidR="006E3332" w:rsidRDefault="006E3332" w:rsidP="0061662C">
            <w:pPr>
              <w:spacing w:after="60"/>
            </w:pPr>
          </w:p>
        </w:tc>
      </w:tr>
      <w:tr w:rsidR="006E3332" w14:paraId="0EF0B2A4" w14:textId="77777777" w:rsidTr="00052C9D">
        <w:tc>
          <w:tcPr>
            <w:tcW w:w="4104" w:type="dxa"/>
          </w:tcPr>
          <w:p w14:paraId="6433A93C" w14:textId="2B0194EC" w:rsidR="006E3332" w:rsidRDefault="006E3332" w:rsidP="0061662C">
            <w:pPr>
              <w:pStyle w:val="ListParagraph"/>
              <w:numPr>
                <w:ilvl w:val="0"/>
                <w:numId w:val="12"/>
              </w:numPr>
              <w:spacing w:after="60"/>
              <w:ind w:left="315" w:hanging="315"/>
            </w:pPr>
            <w:r>
              <w:lastRenderedPageBreak/>
              <w:t>A schedule of any impairment or write off incurred in the year with supporting working papers</w:t>
            </w:r>
            <w:r w:rsidR="00506F55">
              <w:t>.</w:t>
            </w:r>
          </w:p>
        </w:tc>
        <w:tc>
          <w:tcPr>
            <w:tcW w:w="1142" w:type="dxa"/>
          </w:tcPr>
          <w:p w14:paraId="2CF04E52" w14:textId="77777777" w:rsidR="006E3332" w:rsidRDefault="006E3332" w:rsidP="0061662C">
            <w:pPr>
              <w:spacing w:after="60"/>
            </w:pPr>
          </w:p>
        </w:tc>
        <w:tc>
          <w:tcPr>
            <w:tcW w:w="1346" w:type="dxa"/>
          </w:tcPr>
          <w:p w14:paraId="29E6F32E" w14:textId="77777777" w:rsidR="006E3332" w:rsidRDefault="006E3332" w:rsidP="0061662C">
            <w:pPr>
              <w:spacing w:after="60"/>
            </w:pPr>
          </w:p>
        </w:tc>
        <w:tc>
          <w:tcPr>
            <w:tcW w:w="1347" w:type="dxa"/>
          </w:tcPr>
          <w:p w14:paraId="19F96C5E" w14:textId="4DAE11A0" w:rsidR="006E3332" w:rsidRDefault="006E3332" w:rsidP="0061662C">
            <w:pPr>
              <w:spacing w:after="60"/>
            </w:pPr>
          </w:p>
        </w:tc>
        <w:tc>
          <w:tcPr>
            <w:tcW w:w="2126" w:type="dxa"/>
          </w:tcPr>
          <w:p w14:paraId="10BF1E0E" w14:textId="4307B45B" w:rsidR="006E3332" w:rsidRDefault="006E3332" w:rsidP="0061662C">
            <w:pPr>
              <w:spacing w:after="60"/>
            </w:pPr>
          </w:p>
        </w:tc>
      </w:tr>
      <w:tr w:rsidR="006E3332" w:rsidRPr="009463AF" w14:paraId="138ED2BA" w14:textId="77777777" w:rsidTr="00DA0C81">
        <w:tc>
          <w:tcPr>
            <w:tcW w:w="10065" w:type="dxa"/>
            <w:gridSpan w:val="5"/>
          </w:tcPr>
          <w:p w14:paraId="013619F7" w14:textId="77777777" w:rsidR="006E3332" w:rsidRDefault="006E3332" w:rsidP="0061662C">
            <w:pPr>
              <w:spacing w:after="60"/>
              <w:rPr>
                <w:b/>
              </w:rPr>
            </w:pPr>
          </w:p>
        </w:tc>
      </w:tr>
      <w:tr w:rsidR="006E3332" w:rsidRPr="009463AF" w14:paraId="5F59E37B" w14:textId="77777777" w:rsidTr="00E8167F">
        <w:tc>
          <w:tcPr>
            <w:tcW w:w="10065" w:type="dxa"/>
            <w:gridSpan w:val="5"/>
            <w:shd w:val="clear" w:color="auto" w:fill="BFBFBF" w:themeFill="background1" w:themeFillShade="BF"/>
          </w:tcPr>
          <w:p w14:paraId="138E90E9" w14:textId="6D8B7B3F" w:rsidR="006E3332" w:rsidRPr="009463AF" w:rsidRDefault="006E3332" w:rsidP="00E8167F">
            <w:pPr>
              <w:tabs>
                <w:tab w:val="left" w:pos="315"/>
              </w:tabs>
              <w:spacing w:after="60"/>
              <w:rPr>
                <w:b/>
              </w:rPr>
            </w:pPr>
            <w:r>
              <w:rPr>
                <w:b/>
              </w:rPr>
              <w:t>D</w:t>
            </w:r>
            <w:r w:rsidR="00E8167F">
              <w:rPr>
                <w:b/>
              </w:rPr>
              <w:t>2</w:t>
            </w:r>
            <w:r w:rsidR="00E8167F">
              <w:rPr>
                <w:b/>
              </w:rPr>
              <w:tab/>
            </w:r>
            <w:r w:rsidRPr="009463AF">
              <w:rPr>
                <w:b/>
              </w:rPr>
              <w:t>Balance Sheet – Current Assets</w:t>
            </w:r>
          </w:p>
        </w:tc>
      </w:tr>
      <w:tr w:rsidR="00DE481D" w14:paraId="1BE32C12" w14:textId="77777777" w:rsidTr="00052C9D">
        <w:tc>
          <w:tcPr>
            <w:tcW w:w="4104" w:type="dxa"/>
          </w:tcPr>
          <w:p w14:paraId="2FC77B99" w14:textId="31F37F9F" w:rsidR="00DE481D" w:rsidRDefault="00DE481D" w:rsidP="0061662C">
            <w:pPr>
              <w:pStyle w:val="ListParagraph"/>
              <w:numPr>
                <w:ilvl w:val="0"/>
                <w:numId w:val="12"/>
              </w:numPr>
              <w:spacing w:after="60"/>
              <w:ind w:left="315" w:hanging="315"/>
            </w:pPr>
            <w:r>
              <w:t>A schedule in the format of the note to the accounts that analyses stock into relevant categories. Explanations and documentation for significant differences compared with prior year (over 10%).</w:t>
            </w:r>
          </w:p>
        </w:tc>
        <w:tc>
          <w:tcPr>
            <w:tcW w:w="1142" w:type="dxa"/>
          </w:tcPr>
          <w:p w14:paraId="12DD7BBE" w14:textId="77777777" w:rsidR="00DE481D" w:rsidRDefault="00DE481D" w:rsidP="0061662C">
            <w:pPr>
              <w:spacing w:after="60"/>
            </w:pPr>
          </w:p>
        </w:tc>
        <w:tc>
          <w:tcPr>
            <w:tcW w:w="1346" w:type="dxa"/>
          </w:tcPr>
          <w:p w14:paraId="55E0F5B9" w14:textId="77777777" w:rsidR="00DE481D" w:rsidRDefault="00DE481D" w:rsidP="0061662C">
            <w:pPr>
              <w:spacing w:after="60"/>
            </w:pPr>
          </w:p>
        </w:tc>
        <w:tc>
          <w:tcPr>
            <w:tcW w:w="1347" w:type="dxa"/>
          </w:tcPr>
          <w:p w14:paraId="323FA1E9" w14:textId="77777777" w:rsidR="00DE481D" w:rsidRDefault="00DE481D" w:rsidP="0061662C">
            <w:pPr>
              <w:spacing w:after="60"/>
            </w:pPr>
          </w:p>
        </w:tc>
        <w:tc>
          <w:tcPr>
            <w:tcW w:w="2126" w:type="dxa"/>
          </w:tcPr>
          <w:p w14:paraId="4E332A1B" w14:textId="77777777" w:rsidR="00DE481D" w:rsidRDefault="00DE481D" w:rsidP="0061662C">
            <w:pPr>
              <w:spacing w:after="60"/>
            </w:pPr>
          </w:p>
        </w:tc>
      </w:tr>
      <w:tr w:rsidR="006E3332" w14:paraId="179CCC89" w14:textId="77777777" w:rsidTr="00052C9D">
        <w:tc>
          <w:tcPr>
            <w:tcW w:w="4104" w:type="dxa"/>
          </w:tcPr>
          <w:p w14:paraId="59E71D4E" w14:textId="24BCA68A" w:rsidR="006E3332" w:rsidRDefault="006E3332" w:rsidP="0061662C">
            <w:pPr>
              <w:pStyle w:val="ListParagraph"/>
              <w:numPr>
                <w:ilvl w:val="0"/>
                <w:numId w:val="12"/>
              </w:numPr>
              <w:spacing w:after="60"/>
              <w:ind w:left="315" w:hanging="315"/>
            </w:pPr>
            <w:r>
              <w:t>Copies of stock count records at the year</w:t>
            </w:r>
            <w:r w:rsidR="0090114F">
              <w:t>-</w:t>
            </w:r>
            <w:r>
              <w:t>end</w:t>
            </w:r>
            <w:r w:rsidR="00506F55">
              <w:t>.</w:t>
            </w:r>
          </w:p>
        </w:tc>
        <w:tc>
          <w:tcPr>
            <w:tcW w:w="1142" w:type="dxa"/>
          </w:tcPr>
          <w:p w14:paraId="125C108E" w14:textId="77777777" w:rsidR="006E3332" w:rsidRDefault="006E3332" w:rsidP="0061662C">
            <w:pPr>
              <w:spacing w:after="60"/>
            </w:pPr>
          </w:p>
        </w:tc>
        <w:tc>
          <w:tcPr>
            <w:tcW w:w="1346" w:type="dxa"/>
          </w:tcPr>
          <w:p w14:paraId="4D467E57" w14:textId="77777777" w:rsidR="006E3332" w:rsidRDefault="006E3332" w:rsidP="0061662C">
            <w:pPr>
              <w:spacing w:after="60"/>
            </w:pPr>
          </w:p>
        </w:tc>
        <w:tc>
          <w:tcPr>
            <w:tcW w:w="1347" w:type="dxa"/>
          </w:tcPr>
          <w:p w14:paraId="70F3DB8B" w14:textId="3722CE06" w:rsidR="006E3332" w:rsidRDefault="006E3332" w:rsidP="0061662C">
            <w:pPr>
              <w:spacing w:after="60"/>
            </w:pPr>
          </w:p>
        </w:tc>
        <w:tc>
          <w:tcPr>
            <w:tcW w:w="2126" w:type="dxa"/>
          </w:tcPr>
          <w:p w14:paraId="563A5A08" w14:textId="77777777" w:rsidR="006E3332" w:rsidRDefault="006E3332" w:rsidP="0061662C">
            <w:pPr>
              <w:spacing w:after="60"/>
            </w:pPr>
          </w:p>
        </w:tc>
      </w:tr>
      <w:tr w:rsidR="006E3332" w14:paraId="3DEBFFDB" w14:textId="77777777" w:rsidTr="00052C9D">
        <w:tc>
          <w:tcPr>
            <w:tcW w:w="4104" w:type="dxa"/>
          </w:tcPr>
          <w:p w14:paraId="509A5BDE" w14:textId="22EC0599" w:rsidR="006E3332" w:rsidRDefault="006E3332" w:rsidP="0061662C">
            <w:pPr>
              <w:pStyle w:val="ListParagraph"/>
              <w:numPr>
                <w:ilvl w:val="0"/>
                <w:numId w:val="12"/>
              </w:numPr>
              <w:spacing w:after="60"/>
              <w:ind w:left="315" w:hanging="315"/>
            </w:pPr>
            <w:r>
              <w:t>A schedule in the format of the note to the accounts that analyses debtors into relevant categories, to include any accrued income and prepayments</w:t>
            </w:r>
            <w:r w:rsidR="00506F55">
              <w:t>.</w:t>
            </w:r>
            <w:r w:rsidR="00DE481D">
              <w:t xml:space="preserve"> Explanations and documentation for significant differences compared with prior year (over 10%).</w:t>
            </w:r>
          </w:p>
        </w:tc>
        <w:tc>
          <w:tcPr>
            <w:tcW w:w="1142" w:type="dxa"/>
          </w:tcPr>
          <w:p w14:paraId="4CC336A1" w14:textId="77777777" w:rsidR="006E3332" w:rsidRDefault="006E3332" w:rsidP="0061662C">
            <w:pPr>
              <w:spacing w:after="60"/>
            </w:pPr>
          </w:p>
        </w:tc>
        <w:tc>
          <w:tcPr>
            <w:tcW w:w="1346" w:type="dxa"/>
          </w:tcPr>
          <w:p w14:paraId="79E090E0" w14:textId="77777777" w:rsidR="006E3332" w:rsidRDefault="006E3332" w:rsidP="0061662C">
            <w:pPr>
              <w:spacing w:after="60"/>
            </w:pPr>
          </w:p>
        </w:tc>
        <w:tc>
          <w:tcPr>
            <w:tcW w:w="1347" w:type="dxa"/>
          </w:tcPr>
          <w:p w14:paraId="7813964D" w14:textId="4284C0AD" w:rsidR="006E3332" w:rsidRDefault="006E3332" w:rsidP="0061662C">
            <w:pPr>
              <w:spacing w:after="60"/>
            </w:pPr>
          </w:p>
        </w:tc>
        <w:tc>
          <w:tcPr>
            <w:tcW w:w="2126" w:type="dxa"/>
          </w:tcPr>
          <w:p w14:paraId="227A03AE" w14:textId="26CFBA6F" w:rsidR="006E3332" w:rsidRDefault="006E3332" w:rsidP="0061662C">
            <w:pPr>
              <w:spacing w:after="60"/>
            </w:pPr>
          </w:p>
        </w:tc>
      </w:tr>
      <w:tr w:rsidR="006E3332" w14:paraId="1E35BC7D" w14:textId="77777777" w:rsidTr="00052C9D">
        <w:tc>
          <w:tcPr>
            <w:tcW w:w="4104" w:type="dxa"/>
          </w:tcPr>
          <w:p w14:paraId="14C49FCA" w14:textId="2721479D" w:rsidR="006E3332" w:rsidRDefault="006E3332" w:rsidP="0061662C">
            <w:pPr>
              <w:pStyle w:val="ListParagraph"/>
              <w:numPr>
                <w:ilvl w:val="0"/>
                <w:numId w:val="12"/>
              </w:numPr>
              <w:spacing w:after="60"/>
              <w:ind w:left="315" w:hanging="315"/>
            </w:pPr>
            <w:r>
              <w:t>A detailed aged listing of all debtors</w:t>
            </w:r>
            <w:r w:rsidR="007B1427">
              <w:t>’</w:t>
            </w:r>
            <w:r>
              <w:t xml:space="preserve"> balances</w:t>
            </w:r>
            <w:r w:rsidR="00506F55">
              <w:t>.</w:t>
            </w:r>
            <w:r>
              <w:t xml:space="preserve"> </w:t>
            </w:r>
          </w:p>
        </w:tc>
        <w:tc>
          <w:tcPr>
            <w:tcW w:w="1142" w:type="dxa"/>
          </w:tcPr>
          <w:p w14:paraId="5632B20B" w14:textId="77777777" w:rsidR="006E3332" w:rsidRDefault="006E3332" w:rsidP="0061662C">
            <w:pPr>
              <w:spacing w:after="60"/>
            </w:pPr>
          </w:p>
        </w:tc>
        <w:tc>
          <w:tcPr>
            <w:tcW w:w="1346" w:type="dxa"/>
          </w:tcPr>
          <w:p w14:paraId="432CBAC1" w14:textId="77777777" w:rsidR="006E3332" w:rsidRDefault="006E3332" w:rsidP="0061662C">
            <w:pPr>
              <w:spacing w:after="60"/>
            </w:pPr>
          </w:p>
        </w:tc>
        <w:tc>
          <w:tcPr>
            <w:tcW w:w="1347" w:type="dxa"/>
          </w:tcPr>
          <w:p w14:paraId="71E52988" w14:textId="3C667F41" w:rsidR="006E3332" w:rsidRDefault="006E3332" w:rsidP="0061662C">
            <w:pPr>
              <w:spacing w:after="60"/>
            </w:pPr>
          </w:p>
        </w:tc>
        <w:tc>
          <w:tcPr>
            <w:tcW w:w="2126" w:type="dxa"/>
          </w:tcPr>
          <w:p w14:paraId="7F7748EE" w14:textId="00F6A66E" w:rsidR="006E3332" w:rsidRDefault="006E3332" w:rsidP="0061662C">
            <w:pPr>
              <w:spacing w:after="60"/>
            </w:pPr>
          </w:p>
        </w:tc>
      </w:tr>
      <w:tr w:rsidR="006E3332" w14:paraId="1F93805E" w14:textId="77777777" w:rsidTr="00052C9D">
        <w:tc>
          <w:tcPr>
            <w:tcW w:w="4104" w:type="dxa"/>
          </w:tcPr>
          <w:p w14:paraId="6DC03D5D" w14:textId="6708BE77" w:rsidR="006E3332" w:rsidRDefault="006E3332" w:rsidP="0061662C">
            <w:pPr>
              <w:pStyle w:val="ListParagraph"/>
              <w:numPr>
                <w:ilvl w:val="0"/>
                <w:numId w:val="12"/>
              </w:numPr>
              <w:spacing w:after="60"/>
              <w:ind w:left="315" w:hanging="315"/>
            </w:pPr>
            <w:r>
              <w:t>A detailed list of any debts written off or doubtful debts</w:t>
            </w:r>
            <w:r w:rsidR="00506F55">
              <w:t>.</w:t>
            </w:r>
          </w:p>
        </w:tc>
        <w:tc>
          <w:tcPr>
            <w:tcW w:w="1142" w:type="dxa"/>
          </w:tcPr>
          <w:p w14:paraId="02FEFEB1" w14:textId="77777777" w:rsidR="006E3332" w:rsidRDefault="006E3332" w:rsidP="0061662C">
            <w:pPr>
              <w:spacing w:after="60"/>
            </w:pPr>
          </w:p>
        </w:tc>
        <w:tc>
          <w:tcPr>
            <w:tcW w:w="1346" w:type="dxa"/>
          </w:tcPr>
          <w:p w14:paraId="711B38FF" w14:textId="77777777" w:rsidR="006E3332" w:rsidRDefault="006E3332" w:rsidP="0061662C">
            <w:pPr>
              <w:spacing w:after="60"/>
            </w:pPr>
          </w:p>
        </w:tc>
        <w:tc>
          <w:tcPr>
            <w:tcW w:w="1347" w:type="dxa"/>
          </w:tcPr>
          <w:p w14:paraId="0B7D80FB" w14:textId="758E59E2" w:rsidR="006E3332" w:rsidRDefault="006E3332" w:rsidP="0061662C">
            <w:pPr>
              <w:spacing w:after="60"/>
            </w:pPr>
          </w:p>
        </w:tc>
        <w:tc>
          <w:tcPr>
            <w:tcW w:w="2126" w:type="dxa"/>
          </w:tcPr>
          <w:p w14:paraId="68C9C4E5" w14:textId="77777777" w:rsidR="006E3332" w:rsidRDefault="006E3332" w:rsidP="0061662C">
            <w:pPr>
              <w:spacing w:after="60"/>
            </w:pPr>
          </w:p>
        </w:tc>
      </w:tr>
      <w:tr w:rsidR="006E3332" w14:paraId="0860A5FD" w14:textId="77777777" w:rsidTr="00052C9D">
        <w:tc>
          <w:tcPr>
            <w:tcW w:w="4104" w:type="dxa"/>
          </w:tcPr>
          <w:p w14:paraId="6A7BCA5D" w14:textId="557FC39B" w:rsidR="006E3332" w:rsidRDefault="006E3332" w:rsidP="0061662C">
            <w:pPr>
              <w:pStyle w:val="ListParagraph"/>
              <w:numPr>
                <w:ilvl w:val="0"/>
                <w:numId w:val="12"/>
              </w:numPr>
              <w:spacing w:after="60"/>
              <w:ind w:left="315" w:hanging="315"/>
            </w:pPr>
            <w:r>
              <w:t>Evidence of subsequent receipt of individual debtors</w:t>
            </w:r>
            <w:r w:rsidR="00506F55">
              <w:t>.</w:t>
            </w:r>
          </w:p>
        </w:tc>
        <w:tc>
          <w:tcPr>
            <w:tcW w:w="1142" w:type="dxa"/>
          </w:tcPr>
          <w:p w14:paraId="2A0F3D75" w14:textId="77777777" w:rsidR="006E3332" w:rsidRDefault="006E3332" w:rsidP="0061662C">
            <w:pPr>
              <w:spacing w:after="60"/>
            </w:pPr>
          </w:p>
        </w:tc>
        <w:tc>
          <w:tcPr>
            <w:tcW w:w="1346" w:type="dxa"/>
          </w:tcPr>
          <w:p w14:paraId="7B012250" w14:textId="77777777" w:rsidR="006E3332" w:rsidRDefault="006E3332" w:rsidP="0061662C">
            <w:pPr>
              <w:spacing w:after="60"/>
            </w:pPr>
          </w:p>
        </w:tc>
        <w:tc>
          <w:tcPr>
            <w:tcW w:w="1347" w:type="dxa"/>
          </w:tcPr>
          <w:p w14:paraId="25B58C05" w14:textId="402C352F" w:rsidR="006E3332" w:rsidRDefault="006E3332" w:rsidP="0061662C">
            <w:pPr>
              <w:spacing w:after="60"/>
            </w:pPr>
          </w:p>
        </w:tc>
        <w:tc>
          <w:tcPr>
            <w:tcW w:w="2126" w:type="dxa"/>
          </w:tcPr>
          <w:p w14:paraId="40C95F7A" w14:textId="338B33C3" w:rsidR="006E3332" w:rsidRDefault="006E3332" w:rsidP="0061662C">
            <w:pPr>
              <w:spacing w:after="60"/>
            </w:pPr>
          </w:p>
        </w:tc>
      </w:tr>
      <w:tr w:rsidR="006E3332" w14:paraId="098F6DCA" w14:textId="77777777" w:rsidTr="00052C9D">
        <w:tc>
          <w:tcPr>
            <w:tcW w:w="4104" w:type="dxa"/>
          </w:tcPr>
          <w:p w14:paraId="292758D6" w14:textId="03805C0F" w:rsidR="006E3332" w:rsidRDefault="006E3332" w:rsidP="0061662C">
            <w:pPr>
              <w:pStyle w:val="ListParagraph"/>
              <w:numPr>
                <w:ilvl w:val="0"/>
                <w:numId w:val="12"/>
              </w:numPr>
              <w:spacing w:after="60"/>
              <w:ind w:left="315" w:hanging="315"/>
            </w:pPr>
            <w:r>
              <w:t>A schedule in the format of the note to the accounts that lists all balances held on bank and deposit accounts at year</w:t>
            </w:r>
            <w:r w:rsidR="0090114F">
              <w:t>-</w:t>
            </w:r>
            <w:r>
              <w:t xml:space="preserve">end and a list of all cash holdings at </w:t>
            </w:r>
            <w:r w:rsidR="00506F55">
              <w:t xml:space="preserve">the </w:t>
            </w:r>
            <w:r>
              <w:t>year</w:t>
            </w:r>
            <w:r w:rsidR="00506F55">
              <w:t>-</w:t>
            </w:r>
            <w:r>
              <w:t>end</w:t>
            </w:r>
            <w:r w:rsidR="00506F55">
              <w:t>.</w:t>
            </w:r>
          </w:p>
        </w:tc>
        <w:tc>
          <w:tcPr>
            <w:tcW w:w="1142" w:type="dxa"/>
          </w:tcPr>
          <w:p w14:paraId="6587DAD0" w14:textId="77777777" w:rsidR="006E3332" w:rsidRDefault="006E3332" w:rsidP="0061662C">
            <w:pPr>
              <w:spacing w:after="60"/>
            </w:pPr>
          </w:p>
        </w:tc>
        <w:tc>
          <w:tcPr>
            <w:tcW w:w="1346" w:type="dxa"/>
          </w:tcPr>
          <w:p w14:paraId="4A33CC2A" w14:textId="77777777" w:rsidR="006E3332" w:rsidRDefault="006E3332" w:rsidP="0061662C">
            <w:pPr>
              <w:spacing w:after="60"/>
            </w:pPr>
          </w:p>
        </w:tc>
        <w:tc>
          <w:tcPr>
            <w:tcW w:w="1347" w:type="dxa"/>
          </w:tcPr>
          <w:p w14:paraId="27E24BEF" w14:textId="453981C2" w:rsidR="006E3332" w:rsidRDefault="006E3332" w:rsidP="0061662C">
            <w:pPr>
              <w:spacing w:after="60"/>
            </w:pPr>
          </w:p>
        </w:tc>
        <w:tc>
          <w:tcPr>
            <w:tcW w:w="2126" w:type="dxa"/>
          </w:tcPr>
          <w:p w14:paraId="2F87D8A8" w14:textId="1BCA3215" w:rsidR="006E3332" w:rsidRDefault="006E3332" w:rsidP="0061662C">
            <w:pPr>
              <w:spacing w:after="60"/>
            </w:pPr>
          </w:p>
        </w:tc>
      </w:tr>
      <w:tr w:rsidR="006E3332" w14:paraId="01696BC5" w14:textId="77777777" w:rsidTr="00052C9D">
        <w:tc>
          <w:tcPr>
            <w:tcW w:w="4104" w:type="dxa"/>
          </w:tcPr>
          <w:p w14:paraId="3C01CEEC" w14:textId="15B9551C" w:rsidR="006E3332" w:rsidRDefault="006E3332" w:rsidP="0061662C">
            <w:pPr>
              <w:pStyle w:val="ListParagraph"/>
              <w:numPr>
                <w:ilvl w:val="0"/>
                <w:numId w:val="12"/>
              </w:numPr>
              <w:spacing w:after="60"/>
              <w:ind w:left="315" w:hanging="315"/>
            </w:pPr>
            <w:r>
              <w:t>Year</w:t>
            </w:r>
            <w:r w:rsidR="00506F55">
              <w:t>-</w:t>
            </w:r>
            <w:r>
              <w:t>end bank reconciliation</w:t>
            </w:r>
            <w:r w:rsidR="00DE481D">
              <w:t>s</w:t>
            </w:r>
            <w:r w:rsidR="00506F55">
              <w:t>.</w:t>
            </w:r>
          </w:p>
        </w:tc>
        <w:tc>
          <w:tcPr>
            <w:tcW w:w="1142" w:type="dxa"/>
          </w:tcPr>
          <w:p w14:paraId="2C6C1AFD" w14:textId="77777777" w:rsidR="006E3332" w:rsidRDefault="006E3332" w:rsidP="0061662C">
            <w:pPr>
              <w:spacing w:after="60"/>
            </w:pPr>
          </w:p>
        </w:tc>
        <w:tc>
          <w:tcPr>
            <w:tcW w:w="1346" w:type="dxa"/>
          </w:tcPr>
          <w:p w14:paraId="6152EC20" w14:textId="77777777" w:rsidR="006E3332" w:rsidRDefault="006E3332" w:rsidP="0061662C">
            <w:pPr>
              <w:spacing w:after="60"/>
            </w:pPr>
          </w:p>
        </w:tc>
        <w:tc>
          <w:tcPr>
            <w:tcW w:w="1347" w:type="dxa"/>
          </w:tcPr>
          <w:p w14:paraId="4A541AED" w14:textId="2879BCF6" w:rsidR="006E3332" w:rsidRDefault="006E3332" w:rsidP="0061662C">
            <w:pPr>
              <w:spacing w:after="60"/>
            </w:pPr>
          </w:p>
        </w:tc>
        <w:tc>
          <w:tcPr>
            <w:tcW w:w="2126" w:type="dxa"/>
          </w:tcPr>
          <w:p w14:paraId="1799C6B9" w14:textId="17587A05" w:rsidR="006E3332" w:rsidRDefault="006E3332" w:rsidP="0061662C">
            <w:pPr>
              <w:spacing w:after="60"/>
            </w:pPr>
          </w:p>
        </w:tc>
      </w:tr>
      <w:tr w:rsidR="006E3332" w14:paraId="7BF1972A" w14:textId="77777777" w:rsidTr="00052C9D">
        <w:tc>
          <w:tcPr>
            <w:tcW w:w="4104" w:type="dxa"/>
          </w:tcPr>
          <w:p w14:paraId="3051BA45" w14:textId="07E6D998" w:rsidR="006E3332" w:rsidRDefault="006E3332" w:rsidP="0061662C">
            <w:pPr>
              <w:pStyle w:val="ListParagraph"/>
              <w:numPr>
                <w:ilvl w:val="0"/>
                <w:numId w:val="12"/>
              </w:numPr>
              <w:spacing w:after="60"/>
              <w:ind w:left="315" w:hanging="315"/>
            </w:pPr>
            <w:r>
              <w:t>Copies of bank statements</w:t>
            </w:r>
            <w:r w:rsidR="0090114F">
              <w:t xml:space="preserve"> for all accounts and cash in hand statements</w:t>
            </w:r>
            <w:r>
              <w:t xml:space="preserve"> at the year</w:t>
            </w:r>
            <w:r w:rsidR="00506F55">
              <w:t>-</w:t>
            </w:r>
            <w:r>
              <w:t>end including any for subsidiaries</w:t>
            </w:r>
            <w:r w:rsidR="00DE481D">
              <w:t>.</w:t>
            </w:r>
          </w:p>
        </w:tc>
        <w:tc>
          <w:tcPr>
            <w:tcW w:w="1142" w:type="dxa"/>
          </w:tcPr>
          <w:p w14:paraId="4A63AA1B" w14:textId="77777777" w:rsidR="006E3332" w:rsidRDefault="006E3332" w:rsidP="0061662C">
            <w:pPr>
              <w:spacing w:after="60"/>
            </w:pPr>
          </w:p>
        </w:tc>
        <w:tc>
          <w:tcPr>
            <w:tcW w:w="1346" w:type="dxa"/>
          </w:tcPr>
          <w:p w14:paraId="2EEBD5E7" w14:textId="77777777" w:rsidR="006E3332" w:rsidRDefault="006E3332" w:rsidP="0061662C">
            <w:pPr>
              <w:spacing w:after="60"/>
            </w:pPr>
          </w:p>
        </w:tc>
        <w:tc>
          <w:tcPr>
            <w:tcW w:w="1347" w:type="dxa"/>
          </w:tcPr>
          <w:p w14:paraId="6C819AC2" w14:textId="412476BC" w:rsidR="006E3332" w:rsidRDefault="006E3332" w:rsidP="0061662C">
            <w:pPr>
              <w:spacing w:after="60"/>
            </w:pPr>
          </w:p>
        </w:tc>
        <w:tc>
          <w:tcPr>
            <w:tcW w:w="2126" w:type="dxa"/>
          </w:tcPr>
          <w:p w14:paraId="431AF339" w14:textId="1D830D06" w:rsidR="006E3332" w:rsidRDefault="006E3332" w:rsidP="0061662C">
            <w:pPr>
              <w:spacing w:after="60"/>
            </w:pPr>
          </w:p>
        </w:tc>
      </w:tr>
      <w:tr w:rsidR="0090114F" w14:paraId="691611E6" w14:textId="77777777" w:rsidTr="00D05BC7">
        <w:tc>
          <w:tcPr>
            <w:tcW w:w="10065" w:type="dxa"/>
            <w:gridSpan w:val="5"/>
          </w:tcPr>
          <w:p w14:paraId="6DA1891D" w14:textId="09A88D81" w:rsidR="0090114F" w:rsidRDefault="0090114F" w:rsidP="0061662C">
            <w:pPr>
              <w:spacing w:after="60"/>
            </w:pPr>
          </w:p>
        </w:tc>
      </w:tr>
      <w:tr w:rsidR="006E3332" w14:paraId="54B800FF" w14:textId="77777777" w:rsidTr="006E3332">
        <w:tc>
          <w:tcPr>
            <w:tcW w:w="10065" w:type="dxa"/>
            <w:gridSpan w:val="5"/>
            <w:shd w:val="clear" w:color="auto" w:fill="BFBFBF" w:themeFill="background1" w:themeFillShade="BF"/>
          </w:tcPr>
          <w:p w14:paraId="53C20148" w14:textId="4747F9CF" w:rsidR="006E3332" w:rsidRDefault="006E3332" w:rsidP="00E8167F">
            <w:pPr>
              <w:tabs>
                <w:tab w:val="left" w:pos="315"/>
              </w:tabs>
              <w:spacing w:after="60"/>
            </w:pPr>
            <w:r>
              <w:rPr>
                <w:b/>
              </w:rPr>
              <w:t>D</w:t>
            </w:r>
            <w:r w:rsidR="00E8167F">
              <w:rPr>
                <w:b/>
              </w:rPr>
              <w:t>3</w:t>
            </w:r>
            <w:r w:rsidR="00E8167F">
              <w:rPr>
                <w:b/>
              </w:rPr>
              <w:tab/>
            </w:r>
            <w:r w:rsidRPr="00C820EE">
              <w:rPr>
                <w:b/>
              </w:rPr>
              <w:t xml:space="preserve">Balance Sheet </w:t>
            </w:r>
            <w:r w:rsidR="0090114F">
              <w:rPr>
                <w:b/>
              </w:rPr>
              <w:t>–</w:t>
            </w:r>
            <w:r w:rsidRPr="00C820EE">
              <w:rPr>
                <w:b/>
              </w:rPr>
              <w:t xml:space="preserve"> Liabilities</w:t>
            </w:r>
          </w:p>
        </w:tc>
      </w:tr>
      <w:tr w:rsidR="006E3332" w14:paraId="3CA2C2DC" w14:textId="77777777" w:rsidTr="00052C9D">
        <w:tc>
          <w:tcPr>
            <w:tcW w:w="4104" w:type="dxa"/>
          </w:tcPr>
          <w:p w14:paraId="2A8005D4" w14:textId="3A6F1501" w:rsidR="006E3332" w:rsidRDefault="006E3332" w:rsidP="0061662C">
            <w:pPr>
              <w:pStyle w:val="ListParagraph"/>
              <w:numPr>
                <w:ilvl w:val="0"/>
                <w:numId w:val="12"/>
              </w:numPr>
              <w:spacing w:after="60"/>
              <w:ind w:left="315" w:hanging="284"/>
            </w:pPr>
            <w:r>
              <w:t>A schedule in the format of the note to the accounts that analyses creditors into relevant categories, to include any accrued creditors with rationale / evidence e</w:t>
            </w:r>
            <w:r w:rsidR="00506F55">
              <w:t>.</w:t>
            </w:r>
            <w:r>
              <w:t>g</w:t>
            </w:r>
            <w:r w:rsidR="00506F55">
              <w:t>.</w:t>
            </w:r>
            <w:r>
              <w:t xml:space="preserve"> purchase invoice if needed</w:t>
            </w:r>
            <w:r w:rsidR="00506F55">
              <w:t>.</w:t>
            </w:r>
            <w:r w:rsidR="00DE481D">
              <w:t xml:space="preserve"> Explanations and documentation for significant differences compared with prior year (over 10%).</w:t>
            </w:r>
          </w:p>
        </w:tc>
        <w:tc>
          <w:tcPr>
            <w:tcW w:w="1142" w:type="dxa"/>
          </w:tcPr>
          <w:p w14:paraId="0C6C69F0" w14:textId="77777777" w:rsidR="006E3332" w:rsidRDefault="006E3332" w:rsidP="0061662C">
            <w:pPr>
              <w:spacing w:after="60"/>
            </w:pPr>
          </w:p>
        </w:tc>
        <w:tc>
          <w:tcPr>
            <w:tcW w:w="1346" w:type="dxa"/>
          </w:tcPr>
          <w:p w14:paraId="382BE5C8" w14:textId="77777777" w:rsidR="006E3332" w:rsidRDefault="006E3332" w:rsidP="0061662C">
            <w:pPr>
              <w:spacing w:after="60"/>
            </w:pPr>
          </w:p>
        </w:tc>
        <w:tc>
          <w:tcPr>
            <w:tcW w:w="1347" w:type="dxa"/>
          </w:tcPr>
          <w:p w14:paraId="3628E073" w14:textId="27DF2F72" w:rsidR="006E3332" w:rsidRDefault="006E3332" w:rsidP="0061662C">
            <w:pPr>
              <w:spacing w:after="60"/>
            </w:pPr>
          </w:p>
        </w:tc>
        <w:tc>
          <w:tcPr>
            <w:tcW w:w="2126" w:type="dxa"/>
          </w:tcPr>
          <w:p w14:paraId="59376176" w14:textId="77777777" w:rsidR="006E3332" w:rsidRDefault="006E3332" w:rsidP="0061662C">
            <w:pPr>
              <w:spacing w:after="60"/>
            </w:pPr>
          </w:p>
        </w:tc>
      </w:tr>
      <w:tr w:rsidR="006E3332" w14:paraId="5B699596" w14:textId="77777777" w:rsidTr="00052C9D">
        <w:tc>
          <w:tcPr>
            <w:tcW w:w="4104" w:type="dxa"/>
          </w:tcPr>
          <w:p w14:paraId="5D091DEB" w14:textId="79BD16D9" w:rsidR="006E3332" w:rsidRDefault="006E3332" w:rsidP="0061662C">
            <w:pPr>
              <w:pStyle w:val="ListParagraph"/>
              <w:numPr>
                <w:ilvl w:val="0"/>
                <w:numId w:val="12"/>
              </w:numPr>
              <w:spacing w:after="60"/>
              <w:ind w:left="315" w:hanging="284"/>
            </w:pPr>
            <w:r>
              <w:lastRenderedPageBreak/>
              <w:t>Salary control account reconciling outstanding deductions from August payroll report to the control account ensuring that any reconciling items are explained</w:t>
            </w:r>
            <w:r w:rsidR="00506F55">
              <w:t>.</w:t>
            </w:r>
          </w:p>
        </w:tc>
        <w:tc>
          <w:tcPr>
            <w:tcW w:w="1142" w:type="dxa"/>
          </w:tcPr>
          <w:p w14:paraId="41CDA899" w14:textId="77777777" w:rsidR="006E3332" w:rsidRDefault="006E3332" w:rsidP="0061662C">
            <w:pPr>
              <w:spacing w:after="60"/>
            </w:pPr>
          </w:p>
        </w:tc>
        <w:tc>
          <w:tcPr>
            <w:tcW w:w="1346" w:type="dxa"/>
          </w:tcPr>
          <w:p w14:paraId="4170FA2B" w14:textId="77777777" w:rsidR="006E3332" w:rsidRDefault="006E3332" w:rsidP="0061662C">
            <w:pPr>
              <w:spacing w:after="60"/>
            </w:pPr>
          </w:p>
        </w:tc>
        <w:tc>
          <w:tcPr>
            <w:tcW w:w="1347" w:type="dxa"/>
          </w:tcPr>
          <w:p w14:paraId="09C9C276" w14:textId="1E0BB023" w:rsidR="006E3332" w:rsidRDefault="006E3332" w:rsidP="0061662C">
            <w:pPr>
              <w:spacing w:after="60"/>
            </w:pPr>
          </w:p>
        </w:tc>
        <w:tc>
          <w:tcPr>
            <w:tcW w:w="2126" w:type="dxa"/>
          </w:tcPr>
          <w:p w14:paraId="1C35EA48" w14:textId="77777777" w:rsidR="006E3332" w:rsidRDefault="006E3332" w:rsidP="0061662C">
            <w:pPr>
              <w:spacing w:after="60"/>
            </w:pPr>
          </w:p>
        </w:tc>
      </w:tr>
      <w:tr w:rsidR="006E3332" w14:paraId="43F54A83" w14:textId="77777777" w:rsidTr="00052C9D">
        <w:tc>
          <w:tcPr>
            <w:tcW w:w="4104" w:type="dxa"/>
          </w:tcPr>
          <w:p w14:paraId="784ACE60" w14:textId="006DE7AA" w:rsidR="006E3332" w:rsidRDefault="006E3332" w:rsidP="0061662C">
            <w:pPr>
              <w:pStyle w:val="ListParagraph"/>
              <w:numPr>
                <w:ilvl w:val="0"/>
                <w:numId w:val="12"/>
              </w:numPr>
              <w:spacing w:after="60"/>
              <w:ind w:left="315" w:hanging="284"/>
            </w:pPr>
            <w:r>
              <w:t xml:space="preserve">VAT control account reconciling the balance from the August </w:t>
            </w:r>
            <w:r w:rsidR="00DE481D">
              <w:t>VAT</w:t>
            </w:r>
            <w:r>
              <w:t xml:space="preserve"> return or reclaim form to the control account ensuring that any reconciling items are explained</w:t>
            </w:r>
            <w:r w:rsidR="00506F55">
              <w:t>.</w:t>
            </w:r>
          </w:p>
        </w:tc>
        <w:tc>
          <w:tcPr>
            <w:tcW w:w="1142" w:type="dxa"/>
          </w:tcPr>
          <w:p w14:paraId="68DC243F" w14:textId="77777777" w:rsidR="006E3332" w:rsidRDefault="006E3332" w:rsidP="0061662C">
            <w:pPr>
              <w:spacing w:after="60"/>
            </w:pPr>
          </w:p>
        </w:tc>
        <w:tc>
          <w:tcPr>
            <w:tcW w:w="1346" w:type="dxa"/>
          </w:tcPr>
          <w:p w14:paraId="73159540" w14:textId="77777777" w:rsidR="006E3332" w:rsidRDefault="006E3332" w:rsidP="0061662C">
            <w:pPr>
              <w:spacing w:after="60"/>
            </w:pPr>
          </w:p>
        </w:tc>
        <w:tc>
          <w:tcPr>
            <w:tcW w:w="1347" w:type="dxa"/>
          </w:tcPr>
          <w:p w14:paraId="606769F7" w14:textId="19FBFC95" w:rsidR="006E3332" w:rsidRDefault="006E3332" w:rsidP="0061662C">
            <w:pPr>
              <w:spacing w:after="60"/>
            </w:pPr>
          </w:p>
        </w:tc>
        <w:tc>
          <w:tcPr>
            <w:tcW w:w="2126" w:type="dxa"/>
          </w:tcPr>
          <w:p w14:paraId="7A5903D7" w14:textId="77777777" w:rsidR="006E3332" w:rsidRDefault="006E3332" w:rsidP="0061662C">
            <w:pPr>
              <w:spacing w:after="60"/>
            </w:pPr>
          </w:p>
        </w:tc>
      </w:tr>
      <w:tr w:rsidR="006E3332" w14:paraId="335EB29A" w14:textId="77777777" w:rsidTr="00052C9D">
        <w:tc>
          <w:tcPr>
            <w:tcW w:w="4104" w:type="dxa"/>
          </w:tcPr>
          <w:p w14:paraId="486D9D0C" w14:textId="725C5160" w:rsidR="006E3332" w:rsidRDefault="006E3332" w:rsidP="0061662C">
            <w:pPr>
              <w:pStyle w:val="ListParagraph"/>
              <w:numPr>
                <w:ilvl w:val="0"/>
                <w:numId w:val="12"/>
              </w:numPr>
              <w:spacing w:after="60"/>
              <w:ind w:left="315" w:hanging="284"/>
            </w:pPr>
            <w:r>
              <w:t>A detailed aged listing of all creditors</w:t>
            </w:r>
            <w:r w:rsidR="007B1427">
              <w:t>’</w:t>
            </w:r>
            <w:r>
              <w:t xml:space="preserve"> balances. Retain August supplier statements.</w:t>
            </w:r>
          </w:p>
        </w:tc>
        <w:tc>
          <w:tcPr>
            <w:tcW w:w="1142" w:type="dxa"/>
          </w:tcPr>
          <w:p w14:paraId="302EA47C" w14:textId="77777777" w:rsidR="006E3332" w:rsidRDefault="006E3332" w:rsidP="0061662C">
            <w:pPr>
              <w:spacing w:after="60"/>
            </w:pPr>
          </w:p>
        </w:tc>
        <w:tc>
          <w:tcPr>
            <w:tcW w:w="1346" w:type="dxa"/>
          </w:tcPr>
          <w:p w14:paraId="396CB22B" w14:textId="77777777" w:rsidR="006E3332" w:rsidRDefault="006E3332" w:rsidP="0061662C">
            <w:pPr>
              <w:spacing w:after="60"/>
            </w:pPr>
          </w:p>
        </w:tc>
        <w:tc>
          <w:tcPr>
            <w:tcW w:w="1347" w:type="dxa"/>
          </w:tcPr>
          <w:p w14:paraId="0868FBB2" w14:textId="32BA8AD4" w:rsidR="006E3332" w:rsidRDefault="006E3332" w:rsidP="0061662C">
            <w:pPr>
              <w:spacing w:after="60"/>
            </w:pPr>
          </w:p>
        </w:tc>
        <w:tc>
          <w:tcPr>
            <w:tcW w:w="2126" w:type="dxa"/>
          </w:tcPr>
          <w:p w14:paraId="3E8C9C8D" w14:textId="1E915F87" w:rsidR="006E3332" w:rsidRDefault="006E3332" w:rsidP="0061662C">
            <w:pPr>
              <w:spacing w:after="60"/>
            </w:pPr>
          </w:p>
        </w:tc>
      </w:tr>
      <w:tr w:rsidR="006E3332" w14:paraId="1FAA5F19" w14:textId="77777777" w:rsidTr="00052C9D">
        <w:tc>
          <w:tcPr>
            <w:tcW w:w="4104" w:type="dxa"/>
          </w:tcPr>
          <w:p w14:paraId="6BD6F352" w14:textId="7632BBF0" w:rsidR="006E3332" w:rsidRDefault="006E3332" w:rsidP="0061662C">
            <w:pPr>
              <w:pStyle w:val="ListParagraph"/>
              <w:numPr>
                <w:ilvl w:val="0"/>
                <w:numId w:val="12"/>
              </w:numPr>
              <w:spacing w:after="60"/>
              <w:ind w:left="315" w:hanging="284"/>
            </w:pPr>
            <w:r>
              <w:t>Evidence of subsequent payment of individual creditors</w:t>
            </w:r>
            <w:r w:rsidR="00506F55">
              <w:t>.</w:t>
            </w:r>
          </w:p>
        </w:tc>
        <w:tc>
          <w:tcPr>
            <w:tcW w:w="1142" w:type="dxa"/>
          </w:tcPr>
          <w:p w14:paraId="30418CCC" w14:textId="77777777" w:rsidR="006E3332" w:rsidRDefault="006E3332" w:rsidP="0061662C">
            <w:pPr>
              <w:spacing w:after="60"/>
            </w:pPr>
          </w:p>
        </w:tc>
        <w:tc>
          <w:tcPr>
            <w:tcW w:w="1346" w:type="dxa"/>
          </w:tcPr>
          <w:p w14:paraId="76CD080B" w14:textId="77777777" w:rsidR="006E3332" w:rsidRDefault="006E3332" w:rsidP="0061662C">
            <w:pPr>
              <w:spacing w:after="60"/>
            </w:pPr>
          </w:p>
        </w:tc>
        <w:tc>
          <w:tcPr>
            <w:tcW w:w="1347" w:type="dxa"/>
          </w:tcPr>
          <w:p w14:paraId="5DC33943" w14:textId="4CE13578" w:rsidR="006E3332" w:rsidRDefault="006E3332" w:rsidP="0061662C">
            <w:pPr>
              <w:spacing w:after="60"/>
            </w:pPr>
          </w:p>
        </w:tc>
        <w:tc>
          <w:tcPr>
            <w:tcW w:w="2126" w:type="dxa"/>
          </w:tcPr>
          <w:p w14:paraId="2578A04D" w14:textId="77777777" w:rsidR="006E3332" w:rsidRDefault="006E3332" w:rsidP="0061662C">
            <w:pPr>
              <w:spacing w:after="60"/>
            </w:pPr>
          </w:p>
        </w:tc>
      </w:tr>
      <w:tr w:rsidR="006E3332" w:rsidRPr="00A44ED1" w14:paraId="0AEE411D" w14:textId="77777777" w:rsidTr="00E440CE">
        <w:tc>
          <w:tcPr>
            <w:tcW w:w="10065" w:type="dxa"/>
            <w:gridSpan w:val="5"/>
          </w:tcPr>
          <w:p w14:paraId="2D96BD70" w14:textId="77777777" w:rsidR="006E3332" w:rsidRDefault="006E3332" w:rsidP="0061662C">
            <w:pPr>
              <w:spacing w:after="60"/>
              <w:ind w:left="315" w:hanging="284"/>
              <w:rPr>
                <w:b/>
              </w:rPr>
            </w:pPr>
          </w:p>
        </w:tc>
      </w:tr>
      <w:tr w:rsidR="006E3332" w:rsidRPr="00A44ED1" w14:paraId="6D99E324" w14:textId="77777777" w:rsidTr="006E3332">
        <w:tc>
          <w:tcPr>
            <w:tcW w:w="10065" w:type="dxa"/>
            <w:gridSpan w:val="5"/>
            <w:shd w:val="clear" w:color="auto" w:fill="BFBFBF" w:themeFill="background1" w:themeFillShade="BF"/>
          </w:tcPr>
          <w:p w14:paraId="5CE8E4AF" w14:textId="647B8C9C" w:rsidR="006E3332" w:rsidRPr="00A44ED1" w:rsidRDefault="006E3332" w:rsidP="0061662C">
            <w:pPr>
              <w:spacing w:after="60"/>
              <w:ind w:left="315" w:hanging="284"/>
              <w:rPr>
                <w:b/>
              </w:rPr>
            </w:pPr>
            <w:r>
              <w:rPr>
                <w:b/>
              </w:rPr>
              <w:t>D</w:t>
            </w:r>
            <w:r w:rsidR="00E8167F">
              <w:rPr>
                <w:b/>
              </w:rPr>
              <w:t>4</w:t>
            </w:r>
            <w:r w:rsidR="00E8167F">
              <w:rPr>
                <w:b/>
              </w:rPr>
              <w:tab/>
            </w:r>
            <w:r w:rsidRPr="00A44ED1">
              <w:rPr>
                <w:b/>
              </w:rPr>
              <w:t xml:space="preserve">Balance Sheet </w:t>
            </w:r>
            <w:r w:rsidR="00506F55">
              <w:rPr>
                <w:b/>
              </w:rPr>
              <w:t>–</w:t>
            </w:r>
            <w:r w:rsidRPr="00A44ED1">
              <w:rPr>
                <w:b/>
              </w:rPr>
              <w:t xml:space="preserve"> Reserves</w:t>
            </w:r>
          </w:p>
        </w:tc>
      </w:tr>
      <w:tr w:rsidR="006E3332" w14:paraId="454ACC95" w14:textId="77777777" w:rsidTr="00052C9D">
        <w:tc>
          <w:tcPr>
            <w:tcW w:w="4104" w:type="dxa"/>
          </w:tcPr>
          <w:p w14:paraId="16E2A178" w14:textId="54B70772" w:rsidR="006E3332" w:rsidRDefault="006E3332" w:rsidP="0061662C">
            <w:pPr>
              <w:pStyle w:val="ListParagraph"/>
              <w:numPr>
                <w:ilvl w:val="0"/>
                <w:numId w:val="12"/>
              </w:numPr>
              <w:spacing w:after="60"/>
              <w:ind w:left="315" w:hanging="284"/>
            </w:pPr>
            <w:r>
              <w:t>A schedule in the format of the note to the accounts that analyses reserves and details of movements. Provide working papers to support these reconciling to relevant parts of the financial statements</w:t>
            </w:r>
            <w:r w:rsidR="00506F55">
              <w:t>.</w:t>
            </w:r>
          </w:p>
        </w:tc>
        <w:tc>
          <w:tcPr>
            <w:tcW w:w="1142" w:type="dxa"/>
          </w:tcPr>
          <w:p w14:paraId="0F5933A4" w14:textId="77777777" w:rsidR="006E3332" w:rsidRDefault="006E3332" w:rsidP="0061662C">
            <w:pPr>
              <w:spacing w:after="60"/>
            </w:pPr>
          </w:p>
        </w:tc>
        <w:tc>
          <w:tcPr>
            <w:tcW w:w="1346" w:type="dxa"/>
          </w:tcPr>
          <w:p w14:paraId="1B128B3D" w14:textId="77777777" w:rsidR="006E3332" w:rsidRDefault="006E3332" w:rsidP="0061662C">
            <w:pPr>
              <w:spacing w:after="60"/>
            </w:pPr>
          </w:p>
        </w:tc>
        <w:tc>
          <w:tcPr>
            <w:tcW w:w="1347" w:type="dxa"/>
          </w:tcPr>
          <w:p w14:paraId="6C1ED326" w14:textId="1DC7F519" w:rsidR="006E3332" w:rsidRDefault="006E3332" w:rsidP="0061662C">
            <w:pPr>
              <w:spacing w:after="60"/>
            </w:pPr>
          </w:p>
        </w:tc>
        <w:tc>
          <w:tcPr>
            <w:tcW w:w="2126" w:type="dxa"/>
          </w:tcPr>
          <w:p w14:paraId="759737F6" w14:textId="42F4B435" w:rsidR="006E3332" w:rsidRDefault="006E3332" w:rsidP="0061662C">
            <w:pPr>
              <w:spacing w:after="60"/>
            </w:pPr>
          </w:p>
        </w:tc>
      </w:tr>
      <w:tr w:rsidR="006E3332" w:rsidRPr="00E81E0F" w14:paraId="13FEC00C" w14:textId="77777777" w:rsidTr="00AB3053">
        <w:tc>
          <w:tcPr>
            <w:tcW w:w="10065" w:type="dxa"/>
            <w:gridSpan w:val="5"/>
          </w:tcPr>
          <w:p w14:paraId="7DC89B67" w14:textId="77777777" w:rsidR="006E3332" w:rsidRDefault="006E3332" w:rsidP="0061662C">
            <w:pPr>
              <w:spacing w:after="60"/>
              <w:rPr>
                <w:b/>
              </w:rPr>
            </w:pPr>
          </w:p>
        </w:tc>
      </w:tr>
      <w:tr w:rsidR="006E3332" w:rsidRPr="00E81E0F" w14:paraId="5BF4CC1D" w14:textId="77777777" w:rsidTr="006E3332">
        <w:tc>
          <w:tcPr>
            <w:tcW w:w="10065" w:type="dxa"/>
            <w:gridSpan w:val="5"/>
            <w:shd w:val="clear" w:color="auto" w:fill="BFBFBF" w:themeFill="background1" w:themeFillShade="BF"/>
          </w:tcPr>
          <w:p w14:paraId="3EFF1C7D" w14:textId="71663E94" w:rsidR="006E3332" w:rsidRPr="00E81E0F" w:rsidRDefault="006E3332" w:rsidP="0061662C">
            <w:pPr>
              <w:tabs>
                <w:tab w:val="left" w:pos="315"/>
              </w:tabs>
              <w:spacing w:after="60"/>
              <w:rPr>
                <w:b/>
              </w:rPr>
            </w:pPr>
            <w:r>
              <w:rPr>
                <w:b/>
              </w:rPr>
              <w:t>E</w:t>
            </w:r>
            <w:r w:rsidR="00506F55">
              <w:rPr>
                <w:b/>
              </w:rPr>
              <w:tab/>
            </w:r>
            <w:r>
              <w:rPr>
                <w:b/>
              </w:rPr>
              <w:t>Statement of C</w:t>
            </w:r>
            <w:r w:rsidRPr="00E81E0F">
              <w:rPr>
                <w:b/>
              </w:rPr>
              <w:t>ash Flows</w:t>
            </w:r>
          </w:p>
        </w:tc>
      </w:tr>
      <w:tr w:rsidR="006E3332" w14:paraId="201DE79C" w14:textId="77777777" w:rsidTr="00052C9D">
        <w:tc>
          <w:tcPr>
            <w:tcW w:w="4104" w:type="dxa"/>
          </w:tcPr>
          <w:p w14:paraId="5087B981" w14:textId="43D8DC0B" w:rsidR="006E3332" w:rsidRDefault="006E3332" w:rsidP="0061662C">
            <w:pPr>
              <w:pStyle w:val="ListParagraph"/>
              <w:numPr>
                <w:ilvl w:val="0"/>
                <w:numId w:val="16"/>
              </w:numPr>
              <w:spacing w:after="60"/>
              <w:ind w:left="315" w:hanging="284"/>
            </w:pPr>
            <w:r>
              <w:t>Schedules to support the cash flow statement and figures in its supporting notes</w:t>
            </w:r>
            <w:r w:rsidR="00506F55">
              <w:t>.</w:t>
            </w:r>
          </w:p>
        </w:tc>
        <w:tc>
          <w:tcPr>
            <w:tcW w:w="1142" w:type="dxa"/>
          </w:tcPr>
          <w:p w14:paraId="01E4765D" w14:textId="77777777" w:rsidR="006E3332" w:rsidRDefault="006E3332" w:rsidP="0061662C">
            <w:pPr>
              <w:spacing w:after="60"/>
            </w:pPr>
          </w:p>
        </w:tc>
        <w:tc>
          <w:tcPr>
            <w:tcW w:w="1346" w:type="dxa"/>
          </w:tcPr>
          <w:p w14:paraId="778FCEB0" w14:textId="77777777" w:rsidR="006E3332" w:rsidRDefault="006E3332" w:rsidP="0061662C">
            <w:pPr>
              <w:spacing w:after="60"/>
            </w:pPr>
          </w:p>
        </w:tc>
        <w:tc>
          <w:tcPr>
            <w:tcW w:w="1347" w:type="dxa"/>
          </w:tcPr>
          <w:p w14:paraId="349D81DD" w14:textId="3211FFD1" w:rsidR="006E3332" w:rsidRDefault="006E3332" w:rsidP="0061662C">
            <w:pPr>
              <w:spacing w:after="60"/>
            </w:pPr>
          </w:p>
        </w:tc>
        <w:tc>
          <w:tcPr>
            <w:tcW w:w="2126" w:type="dxa"/>
          </w:tcPr>
          <w:p w14:paraId="198BB7FB" w14:textId="46906D43" w:rsidR="006E3332" w:rsidRDefault="006E3332" w:rsidP="0061662C">
            <w:pPr>
              <w:spacing w:after="60"/>
            </w:pPr>
          </w:p>
        </w:tc>
      </w:tr>
      <w:tr w:rsidR="006E3332" w14:paraId="60D4AEB8" w14:textId="77777777" w:rsidTr="005601E8">
        <w:tc>
          <w:tcPr>
            <w:tcW w:w="10065" w:type="dxa"/>
            <w:gridSpan w:val="5"/>
          </w:tcPr>
          <w:p w14:paraId="697C4E4C" w14:textId="77777777" w:rsidR="006E3332" w:rsidRDefault="006E3332" w:rsidP="0061662C">
            <w:pPr>
              <w:spacing w:after="60"/>
              <w:ind w:left="315" w:hanging="284"/>
              <w:rPr>
                <w:b/>
              </w:rPr>
            </w:pPr>
          </w:p>
        </w:tc>
      </w:tr>
      <w:tr w:rsidR="006E3332" w14:paraId="6F5284CC" w14:textId="77777777" w:rsidTr="006E3332">
        <w:tc>
          <w:tcPr>
            <w:tcW w:w="10065" w:type="dxa"/>
            <w:gridSpan w:val="5"/>
            <w:shd w:val="clear" w:color="auto" w:fill="BFBFBF" w:themeFill="background1" w:themeFillShade="BF"/>
          </w:tcPr>
          <w:p w14:paraId="1612EE74" w14:textId="201D9B70" w:rsidR="006E3332" w:rsidRDefault="006E3332" w:rsidP="0061662C">
            <w:pPr>
              <w:spacing w:after="60"/>
              <w:ind w:left="315" w:hanging="284"/>
            </w:pPr>
            <w:r>
              <w:rPr>
                <w:b/>
              </w:rPr>
              <w:t>F</w:t>
            </w:r>
            <w:r w:rsidR="00506F55">
              <w:rPr>
                <w:b/>
              </w:rPr>
              <w:tab/>
            </w:r>
            <w:r w:rsidRPr="00E81E0F">
              <w:rPr>
                <w:b/>
              </w:rPr>
              <w:t xml:space="preserve">Other Notes to the Accounts </w:t>
            </w:r>
          </w:p>
        </w:tc>
      </w:tr>
      <w:tr w:rsidR="006E3332" w14:paraId="423E33FE" w14:textId="77777777" w:rsidTr="00052C9D">
        <w:tc>
          <w:tcPr>
            <w:tcW w:w="4104" w:type="dxa"/>
          </w:tcPr>
          <w:p w14:paraId="4069517B" w14:textId="717E66F7" w:rsidR="006E3332" w:rsidRDefault="006E3332" w:rsidP="0061662C">
            <w:pPr>
              <w:pStyle w:val="ListParagraph"/>
              <w:numPr>
                <w:ilvl w:val="0"/>
                <w:numId w:val="17"/>
              </w:numPr>
              <w:spacing w:after="60"/>
              <w:ind w:left="315" w:hanging="284"/>
            </w:pPr>
            <w:r>
              <w:t>Summary of the names of related parties to the Academy Trust detailing name and detail of any business interests</w:t>
            </w:r>
            <w:r w:rsidR="00506F55">
              <w:t>.</w:t>
            </w:r>
            <w:r>
              <w:t xml:space="preserve">  </w:t>
            </w:r>
          </w:p>
        </w:tc>
        <w:tc>
          <w:tcPr>
            <w:tcW w:w="1142" w:type="dxa"/>
          </w:tcPr>
          <w:p w14:paraId="2367BA3F" w14:textId="77777777" w:rsidR="006E3332" w:rsidRDefault="006E3332" w:rsidP="0061662C">
            <w:pPr>
              <w:spacing w:after="60"/>
            </w:pPr>
          </w:p>
        </w:tc>
        <w:tc>
          <w:tcPr>
            <w:tcW w:w="1346" w:type="dxa"/>
          </w:tcPr>
          <w:p w14:paraId="4F54416C" w14:textId="77777777" w:rsidR="006E3332" w:rsidRDefault="006E3332" w:rsidP="0061662C">
            <w:pPr>
              <w:spacing w:after="60"/>
            </w:pPr>
          </w:p>
        </w:tc>
        <w:tc>
          <w:tcPr>
            <w:tcW w:w="1347" w:type="dxa"/>
          </w:tcPr>
          <w:p w14:paraId="5D60BF34" w14:textId="74E6A4FC" w:rsidR="006E3332" w:rsidRDefault="006E3332" w:rsidP="0061662C">
            <w:pPr>
              <w:spacing w:after="60"/>
            </w:pPr>
          </w:p>
        </w:tc>
        <w:tc>
          <w:tcPr>
            <w:tcW w:w="2126" w:type="dxa"/>
          </w:tcPr>
          <w:p w14:paraId="63941032" w14:textId="77777777" w:rsidR="006E3332" w:rsidRDefault="006E3332" w:rsidP="0061662C">
            <w:pPr>
              <w:spacing w:after="60"/>
            </w:pPr>
          </w:p>
        </w:tc>
      </w:tr>
      <w:tr w:rsidR="006E3332" w14:paraId="2E92B777" w14:textId="77777777" w:rsidTr="00052C9D">
        <w:tc>
          <w:tcPr>
            <w:tcW w:w="4104" w:type="dxa"/>
          </w:tcPr>
          <w:p w14:paraId="10B30FD5" w14:textId="77777777" w:rsidR="00506F55" w:rsidRDefault="006E3332" w:rsidP="0061662C">
            <w:pPr>
              <w:pStyle w:val="ListParagraph"/>
              <w:numPr>
                <w:ilvl w:val="0"/>
                <w:numId w:val="17"/>
              </w:numPr>
              <w:spacing w:after="60"/>
              <w:ind w:left="315" w:hanging="284"/>
            </w:pPr>
            <w:r>
              <w:t>Related Party Transactions:</w:t>
            </w:r>
          </w:p>
          <w:p w14:paraId="7B86C24E" w14:textId="5216F2D0" w:rsidR="006E3332" w:rsidRDefault="006E3332" w:rsidP="0061662C">
            <w:pPr>
              <w:pStyle w:val="ListParagraph"/>
              <w:numPr>
                <w:ilvl w:val="0"/>
                <w:numId w:val="27"/>
              </w:numPr>
              <w:spacing w:after="60"/>
            </w:pPr>
            <w:r>
              <w:t>evidence to support trustee’s remuneration and expenses disclosure</w:t>
            </w:r>
            <w:r w:rsidR="00506F55">
              <w:t>.</w:t>
            </w:r>
          </w:p>
          <w:p w14:paraId="318CF21D" w14:textId="784EF404" w:rsidR="006E3332" w:rsidRDefault="006E3332" w:rsidP="0061662C">
            <w:pPr>
              <w:pStyle w:val="ListParagraph"/>
              <w:numPr>
                <w:ilvl w:val="0"/>
                <w:numId w:val="27"/>
              </w:numPr>
              <w:spacing w:after="60"/>
            </w:pPr>
            <w:r>
              <w:t>details of other RPT disclosures and supporting statements of assurance</w:t>
            </w:r>
          </w:p>
          <w:p w14:paraId="7BBAC5DB" w14:textId="3C2E12F9" w:rsidR="006E3332" w:rsidRDefault="006E3332" w:rsidP="0061662C">
            <w:pPr>
              <w:pStyle w:val="ListParagraph"/>
              <w:numPr>
                <w:ilvl w:val="0"/>
                <w:numId w:val="27"/>
              </w:numPr>
              <w:spacing w:after="60"/>
            </w:pPr>
            <w:r>
              <w:t>confirmation of ESFA approval for relevant RPT transactions</w:t>
            </w:r>
          </w:p>
        </w:tc>
        <w:tc>
          <w:tcPr>
            <w:tcW w:w="1142" w:type="dxa"/>
          </w:tcPr>
          <w:p w14:paraId="47456742" w14:textId="77777777" w:rsidR="006E3332" w:rsidRDefault="006E3332" w:rsidP="0061662C">
            <w:pPr>
              <w:spacing w:after="60"/>
            </w:pPr>
          </w:p>
        </w:tc>
        <w:tc>
          <w:tcPr>
            <w:tcW w:w="1346" w:type="dxa"/>
          </w:tcPr>
          <w:p w14:paraId="6A3E58EE" w14:textId="77777777" w:rsidR="006E3332" w:rsidRDefault="006E3332" w:rsidP="0061662C">
            <w:pPr>
              <w:spacing w:after="60"/>
            </w:pPr>
          </w:p>
        </w:tc>
        <w:tc>
          <w:tcPr>
            <w:tcW w:w="1347" w:type="dxa"/>
          </w:tcPr>
          <w:p w14:paraId="4C971CD4" w14:textId="3C1E1CA9" w:rsidR="006E3332" w:rsidRDefault="006E3332" w:rsidP="0061662C">
            <w:pPr>
              <w:spacing w:after="60"/>
            </w:pPr>
          </w:p>
        </w:tc>
        <w:tc>
          <w:tcPr>
            <w:tcW w:w="2126" w:type="dxa"/>
          </w:tcPr>
          <w:p w14:paraId="5C39C04A" w14:textId="77777777" w:rsidR="006E3332" w:rsidRDefault="006E3332" w:rsidP="0061662C">
            <w:pPr>
              <w:spacing w:after="60"/>
            </w:pPr>
          </w:p>
        </w:tc>
      </w:tr>
      <w:tr w:rsidR="006E3332" w14:paraId="456CB93B" w14:textId="77777777" w:rsidTr="00052C9D">
        <w:tc>
          <w:tcPr>
            <w:tcW w:w="4104" w:type="dxa"/>
          </w:tcPr>
          <w:p w14:paraId="581D2F11" w14:textId="20BA26F7" w:rsidR="006E3332" w:rsidRDefault="006E3332" w:rsidP="0061662C">
            <w:pPr>
              <w:pStyle w:val="ListParagraph"/>
              <w:numPr>
                <w:ilvl w:val="0"/>
                <w:numId w:val="17"/>
              </w:numPr>
              <w:spacing w:after="60"/>
              <w:ind w:left="315" w:hanging="284"/>
            </w:pPr>
            <w:r>
              <w:t>Capital commitments – an analysis of contractual capital commitments i</w:t>
            </w:r>
            <w:r w:rsidR="00506F55">
              <w:t>.</w:t>
            </w:r>
            <w:r>
              <w:t>e</w:t>
            </w:r>
            <w:r w:rsidR="00506F55">
              <w:t>.</w:t>
            </w:r>
            <w:r>
              <w:t xml:space="preserve"> capital contracts entered into where work not invoiced until after the </w:t>
            </w:r>
            <w:r w:rsidR="00B7414F">
              <w:t>year-end</w:t>
            </w:r>
            <w:r w:rsidR="00E8167F">
              <w:t>.</w:t>
            </w:r>
            <w:r>
              <w:t xml:space="preserve"> </w:t>
            </w:r>
          </w:p>
        </w:tc>
        <w:tc>
          <w:tcPr>
            <w:tcW w:w="1142" w:type="dxa"/>
          </w:tcPr>
          <w:p w14:paraId="72A37950" w14:textId="77777777" w:rsidR="006E3332" w:rsidRDefault="006E3332" w:rsidP="0061662C">
            <w:pPr>
              <w:spacing w:after="60"/>
            </w:pPr>
          </w:p>
        </w:tc>
        <w:tc>
          <w:tcPr>
            <w:tcW w:w="1346" w:type="dxa"/>
          </w:tcPr>
          <w:p w14:paraId="48FA0EFF" w14:textId="77777777" w:rsidR="006E3332" w:rsidRDefault="006E3332" w:rsidP="0061662C">
            <w:pPr>
              <w:spacing w:after="60"/>
            </w:pPr>
          </w:p>
        </w:tc>
        <w:tc>
          <w:tcPr>
            <w:tcW w:w="1347" w:type="dxa"/>
          </w:tcPr>
          <w:p w14:paraId="0471DF9D" w14:textId="6574B2BE" w:rsidR="006E3332" w:rsidRDefault="006E3332" w:rsidP="0061662C">
            <w:pPr>
              <w:spacing w:after="60"/>
            </w:pPr>
          </w:p>
        </w:tc>
        <w:tc>
          <w:tcPr>
            <w:tcW w:w="2126" w:type="dxa"/>
          </w:tcPr>
          <w:p w14:paraId="1F9C2CBB" w14:textId="77777777" w:rsidR="006E3332" w:rsidRDefault="006E3332" w:rsidP="0061662C">
            <w:pPr>
              <w:spacing w:after="60"/>
            </w:pPr>
          </w:p>
        </w:tc>
      </w:tr>
      <w:tr w:rsidR="006E3332" w14:paraId="128CA660" w14:textId="77777777" w:rsidTr="00052C9D">
        <w:tc>
          <w:tcPr>
            <w:tcW w:w="4104" w:type="dxa"/>
          </w:tcPr>
          <w:p w14:paraId="14C2394E" w14:textId="335E325F" w:rsidR="006E3332" w:rsidRDefault="006E3332" w:rsidP="0061662C">
            <w:pPr>
              <w:pStyle w:val="ListParagraph"/>
              <w:numPr>
                <w:ilvl w:val="0"/>
                <w:numId w:val="17"/>
              </w:numPr>
              <w:spacing w:after="60"/>
              <w:ind w:left="315" w:hanging="284"/>
            </w:pPr>
            <w:r>
              <w:lastRenderedPageBreak/>
              <w:t>Commitments under operating leases – an analysis of leases and timing of payments</w:t>
            </w:r>
            <w:r w:rsidR="00506F55">
              <w:t>.</w:t>
            </w:r>
          </w:p>
        </w:tc>
        <w:tc>
          <w:tcPr>
            <w:tcW w:w="1142" w:type="dxa"/>
          </w:tcPr>
          <w:p w14:paraId="7A1D1284" w14:textId="77777777" w:rsidR="006E3332" w:rsidRDefault="006E3332" w:rsidP="0061662C">
            <w:pPr>
              <w:spacing w:after="60"/>
            </w:pPr>
          </w:p>
        </w:tc>
        <w:tc>
          <w:tcPr>
            <w:tcW w:w="1346" w:type="dxa"/>
          </w:tcPr>
          <w:p w14:paraId="770066CD" w14:textId="77777777" w:rsidR="006E3332" w:rsidRDefault="006E3332" w:rsidP="0061662C">
            <w:pPr>
              <w:spacing w:after="60"/>
            </w:pPr>
          </w:p>
        </w:tc>
        <w:tc>
          <w:tcPr>
            <w:tcW w:w="1347" w:type="dxa"/>
          </w:tcPr>
          <w:p w14:paraId="485C4019" w14:textId="2A2560D4" w:rsidR="006E3332" w:rsidRDefault="006E3332" w:rsidP="0061662C">
            <w:pPr>
              <w:spacing w:after="60"/>
            </w:pPr>
          </w:p>
        </w:tc>
        <w:tc>
          <w:tcPr>
            <w:tcW w:w="2126" w:type="dxa"/>
          </w:tcPr>
          <w:p w14:paraId="1613D986" w14:textId="77777777" w:rsidR="006E3332" w:rsidRDefault="006E3332" w:rsidP="0061662C">
            <w:pPr>
              <w:spacing w:after="60"/>
            </w:pPr>
          </w:p>
        </w:tc>
      </w:tr>
      <w:tr w:rsidR="006E3332" w14:paraId="6303FF44" w14:textId="77777777" w:rsidTr="00052C9D">
        <w:tc>
          <w:tcPr>
            <w:tcW w:w="4104" w:type="dxa"/>
          </w:tcPr>
          <w:p w14:paraId="50808ABB" w14:textId="3FBF224E" w:rsidR="006E3332" w:rsidRDefault="006E3332" w:rsidP="0061662C">
            <w:pPr>
              <w:pStyle w:val="ListParagraph"/>
              <w:numPr>
                <w:ilvl w:val="0"/>
                <w:numId w:val="17"/>
              </w:numPr>
              <w:spacing w:after="60"/>
              <w:ind w:left="315" w:hanging="284"/>
            </w:pPr>
            <w:r>
              <w:t>Guarantees, letters of comfort and indemnities – working papers and evidence to support any disclosure</w:t>
            </w:r>
            <w:r w:rsidR="00506F55">
              <w:t>.</w:t>
            </w:r>
          </w:p>
        </w:tc>
        <w:tc>
          <w:tcPr>
            <w:tcW w:w="1142" w:type="dxa"/>
          </w:tcPr>
          <w:p w14:paraId="6E56FFE6" w14:textId="77777777" w:rsidR="006E3332" w:rsidRDefault="006E3332" w:rsidP="0061662C">
            <w:pPr>
              <w:spacing w:after="60"/>
            </w:pPr>
          </w:p>
        </w:tc>
        <w:tc>
          <w:tcPr>
            <w:tcW w:w="1346" w:type="dxa"/>
          </w:tcPr>
          <w:p w14:paraId="2BA3133A" w14:textId="77777777" w:rsidR="006E3332" w:rsidRDefault="006E3332" w:rsidP="0061662C">
            <w:pPr>
              <w:spacing w:after="60"/>
            </w:pPr>
          </w:p>
        </w:tc>
        <w:tc>
          <w:tcPr>
            <w:tcW w:w="1347" w:type="dxa"/>
          </w:tcPr>
          <w:p w14:paraId="1AA3FDD6" w14:textId="797F81CA" w:rsidR="006E3332" w:rsidRDefault="006E3332" w:rsidP="0061662C">
            <w:pPr>
              <w:spacing w:after="60"/>
            </w:pPr>
          </w:p>
        </w:tc>
        <w:tc>
          <w:tcPr>
            <w:tcW w:w="2126" w:type="dxa"/>
          </w:tcPr>
          <w:p w14:paraId="204DC825" w14:textId="77777777" w:rsidR="006E3332" w:rsidRDefault="006E3332" w:rsidP="0061662C">
            <w:pPr>
              <w:spacing w:after="60"/>
            </w:pPr>
          </w:p>
        </w:tc>
      </w:tr>
      <w:tr w:rsidR="006E3332" w14:paraId="17EFA7AC" w14:textId="77777777" w:rsidTr="00052C9D">
        <w:tc>
          <w:tcPr>
            <w:tcW w:w="4104" w:type="dxa"/>
          </w:tcPr>
          <w:p w14:paraId="10EB2BD8" w14:textId="2293E23B" w:rsidR="006E3332" w:rsidRDefault="006E3332" w:rsidP="0061662C">
            <w:pPr>
              <w:pStyle w:val="ListParagraph"/>
              <w:numPr>
                <w:ilvl w:val="0"/>
                <w:numId w:val="17"/>
              </w:numPr>
              <w:spacing w:after="60"/>
              <w:ind w:left="315" w:hanging="284"/>
            </w:pPr>
            <w:r>
              <w:t>Contingent liabilities – working papers and evidence to support any disclosure</w:t>
            </w:r>
            <w:r w:rsidR="00506F55">
              <w:t>.</w:t>
            </w:r>
          </w:p>
        </w:tc>
        <w:tc>
          <w:tcPr>
            <w:tcW w:w="1142" w:type="dxa"/>
          </w:tcPr>
          <w:p w14:paraId="28FDC242" w14:textId="77777777" w:rsidR="006E3332" w:rsidRDefault="006E3332" w:rsidP="0061662C">
            <w:pPr>
              <w:spacing w:after="60"/>
            </w:pPr>
          </w:p>
        </w:tc>
        <w:tc>
          <w:tcPr>
            <w:tcW w:w="1346" w:type="dxa"/>
          </w:tcPr>
          <w:p w14:paraId="687206E6" w14:textId="77777777" w:rsidR="006E3332" w:rsidRDefault="006E3332" w:rsidP="0061662C">
            <w:pPr>
              <w:spacing w:after="60"/>
            </w:pPr>
          </w:p>
        </w:tc>
        <w:tc>
          <w:tcPr>
            <w:tcW w:w="1347" w:type="dxa"/>
          </w:tcPr>
          <w:p w14:paraId="2A121615" w14:textId="78AEE41C" w:rsidR="006E3332" w:rsidRDefault="006E3332" w:rsidP="0061662C">
            <w:pPr>
              <w:spacing w:after="60"/>
            </w:pPr>
          </w:p>
        </w:tc>
        <w:tc>
          <w:tcPr>
            <w:tcW w:w="2126" w:type="dxa"/>
          </w:tcPr>
          <w:p w14:paraId="12E5E0D9" w14:textId="77777777" w:rsidR="006E3332" w:rsidRDefault="006E3332" w:rsidP="0061662C">
            <w:pPr>
              <w:spacing w:after="60"/>
            </w:pPr>
          </w:p>
        </w:tc>
      </w:tr>
      <w:tr w:rsidR="006E3332" w14:paraId="5FB2A798" w14:textId="77777777" w:rsidTr="00052C9D">
        <w:tc>
          <w:tcPr>
            <w:tcW w:w="4104" w:type="dxa"/>
          </w:tcPr>
          <w:p w14:paraId="1D616EE1" w14:textId="5B15ECCB" w:rsidR="006E3332" w:rsidRDefault="006E3332" w:rsidP="0061662C">
            <w:pPr>
              <w:pStyle w:val="ListParagraph"/>
              <w:numPr>
                <w:ilvl w:val="0"/>
                <w:numId w:val="17"/>
              </w:numPr>
              <w:spacing w:after="60"/>
              <w:ind w:left="315" w:hanging="284"/>
            </w:pPr>
            <w:r>
              <w:t xml:space="preserve">Pensions – actuarial reports </w:t>
            </w:r>
            <w:r w:rsidR="00875BF6">
              <w:t xml:space="preserve">and analyses / other documentation </w:t>
            </w:r>
            <w:r>
              <w:t>to support disclosure</w:t>
            </w:r>
            <w:r w:rsidR="00506F55">
              <w:t>.</w:t>
            </w:r>
            <w:r>
              <w:t xml:space="preserve"> </w:t>
            </w:r>
          </w:p>
        </w:tc>
        <w:tc>
          <w:tcPr>
            <w:tcW w:w="1142" w:type="dxa"/>
          </w:tcPr>
          <w:p w14:paraId="3DE76064" w14:textId="77777777" w:rsidR="006E3332" w:rsidRDefault="006E3332" w:rsidP="0061662C">
            <w:pPr>
              <w:spacing w:after="60"/>
            </w:pPr>
          </w:p>
        </w:tc>
        <w:tc>
          <w:tcPr>
            <w:tcW w:w="1346" w:type="dxa"/>
          </w:tcPr>
          <w:p w14:paraId="27796F48" w14:textId="77777777" w:rsidR="006E3332" w:rsidRDefault="006E3332" w:rsidP="0061662C">
            <w:pPr>
              <w:spacing w:after="60"/>
            </w:pPr>
          </w:p>
        </w:tc>
        <w:tc>
          <w:tcPr>
            <w:tcW w:w="1347" w:type="dxa"/>
          </w:tcPr>
          <w:p w14:paraId="7069AE12" w14:textId="77D0FCA6" w:rsidR="006E3332" w:rsidRDefault="006E3332" w:rsidP="0061662C">
            <w:pPr>
              <w:spacing w:after="60"/>
            </w:pPr>
          </w:p>
        </w:tc>
        <w:tc>
          <w:tcPr>
            <w:tcW w:w="2126" w:type="dxa"/>
          </w:tcPr>
          <w:p w14:paraId="2147EF43" w14:textId="77777777" w:rsidR="006E3332" w:rsidRDefault="006E3332" w:rsidP="0061662C">
            <w:pPr>
              <w:spacing w:after="60"/>
            </w:pPr>
          </w:p>
        </w:tc>
      </w:tr>
      <w:tr w:rsidR="006E3332" w14:paraId="3AE540D1" w14:textId="77777777" w:rsidTr="00052C9D">
        <w:tc>
          <w:tcPr>
            <w:tcW w:w="4104" w:type="dxa"/>
          </w:tcPr>
          <w:p w14:paraId="541D0B1B" w14:textId="41127CCA" w:rsidR="006E3332" w:rsidRDefault="006E3332" w:rsidP="0061662C">
            <w:pPr>
              <w:pStyle w:val="ListParagraph"/>
              <w:numPr>
                <w:ilvl w:val="0"/>
                <w:numId w:val="17"/>
              </w:numPr>
              <w:spacing w:after="60"/>
              <w:ind w:left="315" w:hanging="284"/>
            </w:pPr>
            <w:r>
              <w:t>Events after the end of the reporting period, both adjusting and non-adjusting, – working papers and evidence to support any disclosure</w:t>
            </w:r>
            <w:r w:rsidR="00506F55">
              <w:t>.</w:t>
            </w:r>
          </w:p>
        </w:tc>
        <w:tc>
          <w:tcPr>
            <w:tcW w:w="1142" w:type="dxa"/>
          </w:tcPr>
          <w:p w14:paraId="793FE3E5" w14:textId="77777777" w:rsidR="006E3332" w:rsidRDefault="006E3332" w:rsidP="0061662C">
            <w:pPr>
              <w:spacing w:after="60"/>
            </w:pPr>
          </w:p>
        </w:tc>
        <w:tc>
          <w:tcPr>
            <w:tcW w:w="1346" w:type="dxa"/>
          </w:tcPr>
          <w:p w14:paraId="307E495B" w14:textId="77777777" w:rsidR="006E3332" w:rsidRDefault="006E3332" w:rsidP="0061662C">
            <w:pPr>
              <w:spacing w:after="60"/>
            </w:pPr>
          </w:p>
        </w:tc>
        <w:tc>
          <w:tcPr>
            <w:tcW w:w="1347" w:type="dxa"/>
          </w:tcPr>
          <w:p w14:paraId="2316C746" w14:textId="1D3C61BD" w:rsidR="006E3332" w:rsidRDefault="006E3332" w:rsidP="0061662C">
            <w:pPr>
              <w:spacing w:after="60"/>
            </w:pPr>
          </w:p>
        </w:tc>
        <w:tc>
          <w:tcPr>
            <w:tcW w:w="2126" w:type="dxa"/>
          </w:tcPr>
          <w:p w14:paraId="3BE77E4E" w14:textId="77777777" w:rsidR="006E3332" w:rsidRDefault="006E3332" w:rsidP="0061662C">
            <w:pPr>
              <w:spacing w:after="60"/>
            </w:pPr>
          </w:p>
        </w:tc>
      </w:tr>
      <w:tr w:rsidR="00875BF6" w14:paraId="0D65BD79" w14:textId="77777777" w:rsidTr="005A6F10">
        <w:tc>
          <w:tcPr>
            <w:tcW w:w="4104" w:type="dxa"/>
            <w:shd w:val="clear" w:color="auto" w:fill="BFBFBF" w:themeFill="background1" w:themeFillShade="BF"/>
          </w:tcPr>
          <w:p w14:paraId="11924B5A" w14:textId="46DBBA19" w:rsidR="00875BF6" w:rsidRDefault="00875BF6" w:rsidP="00875BF6">
            <w:pPr>
              <w:pStyle w:val="ListParagraph"/>
              <w:spacing w:after="60"/>
              <w:ind w:left="31"/>
            </w:pPr>
            <w:r>
              <w:t>If applicable</w:t>
            </w:r>
          </w:p>
        </w:tc>
        <w:tc>
          <w:tcPr>
            <w:tcW w:w="1142" w:type="dxa"/>
            <w:shd w:val="clear" w:color="auto" w:fill="BFBFBF" w:themeFill="background1" w:themeFillShade="BF"/>
          </w:tcPr>
          <w:p w14:paraId="34616D4D" w14:textId="77777777" w:rsidR="00875BF6" w:rsidRDefault="00875BF6" w:rsidP="0061662C">
            <w:pPr>
              <w:spacing w:after="60"/>
            </w:pPr>
          </w:p>
        </w:tc>
        <w:tc>
          <w:tcPr>
            <w:tcW w:w="1346" w:type="dxa"/>
            <w:shd w:val="clear" w:color="auto" w:fill="BFBFBF" w:themeFill="background1" w:themeFillShade="BF"/>
          </w:tcPr>
          <w:p w14:paraId="18AADFE4" w14:textId="77777777" w:rsidR="00875BF6" w:rsidRDefault="00875BF6" w:rsidP="0061662C">
            <w:pPr>
              <w:spacing w:after="60"/>
            </w:pPr>
          </w:p>
        </w:tc>
        <w:tc>
          <w:tcPr>
            <w:tcW w:w="1347" w:type="dxa"/>
            <w:shd w:val="clear" w:color="auto" w:fill="BFBFBF" w:themeFill="background1" w:themeFillShade="BF"/>
          </w:tcPr>
          <w:p w14:paraId="6E5BFB27" w14:textId="77777777" w:rsidR="00875BF6" w:rsidRDefault="00875BF6" w:rsidP="0061662C">
            <w:pPr>
              <w:spacing w:after="60"/>
            </w:pPr>
          </w:p>
        </w:tc>
        <w:tc>
          <w:tcPr>
            <w:tcW w:w="2126" w:type="dxa"/>
            <w:shd w:val="clear" w:color="auto" w:fill="BFBFBF" w:themeFill="background1" w:themeFillShade="BF"/>
          </w:tcPr>
          <w:p w14:paraId="59BEF264" w14:textId="77777777" w:rsidR="00875BF6" w:rsidRDefault="00875BF6" w:rsidP="0061662C">
            <w:pPr>
              <w:spacing w:after="60"/>
            </w:pPr>
          </w:p>
        </w:tc>
      </w:tr>
      <w:tr w:rsidR="00875BF6" w14:paraId="512DAB25" w14:textId="77777777" w:rsidTr="00052C9D">
        <w:tc>
          <w:tcPr>
            <w:tcW w:w="4104" w:type="dxa"/>
          </w:tcPr>
          <w:p w14:paraId="7251B6E2" w14:textId="4A1420B3" w:rsidR="00875BF6" w:rsidRDefault="00875BF6" w:rsidP="0061662C">
            <w:pPr>
              <w:pStyle w:val="ListParagraph"/>
              <w:numPr>
                <w:ilvl w:val="0"/>
                <w:numId w:val="17"/>
              </w:numPr>
              <w:spacing w:after="60"/>
              <w:ind w:left="315" w:hanging="284"/>
            </w:pPr>
            <w:r>
              <w:t>Academy boarding trading account – a schedule in the format of the note to the accounts, together with analyses reconciling the financial data to the closing trial balance and other relevant documentation.</w:t>
            </w:r>
          </w:p>
        </w:tc>
        <w:tc>
          <w:tcPr>
            <w:tcW w:w="1142" w:type="dxa"/>
          </w:tcPr>
          <w:p w14:paraId="43E1E4B4" w14:textId="77777777" w:rsidR="00875BF6" w:rsidRDefault="00875BF6" w:rsidP="0061662C">
            <w:pPr>
              <w:spacing w:after="60"/>
            </w:pPr>
          </w:p>
        </w:tc>
        <w:tc>
          <w:tcPr>
            <w:tcW w:w="1346" w:type="dxa"/>
          </w:tcPr>
          <w:p w14:paraId="4C0F96BF" w14:textId="77777777" w:rsidR="00875BF6" w:rsidRDefault="00875BF6" w:rsidP="0061662C">
            <w:pPr>
              <w:spacing w:after="60"/>
            </w:pPr>
          </w:p>
        </w:tc>
        <w:tc>
          <w:tcPr>
            <w:tcW w:w="1347" w:type="dxa"/>
          </w:tcPr>
          <w:p w14:paraId="0D16F090" w14:textId="77777777" w:rsidR="00875BF6" w:rsidRDefault="00875BF6" w:rsidP="0061662C">
            <w:pPr>
              <w:spacing w:after="60"/>
            </w:pPr>
          </w:p>
        </w:tc>
        <w:tc>
          <w:tcPr>
            <w:tcW w:w="2126" w:type="dxa"/>
          </w:tcPr>
          <w:p w14:paraId="44176941" w14:textId="77777777" w:rsidR="00875BF6" w:rsidRDefault="00875BF6" w:rsidP="0061662C">
            <w:pPr>
              <w:spacing w:after="60"/>
            </w:pPr>
          </w:p>
        </w:tc>
      </w:tr>
      <w:tr w:rsidR="00875BF6" w14:paraId="016C8EBD" w14:textId="77777777" w:rsidTr="00052C9D">
        <w:tc>
          <w:tcPr>
            <w:tcW w:w="4104" w:type="dxa"/>
          </w:tcPr>
          <w:p w14:paraId="0AF34BF9" w14:textId="78B2D653" w:rsidR="00875BF6" w:rsidRDefault="00875BF6" w:rsidP="0061662C">
            <w:pPr>
              <w:pStyle w:val="ListParagraph"/>
              <w:numPr>
                <w:ilvl w:val="0"/>
                <w:numId w:val="17"/>
              </w:numPr>
              <w:spacing w:after="60"/>
              <w:ind w:left="315" w:hanging="284"/>
            </w:pPr>
            <w:r>
              <w:t>Teaching school trading account – a schedule in the format of the note to the accounts, together with analyses reconciling the financial data to the closing trial balance and other relevant documentation.</w:t>
            </w:r>
          </w:p>
        </w:tc>
        <w:tc>
          <w:tcPr>
            <w:tcW w:w="1142" w:type="dxa"/>
          </w:tcPr>
          <w:p w14:paraId="32B6458E" w14:textId="77777777" w:rsidR="00875BF6" w:rsidRDefault="00875BF6" w:rsidP="0061662C">
            <w:pPr>
              <w:spacing w:after="60"/>
            </w:pPr>
          </w:p>
        </w:tc>
        <w:tc>
          <w:tcPr>
            <w:tcW w:w="1346" w:type="dxa"/>
          </w:tcPr>
          <w:p w14:paraId="159737F9" w14:textId="77777777" w:rsidR="00875BF6" w:rsidRDefault="00875BF6" w:rsidP="0061662C">
            <w:pPr>
              <w:spacing w:after="60"/>
            </w:pPr>
          </w:p>
        </w:tc>
        <w:tc>
          <w:tcPr>
            <w:tcW w:w="1347" w:type="dxa"/>
          </w:tcPr>
          <w:p w14:paraId="654B07B3" w14:textId="77777777" w:rsidR="00875BF6" w:rsidRDefault="00875BF6" w:rsidP="0061662C">
            <w:pPr>
              <w:spacing w:after="60"/>
            </w:pPr>
          </w:p>
        </w:tc>
        <w:tc>
          <w:tcPr>
            <w:tcW w:w="2126" w:type="dxa"/>
          </w:tcPr>
          <w:p w14:paraId="0A73395E" w14:textId="77777777" w:rsidR="00875BF6" w:rsidRDefault="00875BF6" w:rsidP="0061662C">
            <w:pPr>
              <w:spacing w:after="60"/>
            </w:pPr>
          </w:p>
        </w:tc>
      </w:tr>
      <w:tr w:rsidR="00875BF6" w14:paraId="5285227F" w14:textId="77777777" w:rsidTr="00052C9D">
        <w:tc>
          <w:tcPr>
            <w:tcW w:w="4104" w:type="dxa"/>
          </w:tcPr>
          <w:p w14:paraId="1676B61B" w14:textId="4B1DA845" w:rsidR="00875BF6" w:rsidRDefault="00875BF6" w:rsidP="0061662C">
            <w:pPr>
              <w:pStyle w:val="ListParagraph"/>
              <w:numPr>
                <w:ilvl w:val="0"/>
                <w:numId w:val="17"/>
              </w:numPr>
              <w:spacing w:after="60"/>
              <w:ind w:left="315" w:hanging="284"/>
            </w:pPr>
            <w:r>
              <w:t xml:space="preserve">Academy transfers in / out – a schedule in the format of the note to the accounts, together with analyses reconciling the financial data to the </w:t>
            </w:r>
            <w:r w:rsidR="00434B10">
              <w:t xml:space="preserve">transferring academy’s balance sheet at point of transfer and/or </w:t>
            </w:r>
            <w:r>
              <w:t>trial balance and other relevant documentation.</w:t>
            </w:r>
          </w:p>
        </w:tc>
        <w:tc>
          <w:tcPr>
            <w:tcW w:w="1142" w:type="dxa"/>
          </w:tcPr>
          <w:p w14:paraId="6334E274" w14:textId="77777777" w:rsidR="00875BF6" w:rsidRDefault="00875BF6" w:rsidP="0061662C">
            <w:pPr>
              <w:spacing w:after="60"/>
            </w:pPr>
          </w:p>
        </w:tc>
        <w:tc>
          <w:tcPr>
            <w:tcW w:w="1346" w:type="dxa"/>
          </w:tcPr>
          <w:p w14:paraId="7EE06244" w14:textId="77777777" w:rsidR="00875BF6" w:rsidRDefault="00875BF6" w:rsidP="0061662C">
            <w:pPr>
              <w:spacing w:after="60"/>
            </w:pPr>
          </w:p>
        </w:tc>
        <w:tc>
          <w:tcPr>
            <w:tcW w:w="1347" w:type="dxa"/>
          </w:tcPr>
          <w:p w14:paraId="0126BAA6" w14:textId="77777777" w:rsidR="00875BF6" w:rsidRDefault="00875BF6" w:rsidP="0061662C">
            <w:pPr>
              <w:spacing w:after="60"/>
            </w:pPr>
          </w:p>
        </w:tc>
        <w:tc>
          <w:tcPr>
            <w:tcW w:w="2126" w:type="dxa"/>
          </w:tcPr>
          <w:p w14:paraId="45D3342B" w14:textId="77777777" w:rsidR="00875BF6" w:rsidRDefault="00875BF6" w:rsidP="0061662C">
            <w:pPr>
              <w:spacing w:after="60"/>
            </w:pPr>
          </w:p>
        </w:tc>
      </w:tr>
      <w:tr w:rsidR="006E3332" w14:paraId="04392608" w14:textId="77777777" w:rsidTr="00D011C6">
        <w:tc>
          <w:tcPr>
            <w:tcW w:w="10065" w:type="dxa"/>
            <w:gridSpan w:val="5"/>
          </w:tcPr>
          <w:p w14:paraId="43AAA2ED" w14:textId="77777777" w:rsidR="006E3332" w:rsidRDefault="006E3332" w:rsidP="0061662C">
            <w:pPr>
              <w:spacing w:after="60"/>
              <w:rPr>
                <w:b/>
              </w:rPr>
            </w:pPr>
          </w:p>
        </w:tc>
      </w:tr>
      <w:tr w:rsidR="006E3332" w14:paraId="3AADC2D3" w14:textId="77777777" w:rsidTr="006E3332">
        <w:tc>
          <w:tcPr>
            <w:tcW w:w="10065" w:type="dxa"/>
            <w:gridSpan w:val="5"/>
            <w:shd w:val="clear" w:color="auto" w:fill="BFBFBF" w:themeFill="background1" w:themeFillShade="BF"/>
          </w:tcPr>
          <w:p w14:paraId="65424714" w14:textId="7B020C69" w:rsidR="006E3332" w:rsidRDefault="006E3332" w:rsidP="00E8167F">
            <w:pPr>
              <w:tabs>
                <w:tab w:val="left" w:pos="315"/>
              </w:tabs>
              <w:spacing w:after="60"/>
            </w:pPr>
            <w:r>
              <w:rPr>
                <w:b/>
              </w:rPr>
              <w:t>G</w:t>
            </w:r>
            <w:r>
              <w:rPr>
                <w:b/>
              </w:rPr>
              <w:tab/>
              <w:t>Key Documents</w:t>
            </w:r>
          </w:p>
        </w:tc>
      </w:tr>
      <w:tr w:rsidR="006E3332" w14:paraId="327FB67F" w14:textId="77777777" w:rsidTr="00052C9D">
        <w:tc>
          <w:tcPr>
            <w:tcW w:w="4104" w:type="dxa"/>
          </w:tcPr>
          <w:p w14:paraId="2219F9D8" w14:textId="67CEF8D6" w:rsidR="006E3332" w:rsidRPr="00C14C17" w:rsidRDefault="006E3332" w:rsidP="0061662C">
            <w:pPr>
              <w:pStyle w:val="ListParagraph"/>
              <w:numPr>
                <w:ilvl w:val="0"/>
                <w:numId w:val="25"/>
              </w:numPr>
              <w:spacing w:after="60"/>
              <w:ind w:left="315" w:hanging="315"/>
            </w:pPr>
            <w:r w:rsidRPr="00C14C17">
              <w:t>Articles of Association</w:t>
            </w:r>
          </w:p>
        </w:tc>
        <w:tc>
          <w:tcPr>
            <w:tcW w:w="1142" w:type="dxa"/>
          </w:tcPr>
          <w:p w14:paraId="59929BB3" w14:textId="77777777" w:rsidR="006E3332" w:rsidRDefault="006E3332" w:rsidP="0061662C">
            <w:pPr>
              <w:spacing w:after="60"/>
            </w:pPr>
          </w:p>
        </w:tc>
        <w:tc>
          <w:tcPr>
            <w:tcW w:w="1346" w:type="dxa"/>
          </w:tcPr>
          <w:p w14:paraId="360A60E5" w14:textId="77777777" w:rsidR="006E3332" w:rsidRDefault="006E3332" w:rsidP="0061662C">
            <w:pPr>
              <w:spacing w:after="60"/>
            </w:pPr>
          </w:p>
        </w:tc>
        <w:tc>
          <w:tcPr>
            <w:tcW w:w="1347" w:type="dxa"/>
          </w:tcPr>
          <w:p w14:paraId="686BFFC3" w14:textId="2F143A39" w:rsidR="006E3332" w:rsidRDefault="006E3332" w:rsidP="0061662C">
            <w:pPr>
              <w:spacing w:after="60"/>
            </w:pPr>
          </w:p>
        </w:tc>
        <w:tc>
          <w:tcPr>
            <w:tcW w:w="2126" w:type="dxa"/>
          </w:tcPr>
          <w:p w14:paraId="123FBE99" w14:textId="77777777" w:rsidR="006E3332" w:rsidRDefault="006E3332" w:rsidP="0061662C">
            <w:pPr>
              <w:spacing w:after="60"/>
            </w:pPr>
          </w:p>
        </w:tc>
      </w:tr>
      <w:tr w:rsidR="006E3332" w14:paraId="5BCCB53F" w14:textId="77777777" w:rsidTr="00052C9D">
        <w:tc>
          <w:tcPr>
            <w:tcW w:w="4104" w:type="dxa"/>
          </w:tcPr>
          <w:p w14:paraId="36412EDE" w14:textId="0A2D272D" w:rsidR="006E3332" w:rsidRPr="00C14C17" w:rsidRDefault="006E3332" w:rsidP="0061662C">
            <w:pPr>
              <w:pStyle w:val="ListParagraph"/>
              <w:numPr>
                <w:ilvl w:val="0"/>
                <w:numId w:val="25"/>
              </w:numPr>
              <w:spacing w:after="60"/>
              <w:ind w:left="315" w:hanging="315"/>
            </w:pPr>
            <w:r w:rsidRPr="00C14C17">
              <w:t>Funding agreement</w:t>
            </w:r>
          </w:p>
        </w:tc>
        <w:tc>
          <w:tcPr>
            <w:tcW w:w="1142" w:type="dxa"/>
          </w:tcPr>
          <w:p w14:paraId="7DAFD2C3" w14:textId="77777777" w:rsidR="006E3332" w:rsidRDefault="006E3332" w:rsidP="0061662C">
            <w:pPr>
              <w:spacing w:after="60"/>
            </w:pPr>
          </w:p>
        </w:tc>
        <w:tc>
          <w:tcPr>
            <w:tcW w:w="1346" w:type="dxa"/>
          </w:tcPr>
          <w:p w14:paraId="4BE86FC2" w14:textId="77777777" w:rsidR="006E3332" w:rsidRDefault="006E3332" w:rsidP="0061662C">
            <w:pPr>
              <w:spacing w:after="60"/>
            </w:pPr>
          </w:p>
        </w:tc>
        <w:tc>
          <w:tcPr>
            <w:tcW w:w="1347" w:type="dxa"/>
          </w:tcPr>
          <w:p w14:paraId="5D35740E" w14:textId="68D4EF2D" w:rsidR="006E3332" w:rsidRDefault="006E3332" w:rsidP="0061662C">
            <w:pPr>
              <w:spacing w:after="60"/>
            </w:pPr>
          </w:p>
        </w:tc>
        <w:tc>
          <w:tcPr>
            <w:tcW w:w="2126" w:type="dxa"/>
          </w:tcPr>
          <w:p w14:paraId="66B2289B" w14:textId="77777777" w:rsidR="006E3332" w:rsidRDefault="006E3332" w:rsidP="0061662C">
            <w:pPr>
              <w:spacing w:after="60"/>
            </w:pPr>
          </w:p>
        </w:tc>
      </w:tr>
      <w:tr w:rsidR="006E3332" w14:paraId="2FE4C887" w14:textId="77777777" w:rsidTr="00052C9D">
        <w:tc>
          <w:tcPr>
            <w:tcW w:w="4104" w:type="dxa"/>
          </w:tcPr>
          <w:p w14:paraId="3F4302A4" w14:textId="01449F60" w:rsidR="006E3332" w:rsidRPr="00C14C17" w:rsidRDefault="006E3332" w:rsidP="0061662C">
            <w:pPr>
              <w:pStyle w:val="ListParagraph"/>
              <w:numPr>
                <w:ilvl w:val="0"/>
                <w:numId w:val="25"/>
              </w:numPr>
              <w:spacing w:after="60"/>
              <w:ind w:left="315" w:hanging="315"/>
            </w:pPr>
            <w:r w:rsidRPr="00C14C17">
              <w:t>Funding allocations pack</w:t>
            </w:r>
          </w:p>
        </w:tc>
        <w:tc>
          <w:tcPr>
            <w:tcW w:w="1142" w:type="dxa"/>
          </w:tcPr>
          <w:p w14:paraId="08C9332F" w14:textId="77777777" w:rsidR="006E3332" w:rsidRDefault="006E3332" w:rsidP="0061662C">
            <w:pPr>
              <w:spacing w:after="60"/>
            </w:pPr>
          </w:p>
        </w:tc>
        <w:tc>
          <w:tcPr>
            <w:tcW w:w="1346" w:type="dxa"/>
          </w:tcPr>
          <w:p w14:paraId="2757A801" w14:textId="77777777" w:rsidR="006E3332" w:rsidRDefault="006E3332" w:rsidP="0061662C">
            <w:pPr>
              <w:spacing w:after="60"/>
            </w:pPr>
          </w:p>
        </w:tc>
        <w:tc>
          <w:tcPr>
            <w:tcW w:w="1347" w:type="dxa"/>
          </w:tcPr>
          <w:p w14:paraId="29BD513E" w14:textId="409ECE28" w:rsidR="006E3332" w:rsidRDefault="006E3332" w:rsidP="0061662C">
            <w:pPr>
              <w:spacing w:after="60"/>
            </w:pPr>
          </w:p>
        </w:tc>
        <w:tc>
          <w:tcPr>
            <w:tcW w:w="2126" w:type="dxa"/>
          </w:tcPr>
          <w:p w14:paraId="5EE26FB8" w14:textId="77777777" w:rsidR="006E3332" w:rsidRDefault="006E3332" w:rsidP="0061662C">
            <w:pPr>
              <w:spacing w:after="60"/>
            </w:pPr>
          </w:p>
        </w:tc>
      </w:tr>
      <w:tr w:rsidR="006E3332" w14:paraId="60CEA86B" w14:textId="77777777" w:rsidTr="00052C9D">
        <w:tc>
          <w:tcPr>
            <w:tcW w:w="4104" w:type="dxa"/>
          </w:tcPr>
          <w:p w14:paraId="1ACAF934" w14:textId="40A2D7ED" w:rsidR="006E3332" w:rsidRPr="00C14C17" w:rsidRDefault="006E3332" w:rsidP="0061662C">
            <w:pPr>
              <w:pStyle w:val="ListParagraph"/>
              <w:numPr>
                <w:ilvl w:val="0"/>
                <w:numId w:val="25"/>
              </w:numPr>
              <w:spacing w:after="60"/>
              <w:ind w:left="315" w:hanging="315"/>
            </w:pPr>
            <w:r w:rsidRPr="00C14C17">
              <w:t>Minutes of key committees for the year up to date of audit visit: Board; Audit Committee; Finance Committee</w:t>
            </w:r>
          </w:p>
        </w:tc>
        <w:tc>
          <w:tcPr>
            <w:tcW w:w="1142" w:type="dxa"/>
          </w:tcPr>
          <w:p w14:paraId="77C6FDB4" w14:textId="77777777" w:rsidR="006E3332" w:rsidRDefault="006E3332" w:rsidP="0061662C">
            <w:pPr>
              <w:spacing w:after="60"/>
            </w:pPr>
          </w:p>
        </w:tc>
        <w:tc>
          <w:tcPr>
            <w:tcW w:w="1346" w:type="dxa"/>
          </w:tcPr>
          <w:p w14:paraId="3EB854ED" w14:textId="77777777" w:rsidR="006E3332" w:rsidRDefault="006E3332" w:rsidP="0061662C">
            <w:pPr>
              <w:spacing w:after="60"/>
            </w:pPr>
          </w:p>
        </w:tc>
        <w:tc>
          <w:tcPr>
            <w:tcW w:w="1347" w:type="dxa"/>
          </w:tcPr>
          <w:p w14:paraId="27FFDCFA" w14:textId="324FE95D" w:rsidR="006E3332" w:rsidRDefault="006E3332" w:rsidP="0061662C">
            <w:pPr>
              <w:spacing w:after="60"/>
            </w:pPr>
          </w:p>
        </w:tc>
        <w:tc>
          <w:tcPr>
            <w:tcW w:w="2126" w:type="dxa"/>
          </w:tcPr>
          <w:p w14:paraId="1DCD1C98" w14:textId="77777777" w:rsidR="006E3332" w:rsidRDefault="006E3332" w:rsidP="0061662C">
            <w:pPr>
              <w:spacing w:after="60"/>
            </w:pPr>
          </w:p>
        </w:tc>
      </w:tr>
      <w:tr w:rsidR="00E8167F" w14:paraId="3EDA1CF1" w14:textId="77777777" w:rsidTr="00052C9D">
        <w:tc>
          <w:tcPr>
            <w:tcW w:w="4104" w:type="dxa"/>
          </w:tcPr>
          <w:p w14:paraId="21CD334E" w14:textId="26A985DA" w:rsidR="00E8167F" w:rsidRPr="00C14C17" w:rsidRDefault="00E8167F" w:rsidP="0061662C">
            <w:pPr>
              <w:pStyle w:val="ListParagraph"/>
              <w:numPr>
                <w:ilvl w:val="0"/>
                <w:numId w:val="25"/>
              </w:numPr>
              <w:spacing w:after="60"/>
              <w:ind w:left="315" w:hanging="315"/>
            </w:pPr>
            <w:r>
              <w:t>A copy of the corporate risk register</w:t>
            </w:r>
          </w:p>
        </w:tc>
        <w:tc>
          <w:tcPr>
            <w:tcW w:w="1142" w:type="dxa"/>
          </w:tcPr>
          <w:p w14:paraId="5835F9B9" w14:textId="77777777" w:rsidR="00E8167F" w:rsidRDefault="00E8167F" w:rsidP="0061662C">
            <w:pPr>
              <w:spacing w:after="60"/>
            </w:pPr>
          </w:p>
        </w:tc>
        <w:tc>
          <w:tcPr>
            <w:tcW w:w="1346" w:type="dxa"/>
          </w:tcPr>
          <w:p w14:paraId="29BA0580" w14:textId="77777777" w:rsidR="00E8167F" w:rsidRDefault="00E8167F" w:rsidP="0061662C">
            <w:pPr>
              <w:spacing w:after="60"/>
            </w:pPr>
          </w:p>
        </w:tc>
        <w:tc>
          <w:tcPr>
            <w:tcW w:w="1347" w:type="dxa"/>
          </w:tcPr>
          <w:p w14:paraId="6071CA6D" w14:textId="77777777" w:rsidR="00E8167F" w:rsidRDefault="00E8167F" w:rsidP="0061662C">
            <w:pPr>
              <w:spacing w:after="60"/>
            </w:pPr>
          </w:p>
        </w:tc>
        <w:tc>
          <w:tcPr>
            <w:tcW w:w="2126" w:type="dxa"/>
          </w:tcPr>
          <w:p w14:paraId="086FAA04" w14:textId="77777777" w:rsidR="00E8167F" w:rsidRDefault="00E8167F" w:rsidP="0061662C">
            <w:pPr>
              <w:spacing w:after="60"/>
            </w:pPr>
          </w:p>
        </w:tc>
      </w:tr>
      <w:tr w:rsidR="006E3332" w14:paraId="7CCBCD08" w14:textId="77777777" w:rsidTr="00052C9D">
        <w:tc>
          <w:tcPr>
            <w:tcW w:w="4104" w:type="dxa"/>
          </w:tcPr>
          <w:p w14:paraId="03CDA066" w14:textId="424285D3" w:rsidR="006E3332" w:rsidRPr="00C14C17" w:rsidRDefault="006E3332" w:rsidP="0061662C">
            <w:pPr>
              <w:pStyle w:val="ListParagraph"/>
              <w:numPr>
                <w:ilvl w:val="0"/>
                <w:numId w:val="25"/>
              </w:numPr>
              <w:spacing w:after="60"/>
              <w:ind w:left="315" w:hanging="315"/>
            </w:pPr>
            <w:r w:rsidRPr="00C14C17">
              <w:t>Accounting policies and procedures manual / Finance Manual</w:t>
            </w:r>
          </w:p>
        </w:tc>
        <w:tc>
          <w:tcPr>
            <w:tcW w:w="1142" w:type="dxa"/>
          </w:tcPr>
          <w:p w14:paraId="028F1857" w14:textId="77777777" w:rsidR="006E3332" w:rsidRDefault="006E3332" w:rsidP="0061662C">
            <w:pPr>
              <w:spacing w:after="60"/>
            </w:pPr>
          </w:p>
        </w:tc>
        <w:tc>
          <w:tcPr>
            <w:tcW w:w="1346" w:type="dxa"/>
          </w:tcPr>
          <w:p w14:paraId="1A044ECE" w14:textId="77777777" w:rsidR="006E3332" w:rsidRDefault="006E3332" w:rsidP="0061662C">
            <w:pPr>
              <w:spacing w:after="60"/>
            </w:pPr>
          </w:p>
        </w:tc>
        <w:tc>
          <w:tcPr>
            <w:tcW w:w="1347" w:type="dxa"/>
          </w:tcPr>
          <w:p w14:paraId="46A574B1" w14:textId="16281041" w:rsidR="006E3332" w:rsidRDefault="006E3332" w:rsidP="0061662C">
            <w:pPr>
              <w:spacing w:after="60"/>
            </w:pPr>
          </w:p>
        </w:tc>
        <w:tc>
          <w:tcPr>
            <w:tcW w:w="2126" w:type="dxa"/>
          </w:tcPr>
          <w:p w14:paraId="547A8EF9" w14:textId="77777777" w:rsidR="006E3332" w:rsidRDefault="006E3332" w:rsidP="0061662C">
            <w:pPr>
              <w:spacing w:after="60"/>
            </w:pPr>
          </w:p>
        </w:tc>
      </w:tr>
      <w:tr w:rsidR="006E3332" w14:paraId="74998752" w14:textId="77777777" w:rsidTr="00052C9D">
        <w:tc>
          <w:tcPr>
            <w:tcW w:w="4104" w:type="dxa"/>
          </w:tcPr>
          <w:p w14:paraId="5E36ABFC" w14:textId="0D14D615" w:rsidR="006E3332" w:rsidRPr="00C14C17" w:rsidRDefault="006E3332" w:rsidP="0061662C">
            <w:pPr>
              <w:pStyle w:val="ListParagraph"/>
              <w:numPr>
                <w:ilvl w:val="0"/>
                <w:numId w:val="25"/>
              </w:numPr>
              <w:spacing w:after="60"/>
              <w:ind w:left="315" w:hanging="315"/>
            </w:pPr>
            <w:r w:rsidRPr="00C14C17">
              <w:t>Scheme of delegation</w:t>
            </w:r>
          </w:p>
        </w:tc>
        <w:tc>
          <w:tcPr>
            <w:tcW w:w="1142" w:type="dxa"/>
          </w:tcPr>
          <w:p w14:paraId="7270CA52" w14:textId="77777777" w:rsidR="006E3332" w:rsidRDefault="006E3332" w:rsidP="0061662C">
            <w:pPr>
              <w:spacing w:after="60"/>
            </w:pPr>
          </w:p>
        </w:tc>
        <w:tc>
          <w:tcPr>
            <w:tcW w:w="1346" w:type="dxa"/>
          </w:tcPr>
          <w:p w14:paraId="48238813" w14:textId="77777777" w:rsidR="006E3332" w:rsidRDefault="006E3332" w:rsidP="0061662C">
            <w:pPr>
              <w:spacing w:after="60"/>
            </w:pPr>
          </w:p>
        </w:tc>
        <w:tc>
          <w:tcPr>
            <w:tcW w:w="1347" w:type="dxa"/>
          </w:tcPr>
          <w:p w14:paraId="6C0E9B94" w14:textId="6C9C6D8C" w:rsidR="006E3332" w:rsidRDefault="006E3332" w:rsidP="0061662C">
            <w:pPr>
              <w:spacing w:after="60"/>
            </w:pPr>
          </w:p>
        </w:tc>
        <w:tc>
          <w:tcPr>
            <w:tcW w:w="2126" w:type="dxa"/>
          </w:tcPr>
          <w:p w14:paraId="07737D45" w14:textId="77777777" w:rsidR="006E3332" w:rsidRDefault="006E3332" w:rsidP="0061662C">
            <w:pPr>
              <w:spacing w:after="60"/>
            </w:pPr>
          </w:p>
        </w:tc>
      </w:tr>
      <w:tr w:rsidR="006E3332" w14:paraId="5A19CA2F" w14:textId="77777777" w:rsidTr="00052C9D">
        <w:tc>
          <w:tcPr>
            <w:tcW w:w="4104" w:type="dxa"/>
          </w:tcPr>
          <w:p w14:paraId="57AF3037" w14:textId="7365A2B7" w:rsidR="006E3332" w:rsidRPr="00C14C17" w:rsidRDefault="006E3332" w:rsidP="0061662C">
            <w:pPr>
              <w:pStyle w:val="ListParagraph"/>
              <w:numPr>
                <w:ilvl w:val="0"/>
                <w:numId w:val="25"/>
              </w:numPr>
              <w:spacing w:after="60"/>
              <w:ind w:left="315" w:hanging="315"/>
            </w:pPr>
            <w:r w:rsidRPr="00C14C17">
              <w:lastRenderedPageBreak/>
              <w:t>Organisation chart</w:t>
            </w:r>
          </w:p>
        </w:tc>
        <w:tc>
          <w:tcPr>
            <w:tcW w:w="1142" w:type="dxa"/>
          </w:tcPr>
          <w:p w14:paraId="76D984AB" w14:textId="77777777" w:rsidR="006E3332" w:rsidRDefault="006E3332" w:rsidP="0061662C">
            <w:pPr>
              <w:spacing w:after="60"/>
            </w:pPr>
          </w:p>
        </w:tc>
        <w:tc>
          <w:tcPr>
            <w:tcW w:w="1346" w:type="dxa"/>
          </w:tcPr>
          <w:p w14:paraId="54877B92" w14:textId="77777777" w:rsidR="006E3332" w:rsidRDefault="006E3332" w:rsidP="0061662C">
            <w:pPr>
              <w:spacing w:after="60"/>
            </w:pPr>
          </w:p>
        </w:tc>
        <w:tc>
          <w:tcPr>
            <w:tcW w:w="1347" w:type="dxa"/>
          </w:tcPr>
          <w:p w14:paraId="11C39A65" w14:textId="5A38EA75" w:rsidR="006E3332" w:rsidRDefault="006E3332" w:rsidP="0061662C">
            <w:pPr>
              <w:spacing w:after="60"/>
            </w:pPr>
          </w:p>
        </w:tc>
        <w:tc>
          <w:tcPr>
            <w:tcW w:w="2126" w:type="dxa"/>
          </w:tcPr>
          <w:p w14:paraId="1806DB5A" w14:textId="77777777" w:rsidR="006E3332" w:rsidRDefault="006E3332" w:rsidP="0061662C">
            <w:pPr>
              <w:spacing w:after="60"/>
            </w:pPr>
          </w:p>
        </w:tc>
      </w:tr>
      <w:tr w:rsidR="006E3332" w14:paraId="20EEE8C2" w14:textId="77777777" w:rsidTr="008F5E62">
        <w:tc>
          <w:tcPr>
            <w:tcW w:w="10065" w:type="dxa"/>
            <w:gridSpan w:val="5"/>
          </w:tcPr>
          <w:p w14:paraId="2F426379" w14:textId="77777777" w:rsidR="006E3332" w:rsidRDefault="006E3332" w:rsidP="0061662C">
            <w:pPr>
              <w:spacing w:after="60"/>
              <w:rPr>
                <w:b/>
              </w:rPr>
            </w:pPr>
          </w:p>
        </w:tc>
      </w:tr>
      <w:tr w:rsidR="006E3332" w14:paraId="5323D2C1" w14:textId="77777777" w:rsidTr="006E3332">
        <w:tc>
          <w:tcPr>
            <w:tcW w:w="10065" w:type="dxa"/>
            <w:gridSpan w:val="5"/>
            <w:shd w:val="clear" w:color="auto" w:fill="BFBFBF" w:themeFill="background1" w:themeFillShade="BF"/>
          </w:tcPr>
          <w:p w14:paraId="2926DE1D" w14:textId="688D0263" w:rsidR="006E3332" w:rsidRDefault="00E8167F" w:rsidP="0061662C">
            <w:pPr>
              <w:tabs>
                <w:tab w:val="left" w:pos="315"/>
              </w:tabs>
              <w:spacing w:after="60"/>
            </w:pPr>
            <w:r>
              <w:rPr>
                <w:b/>
              </w:rPr>
              <w:t>H</w:t>
            </w:r>
            <w:r w:rsidR="00506F55">
              <w:rPr>
                <w:b/>
              </w:rPr>
              <w:tab/>
            </w:r>
            <w:r w:rsidR="006E3332" w:rsidRPr="00D235E6">
              <w:rPr>
                <w:b/>
              </w:rPr>
              <w:t>Other Information</w:t>
            </w:r>
          </w:p>
        </w:tc>
      </w:tr>
      <w:tr w:rsidR="006E3332" w14:paraId="4F2C5D3C" w14:textId="77777777" w:rsidTr="00052C9D">
        <w:tc>
          <w:tcPr>
            <w:tcW w:w="4104" w:type="dxa"/>
          </w:tcPr>
          <w:p w14:paraId="6F7F8688" w14:textId="42C8E5FB" w:rsidR="006E3332" w:rsidRDefault="006E3332" w:rsidP="0061662C">
            <w:pPr>
              <w:pStyle w:val="ListParagraph"/>
              <w:numPr>
                <w:ilvl w:val="0"/>
                <w:numId w:val="18"/>
              </w:numPr>
              <w:spacing w:after="60"/>
              <w:ind w:left="315" w:hanging="284"/>
            </w:pPr>
            <w:r>
              <w:t>Calculation and evidence of trade union facility time disclosure</w:t>
            </w:r>
            <w:r w:rsidR="00506F55">
              <w:t>.</w:t>
            </w:r>
          </w:p>
        </w:tc>
        <w:tc>
          <w:tcPr>
            <w:tcW w:w="1142" w:type="dxa"/>
          </w:tcPr>
          <w:p w14:paraId="0A59075F" w14:textId="77777777" w:rsidR="006E3332" w:rsidRDefault="006E3332" w:rsidP="0061662C">
            <w:pPr>
              <w:spacing w:after="60"/>
            </w:pPr>
          </w:p>
        </w:tc>
        <w:tc>
          <w:tcPr>
            <w:tcW w:w="1346" w:type="dxa"/>
          </w:tcPr>
          <w:p w14:paraId="3B6D2855" w14:textId="77777777" w:rsidR="006E3332" w:rsidRDefault="006E3332" w:rsidP="0061662C">
            <w:pPr>
              <w:spacing w:after="60"/>
            </w:pPr>
          </w:p>
        </w:tc>
        <w:tc>
          <w:tcPr>
            <w:tcW w:w="1347" w:type="dxa"/>
          </w:tcPr>
          <w:p w14:paraId="147C73A6" w14:textId="6DFDC4A0" w:rsidR="006E3332" w:rsidRDefault="006E3332" w:rsidP="0061662C">
            <w:pPr>
              <w:spacing w:after="60"/>
            </w:pPr>
          </w:p>
        </w:tc>
        <w:tc>
          <w:tcPr>
            <w:tcW w:w="2126" w:type="dxa"/>
          </w:tcPr>
          <w:p w14:paraId="056D5A43" w14:textId="77777777" w:rsidR="006E3332" w:rsidRDefault="006E3332" w:rsidP="0061662C">
            <w:pPr>
              <w:spacing w:after="60"/>
            </w:pPr>
          </w:p>
        </w:tc>
      </w:tr>
      <w:tr w:rsidR="006E3332" w14:paraId="18B246B1" w14:textId="77777777" w:rsidTr="00052C9D">
        <w:tc>
          <w:tcPr>
            <w:tcW w:w="4104" w:type="dxa"/>
          </w:tcPr>
          <w:p w14:paraId="59B26FF1" w14:textId="17666E02" w:rsidR="006E3332" w:rsidRDefault="006E3332" w:rsidP="0061662C">
            <w:pPr>
              <w:pStyle w:val="ListParagraph"/>
              <w:numPr>
                <w:ilvl w:val="0"/>
                <w:numId w:val="18"/>
              </w:numPr>
              <w:spacing w:after="60"/>
              <w:ind w:left="315" w:hanging="284"/>
            </w:pPr>
            <w:r>
              <w:t>Register of gifts and hospitality given / received</w:t>
            </w:r>
            <w:r w:rsidR="00506F55">
              <w:t>.</w:t>
            </w:r>
          </w:p>
        </w:tc>
        <w:tc>
          <w:tcPr>
            <w:tcW w:w="1142" w:type="dxa"/>
          </w:tcPr>
          <w:p w14:paraId="2D7D58DA" w14:textId="77777777" w:rsidR="006E3332" w:rsidRDefault="006E3332" w:rsidP="0061662C">
            <w:pPr>
              <w:spacing w:after="60"/>
            </w:pPr>
          </w:p>
        </w:tc>
        <w:tc>
          <w:tcPr>
            <w:tcW w:w="1346" w:type="dxa"/>
          </w:tcPr>
          <w:p w14:paraId="2A23F61E" w14:textId="77777777" w:rsidR="006E3332" w:rsidRDefault="006E3332" w:rsidP="0061662C">
            <w:pPr>
              <w:spacing w:after="60"/>
            </w:pPr>
          </w:p>
        </w:tc>
        <w:tc>
          <w:tcPr>
            <w:tcW w:w="1347" w:type="dxa"/>
          </w:tcPr>
          <w:p w14:paraId="3CC6770A" w14:textId="4C3F0EB4" w:rsidR="006E3332" w:rsidRDefault="006E3332" w:rsidP="0061662C">
            <w:pPr>
              <w:spacing w:after="60"/>
            </w:pPr>
          </w:p>
        </w:tc>
        <w:tc>
          <w:tcPr>
            <w:tcW w:w="2126" w:type="dxa"/>
          </w:tcPr>
          <w:p w14:paraId="24D19E4A" w14:textId="77777777" w:rsidR="006E3332" w:rsidRDefault="006E3332" w:rsidP="0061662C">
            <w:pPr>
              <w:spacing w:after="60"/>
            </w:pPr>
          </w:p>
        </w:tc>
      </w:tr>
      <w:tr w:rsidR="006E3332" w14:paraId="74E916FD" w14:textId="77777777" w:rsidTr="00052C9D">
        <w:tc>
          <w:tcPr>
            <w:tcW w:w="4104" w:type="dxa"/>
          </w:tcPr>
          <w:p w14:paraId="0C33787B" w14:textId="4F96FC7F" w:rsidR="006E3332" w:rsidRDefault="006E3332" w:rsidP="0061662C">
            <w:pPr>
              <w:pStyle w:val="ListParagraph"/>
              <w:numPr>
                <w:ilvl w:val="0"/>
                <w:numId w:val="18"/>
              </w:numPr>
              <w:spacing w:after="60"/>
              <w:ind w:left="315" w:hanging="284"/>
            </w:pPr>
            <w:r>
              <w:t>Details of any receipts and payments relating to 16-19 bursaries and any other arrangements</w:t>
            </w:r>
            <w:r w:rsidR="00506F55">
              <w:t>.</w:t>
            </w:r>
          </w:p>
        </w:tc>
        <w:tc>
          <w:tcPr>
            <w:tcW w:w="1142" w:type="dxa"/>
          </w:tcPr>
          <w:p w14:paraId="2DA1B477" w14:textId="77777777" w:rsidR="006E3332" w:rsidRDefault="006E3332" w:rsidP="0061662C">
            <w:pPr>
              <w:spacing w:after="60"/>
            </w:pPr>
          </w:p>
        </w:tc>
        <w:tc>
          <w:tcPr>
            <w:tcW w:w="1346" w:type="dxa"/>
          </w:tcPr>
          <w:p w14:paraId="7FCBE5E2" w14:textId="77777777" w:rsidR="006E3332" w:rsidRDefault="006E3332" w:rsidP="0061662C">
            <w:pPr>
              <w:spacing w:after="60"/>
            </w:pPr>
          </w:p>
        </w:tc>
        <w:tc>
          <w:tcPr>
            <w:tcW w:w="1347" w:type="dxa"/>
          </w:tcPr>
          <w:p w14:paraId="2F951265" w14:textId="6C010FE6" w:rsidR="006E3332" w:rsidRDefault="006E3332" w:rsidP="0061662C">
            <w:pPr>
              <w:spacing w:after="60"/>
            </w:pPr>
          </w:p>
        </w:tc>
        <w:tc>
          <w:tcPr>
            <w:tcW w:w="2126" w:type="dxa"/>
          </w:tcPr>
          <w:p w14:paraId="04EF8C61" w14:textId="77777777" w:rsidR="006E3332" w:rsidRDefault="006E3332" w:rsidP="0061662C">
            <w:pPr>
              <w:spacing w:after="60"/>
            </w:pPr>
          </w:p>
        </w:tc>
      </w:tr>
      <w:tr w:rsidR="006E3332" w14:paraId="0DBABE3E" w14:textId="77777777" w:rsidTr="00052C9D">
        <w:tc>
          <w:tcPr>
            <w:tcW w:w="4104" w:type="dxa"/>
          </w:tcPr>
          <w:p w14:paraId="4F828E26" w14:textId="6E616FB2" w:rsidR="006E3332" w:rsidRDefault="006E3332" w:rsidP="0061662C">
            <w:pPr>
              <w:pStyle w:val="ListParagraph"/>
              <w:numPr>
                <w:ilvl w:val="0"/>
                <w:numId w:val="18"/>
              </w:numPr>
              <w:spacing w:after="60"/>
              <w:ind w:left="315" w:hanging="284"/>
            </w:pPr>
            <w:r>
              <w:t>A log of any GDPR data breaches</w:t>
            </w:r>
            <w:r w:rsidR="00506F55">
              <w:t>.</w:t>
            </w:r>
          </w:p>
        </w:tc>
        <w:tc>
          <w:tcPr>
            <w:tcW w:w="1142" w:type="dxa"/>
          </w:tcPr>
          <w:p w14:paraId="5E942E4E" w14:textId="77777777" w:rsidR="006E3332" w:rsidRDefault="006E3332" w:rsidP="0061662C">
            <w:pPr>
              <w:spacing w:after="60"/>
            </w:pPr>
          </w:p>
        </w:tc>
        <w:tc>
          <w:tcPr>
            <w:tcW w:w="1346" w:type="dxa"/>
          </w:tcPr>
          <w:p w14:paraId="0BA8F664" w14:textId="77777777" w:rsidR="006E3332" w:rsidRDefault="006E3332" w:rsidP="0061662C">
            <w:pPr>
              <w:spacing w:after="60"/>
            </w:pPr>
          </w:p>
        </w:tc>
        <w:tc>
          <w:tcPr>
            <w:tcW w:w="1347" w:type="dxa"/>
          </w:tcPr>
          <w:p w14:paraId="75C152C1" w14:textId="568A1DE0" w:rsidR="006E3332" w:rsidRDefault="006E3332" w:rsidP="0061662C">
            <w:pPr>
              <w:spacing w:after="60"/>
            </w:pPr>
          </w:p>
        </w:tc>
        <w:tc>
          <w:tcPr>
            <w:tcW w:w="2126" w:type="dxa"/>
          </w:tcPr>
          <w:p w14:paraId="1490AFF3" w14:textId="77777777" w:rsidR="006E3332" w:rsidRDefault="006E3332" w:rsidP="0061662C">
            <w:pPr>
              <w:spacing w:after="60"/>
            </w:pPr>
          </w:p>
        </w:tc>
      </w:tr>
      <w:tr w:rsidR="006E3332" w14:paraId="272DE265" w14:textId="77777777" w:rsidTr="00052C9D">
        <w:tc>
          <w:tcPr>
            <w:tcW w:w="4104" w:type="dxa"/>
          </w:tcPr>
          <w:p w14:paraId="6CCFA21F" w14:textId="3561318E" w:rsidR="006E3332" w:rsidRDefault="006E3332" w:rsidP="0061662C">
            <w:pPr>
              <w:pStyle w:val="ListParagraph"/>
              <w:numPr>
                <w:ilvl w:val="0"/>
                <w:numId w:val="18"/>
              </w:numPr>
              <w:spacing w:after="60"/>
              <w:ind w:left="315" w:hanging="284"/>
            </w:pPr>
            <w:r>
              <w:t>Copies of any reports on governance reviews</w:t>
            </w:r>
            <w:r w:rsidR="00506F55">
              <w:t>.</w:t>
            </w:r>
          </w:p>
        </w:tc>
        <w:tc>
          <w:tcPr>
            <w:tcW w:w="1142" w:type="dxa"/>
          </w:tcPr>
          <w:p w14:paraId="748B824F" w14:textId="77777777" w:rsidR="006E3332" w:rsidRDefault="006E3332" w:rsidP="0061662C">
            <w:pPr>
              <w:spacing w:after="60"/>
            </w:pPr>
          </w:p>
        </w:tc>
        <w:tc>
          <w:tcPr>
            <w:tcW w:w="1346" w:type="dxa"/>
          </w:tcPr>
          <w:p w14:paraId="3E22C270" w14:textId="77777777" w:rsidR="006E3332" w:rsidRDefault="006E3332" w:rsidP="0061662C">
            <w:pPr>
              <w:spacing w:after="60"/>
            </w:pPr>
          </w:p>
        </w:tc>
        <w:tc>
          <w:tcPr>
            <w:tcW w:w="1347" w:type="dxa"/>
          </w:tcPr>
          <w:p w14:paraId="27130511" w14:textId="4DBF4765" w:rsidR="006E3332" w:rsidRDefault="006E3332" w:rsidP="0061662C">
            <w:pPr>
              <w:spacing w:after="60"/>
            </w:pPr>
          </w:p>
        </w:tc>
        <w:tc>
          <w:tcPr>
            <w:tcW w:w="2126" w:type="dxa"/>
          </w:tcPr>
          <w:p w14:paraId="1FB6141A" w14:textId="77777777" w:rsidR="006E3332" w:rsidRDefault="006E3332" w:rsidP="0061662C">
            <w:pPr>
              <w:spacing w:after="60"/>
            </w:pPr>
          </w:p>
        </w:tc>
      </w:tr>
      <w:tr w:rsidR="006E3332" w14:paraId="5EE4EB51" w14:textId="77777777" w:rsidTr="00052C9D">
        <w:tc>
          <w:tcPr>
            <w:tcW w:w="4104" w:type="dxa"/>
          </w:tcPr>
          <w:p w14:paraId="42E399A0" w14:textId="465EFBB9" w:rsidR="006E3332" w:rsidRDefault="006E3332" w:rsidP="0061662C">
            <w:pPr>
              <w:pStyle w:val="ListParagraph"/>
              <w:numPr>
                <w:ilvl w:val="0"/>
                <w:numId w:val="18"/>
              </w:numPr>
              <w:spacing w:after="60"/>
              <w:ind w:left="315" w:hanging="284"/>
            </w:pPr>
            <w:r>
              <w:t>Copies of all internal audit reports</w:t>
            </w:r>
            <w:r w:rsidR="00506F55">
              <w:t>.</w:t>
            </w:r>
          </w:p>
        </w:tc>
        <w:tc>
          <w:tcPr>
            <w:tcW w:w="1142" w:type="dxa"/>
          </w:tcPr>
          <w:p w14:paraId="30895B41" w14:textId="77777777" w:rsidR="006E3332" w:rsidRDefault="006E3332" w:rsidP="0061662C">
            <w:pPr>
              <w:spacing w:after="60"/>
            </w:pPr>
          </w:p>
        </w:tc>
        <w:tc>
          <w:tcPr>
            <w:tcW w:w="1346" w:type="dxa"/>
          </w:tcPr>
          <w:p w14:paraId="02DC052D" w14:textId="77777777" w:rsidR="006E3332" w:rsidRDefault="006E3332" w:rsidP="0061662C">
            <w:pPr>
              <w:spacing w:after="60"/>
            </w:pPr>
          </w:p>
        </w:tc>
        <w:tc>
          <w:tcPr>
            <w:tcW w:w="1347" w:type="dxa"/>
          </w:tcPr>
          <w:p w14:paraId="207E9512" w14:textId="303BD80C" w:rsidR="006E3332" w:rsidRDefault="006E3332" w:rsidP="0061662C">
            <w:pPr>
              <w:spacing w:after="60"/>
            </w:pPr>
          </w:p>
        </w:tc>
        <w:tc>
          <w:tcPr>
            <w:tcW w:w="2126" w:type="dxa"/>
          </w:tcPr>
          <w:p w14:paraId="33299FD1" w14:textId="77777777" w:rsidR="006E3332" w:rsidRDefault="006E3332" w:rsidP="0061662C">
            <w:pPr>
              <w:spacing w:after="60"/>
            </w:pPr>
          </w:p>
        </w:tc>
      </w:tr>
      <w:tr w:rsidR="006E3332" w14:paraId="721D9049" w14:textId="77777777" w:rsidTr="00052C9D">
        <w:tc>
          <w:tcPr>
            <w:tcW w:w="4104" w:type="dxa"/>
          </w:tcPr>
          <w:p w14:paraId="5F9E1244" w14:textId="44EBC604" w:rsidR="006E3332" w:rsidRDefault="006E3332" w:rsidP="0061662C">
            <w:pPr>
              <w:pStyle w:val="ListParagraph"/>
              <w:numPr>
                <w:ilvl w:val="0"/>
                <w:numId w:val="18"/>
              </w:numPr>
              <w:spacing w:after="60"/>
              <w:ind w:left="315" w:hanging="284"/>
            </w:pPr>
            <w:r>
              <w:t>Copies of any reports or correspondence from ESFA</w:t>
            </w:r>
            <w:r w:rsidR="00506F55">
              <w:t>.</w:t>
            </w:r>
          </w:p>
        </w:tc>
        <w:tc>
          <w:tcPr>
            <w:tcW w:w="1142" w:type="dxa"/>
          </w:tcPr>
          <w:p w14:paraId="4E2FB450" w14:textId="77777777" w:rsidR="006E3332" w:rsidRDefault="006E3332" w:rsidP="0061662C">
            <w:pPr>
              <w:spacing w:after="60"/>
            </w:pPr>
          </w:p>
        </w:tc>
        <w:tc>
          <w:tcPr>
            <w:tcW w:w="1346" w:type="dxa"/>
          </w:tcPr>
          <w:p w14:paraId="0B2547B0" w14:textId="77777777" w:rsidR="006E3332" w:rsidRDefault="006E3332" w:rsidP="0061662C">
            <w:pPr>
              <w:spacing w:after="60"/>
            </w:pPr>
          </w:p>
        </w:tc>
        <w:tc>
          <w:tcPr>
            <w:tcW w:w="1347" w:type="dxa"/>
          </w:tcPr>
          <w:p w14:paraId="17253356" w14:textId="3CFB2E20" w:rsidR="006E3332" w:rsidRDefault="006E3332" w:rsidP="0061662C">
            <w:pPr>
              <w:spacing w:after="60"/>
            </w:pPr>
          </w:p>
        </w:tc>
        <w:tc>
          <w:tcPr>
            <w:tcW w:w="2126" w:type="dxa"/>
          </w:tcPr>
          <w:p w14:paraId="092F2EA8" w14:textId="77777777" w:rsidR="006E3332" w:rsidRDefault="006E3332" w:rsidP="0061662C">
            <w:pPr>
              <w:spacing w:after="60"/>
            </w:pPr>
          </w:p>
        </w:tc>
      </w:tr>
    </w:tbl>
    <w:p w14:paraId="53FDDB6D" w14:textId="77777777" w:rsidR="00417761" w:rsidRDefault="00417761" w:rsidP="00545729"/>
    <w:sectPr w:rsidR="00417761">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8BFFA0" w14:textId="77777777" w:rsidR="00F6365D" w:rsidRDefault="00F6365D" w:rsidP="0090114F">
      <w:pPr>
        <w:spacing w:after="0" w:line="240" w:lineRule="auto"/>
      </w:pPr>
      <w:r>
        <w:separator/>
      </w:r>
    </w:p>
  </w:endnote>
  <w:endnote w:type="continuationSeparator" w:id="0">
    <w:p w14:paraId="18E4E0FC" w14:textId="77777777" w:rsidR="00F6365D" w:rsidRDefault="00F6365D" w:rsidP="009011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8275898"/>
      <w:docPartObj>
        <w:docPartGallery w:val="Page Numbers (Bottom of Page)"/>
        <w:docPartUnique/>
      </w:docPartObj>
    </w:sdtPr>
    <w:sdtEndPr>
      <w:rPr>
        <w:noProof/>
      </w:rPr>
    </w:sdtEndPr>
    <w:sdtContent>
      <w:p w14:paraId="5A8B105B" w14:textId="1D4097D7" w:rsidR="0090114F" w:rsidRDefault="0090114F">
        <w:pPr>
          <w:pStyle w:val="Footer"/>
          <w:jc w:val="right"/>
        </w:pPr>
        <w:r>
          <w:fldChar w:fldCharType="begin"/>
        </w:r>
        <w:r>
          <w:instrText xml:space="preserve"> PAGE   \* MERGEFORMAT </w:instrText>
        </w:r>
        <w:r>
          <w:fldChar w:fldCharType="separate"/>
        </w:r>
        <w:r w:rsidR="0050184B">
          <w:rPr>
            <w:noProof/>
          </w:rPr>
          <w:t>3</w:t>
        </w:r>
        <w:r>
          <w:rPr>
            <w:noProof/>
          </w:rPr>
          <w:fldChar w:fldCharType="end"/>
        </w:r>
      </w:p>
    </w:sdtContent>
  </w:sdt>
  <w:p w14:paraId="0EB25945" w14:textId="77777777" w:rsidR="0090114F" w:rsidRDefault="009011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935F0D" w14:textId="77777777" w:rsidR="00F6365D" w:rsidRDefault="00F6365D" w:rsidP="0090114F">
      <w:pPr>
        <w:spacing w:after="0" w:line="240" w:lineRule="auto"/>
      </w:pPr>
      <w:r>
        <w:separator/>
      </w:r>
    </w:p>
  </w:footnote>
  <w:footnote w:type="continuationSeparator" w:id="0">
    <w:p w14:paraId="4A6FDDD8" w14:textId="77777777" w:rsidR="00F6365D" w:rsidRDefault="00F6365D" w:rsidP="009011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362A9"/>
    <w:multiLevelType w:val="multilevel"/>
    <w:tmpl w:val="5358BD3A"/>
    <w:lvl w:ilvl="0">
      <w:start w:val="1"/>
      <w:numFmt w:val="decimal"/>
      <w:lvlRestart w:val="0"/>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1" w15:restartNumberingAfterBreak="0">
    <w:nsid w:val="06564754"/>
    <w:multiLevelType w:val="hybridMultilevel"/>
    <w:tmpl w:val="5218D2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3C4A08"/>
    <w:multiLevelType w:val="hybridMultilevel"/>
    <w:tmpl w:val="AE58F410"/>
    <w:lvl w:ilvl="0" w:tplc="19CAAD8A">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0071DB9"/>
    <w:multiLevelType w:val="hybridMultilevel"/>
    <w:tmpl w:val="C3FC4F1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1A5E66"/>
    <w:multiLevelType w:val="hybridMultilevel"/>
    <w:tmpl w:val="8A4C1E4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4571229"/>
    <w:multiLevelType w:val="hybridMultilevel"/>
    <w:tmpl w:val="A1DA9F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7F2608F"/>
    <w:multiLevelType w:val="hybridMultilevel"/>
    <w:tmpl w:val="0ED690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8" w15:restartNumberingAfterBreak="0">
    <w:nsid w:val="22537325"/>
    <w:multiLevelType w:val="hybridMultilevel"/>
    <w:tmpl w:val="BBC295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E8A0F88"/>
    <w:multiLevelType w:val="hybridMultilevel"/>
    <w:tmpl w:val="33CCA8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1C0486B"/>
    <w:multiLevelType w:val="hybridMultilevel"/>
    <w:tmpl w:val="D88E407C"/>
    <w:lvl w:ilvl="0" w:tplc="08090017">
      <w:start w:val="1"/>
      <w:numFmt w:val="lowerLetter"/>
      <w:lvlText w:val="%1)"/>
      <w:lvlJc w:val="left"/>
      <w:pPr>
        <w:ind w:left="1035" w:hanging="360"/>
      </w:pPr>
    </w:lvl>
    <w:lvl w:ilvl="1" w:tplc="08090019" w:tentative="1">
      <w:start w:val="1"/>
      <w:numFmt w:val="lowerLetter"/>
      <w:lvlText w:val="%2."/>
      <w:lvlJc w:val="left"/>
      <w:pPr>
        <w:ind w:left="1755" w:hanging="360"/>
      </w:pPr>
    </w:lvl>
    <w:lvl w:ilvl="2" w:tplc="0809001B" w:tentative="1">
      <w:start w:val="1"/>
      <w:numFmt w:val="lowerRoman"/>
      <w:lvlText w:val="%3."/>
      <w:lvlJc w:val="right"/>
      <w:pPr>
        <w:ind w:left="2475" w:hanging="180"/>
      </w:pPr>
    </w:lvl>
    <w:lvl w:ilvl="3" w:tplc="0809000F" w:tentative="1">
      <w:start w:val="1"/>
      <w:numFmt w:val="decimal"/>
      <w:lvlText w:val="%4."/>
      <w:lvlJc w:val="left"/>
      <w:pPr>
        <w:ind w:left="3195" w:hanging="360"/>
      </w:pPr>
    </w:lvl>
    <w:lvl w:ilvl="4" w:tplc="08090019" w:tentative="1">
      <w:start w:val="1"/>
      <w:numFmt w:val="lowerLetter"/>
      <w:lvlText w:val="%5."/>
      <w:lvlJc w:val="left"/>
      <w:pPr>
        <w:ind w:left="3915" w:hanging="360"/>
      </w:pPr>
    </w:lvl>
    <w:lvl w:ilvl="5" w:tplc="0809001B" w:tentative="1">
      <w:start w:val="1"/>
      <w:numFmt w:val="lowerRoman"/>
      <w:lvlText w:val="%6."/>
      <w:lvlJc w:val="right"/>
      <w:pPr>
        <w:ind w:left="4635" w:hanging="180"/>
      </w:pPr>
    </w:lvl>
    <w:lvl w:ilvl="6" w:tplc="0809000F" w:tentative="1">
      <w:start w:val="1"/>
      <w:numFmt w:val="decimal"/>
      <w:lvlText w:val="%7."/>
      <w:lvlJc w:val="left"/>
      <w:pPr>
        <w:ind w:left="5355" w:hanging="360"/>
      </w:pPr>
    </w:lvl>
    <w:lvl w:ilvl="7" w:tplc="08090019" w:tentative="1">
      <w:start w:val="1"/>
      <w:numFmt w:val="lowerLetter"/>
      <w:lvlText w:val="%8."/>
      <w:lvlJc w:val="left"/>
      <w:pPr>
        <w:ind w:left="6075" w:hanging="360"/>
      </w:pPr>
    </w:lvl>
    <w:lvl w:ilvl="8" w:tplc="0809001B" w:tentative="1">
      <w:start w:val="1"/>
      <w:numFmt w:val="lowerRoman"/>
      <w:lvlText w:val="%9."/>
      <w:lvlJc w:val="right"/>
      <w:pPr>
        <w:ind w:left="6795" w:hanging="180"/>
      </w:pPr>
    </w:lvl>
  </w:abstractNum>
  <w:abstractNum w:abstractNumId="11" w15:restartNumberingAfterBreak="0">
    <w:nsid w:val="34B121AA"/>
    <w:multiLevelType w:val="hybridMultilevel"/>
    <w:tmpl w:val="689C7F2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36703464"/>
    <w:multiLevelType w:val="hybridMultilevel"/>
    <w:tmpl w:val="41E446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7A57928"/>
    <w:multiLevelType w:val="hybridMultilevel"/>
    <w:tmpl w:val="B0CADE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CA94E5F"/>
    <w:multiLevelType w:val="hybridMultilevel"/>
    <w:tmpl w:val="9D8CB2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EF20051"/>
    <w:multiLevelType w:val="hybridMultilevel"/>
    <w:tmpl w:val="C17653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1C31A36"/>
    <w:multiLevelType w:val="hybridMultilevel"/>
    <w:tmpl w:val="93547F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18" w15:restartNumberingAfterBreak="0">
    <w:nsid w:val="4BEE30CB"/>
    <w:multiLevelType w:val="hybridMultilevel"/>
    <w:tmpl w:val="5638087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21B0CB2"/>
    <w:multiLevelType w:val="hybridMultilevel"/>
    <w:tmpl w:val="A296C72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C66067E"/>
    <w:multiLevelType w:val="hybridMultilevel"/>
    <w:tmpl w:val="A1024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2367413"/>
    <w:multiLevelType w:val="hybridMultilevel"/>
    <w:tmpl w:val="8FE482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A3A0406"/>
    <w:multiLevelType w:val="hybridMultilevel"/>
    <w:tmpl w:val="FB582C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BEA47C5"/>
    <w:multiLevelType w:val="hybridMultilevel"/>
    <w:tmpl w:val="2384F6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C607F82"/>
    <w:multiLevelType w:val="hybridMultilevel"/>
    <w:tmpl w:val="DC765E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05667CC"/>
    <w:multiLevelType w:val="hybridMultilevel"/>
    <w:tmpl w:val="78ACB9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8ED7343"/>
    <w:multiLevelType w:val="hybridMultilevel"/>
    <w:tmpl w:val="E38E6A8E"/>
    <w:lvl w:ilvl="0" w:tplc="22CAE654">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3"/>
  </w:num>
  <w:num w:numId="2">
    <w:abstractNumId w:val="19"/>
  </w:num>
  <w:num w:numId="3">
    <w:abstractNumId w:val="4"/>
  </w:num>
  <w:num w:numId="4">
    <w:abstractNumId w:val="8"/>
  </w:num>
  <w:num w:numId="5">
    <w:abstractNumId w:val="20"/>
  </w:num>
  <w:num w:numId="6">
    <w:abstractNumId w:val="5"/>
  </w:num>
  <w:num w:numId="7">
    <w:abstractNumId w:val="15"/>
  </w:num>
  <w:num w:numId="8">
    <w:abstractNumId w:val="16"/>
  </w:num>
  <w:num w:numId="9">
    <w:abstractNumId w:val="9"/>
  </w:num>
  <w:num w:numId="10">
    <w:abstractNumId w:val="11"/>
  </w:num>
  <w:num w:numId="11">
    <w:abstractNumId w:val="21"/>
  </w:num>
  <w:num w:numId="12">
    <w:abstractNumId w:val="24"/>
  </w:num>
  <w:num w:numId="13">
    <w:abstractNumId w:val="23"/>
  </w:num>
  <w:num w:numId="14">
    <w:abstractNumId w:val="6"/>
  </w:num>
  <w:num w:numId="15">
    <w:abstractNumId w:val="12"/>
  </w:num>
  <w:num w:numId="16">
    <w:abstractNumId w:val="22"/>
  </w:num>
  <w:num w:numId="17">
    <w:abstractNumId w:val="13"/>
  </w:num>
  <w:num w:numId="18">
    <w:abstractNumId w:val="14"/>
  </w:num>
  <w:num w:numId="19">
    <w:abstractNumId w:val="1"/>
  </w:num>
  <w:num w:numId="20">
    <w:abstractNumId w:val="26"/>
  </w:num>
  <w:num w:numId="21">
    <w:abstractNumId w:val="0"/>
  </w:num>
  <w:num w:numId="22">
    <w:abstractNumId w:val="7"/>
  </w:num>
  <w:num w:numId="23">
    <w:abstractNumId w:val="2"/>
  </w:num>
  <w:num w:numId="24">
    <w:abstractNumId w:val="17"/>
  </w:num>
  <w:num w:numId="25">
    <w:abstractNumId w:val="25"/>
  </w:num>
  <w:num w:numId="26">
    <w:abstractNumId w:val="10"/>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1F9"/>
    <w:rsid w:val="00004467"/>
    <w:rsid w:val="00017B12"/>
    <w:rsid w:val="00031041"/>
    <w:rsid w:val="00031653"/>
    <w:rsid w:val="00054248"/>
    <w:rsid w:val="00055C1E"/>
    <w:rsid w:val="000664C0"/>
    <w:rsid w:val="000919CB"/>
    <w:rsid w:val="000A3D3A"/>
    <w:rsid w:val="000C598D"/>
    <w:rsid w:val="000D0975"/>
    <w:rsid w:val="000D31C7"/>
    <w:rsid w:val="000D4A11"/>
    <w:rsid w:val="000D59BA"/>
    <w:rsid w:val="000E3FD0"/>
    <w:rsid w:val="000E4B55"/>
    <w:rsid w:val="00111518"/>
    <w:rsid w:val="001115FF"/>
    <w:rsid w:val="00137CDE"/>
    <w:rsid w:val="0015064F"/>
    <w:rsid w:val="00156848"/>
    <w:rsid w:val="00160D8A"/>
    <w:rsid w:val="00182B73"/>
    <w:rsid w:val="0019497E"/>
    <w:rsid w:val="001A22CD"/>
    <w:rsid w:val="001B0D9F"/>
    <w:rsid w:val="001C1667"/>
    <w:rsid w:val="001C5EDF"/>
    <w:rsid w:val="001D22A1"/>
    <w:rsid w:val="001D3CB7"/>
    <w:rsid w:val="001D4252"/>
    <w:rsid w:val="001D718B"/>
    <w:rsid w:val="001E6063"/>
    <w:rsid w:val="001E6342"/>
    <w:rsid w:val="00206ECB"/>
    <w:rsid w:val="00210838"/>
    <w:rsid w:val="00245DAE"/>
    <w:rsid w:val="0025345A"/>
    <w:rsid w:val="00257744"/>
    <w:rsid w:val="002645BC"/>
    <w:rsid w:val="00297451"/>
    <w:rsid w:val="002A0001"/>
    <w:rsid w:val="002B3533"/>
    <w:rsid w:val="002B576F"/>
    <w:rsid w:val="002D3707"/>
    <w:rsid w:val="003125DD"/>
    <w:rsid w:val="003160B0"/>
    <w:rsid w:val="0033232A"/>
    <w:rsid w:val="0033502B"/>
    <w:rsid w:val="00352122"/>
    <w:rsid w:val="00352C34"/>
    <w:rsid w:val="0036072A"/>
    <w:rsid w:val="00365578"/>
    <w:rsid w:val="00366653"/>
    <w:rsid w:val="003A57A5"/>
    <w:rsid w:val="003B22F9"/>
    <w:rsid w:val="003D1DFC"/>
    <w:rsid w:val="003D4A77"/>
    <w:rsid w:val="003F003F"/>
    <w:rsid w:val="003F413D"/>
    <w:rsid w:val="00417761"/>
    <w:rsid w:val="00420778"/>
    <w:rsid w:val="004310E3"/>
    <w:rsid w:val="00434B10"/>
    <w:rsid w:val="00440137"/>
    <w:rsid w:val="00456F60"/>
    <w:rsid w:val="00463269"/>
    <w:rsid w:val="00466A05"/>
    <w:rsid w:val="0049000A"/>
    <w:rsid w:val="0049074D"/>
    <w:rsid w:val="00490A4A"/>
    <w:rsid w:val="00492CEA"/>
    <w:rsid w:val="004A2353"/>
    <w:rsid w:val="004A5398"/>
    <w:rsid w:val="004B738E"/>
    <w:rsid w:val="0050184B"/>
    <w:rsid w:val="00502413"/>
    <w:rsid w:val="00506F55"/>
    <w:rsid w:val="0051432D"/>
    <w:rsid w:val="00516ED2"/>
    <w:rsid w:val="0052171C"/>
    <w:rsid w:val="005307DE"/>
    <w:rsid w:val="00540F07"/>
    <w:rsid w:val="00545729"/>
    <w:rsid w:val="00566CD5"/>
    <w:rsid w:val="00580BDA"/>
    <w:rsid w:val="00581CDF"/>
    <w:rsid w:val="0058621F"/>
    <w:rsid w:val="00590BFB"/>
    <w:rsid w:val="00595513"/>
    <w:rsid w:val="005975D1"/>
    <w:rsid w:val="005A6F10"/>
    <w:rsid w:val="005D7CB8"/>
    <w:rsid w:val="005F54E7"/>
    <w:rsid w:val="006102FE"/>
    <w:rsid w:val="0061233C"/>
    <w:rsid w:val="0061662C"/>
    <w:rsid w:val="00637582"/>
    <w:rsid w:val="00655602"/>
    <w:rsid w:val="00657C0F"/>
    <w:rsid w:val="00663148"/>
    <w:rsid w:val="006952B4"/>
    <w:rsid w:val="006971AF"/>
    <w:rsid w:val="006E3332"/>
    <w:rsid w:val="006F07E3"/>
    <w:rsid w:val="00703D52"/>
    <w:rsid w:val="007176F7"/>
    <w:rsid w:val="0073446D"/>
    <w:rsid w:val="00735B21"/>
    <w:rsid w:val="007429A7"/>
    <w:rsid w:val="00752E78"/>
    <w:rsid w:val="00755D3A"/>
    <w:rsid w:val="00762195"/>
    <w:rsid w:val="0076504E"/>
    <w:rsid w:val="00770700"/>
    <w:rsid w:val="007723A6"/>
    <w:rsid w:val="00782F19"/>
    <w:rsid w:val="00795B23"/>
    <w:rsid w:val="007B1427"/>
    <w:rsid w:val="007D5DE4"/>
    <w:rsid w:val="007F34BB"/>
    <w:rsid w:val="008066F5"/>
    <w:rsid w:val="00817851"/>
    <w:rsid w:val="00836CD5"/>
    <w:rsid w:val="00842DE3"/>
    <w:rsid w:val="008751F9"/>
    <w:rsid w:val="00875BF6"/>
    <w:rsid w:val="008A5164"/>
    <w:rsid w:val="008B4D6B"/>
    <w:rsid w:val="008C79B8"/>
    <w:rsid w:val="008D67B6"/>
    <w:rsid w:val="0090114F"/>
    <w:rsid w:val="0092222A"/>
    <w:rsid w:val="00941C6B"/>
    <w:rsid w:val="00942D11"/>
    <w:rsid w:val="009463AF"/>
    <w:rsid w:val="009612A5"/>
    <w:rsid w:val="00995B9E"/>
    <w:rsid w:val="009C5330"/>
    <w:rsid w:val="009D4212"/>
    <w:rsid w:val="009D4DCB"/>
    <w:rsid w:val="009D7C44"/>
    <w:rsid w:val="009E7301"/>
    <w:rsid w:val="009F3253"/>
    <w:rsid w:val="009F72CC"/>
    <w:rsid w:val="00A06ADF"/>
    <w:rsid w:val="00A17CB8"/>
    <w:rsid w:val="00A44ED1"/>
    <w:rsid w:val="00A56465"/>
    <w:rsid w:val="00A65E30"/>
    <w:rsid w:val="00A81806"/>
    <w:rsid w:val="00A8394E"/>
    <w:rsid w:val="00AA01E9"/>
    <w:rsid w:val="00AA66E4"/>
    <w:rsid w:val="00AC5DEE"/>
    <w:rsid w:val="00AF0EFE"/>
    <w:rsid w:val="00B1105A"/>
    <w:rsid w:val="00B2701D"/>
    <w:rsid w:val="00B33002"/>
    <w:rsid w:val="00B35981"/>
    <w:rsid w:val="00B52C25"/>
    <w:rsid w:val="00B7414F"/>
    <w:rsid w:val="00B90E67"/>
    <w:rsid w:val="00BB6E5F"/>
    <w:rsid w:val="00BC48F7"/>
    <w:rsid w:val="00BD0D13"/>
    <w:rsid w:val="00BE5C62"/>
    <w:rsid w:val="00C14C17"/>
    <w:rsid w:val="00C17B9C"/>
    <w:rsid w:val="00C3093D"/>
    <w:rsid w:val="00C51279"/>
    <w:rsid w:val="00C51DC5"/>
    <w:rsid w:val="00C546B2"/>
    <w:rsid w:val="00C54B80"/>
    <w:rsid w:val="00C728DD"/>
    <w:rsid w:val="00C76488"/>
    <w:rsid w:val="00C820EE"/>
    <w:rsid w:val="00C96A4F"/>
    <w:rsid w:val="00CD0502"/>
    <w:rsid w:val="00CE17D5"/>
    <w:rsid w:val="00D1607C"/>
    <w:rsid w:val="00D17674"/>
    <w:rsid w:val="00D235E6"/>
    <w:rsid w:val="00D33348"/>
    <w:rsid w:val="00D37E29"/>
    <w:rsid w:val="00D50494"/>
    <w:rsid w:val="00D80254"/>
    <w:rsid w:val="00D95FF0"/>
    <w:rsid w:val="00DD3DD1"/>
    <w:rsid w:val="00DE481D"/>
    <w:rsid w:val="00DF42B5"/>
    <w:rsid w:val="00E13EDD"/>
    <w:rsid w:val="00E3062D"/>
    <w:rsid w:val="00E42E6E"/>
    <w:rsid w:val="00E446A1"/>
    <w:rsid w:val="00E46B56"/>
    <w:rsid w:val="00E613CF"/>
    <w:rsid w:val="00E75C31"/>
    <w:rsid w:val="00E8167F"/>
    <w:rsid w:val="00E81E0F"/>
    <w:rsid w:val="00EA589A"/>
    <w:rsid w:val="00EB1C8F"/>
    <w:rsid w:val="00EB2359"/>
    <w:rsid w:val="00ED5E8C"/>
    <w:rsid w:val="00ED6799"/>
    <w:rsid w:val="00EE0476"/>
    <w:rsid w:val="00EE61D9"/>
    <w:rsid w:val="00EF4695"/>
    <w:rsid w:val="00F04ED2"/>
    <w:rsid w:val="00F102B2"/>
    <w:rsid w:val="00F1397D"/>
    <w:rsid w:val="00F171CD"/>
    <w:rsid w:val="00F6365D"/>
    <w:rsid w:val="00F64748"/>
    <w:rsid w:val="00F651E1"/>
    <w:rsid w:val="00F86BCE"/>
    <w:rsid w:val="00F946B1"/>
    <w:rsid w:val="00FA3480"/>
    <w:rsid w:val="00FC4DC7"/>
    <w:rsid w:val="00FC52E8"/>
    <w:rsid w:val="00FD3F45"/>
    <w:rsid w:val="00FD4D93"/>
    <w:rsid w:val="00FD72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BAB87"/>
  <w15:chartTrackingRefBased/>
  <w15:docId w15:val="{3C98B510-2BEB-473E-99CF-C4A70B7F2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751F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41C6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51F9"/>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8751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941C6B"/>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417761"/>
    <w:pPr>
      <w:ind w:left="720"/>
      <w:contextualSpacing/>
    </w:pPr>
  </w:style>
  <w:style w:type="paragraph" w:styleId="BalloonText">
    <w:name w:val="Balloon Text"/>
    <w:basedOn w:val="Normal"/>
    <w:link w:val="BalloonTextChar"/>
    <w:uiPriority w:val="99"/>
    <w:semiHidden/>
    <w:unhideWhenUsed/>
    <w:rsid w:val="003666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6653"/>
    <w:rPr>
      <w:rFonts w:ascii="Segoe UI" w:hAnsi="Segoe UI" w:cs="Segoe UI"/>
      <w:sz w:val="18"/>
      <w:szCs w:val="18"/>
    </w:rPr>
  </w:style>
  <w:style w:type="paragraph" w:customStyle="1" w:styleId="DfESOutNumbered">
    <w:name w:val="DfESOutNumbered"/>
    <w:basedOn w:val="Normal"/>
    <w:link w:val="DfESOutNumberedChar"/>
    <w:rsid w:val="000E3FD0"/>
    <w:pPr>
      <w:widowControl w:val="0"/>
      <w:numPr>
        <w:numId w:val="22"/>
      </w:numPr>
      <w:overflowPunct w:val="0"/>
      <w:autoSpaceDE w:val="0"/>
      <w:autoSpaceDN w:val="0"/>
      <w:spacing w:after="240" w:line="240" w:lineRule="auto"/>
      <w:textAlignment w:val="baseline"/>
    </w:pPr>
    <w:rPr>
      <w:rFonts w:ascii="Arial" w:eastAsia="Times New Roman" w:hAnsi="Arial" w:cs="Arial"/>
      <w:szCs w:val="20"/>
    </w:rPr>
  </w:style>
  <w:style w:type="character" w:customStyle="1" w:styleId="DfESOutNumberedChar">
    <w:name w:val="DfESOutNumbered Char"/>
    <w:basedOn w:val="Heading1Char"/>
    <w:link w:val="DfESOutNumbered"/>
    <w:rsid w:val="000E3FD0"/>
    <w:rPr>
      <w:rFonts w:ascii="Arial" w:eastAsia="Times New Roman" w:hAnsi="Arial" w:cs="Arial"/>
      <w:color w:val="2E74B5" w:themeColor="accent1" w:themeShade="BF"/>
      <w:sz w:val="32"/>
      <w:szCs w:val="20"/>
    </w:rPr>
  </w:style>
  <w:style w:type="paragraph" w:customStyle="1" w:styleId="DeptBullets">
    <w:name w:val="DeptBullets"/>
    <w:basedOn w:val="Normal"/>
    <w:link w:val="DeptBulletsChar"/>
    <w:rsid w:val="000E3FD0"/>
    <w:pPr>
      <w:widowControl w:val="0"/>
      <w:numPr>
        <w:numId w:val="24"/>
      </w:numPr>
      <w:overflowPunct w:val="0"/>
      <w:autoSpaceDE w:val="0"/>
      <w:autoSpaceDN w:val="0"/>
      <w:spacing w:after="240" w:line="240" w:lineRule="auto"/>
      <w:textAlignment w:val="baseline"/>
    </w:pPr>
    <w:rPr>
      <w:rFonts w:ascii="Arial" w:eastAsia="Times New Roman" w:hAnsi="Arial" w:cs="Times New Roman"/>
      <w:sz w:val="24"/>
      <w:szCs w:val="20"/>
    </w:rPr>
  </w:style>
  <w:style w:type="character" w:customStyle="1" w:styleId="DeptBulletsChar">
    <w:name w:val="DeptBullets Char"/>
    <w:basedOn w:val="Heading1Char"/>
    <w:link w:val="DeptBullets"/>
    <w:rsid w:val="000E3FD0"/>
    <w:rPr>
      <w:rFonts w:ascii="Arial" w:eastAsia="Times New Roman" w:hAnsi="Arial" w:cs="Times New Roman"/>
      <w:color w:val="2E74B5" w:themeColor="accent1" w:themeShade="BF"/>
      <w:sz w:val="24"/>
      <w:szCs w:val="20"/>
    </w:rPr>
  </w:style>
  <w:style w:type="character" w:styleId="CommentReference">
    <w:name w:val="annotation reference"/>
    <w:basedOn w:val="DefaultParagraphFont"/>
    <w:uiPriority w:val="99"/>
    <w:semiHidden/>
    <w:unhideWhenUsed/>
    <w:rsid w:val="002A0001"/>
    <w:rPr>
      <w:sz w:val="16"/>
      <w:szCs w:val="16"/>
    </w:rPr>
  </w:style>
  <w:style w:type="paragraph" w:styleId="CommentText">
    <w:name w:val="annotation text"/>
    <w:basedOn w:val="Normal"/>
    <w:link w:val="CommentTextChar"/>
    <w:uiPriority w:val="99"/>
    <w:semiHidden/>
    <w:unhideWhenUsed/>
    <w:rsid w:val="002A0001"/>
    <w:pPr>
      <w:spacing w:line="240" w:lineRule="auto"/>
    </w:pPr>
    <w:rPr>
      <w:sz w:val="20"/>
      <w:szCs w:val="20"/>
    </w:rPr>
  </w:style>
  <w:style w:type="character" w:customStyle="1" w:styleId="CommentTextChar">
    <w:name w:val="Comment Text Char"/>
    <w:basedOn w:val="DefaultParagraphFont"/>
    <w:link w:val="CommentText"/>
    <w:uiPriority w:val="99"/>
    <w:semiHidden/>
    <w:rsid w:val="002A0001"/>
    <w:rPr>
      <w:sz w:val="20"/>
      <w:szCs w:val="20"/>
    </w:rPr>
  </w:style>
  <w:style w:type="paragraph" w:styleId="CommentSubject">
    <w:name w:val="annotation subject"/>
    <w:basedOn w:val="CommentText"/>
    <w:next w:val="CommentText"/>
    <w:link w:val="CommentSubjectChar"/>
    <w:uiPriority w:val="99"/>
    <w:semiHidden/>
    <w:unhideWhenUsed/>
    <w:rsid w:val="002A0001"/>
    <w:rPr>
      <w:b/>
      <w:bCs/>
    </w:rPr>
  </w:style>
  <w:style w:type="character" w:customStyle="1" w:styleId="CommentSubjectChar">
    <w:name w:val="Comment Subject Char"/>
    <w:basedOn w:val="CommentTextChar"/>
    <w:link w:val="CommentSubject"/>
    <w:uiPriority w:val="99"/>
    <w:semiHidden/>
    <w:rsid w:val="002A0001"/>
    <w:rPr>
      <w:b/>
      <w:bCs/>
      <w:sz w:val="20"/>
      <w:szCs w:val="20"/>
    </w:rPr>
  </w:style>
  <w:style w:type="paragraph" w:styleId="Header">
    <w:name w:val="header"/>
    <w:basedOn w:val="Normal"/>
    <w:link w:val="HeaderChar"/>
    <w:uiPriority w:val="99"/>
    <w:unhideWhenUsed/>
    <w:rsid w:val="009011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114F"/>
  </w:style>
  <w:style w:type="paragraph" w:styleId="Footer">
    <w:name w:val="footer"/>
    <w:basedOn w:val="Normal"/>
    <w:link w:val="FooterChar"/>
    <w:uiPriority w:val="99"/>
    <w:unhideWhenUsed/>
    <w:rsid w:val="009011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11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EF6B0DE94B29942966D7A57D07EB71D" ma:contentTypeVersion="11" ma:contentTypeDescription="Create a new document." ma:contentTypeScope="" ma:versionID="c7e8ff6fcecdf5611ca42b017ad06cbd">
  <xsd:schema xmlns:xsd="http://www.w3.org/2001/XMLSchema" xmlns:xs="http://www.w3.org/2001/XMLSchema" xmlns:p="http://schemas.microsoft.com/office/2006/metadata/properties" xmlns:ns3="7f6171ea-73b9-4cdf-b346-43fa4e9daa0b" xmlns:ns4="df94d479-ab22-4589-b288-5f8fcf562cac" targetNamespace="http://schemas.microsoft.com/office/2006/metadata/properties" ma:root="true" ma:fieldsID="2ccd38b1f16bb5edd28f55c15812278d" ns3:_="" ns4:_="">
    <xsd:import namespace="7f6171ea-73b9-4cdf-b346-43fa4e9daa0b"/>
    <xsd:import namespace="df94d479-ab22-4589-b288-5f8fcf562ca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6171ea-73b9-4cdf-b346-43fa4e9daa0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94d479-ab22-4589-b288-5f8fcf562cac"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F8532B-4F27-43BA-8970-172D336D448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162F365-8BB4-48EC-8F91-ED8C38C16255}">
  <ds:schemaRefs>
    <ds:schemaRef ds:uri="http://schemas.microsoft.com/sharepoint/v3/contenttype/forms"/>
  </ds:schemaRefs>
</ds:datastoreItem>
</file>

<file path=customXml/itemProps3.xml><?xml version="1.0" encoding="utf-8"?>
<ds:datastoreItem xmlns:ds="http://schemas.openxmlformats.org/officeDocument/2006/customXml" ds:itemID="{CC3CE511-94E7-4D54-9586-2EE22E695C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6171ea-73b9-4cdf-b346-43fa4e9daa0b"/>
    <ds:schemaRef ds:uri="df94d479-ab22-4589-b288-5f8fcf562c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1615</Words>
  <Characters>9207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DfE</Company>
  <LinksUpToDate>false</LinksUpToDate>
  <CharactersWithSpaces>10801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REEVE, Sue</dc:creator>
  <cp:keywords/>
  <dc:description/>
  <cp:lastModifiedBy>FISK, James</cp:lastModifiedBy>
  <cp:revision>2</cp:revision>
  <cp:lastPrinted>2019-07-19T14:34:00Z</cp:lastPrinted>
  <dcterms:created xsi:type="dcterms:W3CDTF">2019-09-11T13:06:00Z</dcterms:created>
  <dcterms:modified xsi:type="dcterms:W3CDTF">2019-09-11T13:06:00Z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0x0101001EF6B0DE94B29942966D7A57D07EB71D</vt:lpwstr>
  </property>
</Properties>
</file>