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4F15" w14:textId="77777777" w:rsidR="000B0589" w:rsidRDefault="000B0589" w:rsidP="00BC2702">
      <w:pPr>
        <w:pStyle w:val="Conditions1"/>
        <w:numPr>
          <w:ilvl w:val="0"/>
          <w:numId w:val="0"/>
        </w:numPr>
      </w:pPr>
      <w:r>
        <w:rPr>
          <w:noProof/>
        </w:rPr>
        <w:drawing>
          <wp:inline distT="0" distB="0" distL="0" distR="0" wp14:anchorId="31929B02" wp14:editId="60516A1A">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39C6D011" w14:textId="77777777" w:rsidR="000B0589" w:rsidRDefault="000B0589" w:rsidP="00A5760C"/>
    <w:p w14:paraId="1B28E456"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5EB10BD1" w14:textId="77777777" w:rsidTr="00EE5731">
        <w:trPr>
          <w:cantSplit/>
          <w:trHeight w:val="23"/>
        </w:trPr>
        <w:tc>
          <w:tcPr>
            <w:tcW w:w="9356" w:type="dxa"/>
            <w:shd w:val="clear" w:color="auto" w:fill="auto"/>
          </w:tcPr>
          <w:p w14:paraId="0ACC67A6" w14:textId="0AEBE7F9" w:rsidR="000B0589" w:rsidRPr="00160912" w:rsidRDefault="00EB277D" w:rsidP="002E264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 xml:space="preserve">Appeal </w:t>
            </w:r>
            <w:r w:rsidR="00EE5731" w:rsidRPr="00160912">
              <w:rPr>
                <w:rFonts w:ascii="Arial" w:hAnsi="Arial" w:cs="Arial"/>
                <w:b/>
                <w:color w:val="000000"/>
                <w:sz w:val="40"/>
                <w:szCs w:val="40"/>
              </w:rPr>
              <w:t>Decision</w:t>
            </w:r>
          </w:p>
        </w:tc>
      </w:tr>
      <w:tr w:rsidR="000B0589" w:rsidRPr="000C3F13" w14:paraId="4DFA38E1" w14:textId="77777777" w:rsidTr="00EE5731">
        <w:trPr>
          <w:cantSplit/>
          <w:trHeight w:val="23"/>
        </w:trPr>
        <w:tc>
          <w:tcPr>
            <w:tcW w:w="9356" w:type="dxa"/>
            <w:shd w:val="clear" w:color="auto" w:fill="auto"/>
            <w:vAlign w:val="center"/>
          </w:tcPr>
          <w:p w14:paraId="491F39D3" w14:textId="2FF00BC5" w:rsidR="000B0589" w:rsidRPr="00160912" w:rsidRDefault="000B0589" w:rsidP="00EE5731">
            <w:pPr>
              <w:spacing w:before="60"/>
              <w:ind w:left="-108" w:right="34"/>
              <w:rPr>
                <w:rFonts w:ascii="Arial" w:hAnsi="Arial" w:cs="Arial"/>
                <w:color w:val="000000"/>
                <w:szCs w:val="22"/>
              </w:rPr>
            </w:pPr>
          </w:p>
        </w:tc>
      </w:tr>
      <w:tr w:rsidR="000B0589" w:rsidRPr="00361890" w14:paraId="23A92A30" w14:textId="77777777" w:rsidTr="00EE5731">
        <w:trPr>
          <w:cantSplit/>
          <w:trHeight w:val="23"/>
        </w:trPr>
        <w:tc>
          <w:tcPr>
            <w:tcW w:w="9356" w:type="dxa"/>
            <w:shd w:val="clear" w:color="auto" w:fill="auto"/>
          </w:tcPr>
          <w:p w14:paraId="1364F8CA" w14:textId="77777777" w:rsidR="000B0589" w:rsidRPr="00160912" w:rsidRDefault="00EE5731" w:rsidP="00EE5731">
            <w:pPr>
              <w:spacing w:before="180"/>
              <w:ind w:left="-108" w:right="34"/>
              <w:rPr>
                <w:rFonts w:ascii="Arial" w:hAnsi="Arial" w:cs="Arial"/>
                <w:b/>
                <w:color w:val="000000"/>
                <w:sz w:val="16"/>
                <w:szCs w:val="22"/>
              </w:rPr>
            </w:pPr>
            <w:r w:rsidRPr="00160912">
              <w:rPr>
                <w:rFonts w:ascii="Arial" w:hAnsi="Arial" w:cs="Arial"/>
                <w:b/>
                <w:color w:val="000000"/>
                <w:szCs w:val="22"/>
              </w:rPr>
              <w:t>by Paul Freer BA (Hons) LLM PhD MRTPI</w:t>
            </w:r>
          </w:p>
        </w:tc>
      </w:tr>
      <w:tr w:rsidR="000B0589" w:rsidRPr="00361890" w14:paraId="202104A8" w14:textId="77777777" w:rsidTr="00EE5731">
        <w:trPr>
          <w:cantSplit/>
          <w:trHeight w:val="23"/>
        </w:trPr>
        <w:tc>
          <w:tcPr>
            <w:tcW w:w="9356" w:type="dxa"/>
            <w:shd w:val="clear" w:color="auto" w:fill="auto"/>
          </w:tcPr>
          <w:p w14:paraId="2BC42DE2" w14:textId="77777777" w:rsidR="000B0589" w:rsidRPr="00160912" w:rsidRDefault="00EE5731" w:rsidP="002E2646">
            <w:pPr>
              <w:spacing w:before="120"/>
              <w:ind w:left="-108" w:right="34"/>
              <w:rPr>
                <w:rFonts w:ascii="Arial" w:hAnsi="Arial" w:cs="Arial"/>
                <w:b/>
                <w:color w:val="000000"/>
                <w:sz w:val="16"/>
                <w:szCs w:val="16"/>
              </w:rPr>
            </w:pPr>
            <w:r w:rsidRPr="00160912">
              <w:rPr>
                <w:rFonts w:ascii="Arial" w:hAnsi="Arial" w:cs="Arial"/>
                <w:b/>
                <w:color w:val="000000"/>
                <w:sz w:val="16"/>
                <w:szCs w:val="16"/>
              </w:rPr>
              <w:t>an Inspector appointed by the Secretary of State for Environment, Food and Rural Affairs</w:t>
            </w:r>
          </w:p>
        </w:tc>
      </w:tr>
      <w:tr w:rsidR="000B0589" w:rsidRPr="00A101CD" w14:paraId="2CFFF107" w14:textId="77777777" w:rsidTr="00EE5731">
        <w:trPr>
          <w:cantSplit/>
          <w:trHeight w:val="23"/>
        </w:trPr>
        <w:tc>
          <w:tcPr>
            <w:tcW w:w="9356" w:type="dxa"/>
            <w:shd w:val="clear" w:color="auto" w:fill="auto"/>
          </w:tcPr>
          <w:p w14:paraId="2DBC546F" w14:textId="167E06C3" w:rsidR="000B0589" w:rsidRPr="00160912" w:rsidRDefault="000B0589" w:rsidP="002E2646">
            <w:pPr>
              <w:spacing w:before="120"/>
              <w:ind w:left="-108" w:right="176"/>
              <w:rPr>
                <w:rFonts w:ascii="Arial" w:hAnsi="Arial" w:cs="Arial"/>
                <w:b/>
                <w:color w:val="000000"/>
                <w:sz w:val="16"/>
                <w:szCs w:val="16"/>
              </w:rPr>
            </w:pPr>
            <w:r w:rsidRPr="00160912">
              <w:rPr>
                <w:rFonts w:ascii="Arial" w:hAnsi="Arial" w:cs="Arial"/>
                <w:b/>
                <w:color w:val="000000"/>
                <w:sz w:val="16"/>
                <w:szCs w:val="16"/>
              </w:rPr>
              <w:t>Decision date:</w:t>
            </w:r>
            <w:r w:rsidR="0020383A">
              <w:rPr>
                <w:rFonts w:ascii="Arial" w:hAnsi="Arial" w:cs="Arial"/>
                <w:b/>
                <w:color w:val="000000"/>
                <w:sz w:val="16"/>
                <w:szCs w:val="16"/>
              </w:rPr>
              <w:t xml:space="preserve"> 28 June 2024</w:t>
            </w:r>
          </w:p>
        </w:tc>
      </w:tr>
    </w:tbl>
    <w:p w14:paraId="71CE770D" w14:textId="77777777" w:rsidR="00EE5731" w:rsidRDefault="00EE5731" w:rsidP="000B0589"/>
    <w:tbl>
      <w:tblPr>
        <w:tblW w:w="0" w:type="auto"/>
        <w:tblLayout w:type="fixed"/>
        <w:tblLook w:val="0000" w:firstRow="0" w:lastRow="0" w:firstColumn="0" w:lastColumn="0" w:noHBand="0" w:noVBand="0"/>
      </w:tblPr>
      <w:tblGrid>
        <w:gridCol w:w="9520"/>
      </w:tblGrid>
      <w:tr w:rsidR="00EE5731" w14:paraId="37B4C38A" w14:textId="77777777" w:rsidTr="00EE5731">
        <w:tc>
          <w:tcPr>
            <w:tcW w:w="9520" w:type="dxa"/>
            <w:shd w:val="clear" w:color="auto" w:fill="auto"/>
          </w:tcPr>
          <w:p w14:paraId="18BA21F0" w14:textId="1A0F751C" w:rsidR="00EE5731" w:rsidRPr="00160912" w:rsidRDefault="00EE5731" w:rsidP="00EE5731">
            <w:pPr>
              <w:spacing w:after="60"/>
              <w:rPr>
                <w:rFonts w:ascii="Arial" w:hAnsi="Arial" w:cs="Arial"/>
                <w:b/>
                <w:color w:val="000000"/>
              </w:rPr>
            </w:pPr>
            <w:r w:rsidRPr="00160912">
              <w:rPr>
                <w:rFonts w:ascii="Arial" w:hAnsi="Arial" w:cs="Arial"/>
                <w:b/>
                <w:color w:val="000000"/>
              </w:rPr>
              <w:t>Ref: ROW/</w:t>
            </w:r>
            <w:r w:rsidR="00C63873">
              <w:rPr>
                <w:rFonts w:ascii="Arial" w:hAnsi="Arial" w:cs="Arial"/>
                <w:b/>
                <w:color w:val="000000"/>
              </w:rPr>
              <w:t>3319177</w:t>
            </w:r>
          </w:p>
        </w:tc>
      </w:tr>
      <w:tr w:rsidR="00EE5731" w14:paraId="1A9C92AE" w14:textId="77777777" w:rsidTr="00EE5731">
        <w:tc>
          <w:tcPr>
            <w:tcW w:w="9520" w:type="dxa"/>
            <w:shd w:val="clear" w:color="auto" w:fill="auto"/>
          </w:tcPr>
          <w:p w14:paraId="2CBE4652" w14:textId="67C255DC" w:rsidR="00EE5731" w:rsidRPr="00160912" w:rsidRDefault="00EE5731" w:rsidP="00EE5731">
            <w:pPr>
              <w:pStyle w:val="TBullet"/>
              <w:rPr>
                <w:rFonts w:ascii="Arial" w:hAnsi="Arial" w:cs="Arial"/>
              </w:rPr>
            </w:pPr>
            <w:r w:rsidRPr="00C63873">
              <w:rPr>
                <w:rFonts w:ascii="Arial" w:hAnsi="Arial" w:cs="Arial"/>
              </w:rPr>
              <w:t>This</w:t>
            </w:r>
            <w:r w:rsidR="00C63873">
              <w:rPr>
                <w:rFonts w:ascii="Arial" w:hAnsi="Arial" w:cs="Arial"/>
              </w:rPr>
              <w:t xml:space="preserve"> </w:t>
            </w:r>
            <w:r w:rsidR="00C63873" w:rsidRPr="00C63873">
              <w:rPr>
                <w:rFonts w:ascii="Arial" w:hAnsi="Arial" w:cs="Arial"/>
              </w:rPr>
              <w:t>appeal is made under Section 53(5) and Paragraph 4(1) of Schedule 14 of the Wildlife and Countryside Act 1981 (the 1981 Act) against the decision of Cornwall Council not to make an order under Section 53(2) of that Act</w:t>
            </w:r>
            <w:r w:rsidRPr="00160912">
              <w:rPr>
                <w:rFonts w:ascii="Arial" w:hAnsi="Arial" w:cs="Arial"/>
              </w:rPr>
              <w:t>.</w:t>
            </w:r>
          </w:p>
        </w:tc>
      </w:tr>
      <w:tr w:rsidR="00EE5731" w14:paraId="263F8BC1" w14:textId="77777777" w:rsidTr="00EE5731">
        <w:tc>
          <w:tcPr>
            <w:tcW w:w="9520" w:type="dxa"/>
            <w:shd w:val="clear" w:color="auto" w:fill="auto"/>
          </w:tcPr>
          <w:p w14:paraId="03B3DD5B" w14:textId="0B15C0FF" w:rsidR="00EE5731" w:rsidRPr="00160912" w:rsidRDefault="00C63873" w:rsidP="00EE5731">
            <w:pPr>
              <w:pStyle w:val="TBullet"/>
              <w:rPr>
                <w:rFonts w:ascii="Arial" w:hAnsi="Arial" w:cs="Arial"/>
              </w:rPr>
            </w:pPr>
            <w:r w:rsidRPr="00C63873">
              <w:rPr>
                <w:rFonts w:ascii="Arial" w:hAnsi="Arial" w:cs="Arial"/>
              </w:rPr>
              <w:t xml:space="preserve">By application dated 19 November 2004, Mr and Mrs Dyckhoff claimed that a route between Point A and Point D on Byway 34 Mullion should be deleted from the definitive map and statement for the area and that a Byway between Point A on Byway 34 </w:t>
            </w:r>
            <w:proofErr w:type="spellStart"/>
            <w:r w:rsidRPr="00C63873">
              <w:rPr>
                <w:rFonts w:ascii="Arial" w:hAnsi="Arial" w:cs="Arial"/>
              </w:rPr>
              <w:t>Mullion</w:t>
            </w:r>
            <w:proofErr w:type="spellEnd"/>
            <w:r w:rsidRPr="00C63873">
              <w:rPr>
                <w:rFonts w:ascii="Arial" w:hAnsi="Arial" w:cs="Arial"/>
              </w:rPr>
              <w:t xml:space="preserve"> and a new Point B should be added to the definitive map and statement for the area</w:t>
            </w:r>
            <w:r w:rsidR="00EE5731" w:rsidRPr="00160912">
              <w:rPr>
                <w:rFonts w:ascii="Arial" w:hAnsi="Arial" w:cs="Arial"/>
              </w:rPr>
              <w:t>.</w:t>
            </w:r>
          </w:p>
        </w:tc>
      </w:tr>
      <w:tr w:rsidR="00EE5731" w14:paraId="522AC14E" w14:textId="77777777" w:rsidTr="00EE5731">
        <w:tc>
          <w:tcPr>
            <w:tcW w:w="9520" w:type="dxa"/>
            <w:shd w:val="clear" w:color="auto" w:fill="auto"/>
          </w:tcPr>
          <w:p w14:paraId="6EE13E95" w14:textId="59C1ADCF" w:rsidR="00EE5731" w:rsidRPr="00160912" w:rsidRDefault="00C63873" w:rsidP="00EE5731">
            <w:pPr>
              <w:pStyle w:val="TBullet"/>
              <w:rPr>
                <w:rFonts w:ascii="Arial" w:hAnsi="Arial" w:cs="Arial"/>
              </w:rPr>
            </w:pPr>
            <w:r w:rsidRPr="00C63873">
              <w:rPr>
                <w:rFonts w:ascii="Arial" w:hAnsi="Arial" w:cs="Arial"/>
              </w:rPr>
              <w:t>The application was refused by Cornwall Council and the appellant was formally notified of the decision by letter dated 27 February 2023</w:t>
            </w:r>
            <w:r w:rsidR="00EE5731" w:rsidRPr="00160912">
              <w:rPr>
                <w:rFonts w:ascii="Arial" w:hAnsi="Arial" w:cs="Arial"/>
              </w:rPr>
              <w:t>.</w:t>
            </w:r>
          </w:p>
        </w:tc>
      </w:tr>
      <w:tr w:rsidR="00EE5731" w14:paraId="2B3A7301" w14:textId="77777777" w:rsidTr="00EE5731">
        <w:tc>
          <w:tcPr>
            <w:tcW w:w="9520" w:type="dxa"/>
            <w:shd w:val="clear" w:color="auto" w:fill="auto"/>
          </w:tcPr>
          <w:p w14:paraId="4D46ABD2" w14:textId="2AFE4949" w:rsidR="00EE5731" w:rsidRPr="00160912" w:rsidRDefault="00EE5731" w:rsidP="00EE5731">
            <w:pPr>
              <w:spacing w:before="60"/>
              <w:rPr>
                <w:rFonts w:ascii="Arial" w:hAnsi="Arial" w:cs="Arial"/>
                <w:b/>
                <w:color w:val="000000"/>
              </w:rPr>
            </w:pPr>
            <w:r w:rsidRPr="00160912">
              <w:rPr>
                <w:rFonts w:ascii="Arial" w:hAnsi="Arial" w:cs="Arial"/>
                <w:b/>
                <w:color w:val="000000"/>
              </w:rPr>
              <w:t>Summary of Decision:</w:t>
            </w:r>
            <w:r w:rsidR="00047D76" w:rsidRPr="00160912">
              <w:rPr>
                <w:rFonts w:ascii="Arial" w:hAnsi="Arial" w:cs="Arial"/>
                <w:b/>
                <w:color w:val="000000"/>
              </w:rPr>
              <w:t xml:space="preserve"> The </w:t>
            </w:r>
            <w:r w:rsidR="00C63873">
              <w:rPr>
                <w:rFonts w:ascii="Arial" w:hAnsi="Arial" w:cs="Arial"/>
                <w:b/>
                <w:color w:val="000000"/>
              </w:rPr>
              <w:t xml:space="preserve">appeal is </w:t>
            </w:r>
            <w:r w:rsidR="00EB45D9">
              <w:rPr>
                <w:rFonts w:ascii="Arial" w:hAnsi="Arial" w:cs="Arial"/>
                <w:b/>
                <w:color w:val="000000"/>
              </w:rPr>
              <w:t>allowed</w:t>
            </w:r>
            <w:r w:rsidR="00070785">
              <w:rPr>
                <w:rFonts w:ascii="Arial" w:hAnsi="Arial" w:cs="Arial"/>
                <w:b/>
                <w:color w:val="000000"/>
              </w:rPr>
              <w:t xml:space="preserve"> in part</w:t>
            </w:r>
          </w:p>
        </w:tc>
      </w:tr>
      <w:tr w:rsidR="00EE5731" w14:paraId="3DBC140D" w14:textId="77777777" w:rsidTr="00EE5731">
        <w:tc>
          <w:tcPr>
            <w:tcW w:w="9520" w:type="dxa"/>
            <w:tcBorders>
              <w:bottom w:val="single" w:sz="6" w:space="0" w:color="000000"/>
            </w:tcBorders>
            <w:shd w:val="clear" w:color="auto" w:fill="auto"/>
          </w:tcPr>
          <w:p w14:paraId="7C5AAD6C" w14:textId="77777777" w:rsidR="00EE5731" w:rsidRPr="00EE5731" w:rsidRDefault="00EE5731" w:rsidP="00EE5731">
            <w:pPr>
              <w:spacing w:before="60"/>
              <w:rPr>
                <w:b/>
                <w:color w:val="000000"/>
                <w:sz w:val="2"/>
              </w:rPr>
            </w:pPr>
          </w:p>
        </w:tc>
      </w:tr>
    </w:tbl>
    <w:p w14:paraId="735A0E76" w14:textId="77777777" w:rsidR="00EE5731" w:rsidRDefault="00EE5731" w:rsidP="000B0589"/>
    <w:p w14:paraId="4CEE0EBA" w14:textId="38424B4B" w:rsidR="00503412" w:rsidRPr="00160912" w:rsidRDefault="00C63873" w:rsidP="005076F7">
      <w:pPr>
        <w:pStyle w:val="Heading6blackfont"/>
        <w:rPr>
          <w:rFonts w:ascii="Arial" w:hAnsi="Arial" w:cs="Arial"/>
        </w:rPr>
      </w:pPr>
      <w:r>
        <w:rPr>
          <w:rFonts w:ascii="Arial" w:hAnsi="Arial" w:cs="Arial"/>
        </w:rPr>
        <w:t>Preliminary matters</w:t>
      </w:r>
    </w:p>
    <w:p w14:paraId="5571E251" w14:textId="77777777" w:rsidR="00C63873" w:rsidRPr="00C63873" w:rsidRDefault="00C63873" w:rsidP="00C63873">
      <w:pPr>
        <w:spacing w:after="202" w:line="249" w:lineRule="auto"/>
        <w:ind w:left="432"/>
      </w:pPr>
    </w:p>
    <w:p w14:paraId="225746C5" w14:textId="6587D979" w:rsidR="00C63873" w:rsidRPr="00212B58" w:rsidRDefault="00C63873" w:rsidP="00C63873">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 xml:space="preserve">The application was initially made by Mr and Mrs Dyckhoff as the then owners/occupiers of the property known as </w:t>
      </w:r>
      <w:proofErr w:type="spellStart"/>
      <w:r w:rsidRPr="00212B58">
        <w:rPr>
          <w:rFonts w:ascii="Arial" w:hAnsi="Arial" w:cs="Arial"/>
          <w:sz w:val="24"/>
          <w:szCs w:val="24"/>
        </w:rPr>
        <w:t>Polbream</w:t>
      </w:r>
      <w:proofErr w:type="spellEnd"/>
      <w:r w:rsidRPr="00212B58">
        <w:rPr>
          <w:rFonts w:ascii="Arial" w:hAnsi="Arial" w:cs="Arial"/>
          <w:sz w:val="24"/>
          <w:szCs w:val="24"/>
        </w:rPr>
        <w:t xml:space="preserve">. </w:t>
      </w:r>
      <w:r w:rsidR="00CE45F3" w:rsidRPr="00212B58">
        <w:rPr>
          <w:rFonts w:ascii="Arial" w:hAnsi="Arial" w:cs="Arial"/>
          <w:sz w:val="24"/>
          <w:szCs w:val="24"/>
        </w:rPr>
        <w:t xml:space="preserve">This appeal against the refusal of that application has been made by Ms Suzy Black, the current owner/occupier of </w:t>
      </w:r>
      <w:proofErr w:type="spellStart"/>
      <w:r w:rsidR="00CE45F3" w:rsidRPr="00212B58">
        <w:rPr>
          <w:rFonts w:ascii="Arial" w:hAnsi="Arial" w:cs="Arial"/>
          <w:sz w:val="24"/>
          <w:szCs w:val="24"/>
        </w:rPr>
        <w:t>Polbream</w:t>
      </w:r>
      <w:proofErr w:type="spellEnd"/>
      <w:r w:rsidR="00CE45F3" w:rsidRPr="00212B58">
        <w:rPr>
          <w:rFonts w:ascii="Arial" w:hAnsi="Arial" w:cs="Arial"/>
          <w:sz w:val="24"/>
          <w:szCs w:val="24"/>
        </w:rPr>
        <w:t xml:space="preserve">, with the agreement of Mr and Mrs Dyckhoff. </w:t>
      </w:r>
      <w:r w:rsidR="00E75BAF" w:rsidRPr="00212B58">
        <w:rPr>
          <w:rFonts w:ascii="Arial" w:hAnsi="Arial" w:cs="Arial"/>
          <w:sz w:val="24"/>
          <w:szCs w:val="24"/>
        </w:rPr>
        <w:t xml:space="preserve">I am </w:t>
      </w:r>
      <w:r w:rsidR="0027134F" w:rsidRPr="00212B58">
        <w:rPr>
          <w:rStyle w:val="cf01"/>
          <w:rFonts w:ascii="Arial" w:hAnsi="Arial" w:cs="Arial"/>
          <w:sz w:val="24"/>
          <w:szCs w:val="24"/>
        </w:rPr>
        <w:t xml:space="preserve">satisfied </w:t>
      </w:r>
      <w:r w:rsidR="0026021A" w:rsidRPr="00212B58">
        <w:rPr>
          <w:rStyle w:val="cf01"/>
          <w:rFonts w:ascii="Arial" w:hAnsi="Arial" w:cs="Arial"/>
          <w:sz w:val="24"/>
          <w:szCs w:val="24"/>
        </w:rPr>
        <w:t xml:space="preserve">that </w:t>
      </w:r>
      <w:r w:rsidR="0027134F" w:rsidRPr="00212B58">
        <w:rPr>
          <w:rStyle w:val="cf01"/>
          <w:rFonts w:ascii="Arial" w:hAnsi="Arial" w:cs="Arial"/>
          <w:sz w:val="24"/>
          <w:szCs w:val="24"/>
        </w:rPr>
        <w:t>it is appropriate for</w:t>
      </w:r>
      <w:r w:rsidR="00E75BAF" w:rsidRPr="00212B58">
        <w:rPr>
          <w:rStyle w:val="cf01"/>
          <w:rFonts w:ascii="Arial" w:hAnsi="Arial" w:cs="Arial"/>
          <w:sz w:val="24"/>
          <w:szCs w:val="24"/>
        </w:rPr>
        <w:t xml:space="preserve"> me </w:t>
      </w:r>
      <w:r w:rsidR="0027134F" w:rsidRPr="00212B58">
        <w:rPr>
          <w:rStyle w:val="cf01"/>
          <w:rFonts w:ascii="Arial" w:hAnsi="Arial" w:cs="Arial"/>
          <w:sz w:val="24"/>
          <w:szCs w:val="24"/>
        </w:rPr>
        <w:t>to deal with the appeal in this case</w:t>
      </w:r>
      <w:r w:rsidRPr="00212B58">
        <w:rPr>
          <w:rFonts w:ascii="Arial" w:hAnsi="Arial" w:cs="Arial"/>
          <w:sz w:val="24"/>
          <w:szCs w:val="24"/>
        </w:rPr>
        <w:t xml:space="preserve">. </w:t>
      </w:r>
    </w:p>
    <w:p w14:paraId="6D60AB93" w14:textId="6669DD50" w:rsidR="00F574B2" w:rsidRPr="00212B58" w:rsidRDefault="00C63873" w:rsidP="00F574B2">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 xml:space="preserve">The application form clearly seeks to add a </w:t>
      </w:r>
      <w:r w:rsidR="003A34E1" w:rsidRPr="00212B58">
        <w:rPr>
          <w:rFonts w:ascii="Arial" w:hAnsi="Arial" w:cs="Arial"/>
          <w:sz w:val="24"/>
          <w:szCs w:val="24"/>
        </w:rPr>
        <w:t>byway</w:t>
      </w:r>
      <w:r w:rsidRPr="00212B58">
        <w:rPr>
          <w:rFonts w:ascii="Arial" w:hAnsi="Arial" w:cs="Arial"/>
          <w:sz w:val="24"/>
          <w:szCs w:val="24"/>
        </w:rPr>
        <w:t xml:space="preserve"> (the form doesn’t specify which type) to the </w:t>
      </w:r>
      <w:bookmarkStart w:id="1" w:name="_Hlk158201915"/>
      <w:r w:rsidRPr="00212B58">
        <w:rPr>
          <w:rFonts w:ascii="Arial" w:hAnsi="Arial" w:cs="Arial"/>
          <w:sz w:val="24"/>
          <w:szCs w:val="24"/>
        </w:rPr>
        <w:t xml:space="preserve">Definitive Map and Statement (DMS) for the area </w:t>
      </w:r>
      <w:bookmarkEnd w:id="1"/>
      <w:r w:rsidRPr="00212B58">
        <w:rPr>
          <w:rFonts w:ascii="Arial" w:hAnsi="Arial" w:cs="Arial"/>
          <w:sz w:val="24"/>
          <w:szCs w:val="24"/>
        </w:rPr>
        <w:t xml:space="preserve">from </w:t>
      </w:r>
      <w:proofErr w:type="spellStart"/>
      <w:r w:rsidRPr="00212B58">
        <w:rPr>
          <w:rFonts w:ascii="Arial" w:hAnsi="Arial" w:cs="Arial"/>
          <w:sz w:val="24"/>
          <w:szCs w:val="24"/>
        </w:rPr>
        <w:t>Polbream</w:t>
      </w:r>
      <w:proofErr w:type="spellEnd"/>
      <w:r w:rsidRPr="00212B58">
        <w:rPr>
          <w:rFonts w:ascii="Arial" w:hAnsi="Arial" w:cs="Arial"/>
          <w:sz w:val="24"/>
          <w:szCs w:val="24"/>
        </w:rPr>
        <w:t xml:space="preserve"> Gateway down </w:t>
      </w:r>
      <w:proofErr w:type="spellStart"/>
      <w:r w:rsidRPr="00212B58">
        <w:rPr>
          <w:rFonts w:ascii="Arial" w:hAnsi="Arial" w:cs="Arial"/>
          <w:sz w:val="24"/>
          <w:szCs w:val="24"/>
        </w:rPr>
        <w:t>Laflouder</w:t>
      </w:r>
      <w:proofErr w:type="spellEnd"/>
      <w:r w:rsidRPr="00212B58">
        <w:rPr>
          <w:rFonts w:ascii="Arial" w:hAnsi="Arial" w:cs="Arial"/>
          <w:sz w:val="24"/>
          <w:szCs w:val="24"/>
        </w:rPr>
        <w:t xml:space="preserve"> Lane to Meres Lane. The Council has identified this a route A-B. The application form also seeks to vary the particulars of the DMS for the area from </w:t>
      </w:r>
      <w:proofErr w:type="spellStart"/>
      <w:r w:rsidRPr="00212B58">
        <w:rPr>
          <w:rFonts w:ascii="Arial" w:hAnsi="Arial" w:cs="Arial"/>
          <w:sz w:val="24"/>
          <w:szCs w:val="24"/>
        </w:rPr>
        <w:t>Polbream</w:t>
      </w:r>
      <w:proofErr w:type="spellEnd"/>
      <w:r w:rsidRPr="00212B58">
        <w:rPr>
          <w:rFonts w:ascii="Arial" w:hAnsi="Arial" w:cs="Arial"/>
          <w:sz w:val="24"/>
          <w:szCs w:val="24"/>
        </w:rPr>
        <w:t xml:space="preserve"> Gateway through </w:t>
      </w:r>
      <w:proofErr w:type="spellStart"/>
      <w:r w:rsidRPr="00212B58">
        <w:rPr>
          <w:rFonts w:ascii="Arial" w:hAnsi="Arial" w:cs="Arial"/>
          <w:sz w:val="24"/>
          <w:szCs w:val="24"/>
        </w:rPr>
        <w:t>Polbream</w:t>
      </w:r>
      <w:proofErr w:type="spellEnd"/>
      <w:r w:rsidRPr="00212B58">
        <w:rPr>
          <w:rFonts w:ascii="Arial" w:hAnsi="Arial" w:cs="Arial"/>
          <w:sz w:val="24"/>
          <w:szCs w:val="24"/>
        </w:rPr>
        <w:t xml:space="preserve"> land to Meres Cliff. The </w:t>
      </w:r>
      <w:r w:rsidR="003A34E1" w:rsidRPr="00212B58">
        <w:rPr>
          <w:rFonts w:ascii="Arial" w:hAnsi="Arial" w:cs="Arial"/>
          <w:sz w:val="24"/>
          <w:szCs w:val="24"/>
        </w:rPr>
        <w:t>C</w:t>
      </w:r>
      <w:r w:rsidRPr="00212B58">
        <w:rPr>
          <w:rFonts w:ascii="Arial" w:hAnsi="Arial" w:cs="Arial"/>
          <w:sz w:val="24"/>
          <w:szCs w:val="24"/>
        </w:rPr>
        <w:t>ouncil has interpreted that to mean deleting that byway open to all traffic. The Council has identified this route as A-C-D</w:t>
      </w:r>
      <w:r w:rsidR="004B38F9" w:rsidRPr="00212B58">
        <w:rPr>
          <w:rFonts w:ascii="Arial" w:hAnsi="Arial" w:cs="Arial"/>
          <w:sz w:val="24"/>
          <w:szCs w:val="24"/>
        </w:rPr>
        <w:t>.</w:t>
      </w:r>
      <w:r w:rsidR="00FC14A0" w:rsidRPr="00212B58">
        <w:rPr>
          <w:rFonts w:ascii="Arial" w:hAnsi="Arial" w:cs="Arial"/>
          <w:sz w:val="24"/>
          <w:szCs w:val="24"/>
        </w:rPr>
        <w:t xml:space="preserve"> </w:t>
      </w:r>
    </w:p>
    <w:p w14:paraId="15B78D02" w14:textId="6A4CA621" w:rsidR="00F574B2" w:rsidRPr="00212B58" w:rsidRDefault="00F574B2" w:rsidP="00F574B2">
      <w:pPr>
        <w:spacing w:after="202" w:line="249" w:lineRule="auto"/>
        <w:ind w:left="432"/>
        <w:rPr>
          <w:rFonts w:ascii="Arial" w:hAnsi="Arial" w:cs="Arial"/>
          <w:b/>
          <w:bCs/>
          <w:sz w:val="24"/>
          <w:szCs w:val="24"/>
        </w:rPr>
      </w:pPr>
      <w:r w:rsidRPr="00212B58">
        <w:rPr>
          <w:rFonts w:ascii="Arial" w:hAnsi="Arial" w:cs="Arial"/>
          <w:b/>
          <w:bCs/>
          <w:sz w:val="24"/>
          <w:szCs w:val="24"/>
        </w:rPr>
        <w:t>Main Issues</w:t>
      </w:r>
    </w:p>
    <w:p w14:paraId="26A19798" w14:textId="77777777" w:rsidR="00790C26" w:rsidRPr="00212B58" w:rsidRDefault="00EA56D8" w:rsidP="00A5269C">
      <w:pPr>
        <w:numPr>
          <w:ilvl w:val="0"/>
          <w:numId w:val="26"/>
        </w:numPr>
        <w:spacing w:after="202" w:line="249" w:lineRule="auto"/>
        <w:ind w:hanging="432"/>
        <w:rPr>
          <w:rFonts w:ascii="Arial" w:hAnsi="Arial" w:cs="Arial"/>
          <w:sz w:val="24"/>
          <w:szCs w:val="24"/>
        </w:rPr>
      </w:pPr>
      <w:r w:rsidRPr="00212B58">
        <w:rPr>
          <w:rFonts w:ascii="Arial" w:hAnsi="Arial" w:cs="Arial"/>
          <w:color w:val="000000"/>
          <w:sz w:val="24"/>
          <w:szCs w:val="24"/>
        </w:rPr>
        <w:t xml:space="preserve">The key issue to be determined is whether it can be shown that an error occurred at the relevant date of the original definitive map. </w:t>
      </w:r>
      <w:r w:rsidR="000C33F5" w:rsidRPr="00212B58">
        <w:rPr>
          <w:rFonts w:ascii="Arial" w:hAnsi="Arial" w:cs="Arial"/>
          <w:color w:val="000000"/>
          <w:sz w:val="24"/>
          <w:szCs w:val="24"/>
        </w:rPr>
        <w:t>It is settled case law that t</w:t>
      </w:r>
      <w:r w:rsidRPr="00212B58">
        <w:rPr>
          <w:rFonts w:ascii="Arial" w:hAnsi="Arial" w:cs="Arial"/>
          <w:color w:val="000000"/>
          <w:sz w:val="24"/>
          <w:szCs w:val="24"/>
        </w:rPr>
        <w:t xml:space="preserve">he relevant tests in </w:t>
      </w:r>
      <w:r w:rsidR="000A7ECA" w:rsidRPr="00212B58">
        <w:rPr>
          <w:rFonts w:ascii="Arial" w:hAnsi="Arial" w:cs="Arial"/>
          <w:color w:val="000000"/>
          <w:sz w:val="24"/>
          <w:szCs w:val="24"/>
        </w:rPr>
        <w:t xml:space="preserve">sections </w:t>
      </w:r>
      <w:r w:rsidRPr="00212B58">
        <w:rPr>
          <w:rFonts w:ascii="Arial" w:hAnsi="Arial" w:cs="Arial"/>
          <w:color w:val="000000"/>
          <w:sz w:val="24"/>
          <w:szCs w:val="24"/>
        </w:rPr>
        <w:t xml:space="preserve">53(3)(c)(i) and 53(3)(c)(iii) </w:t>
      </w:r>
      <w:r w:rsidR="002D550E" w:rsidRPr="00212B58">
        <w:rPr>
          <w:rFonts w:ascii="Arial" w:hAnsi="Arial" w:cs="Arial"/>
          <w:color w:val="000000"/>
          <w:sz w:val="24"/>
          <w:szCs w:val="24"/>
        </w:rPr>
        <w:t xml:space="preserve">of the 1981 Act </w:t>
      </w:r>
      <w:r w:rsidRPr="00212B58">
        <w:rPr>
          <w:rFonts w:ascii="Arial" w:hAnsi="Arial" w:cs="Arial"/>
          <w:color w:val="000000"/>
          <w:sz w:val="24"/>
          <w:szCs w:val="24"/>
        </w:rPr>
        <w:t xml:space="preserve">are linked. The appellants do not submit that an additional footpath has been dedicated. Rather they argue that </w:t>
      </w:r>
      <w:r w:rsidR="007C5052" w:rsidRPr="00212B58">
        <w:rPr>
          <w:rStyle w:val="cf01"/>
          <w:rFonts w:ascii="Arial" w:hAnsi="Arial" w:cs="Arial"/>
          <w:sz w:val="24"/>
          <w:szCs w:val="24"/>
        </w:rPr>
        <w:t>route A - B (</w:t>
      </w:r>
      <w:proofErr w:type="spellStart"/>
      <w:r w:rsidR="007C5052" w:rsidRPr="00212B58">
        <w:rPr>
          <w:rStyle w:val="cf01"/>
          <w:rFonts w:ascii="Arial" w:hAnsi="Arial" w:cs="Arial"/>
          <w:sz w:val="24"/>
          <w:szCs w:val="24"/>
        </w:rPr>
        <w:t>Laflouder</w:t>
      </w:r>
      <w:proofErr w:type="spellEnd"/>
      <w:r w:rsidR="007C5052" w:rsidRPr="00212B58">
        <w:rPr>
          <w:rStyle w:val="cf01"/>
          <w:rFonts w:ascii="Arial" w:hAnsi="Arial" w:cs="Arial"/>
          <w:sz w:val="24"/>
          <w:szCs w:val="24"/>
        </w:rPr>
        <w:t xml:space="preserve"> Lane) should have been recorded on the DMS, with route A - C - D (</w:t>
      </w:r>
      <w:proofErr w:type="spellStart"/>
      <w:r w:rsidR="007C5052" w:rsidRPr="00212B58">
        <w:rPr>
          <w:rStyle w:val="cf01"/>
          <w:rFonts w:ascii="Arial" w:hAnsi="Arial" w:cs="Arial"/>
          <w:sz w:val="24"/>
          <w:szCs w:val="24"/>
        </w:rPr>
        <w:t>Polbream</w:t>
      </w:r>
      <w:proofErr w:type="spellEnd"/>
      <w:r w:rsidR="007C5052" w:rsidRPr="00212B58">
        <w:rPr>
          <w:rStyle w:val="cf01"/>
          <w:rFonts w:ascii="Arial" w:hAnsi="Arial" w:cs="Arial"/>
          <w:sz w:val="24"/>
          <w:szCs w:val="24"/>
        </w:rPr>
        <w:t xml:space="preserve"> Drive) being recorded in error</w:t>
      </w:r>
      <w:r w:rsidR="00F574B2" w:rsidRPr="00212B58">
        <w:rPr>
          <w:rFonts w:ascii="Arial" w:hAnsi="Arial" w:cs="Arial"/>
          <w:sz w:val="24"/>
          <w:szCs w:val="24"/>
        </w:rPr>
        <w:t>.</w:t>
      </w:r>
    </w:p>
    <w:p w14:paraId="5BADCAC1" w14:textId="051FD417" w:rsidR="008514D4" w:rsidRPr="00212B58" w:rsidRDefault="00790C26" w:rsidP="00A5269C">
      <w:pPr>
        <w:numPr>
          <w:ilvl w:val="0"/>
          <w:numId w:val="26"/>
        </w:numPr>
        <w:spacing w:after="202" w:line="249" w:lineRule="auto"/>
        <w:ind w:hanging="432"/>
        <w:rPr>
          <w:rFonts w:ascii="Arial" w:hAnsi="Arial" w:cs="Arial"/>
          <w:sz w:val="24"/>
          <w:szCs w:val="24"/>
        </w:rPr>
      </w:pPr>
      <w:r w:rsidRPr="00212B58">
        <w:rPr>
          <w:rFonts w:ascii="Arial" w:hAnsi="Arial" w:cs="Arial"/>
          <w:color w:val="000000"/>
          <w:sz w:val="24"/>
          <w:szCs w:val="24"/>
        </w:rPr>
        <w:t xml:space="preserve">It is also settled case law that whether a right of way that is marked on a definitive map in fact exists, </w:t>
      </w:r>
      <w:r w:rsidR="00747737" w:rsidRPr="00212B58">
        <w:rPr>
          <w:rFonts w:ascii="Arial" w:hAnsi="Arial" w:cs="Arial"/>
          <w:color w:val="000000"/>
          <w:sz w:val="24"/>
          <w:szCs w:val="24"/>
        </w:rPr>
        <w:t>there is</w:t>
      </w:r>
      <w:r w:rsidRPr="00212B58">
        <w:rPr>
          <w:rFonts w:ascii="Arial" w:hAnsi="Arial" w:cs="Arial"/>
          <w:color w:val="000000"/>
          <w:sz w:val="24"/>
          <w:szCs w:val="24"/>
        </w:rPr>
        <w:t xml:space="preserve"> an initial presumption that it does. If there were no evidence which made it reasonably arguable that such a right of way existed, </w:t>
      </w:r>
      <w:r w:rsidR="00915CDA" w:rsidRPr="00212B58">
        <w:rPr>
          <w:rFonts w:ascii="Arial" w:hAnsi="Arial" w:cs="Arial"/>
          <w:color w:val="000000"/>
          <w:sz w:val="24"/>
          <w:szCs w:val="24"/>
        </w:rPr>
        <w:t xml:space="preserve">it </w:t>
      </w:r>
      <w:r w:rsidRPr="00212B58">
        <w:rPr>
          <w:rFonts w:ascii="Arial" w:hAnsi="Arial" w:cs="Arial"/>
          <w:color w:val="000000"/>
          <w:sz w:val="24"/>
          <w:szCs w:val="24"/>
        </w:rPr>
        <w:lastRenderedPageBreak/>
        <w:t xml:space="preserve">should not have been marked on the map. In the absence of evidence to the contrary, it should be assumed that the proper procedures were followed and thus that such evidence existed. </w:t>
      </w:r>
      <w:r w:rsidR="00601021" w:rsidRPr="00212B58">
        <w:rPr>
          <w:rFonts w:ascii="Arial" w:hAnsi="Arial" w:cs="Arial"/>
          <w:color w:val="000000"/>
          <w:sz w:val="24"/>
          <w:szCs w:val="24"/>
        </w:rPr>
        <w:t>But t</w:t>
      </w:r>
      <w:r w:rsidR="00B64023" w:rsidRPr="00212B58">
        <w:rPr>
          <w:rFonts w:ascii="Arial" w:hAnsi="Arial" w:cs="Arial"/>
          <w:color w:val="000000"/>
          <w:sz w:val="24"/>
          <w:szCs w:val="24"/>
        </w:rPr>
        <w:t xml:space="preserve">here must be </w:t>
      </w:r>
      <w:r w:rsidRPr="00212B58">
        <w:rPr>
          <w:rFonts w:ascii="Arial" w:hAnsi="Arial" w:cs="Arial"/>
          <w:color w:val="000000"/>
          <w:sz w:val="24"/>
          <w:szCs w:val="24"/>
        </w:rPr>
        <w:t>evidence of some substance</w:t>
      </w:r>
      <w:r w:rsidR="00601021" w:rsidRPr="00212B58">
        <w:rPr>
          <w:rFonts w:ascii="Arial" w:hAnsi="Arial" w:cs="Arial"/>
          <w:color w:val="000000"/>
          <w:sz w:val="24"/>
          <w:szCs w:val="24"/>
        </w:rPr>
        <w:t xml:space="preserve"> </w:t>
      </w:r>
      <w:r w:rsidRPr="00212B58">
        <w:rPr>
          <w:rFonts w:ascii="Arial" w:hAnsi="Arial" w:cs="Arial"/>
          <w:color w:val="000000"/>
          <w:sz w:val="24"/>
          <w:szCs w:val="24"/>
        </w:rPr>
        <w:t>if</w:t>
      </w:r>
      <w:r w:rsidR="00601021" w:rsidRPr="00212B58">
        <w:rPr>
          <w:rFonts w:ascii="Arial" w:hAnsi="Arial" w:cs="Arial"/>
          <w:color w:val="000000"/>
          <w:sz w:val="24"/>
          <w:szCs w:val="24"/>
        </w:rPr>
        <w:t xml:space="preserve">, on the balance of probabilities, </w:t>
      </w:r>
      <w:r w:rsidRPr="00212B58">
        <w:rPr>
          <w:rFonts w:ascii="Arial" w:hAnsi="Arial" w:cs="Arial"/>
          <w:color w:val="000000"/>
          <w:sz w:val="24"/>
          <w:szCs w:val="24"/>
        </w:rPr>
        <w:t>it is to outweigh the initial presumption that the right of way exists</w:t>
      </w:r>
      <w:r w:rsidR="00601021" w:rsidRPr="00212B58">
        <w:rPr>
          <w:rFonts w:ascii="Arial" w:hAnsi="Arial" w:cs="Arial"/>
          <w:color w:val="000000"/>
          <w:sz w:val="24"/>
          <w:szCs w:val="24"/>
        </w:rPr>
        <w:t xml:space="preserve">. </w:t>
      </w:r>
      <w:r w:rsidR="00F574B2" w:rsidRPr="00212B58">
        <w:rPr>
          <w:rFonts w:ascii="Arial" w:hAnsi="Arial" w:cs="Arial"/>
          <w:sz w:val="24"/>
          <w:szCs w:val="24"/>
        </w:rPr>
        <w:t xml:space="preserve"> </w:t>
      </w:r>
    </w:p>
    <w:p w14:paraId="4BFAD1AE" w14:textId="205F55E3" w:rsidR="0068238F" w:rsidRPr="00212B58" w:rsidRDefault="007D4C93" w:rsidP="0068238F">
      <w:pPr>
        <w:numPr>
          <w:ilvl w:val="0"/>
          <w:numId w:val="26"/>
        </w:numPr>
        <w:spacing w:after="202" w:line="249" w:lineRule="auto"/>
        <w:ind w:hanging="432"/>
        <w:rPr>
          <w:rStyle w:val="cf01"/>
          <w:rFonts w:ascii="Arial" w:hAnsi="Arial" w:cs="Arial"/>
          <w:sz w:val="24"/>
          <w:szCs w:val="24"/>
        </w:rPr>
      </w:pPr>
      <w:r w:rsidRPr="00212B58">
        <w:rPr>
          <w:rStyle w:val="cf01"/>
          <w:rFonts w:ascii="Arial" w:hAnsi="Arial" w:cs="Arial"/>
          <w:sz w:val="24"/>
          <w:szCs w:val="24"/>
        </w:rPr>
        <w:t xml:space="preserve">I must therefore determine </w:t>
      </w:r>
      <w:r w:rsidR="00722BF6" w:rsidRPr="00212B58">
        <w:rPr>
          <w:rStyle w:val="cf01"/>
          <w:rFonts w:ascii="Arial" w:hAnsi="Arial" w:cs="Arial"/>
          <w:sz w:val="24"/>
          <w:szCs w:val="24"/>
        </w:rPr>
        <w:t>whether there is cogent evidence to suggest that</w:t>
      </w:r>
      <w:r w:rsidR="0099317C" w:rsidRPr="00212B58">
        <w:rPr>
          <w:rStyle w:val="cf01"/>
          <w:rFonts w:ascii="Arial" w:hAnsi="Arial" w:cs="Arial"/>
          <w:sz w:val="24"/>
          <w:szCs w:val="24"/>
        </w:rPr>
        <w:t xml:space="preserve"> route A - C - D </w:t>
      </w:r>
      <w:r w:rsidR="00722BF6" w:rsidRPr="00212B58">
        <w:rPr>
          <w:rStyle w:val="cf01"/>
          <w:rFonts w:ascii="Arial" w:hAnsi="Arial" w:cs="Arial"/>
          <w:sz w:val="24"/>
          <w:szCs w:val="24"/>
        </w:rPr>
        <w:t>as recorded on DMS should not be recorde</w:t>
      </w:r>
      <w:r w:rsidR="0073626E" w:rsidRPr="00212B58">
        <w:rPr>
          <w:rStyle w:val="cf01"/>
          <w:rFonts w:ascii="Arial" w:hAnsi="Arial" w:cs="Arial"/>
          <w:sz w:val="24"/>
          <w:szCs w:val="24"/>
        </w:rPr>
        <w:t>d</w:t>
      </w:r>
      <w:r w:rsidR="004553ED">
        <w:rPr>
          <w:rStyle w:val="cf01"/>
          <w:rFonts w:ascii="Arial" w:hAnsi="Arial" w:cs="Arial"/>
          <w:sz w:val="24"/>
          <w:szCs w:val="24"/>
        </w:rPr>
        <w:t xml:space="preserve">. </w:t>
      </w:r>
      <w:r w:rsidR="00867554">
        <w:rPr>
          <w:rStyle w:val="cf01"/>
          <w:rFonts w:ascii="Arial" w:hAnsi="Arial" w:cs="Arial"/>
          <w:sz w:val="24"/>
          <w:szCs w:val="24"/>
        </w:rPr>
        <w:t>It is conveni</w:t>
      </w:r>
      <w:r w:rsidR="003F699D">
        <w:rPr>
          <w:rStyle w:val="cf01"/>
          <w:rFonts w:ascii="Arial" w:hAnsi="Arial" w:cs="Arial"/>
          <w:sz w:val="24"/>
          <w:szCs w:val="24"/>
        </w:rPr>
        <w:t>ent to consider this first before then considering route A-B.</w:t>
      </w:r>
    </w:p>
    <w:p w14:paraId="20B71347" w14:textId="77777777" w:rsidR="00A96406" w:rsidRPr="00212B58" w:rsidRDefault="00A96406" w:rsidP="00A96406">
      <w:pPr>
        <w:pStyle w:val="ListParagraph"/>
        <w:ind w:left="432" w:firstLine="0"/>
        <w:rPr>
          <w:rFonts w:ascii="Arial" w:hAnsi="Arial" w:cs="Arial"/>
          <w:b/>
          <w:bCs/>
          <w:sz w:val="24"/>
          <w:szCs w:val="24"/>
        </w:rPr>
      </w:pPr>
      <w:r w:rsidRPr="00212B58">
        <w:rPr>
          <w:rFonts w:ascii="Arial" w:hAnsi="Arial" w:cs="Arial"/>
          <w:b/>
          <w:bCs/>
          <w:sz w:val="24"/>
          <w:szCs w:val="24"/>
        </w:rPr>
        <w:t>Reasons</w:t>
      </w:r>
    </w:p>
    <w:p w14:paraId="1F9E23A5" w14:textId="77777777" w:rsidR="00A96406" w:rsidRPr="00212B58" w:rsidRDefault="00A96406" w:rsidP="00A96406">
      <w:pPr>
        <w:pStyle w:val="ListParagraph"/>
        <w:ind w:left="432" w:firstLine="0"/>
        <w:rPr>
          <w:rFonts w:ascii="Arial" w:hAnsi="Arial" w:cs="Arial"/>
          <w:b/>
          <w:bCs/>
          <w:sz w:val="24"/>
          <w:szCs w:val="24"/>
        </w:rPr>
      </w:pPr>
    </w:p>
    <w:p w14:paraId="2A6B3D39" w14:textId="77777777" w:rsidR="00A96406" w:rsidRPr="00212B58" w:rsidRDefault="00A96406" w:rsidP="00A96406">
      <w:pPr>
        <w:pStyle w:val="ListParagraph"/>
        <w:ind w:left="432" w:firstLine="0"/>
        <w:rPr>
          <w:rFonts w:ascii="Arial" w:hAnsi="Arial" w:cs="Arial"/>
          <w:b/>
          <w:bCs/>
          <w:i/>
          <w:iCs/>
          <w:sz w:val="24"/>
          <w:szCs w:val="24"/>
        </w:rPr>
      </w:pPr>
      <w:r w:rsidRPr="00212B58">
        <w:rPr>
          <w:rFonts w:ascii="Arial" w:hAnsi="Arial" w:cs="Arial"/>
          <w:b/>
          <w:bCs/>
          <w:i/>
          <w:iCs/>
          <w:sz w:val="24"/>
          <w:szCs w:val="24"/>
        </w:rPr>
        <w:t>Route A-C-D</w:t>
      </w:r>
    </w:p>
    <w:p w14:paraId="5712BCF4" w14:textId="77777777" w:rsidR="00BB2CB6" w:rsidRPr="00212B58" w:rsidRDefault="0068238F" w:rsidP="00BB2CB6">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The essence of the appellant’s argument is that this is a case of mistaken identity. It is necessary therefore to consider why the route was included on the DMS for the area in the first instance. This in turn requires assessing the documentary evidence.</w:t>
      </w:r>
    </w:p>
    <w:p w14:paraId="654C937C" w14:textId="77777777" w:rsidR="00BB2CB6" w:rsidRPr="00212B58" w:rsidRDefault="0068238F" w:rsidP="00BB2CB6">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 xml:space="preserve">The route A to D appears on various maps and documents. It is shown on the Greenwood map of 1826-27, on which the alignment broadly corresponds with existing recorded rights of way at this location. The Greenwood map showed both public and private </w:t>
      </w:r>
      <w:proofErr w:type="gramStart"/>
      <w:r w:rsidRPr="00212B58">
        <w:rPr>
          <w:rFonts w:ascii="Arial" w:hAnsi="Arial" w:cs="Arial"/>
          <w:sz w:val="24"/>
          <w:szCs w:val="24"/>
        </w:rPr>
        <w:t>ways, and</w:t>
      </w:r>
      <w:proofErr w:type="gramEnd"/>
      <w:r w:rsidRPr="00212B58">
        <w:rPr>
          <w:rFonts w:ascii="Arial" w:hAnsi="Arial" w:cs="Arial"/>
          <w:sz w:val="24"/>
          <w:szCs w:val="24"/>
        </w:rPr>
        <w:t xml:space="preserve"> is therefore is not in itself an indication of public of a public right of way. </w:t>
      </w:r>
    </w:p>
    <w:p w14:paraId="5D6D1AE7" w14:textId="4454A343" w:rsidR="00BB2CB6" w:rsidRPr="00212B58" w:rsidRDefault="0068238F" w:rsidP="00BB2CB6">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The route is clearly identifiable on the 1840 Tithe Map as being depicted in a colour</w:t>
      </w:r>
      <w:r w:rsidR="00567D01">
        <w:rPr>
          <w:rFonts w:ascii="Arial" w:hAnsi="Arial" w:cs="Arial"/>
          <w:sz w:val="24"/>
          <w:szCs w:val="24"/>
        </w:rPr>
        <w:t>,</w:t>
      </w:r>
      <w:r w:rsidRPr="00212B58">
        <w:rPr>
          <w:rFonts w:ascii="Arial" w:hAnsi="Arial" w:cs="Arial"/>
          <w:sz w:val="24"/>
          <w:szCs w:val="24"/>
        </w:rPr>
        <w:t xml:space="preserve"> using a sienna wash, which makes it distinct from the surrounding apportionment. This is typically good evidence that the route was being used by the public, insofar as it was in the interest of landowners to exclude unproductive land so as not to be subject to tax. The route is depicted on the Tithe Map as following the current line of Byway 34.</w:t>
      </w:r>
    </w:p>
    <w:p w14:paraId="72DDF44B" w14:textId="7760F392" w:rsidR="0068238F" w:rsidRPr="00212B58" w:rsidRDefault="0068238F" w:rsidP="00BB2CB6">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 xml:space="preserve">Records produced in relation to the Finance Act 1910 show a not-insignificant deduction for rights of way for the </w:t>
      </w:r>
      <w:bookmarkStart w:id="2" w:name="_Hlk158137268"/>
      <w:r w:rsidRPr="00212B58">
        <w:rPr>
          <w:rFonts w:ascii="Arial" w:hAnsi="Arial" w:cs="Arial"/>
          <w:sz w:val="24"/>
          <w:szCs w:val="24"/>
        </w:rPr>
        <w:t>hereditament</w:t>
      </w:r>
      <w:bookmarkEnd w:id="2"/>
      <w:r w:rsidRPr="00212B58">
        <w:rPr>
          <w:rFonts w:ascii="Arial" w:hAnsi="Arial" w:cs="Arial"/>
          <w:sz w:val="24"/>
          <w:szCs w:val="24"/>
        </w:rPr>
        <w:t xml:space="preserve"> crossed by route A-C. This is indicative of the route being a public right of way at that time. This is more likely than not to coincide with existing tracks recorded on the underlying Ordnance Survey (OS) map on which the various hereditaments are plotted, one of which coincides for a large part of its length between A-C.</w:t>
      </w:r>
    </w:p>
    <w:p w14:paraId="1593DFC9" w14:textId="6166FCE5" w:rsidR="005D4F22" w:rsidRPr="00867554" w:rsidRDefault="0068238F" w:rsidP="00867554">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Neither the 1879 OS map nor that produced in 1888 include the full extent of the track that coincides with Byway 34. As the Council points out, this might suggest that with two immediately adjacent paths heading towards the same destination, one had been allowed to fall into disrepair. Nevertheless, by 1895, the route had been reinstated on OS maps and thereafter a well-defined track on that line is shown on the OS maps until at least 1950. Whilst the inclusion of a way on an OS map provides no evidence as to the status of that route, it is a good indication of the physical presence of that route at those times.</w:t>
      </w:r>
    </w:p>
    <w:p w14:paraId="64B90482" w14:textId="77777777" w:rsidR="00BB2CB6" w:rsidRPr="00212B58" w:rsidRDefault="0068238F" w:rsidP="00BB2CB6">
      <w:pPr>
        <w:numPr>
          <w:ilvl w:val="0"/>
          <w:numId w:val="26"/>
        </w:numPr>
        <w:spacing w:after="202" w:line="249" w:lineRule="auto"/>
        <w:ind w:hanging="360"/>
        <w:rPr>
          <w:rFonts w:ascii="Arial" w:hAnsi="Arial" w:cs="Arial"/>
          <w:sz w:val="24"/>
          <w:szCs w:val="24"/>
        </w:rPr>
      </w:pPr>
      <w:r w:rsidRPr="00212B58">
        <w:rPr>
          <w:rFonts w:ascii="Arial" w:hAnsi="Arial" w:cs="Arial"/>
          <w:sz w:val="24"/>
          <w:szCs w:val="24"/>
        </w:rPr>
        <w:t xml:space="preserve">Pursuant to the provisions of the National Parks &amp; Access to the Countryside Act 1949 (the 1949 Act), Parish Councils were required to carry out a survey of all the public rights of way in the parish as part of the Definitive Map (DM) process.  An extract from the original Mullion Parish Survey from 1951 shows path 34 running to </w:t>
      </w:r>
      <w:r w:rsidRPr="00212B58">
        <w:rPr>
          <w:rFonts w:ascii="Arial" w:hAnsi="Arial" w:cs="Arial"/>
          <w:sz w:val="24"/>
          <w:szCs w:val="24"/>
        </w:rPr>
        <w:lastRenderedPageBreak/>
        <w:t xml:space="preserve">the north of </w:t>
      </w:r>
      <w:proofErr w:type="spellStart"/>
      <w:r w:rsidRPr="00212B58">
        <w:rPr>
          <w:rFonts w:ascii="Arial" w:hAnsi="Arial" w:cs="Arial"/>
          <w:sz w:val="24"/>
          <w:szCs w:val="24"/>
        </w:rPr>
        <w:t>Polbream</w:t>
      </w:r>
      <w:proofErr w:type="spellEnd"/>
      <w:r w:rsidRPr="00212B58">
        <w:rPr>
          <w:rFonts w:ascii="Arial" w:hAnsi="Arial" w:cs="Arial"/>
          <w:sz w:val="24"/>
          <w:szCs w:val="24"/>
        </w:rPr>
        <w:t xml:space="preserve">, largely coinciding with the position of the track that was shown on large-scale OS maps from around 1908. The description in the Schedule to accompany the Parish Map in 1951 identifies the route as Cart Road used as Footpath (CRF). On my reading of that map, a copy of which is provided as part of the Council’s evidence, path 34 is clearly now route A-D, as may be judged by its position in relation to the property known as </w:t>
      </w:r>
      <w:proofErr w:type="spellStart"/>
      <w:r w:rsidRPr="00212B58">
        <w:rPr>
          <w:rFonts w:ascii="Arial" w:hAnsi="Arial" w:cs="Arial"/>
          <w:sz w:val="24"/>
          <w:szCs w:val="24"/>
        </w:rPr>
        <w:t>Polbream</w:t>
      </w:r>
      <w:proofErr w:type="spellEnd"/>
      <w:r w:rsidRPr="00212B58">
        <w:rPr>
          <w:rFonts w:ascii="Arial" w:hAnsi="Arial" w:cs="Arial"/>
          <w:sz w:val="24"/>
          <w:szCs w:val="24"/>
        </w:rPr>
        <w:t xml:space="preserve">.  </w:t>
      </w:r>
    </w:p>
    <w:p w14:paraId="1B540043" w14:textId="1922BCFD" w:rsidR="0068238F" w:rsidRPr="00212B58" w:rsidRDefault="0068238F" w:rsidP="00BB2CB6">
      <w:pPr>
        <w:numPr>
          <w:ilvl w:val="0"/>
          <w:numId w:val="26"/>
        </w:numPr>
        <w:spacing w:after="202" w:line="249" w:lineRule="auto"/>
        <w:ind w:hanging="360"/>
        <w:rPr>
          <w:rFonts w:ascii="Arial" w:hAnsi="Arial" w:cs="Arial"/>
          <w:sz w:val="24"/>
          <w:szCs w:val="24"/>
        </w:rPr>
      </w:pPr>
      <w:r w:rsidRPr="00212B58">
        <w:rPr>
          <w:rFonts w:ascii="Arial" w:hAnsi="Arial" w:cs="Arial"/>
          <w:sz w:val="24"/>
          <w:szCs w:val="24"/>
        </w:rPr>
        <w:t>The First Edition of the DM was published in 1968, on which the route (now A-D) was recorded as Byway 34. On my reading of the evidence before me, there is nothing in the DM records to indicate that this route was recorded in error. On the contrary, the inclusion of the route on the DM appears to have logically followed from the original Mullion Parish Survey in 1951.</w:t>
      </w:r>
    </w:p>
    <w:p w14:paraId="009ADABE" w14:textId="77777777" w:rsidR="0068238F" w:rsidRPr="00212B58" w:rsidRDefault="0068238F" w:rsidP="0068238F">
      <w:pPr>
        <w:numPr>
          <w:ilvl w:val="0"/>
          <w:numId w:val="26"/>
        </w:numPr>
        <w:spacing w:after="202" w:line="249" w:lineRule="auto"/>
        <w:ind w:hanging="360"/>
        <w:rPr>
          <w:rFonts w:ascii="Arial" w:hAnsi="Arial" w:cs="Arial"/>
          <w:sz w:val="24"/>
          <w:szCs w:val="24"/>
        </w:rPr>
      </w:pPr>
      <w:r w:rsidRPr="00212B58">
        <w:rPr>
          <w:rFonts w:ascii="Arial" w:hAnsi="Arial" w:cs="Arial"/>
          <w:sz w:val="24"/>
          <w:szCs w:val="24"/>
        </w:rPr>
        <w:t xml:space="preserve">In 1972, the DM was subject to a Limited Special Review (LSW). Following a survey undertaken in March 1970, the Parish Council addressed the requirements for reclassification of the CRF and confirmed that CRF 34 as shown on the DM was a road used as a public path suitable for vehicular traffic. The alignment of the route that was considered during the LSW but was not changed. Neither did the then owner of </w:t>
      </w:r>
      <w:proofErr w:type="spellStart"/>
      <w:r w:rsidRPr="00212B58">
        <w:rPr>
          <w:rFonts w:ascii="Arial" w:hAnsi="Arial" w:cs="Arial"/>
          <w:sz w:val="24"/>
          <w:szCs w:val="24"/>
        </w:rPr>
        <w:t>Polbream</w:t>
      </w:r>
      <w:proofErr w:type="spellEnd"/>
      <w:r w:rsidRPr="00212B58">
        <w:rPr>
          <w:rFonts w:ascii="Arial" w:hAnsi="Arial" w:cs="Arial"/>
          <w:sz w:val="24"/>
          <w:szCs w:val="24"/>
        </w:rPr>
        <w:t xml:space="preserve"> take the opportunity to dispute the alignment of the way, albeit I recognise that there may have been reasons why that that was not done.</w:t>
      </w:r>
    </w:p>
    <w:p w14:paraId="4FC65AAD" w14:textId="77777777" w:rsidR="0068238F" w:rsidRPr="00212B58" w:rsidRDefault="0068238F" w:rsidP="0068238F">
      <w:pPr>
        <w:numPr>
          <w:ilvl w:val="0"/>
          <w:numId w:val="26"/>
        </w:numPr>
        <w:spacing w:after="202" w:line="249" w:lineRule="auto"/>
        <w:ind w:hanging="360"/>
        <w:rPr>
          <w:rFonts w:ascii="Arial" w:hAnsi="Arial" w:cs="Arial"/>
          <w:sz w:val="24"/>
          <w:szCs w:val="24"/>
        </w:rPr>
      </w:pPr>
      <w:r w:rsidRPr="00212B58">
        <w:rPr>
          <w:rFonts w:ascii="Arial" w:hAnsi="Arial" w:cs="Arial"/>
          <w:sz w:val="24"/>
          <w:szCs w:val="24"/>
        </w:rPr>
        <w:t xml:space="preserve">The photographic evidence is inconclusive. The aerial photographs taken in 1946, 1988 and 1996 appear to show the continuation of Byway 34 across the front of </w:t>
      </w:r>
      <w:proofErr w:type="spellStart"/>
      <w:r w:rsidRPr="00212B58">
        <w:rPr>
          <w:rFonts w:ascii="Arial" w:hAnsi="Arial" w:cs="Arial"/>
          <w:sz w:val="24"/>
          <w:szCs w:val="24"/>
        </w:rPr>
        <w:t>Polbream</w:t>
      </w:r>
      <w:proofErr w:type="spellEnd"/>
      <w:r w:rsidRPr="00212B58">
        <w:rPr>
          <w:rFonts w:ascii="Arial" w:hAnsi="Arial" w:cs="Arial"/>
          <w:sz w:val="24"/>
          <w:szCs w:val="24"/>
        </w:rPr>
        <w:t xml:space="preserve">, albeit there is then no evidence of the path then continuing westwards to join Footpath 57 Mullion. The later aerial photographs are less clear in that respect. The existing side entrance first appears in the photograph taken in </w:t>
      </w:r>
      <w:proofErr w:type="gramStart"/>
      <w:r w:rsidRPr="00212B58">
        <w:rPr>
          <w:rFonts w:ascii="Arial" w:hAnsi="Arial" w:cs="Arial"/>
          <w:sz w:val="24"/>
          <w:szCs w:val="24"/>
        </w:rPr>
        <w:t>2000, and</w:t>
      </w:r>
      <w:proofErr w:type="gramEnd"/>
      <w:r w:rsidRPr="00212B58">
        <w:rPr>
          <w:rFonts w:ascii="Arial" w:hAnsi="Arial" w:cs="Arial"/>
          <w:sz w:val="24"/>
          <w:szCs w:val="24"/>
        </w:rPr>
        <w:t xml:space="preserve"> is omnipresent thereafter. The aerial photographs do, however, confirm the physical presence of the majority of route A-D from 1946 onwards, although this provides no evidence as to the status of the route. </w:t>
      </w:r>
    </w:p>
    <w:p w14:paraId="65F68620" w14:textId="77777777" w:rsidR="006D2F0A" w:rsidRPr="00212B58" w:rsidRDefault="0068238F" w:rsidP="006D2F0A">
      <w:pPr>
        <w:numPr>
          <w:ilvl w:val="0"/>
          <w:numId w:val="26"/>
        </w:numPr>
        <w:spacing w:after="202" w:line="249" w:lineRule="auto"/>
        <w:ind w:hanging="360"/>
        <w:rPr>
          <w:rFonts w:ascii="Arial" w:hAnsi="Arial" w:cs="Arial"/>
          <w:sz w:val="24"/>
          <w:szCs w:val="24"/>
        </w:rPr>
      </w:pPr>
      <w:r w:rsidRPr="00212B58">
        <w:rPr>
          <w:rFonts w:ascii="Arial" w:hAnsi="Arial" w:cs="Arial"/>
          <w:sz w:val="24"/>
          <w:szCs w:val="24"/>
        </w:rPr>
        <w:t xml:space="preserve">In summary, when looked at in the round, the documentary evidence points towards a long-standing public use of the route A-D. In particular, the inclusion of route A-D on the Definitive Map (and the fact that the alignment was not altered following the LSW in 1972) carries significant weight. </w:t>
      </w:r>
    </w:p>
    <w:p w14:paraId="339E6622" w14:textId="77777777" w:rsidR="00706082" w:rsidRDefault="0068238F" w:rsidP="006D2F0A">
      <w:pPr>
        <w:numPr>
          <w:ilvl w:val="0"/>
          <w:numId w:val="26"/>
        </w:numPr>
        <w:spacing w:after="202" w:line="249" w:lineRule="auto"/>
        <w:ind w:hanging="360"/>
        <w:rPr>
          <w:rFonts w:ascii="Arial" w:hAnsi="Arial" w:cs="Arial"/>
          <w:sz w:val="24"/>
          <w:szCs w:val="24"/>
        </w:rPr>
      </w:pPr>
      <w:r w:rsidRPr="00212B58">
        <w:rPr>
          <w:rFonts w:ascii="Arial" w:hAnsi="Arial" w:cs="Arial"/>
          <w:sz w:val="24"/>
          <w:szCs w:val="24"/>
        </w:rPr>
        <w:t xml:space="preserve">Having seen the photographs provided by the appellant, the steepness of the terrain is readily apparent. I can fully understand why the appellant considers that Route A-C-D was included on the DMS in error. But that is simply not the case. The evidence clearly shows that Route A-C-D is the route identified in the Mullion Parish Survey in 1951 was the intended route. That route itself follows the alignment shown on previous maps from as early as 1826. The alignment was re-surveyed in 1970 as part of the LSW. It is reasonable to conclude that, if an error had been made, then it would have been discovered in that survey. In the event, the continued inclusion of Route A-C-D in the DMS following the LSW was not challenged by the then landowner. </w:t>
      </w:r>
    </w:p>
    <w:p w14:paraId="6C6AAB6A" w14:textId="64AAA159" w:rsidR="006D2F0A" w:rsidRPr="00212B58" w:rsidRDefault="00706082" w:rsidP="006D2F0A">
      <w:pPr>
        <w:numPr>
          <w:ilvl w:val="0"/>
          <w:numId w:val="26"/>
        </w:numPr>
        <w:spacing w:after="202" w:line="249" w:lineRule="auto"/>
        <w:ind w:hanging="360"/>
        <w:rPr>
          <w:rFonts w:ascii="Arial" w:hAnsi="Arial" w:cs="Arial"/>
          <w:sz w:val="24"/>
          <w:szCs w:val="24"/>
        </w:rPr>
      </w:pPr>
      <w:r>
        <w:rPr>
          <w:rFonts w:ascii="Arial" w:hAnsi="Arial" w:cs="Arial"/>
          <w:sz w:val="24"/>
          <w:szCs w:val="24"/>
        </w:rPr>
        <w:t xml:space="preserve">Several </w:t>
      </w:r>
      <w:r w:rsidR="00A94AA0">
        <w:rPr>
          <w:rFonts w:ascii="Arial" w:hAnsi="Arial" w:cs="Arial"/>
          <w:sz w:val="24"/>
          <w:szCs w:val="24"/>
        </w:rPr>
        <w:t xml:space="preserve">of the </w:t>
      </w:r>
      <w:r w:rsidR="00A94AA0" w:rsidRPr="00212B58">
        <w:rPr>
          <w:rFonts w:ascii="Arial" w:hAnsi="Arial" w:cs="Arial"/>
          <w:sz w:val="24"/>
          <w:szCs w:val="24"/>
        </w:rPr>
        <w:t xml:space="preserve">User Evidence Forms (UEFs) </w:t>
      </w:r>
      <w:r w:rsidR="00FA7C68">
        <w:rPr>
          <w:rFonts w:ascii="Arial" w:hAnsi="Arial" w:cs="Arial"/>
          <w:sz w:val="24"/>
          <w:szCs w:val="24"/>
        </w:rPr>
        <w:t xml:space="preserve">that have been </w:t>
      </w:r>
      <w:r w:rsidR="00A94AA0">
        <w:rPr>
          <w:rFonts w:ascii="Arial" w:hAnsi="Arial" w:cs="Arial"/>
          <w:sz w:val="24"/>
          <w:szCs w:val="24"/>
        </w:rPr>
        <w:t xml:space="preserve">submitted </w:t>
      </w:r>
      <w:r w:rsidR="00BD5C3F">
        <w:rPr>
          <w:rFonts w:ascii="Arial" w:hAnsi="Arial" w:cs="Arial"/>
          <w:sz w:val="24"/>
          <w:szCs w:val="24"/>
        </w:rPr>
        <w:t xml:space="preserve">indicate that the respondent was not aware </w:t>
      </w:r>
      <w:r w:rsidR="00FA7C68">
        <w:rPr>
          <w:rFonts w:ascii="Arial" w:hAnsi="Arial" w:cs="Arial"/>
          <w:sz w:val="24"/>
          <w:szCs w:val="24"/>
        </w:rPr>
        <w:t xml:space="preserve">that there was a footpath along </w:t>
      </w:r>
      <w:r w:rsidR="0087158B">
        <w:rPr>
          <w:rFonts w:ascii="Arial" w:hAnsi="Arial" w:cs="Arial"/>
          <w:sz w:val="24"/>
          <w:szCs w:val="24"/>
        </w:rPr>
        <w:t xml:space="preserve">route A-C-D. </w:t>
      </w:r>
      <w:r w:rsidR="003C0B78">
        <w:rPr>
          <w:rFonts w:ascii="Arial" w:hAnsi="Arial" w:cs="Arial"/>
          <w:sz w:val="24"/>
          <w:szCs w:val="24"/>
        </w:rPr>
        <w:t>I accept without hesitation that the views express</w:t>
      </w:r>
      <w:r w:rsidR="00B53E84">
        <w:rPr>
          <w:rFonts w:ascii="Arial" w:hAnsi="Arial" w:cs="Arial"/>
          <w:sz w:val="24"/>
          <w:szCs w:val="24"/>
        </w:rPr>
        <w:t>ed</w:t>
      </w:r>
      <w:r w:rsidR="003C0B78">
        <w:rPr>
          <w:rFonts w:ascii="Arial" w:hAnsi="Arial" w:cs="Arial"/>
          <w:sz w:val="24"/>
          <w:szCs w:val="24"/>
        </w:rPr>
        <w:t xml:space="preserve"> </w:t>
      </w:r>
      <w:r w:rsidR="00EF1B10">
        <w:rPr>
          <w:rFonts w:ascii="Arial" w:hAnsi="Arial" w:cs="Arial"/>
          <w:sz w:val="24"/>
          <w:szCs w:val="24"/>
        </w:rPr>
        <w:t xml:space="preserve">are </w:t>
      </w:r>
      <w:r w:rsidR="003C0B78">
        <w:rPr>
          <w:rFonts w:ascii="Arial" w:hAnsi="Arial" w:cs="Arial"/>
          <w:sz w:val="24"/>
          <w:szCs w:val="24"/>
        </w:rPr>
        <w:t xml:space="preserve">genuinely held. </w:t>
      </w:r>
      <w:r w:rsidR="003338BA">
        <w:rPr>
          <w:rFonts w:ascii="Arial" w:hAnsi="Arial" w:cs="Arial"/>
          <w:sz w:val="24"/>
          <w:szCs w:val="24"/>
        </w:rPr>
        <w:t xml:space="preserve">However, for the reasons set out above, </w:t>
      </w:r>
      <w:r w:rsidR="00EF1B10">
        <w:rPr>
          <w:rFonts w:ascii="Arial" w:hAnsi="Arial" w:cs="Arial"/>
          <w:sz w:val="24"/>
          <w:szCs w:val="24"/>
        </w:rPr>
        <w:t>there is clear evidence that</w:t>
      </w:r>
      <w:r w:rsidR="0068238F" w:rsidRPr="00212B58">
        <w:rPr>
          <w:rFonts w:ascii="Arial" w:hAnsi="Arial" w:cs="Arial"/>
          <w:sz w:val="24"/>
          <w:szCs w:val="24"/>
        </w:rPr>
        <w:t xml:space="preserve"> </w:t>
      </w:r>
      <w:r w:rsidR="00872D23">
        <w:rPr>
          <w:rFonts w:ascii="Arial" w:hAnsi="Arial" w:cs="Arial"/>
          <w:sz w:val="24"/>
          <w:szCs w:val="24"/>
        </w:rPr>
        <w:t xml:space="preserve">route A-C-D was recorded on the DMS, albeit </w:t>
      </w:r>
      <w:r w:rsidR="00B12B97">
        <w:rPr>
          <w:rFonts w:ascii="Arial" w:hAnsi="Arial" w:cs="Arial"/>
          <w:sz w:val="24"/>
          <w:szCs w:val="24"/>
        </w:rPr>
        <w:t xml:space="preserve">the respondents were </w:t>
      </w:r>
      <w:r w:rsidR="00AA1596">
        <w:rPr>
          <w:rFonts w:ascii="Arial" w:hAnsi="Arial" w:cs="Arial"/>
          <w:sz w:val="24"/>
          <w:szCs w:val="24"/>
        </w:rPr>
        <w:t>clearly not aware of that.</w:t>
      </w:r>
    </w:p>
    <w:p w14:paraId="1BE4E5FA" w14:textId="5C8AF325" w:rsidR="0068238F" w:rsidRPr="00212B58" w:rsidRDefault="0068238F" w:rsidP="006D2F0A">
      <w:pPr>
        <w:numPr>
          <w:ilvl w:val="0"/>
          <w:numId w:val="26"/>
        </w:numPr>
        <w:spacing w:after="202" w:line="249" w:lineRule="auto"/>
        <w:ind w:hanging="360"/>
        <w:rPr>
          <w:rFonts w:ascii="Arial" w:hAnsi="Arial" w:cs="Arial"/>
          <w:sz w:val="24"/>
          <w:szCs w:val="24"/>
        </w:rPr>
      </w:pPr>
      <w:r w:rsidRPr="00212B58">
        <w:rPr>
          <w:rFonts w:ascii="Arial" w:hAnsi="Arial" w:cs="Arial"/>
          <w:sz w:val="24"/>
          <w:szCs w:val="24"/>
        </w:rPr>
        <w:lastRenderedPageBreak/>
        <w:t>There must be presumption that the way is as shown on the DMS, unless there is evidence to establish that the way should be shown as being of a different status or not shown at all. In relation to the route A-C-D, there is</w:t>
      </w:r>
      <w:r w:rsidR="001D6F71">
        <w:rPr>
          <w:rFonts w:ascii="Arial" w:hAnsi="Arial" w:cs="Arial"/>
          <w:sz w:val="24"/>
          <w:szCs w:val="24"/>
        </w:rPr>
        <w:t xml:space="preserve"> </w:t>
      </w:r>
      <w:r w:rsidR="00212B58" w:rsidRPr="00212B58">
        <w:rPr>
          <w:rStyle w:val="cf01"/>
          <w:rFonts w:ascii="Arial" w:hAnsi="Arial" w:cs="Arial"/>
          <w:sz w:val="24"/>
          <w:szCs w:val="24"/>
        </w:rPr>
        <w:t xml:space="preserve">no cogent evidence to displace the evidence recording the route on the DMS </w:t>
      </w:r>
      <w:r w:rsidR="001D6F71">
        <w:rPr>
          <w:rStyle w:val="cf01"/>
          <w:rFonts w:ascii="Arial" w:hAnsi="Arial" w:cs="Arial"/>
          <w:sz w:val="24"/>
          <w:szCs w:val="24"/>
        </w:rPr>
        <w:t>in 1968</w:t>
      </w:r>
      <w:r w:rsidRPr="00212B58">
        <w:rPr>
          <w:rFonts w:ascii="Arial" w:hAnsi="Arial" w:cs="Arial"/>
          <w:sz w:val="24"/>
          <w:szCs w:val="24"/>
        </w:rPr>
        <w:t>.</w:t>
      </w:r>
    </w:p>
    <w:p w14:paraId="49DC4482" w14:textId="4B6BE1A4" w:rsidR="00F574B2" w:rsidRPr="00212B58" w:rsidRDefault="00F574B2" w:rsidP="00F574B2">
      <w:pPr>
        <w:spacing w:after="202" w:line="249" w:lineRule="auto"/>
        <w:ind w:left="432"/>
        <w:rPr>
          <w:rFonts w:ascii="Arial" w:hAnsi="Arial" w:cs="Arial"/>
          <w:b/>
          <w:bCs/>
          <w:sz w:val="24"/>
          <w:szCs w:val="24"/>
        </w:rPr>
      </w:pPr>
      <w:r w:rsidRPr="00212B58">
        <w:rPr>
          <w:rFonts w:ascii="Arial" w:hAnsi="Arial" w:cs="Arial"/>
          <w:b/>
          <w:bCs/>
          <w:sz w:val="24"/>
          <w:szCs w:val="24"/>
        </w:rPr>
        <w:t>Route A-B</w:t>
      </w:r>
    </w:p>
    <w:p w14:paraId="0CFC4DA0" w14:textId="038067F8" w:rsidR="00F574B2" w:rsidRDefault="00F574B2" w:rsidP="00F574B2">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The application was submitted on 2 December 2004. In the absence of any other acts by the landowner, the submission of that application may be taken as bringing the use of way into question. It is therefore necessary for the applicant to show that the use of the way (Route A</w:t>
      </w:r>
      <w:r w:rsidR="00B12B2A" w:rsidRPr="00212B58">
        <w:rPr>
          <w:rFonts w:ascii="Arial" w:hAnsi="Arial" w:cs="Arial"/>
          <w:sz w:val="24"/>
          <w:szCs w:val="24"/>
        </w:rPr>
        <w:t>-</w:t>
      </w:r>
      <w:r w:rsidRPr="00212B58">
        <w:rPr>
          <w:rFonts w:ascii="Arial" w:hAnsi="Arial" w:cs="Arial"/>
          <w:sz w:val="24"/>
          <w:szCs w:val="24"/>
        </w:rPr>
        <w:t>B) has taken place as of right for a period of 2</w:t>
      </w:r>
      <w:r w:rsidR="008E75ED" w:rsidRPr="00212B58">
        <w:rPr>
          <w:rFonts w:ascii="Arial" w:hAnsi="Arial" w:cs="Arial"/>
          <w:sz w:val="24"/>
          <w:szCs w:val="24"/>
        </w:rPr>
        <w:t>0</w:t>
      </w:r>
      <w:r w:rsidRPr="00212B58">
        <w:rPr>
          <w:rFonts w:ascii="Arial" w:hAnsi="Arial" w:cs="Arial"/>
          <w:sz w:val="24"/>
          <w:szCs w:val="24"/>
        </w:rPr>
        <w:t xml:space="preserve"> years ending with the date on which the application was submitted.  The relevant dates are therefore 2 December 1984 to 2 December 2004.</w:t>
      </w:r>
    </w:p>
    <w:p w14:paraId="1BD69F4B" w14:textId="1CFBFC21" w:rsidR="001622F0" w:rsidRPr="009A17F3" w:rsidRDefault="001622F0" w:rsidP="009A17F3">
      <w:pPr>
        <w:numPr>
          <w:ilvl w:val="0"/>
          <w:numId w:val="26"/>
        </w:numPr>
        <w:spacing w:after="202" w:line="249" w:lineRule="auto"/>
        <w:ind w:hanging="432"/>
        <w:rPr>
          <w:rFonts w:ascii="Arial" w:hAnsi="Arial" w:cs="Arial"/>
          <w:sz w:val="24"/>
          <w:szCs w:val="24"/>
        </w:rPr>
      </w:pPr>
      <w:r>
        <w:rPr>
          <w:rStyle w:val="cf01"/>
          <w:rFonts w:ascii="Arial" w:hAnsi="Arial" w:cs="Arial"/>
          <w:sz w:val="24"/>
          <w:szCs w:val="24"/>
        </w:rPr>
        <w:t>T</w:t>
      </w:r>
      <w:r w:rsidRPr="0015738C">
        <w:rPr>
          <w:rStyle w:val="cf01"/>
          <w:rFonts w:ascii="Arial" w:hAnsi="Arial" w:cs="Arial"/>
          <w:sz w:val="24"/>
          <w:szCs w:val="24"/>
        </w:rPr>
        <w:t>he documentary evidence show</w:t>
      </w:r>
      <w:r>
        <w:rPr>
          <w:rStyle w:val="cf01"/>
          <w:rFonts w:ascii="Arial" w:hAnsi="Arial" w:cs="Arial"/>
          <w:sz w:val="24"/>
          <w:szCs w:val="24"/>
        </w:rPr>
        <w:t>s</w:t>
      </w:r>
      <w:r w:rsidRPr="0015738C">
        <w:rPr>
          <w:rStyle w:val="cf01"/>
          <w:rFonts w:ascii="Arial" w:hAnsi="Arial" w:cs="Arial"/>
          <w:sz w:val="24"/>
          <w:szCs w:val="24"/>
        </w:rPr>
        <w:t xml:space="preserve"> route A - C - D </w:t>
      </w:r>
      <w:r>
        <w:rPr>
          <w:rStyle w:val="cf01"/>
          <w:rFonts w:ascii="Arial" w:hAnsi="Arial" w:cs="Arial"/>
          <w:sz w:val="24"/>
          <w:szCs w:val="24"/>
        </w:rPr>
        <w:t>but</w:t>
      </w:r>
      <w:r w:rsidR="00325F67">
        <w:rPr>
          <w:rStyle w:val="cf01"/>
          <w:rFonts w:ascii="Arial" w:hAnsi="Arial" w:cs="Arial"/>
          <w:sz w:val="24"/>
          <w:szCs w:val="24"/>
        </w:rPr>
        <w:t xml:space="preserve"> </w:t>
      </w:r>
      <w:r>
        <w:rPr>
          <w:rStyle w:val="cf01"/>
          <w:rFonts w:ascii="Arial" w:hAnsi="Arial" w:cs="Arial"/>
          <w:sz w:val="24"/>
          <w:szCs w:val="24"/>
        </w:rPr>
        <w:t xml:space="preserve">route </w:t>
      </w:r>
      <w:r w:rsidRPr="0015738C">
        <w:rPr>
          <w:rStyle w:val="cf01"/>
          <w:rFonts w:ascii="Arial" w:hAnsi="Arial" w:cs="Arial"/>
          <w:sz w:val="24"/>
          <w:szCs w:val="24"/>
        </w:rPr>
        <w:t xml:space="preserve">A </w:t>
      </w:r>
      <w:r>
        <w:rPr>
          <w:rStyle w:val="cf01"/>
          <w:rFonts w:ascii="Arial" w:hAnsi="Arial" w:cs="Arial"/>
          <w:sz w:val="24"/>
          <w:szCs w:val="24"/>
        </w:rPr>
        <w:t>–</w:t>
      </w:r>
      <w:r w:rsidRPr="0015738C">
        <w:rPr>
          <w:rStyle w:val="cf01"/>
          <w:rFonts w:ascii="Arial" w:hAnsi="Arial" w:cs="Arial"/>
          <w:sz w:val="24"/>
          <w:szCs w:val="24"/>
        </w:rPr>
        <w:t xml:space="preserve"> B</w:t>
      </w:r>
      <w:r w:rsidR="00325F67">
        <w:rPr>
          <w:rStyle w:val="cf01"/>
          <w:rFonts w:ascii="Arial" w:hAnsi="Arial" w:cs="Arial"/>
          <w:sz w:val="24"/>
          <w:szCs w:val="24"/>
        </w:rPr>
        <w:t xml:space="preserve"> does not appear</w:t>
      </w:r>
      <w:r w:rsidR="009A17F3">
        <w:rPr>
          <w:rStyle w:val="cf01"/>
          <w:rFonts w:ascii="Arial" w:hAnsi="Arial" w:cs="Arial"/>
          <w:sz w:val="24"/>
          <w:szCs w:val="24"/>
        </w:rPr>
        <w:t xml:space="preserve"> in any form </w:t>
      </w:r>
      <w:r w:rsidR="00325F67">
        <w:rPr>
          <w:rStyle w:val="cf01"/>
          <w:rFonts w:ascii="Arial" w:hAnsi="Arial" w:cs="Arial"/>
          <w:sz w:val="24"/>
          <w:szCs w:val="24"/>
        </w:rPr>
        <w:t>until the OS map of 1961.</w:t>
      </w:r>
      <w:r w:rsidR="009A17F3">
        <w:rPr>
          <w:rStyle w:val="cf01"/>
          <w:rFonts w:ascii="Arial" w:hAnsi="Arial" w:cs="Arial"/>
          <w:sz w:val="24"/>
          <w:szCs w:val="24"/>
        </w:rPr>
        <w:t xml:space="preserve"> Even then, the route is far from being district.</w:t>
      </w:r>
      <w:r w:rsidR="00C95C97">
        <w:rPr>
          <w:rFonts w:ascii="Arial" w:hAnsi="Arial" w:cs="Arial"/>
          <w:sz w:val="24"/>
          <w:szCs w:val="24"/>
        </w:rPr>
        <w:t xml:space="preserve"> The documentary evidence is therefore of little assistance in </w:t>
      </w:r>
      <w:r w:rsidR="00B96C09">
        <w:rPr>
          <w:rFonts w:ascii="Arial" w:hAnsi="Arial" w:cs="Arial"/>
          <w:sz w:val="24"/>
          <w:szCs w:val="24"/>
        </w:rPr>
        <w:t>relation to this route.</w:t>
      </w:r>
    </w:p>
    <w:p w14:paraId="7A7571E2" w14:textId="70213A8E" w:rsidR="00F574B2" w:rsidRPr="00212B58" w:rsidRDefault="00F574B2" w:rsidP="00F574B2">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The application was supported by 11 User Evidence Forms (UEFs) completed in 2004 and 2005. Use of the way on foot was reported by only one witness for a period between 1974 and 2005, and therefore for the whole of the relevant period. Ten of the eleven witnesses did not provide any evidence of actual use of route A</w:t>
      </w:r>
      <w:r w:rsidR="008E75ED" w:rsidRPr="00212B58">
        <w:rPr>
          <w:rFonts w:ascii="Arial" w:hAnsi="Arial" w:cs="Arial"/>
          <w:sz w:val="24"/>
          <w:szCs w:val="24"/>
        </w:rPr>
        <w:t>-</w:t>
      </w:r>
      <w:r w:rsidRPr="00212B58">
        <w:rPr>
          <w:rFonts w:ascii="Arial" w:hAnsi="Arial" w:cs="Arial"/>
          <w:sz w:val="24"/>
          <w:szCs w:val="24"/>
        </w:rPr>
        <w:t xml:space="preserve">B. Those respondents simply stated on their UEFs that to their knowledge there had never been a right of way over </w:t>
      </w:r>
      <w:proofErr w:type="spellStart"/>
      <w:r w:rsidRPr="00212B58">
        <w:rPr>
          <w:rFonts w:ascii="Arial" w:hAnsi="Arial" w:cs="Arial"/>
          <w:sz w:val="24"/>
          <w:szCs w:val="24"/>
        </w:rPr>
        <w:t>Polbream</w:t>
      </w:r>
      <w:proofErr w:type="spellEnd"/>
      <w:r w:rsidRPr="00212B58">
        <w:rPr>
          <w:rFonts w:ascii="Arial" w:hAnsi="Arial" w:cs="Arial"/>
          <w:sz w:val="24"/>
          <w:szCs w:val="24"/>
        </w:rPr>
        <w:t xml:space="preserve"> Drive, indicating that it has always been across </w:t>
      </w:r>
      <w:proofErr w:type="spellStart"/>
      <w:r w:rsidRPr="00212B58">
        <w:rPr>
          <w:rFonts w:ascii="Arial" w:hAnsi="Arial" w:cs="Arial"/>
          <w:sz w:val="24"/>
          <w:szCs w:val="24"/>
        </w:rPr>
        <w:t>Laflouder</w:t>
      </w:r>
      <w:proofErr w:type="spellEnd"/>
      <w:r w:rsidRPr="00212B58">
        <w:rPr>
          <w:rFonts w:ascii="Arial" w:hAnsi="Arial" w:cs="Arial"/>
          <w:sz w:val="24"/>
          <w:szCs w:val="24"/>
        </w:rPr>
        <w:t xml:space="preserve"> Lane.</w:t>
      </w:r>
    </w:p>
    <w:p w14:paraId="5FE56163" w14:textId="77777777" w:rsidR="006D2F0A" w:rsidRPr="00212B58" w:rsidRDefault="00F574B2" w:rsidP="006D2F0A">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 xml:space="preserve">The response by those 10 respondents may be an accurate description of their understanding of the situation, but it entirely misses the point of a UEF. The purpose of a UEF is to establish the frequency of the actual use and experience of the route by those individuals, this </w:t>
      </w:r>
      <w:proofErr w:type="gramStart"/>
      <w:r w:rsidRPr="00212B58">
        <w:rPr>
          <w:rFonts w:ascii="Arial" w:hAnsi="Arial" w:cs="Arial"/>
          <w:sz w:val="24"/>
          <w:szCs w:val="24"/>
        </w:rPr>
        <w:t>in order to</w:t>
      </w:r>
      <w:proofErr w:type="gramEnd"/>
      <w:r w:rsidRPr="00212B58">
        <w:rPr>
          <w:rFonts w:ascii="Arial" w:hAnsi="Arial" w:cs="Arial"/>
          <w:sz w:val="24"/>
          <w:szCs w:val="24"/>
        </w:rPr>
        <w:t xml:space="preserve"> </w:t>
      </w:r>
      <w:r w:rsidR="00D76973" w:rsidRPr="00212B58">
        <w:rPr>
          <w:rFonts w:ascii="Arial" w:hAnsi="Arial" w:cs="Arial"/>
          <w:sz w:val="24"/>
          <w:szCs w:val="24"/>
        </w:rPr>
        <w:t>establish whether</w:t>
      </w:r>
      <w:r w:rsidRPr="00212B58">
        <w:rPr>
          <w:rFonts w:ascii="Arial" w:hAnsi="Arial" w:cs="Arial"/>
          <w:sz w:val="24"/>
          <w:szCs w:val="24"/>
        </w:rPr>
        <w:t xml:space="preserve"> the route had been used as of right for the requisite 20-year period. The response by those 10 respondents adds nothing to the body of evidence in that respect. The evidence of the single individual is not</w:t>
      </w:r>
      <w:proofErr w:type="gramStart"/>
      <w:r w:rsidRPr="00212B58">
        <w:rPr>
          <w:rFonts w:ascii="Arial" w:hAnsi="Arial" w:cs="Arial"/>
          <w:sz w:val="24"/>
          <w:szCs w:val="24"/>
        </w:rPr>
        <w:t>, in itself, sufficient</w:t>
      </w:r>
      <w:proofErr w:type="gramEnd"/>
      <w:r w:rsidRPr="00212B58">
        <w:rPr>
          <w:rFonts w:ascii="Arial" w:hAnsi="Arial" w:cs="Arial"/>
          <w:sz w:val="24"/>
          <w:szCs w:val="24"/>
        </w:rPr>
        <w:t xml:space="preserve"> for that purpose.</w:t>
      </w:r>
    </w:p>
    <w:p w14:paraId="5739D5B0" w14:textId="77777777" w:rsidR="006D2F0A" w:rsidRPr="00212B58" w:rsidRDefault="00F574B2" w:rsidP="006D2F0A">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 xml:space="preserve">The same applies to the two letters from </w:t>
      </w:r>
      <w:proofErr w:type="gramStart"/>
      <w:r w:rsidRPr="00212B58">
        <w:rPr>
          <w:rFonts w:ascii="Arial" w:hAnsi="Arial" w:cs="Arial"/>
          <w:sz w:val="24"/>
          <w:szCs w:val="24"/>
        </w:rPr>
        <w:t>local residents</w:t>
      </w:r>
      <w:proofErr w:type="gramEnd"/>
      <w:r w:rsidRPr="00212B58">
        <w:rPr>
          <w:rFonts w:ascii="Arial" w:hAnsi="Arial" w:cs="Arial"/>
          <w:sz w:val="24"/>
          <w:szCs w:val="24"/>
        </w:rPr>
        <w:t xml:space="preserve"> submitted with the application, neither of which records any use of Route A</w:t>
      </w:r>
      <w:r w:rsidR="00E32691" w:rsidRPr="00212B58">
        <w:rPr>
          <w:rFonts w:ascii="Arial" w:hAnsi="Arial" w:cs="Arial"/>
          <w:sz w:val="24"/>
          <w:szCs w:val="24"/>
        </w:rPr>
        <w:t>-</w:t>
      </w:r>
      <w:r w:rsidRPr="00212B58">
        <w:rPr>
          <w:rFonts w:ascii="Arial" w:hAnsi="Arial" w:cs="Arial"/>
          <w:sz w:val="24"/>
          <w:szCs w:val="24"/>
        </w:rPr>
        <w:t xml:space="preserve">B.  </w:t>
      </w:r>
    </w:p>
    <w:p w14:paraId="488BC952" w14:textId="0A7F7861" w:rsidR="00F574B2" w:rsidRPr="00212B58" w:rsidRDefault="00F574B2" w:rsidP="006D2F0A">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 xml:space="preserve">The evidence of the landowners of </w:t>
      </w:r>
      <w:proofErr w:type="spellStart"/>
      <w:r w:rsidRPr="00212B58">
        <w:rPr>
          <w:rFonts w:ascii="Arial" w:hAnsi="Arial" w:cs="Arial"/>
          <w:sz w:val="24"/>
          <w:szCs w:val="24"/>
        </w:rPr>
        <w:t>Laflouder</w:t>
      </w:r>
      <w:proofErr w:type="spellEnd"/>
      <w:r w:rsidRPr="00212B58">
        <w:rPr>
          <w:rFonts w:ascii="Arial" w:hAnsi="Arial" w:cs="Arial"/>
          <w:sz w:val="24"/>
          <w:szCs w:val="24"/>
        </w:rPr>
        <w:t xml:space="preserve"> Lane is somewhat contradictory. The former owner occupier of ‘Meres Cliff’, a property adjoining </w:t>
      </w:r>
      <w:proofErr w:type="spellStart"/>
      <w:r w:rsidRPr="00212B58">
        <w:rPr>
          <w:rFonts w:ascii="Arial" w:hAnsi="Arial" w:cs="Arial"/>
          <w:sz w:val="24"/>
          <w:szCs w:val="24"/>
        </w:rPr>
        <w:t>Laflouder</w:t>
      </w:r>
      <w:proofErr w:type="spellEnd"/>
      <w:r w:rsidRPr="00212B58">
        <w:rPr>
          <w:rFonts w:ascii="Arial" w:hAnsi="Arial" w:cs="Arial"/>
          <w:sz w:val="24"/>
          <w:szCs w:val="24"/>
        </w:rPr>
        <w:t xml:space="preserve"> Lane, had witnessed use on foot in addition to the lane providing vehicular access to</w:t>
      </w:r>
      <w:r w:rsidR="00674517" w:rsidRPr="00212B58">
        <w:rPr>
          <w:rFonts w:ascii="Arial" w:hAnsi="Arial" w:cs="Arial"/>
          <w:sz w:val="24"/>
          <w:szCs w:val="24"/>
        </w:rPr>
        <w:t xml:space="preserve"> the property known </w:t>
      </w:r>
      <w:r w:rsidR="000475D7" w:rsidRPr="00212B58">
        <w:rPr>
          <w:rFonts w:ascii="Arial" w:hAnsi="Arial" w:cs="Arial"/>
          <w:sz w:val="24"/>
          <w:szCs w:val="24"/>
        </w:rPr>
        <w:t>‘</w:t>
      </w:r>
      <w:proofErr w:type="spellStart"/>
      <w:r w:rsidRPr="00212B58">
        <w:rPr>
          <w:rFonts w:ascii="Arial" w:hAnsi="Arial" w:cs="Arial"/>
          <w:sz w:val="24"/>
          <w:szCs w:val="24"/>
        </w:rPr>
        <w:t>Tresidder</w:t>
      </w:r>
      <w:proofErr w:type="spellEnd"/>
      <w:r w:rsidR="000475D7" w:rsidRPr="00212B58">
        <w:rPr>
          <w:rFonts w:ascii="Arial" w:hAnsi="Arial" w:cs="Arial"/>
          <w:sz w:val="24"/>
          <w:szCs w:val="24"/>
        </w:rPr>
        <w:t>’</w:t>
      </w:r>
      <w:r w:rsidRPr="00212B58">
        <w:rPr>
          <w:rFonts w:ascii="Arial" w:hAnsi="Arial" w:cs="Arial"/>
          <w:sz w:val="24"/>
          <w:szCs w:val="24"/>
        </w:rPr>
        <w:t xml:space="preserve">. One co-owner of </w:t>
      </w:r>
      <w:proofErr w:type="spellStart"/>
      <w:r w:rsidRPr="00212B58">
        <w:rPr>
          <w:rFonts w:ascii="Arial" w:hAnsi="Arial" w:cs="Arial"/>
          <w:sz w:val="24"/>
          <w:szCs w:val="24"/>
        </w:rPr>
        <w:t>Laflouder</w:t>
      </w:r>
      <w:proofErr w:type="spellEnd"/>
      <w:r w:rsidRPr="00212B58">
        <w:rPr>
          <w:rFonts w:ascii="Arial" w:hAnsi="Arial" w:cs="Arial"/>
          <w:sz w:val="24"/>
          <w:szCs w:val="24"/>
        </w:rPr>
        <w:t xml:space="preserve"> Lane, including land over which Route AB runs was aware of the public using the way on foot, by horse and with a vehicle. However, she assumed the latter was in a private capacity and did not consider the way to be public. Another co-owner of </w:t>
      </w:r>
      <w:proofErr w:type="spellStart"/>
      <w:r w:rsidRPr="00212B58">
        <w:rPr>
          <w:rFonts w:ascii="Arial" w:hAnsi="Arial" w:cs="Arial"/>
          <w:sz w:val="24"/>
          <w:szCs w:val="24"/>
        </w:rPr>
        <w:t>Laflouder</w:t>
      </w:r>
      <w:proofErr w:type="spellEnd"/>
      <w:r w:rsidRPr="00212B58">
        <w:rPr>
          <w:rFonts w:ascii="Arial" w:hAnsi="Arial" w:cs="Arial"/>
          <w:sz w:val="24"/>
          <w:szCs w:val="24"/>
        </w:rPr>
        <w:t xml:space="preserve"> Lane explained that to his knowledge the public had been using the way on foot, by horse or with a vehicle, but did not consider this way to be public.</w:t>
      </w:r>
    </w:p>
    <w:p w14:paraId="30032058" w14:textId="723D88C9" w:rsidR="00F574B2" w:rsidRPr="00212B58" w:rsidRDefault="00F574B2" w:rsidP="00F574B2">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 xml:space="preserve">The National Trust stated that there was no evidence for the proposed addition over </w:t>
      </w:r>
      <w:proofErr w:type="spellStart"/>
      <w:r w:rsidRPr="00212B58">
        <w:rPr>
          <w:rFonts w:ascii="Arial" w:hAnsi="Arial" w:cs="Arial"/>
          <w:sz w:val="24"/>
          <w:szCs w:val="24"/>
        </w:rPr>
        <w:t>Laflouder</w:t>
      </w:r>
      <w:proofErr w:type="spellEnd"/>
      <w:r w:rsidRPr="00212B58">
        <w:rPr>
          <w:rFonts w:ascii="Arial" w:hAnsi="Arial" w:cs="Arial"/>
          <w:sz w:val="24"/>
          <w:szCs w:val="24"/>
        </w:rPr>
        <w:t xml:space="preserve"> Lane because, other than the owner of </w:t>
      </w:r>
      <w:r w:rsidR="00184734" w:rsidRPr="00212B58">
        <w:rPr>
          <w:rFonts w:ascii="Arial" w:hAnsi="Arial" w:cs="Arial"/>
          <w:sz w:val="24"/>
          <w:szCs w:val="24"/>
        </w:rPr>
        <w:t>‘</w:t>
      </w:r>
      <w:proofErr w:type="spellStart"/>
      <w:r w:rsidRPr="00212B58">
        <w:rPr>
          <w:rFonts w:ascii="Arial" w:hAnsi="Arial" w:cs="Arial"/>
          <w:sz w:val="24"/>
          <w:szCs w:val="24"/>
        </w:rPr>
        <w:t>Tresidder</w:t>
      </w:r>
      <w:proofErr w:type="spellEnd"/>
      <w:r w:rsidR="00184734" w:rsidRPr="00212B58">
        <w:rPr>
          <w:rFonts w:ascii="Arial" w:hAnsi="Arial" w:cs="Arial"/>
          <w:sz w:val="24"/>
          <w:szCs w:val="24"/>
        </w:rPr>
        <w:t>’</w:t>
      </w:r>
      <w:r w:rsidRPr="00212B58">
        <w:rPr>
          <w:rFonts w:ascii="Arial" w:hAnsi="Arial" w:cs="Arial"/>
          <w:sz w:val="24"/>
          <w:szCs w:val="24"/>
        </w:rPr>
        <w:t xml:space="preserve"> who enjoys a private right of access over it, the route had not been used by anyone other than pedestrians. The National Trust stated that they have impliedly granted permission to the public to access their land at this location</w:t>
      </w:r>
      <w:r w:rsidR="00851FD7" w:rsidRPr="00212B58">
        <w:rPr>
          <w:rFonts w:ascii="Arial" w:hAnsi="Arial" w:cs="Arial"/>
          <w:sz w:val="24"/>
          <w:szCs w:val="24"/>
        </w:rPr>
        <w:t xml:space="preserve"> on foot</w:t>
      </w:r>
      <w:r w:rsidR="00BD5FD5" w:rsidRPr="00212B58">
        <w:rPr>
          <w:rFonts w:ascii="Arial" w:hAnsi="Arial" w:cs="Arial"/>
          <w:sz w:val="24"/>
          <w:szCs w:val="24"/>
        </w:rPr>
        <w:t xml:space="preserve"> only</w:t>
      </w:r>
      <w:r w:rsidRPr="00212B58">
        <w:rPr>
          <w:rFonts w:ascii="Arial" w:hAnsi="Arial" w:cs="Arial"/>
          <w:sz w:val="24"/>
          <w:szCs w:val="24"/>
        </w:rPr>
        <w:t>.</w:t>
      </w:r>
    </w:p>
    <w:p w14:paraId="2388C40D" w14:textId="77777777" w:rsidR="006D2F0A" w:rsidRPr="00212B58" w:rsidRDefault="00F574B2" w:rsidP="006D2F0A">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lastRenderedPageBreak/>
        <w:t>On the balance of probability, the evidence falls a long way short of showing that a right of way (of any description) subsists on Route A</w:t>
      </w:r>
      <w:r w:rsidR="00E32691" w:rsidRPr="00212B58">
        <w:rPr>
          <w:rFonts w:ascii="Arial" w:hAnsi="Arial" w:cs="Arial"/>
          <w:sz w:val="24"/>
          <w:szCs w:val="24"/>
        </w:rPr>
        <w:t>-</w:t>
      </w:r>
      <w:r w:rsidRPr="00212B58">
        <w:rPr>
          <w:rFonts w:ascii="Arial" w:hAnsi="Arial" w:cs="Arial"/>
          <w:sz w:val="24"/>
          <w:szCs w:val="24"/>
        </w:rPr>
        <w:t>B. The evidence therefore does not meet with Test A.</w:t>
      </w:r>
    </w:p>
    <w:p w14:paraId="449FA262" w14:textId="77777777" w:rsidR="006D2F0A" w:rsidRPr="00212B58" w:rsidRDefault="00F574B2" w:rsidP="006D2F0A">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However, there is no incontrovertible evidence that a right of way could not subsist on Route A</w:t>
      </w:r>
      <w:r w:rsidR="00E32691" w:rsidRPr="00212B58">
        <w:rPr>
          <w:rFonts w:ascii="Arial" w:hAnsi="Arial" w:cs="Arial"/>
          <w:sz w:val="24"/>
          <w:szCs w:val="24"/>
        </w:rPr>
        <w:t>-</w:t>
      </w:r>
      <w:r w:rsidRPr="00212B58">
        <w:rPr>
          <w:rFonts w:ascii="Arial" w:hAnsi="Arial" w:cs="Arial"/>
          <w:sz w:val="24"/>
          <w:szCs w:val="24"/>
        </w:rPr>
        <w:t>B. As landowners, the National Trust are aware of use of the route on foot and have acquiesced to that. I am also mindful that there is</w:t>
      </w:r>
      <w:r w:rsidR="002D5464" w:rsidRPr="00212B58">
        <w:rPr>
          <w:rFonts w:ascii="Arial" w:hAnsi="Arial" w:cs="Arial"/>
          <w:sz w:val="24"/>
          <w:szCs w:val="24"/>
        </w:rPr>
        <w:t xml:space="preserve"> </w:t>
      </w:r>
      <w:r w:rsidRPr="00212B58">
        <w:rPr>
          <w:rFonts w:ascii="Arial" w:hAnsi="Arial" w:cs="Arial"/>
          <w:sz w:val="24"/>
          <w:szCs w:val="24"/>
        </w:rPr>
        <w:t>belief amongst some landowners</w:t>
      </w:r>
      <w:r w:rsidR="00C950B6" w:rsidRPr="00212B58">
        <w:rPr>
          <w:rFonts w:ascii="Arial" w:hAnsi="Arial" w:cs="Arial"/>
          <w:sz w:val="24"/>
          <w:szCs w:val="24"/>
        </w:rPr>
        <w:t xml:space="preserve"> and </w:t>
      </w:r>
      <w:r w:rsidRPr="00212B58">
        <w:rPr>
          <w:rFonts w:ascii="Arial" w:hAnsi="Arial" w:cs="Arial"/>
          <w:sz w:val="24"/>
          <w:szCs w:val="24"/>
        </w:rPr>
        <w:t xml:space="preserve">those who have completed UEFs and/or submitted letters that </w:t>
      </w:r>
      <w:proofErr w:type="spellStart"/>
      <w:r w:rsidRPr="00212B58">
        <w:rPr>
          <w:rFonts w:ascii="Arial" w:hAnsi="Arial" w:cs="Arial"/>
          <w:sz w:val="24"/>
          <w:szCs w:val="24"/>
        </w:rPr>
        <w:t>Laflouder</w:t>
      </w:r>
      <w:proofErr w:type="spellEnd"/>
      <w:r w:rsidRPr="00212B58">
        <w:rPr>
          <w:rFonts w:ascii="Arial" w:hAnsi="Arial" w:cs="Arial"/>
          <w:sz w:val="24"/>
          <w:szCs w:val="24"/>
        </w:rPr>
        <w:t xml:space="preserve"> Lane is a public right of way. That belief does not constitute evidence that a right of way subsists but it is reasonable to conclude from the evidence that this belief is predicated on witnessing use of route (even if only on foot). </w:t>
      </w:r>
    </w:p>
    <w:p w14:paraId="534AA28C" w14:textId="5832F02A" w:rsidR="006D2F0A" w:rsidRPr="00212B58" w:rsidRDefault="00F574B2" w:rsidP="006D2F0A">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The application form does not specify which type of route is applied for. This could include the lower right as a footpath.  Consequently, having considered all the relevant evidence available, I am satisfied that a reasonable person could reasonably allege that a right of way</w:t>
      </w:r>
      <w:r w:rsidR="00BB52AB" w:rsidRPr="00212B58">
        <w:rPr>
          <w:rFonts w:ascii="Arial" w:hAnsi="Arial" w:cs="Arial"/>
          <w:sz w:val="24"/>
          <w:szCs w:val="24"/>
        </w:rPr>
        <w:t xml:space="preserve"> as a footpath</w:t>
      </w:r>
      <w:r w:rsidRPr="00212B58">
        <w:rPr>
          <w:rFonts w:ascii="Arial" w:hAnsi="Arial" w:cs="Arial"/>
          <w:sz w:val="24"/>
          <w:szCs w:val="24"/>
        </w:rPr>
        <w:t xml:space="preserve"> subsists along Route A</w:t>
      </w:r>
      <w:r w:rsidR="006F5A72" w:rsidRPr="00212B58">
        <w:rPr>
          <w:rFonts w:ascii="Arial" w:hAnsi="Arial" w:cs="Arial"/>
          <w:sz w:val="24"/>
          <w:szCs w:val="24"/>
        </w:rPr>
        <w:t>-</w:t>
      </w:r>
      <w:r w:rsidRPr="00212B58">
        <w:rPr>
          <w:rFonts w:ascii="Arial" w:hAnsi="Arial" w:cs="Arial"/>
          <w:sz w:val="24"/>
          <w:szCs w:val="24"/>
        </w:rPr>
        <w:t>B. Test B is therefore met.</w:t>
      </w:r>
    </w:p>
    <w:p w14:paraId="6AA1B02B" w14:textId="24310F84" w:rsidR="009B022C" w:rsidRPr="00212B58" w:rsidRDefault="009B022C" w:rsidP="009B022C">
      <w:pPr>
        <w:pStyle w:val="ListParagraph"/>
        <w:ind w:left="432" w:firstLine="0"/>
        <w:rPr>
          <w:rFonts w:ascii="Arial" w:hAnsi="Arial" w:cs="Arial"/>
          <w:b/>
          <w:bCs/>
          <w:sz w:val="24"/>
          <w:szCs w:val="24"/>
        </w:rPr>
      </w:pPr>
      <w:r w:rsidRPr="00212B58">
        <w:rPr>
          <w:rFonts w:ascii="Arial" w:hAnsi="Arial" w:cs="Arial"/>
          <w:b/>
          <w:bCs/>
          <w:sz w:val="24"/>
          <w:szCs w:val="24"/>
        </w:rPr>
        <w:t>Conclusion</w:t>
      </w:r>
    </w:p>
    <w:p w14:paraId="746424D2" w14:textId="77777777" w:rsidR="009B022C" w:rsidRPr="00212B58" w:rsidRDefault="00632943" w:rsidP="009B022C">
      <w:pPr>
        <w:numPr>
          <w:ilvl w:val="0"/>
          <w:numId w:val="26"/>
        </w:numPr>
        <w:spacing w:after="202" w:line="249" w:lineRule="auto"/>
        <w:ind w:hanging="432"/>
        <w:rPr>
          <w:rStyle w:val="ui-provider"/>
          <w:rFonts w:ascii="Arial" w:hAnsi="Arial" w:cs="Arial"/>
          <w:sz w:val="24"/>
          <w:szCs w:val="24"/>
        </w:rPr>
      </w:pPr>
      <w:r w:rsidRPr="00212B58">
        <w:rPr>
          <w:rStyle w:val="ui-provider"/>
          <w:rFonts w:ascii="Arial" w:hAnsi="Arial" w:cs="Arial"/>
          <w:sz w:val="24"/>
          <w:szCs w:val="24"/>
        </w:rPr>
        <w:t xml:space="preserve">The level of proof required to disturb the DMS is high. In my assessment of the available evidence and within the limits of the information provided, I do not find the case made in respect of appeal route A-C-D to be compelling, although I recognise that there may be more evidence to be found.  </w:t>
      </w:r>
    </w:p>
    <w:p w14:paraId="2D19C244" w14:textId="08A2EB5C" w:rsidR="00CF30CD" w:rsidRPr="00212B58" w:rsidRDefault="00632943" w:rsidP="00CF30CD">
      <w:pPr>
        <w:numPr>
          <w:ilvl w:val="0"/>
          <w:numId w:val="26"/>
        </w:numPr>
        <w:spacing w:after="202" w:line="249" w:lineRule="auto"/>
        <w:ind w:hanging="432"/>
        <w:rPr>
          <w:rFonts w:ascii="Arial" w:hAnsi="Arial" w:cs="Arial"/>
          <w:sz w:val="24"/>
          <w:szCs w:val="24"/>
        </w:rPr>
      </w:pPr>
      <w:r w:rsidRPr="00212B58">
        <w:rPr>
          <w:rStyle w:val="ui-provider"/>
          <w:rFonts w:ascii="Arial" w:hAnsi="Arial" w:cs="Arial"/>
          <w:sz w:val="24"/>
          <w:szCs w:val="24"/>
        </w:rPr>
        <w:t xml:space="preserve">I have concluded that an Order should be made in respect of appeal route A-B. The determination of such an Order made </w:t>
      </w:r>
      <w:proofErr w:type="gramStart"/>
      <w:r w:rsidRPr="00212B58">
        <w:rPr>
          <w:rStyle w:val="ui-provider"/>
          <w:rFonts w:ascii="Arial" w:hAnsi="Arial" w:cs="Arial"/>
          <w:sz w:val="24"/>
          <w:szCs w:val="24"/>
        </w:rPr>
        <w:t>as a result of</w:t>
      </w:r>
      <w:proofErr w:type="gramEnd"/>
      <w:r w:rsidRPr="00212B58">
        <w:rPr>
          <w:rStyle w:val="ui-provider"/>
          <w:rFonts w:ascii="Arial" w:hAnsi="Arial" w:cs="Arial"/>
          <w:sz w:val="24"/>
          <w:szCs w:val="24"/>
        </w:rPr>
        <w:t xml:space="preserve"> this appeal will, more likely than not, raise arguments and evidence that concern both appeal routes</w:t>
      </w:r>
      <w:r w:rsidRPr="00212B58">
        <w:rPr>
          <w:rFonts w:ascii="Arial" w:hAnsi="Arial" w:cs="Arial"/>
          <w:sz w:val="24"/>
          <w:szCs w:val="24"/>
        </w:rPr>
        <w:t>.</w:t>
      </w:r>
    </w:p>
    <w:p w14:paraId="62F67D80" w14:textId="77777777" w:rsidR="00CF30CD" w:rsidRPr="00212B58" w:rsidRDefault="00CF30CD" w:rsidP="00CF30CD">
      <w:pPr>
        <w:pStyle w:val="ListParagraph"/>
        <w:spacing w:after="173"/>
        <w:ind w:left="432" w:firstLine="0"/>
        <w:rPr>
          <w:rFonts w:ascii="Arial" w:hAnsi="Arial" w:cs="Arial"/>
          <w:b/>
          <w:bCs/>
          <w:sz w:val="24"/>
          <w:szCs w:val="24"/>
        </w:rPr>
      </w:pPr>
      <w:r w:rsidRPr="00212B58">
        <w:rPr>
          <w:rFonts w:ascii="Arial" w:hAnsi="Arial" w:cs="Arial"/>
          <w:b/>
          <w:bCs/>
          <w:sz w:val="24"/>
          <w:szCs w:val="24"/>
        </w:rPr>
        <w:t>Formal Decision</w:t>
      </w:r>
    </w:p>
    <w:p w14:paraId="5F1ED4C0" w14:textId="7EFA47D9" w:rsidR="00632943" w:rsidRPr="00212B58" w:rsidRDefault="00632943" w:rsidP="00CF30CD">
      <w:pPr>
        <w:numPr>
          <w:ilvl w:val="0"/>
          <w:numId w:val="26"/>
        </w:numPr>
        <w:spacing w:after="202" w:line="249" w:lineRule="auto"/>
        <w:ind w:hanging="432"/>
        <w:rPr>
          <w:rFonts w:ascii="Arial" w:hAnsi="Arial" w:cs="Arial"/>
          <w:sz w:val="24"/>
          <w:szCs w:val="24"/>
        </w:rPr>
      </w:pPr>
      <w:r w:rsidRPr="00212B58">
        <w:rPr>
          <w:rFonts w:ascii="Arial" w:hAnsi="Arial" w:cs="Arial"/>
          <w:sz w:val="24"/>
          <w:szCs w:val="24"/>
        </w:rPr>
        <w:t xml:space="preserve">In </w:t>
      </w:r>
      <w:r w:rsidRPr="00212B58">
        <w:rPr>
          <w:rStyle w:val="ui-provider"/>
          <w:rFonts w:ascii="Arial" w:hAnsi="Arial" w:cs="Arial"/>
          <w:sz w:val="24"/>
          <w:szCs w:val="24"/>
        </w:rPr>
        <w:t xml:space="preserve">accordance with paragraph 4(2) of Schedule 14 to the 1981 Act, Cornwall Council is directed to make an order under section 53(2) and Schedule 15 of the Act to modify the definitive map and statement for Cornwall Council to add a </w:t>
      </w:r>
      <w:r w:rsidR="00D2096B">
        <w:rPr>
          <w:rStyle w:val="ui-provider"/>
          <w:rFonts w:ascii="Arial" w:hAnsi="Arial" w:cs="Arial"/>
          <w:sz w:val="24"/>
          <w:szCs w:val="24"/>
        </w:rPr>
        <w:t>footpath</w:t>
      </w:r>
      <w:r w:rsidRPr="00212B58">
        <w:rPr>
          <w:rStyle w:val="ui-provider"/>
          <w:rFonts w:ascii="Arial" w:hAnsi="Arial" w:cs="Arial"/>
          <w:sz w:val="24"/>
          <w:szCs w:val="24"/>
        </w:rPr>
        <w:t xml:space="preserve"> as proposed in the application dated </w:t>
      </w:r>
      <w:r w:rsidRPr="00212B58">
        <w:rPr>
          <w:rFonts w:ascii="Arial" w:hAnsi="Arial" w:cs="Arial"/>
          <w:sz w:val="24"/>
          <w:szCs w:val="24"/>
        </w:rPr>
        <w:t xml:space="preserve">19 November 2004. </w:t>
      </w:r>
      <w:r w:rsidRPr="00212B58">
        <w:rPr>
          <w:rStyle w:val="ui-provider"/>
          <w:rFonts w:ascii="Arial" w:hAnsi="Arial" w:cs="Arial"/>
          <w:sz w:val="24"/>
          <w:szCs w:val="24"/>
        </w:rPr>
        <w:t>The Order should be made within 3 months of the date of this direction. This decision is made without prejudice to any decisions that may be given by the Secretary of State in accordance with</w:t>
      </w:r>
      <w:r w:rsidR="001D29C3" w:rsidRPr="00212B58">
        <w:rPr>
          <w:rStyle w:val="ui-provider"/>
          <w:rFonts w:ascii="Arial" w:hAnsi="Arial" w:cs="Arial"/>
          <w:sz w:val="24"/>
          <w:szCs w:val="24"/>
        </w:rPr>
        <w:t xml:space="preserve"> </w:t>
      </w:r>
      <w:r w:rsidRPr="00212B58">
        <w:rPr>
          <w:rStyle w:val="ui-provider"/>
          <w:rFonts w:ascii="Arial" w:hAnsi="Arial" w:cs="Arial"/>
          <w:sz w:val="24"/>
          <w:szCs w:val="24"/>
        </w:rPr>
        <w:t>powers under Schedule 15 of the 1981 Act.</w:t>
      </w:r>
    </w:p>
    <w:p w14:paraId="3CD4ADA1" w14:textId="1F6732A3" w:rsidR="00632943" w:rsidRDefault="00632943" w:rsidP="00632943">
      <w:pPr>
        <w:spacing w:after="235" w:line="259" w:lineRule="auto"/>
      </w:pPr>
      <w:r>
        <w:t xml:space="preserve"> </w:t>
      </w:r>
    </w:p>
    <w:p w14:paraId="4615D833" w14:textId="77777777" w:rsidR="00632943" w:rsidRPr="00ED60BA" w:rsidRDefault="00632943" w:rsidP="00632943">
      <w:pPr>
        <w:tabs>
          <w:tab w:val="left" w:pos="432"/>
        </w:tabs>
        <w:spacing w:before="180"/>
        <w:outlineLvl w:val="0"/>
        <w:rPr>
          <w:kern w:val="28"/>
        </w:rPr>
      </w:pPr>
      <w:r w:rsidRPr="00ED60BA">
        <w:rPr>
          <w:rFonts w:ascii="Monotype Corsiva" w:hAnsi="Monotype Corsiva"/>
          <w:kern w:val="28"/>
          <w:sz w:val="36"/>
          <w:szCs w:val="36"/>
        </w:rPr>
        <w:t>Paul Freer</w:t>
      </w:r>
    </w:p>
    <w:p w14:paraId="6A62F803" w14:textId="4F13E6C8" w:rsidR="00F574B2" w:rsidRPr="00632943" w:rsidRDefault="00632943" w:rsidP="00632943">
      <w:pPr>
        <w:spacing w:after="202" w:line="249" w:lineRule="auto"/>
        <w:rPr>
          <w:rFonts w:ascii="Arial" w:hAnsi="Arial" w:cs="Arial"/>
          <w:sz w:val="24"/>
          <w:szCs w:val="24"/>
        </w:rPr>
      </w:pPr>
      <w:r w:rsidRPr="00ED60BA">
        <w:t>INSPECTOR</w:t>
      </w:r>
    </w:p>
    <w:p w14:paraId="4D093FDE" w14:textId="5FFF1AED" w:rsidR="0062102F" w:rsidRPr="00190D2C" w:rsidRDefault="0062102F" w:rsidP="00F574B2">
      <w:pPr>
        <w:pStyle w:val="Style1"/>
        <w:numPr>
          <w:ilvl w:val="0"/>
          <w:numId w:val="0"/>
        </w:numPr>
        <w:ind w:left="431" w:hanging="431"/>
        <w:rPr>
          <w:rFonts w:ascii="Arial" w:hAnsi="Arial" w:cs="Arial"/>
          <w:sz w:val="24"/>
          <w:szCs w:val="24"/>
        </w:rPr>
      </w:pPr>
    </w:p>
    <w:p w14:paraId="24CF01F0" w14:textId="77777777" w:rsidR="0062102F" w:rsidRDefault="0062102F" w:rsidP="0062102F">
      <w:pPr>
        <w:pStyle w:val="Style1"/>
        <w:numPr>
          <w:ilvl w:val="0"/>
          <w:numId w:val="0"/>
        </w:numPr>
        <w:rPr>
          <w:rFonts w:ascii="Monotype Corsiva" w:hAnsi="Monotype Corsiva"/>
          <w:sz w:val="36"/>
          <w:szCs w:val="36"/>
        </w:rPr>
      </w:pPr>
    </w:p>
    <w:p w14:paraId="230E3AE3" w14:textId="77777777" w:rsidR="0062102F" w:rsidRPr="005E634A" w:rsidRDefault="0062102F" w:rsidP="0062102F">
      <w:pPr>
        <w:pStyle w:val="Style1"/>
        <w:numPr>
          <w:ilvl w:val="0"/>
          <w:numId w:val="0"/>
        </w:numPr>
        <w:spacing w:before="240"/>
        <w:jc w:val="both"/>
        <w:rPr>
          <w:rFonts w:ascii="Monotype Corsiva" w:hAnsi="Monotype Corsiva"/>
          <w:sz w:val="36"/>
          <w:szCs w:val="36"/>
        </w:rPr>
      </w:pPr>
    </w:p>
    <w:p w14:paraId="1DE59C01" w14:textId="77777777" w:rsidR="0062102F" w:rsidRPr="0062102F" w:rsidRDefault="0062102F" w:rsidP="0062102F">
      <w:pPr>
        <w:pStyle w:val="Style1"/>
        <w:numPr>
          <w:ilvl w:val="0"/>
          <w:numId w:val="0"/>
        </w:numPr>
        <w:ind w:left="431"/>
      </w:pPr>
    </w:p>
    <w:sectPr w:rsidR="0062102F" w:rsidRPr="0062102F" w:rsidSect="00E674DD">
      <w:headerReference w:type="default" r:id="rId12"/>
      <w:footerReference w:type="even" r:id="rId13"/>
      <w:footerReference w:type="default" r:id="rId14"/>
      <w:headerReference w:type="first" r:id="rId15"/>
      <w:footerReference w:type="first" r:id="rId16"/>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ECA0" w14:textId="77777777" w:rsidR="0001099F" w:rsidRDefault="0001099F" w:rsidP="00F62916">
      <w:r>
        <w:separator/>
      </w:r>
    </w:p>
  </w:endnote>
  <w:endnote w:type="continuationSeparator" w:id="0">
    <w:p w14:paraId="14CC6B2D" w14:textId="77777777" w:rsidR="0001099F" w:rsidRDefault="0001099F"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86E"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C7E19"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D2B5"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BADDAC4" wp14:editId="17AE59E3">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12079"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DD53FFF" w14:textId="77777777" w:rsidR="00366F95" w:rsidRPr="00E45340" w:rsidRDefault="004E27BB"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4415" w14:textId="77777777" w:rsidR="00366F95" w:rsidRDefault="00366F95" w:rsidP="00EE5731">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6BB1449" wp14:editId="2205FE8D">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EA7C4"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F929D36" w14:textId="77777777" w:rsidR="00366F95" w:rsidRPr="00451EE4" w:rsidRDefault="004E27BB">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610A" w14:textId="77777777" w:rsidR="0001099F" w:rsidRDefault="0001099F" w:rsidP="00F62916">
      <w:r>
        <w:separator/>
      </w:r>
    </w:p>
  </w:footnote>
  <w:footnote w:type="continuationSeparator" w:id="0">
    <w:p w14:paraId="4A00CAB8" w14:textId="77777777" w:rsidR="0001099F" w:rsidRDefault="0001099F"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E4FF932" w14:textId="77777777">
      <w:tc>
        <w:tcPr>
          <w:tcW w:w="9520" w:type="dxa"/>
        </w:tcPr>
        <w:p w14:paraId="2104557A" w14:textId="55D3E666" w:rsidR="00366F95" w:rsidRDefault="00C63873">
          <w:pPr>
            <w:pStyle w:val="Footer"/>
          </w:pPr>
          <w:r>
            <w:t>Appeal Decision: ROW/3319177</w:t>
          </w:r>
        </w:p>
      </w:tc>
    </w:tr>
  </w:tbl>
  <w:p w14:paraId="1D17BEC5" w14:textId="77777777" w:rsidR="00366F95" w:rsidRDefault="00366F95" w:rsidP="00087477">
    <w:pPr>
      <w:pStyle w:val="Footer"/>
      <w:spacing w:after="180"/>
    </w:pPr>
    <w:r>
      <w:rPr>
        <w:noProof/>
      </w:rPr>
      <mc:AlternateContent>
        <mc:Choice Requires="wps">
          <w:drawing>
            <wp:anchor distT="0" distB="0" distL="114300" distR="114300" simplePos="0" relativeHeight="251693056" behindDoc="0" locked="0" layoutInCell="1" allowOverlap="1" wp14:anchorId="0FE51C97" wp14:editId="63868BCB">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EAE67" id="Line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FC78"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787725C"/>
    <w:multiLevelType w:val="hybridMultilevel"/>
    <w:tmpl w:val="22461DF8"/>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3711888"/>
    <w:multiLevelType w:val="multilevel"/>
    <w:tmpl w:val="61D0CB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22E02734"/>
    <w:multiLevelType w:val="hybridMultilevel"/>
    <w:tmpl w:val="6B9A92BE"/>
    <w:lvl w:ilvl="0" w:tplc="E88E3CFE">
      <w:start w:val="50"/>
      <w:numFmt w:val="decimal"/>
      <w:lvlText w:val="%1."/>
      <w:lvlJc w:val="left"/>
      <w:pPr>
        <w:ind w:left="4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1E296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CF6228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5FC559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A8A5A6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E1CC22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3D4BC1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29C30B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AFC7FA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4238AD"/>
    <w:multiLevelType w:val="multilevel"/>
    <w:tmpl w:val="A22611FC"/>
    <w:numStyleLink w:val="ConditionsList"/>
  </w:abstractNum>
  <w:abstractNum w:abstractNumId="9"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10" w15:restartNumberingAfterBreak="0">
    <w:nsid w:val="297D571E"/>
    <w:multiLevelType w:val="multilevel"/>
    <w:tmpl w:val="A22611FC"/>
    <w:numStyleLink w:val="ConditionsList"/>
  </w:abstractNum>
  <w:abstractNum w:abstractNumId="11" w15:restartNumberingAfterBreak="0">
    <w:nsid w:val="3F001AB6"/>
    <w:multiLevelType w:val="hybridMultilevel"/>
    <w:tmpl w:val="DE8E947E"/>
    <w:lvl w:ilvl="0" w:tplc="37029DCA">
      <w:start w:val="5"/>
      <w:numFmt w:val="decimal"/>
      <w:lvlText w:val="%1."/>
      <w:lvlJc w:val="left"/>
      <w:pPr>
        <w:ind w:left="4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D5A573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744081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5E7A1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12449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26650A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5B48D4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A4676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C266C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4" w15:restartNumberingAfterBreak="0">
    <w:nsid w:val="4AB7177F"/>
    <w:multiLevelType w:val="multilevel"/>
    <w:tmpl w:val="A22611FC"/>
    <w:numStyleLink w:val="ConditionsList"/>
  </w:abstractNum>
  <w:abstractNum w:abstractNumId="15"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2342F1"/>
    <w:multiLevelType w:val="multilevel"/>
    <w:tmpl w:val="A22611FC"/>
    <w:numStyleLink w:val="ConditionsList"/>
  </w:abstractNum>
  <w:abstractNum w:abstractNumId="17" w15:restartNumberingAfterBreak="0">
    <w:nsid w:val="5137716E"/>
    <w:multiLevelType w:val="multilevel"/>
    <w:tmpl w:val="A22611FC"/>
    <w:numStyleLink w:val="ConditionsList"/>
  </w:abstractNum>
  <w:abstractNum w:abstractNumId="18" w15:restartNumberingAfterBreak="0">
    <w:nsid w:val="53F51752"/>
    <w:multiLevelType w:val="multilevel"/>
    <w:tmpl w:val="A22611FC"/>
    <w:numStyleLink w:val="ConditionsList"/>
  </w:abstractNum>
  <w:abstractNum w:abstractNumId="19"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0"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2" w15:restartNumberingAfterBreak="0">
    <w:nsid w:val="65B7639F"/>
    <w:multiLevelType w:val="multilevel"/>
    <w:tmpl w:val="A22611FC"/>
    <w:numStyleLink w:val="ConditionsList"/>
  </w:abstractNum>
  <w:abstractNum w:abstractNumId="23"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4"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D1D182C"/>
    <w:multiLevelType w:val="hybridMultilevel"/>
    <w:tmpl w:val="2300340A"/>
    <w:lvl w:ilvl="0" w:tplc="CAEA2364">
      <w:start w:val="1"/>
      <w:numFmt w:val="decimal"/>
      <w:lvlText w:val="%1."/>
      <w:lvlJc w:val="left"/>
      <w:pPr>
        <w:ind w:left="4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3F6C35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C7A980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45AF44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66881B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2F04B0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C2CF24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A7EECF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FF615B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999701253">
    <w:abstractNumId w:val="21"/>
  </w:num>
  <w:num w:numId="2" w16cid:durableId="664477623">
    <w:abstractNumId w:val="21"/>
  </w:num>
  <w:num w:numId="3" w16cid:durableId="414858863">
    <w:abstractNumId w:val="23"/>
  </w:num>
  <w:num w:numId="4" w16cid:durableId="250168826">
    <w:abstractNumId w:val="0"/>
  </w:num>
  <w:num w:numId="5" w16cid:durableId="758913687">
    <w:abstractNumId w:val="12"/>
  </w:num>
  <w:num w:numId="6" w16cid:durableId="1110660526">
    <w:abstractNumId w:val="20"/>
  </w:num>
  <w:num w:numId="7" w16cid:durableId="1445030819">
    <w:abstractNumId w:val="24"/>
  </w:num>
  <w:num w:numId="8" w16cid:durableId="2086416806">
    <w:abstractNumId w:val="19"/>
  </w:num>
  <w:num w:numId="9" w16cid:durableId="1663580586">
    <w:abstractNumId w:val="5"/>
  </w:num>
  <w:num w:numId="10" w16cid:durableId="355347531">
    <w:abstractNumId w:val="6"/>
  </w:num>
  <w:num w:numId="11" w16cid:durableId="246157785">
    <w:abstractNumId w:val="15"/>
  </w:num>
  <w:num w:numId="12" w16cid:durableId="537815151">
    <w:abstractNumId w:val="16"/>
  </w:num>
  <w:num w:numId="13" w16cid:durableId="125975390">
    <w:abstractNumId w:val="10"/>
  </w:num>
  <w:num w:numId="14" w16cid:durableId="1225681297">
    <w:abstractNumId w:val="14"/>
  </w:num>
  <w:num w:numId="15" w16cid:durableId="1643995682">
    <w:abstractNumId w:val="17"/>
  </w:num>
  <w:num w:numId="16" w16cid:durableId="1579366693">
    <w:abstractNumId w:val="1"/>
  </w:num>
  <w:num w:numId="17" w16cid:durableId="1281840940">
    <w:abstractNumId w:val="18"/>
  </w:num>
  <w:num w:numId="18" w16cid:durableId="1918399325">
    <w:abstractNumId w:val="8"/>
  </w:num>
  <w:num w:numId="19" w16cid:durableId="849639075">
    <w:abstractNumId w:val="3"/>
  </w:num>
  <w:num w:numId="20" w16cid:durableId="146093280">
    <w:abstractNumId w:val="9"/>
  </w:num>
  <w:num w:numId="21" w16cid:durableId="481582027">
    <w:abstractNumId w:val="13"/>
  </w:num>
  <w:num w:numId="22" w16cid:durableId="496963083">
    <w:abstractNumId w:val="13"/>
  </w:num>
  <w:num w:numId="23" w16cid:durableId="875388009">
    <w:abstractNumId w:val="22"/>
  </w:num>
  <w:num w:numId="24" w16cid:durableId="1903249106">
    <w:abstractNumId w:val="2"/>
  </w:num>
  <w:num w:numId="25" w16cid:durableId="128867707">
    <w:abstractNumId w:val="4"/>
  </w:num>
  <w:num w:numId="26" w16cid:durableId="1118137211">
    <w:abstractNumId w:val="25"/>
  </w:num>
  <w:num w:numId="27" w16cid:durableId="2137677901">
    <w:abstractNumId w:val="11"/>
  </w:num>
  <w:num w:numId="28" w16cid:durableId="14489619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5731"/>
    <w:rsid w:val="0000335F"/>
    <w:rsid w:val="0001099F"/>
    <w:rsid w:val="000142B6"/>
    <w:rsid w:val="00017B57"/>
    <w:rsid w:val="00020EA9"/>
    <w:rsid w:val="00024500"/>
    <w:rsid w:val="000247B2"/>
    <w:rsid w:val="00042FBA"/>
    <w:rsid w:val="0004390A"/>
    <w:rsid w:val="00043D40"/>
    <w:rsid w:val="00046145"/>
    <w:rsid w:val="0004625F"/>
    <w:rsid w:val="000475D7"/>
    <w:rsid w:val="00047D76"/>
    <w:rsid w:val="00053135"/>
    <w:rsid w:val="00063431"/>
    <w:rsid w:val="0006678A"/>
    <w:rsid w:val="00067F49"/>
    <w:rsid w:val="00070785"/>
    <w:rsid w:val="00077358"/>
    <w:rsid w:val="00087477"/>
    <w:rsid w:val="00087DEC"/>
    <w:rsid w:val="00091D71"/>
    <w:rsid w:val="00094A44"/>
    <w:rsid w:val="000A4AEB"/>
    <w:rsid w:val="000A64AE"/>
    <w:rsid w:val="000A6652"/>
    <w:rsid w:val="000A7ECA"/>
    <w:rsid w:val="000B02BC"/>
    <w:rsid w:val="000B0589"/>
    <w:rsid w:val="000C1ECF"/>
    <w:rsid w:val="000C33F5"/>
    <w:rsid w:val="000C3F13"/>
    <w:rsid w:val="000C5098"/>
    <w:rsid w:val="000C698E"/>
    <w:rsid w:val="000D0673"/>
    <w:rsid w:val="000D550C"/>
    <w:rsid w:val="000E57C1"/>
    <w:rsid w:val="000E743A"/>
    <w:rsid w:val="000E76C8"/>
    <w:rsid w:val="000F16F4"/>
    <w:rsid w:val="000F6EC2"/>
    <w:rsid w:val="001000CB"/>
    <w:rsid w:val="00101CB2"/>
    <w:rsid w:val="0010277A"/>
    <w:rsid w:val="00104D93"/>
    <w:rsid w:val="00111BB2"/>
    <w:rsid w:val="0011248B"/>
    <w:rsid w:val="00112C82"/>
    <w:rsid w:val="00134241"/>
    <w:rsid w:val="00135C88"/>
    <w:rsid w:val="00141B38"/>
    <w:rsid w:val="001440C3"/>
    <w:rsid w:val="00147D84"/>
    <w:rsid w:val="001524B0"/>
    <w:rsid w:val="00152C92"/>
    <w:rsid w:val="00160912"/>
    <w:rsid w:val="00161B5C"/>
    <w:rsid w:val="001622F0"/>
    <w:rsid w:val="00163D20"/>
    <w:rsid w:val="001666E6"/>
    <w:rsid w:val="001737AD"/>
    <w:rsid w:val="00177924"/>
    <w:rsid w:val="001816B9"/>
    <w:rsid w:val="00184734"/>
    <w:rsid w:val="00190D2C"/>
    <w:rsid w:val="001935F8"/>
    <w:rsid w:val="00197B5B"/>
    <w:rsid w:val="001A3B95"/>
    <w:rsid w:val="001B37BF"/>
    <w:rsid w:val="001B3D12"/>
    <w:rsid w:val="001C289F"/>
    <w:rsid w:val="001C3B1B"/>
    <w:rsid w:val="001D29C3"/>
    <w:rsid w:val="001D6F71"/>
    <w:rsid w:val="001D78BD"/>
    <w:rsid w:val="001F05A1"/>
    <w:rsid w:val="001F5990"/>
    <w:rsid w:val="001F66CB"/>
    <w:rsid w:val="00202DCD"/>
    <w:rsid w:val="0020383A"/>
    <w:rsid w:val="00207816"/>
    <w:rsid w:val="00212B58"/>
    <w:rsid w:val="00212C8F"/>
    <w:rsid w:val="00214FD8"/>
    <w:rsid w:val="002216AE"/>
    <w:rsid w:val="00224859"/>
    <w:rsid w:val="00240574"/>
    <w:rsid w:val="00241537"/>
    <w:rsid w:val="00242804"/>
    <w:rsid w:val="00242A5E"/>
    <w:rsid w:val="00245247"/>
    <w:rsid w:val="0026021A"/>
    <w:rsid w:val="0027134F"/>
    <w:rsid w:val="00271EE6"/>
    <w:rsid w:val="0027659F"/>
    <w:rsid w:val="002819AB"/>
    <w:rsid w:val="00291F50"/>
    <w:rsid w:val="00294DC2"/>
    <w:rsid w:val="002958D9"/>
    <w:rsid w:val="002960FA"/>
    <w:rsid w:val="00296F2D"/>
    <w:rsid w:val="002B420C"/>
    <w:rsid w:val="002B5A3A"/>
    <w:rsid w:val="002C068A"/>
    <w:rsid w:val="002C2524"/>
    <w:rsid w:val="002D3911"/>
    <w:rsid w:val="002D53AB"/>
    <w:rsid w:val="002D5464"/>
    <w:rsid w:val="002D550E"/>
    <w:rsid w:val="002D5A7C"/>
    <w:rsid w:val="002E2235"/>
    <w:rsid w:val="002E43A9"/>
    <w:rsid w:val="002E7E63"/>
    <w:rsid w:val="002F1584"/>
    <w:rsid w:val="002F2450"/>
    <w:rsid w:val="002F368F"/>
    <w:rsid w:val="002F61D4"/>
    <w:rsid w:val="00303CA5"/>
    <w:rsid w:val="0030500E"/>
    <w:rsid w:val="00307373"/>
    <w:rsid w:val="003074C6"/>
    <w:rsid w:val="003167DE"/>
    <w:rsid w:val="003206FD"/>
    <w:rsid w:val="00321415"/>
    <w:rsid w:val="00325F67"/>
    <w:rsid w:val="003323D4"/>
    <w:rsid w:val="003338BA"/>
    <w:rsid w:val="00342FAE"/>
    <w:rsid w:val="00343A1F"/>
    <w:rsid w:val="00344294"/>
    <w:rsid w:val="003443FD"/>
    <w:rsid w:val="00344CD1"/>
    <w:rsid w:val="0034515E"/>
    <w:rsid w:val="00345E0F"/>
    <w:rsid w:val="00355FCC"/>
    <w:rsid w:val="00360664"/>
    <w:rsid w:val="00361890"/>
    <w:rsid w:val="00364E17"/>
    <w:rsid w:val="00366F95"/>
    <w:rsid w:val="003711BB"/>
    <w:rsid w:val="0037311A"/>
    <w:rsid w:val="003753FE"/>
    <w:rsid w:val="00376C13"/>
    <w:rsid w:val="003941CF"/>
    <w:rsid w:val="003A01D4"/>
    <w:rsid w:val="003A1428"/>
    <w:rsid w:val="003A34E1"/>
    <w:rsid w:val="003A5B1D"/>
    <w:rsid w:val="003B2FE6"/>
    <w:rsid w:val="003B4EC6"/>
    <w:rsid w:val="003B5ED3"/>
    <w:rsid w:val="003B6DFB"/>
    <w:rsid w:val="003C0B78"/>
    <w:rsid w:val="003C52A4"/>
    <w:rsid w:val="003D1D4A"/>
    <w:rsid w:val="003D3715"/>
    <w:rsid w:val="003D3734"/>
    <w:rsid w:val="003E24FE"/>
    <w:rsid w:val="003E54CC"/>
    <w:rsid w:val="003E6D98"/>
    <w:rsid w:val="003F3533"/>
    <w:rsid w:val="003F699D"/>
    <w:rsid w:val="003F7DFB"/>
    <w:rsid w:val="004017C8"/>
    <w:rsid w:val="004029F3"/>
    <w:rsid w:val="004156F0"/>
    <w:rsid w:val="00426934"/>
    <w:rsid w:val="00434739"/>
    <w:rsid w:val="00435BFE"/>
    <w:rsid w:val="0044034B"/>
    <w:rsid w:val="00442ECE"/>
    <w:rsid w:val="004474DE"/>
    <w:rsid w:val="00451EE4"/>
    <w:rsid w:val="004520A6"/>
    <w:rsid w:val="004522C1"/>
    <w:rsid w:val="00453E15"/>
    <w:rsid w:val="004553ED"/>
    <w:rsid w:val="00467B31"/>
    <w:rsid w:val="00471C73"/>
    <w:rsid w:val="0047718B"/>
    <w:rsid w:val="0048041A"/>
    <w:rsid w:val="00483D15"/>
    <w:rsid w:val="00484F1C"/>
    <w:rsid w:val="004855D0"/>
    <w:rsid w:val="004903B8"/>
    <w:rsid w:val="00490E5C"/>
    <w:rsid w:val="0049321A"/>
    <w:rsid w:val="00496181"/>
    <w:rsid w:val="004976CF"/>
    <w:rsid w:val="004A240E"/>
    <w:rsid w:val="004A2EB8"/>
    <w:rsid w:val="004A42AA"/>
    <w:rsid w:val="004B38F9"/>
    <w:rsid w:val="004B491A"/>
    <w:rsid w:val="004C07CB"/>
    <w:rsid w:val="004C561F"/>
    <w:rsid w:val="004C7BA0"/>
    <w:rsid w:val="004C7D5D"/>
    <w:rsid w:val="004D77D7"/>
    <w:rsid w:val="004E04E0"/>
    <w:rsid w:val="004E17CB"/>
    <w:rsid w:val="004E6091"/>
    <w:rsid w:val="004E7233"/>
    <w:rsid w:val="004F274A"/>
    <w:rsid w:val="004F46C3"/>
    <w:rsid w:val="00503412"/>
    <w:rsid w:val="00505D10"/>
    <w:rsid w:val="00506851"/>
    <w:rsid w:val="005076F7"/>
    <w:rsid w:val="0052347F"/>
    <w:rsid w:val="00523706"/>
    <w:rsid w:val="00537379"/>
    <w:rsid w:val="00541734"/>
    <w:rsid w:val="00542B4C"/>
    <w:rsid w:val="00542EE6"/>
    <w:rsid w:val="005436C0"/>
    <w:rsid w:val="005563F1"/>
    <w:rsid w:val="00561E69"/>
    <w:rsid w:val="00564008"/>
    <w:rsid w:val="0056634F"/>
    <w:rsid w:val="00566F10"/>
    <w:rsid w:val="00567D01"/>
    <w:rsid w:val="0057098A"/>
    <w:rsid w:val="005718AF"/>
    <w:rsid w:val="00571FD4"/>
    <w:rsid w:val="00572879"/>
    <w:rsid w:val="0057471E"/>
    <w:rsid w:val="0057782A"/>
    <w:rsid w:val="0058454D"/>
    <w:rsid w:val="00591235"/>
    <w:rsid w:val="005921B4"/>
    <w:rsid w:val="00593F2A"/>
    <w:rsid w:val="005A0799"/>
    <w:rsid w:val="005A3A64"/>
    <w:rsid w:val="005B1525"/>
    <w:rsid w:val="005B5572"/>
    <w:rsid w:val="005B68A9"/>
    <w:rsid w:val="005B704D"/>
    <w:rsid w:val="005D0E4D"/>
    <w:rsid w:val="005D4F22"/>
    <w:rsid w:val="005D5B0B"/>
    <w:rsid w:val="005D739E"/>
    <w:rsid w:val="005E3041"/>
    <w:rsid w:val="005E34E1"/>
    <w:rsid w:val="005E34FF"/>
    <w:rsid w:val="005E3542"/>
    <w:rsid w:val="005E4035"/>
    <w:rsid w:val="005E52F9"/>
    <w:rsid w:val="005F1261"/>
    <w:rsid w:val="005F6291"/>
    <w:rsid w:val="00601021"/>
    <w:rsid w:val="00602315"/>
    <w:rsid w:val="006052EF"/>
    <w:rsid w:val="006106DA"/>
    <w:rsid w:val="006127F0"/>
    <w:rsid w:val="00614E46"/>
    <w:rsid w:val="00615277"/>
    <w:rsid w:val="00615462"/>
    <w:rsid w:val="0062102F"/>
    <w:rsid w:val="006319E6"/>
    <w:rsid w:val="00632943"/>
    <w:rsid w:val="0063373D"/>
    <w:rsid w:val="00653136"/>
    <w:rsid w:val="0065719B"/>
    <w:rsid w:val="00662640"/>
    <w:rsid w:val="0066322F"/>
    <w:rsid w:val="00663AFC"/>
    <w:rsid w:val="00674517"/>
    <w:rsid w:val="006770F6"/>
    <w:rsid w:val="00681108"/>
    <w:rsid w:val="0068238F"/>
    <w:rsid w:val="00683417"/>
    <w:rsid w:val="00685A46"/>
    <w:rsid w:val="0069559D"/>
    <w:rsid w:val="00696368"/>
    <w:rsid w:val="006A5BB3"/>
    <w:rsid w:val="006A7B8B"/>
    <w:rsid w:val="006B2C36"/>
    <w:rsid w:val="006C0FD4"/>
    <w:rsid w:val="006C31D8"/>
    <w:rsid w:val="006C4C25"/>
    <w:rsid w:val="006C6D1A"/>
    <w:rsid w:val="006D2842"/>
    <w:rsid w:val="006D2F0A"/>
    <w:rsid w:val="006D47A1"/>
    <w:rsid w:val="006D5133"/>
    <w:rsid w:val="006E18D7"/>
    <w:rsid w:val="006E71E5"/>
    <w:rsid w:val="006F16D9"/>
    <w:rsid w:val="006F21E6"/>
    <w:rsid w:val="006F5A72"/>
    <w:rsid w:val="006F6496"/>
    <w:rsid w:val="00703CC4"/>
    <w:rsid w:val="00703D79"/>
    <w:rsid w:val="00704126"/>
    <w:rsid w:val="0070472D"/>
    <w:rsid w:val="00705DA2"/>
    <w:rsid w:val="00706082"/>
    <w:rsid w:val="00710876"/>
    <w:rsid w:val="00711570"/>
    <w:rsid w:val="00715569"/>
    <w:rsid w:val="0071604A"/>
    <w:rsid w:val="0072062E"/>
    <w:rsid w:val="00722BF6"/>
    <w:rsid w:val="00734111"/>
    <w:rsid w:val="0073626E"/>
    <w:rsid w:val="00741118"/>
    <w:rsid w:val="00742349"/>
    <w:rsid w:val="00745E6B"/>
    <w:rsid w:val="00747737"/>
    <w:rsid w:val="00751650"/>
    <w:rsid w:val="00767B97"/>
    <w:rsid w:val="00777C48"/>
    <w:rsid w:val="00782A0A"/>
    <w:rsid w:val="00783452"/>
    <w:rsid w:val="00785862"/>
    <w:rsid w:val="00790C26"/>
    <w:rsid w:val="00795B8C"/>
    <w:rsid w:val="007A0323"/>
    <w:rsid w:val="007A0537"/>
    <w:rsid w:val="007A06BE"/>
    <w:rsid w:val="007A1C6D"/>
    <w:rsid w:val="007B0405"/>
    <w:rsid w:val="007B2CD1"/>
    <w:rsid w:val="007B4C9B"/>
    <w:rsid w:val="007C1DBC"/>
    <w:rsid w:val="007C5052"/>
    <w:rsid w:val="007D3767"/>
    <w:rsid w:val="007D4C93"/>
    <w:rsid w:val="007D65B4"/>
    <w:rsid w:val="007E1B53"/>
    <w:rsid w:val="007F1352"/>
    <w:rsid w:val="007F2180"/>
    <w:rsid w:val="007F3F10"/>
    <w:rsid w:val="007F59EB"/>
    <w:rsid w:val="00806F2A"/>
    <w:rsid w:val="00811306"/>
    <w:rsid w:val="008263C3"/>
    <w:rsid w:val="0082769B"/>
    <w:rsid w:val="00827937"/>
    <w:rsid w:val="00832308"/>
    <w:rsid w:val="00834368"/>
    <w:rsid w:val="00835B17"/>
    <w:rsid w:val="00840722"/>
    <w:rsid w:val="008411A4"/>
    <w:rsid w:val="008514D4"/>
    <w:rsid w:val="008516D6"/>
    <w:rsid w:val="00851FD7"/>
    <w:rsid w:val="00863DA5"/>
    <w:rsid w:val="00863F3C"/>
    <w:rsid w:val="00867554"/>
    <w:rsid w:val="0087158B"/>
    <w:rsid w:val="00872786"/>
    <w:rsid w:val="00872D23"/>
    <w:rsid w:val="00882B66"/>
    <w:rsid w:val="00892905"/>
    <w:rsid w:val="00897510"/>
    <w:rsid w:val="008A03E3"/>
    <w:rsid w:val="008A23B9"/>
    <w:rsid w:val="008A77F7"/>
    <w:rsid w:val="008B061E"/>
    <w:rsid w:val="008B0E42"/>
    <w:rsid w:val="008B1A06"/>
    <w:rsid w:val="008C0799"/>
    <w:rsid w:val="008C6D12"/>
    <w:rsid w:val="008C6FA3"/>
    <w:rsid w:val="008E0784"/>
    <w:rsid w:val="008E359C"/>
    <w:rsid w:val="008E75ED"/>
    <w:rsid w:val="008E7916"/>
    <w:rsid w:val="008F0253"/>
    <w:rsid w:val="008F0443"/>
    <w:rsid w:val="008F43D7"/>
    <w:rsid w:val="008F4C85"/>
    <w:rsid w:val="00901334"/>
    <w:rsid w:val="009124CE"/>
    <w:rsid w:val="00912954"/>
    <w:rsid w:val="00915CDA"/>
    <w:rsid w:val="00921F34"/>
    <w:rsid w:val="0092277A"/>
    <w:rsid w:val="0092287C"/>
    <w:rsid w:val="0092304C"/>
    <w:rsid w:val="00923F06"/>
    <w:rsid w:val="009255D4"/>
    <w:rsid w:val="0092562E"/>
    <w:rsid w:val="00934F68"/>
    <w:rsid w:val="009502D2"/>
    <w:rsid w:val="00952169"/>
    <w:rsid w:val="00954347"/>
    <w:rsid w:val="00960B10"/>
    <w:rsid w:val="00962D7E"/>
    <w:rsid w:val="009819FF"/>
    <w:rsid w:val="00983F37"/>
    <w:rsid w:val="009841DA"/>
    <w:rsid w:val="00986627"/>
    <w:rsid w:val="0099317C"/>
    <w:rsid w:val="00994A8E"/>
    <w:rsid w:val="009A17F3"/>
    <w:rsid w:val="009A6CBB"/>
    <w:rsid w:val="009B022C"/>
    <w:rsid w:val="009B0355"/>
    <w:rsid w:val="009B0BB0"/>
    <w:rsid w:val="009B167D"/>
    <w:rsid w:val="009B3075"/>
    <w:rsid w:val="009B72ED"/>
    <w:rsid w:val="009B7BD4"/>
    <w:rsid w:val="009B7F3F"/>
    <w:rsid w:val="009C1BA7"/>
    <w:rsid w:val="009C4953"/>
    <w:rsid w:val="009D2324"/>
    <w:rsid w:val="009D331A"/>
    <w:rsid w:val="009E1447"/>
    <w:rsid w:val="009E179D"/>
    <w:rsid w:val="009E3C69"/>
    <w:rsid w:val="009E4076"/>
    <w:rsid w:val="009E6FB7"/>
    <w:rsid w:val="009F2762"/>
    <w:rsid w:val="009F7C63"/>
    <w:rsid w:val="00A00FCD"/>
    <w:rsid w:val="00A028FB"/>
    <w:rsid w:val="00A101CD"/>
    <w:rsid w:val="00A10BCC"/>
    <w:rsid w:val="00A10C1F"/>
    <w:rsid w:val="00A14569"/>
    <w:rsid w:val="00A23FC7"/>
    <w:rsid w:val="00A30B3E"/>
    <w:rsid w:val="00A34424"/>
    <w:rsid w:val="00A418A7"/>
    <w:rsid w:val="00A420F9"/>
    <w:rsid w:val="00A5269C"/>
    <w:rsid w:val="00A5296B"/>
    <w:rsid w:val="00A529CB"/>
    <w:rsid w:val="00A5760C"/>
    <w:rsid w:val="00A60DB3"/>
    <w:rsid w:val="00A62374"/>
    <w:rsid w:val="00A6322F"/>
    <w:rsid w:val="00A66713"/>
    <w:rsid w:val="00A6774F"/>
    <w:rsid w:val="00A73EC0"/>
    <w:rsid w:val="00A80916"/>
    <w:rsid w:val="00A80D52"/>
    <w:rsid w:val="00A87419"/>
    <w:rsid w:val="00A9306F"/>
    <w:rsid w:val="00A93868"/>
    <w:rsid w:val="00A94AA0"/>
    <w:rsid w:val="00A96406"/>
    <w:rsid w:val="00AA05FF"/>
    <w:rsid w:val="00AA1596"/>
    <w:rsid w:val="00AA4FE6"/>
    <w:rsid w:val="00AB6E2E"/>
    <w:rsid w:val="00AD0E39"/>
    <w:rsid w:val="00AD2F56"/>
    <w:rsid w:val="00AE034B"/>
    <w:rsid w:val="00AE26EC"/>
    <w:rsid w:val="00AE2FAA"/>
    <w:rsid w:val="00AE4816"/>
    <w:rsid w:val="00B0334C"/>
    <w:rsid w:val="00B049F2"/>
    <w:rsid w:val="00B04CF5"/>
    <w:rsid w:val="00B05036"/>
    <w:rsid w:val="00B12B2A"/>
    <w:rsid w:val="00B12B97"/>
    <w:rsid w:val="00B12F41"/>
    <w:rsid w:val="00B13698"/>
    <w:rsid w:val="00B17EF9"/>
    <w:rsid w:val="00B32324"/>
    <w:rsid w:val="00B33B70"/>
    <w:rsid w:val="00B345C9"/>
    <w:rsid w:val="00B44564"/>
    <w:rsid w:val="00B51D9F"/>
    <w:rsid w:val="00B53E84"/>
    <w:rsid w:val="00B56990"/>
    <w:rsid w:val="00B60F96"/>
    <w:rsid w:val="00B61A59"/>
    <w:rsid w:val="00B64023"/>
    <w:rsid w:val="00B7142C"/>
    <w:rsid w:val="00B8034C"/>
    <w:rsid w:val="00B81D06"/>
    <w:rsid w:val="00B90520"/>
    <w:rsid w:val="00B92C11"/>
    <w:rsid w:val="00B96C09"/>
    <w:rsid w:val="00BB2CB6"/>
    <w:rsid w:val="00BB52AB"/>
    <w:rsid w:val="00BC0524"/>
    <w:rsid w:val="00BC1392"/>
    <w:rsid w:val="00BC23FF"/>
    <w:rsid w:val="00BC2702"/>
    <w:rsid w:val="00BD09CD"/>
    <w:rsid w:val="00BD4271"/>
    <w:rsid w:val="00BD58D4"/>
    <w:rsid w:val="00BD5C3F"/>
    <w:rsid w:val="00BD5FD5"/>
    <w:rsid w:val="00BE1B7C"/>
    <w:rsid w:val="00BE2F18"/>
    <w:rsid w:val="00BE6377"/>
    <w:rsid w:val="00BF34D7"/>
    <w:rsid w:val="00C00E8A"/>
    <w:rsid w:val="00C11BD0"/>
    <w:rsid w:val="00C274BD"/>
    <w:rsid w:val="00C315F8"/>
    <w:rsid w:val="00C35E36"/>
    <w:rsid w:val="00C36797"/>
    <w:rsid w:val="00C40EA6"/>
    <w:rsid w:val="00C41B96"/>
    <w:rsid w:val="00C577D8"/>
    <w:rsid w:val="00C57B84"/>
    <w:rsid w:val="00C61A44"/>
    <w:rsid w:val="00C63873"/>
    <w:rsid w:val="00C72323"/>
    <w:rsid w:val="00C74873"/>
    <w:rsid w:val="00C8343C"/>
    <w:rsid w:val="00C857CB"/>
    <w:rsid w:val="00C8740F"/>
    <w:rsid w:val="00C87686"/>
    <w:rsid w:val="00C915A8"/>
    <w:rsid w:val="00C94F81"/>
    <w:rsid w:val="00C950B6"/>
    <w:rsid w:val="00C95C64"/>
    <w:rsid w:val="00C95C97"/>
    <w:rsid w:val="00CA07FD"/>
    <w:rsid w:val="00CA142D"/>
    <w:rsid w:val="00CA6F8F"/>
    <w:rsid w:val="00CB1718"/>
    <w:rsid w:val="00CB214D"/>
    <w:rsid w:val="00CB24FF"/>
    <w:rsid w:val="00CC50AC"/>
    <w:rsid w:val="00CD5983"/>
    <w:rsid w:val="00CD7D35"/>
    <w:rsid w:val="00CE0218"/>
    <w:rsid w:val="00CE21C0"/>
    <w:rsid w:val="00CE45F3"/>
    <w:rsid w:val="00CF30CD"/>
    <w:rsid w:val="00D00274"/>
    <w:rsid w:val="00D02B48"/>
    <w:rsid w:val="00D1120A"/>
    <w:rsid w:val="00D125BE"/>
    <w:rsid w:val="00D1410D"/>
    <w:rsid w:val="00D15394"/>
    <w:rsid w:val="00D2096B"/>
    <w:rsid w:val="00D23E66"/>
    <w:rsid w:val="00D300A5"/>
    <w:rsid w:val="00D3308D"/>
    <w:rsid w:val="00D354A3"/>
    <w:rsid w:val="00D423EB"/>
    <w:rsid w:val="00D555DA"/>
    <w:rsid w:val="00D61B4B"/>
    <w:rsid w:val="00D62DAF"/>
    <w:rsid w:val="00D76973"/>
    <w:rsid w:val="00D87A1C"/>
    <w:rsid w:val="00D95D0B"/>
    <w:rsid w:val="00D96132"/>
    <w:rsid w:val="00DA1FC2"/>
    <w:rsid w:val="00DB1128"/>
    <w:rsid w:val="00DB3E5B"/>
    <w:rsid w:val="00DB7937"/>
    <w:rsid w:val="00DD0F21"/>
    <w:rsid w:val="00DE00A3"/>
    <w:rsid w:val="00DE265F"/>
    <w:rsid w:val="00DE433A"/>
    <w:rsid w:val="00DE4991"/>
    <w:rsid w:val="00DF1630"/>
    <w:rsid w:val="00DF4E7F"/>
    <w:rsid w:val="00DF7C95"/>
    <w:rsid w:val="00E10A66"/>
    <w:rsid w:val="00E11244"/>
    <w:rsid w:val="00E15353"/>
    <w:rsid w:val="00E16CAE"/>
    <w:rsid w:val="00E170CE"/>
    <w:rsid w:val="00E24DBE"/>
    <w:rsid w:val="00E26B5F"/>
    <w:rsid w:val="00E32691"/>
    <w:rsid w:val="00E3780C"/>
    <w:rsid w:val="00E45340"/>
    <w:rsid w:val="00E515DB"/>
    <w:rsid w:val="00E54F7C"/>
    <w:rsid w:val="00E674DD"/>
    <w:rsid w:val="00E67B22"/>
    <w:rsid w:val="00E755EC"/>
    <w:rsid w:val="00E75BAF"/>
    <w:rsid w:val="00E81306"/>
    <w:rsid w:val="00E81323"/>
    <w:rsid w:val="00E85E3D"/>
    <w:rsid w:val="00E94482"/>
    <w:rsid w:val="00E962D5"/>
    <w:rsid w:val="00E974ED"/>
    <w:rsid w:val="00EA290B"/>
    <w:rsid w:val="00EA406E"/>
    <w:rsid w:val="00EA43AC"/>
    <w:rsid w:val="00EA51C4"/>
    <w:rsid w:val="00EA52D3"/>
    <w:rsid w:val="00EA56D8"/>
    <w:rsid w:val="00EA73CE"/>
    <w:rsid w:val="00EB2329"/>
    <w:rsid w:val="00EB277D"/>
    <w:rsid w:val="00EB45D9"/>
    <w:rsid w:val="00EC0EE6"/>
    <w:rsid w:val="00ED043A"/>
    <w:rsid w:val="00ED3727"/>
    <w:rsid w:val="00ED3DDF"/>
    <w:rsid w:val="00ED3FF4"/>
    <w:rsid w:val="00ED50F4"/>
    <w:rsid w:val="00EE1C1A"/>
    <w:rsid w:val="00EE2613"/>
    <w:rsid w:val="00EE2E1C"/>
    <w:rsid w:val="00EE550A"/>
    <w:rsid w:val="00EE5731"/>
    <w:rsid w:val="00EF1B10"/>
    <w:rsid w:val="00EF1E98"/>
    <w:rsid w:val="00EF5820"/>
    <w:rsid w:val="00F01DD1"/>
    <w:rsid w:val="00F1025A"/>
    <w:rsid w:val="00F10DB8"/>
    <w:rsid w:val="00F12564"/>
    <w:rsid w:val="00F129ED"/>
    <w:rsid w:val="00F2297F"/>
    <w:rsid w:val="00F3318E"/>
    <w:rsid w:val="00F349CC"/>
    <w:rsid w:val="00F35EDC"/>
    <w:rsid w:val="00F47FC1"/>
    <w:rsid w:val="00F574B2"/>
    <w:rsid w:val="00F62916"/>
    <w:rsid w:val="00F63D9A"/>
    <w:rsid w:val="00F659A3"/>
    <w:rsid w:val="00F70239"/>
    <w:rsid w:val="00F7417F"/>
    <w:rsid w:val="00F93CE7"/>
    <w:rsid w:val="00FA02D2"/>
    <w:rsid w:val="00FA71FF"/>
    <w:rsid w:val="00FA7C68"/>
    <w:rsid w:val="00FB5D43"/>
    <w:rsid w:val="00FB6795"/>
    <w:rsid w:val="00FB743C"/>
    <w:rsid w:val="00FC14A0"/>
    <w:rsid w:val="00FC3BDC"/>
    <w:rsid w:val="00FC3DCA"/>
    <w:rsid w:val="00FC58AD"/>
    <w:rsid w:val="00FC6E8D"/>
    <w:rsid w:val="00FD307B"/>
    <w:rsid w:val="00FD359E"/>
    <w:rsid w:val="00FD78D1"/>
    <w:rsid w:val="00FE38BC"/>
    <w:rsid w:val="00FE68E4"/>
    <w:rsid w:val="00FF34A3"/>
    <w:rsid w:val="00FF6017"/>
    <w:rsid w:val="00FF7159"/>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32C61"/>
  <w15:docId w15:val="{30FB3033-830C-4F93-B7D3-5D1F8079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cf01">
    <w:name w:val="cf01"/>
    <w:basedOn w:val="DefaultParagraphFont"/>
    <w:rsid w:val="00C94F81"/>
    <w:rPr>
      <w:rFonts w:ascii="Segoe UI" w:hAnsi="Segoe UI" w:cs="Segoe UI" w:hint="default"/>
      <w:sz w:val="18"/>
      <w:szCs w:val="18"/>
    </w:rPr>
  </w:style>
  <w:style w:type="character" w:customStyle="1" w:styleId="ui-provider">
    <w:name w:val="ui-provider"/>
    <w:basedOn w:val="DefaultParagraphFont"/>
    <w:rsid w:val="00C63873"/>
  </w:style>
  <w:style w:type="paragraph" w:styleId="ListParagraph">
    <w:name w:val="List Paragraph"/>
    <w:basedOn w:val="Normal"/>
    <w:uiPriority w:val="34"/>
    <w:qFormat/>
    <w:rsid w:val="00632943"/>
    <w:pPr>
      <w:spacing w:after="202" w:line="249" w:lineRule="auto"/>
      <w:ind w:left="720" w:hanging="435"/>
      <w:contextualSpacing/>
    </w:pPr>
    <w:rPr>
      <w:rFonts w:eastAsia="Verdana" w:cs="Verdana"/>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34C5D4B-A2C7-42C2-B75E-520F1204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CA438-017E-41BE-B9EE-92524C72C764}">
  <ds:schemaRefs>
    <ds:schemaRef ds:uri="http://schemas.microsoft.com/sharepoint/v3/contenttype/forms"/>
  </ds:schemaRefs>
</ds:datastoreItem>
</file>

<file path=customXml/itemProps4.xml><?xml version="1.0" encoding="utf-8"?>
<ds:datastoreItem xmlns:ds="http://schemas.openxmlformats.org/officeDocument/2006/customXml" ds:itemID="{EECF203E-F209-4D89-A299-DBC2B63C5F2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a4cad7d-cde0-4c4b-9900-a6ca365b2969"/>
    <ds:schemaRef ds:uri="171a6d4e-846b-4045-8024-24f3590889ec"/>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5</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Freer, Paul</dc:creator>
  <cp:lastModifiedBy>Baylis, Caroline</cp:lastModifiedBy>
  <cp:revision>2</cp:revision>
  <cp:lastPrinted>2013-05-29T14:27:00Z</cp:lastPrinted>
  <dcterms:created xsi:type="dcterms:W3CDTF">2024-06-28T11:20:00Z</dcterms:created>
  <dcterms:modified xsi:type="dcterms:W3CDTF">2024-06-28T11:20:00Z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