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8FD9E" w14:textId="528B9843" w:rsidR="00853681" w:rsidRDefault="00853681" w:rsidP="00853681">
      <w:pPr>
        <w:rPr>
          <w:rFonts w:ascii="HelveticaNeueLT Com 65 Md" w:hAnsi="HelveticaNeueLT Com 65 Md"/>
          <w:color w:val="FFFFFF" w:themeColor="background1"/>
          <w:sz w:val="76"/>
          <w:szCs w:val="76"/>
        </w:rPr>
      </w:pPr>
      <w:r w:rsidRPr="0015102D">
        <w:rPr>
          <w:rFonts w:ascii="HelveticaNeueLT Com 65 Md" w:hAnsi="HelveticaNeueLT Com 65 Md"/>
          <w:noProof/>
          <w:color w:val="FFFFFF" w:themeColor="background1"/>
          <w:sz w:val="76"/>
          <w:szCs w:val="76"/>
        </w:rPr>
        <w:drawing>
          <wp:anchor distT="0" distB="0" distL="114300" distR="114300" simplePos="0" relativeHeight="251658249" behindDoc="1" locked="0" layoutInCell="1" allowOverlap="1" wp14:anchorId="1A8ED9FF" wp14:editId="7538A148">
            <wp:simplePos x="0" y="0"/>
            <wp:positionH relativeFrom="page">
              <wp:align>right</wp:align>
            </wp:positionH>
            <wp:positionV relativeFrom="page">
              <wp:align>top</wp:align>
            </wp:positionV>
            <wp:extent cx="7552690" cy="10683240"/>
            <wp:effectExtent l="0" t="0" r="0" b="3810"/>
            <wp:wrapNone/>
            <wp:docPr id="17" name="Picture 17" descr="A blue and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red cover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690" cy="10683240"/>
                    </a:xfrm>
                    <a:prstGeom prst="rect">
                      <a:avLst/>
                    </a:prstGeom>
                  </pic:spPr>
                </pic:pic>
              </a:graphicData>
            </a:graphic>
            <wp14:sizeRelH relativeFrom="margin">
              <wp14:pctWidth>0</wp14:pctWidth>
            </wp14:sizeRelH>
            <wp14:sizeRelV relativeFrom="margin">
              <wp14:pctHeight>0</wp14:pctHeight>
            </wp14:sizeRelV>
          </wp:anchor>
        </w:drawing>
      </w:r>
    </w:p>
    <w:p w14:paraId="05B913AC" w14:textId="77777777" w:rsidR="00853681" w:rsidRDefault="00853681" w:rsidP="00853681">
      <w:pPr>
        <w:rPr>
          <w:rFonts w:ascii="HelveticaNeueLT Com 65 Md" w:hAnsi="HelveticaNeueLT Com 65 Md"/>
          <w:color w:val="FFFFFF" w:themeColor="background1"/>
          <w:sz w:val="76"/>
          <w:szCs w:val="76"/>
        </w:rPr>
      </w:pPr>
    </w:p>
    <w:p w14:paraId="7F3E8F18" w14:textId="77777777" w:rsidR="00853681" w:rsidRDefault="00853681" w:rsidP="00853681">
      <w:pPr>
        <w:rPr>
          <w:rFonts w:ascii="HelveticaNeueLT Com 65 Md" w:hAnsi="HelveticaNeueLT Com 65 Md"/>
          <w:color w:val="FFFFFF" w:themeColor="background1"/>
          <w:sz w:val="76"/>
          <w:szCs w:val="76"/>
        </w:rPr>
      </w:pPr>
    </w:p>
    <w:p w14:paraId="7B81D925" w14:textId="77777777" w:rsidR="00710C0D" w:rsidRDefault="00710C0D" w:rsidP="00853681">
      <w:pPr>
        <w:rPr>
          <w:rFonts w:ascii="HelveticaNeueLT Com 65 Md" w:hAnsi="HelveticaNeueLT Com 65 Md"/>
          <w:color w:val="FFFFFF" w:themeColor="background1"/>
          <w:sz w:val="76"/>
          <w:szCs w:val="76"/>
        </w:rPr>
      </w:pPr>
    </w:p>
    <w:p w14:paraId="5BD15F05" w14:textId="5BDAD2DC" w:rsidR="00853681" w:rsidRDefault="00853681" w:rsidP="00853681">
      <w:pPr>
        <w:rPr>
          <w:rFonts w:ascii="HelveticaNeueLT Com 65 Md" w:hAnsi="HelveticaNeueLT Com 65 Md"/>
          <w:color w:val="FFFFFF" w:themeColor="background1"/>
          <w:sz w:val="52"/>
          <w:szCs w:val="52"/>
        </w:rPr>
      </w:pPr>
      <w:r w:rsidRPr="0015102D">
        <w:rPr>
          <w:rFonts w:ascii="HelveticaNeueLT Com 65 Md" w:hAnsi="HelveticaNeueLT Com 65 Md"/>
          <w:color w:val="FFFFFF" w:themeColor="background1"/>
          <w:sz w:val="76"/>
          <w:szCs w:val="76"/>
        </w:rPr>
        <w:t>The Insolvency Service</w:t>
      </w:r>
      <w:r w:rsidRPr="0015102D">
        <w:rPr>
          <w:color w:val="FFFFFF" w:themeColor="background1"/>
          <w:sz w:val="52"/>
          <w:szCs w:val="52"/>
        </w:rPr>
        <w:br/>
      </w:r>
      <w:r w:rsidRPr="0015102D">
        <w:rPr>
          <w:rFonts w:ascii="HelveticaNeueLT Com 65 Md" w:hAnsi="HelveticaNeueLT Com 65 Md"/>
          <w:color w:val="FFFFFF" w:themeColor="background1"/>
          <w:sz w:val="52"/>
          <w:szCs w:val="52"/>
        </w:rPr>
        <w:t>Annual Report and Accounts</w:t>
      </w:r>
      <w:r>
        <w:rPr>
          <w:rFonts w:ascii="HelveticaNeueLT Com 65 Md" w:hAnsi="HelveticaNeueLT Com 65 Md"/>
          <w:color w:val="FFFFFF" w:themeColor="background1"/>
          <w:sz w:val="52"/>
          <w:szCs w:val="52"/>
        </w:rPr>
        <w:br/>
      </w:r>
      <w:r w:rsidRPr="0015102D">
        <w:rPr>
          <w:rFonts w:ascii="HelveticaNeueLT Com 65 Md" w:hAnsi="HelveticaNeueLT Com 65 Md"/>
          <w:color w:val="FFFFFF" w:themeColor="background1"/>
          <w:sz w:val="52"/>
          <w:szCs w:val="52"/>
        </w:rPr>
        <w:t>202</w:t>
      </w:r>
      <w:r w:rsidR="00A87D97">
        <w:rPr>
          <w:rFonts w:ascii="HelveticaNeueLT Com 65 Md" w:hAnsi="HelveticaNeueLT Com 65 Md"/>
          <w:color w:val="FFFFFF" w:themeColor="background1"/>
          <w:sz w:val="52"/>
          <w:szCs w:val="52"/>
        </w:rPr>
        <w:t>3</w:t>
      </w:r>
      <w:r w:rsidRPr="0015102D">
        <w:rPr>
          <w:rFonts w:ascii="HelveticaNeueLT Com 65 Md" w:hAnsi="HelveticaNeueLT Com 65 Md"/>
          <w:color w:val="FFFFFF" w:themeColor="background1"/>
          <w:sz w:val="52"/>
          <w:szCs w:val="52"/>
        </w:rPr>
        <w:t>-202</w:t>
      </w:r>
      <w:r w:rsidR="00A87D97">
        <w:rPr>
          <w:rFonts w:ascii="HelveticaNeueLT Com 65 Md" w:hAnsi="HelveticaNeueLT Com 65 Md"/>
          <w:color w:val="FFFFFF" w:themeColor="background1"/>
          <w:sz w:val="52"/>
          <w:szCs w:val="52"/>
        </w:rPr>
        <w:t>4</w:t>
      </w:r>
    </w:p>
    <w:p w14:paraId="45BF916A" w14:textId="13577192" w:rsidR="0041256D" w:rsidRDefault="00FF0290">
      <w:pPr>
        <w:rPr>
          <w:rFonts w:ascii="Arial" w:hAnsi="Arial" w:cs="Arial"/>
          <w:b/>
          <w:bCs/>
          <w:sz w:val="24"/>
          <w:szCs w:val="24"/>
        </w:rPr>
      </w:pPr>
      <w:r w:rsidRPr="00FF0290">
        <w:rPr>
          <w:rFonts w:ascii="Arial" w:hAnsi="Arial" w:cs="Arial"/>
          <w:b/>
          <w:bCs/>
          <w:noProof/>
          <w:sz w:val="24"/>
          <w:szCs w:val="24"/>
        </w:rPr>
        <mc:AlternateContent>
          <mc:Choice Requires="wps">
            <w:drawing>
              <wp:anchor distT="45720" distB="45720" distL="114300" distR="114300" simplePos="0" relativeHeight="251658250" behindDoc="0" locked="0" layoutInCell="1" allowOverlap="1" wp14:anchorId="27BC7B86" wp14:editId="0E56C0B6">
                <wp:simplePos x="0" y="0"/>
                <wp:positionH relativeFrom="column">
                  <wp:posOffset>5663155</wp:posOffset>
                </wp:positionH>
                <wp:positionV relativeFrom="paragraph">
                  <wp:posOffset>4744126</wp:posOffset>
                </wp:positionV>
                <wp:extent cx="796290" cy="32385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23850"/>
                        </a:xfrm>
                        <a:prstGeom prst="rect">
                          <a:avLst/>
                        </a:prstGeom>
                        <a:noFill/>
                        <a:ln w="9525">
                          <a:noFill/>
                          <a:miter lim="800000"/>
                          <a:headEnd/>
                          <a:tailEnd/>
                        </a:ln>
                      </wps:spPr>
                      <wps:txbx>
                        <w:txbxContent>
                          <w:p w14:paraId="69A1C783" w14:textId="2A7E6CC1" w:rsidR="00FF0290" w:rsidRPr="00077A50" w:rsidRDefault="00FF0290">
                            <w:pPr>
                              <w:rPr>
                                <w:rFonts w:ascii="Arial" w:hAnsi="Arial" w:cs="Arial"/>
                                <w:b/>
                                <w:bCs/>
                                <w:color w:val="FFFFFF" w:themeColor="background1"/>
                                <w:sz w:val="24"/>
                                <w:szCs w:val="24"/>
                              </w:rPr>
                            </w:pPr>
                            <w:r w:rsidRPr="00077A50">
                              <w:rPr>
                                <w:rFonts w:ascii="Arial" w:hAnsi="Arial" w:cs="Arial"/>
                                <w:b/>
                                <w:bCs/>
                                <w:color w:val="FFFFFF" w:themeColor="background1"/>
                                <w:sz w:val="24"/>
                                <w:szCs w:val="24"/>
                              </w:rPr>
                              <w:t xml:space="preserve">HC </w:t>
                            </w:r>
                            <w:r w:rsidR="00B82AF6" w:rsidRPr="00B82AF6">
                              <w:rPr>
                                <w:rFonts w:ascii="Arial" w:hAnsi="Arial" w:cs="Arial"/>
                                <w:b/>
                                <w:bCs/>
                                <w:color w:val="FFFFFF" w:themeColor="background1"/>
                                <w:sz w:val="24"/>
                                <w:szCs w:val="24"/>
                              </w:rPr>
                              <w:t>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BC7B86" id="_x0000_t202" coordsize="21600,21600" o:spt="202" path="m,l,21600r21600,l21600,xe">
                <v:stroke joinstyle="miter"/>
                <v:path gradientshapeok="t" o:connecttype="rect"/>
              </v:shapetype>
              <v:shape id="Text Box 217" o:spid="_x0000_s1026" type="#_x0000_t202" style="position:absolute;margin-left:445.9pt;margin-top:373.55pt;width:62.7pt;height:25.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" filled="f" stroked="f">
                <v:textbox>
                  <w:txbxContent>
                    <w:p w14:paraId="69A1C783" w14:textId="2A7E6CC1" w:rsidR="00FF0290" w:rsidRPr="00077A50" w:rsidRDefault="00FF0290">
                      <w:pPr>
                        <w:rPr>
                          <w:rFonts w:ascii="Arial" w:hAnsi="Arial" w:cs="Arial"/>
                          <w:b/>
                          <w:bCs/>
                          <w:color w:val="FFFFFF" w:themeColor="background1"/>
                          <w:sz w:val="24"/>
                          <w:szCs w:val="24"/>
                        </w:rPr>
                      </w:pPr>
                      <w:r w:rsidRPr="00077A50">
                        <w:rPr>
                          <w:rFonts w:ascii="Arial" w:hAnsi="Arial" w:cs="Arial"/>
                          <w:b/>
                          <w:bCs/>
                          <w:color w:val="FFFFFF" w:themeColor="background1"/>
                          <w:sz w:val="24"/>
                          <w:szCs w:val="24"/>
                        </w:rPr>
                        <w:t xml:space="preserve">HC </w:t>
                      </w:r>
                      <w:r w:rsidR="00B82AF6" w:rsidRPr="00B82AF6">
                        <w:rPr>
                          <w:rFonts w:ascii="Arial" w:hAnsi="Arial" w:cs="Arial"/>
                          <w:b/>
                          <w:bCs/>
                          <w:color w:val="FFFFFF" w:themeColor="background1"/>
                          <w:sz w:val="24"/>
                          <w:szCs w:val="24"/>
                        </w:rPr>
                        <w:t>91</w:t>
                      </w:r>
                    </w:p>
                  </w:txbxContent>
                </v:textbox>
              </v:shape>
            </w:pict>
          </mc:Fallback>
        </mc:AlternateContent>
      </w:r>
      <w:r w:rsidR="0041256D">
        <w:rPr>
          <w:rFonts w:ascii="Arial" w:hAnsi="Arial" w:cs="Arial"/>
          <w:b/>
          <w:bCs/>
          <w:sz w:val="24"/>
          <w:szCs w:val="24"/>
        </w:rPr>
        <w:br w:type="page"/>
      </w:r>
    </w:p>
    <w:p w14:paraId="1049D865" w14:textId="77777777" w:rsidR="006932FB" w:rsidRDefault="006932FB">
      <w:pPr>
        <w:rPr>
          <w:rFonts w:ascii="Arial" w:hAnsi="Arial" w:cs="Arial"/>
          <w:b/>
          <w:bCs/>
          <w:sz w:val="72"/>
          <w:szCs w:val="72"/>
        </w:rPr>
      </w:pPr>
      <w:r>
        <w:rPr>
          <w:rFonts w:ascii="Arial" w:hAnsi="Arial" w:cs="Arial"/>
          <w:b/>
          <w:bCs/>
          <w:sz w:val="72"/>
          <w:szCs w:val="72"/>
        </w:rPr>
        <w:lastRenderedPageBreak/>
        <w:br w:type="page"/>
      </w:r>
    </w:p>
    <w:p w14:paraId="481F5F05" w14:textId="3F35DC1B" w:rsidR="002A139D" w:rsidRPr="00425F90" w:rsidRDefault="002A139D" w:rsidP="002A139D">
      <w:pPr>
        <w:pageBreakBefore/>
        <w:tabs>
          <w:tab w:val="left" w:pos="2407"/>
        </w:tabs>
        <w:rPr>
          <w:sz w:val="72"/>
          <w:szCs w:val="72"/>
        </w:rPr>
      </w:pPr>
      <w:r w:rsidRPr="00425F90">
        <w:rPr>
          <w:rFonts w:ascii="Arial" w:hAnsi="Arial" w:cs="Arial"/>
          <w:b/>
          <w:bCs/>
          <w:sz w:val="72"/>
          <w:szCs w:val="72"/>
        </w:rPr>
        <w:lastRenderedPageBreak/>
        <w:t xml:space="preserve">The Insolvency Service </w:t>
      </w:r>
    </w:p>
    <w:p w14:paraId="1C04A810" w14:textId="1C749A5D" w:rsidR="002A139D" w:rsidRPr="00425F90" w:rsidRDefault="002A139D" w:rsidP="002A139D">
      <w:pPr>
        <w:spacing w:after="0"/>
        <w:rPr>
          <w:rFonts w:ascii="Arial" w:hAnsi="Arial"/>
          <w:sz w:val="48"/>
          <w:szCs w:val="48"/>
        </w:rPr>
      </w:pPr>
      <w:r w:rsidRPr="00425F90">
        <w:rPr>
          <w:rFonts w:ascii="Arial" w:hAnsi="Arial" w:cs="Arial"/>
          <w:sz w:val="48"/>
          <w:szCs w:val="48"/>
        </w:rPr>
        <w:t>Annual Report and Accounts 2023-24</w:t>
      </w:r>
    </w:p>
    <w:p w14:paraId="27221228" w14:textId="77777777" w:rsidR="002A139D" w:rsidRDefault="002A139D">
      <w:pPr>
        <w:rPr>
          <w:rFonts w:ascii="Arial" w:hAnsi="Arial" w:cs="Arial"/>
          <w:sz w:val="24"/>
          <w:szCs w:val="24"/>
        </w:rPr>
      </w:pPr>
    </w:p>
    <w:p w14:paraId="718D700B" w14:textId="14D76A9F" w:rsidR="0008072A" w:rsidRPr="00425F90" w:rsidRDefault="0008072A">
      <w:pPr>
        <w:rPr>
          <w:rFonts w:ascii="Arial" w:hAnsi="Arial" w:cs="Arial"/>
          <w:sz w:val="36"/>
          <w:szCs w:val="36"/>
        </w:rPr>
      </w:pPr>
      <w:r w:rsidRPr="00425F90">
        <w:rPr>
          <w:rFonts w:ascii="Arial" w:hAnsi="Arial" w:cs="Arial"/>
          <w:sz w:val="36"/>
          <w:szCs w:val="36"/>
        </w:rPr>
        <w:t>For the period 1 April 2023 to 31 March 2024</w:t>
      </w:r>
    </w:p>
    <w:p w14:paraId="0D2C9969" w14:textId="77777777" w:rsidR="00C2304F" w:rsidRDefault="00C2304F">
      <w:pPr>
        <w:rPr>
          <w:rFonts w:ascii="Arial" w:hAnsi="Arial" w:cs="Arial"/>
          <w:sz w:val="24"/>
          <w:szCs w:val="24"/>
        </w:rPr>
      </w:pPr>
    </w:p>
    <w:p w14:paraId="47783965" w14:textId="76A0AD7D" w:rsidR="0008072A" w:rsidRDefault="0008072A">
      <w:pPr>
        <w:rPr>
          <w:rFonts w:ascii="Arial" w:hAnsi="Arial" w:cs="Arial"/>
          <w:sz w:val="24"/>
          <w:szCs w:val="24"/>
        </w:rPr>
      </w:pPr>
      <w:r>
        <w:rPr>
          <w:rFonts w:ascii="Arial" w:hAnsi="Arial" w:cs="Arial"/>
          <w:sz w:val="24"/>
          <w:szCs w:val="24"/>
        </w:rPr>
        <w:t>Presented to the House of Commons pursuant to Section 7 of the Government Resources and Accounts Act 2000.</w:t>
      </w:r>
    </w:p>
    <w:p w14:paraId="08CC5229" w14:textId="2D53F06E" w:rsidR="0008072A" w:rsidRDefault="0008072A">
      <w:pPr>
        <w:rPr>
          <w:rFonts w:ascii="Arial" w:hAnsi="Arial" w:cs="Arial"/>
          <w:sz w:val="24"/>
          <w:szCs w:val="24"/>
        </w:rPr>
      </w:pPr>
      <w:r>
        <w:rPr>
          <w:rFonts w:ascii="Arial" w:hAnsi="Arial" w:cs="Arial"/>
          <w:sz w:val="24"/>
          <w:szCs w:val="24"/>
        </w:rPr>
        <w:t xml:space="preserve">Ordered by the House of Commons to be printed on </w:t>
      </w:r>
      <w:r w:rsidR="00CC1C18">
        <w:rPr>
          <w:rFonts w:ascii="Arial" w:hAnsi="Arial" w:cs="Arial"/>
          <w:sz w:val="24"/>
          <w:szCs w:val="24"/>
        </w:rPr>
        <w:t>22</w:t>
      </w:r>
      <w:r w:rsidR="004B5CCE">
        <w:rPr>
          <w:rFonts w:ascii="Arial" w:hAnsi="Arial" w:cs="Arial"/>
          <w:sz w:val="24"/>
          <w:szCs w:val="24"/>
        </w:rPr>
        <w:t xml:space="preserve"> July </w:t>
      </w:r>
      <w:r w:rsidR="0079081E">
        <w:rPr>
          <w:rFonts w:ascii="Arial" w:hAnsi="Arial" w:cs="Arial"/>
          <w:sz w:val="24"/>
          <w:szCs w:val="24"/>
        </w:rPr>
        <w:t>2024</w:t>
      </w:r>
      <w:r w:rsidR="00DA15A6">
        <w:rPr>
          <w:rFonts w:ascii="Arial" w:hAnsi="Arial" w:cs="Arial"/>
          <w:sz w:val="24"/>
          <w:szCs w:val="24"/>
        </w:rPr>
        <w:t>.</w:t>
      </w:r>
    </w:p>
    <w:p w14:paraId="47888A07" w14:textId="77777777" w:rsidR="0008072A" w:rsidRDefault="0008072A">
      <w:pPr>
        <w:rPr>
          <w:rFonts w:ascii="Arial" w:hAnsi="Arial" w:cs="Arial"/>
          <w:sz w:val="24"/>
          <w:szCs w:val="24"/>
        </w:rPr>
      </w:pPr>
    </w:p>
    <w:p w14:paraId="6EE0C389" w14:textId="77777777" w:rsidR="0008072A" w:rsidRDefault="0008072A">
      <w:pPr>
        <w:rPr>
          <w:rFonts w:ascii="Arial" w:hAnsi="Arial" w:cs="Arial"/>
          <w:sz w:val="24"/>
          <w:szCs w:val="24"/>
        </w:rPr>
      </w:pPr>
    </w:p>
    <w:p w14:paraId="68EEE9D4" w14:textId="77777777" w:rsidR="0008072A" w:rsidRDefault="0008072A">
      <w:pPr>
        <w:rPr>
          <w:rFonts w:ascii="Arial" w:hAnsi="Arial" w:cs="Arial"/>
          <w:sz w:val="24"/>
          <w:szCs w:val="24"/>
        </w:rPr>
      </w:pPr>
    </w:p>
    <w:p w14:paraId="370393A3" w14:textId="77777777" w:rsidR="0008072A" w:rsidRDefault="0008072A">
      <w:pPr>
        <w:rPr>
          <w:rFonts w:ascii="Arial" w:hAnsi="Arial" w:cs="Arial"/>
          <w:sz w:val="24"/>
          <w:szCs w:val="24"/>
        </w:rPr>
      </w:pPr>
    </w:p>
    <w:p w14:paraId="7FA7A137" w14:textId="77777777" w:rsidR="0008072A" w:rsidRDefault="0008072A">
      <w:pPr>
        <w:rPr>
          <w:rFonts w:ascii="Arial" w:hAnsi="Arial" w:cs="Arial"/>
          <w:sz w:val="24"/>
          <w:szCs w:val="24"/>
        </w:rPr>
      </w:pPr>
    </w:p>
    <w:p w14:paraId="3431EF21" w14:textId="77777777" w:rsidR="0008072A" w:rsidRDefault="0008072A">
      <w:pPr>
        <w:rPr>
          <w:rFonts w:ascii="Arial" w:hAnsi="Arial" w:cs="Arial"/>
          <w:sz w:val="24"/>
          <w:szCs w:val="24"/>
        </w:rPr>
      </w:pPr>
    </w:p>
    <w:p w14:paraId="3EA39A3B" w14:textId="77777777" w:rsidR="0008072A" w:rsidRDefault="0008072A">
      <w:pPr>
        <w:rPr>
          <w:rFonts w:ascii="Arial" w:hAnsi="Arial" w:cs="Arial"/>
          <w:sz w:val="24"/>
          <w:szCs w:val="24"/>
        </w:rPr>
      </w:pPr>
    </w:p>
    <w:p w14:paraId="0719C978" w14:textId="77777777" w:rsidR="0008072A" w:rsidRDefault="0008072A">
      <w:pPr>
        <w:rPr>
          <w:rFonts w:ascii="Arial" w:hAnsi="Arial" w:cs="Arial"/>
          <w:sz w:val="24"/>
          <w:szCs w:val="24"/>
        </w:rPr>
      </w:pPr>
    </w:p>
    <w:p w14:paraId="1590F6B3" w14:textId="77777777" w:rsidR="0008072A" w:rsidRDefault="0008072A">
      <w:pPr>
        <w:rPr>
          <w:rFonts w:ascii="Arial" w:hAnsi="Arial" w:cs="Arial"/>
          <w:sz w:val="24"/>
          <w:szCs w:val="24"/>
        </w:rPr>
      </w:pPr>
    </w:p>
    <w:p w14:paraId="54EBD03E" w14:textId="77777777" w:rsidR="0008072A" w:rsidRDefault="0008072A">
      <w:pPr>
        <w:rPr>
          <w:rFonts w:ascii="Arial" w:hAnsi="Arial" w:cs="Arial"/>
          <w:sz w:val="24"/>
          <w:szCs w:val="24"/>
        </w:rPr>
      </w:pPr>
    </w:p>
    <w:p w14:paraId="351C7874" w14:textId="77777777" w:rsidR="0008072A" w:rsidRDefault="0008072A">
      <w:pPr>
        <w:rPr>
          <w:rFonts w:ascii="Arial" w:hAnsi="Arial" w:cs="Arial"/>
          <w:sz w:val="24"/>
          <w:szCs w:val="24"/>
        </w:rPr>
      </w:pPr>
    </w:p>
    <w:p w14:paraId="2FA32FB9" w14:textId="77777777" w:rsidR="0008072A" w:rsidRDefault="0008072A">
      <w:pPr>
        <w:rPr>
          <w:rFonts w:ascii="Arial" w:hAnsi="Arial" w:cs="Arial"/>
          <w:sz w:val="24"/>
          <w:szCs w:val="24"/>
        </w:rPr>
      </w:pPr>
    </w:p>
    <w:p w14:paraId="6D68CEF2" w14:textId="77777777" w:rsidR="0008072A" w:rsidRDefault="0008072A">
      <w:pPr>
        <w:rPr>
          <w:rFonts w:ascii="Arial" w:hAnsi="Arial" w:cs="Arial"/>
          <w:sz w:val="24"/>
          <w:szCs w:val="24"/>
        </w:rPr>
      </w:pPr>
    </w:p>
    <w:p w14:paraId="4563432A" w14:textId="77777777" w:rsidR="0008072A" w:rsidRDefault="0008072A">
      <w:pPr>
        <w:rPr>
          <w:rFonts w:ascii="Arial" w:hAnsi="Arial" w:cs="Arial"/>
          <w:sz w:val="24"/>
          <w:szCs w:val="24"/>
        </w:rPr>
      </w:pPr>
    </w:p>
    <w:p w14:paraId="069C5745" w14:textId="77777777" w:rsidR="0008072A" w:rsidRDefault="0008072A">
      <w:pPr>
        <w:rPr>
          <w:rFonts w:ascii="Arial" w:hAnsi="Arial" w:cs="Arial"/>
          <w:sz w:val="24"/>
          <w:szCs w:val="24"/>
        </w:rPr>
      </w:pPr>
    </w:p>
    <w:p w14:paraId="6405F685" w14:textId="77777777" w:rsidR="0008072A" w:rsidRDefault="0008072A">
      <w:pPr>
        <w:rPr>
          <w:rFonts w:ascii="Arial" w:hAnsi="Arial" w:cs="Arial"/>
          <w:sz w:val="24"/>
          <w:szCs w:val="24"/>
        </w:rPr>
      </w:pPr>
    </w:p>
    <w:p w14:paraId="4F8FA054" w14:textId="77777777" w:rsidR="0008072A" w:rsidRDefault="0008072A">
      <w:pPr>
        <w:rPr>
          <w:rFonts w:ascii="Arial" w:hAnsi="Arial" w:cs="Arial"/>
          <w:sz w:val="24"/>
          <w:szCs w:val="24"/>
        </w:rPr>
      </w:pPr>
    </w:p>
    <w:p w14:paraId="1BDC9939" w14:textId="77777777" w:rsidR="0008072A" w:rsidRDefault="0008072A">
      <w:pPr>
        <w:rPr>
          <w:rFonts w:ascii="Arial" w:hAnsi="Arial" w:cs="Arial"/>
          <w:sz w:val="24"/>
          <w:szCs w:val="24"/>
        </w:rPr>
      </w:pPr>
    </w:p>
    <w:p w14:paraId="5DDC8FDE" w14:textId="77777777" w:rsidR="0008072A" w:rsidRDefault="0008072A">
      <w:pPr>
        <w:rPr>
          <w:rFonts w:ascii="Arial" w:hAnsi="Arial" w:cs="Arial"/>
          <w:sz w:val="24"/>
          <w:szCs w:val="24"/>
        </w:rPr>
      </w:pPr>
    </w:p>
    <w:p w14:paraId="0F8ED1FF" w14:textId="77777777" w:rsidR="0008072A" w:rsidRDefault="0008072A">
      <w:pPr>
        <w:rPr>
          <w:rFonts w:ascii="Arial" w:hAnsi="Arial" w:cs="Arial"/>
          <w:sz w:val="24"/>
          <w:szCs w:val="24"/>
        </w:rPr>
      </w:pPr>
    </w:p>
    <w:p w14:paraId="5693363A" w14:textId="7CABC345" w:rsidR="0008072A" w:rsidRDefault="0008072A">
      <w:pPr>
        <w:rPr>
          <w:rFonts w:ascii="Arial" w:hAnsi="Arial" w:cs="Arial"/>
          <w:b/>
          <w:bCs/>
          <w:sz w:val="24"/>
          <w:szCs w:val="24"/>
        </w:rPr>
      </w:pPr>
      <w:r>
        <w:rPr>
          <w:rFonts w:ascii="Arial" w:hAnsi="Arial" w:cs="Arial"/>
          <w:b/>
          <w:bCs/>
          <w:sz w:val="24"/>
          <w:szCs w:val="24"/>
        </w:rPr>
        <w:t>HC</w:t>
      </w:r>
      <w:r>
        <w:rPr>
          <w:rFonts w:ascii="Arial" w:hAnsi="Arial" w:cs="Arial"/>
          <w:b/>
          <w:sz w:val="24"/>
          <w:szCs w:val="24"/>
          <w:lang w:eastAsia="en-GB"/>
          <w14:ligatures w14:val="none"/>
        </w:rPr>
        <w:t xml:space="preserve"> </w:t>
      </w:r>
      <w:r w:rsidR="00B82AF6">
        <w:rPr>
          <w:rFonts w:ascii="Arial" w:hAnsi="Arial" w:cs="Arial"/>
          <w:b/>
          <w:bCs/>
          <w:sz w:val="24"/>
          <w:szCs w:val="24"/>
          <w:lang w:eastAsia="en-GB"/>
          <w14:ligatures w14:val="none"/>
        </w:rPr>
        <w:t>91</w:t>
      </w:r>
    </w:p>
    <w:p w14:paraId="7DCEAA5A" w14:textId="77777777" w:rsidR="0008072A" w:rsidRPr="0008072A" w:rsidRDefault="0008072A" w:rsidP="0008072A">
      <w:pPr>
        <w:spacing w:after="0"/>
        <w:rPr>
          <w:kern w:val="0"/>
          <w14:ligatures w14:val="none"/>
        </w:rPr>
      </w:pPr>
      <w:r w:rsidRPr="0008072A">
        <w:rPr>
          <w:noProof/>
          <w:color w:val="2B579A"/>
          <w:kern w:val="0"/>
          <w:shd w:val="clear" w:color="auto" w:fill="E6E6E6"/>
          <w14:ligatures w14:val="none"/>
        </w:rPr>
        <w:lastRenderedPageBreak/>
        <w:drawing>
          <wp:inline distT="0" distB="0" distL="0" distR="0" wp14:anchorId="35B107C1" wp14:editId="638345F0">
            <wp:extent cx="761996" cy="411480"/>
            <wp:effectExtent l="0" t="0" r="4" b="7620"/>
            <wp:docPr id="6" name="Picture 6" descr="P84#yI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761996" cy="411480"/>
                    </a:xfrm>
                    <a:prstGeom prst="rect">
                      <a:avLst/>
                    </a:prstGeom>
                    <a:noFill/>
                    <a:ln>
                      <a:noFill/>
                      <a:prstDash/>
                    </a:ln>
                  </pic:spPr>
                </pic:pic>
              </a:graphicData>
            </a:graphic>
          </wp:inline>
        </w:drawing>
      </w:r>
    </w:p>
    <w:p w14:paraId="7C6A3BF9" w14:textId="77777777" w:rsidR="0008072A" w:rsidRPr="0008072A" w:rsidRDefault="0008072A" w:rsidP="0008072A">
      <w:pPr>
        <w:spacing w:after="0"/>
        <w:rPr>
          <w:kern w:val="0"/>
          <w14:ligatures w14:val="none"/>
        </w:rPr>
      </w:pPr>
    </w:p>
    <w:p w14:paraId="128BCB5A" w14:textId="5480ABA6" w:rsidR="0008072A" w:rsidRPr="0008072A" w:rsidRDefault="0008072A" w:rsidP="0008072A">
      <w:pPr>
        <w:spacing w:after="0"/>
        <w:rPr>
          <w:rFonts w:ascii="Arial" w:hAnsi="Arial"/>
          <w:kern w:val="0"/>
          <w:sz w:val="24"/>
          <w:szCs w:val="24"/>
          <w14:ligatures w14:val="none"/>
        </w:rPr>
      </w:pPr>
      <w:r w:rsidRPr="0008072A">
        <w:rPr>
          <w:rFonts w:ascii="Arial" w:hAnsi="Arial" w:cs="Arial"/>
          <w:kern w:val="0"/>
          <w:sz w:val="24"/>
          <w:szCs w:val="24"/>
          <w14:ligatures w14:val="none"/>
        </w:rPr>
        <w:t>© Crown copyright 2024</w:t>
      </w:r>
    </w:p>
    <w:p w14:paraId="1804F3F8" w14:textId="77777777" w:rsidR="0008072A" w:rsidRPr="0008072A" w:rsidRDefault="0008072A" w:rsidP="0008072A">
      <w:pPr>
        <w:spacing w:after="0"/>
        <w:rPr>
          <w:rFonts w:ascii="Arial" w:hAnsi="Arial"/>
          <w:kern w:val="0"/>
          <w:sz w:val="24"/>
          <w:szCs w:val="24"/>
          <w14:ligatures w14:val="none"/>
        </w:rPr>
      </w:pPr>
    </w:p>
    <w:p w14:paraId="4C825A24" w14:textId="77777777" w:rsidR="00DC68F4" w:rsidRPr="002E15D9" w:rsidRDefault="00DC68F4" w:rsidP="00DC68F4">
      <w:pPr>
        <w:shd w:val="clear" w:color="auto" w:fill="FFFFFF" w:themeFill="background1"/>
        <w:spacing w:after="320" w:line="240" w:lineRule="auto"/>
        <w:rPr>
          <w:rFonts w:ascii="Arial" w:eastAsia="Arial" w:hAnsi="Arial" w:cs="Arial"/>
          <w:color w:val="000000"/>
          <w:sz w:val="24"/>
          <w:szCs w:val="24"/>
          <w:lang w:eastAsia="en-GB"/>
        </w:rPr>
      </w:pPr>
      <w:r w:rsidRPr="42231F92">
        <w:rPr>
          <w:rFonts w:ascii="Arial" w:eastAsia="Arial" w:hAnsi="Arial" w:cs="Arial"/>
          <w:color w:val="000000" w:themeColor="text1"/>
          <w:sz w:val="24"/>
          <w:szCs w:val="24"/>
          <w:lang w:eastAsia="en-GB"/>
        </w:rPr>
        <w:t>This publication is licensed under the terms of the Open Government Licence v3.0 except where otherwise stated. To view this licence, visit </w:t>
      </w:r>
      <w:hyperlink r:id="rId13">
        <w:r w:rsidRPr="42231F92">
          <w:rPr>
            <w:rFonts w:ascii="Arial" w:eastAsia="Arial" w:hAnsi="Arial" w:cs="Arial"/>
            <w:color w:val="2A5DB0"/>
            <w:sz w:val="24"/>
            <w:szCs w:val="24"/>
            <w:u w:val="single"/>
            <w:lang w:eastAsia="en-GB"/>
          </w:rPr>
          <w:t>nationalarchives.gov.uk/doc/open-government-licence/version/3</w:t>
        </w:r>
      </w:hyperlink>
      <w:r w:rsidRPr="42231F92">
        <w:rPr>
          <w:rFonts w:ascii="Arial" w:eastAsia="Arial" w:hAnsi="Arial" w:cs="Arial"/>
          <w:color w:val="000000" w:themeColor="text1"/>
          <w:sz w:val="24"/>
          <w:szCs w:val="24"/>
          <w:lang w:eastAsia="en-GB"/>
        </w:rPr>
        <w:t>.</w:t>
      </w:r>
    </w:p>
    <w:p w14:paraId="3FC8F710" w14:textId="77777777" w:rsidR="00DC68F4" w:rsidRPr="002E15D9" w:rsidRDefault="00DC68F4" w:rsidP="00DC68F4">
      <w:pPr>
        <w:shd w:val="clear" w:color="auto" w:fill="FFFFFF" w:themeFill="background1"/>
        <w:spacing w:after="320" w:line="240" w:lineRule="auto"/>
        <w:rPr>
          <w:rFonts w:ascii="Arial" w:eastAsia="Arial" w:hAnsi="Arial" w:cs="Arial"/>
          <w:color w:val="000000"/>
          <w:sz w:val="24"/>
          <w:szCs w:val="24"/>
          <w:lang w:eastAsia="en-GB"/>
        </w:rPr>
      </w:pPr>
      <w:r w:rsidRPr="42231F92">
        <w:rPr>
          <w:rFonts w:ascii="Arial" w:eastAsia="Arial" w:hAnsi="Arial" w:cs="Arial"/>
          <w:color w:val="000000" w:themeColor="text1"/>
          <w:sz w:val="24"/>
          <w:szCs w:val="24"/>
          <w:lang w:eastAsia="en-GB"/>
        </w:rPr>
        <w:t>Where we have identified any third party copyright information you will need to obtain permission from the copyright holders concerned.</w:t>
      </w:r>
    </w:p>
    <w:p w14:paraId="1BBAEE71" w14:textId="77777777" w:rsidR="00DC68F4" w:rsidRPr="002E15D9" w:rsidRDefault="00DC68F4" w:rsidP="00DC68F4">
      <w:pPr>
        <w:shd w:val="clear" w:color="auto" w:fill="FFFFFF" w:themeFill="background1"/>
        <w:spacing w:after="320" w:line="240" w:lineRule="auto"/>
        <w:rPr>
          <w:rFonts w:ascii="Arial" w:eastAsia="Arial" w:hAnsi="Arial" w:cs="Arial"/>
          <w:color w:val="000000"/>
          <w:sz w:val="24"/>
          <w:szCs w:val="24"/>
          <w:lang w:eastAsia="en-GB"/>
        </w:rPr>
      </w:pPr>
      <w:r w:rsidRPr="42231F92">
        <w:rPr>
          <w:rFonts w:ascii="Arial" w:eastAsia="Arial" w:hAnsi="Arial" w:cs="Arial"/>
          <w:color w:val="000000" w:themeColor="text1"/>
          <w:sz w:val="24"/>
          <w:szCs w:val="24"/>
          <w:lang w:eastAsia="en-GB"/>
        </w:rPr>
        <w:t xml:space="preserve">This publication is available at </w:t>
      </w:r>
      <w:hyperlink r:id="rId14">
        <w:r w:rsidRPr="42231F92">
          <w:rPr>
            <w:rStyle w:val="Hyperlink"/>
            <w:rFonts w:ascii="Arial" w:eastAsia="Arial" w:hAnsi="Arial" w:cs="Arial"/>
            <w:color w:val="2A5DB0"/>
            <w:sz w:val="24"/>
            <w:szCs w:val="24"/>
            <w:lang w:eastAsia="en-GB"/>
          </w:rPr>
          <w:t>www.gov.uk/official-documents</w:t>
        </w:r>
      </w:hyperlink>
      <w:r w:rsidRPr="42231F92">
        <w:rPr>
          <w:rFonts w:ascii="Arial" w:eastAsia="Arial" w:hAnsi="Arial" w:cs="Arial"/>
          <w:color w:val="000000" w:themeColor="text1"/>
          <w:sz w:val="24"/>
          <w:szCs w:val="24"/>
          <w:lang w:eastAsia="en-GB"/>
        </w:rPr>
        <w:t>.</w:t>
      </w:r>
    </w:p>
    <w:p w14:paraId="47F8FBFE" w14:textId="10709003" w:rsidR="0008072A" w:rsidRPr="0008072A" w:rsidRDefault="00DC68F4" w:rsidP="00DC68F4">
      <w:pPr>
        <w:spacing w:after="0"/>
        <w:rPr>
          <w:rFonts w:ascii="Arial" w:hAnsi="Arial"/>
          <w:kern w:val="0"/>
          <w:sz w:val="24"/>
          <w:szCs w:val="24"/>
          <w14:ligatures w14:val="none"/>
        </w:rPr>
      </w:pPr>
      <w:r w:rsidRPr="42231F92">
        <w:rPr>
          <w:rFonts w:ascii="Arial" w:eastAsia="Arial" w:hAnsi="Arial" w:cs="Arial"/>
          <w:color w:val="000000" w:themeColor="text1"/>
          <w:sz w:val="24"/>
          <w:szCs w:val="24"/>
          <w:lang w:eastAsia="en-GB"/>
        </w:rPr>
        <w:t>Any enquiries regarding this publication should be sent to us at</w:t>
      </w:r>
      <w:r>
        <w:rPr>
          <w:rFonts w:ascii="Arial" w:eastAsia="Arial" w:hAnsi="Arial" w:cs="Arial"/>
          <w:color w:val="000000" w:themeColor="text1"/>
          <w:sz w:val="24"/>
          <w:szCs w:val="24"/>
          <w:lang w:eastAsia="en-GB"/>
        </w:rPr>
        <w:t xml:space="preserve">: </w:t>
      </w:r>
      <w:r w:rsidR="0008072A" w:rsidRPr="0008072A">
        <w:rPr>
          <w:rFonts w:ascii="Arial" w:hAnsi="Arial" w:cs="Arial"/>
          <w:kern w:val="0"/>
          <w:sz w:val="24"/>
          <w:szCs w:val="24"/>
          <w14:ligatures w14:val="none"/>
        </w:rPr>
        <w:t xml:space="preserve">press.office@insolvency.gov.uk </w:t>
      </w:r>
    </w:p>
    <w:p w14:paraId="35E81704" w14:textId="77777777" w:rsidR="0008072A" w:rsidRPr="0008072A" w:rsidRDefault="0008072A" w:rsidP="0008072A">
      <w:pPr>
        <w:spacing w:after="0"/>
        <w:rPr>
          <w:rFonts w:ascii="Arial" w:hAnsi="Arial"/>
          <w:kern w:val="0"/>
          <w:sz w:val="24"/>
          <w:szCs w:val="24"/>
          <w14:ligatures w14:val="none"/>
        </w:rPr>
      </w:pPr>
    </w:p>
    <w:p w14:paraId="23C7C2D5" w14:textId="21C82E5B" w:rsidR="0008072A" w:rsidRPr="0008072A" w:rsidRDefault="0008072A" w:rsidP="0008072A">
      <w:pPr>
        <w:spacing w:after="0"/>
        <w:rPr>
          <w:rFonts w:ascii="Arial" w:hAnsi="Arial"/>
          <w:kern w:val="0"/>
          <w:sz w:val="24"/>
          <w:szCs w:val="24"/>
          <w14:ligatures w14:val="none"/>
        </w:rPr>
      </w:pPr>
      <w:bookmarkStart w:id="0" w:name="_Hlk85176682"/>
      <w:r w:rsidRPr="0008072A">
        <w:rPr>
          <w:rFonts w:ascii="Arial" w:hAnsi="Arial" w:cs="Arial"/>
          <w:kern w:val="0"/>
          <w:sz w:val="24"/>
          <w:szCs w:val="24"/>
          <w14:ligatures w14:val="none"/>
        </w:rPr>
        <w:t xml:space="preserve">ISBN </w:t>
      </w:r>
      <w:r w:rsidR="00A05363" w:rsidRPr="009F7416">
        <w:rPr>
          <w:rFonts w:ascii="Arial" w:hAnsi="Arial" w:cs="Arial"/>
          <w:sz w:val="24"/>
          <w:szCs w:val="24"/>
        </w:rPr>
        <w:t>978-1-5286-5029-8</w:t>
      </w:r>
    </w:p>
    <w:p w14:paraId="418A18B4" w14:textId="37799CF4" w:rsidR="0008072A" w:rsidRPr="0008072A" w:rsidRDefault="0008072A" w:rsidP="0008072A">
      <w:pPr>
        <w:spacing w:after="0"/>
        <w:rPr>
          <w:rFonts w:ascii="Arial" w:hAnsi="Arial" w:cs="Arial"/>
          <w:kern w:val="0"/>
          <w:sz w:val="24"/>
          <w:szCs w:val="24"/>
          <w14:ligatures w14:val="none"/>
        </w:rPr>
      </w:pPr>
      <w:r w:rsidRPr="0008072A">
        <w:rPr>
          <w:rFonts w:ascii="Arial" w:hAnsi="Arial" w:cs="Arial"/>
          <w:kern w:val="0"/>
          <w:sz w:val="24"/>
          <w:szCs w:val="24"/>
          <w14:ligatures w14:val="none"/>
        </w:rPr>
        <w:t xml:space="preserve">E-Number: </w:t>
      </w:r>
      <w:bookmarkEnd w:id="0"/>
      <w:r w:rsidRPr="0008072A">
        <w:rPr>
          <w:rFonts w:ascii="Arial" w:hAnsi="Arial" w:cs="Arial"/>
          <w:kern w:val="0"/>
          <w:sz w:val="24"/>
          <w:szCs w:val="24"/>
          <w14:ligatures w14:val="none"/>
        </w:rPr>
        <w:t>E</w:t>
      </w:r>
      <w:r w:rsidR="006D5561" w:rsidRPr="006D5561">
        <w:rPr>
          <w:rFonts w:ascii="Arial" w:hAnsi="Arial" w:cs="Arial"/>
          <w:sz w:val="24"/>
          <w:szCs w:val="24"/>
        </w:rPr>
        <w:t>03151952</w:t>
      </w:r>
      <w:r w:rsidRPr="0008072A">
        <w:rPr>
          <w:rFonts w:ascii="Arial" w:hAnsi="Arial" w:cs="Arial"/>
          <w:kern w:val="0"/>
          <w:sz w:val="24"/>
          <w:szCs w:val="24"/>
          <w14:ligatures w14:val="none"/>
        </w:rPr>
        <w:t xml:space="preserve"> 07/24</w:t>
      </w:r>
    </w:p>
    <w:p w14:paraId="69E29B7D" w14:textId="77777777" w:rsidR="0008072A" w:rsidRPr="0008072A" w:rsidRDefault="0008072A" w:rsidP="0008072A">
      <w:pPr>
        <w:spacing w:after="0"/>
        <w:rPr>
          <w:rFonts w:ascii="Arial" w:hAnsi="Arial"/>
          <w:kern w:val="0"/>
          <w:sz w:val="24"/>
          <w:szCs w:val="24"/>
          <w14:ligatures w14:val="none"/>
        </w:rPr>
      </w:pPr>
    </w:p>
    <w:p w14:paraId="3573EC0B" w14:textId="77777777" w:rsidR="0008072A" w:rsidRPr="0008072A" w:rsidRDefault="0008072A" w:rsidP="0008072A">
      <w:pPr>
        <w:spacing w:after="320" w:line="240" w:lineRule="auto"/>
        <w:rPr>
          <w:kern w:val="0"/>
          <w14:ligatures w14:val="none"/>
        </w:rPr>
      </w:pPr>
      <w:r w:rsidRPr="0008072A">
        <w:rPr>
          <w:rFonts w:ascii="Arial" w:eastAsia="Arial" w:hAnsi="Arial" w:cs="Arial"/>
          <w:color w:val="000000"/>
          <w:kern w:val="0"/>
          <w:sz w:val="24"/>
          <w:szCs w:val="24"/>
          <w:lang w:eastAsia="en-GB"/>
          <w14:ligatures w14:val="none"/>
        </w:rPr>
        <w:t>Printed on paper containing 40% recycled fibre content minimum</w:t>
      </w:r>
    </w:p>
    <w:p w14:paraId="6C15CE3F" w14:textId="77777777" w:rsidR="00F57CAA" w:rsidRDefault="00F5364F" w:rsidP="00F5364F">
      <w:pPr>
        <w:rPr>
          <w:rFonts w:ascii="Arial" w:eastAsia="Arial" w:hAnsi="Arial" w:cs="Arial"/>
          <w:color w:val="000000" w:themeColor="text1"/>
          <w:sz w:val="24"/>
          <w:szCs w:val="24"/>
          <w:lang w:eastAsia="en-GB"/>
        </w:rPr>
      </w:pPr>
      <w:r w:rsidRPr="42231F92">
        <w:rPr>
          <w:rFonts w:ascii="Arial" w:eastAsia="Arial" w:hAnsi="Arial" w:cs="Arial"/>
          <w:color w:val="000000" w:themeColor="text1"/>
          <w:sz w:val="24"/>
          <w:szCs w:val="24"/>
          <w:lang w:eastAsia="en-GB"/>
        </w:rPr>
        <w:t>Printed in the UK by HH Associates Ltd. on behalf of the Controller of His Majesty’s Stationery Office</w:t>
      </w:r>
    </w:p>
    <w:p w14:paraId="6C43D0EE" w14:textId="77777777" w:rsidR="00F57CAA" w:rsidRDefault="00F57CAA" w:rsidP="00F5364F">
      <w:pPr>
        <w:rPr>
          <w:rFonts w:ascii="Arial" w:eastAsia="Arial" w:hAnsi="Arial" w:cs="Arial"/>
          <w:color w:val="000000" w:themeColor="text1"/>
          <w:sz w:val="24"/>
          <w:szCs w:val="24"/>
          <w:lang w:eastAsia="en-GB"/>
        </w:rPr>
      </w:pPr>
    </w:p>
    <w:p w14:paraId="732776BC" w14:textId="0A1BE494" w:rsidR="00F57CAA" w:rsidRPr="00F57CAA" w:rsidRDefault="00F57CAA" w:rsidP="00F57CAA">
      <w:pPr>
        <w:rPr>
          <w:rFonts w:ascii="Arial" w:eastAsia="Arial" w:hAnsi="Arial" w:cs="Arial"/>
          <w:color w:val="000000" w:themeColor="text1"/>
          <w:sz w:val="24"/>
          <w:szCs w:val="24"/>
          <w:lang w:eastAsia="en-GB"/>
        </w:rPr>
      </w:pPr>
      <w:r w:rsidRPr="00F57CAA">
        <w:rPr>
          <w:rFonts w:ascii="Arial" w:eastAsia="Arial" w:hAnsi="Arial" w:cs="Arial"/>
          <w:color w:val="000000" w:themeColor="text1"/>
          <w:sz w:val="24"/>
          <w:szCs w:val="24"/>
          <w:lang w:eastAsia="en-GB"/>
        </w:rPr>
        <w:t>The Insolvency Service is an executive agency, sponsored by the Department for Business and Trade</w:t>
      </w:r>
      <w:r w:rsidR="0013245F">
        <w:rPr>
          <w:rFonts w:ascii="Arial" w:eastAsia="Arial" w:hAnsi="Arial" w:cs="Arial"/>
          <w:color w:val="000000" w:themeColor="text1"/>
          <w:sz w:val="24"/>
          <w:szCs w:val="24"/>
          <w:lang w:eastAsia="en-GB"/>
        </w:rPr>
        <w:t>.</w:t>
      </w:r>
    </w:p>
    <w:p w14:paraId="4616D4DB" w14:textId="0110311B" w:rsidR="00F5364F" w:rsidRPr="00F57CAA" w:rsidRDefault="00F57CAA" w:rsidP="00F5364F">
      <w:pPr>
        <w:rPr>
          <w:rFonts w:ascii="Arial" w:eastAsia="Arial" w:hAnsi="Arial" w:cs="Arial"/>
          <w:color w:val="000000" w:themeColor="text1"/>
          <w:sz w:val="24"/>
          <w:szCs w:val="24"/>
          <w:lang w:eastAsia="en-GB"/>
        </w:rPr>
      </w:pPr>
      <w:r w:rsidRPr="00F57CAA">
        <w:rPr>
          <w:rFonts w:ascii="Arial" w:eastAsia="Arial" w:hAnsi="Arial" w:cs="Arial"/>
          <w:color w:val="000000" w:themeColor="text1"/>
          <w:sz w:val="24"/>
          <w:szCs w:val="24"/>
          <w:lang w:eastAsia="en-GB"/>
        </w:rPr>
        <w:t>16th Floor, 1 Westfield Ave</w:t>
      </w:r>
      <w:r w:rsidR="00C02590">
        <w:rPr>
          <w:rFonts w:ascii="Arial" w:eastAsia="Arial" w:hAnsi="Arial" w:cs="Arial"/>
          <w:color w:val="000000" w:themeColor="text1"/>
          <w:sz w:val="24"/>
          <w:szCs w:val="24"/>
          <w:lang w:eastAsia="en-GB"/>
        </w:rPr>
        <w:br/>
      </w:r>
      <w:r w:rsidRPr="00F57CAA">
        <w:rPr>
          <w:rFonts w:ascii="Arial" w:eastAsia="Arial" w:hAnsi="Arial" w:cs="Arial"/>
          <w:color w:val="000000" w:themeColor="text1"/>
          <w:sz w:val="24"/>
          <w:szCs w:val="24"/>
          <w:lang w:eastAsia="en-GB"/>
        </w:rPr>
        <w:t>LONDON</w:t>
      </w:r>
      <w:r w:rsidR="00C02590">
        <w:rPr>
          <w:rFonts w:ascii="Arial" w:eastAsia="Arial" w:hAnsi="Arial" w:cs="Arial"/>
          <w:color w:val="000000" w:themeColor="text1"/>
          <w:sz w:val="24"/>
          <w:szCs w:val="24"/>
          <w:lang w:eastAsia="en-GB"/>
        </w:rPr>
        <w:br/>
      </w:r>
      <w:r w:rsidRPr="00F57CAA">
        <w:rPr>
          <w:rFonts w:ascii="Arial" w:eastAsia="Arial" w:hAnsi="Arial" w:cs="Arial"/>
          <w:color w:val="000000" w:themeColor="text1"/>
          <w:sz w:val="24"/>
          <w:szCs w:val="24"/>
          <w:lang w:eastAsia="en-GB"/>
        </w:rPr>
        <w:t>E20 1HZ</w:t>
      </w:r>
      <w:r w:rsidR="00C02590">
        <w:rPr>
          <w:rFonts w:ascii="Arial" w:eastAsia="Arial" w:hAnsi="Arial" w:cs="Arial"/>
          <w:color w:val="000000" w:themeColor="text1"/>
          <w:sz w:val="24"/>
          <w:szCs w:val="24"/>
          <w:lang w:eastAsia="en-GB"/>
        </w:rPr>
        <w:br/>
      </w:r>
      <w:r w:rsidRPr="00F57CAA">
        <w:rPr>
          <w:rFonts w:ascii="Arial" w:eastAsia="Arial" w:hAnsi="Arial" w:cs="Arial"/>
          <w:color w:val="000000" w:themeColor="text1"/>
          <w:sz w:val="24"/>
          <w:szCs w:val="24"/>
          <w:lang w:eastAsia="en-GB"/>
        </w:rPr>
        <w:t>United Kingdom</w:t>
      </w:r>
      <w:r w:rsidR="00F5364F" w:rsidRPr="00F57CAA">
        <w:rPr>
          <w:rFonts w:ascii="Arial" w:eastAsia="Arial" w:hAnsi="Arial" w:cs="Arial"/>
          <w:color w:val="000000" w:themeColor="text1"/>
          <w:sz w:val="24"/>
          <w:szCs w:val="24"/>
          <w:lang w:eastAsia="en-GB"/>
        </w:rPr>
        <w:t xml:space="preserve"> </w:t>
      </w:r>
    </w:p>
    <w:p w14:paraId="4E9D03B6" w14:textId="77777777" w:rsidR="00F5364F" w:rsidRDefault="00F5364F">
      <w:pPr>
        <w:rPr>
          <w:rFonts w:ascii="Arial" w:hAnsi="Arial" w:cs="Arial"/>
          <w:b/>
          <w:bCs/>
          <w:color w:val="4472C4" w:themeColor="accent1"/>
          <w:sz w:val="32"/>
          <w:szCs w:val="32"/>
        </w:rPr>
      </w:pPr>
      <w:r>
        <w:rPr>
          <w:rFonts w:ascii="Arial" w:hAnsi="Arial" w:cs="Arial"/>
          <w:b/>
          <w:bCs/>
          <w:color w:val="4472C4" w:themeColor="accent1"/>
          <w:sz w:val="32"/>
          <w:szCs w:val="32"/>
        </w:rPr>
        <w:br w:type="page"/>
      </w:r>
    </w:p>
    <w:p w14:paraId="4DB42F14" w14:textId="77777777" w:rsidR="003B3E75" w:rsidRDefault="003B3E75" w:rsidP="000F4CE5">
      <w:pPr>
        <w:pStyle w:val="Heading2"/>
        <w:tabs>
          <w:tab w:val="right" w:leader="dot" w:pos="8931"/>
        </w:tabs>
        <w:ind w:left="567" w:hanging="567"/>
        <w:sectPr w:rsidR="003B3E75">
          <w:footerReference w:type="default" r:id="rId15"/>
          <w:pgSz w:w="11906" w:h="16838"/>
          <w:pgMar w:top="1440" w:right="1440" w:bottom="1440" w:left="1440" w:header="708" w:footer="708" w:gutter="0"/>
          <w:cols w:space="708"/>
          <w:docGrid w:linePitch="360"/>
        </w:sectPr>
      </w:pPr>
    </w:p>
    <w:p w14:paraId="2CD2559C" w14:textId="74F0A2A8" w:rsidR="0008072A" w:rsidRDefault="0008072A" w:rsidP="000F4CE5">
      <w:pPr>
        <w:pStyle w:val="Heading2"/>
        <w:tabs>
          <w:tab w:val="right" w:leader="dot" w:pos="8931"/>
        </w:tabs>
        <w:ind w:left="567" w:hanging="567"/>
        <w:rPr>
          <w:rFonts w:cs="Arial"/>
          <w:b w:val="0"/>
          <w:sz w:val="24"/>
          <w:szCs w:val="24"/>
        </w:rPr>
      </w:pPr>
      <w:r w:rsidRPr="00AA73C5">
        <w:lastRenderedPageBreak/>
        <w:t>List of contents</w:t>
      </w:r>
    </w:p>
    <w:p w14:paraId="719EBAD8" w14:textId="74A1A3B0" w:rsidR="0008072A" w:rsidRPr="007606B5" w:rsidRDefault="00310614" w:rsidP="000F4CE5">
      <w:pPr>
        <w:pStyle w:val="Heading3"/>
        <w:tabs>
          <w:tab w:val="right" w:leader="dot" w:pos="8931"/>
        </w:tabs>
        <w:ind w:left="567" w:hanging="567"/>
      </w:pPr>
      <w:r>
        <w:t xml:space="preserve">1. </w:t>
      </w:r>
      <w:r w:rsidR="0008072A" w:rsidRPr="007606B5">
        <w:t>Performance Report</w:t>
      </w:r>
      <w:r w:rsidR="00AB7014">
        <w:tab/>
        <w:t>6</w:t>
      </w:r>
    </w:p>
    <w:p w14:paraId="7A3CEBFB" w14:textId="35CB4A2B" w:rsidR="0008072A" w:rsidRDefault="0008072A" w:rsidP="000F4CE5">
      <w:pPr>
        <w:pStyle w:val="Heading4"/>
        <w:tabs>
          <w:tab w:val="right" w:leader="dot" w:pos="8931"/>
        </w:tabs>
        <w:ind w:left="567" w:hanging="567"/>
      </w:pPr>
      <w:r>
        <w:rPr>
          <w:bCs/>
        </w:rPr>
        <w:tab/>
      </w:r>
      <w:r>
        <w:t xml:space="preserve">Performance </w:t>
      </w:r>
      <w:r w:rsidR="007606B5">
        <w:t>o</w:t>
      </w:r>
      <w:r>
        <w:t>verview</w:t>
      </w:r>
      <w:r w:rsidR="00AB7014">
        <w:tab/>
        <w:t>6</w:t>
      </w:r>
    </w:p>
    <w:p w14:paraId="351AE290" w14:textId="56E954E2" w:rsidR="0008072A" w:rsidRDefault="0008072A" w:rsidP="000F4CE5">
      <w:pPr>
        <w:pStyle w:val="Heading4"/>
        <w:tabs>
          <w:tab w:val="right" w:leader="dot" w:pos="8931"/>
        </w:tabs>
        <w:ind w:left="567" w:hanging="567"/>
      </w:pPr>
      <w:r>
        <w:tab/>
        <w:t xml:space="preserve">Chief Executive’s </w:t>
      </w:r>
      <w:r w:rsidR="007606B5">
        <w:t>f</w:t>
      </w:r>
      <w:r>
        <w:t>oreword</w:t>
      </w:r>
      <w:r w:rsidR="00AB7014">
        <w:tab/>
        <w:t>6</w:t>
      </w:r>
    </w:p>
    <w:p w14:paraId="65B7A5F5" w14:textId="03BF575F" w:rsidR="0008072A" w:rsidRDefault="0008072A" w:rsidP="000F4CE5">
      <w:pPr>
        <w:pStyle w:val="Heading4"/>
        <w:tabs>
          <w:tab w:val="right" w:leader="dot" w:pos="8931"/>
        </w:tabs>
        <w:ind w:left="567"/>
      </w:pPr>
      <w:r>
        <w:t>Who we are and what we do</w:t>
      </w:r>
      <w:r w:rsidR="00D62338">
        <w:tab/>
        <w:t>9</w:t>
      </w:r>
    </w:p>
    <w:p w14:paraId="694DC59A" w14:textId="594C143A" w:rsidR="0008072A" w:rsidRDefault="0008072A" w:rsidP="000F4CE5">
      <w:pPr>
        <w:pStyle w:val="Heading4"/>
        <w:tabs>
          <w:tab w:val="right" w:leader="dot" w:pos="8931"/>
        </w:tabs>
        <w:ind w:left="567"/>
      </w:pPr>
      <w:r>
        <w:t>Our objectives</w:t>
      </w:r>
      <w:r w:rsidR="00D62338">
        <w:tab/>
      </w:r>
      <w:r w:rsidR="007909E9">
        <w:t>10</w:t>
      </w:r>
    </w:p>
    <w:p w14:paraId="62B0A03D" w14:textId="6EC513F8" w:rsidR="0008072A" w:rsidRDefault="007606B5" w:rsidP="000F4CE5">
      <w:pPr>
        <w:pStyle w:val="Heading4"/>
        <w:tabs>
          <w:tab w:val="right" w:leader="dot" w:pos="8931"/>
        </w:tabs>
        <w:ind w:left="567"/>
      </w:pPr>
      <w:r>
        <w:t>Financing</w:t>
      </w:r>
      <w:r w:rsidR="007909E9">
        <w:tab/>
      </w:r>
      <w:r w:rsidR="00840E75">
        <w:t>5</w:t>
      </w:r>
      <w:r w:rsidR="004322A5">
        <w:t>0</w:t>
      </w:r>
    </w:p>
    <w:p w14:paraId="51554D4F" w14:textId="3C07038E" w:rsidR="007606B5" w:rsidRPr="007606B5" w:rsidRDefault="00BD3F92" w:rsidP="000F4CE5">
      <w:pPr>
        <w:pStyle w:val="Heading3"/>
        <w:tabs>
          <w:tab w:val="right" w:leader="dot" w:pos="8931"/>
        </w:tabs>
        <w:ind w:left="567" w:hanging="567"/>
      </w:pPr>
      <w:r>
        <w:t xml:space="preserve">2. </w:t>
      </w:r>
      <w:r w:rsidR="00B806A4">
        <w:tab/>
      </w:r>
      <w:r w:rsidR="007606B5" w:rsidRPr="007606B5">
        <w:t>Accountability Report</w:t>
      </w:r>
      <w:r w:rsidR="009E6E4E">
        <w:tab/>
        <w:t>5</w:t>
      </w:r>
      <w:r w:rsidR="00436981">
        <w:t>5</w:t>
      </w:r>
    </w:p>
    <w:p w14:paraId="6CB5334D" w14:textId="41F0C21E" w:rsidR="007606B5" w:rsidRDefault="007606B5" w:rsidP="000F4CE5">
      <w:pPr>
        <w:pStyle w:val="Heading4"/>
        <w:tabs>
          <w:tab w:val="right" w:leader="dot" w:pos="8931"/>
        </w:tabs>
        <w:ind w:left="567" w:hanging="567"/>
      </w:pPr>
      <w:r>
        <w:tab/>
        <w:t xml:space="preserve">Corporate </w:t>
      </w:r>
      <w:r w:rsidR="002A65B6">
        <w:t>Governance Report</w:t>
      </w:r>
      <w:r w:rsidR="009E6E4E">
        <w:tab/>
      </w:r>
      <w:r w:rsidR="00A30CCF">
        <w:t>5</w:t>
      </w:r>
      <w:r w:rsidR="00436981">
        <w:t>7</w:t>
      </w:r>
    </w:p>
    <w:p w14:paraId="4F974994" w14:textId="30B68D7D" w:rsidR="007606B5" w:rsidRDefault="007606B5" w:rsidP="000F4CE5">
      <w:pPr>
        <w:pStyle w:val="Heading4"/>
        <w:tabs>
          <w:tab w:val="right" w:leader="dot" w:pos="8931"/>
        </w:tabs>
        <w:ind w:left="567" w:hanging="567"/>
      </w:pPr>
      <w:r>
        <w:t xml:space="preserve">       </w:t>
      </w:r>
      <w:r w:rsidR="00F46DD7">
        <w:tab/>
      </w:r>
      <w:r>
        <w:t xml:space="preserve">Remuneration and </w:t>
      </w:r>
      <w:r w:rsidR="002A65B6">
        <w:t xml:space="preserve">Staff </w:t>
      </w:r>
      <w:r>
        <w:t>report</w:t>
      </w:r>
      <w:r w:rsidR="00A30CCF">
        <w:tab/>
      </w:r>
      <w:r w:rsidR="00DC5435">
        <w:t>7</w:t>
      </w:r>
      <w:r w:rsidR="006D5A46">
        <w:t>5</w:t>
      </w:r>
    </w:p>
    <w:p w14:paraId="1C11C44F" w14:textId="4C5231CC" w:rsidR="007606B5" w:rsidRDefault="007606B5" w:rsidP="000F4CE5">
      <w:pPr>
        <w:pStyle w:val="Heading4"/>
        <w:tabs>
          <w:tab w:val="right" w:leader="dot" w:pos="8931"/>
        </w:tabs>
        <w:ind w:left="567" w:hanging="567"/>
      </w:pPr>
      <w:r>
        <w:tab/>
        <w:t>Parliamentary accountability and audit report</w:t>
      </w:r>
      <w:r w:rsidR="00DC5435">
        <w:tab/>
      </w:r>
      <w:r w:rsidR="006D5A46">
        <w:t>90</w:t>
      </w:r>
    </w:p>
    <w:p w14:paraId="2ABA9372" w14:textId="004D0646" w:rsidR="007606B5" w:rsidRPr="007606B5" w:rsidRDefault="00BD3F92" w:rsidP="000F4CE5">
      <w:pPr>
        <w:pStyle w:val="Heading3"/>
        <w:tabs>
          <w:tab w:val="right" w:leader="dot" w:pos="8931"/>
        </w:tabs>
        <w:ind w:left="567" w:hanging="567"/>
        <w:rPr>
          <w:rFonts w:cs="Arial"/>
          <w:b w:val="0"/>
          <w:color w:val="4472C4" w:themeColor="accent1"/>
          <w:sz w:val="24"/>
        </w:rPr>
      </w:pPr>
      <w:r>
        <w:t xml:space="preserve">3. </w:t>
      </w:r>
      <w:r w:rsidR="00B806A4">
        <w:tab/>
      </w:r>
      <w:r w:rsidR="007606B5" w:rsidRPr="007606B5">
        <w:t>Financial Statements and notes to the Agency’s</w:t>
      </w:r>
      <w:r w:rsidR="00BA40AF">
        <w:tab/>
      </w:r>
      <w:r w:rsidR="008E1F96">
        <w:t>101</w:t>
      </w:r>
      <w:r w:rsidR="007606B5" w:rsidRPr="007606B5">
        <w:t xml:space="preserve"> Accounts</w:t>
      </w:r>
    </w:p>
    <w:p w14:paraId="06B6AC8D" w14:textId="4596495B" w:rsidR="007606B5" w:rsidRDefault="007606B5" w:rsidP="000F4CE5">
      <w:pPr>
        <w:pStyle w:val="Heading4"/>
        <w:tabs>
          <w:tab w:val="right" w:leader="dot" w:pos="8931"/>
        </w:tabs>
        <w:ind w:firstLine="567"/>
      </w:pPr>
      <w:r>
        <w:t>Statement of Comprehensive Net Expenditure</w:t>
      </w:r>
      <w:r w:rsidR="00ED19D6">
        <w:tab/>
      </w:r>
      <w:r w:rsidR="008E1F96">
        <w:t>101</w:t>
      </w:r>
    </w:p>
    <w:p w14:paraId="2E311B35" w14:textId="7B294E61" w:rsidR="007606B5" w:rsidRDefault="007606B5" w:rsidP="000F4CE5">
      <w:pPr>
        <w:pStyle w:val="Heading4"/>
        <w:tabs>
          <w:tab w:val="right" w:leader="dot" w:pos="8931"/>
        </w:tabs>
        <w:ind w:firstLine="567"/>
      </w:pPr>
      <w:r>
        <w:t>Statement of Financial Position</w:t>
      </w:r>
      <w:r w:rsidR="00042089">
        <w:tab/>
      </w:r>
      <w:r w:rsidR="008E1F96">
        <w:t>102</w:t>
      </w:r>
    </w:p>
    <w:p w14:paraId="6FF5FC0A" w14:textId="23F5341D" w:rsidR="007606B5" w:rsidRDefault="007606B5" w:rsidP="000F4CE5">
      <w:pPr>
        <w:pStyle w:val="Heading4"/>
        <w:tabs>
          <w:tab w:val="right" w:leader="dot" w:pos="8931"/>
        </w:tabs>
        <w:ind w:firstLine="567"/>
      </w:pPr>
      <w:r>
        <w:t>Statement of Cash Flows</w:t>
      </w:r>
      <w:r w:rsidR="004D3C5F">
        <w:tab/>
      </w:r>
      <w:r w:rsidR="008E1F96">
        <w:t>103</w:t>
      </w:r>
    </w:p>
    <w:p w14:paraId="506F2C4E" w14:textId="5D7750BE" w:rsidR="007606B5" w:rsidRDefault="007606B5" w:rsidP="000F4CE5">
      <w:pPr>
        <w:pStyle w:val="Heading4"/>
        <w:tabs>
          <w:tab w:val="right" w:leader="dot" w:pos="8931"/>
        </w:tabs>
        <w:ind w:firstLine="567"/>
      </w:pPr>
      <w:r>
        <w:t>Statement of Changes in Taxpayer’s Equity</w:t>
      </w:r>
      <w:r w:rsidR="004D3C5F">
        <w:tab/>
      </w:r>
      <w:r w:rsidR="00E35E19">
        <w:t>1</w:t>
      </w:r>
      <w:r w:rsidR="00403654">
        <w:t>04</w:t>
      </w:r>
    </w:p>
    <w:p w14:paraId="04BB9A87" w14:textId="44094ABC" w:rsidR="007606B5" w:rsidRDefault="007606B5" w:rsidP="000F4CE5">
      <w:pPr>
        <w:pStyle w:val="Heading4"/>
        <w:tabs>
          <w:tab w:val="right" w:leader="dot" w:pos="8931"/>
        </w:tabs>
        <w:ind w:firstLine="567"/>
      </w:pPr>
      <w:r>
        <w:t>Notes to the Agency’s Accounts</w:t>
      </w:r>
      <w:r w:rsidR="004D3C5F">
        <w:tab/>
        <w:t>10</w:t>
      </w:r>
      <w:r w:rsidR="00403654">
        <w:t>5</w:t>
      </w:r>
    </w:p>
    <w:p w14:paraId="4E6C4BB0" w14:textId="2BA081C5" w:rsidR="007606B5" w:rsidRDefault="007606B5">
      <w:pPr>
        <w:rPr>
          <w:rFonts w:ascii="Arial" w:hAnsi="Arial" w:cs="Arial"/>
          <w:sz w:val="24"/>
          <w:szCs w:val="24"/>
        </w:rPr>
      </w:pPr>
      <w:r>
        <w:rPr>
          <w:rFonts w:ascii="Arial" w:hAnsi="Arial" w:cs="Arial"/>
          <w:sz w:val="24"/>
          <w:szCs w:val="24"/>
        </w:rPr>
        <w:br w:type="page"/>
      </w:r>
    </w:p>
    <w:p w14:paraId="479F2C72" w14:textId="3C2DA736" w:rsidR="007606B5" w:rsidRPr="007A17AF" w:rsidRDefault="007606B5" w:rsidP="00B31B60">
      <w:pPr>
        <w:pStyle w:val="Heading2"/>
        <w:rPr>
          <w:rFonts w:cs="Arial"/>
          <w:b w:val="0"/>
          <w:sz w:val="28"/>
          <w:szCs w:val="28"/>
        </w:rPr>
      </w:pPr>
      <w:r w:rsidRPr="00AA73C5">
        <w:lastRenderedPageBreak/>
        <w:t>1. Performance Report</w:t>
      </w:r>
    </w:p>
    <w:p w14:paraId="46C5405E" w14:textId="70A2FC38" w:rsidR="007A17AF" w:rsidRPr="007A17AF" w:rsidRDefault="007A17AF" w:rsidP="009C5896">
      <w:pPr>
        <w:pStyle w:val="Heading3"/>
        <w:rPr>
          <w:rFonts w:cs="Arial"/>
          <w:b w:val="0"/>
          <w:sz w:val="24"/>
        </w:rPr>
      </w:pPr>
      <w:r w:rsidRPr="009C5896">
        <w:t>Performance Overview</w:t>
      </w:r>
    </w:p>
    <w:p w14:paraId="66026532" w14:textId="312A827B" w:rsidR="007A17AF" w:rsidRPr="007A17AF" w:rsidRDefault="007A17AF" w:rsidP="00B31B60">
      <w:pPr>
        <w:pStyle w:val="Heading3"/>
        <w:rPr>
          <w:rFonts w:cs="Arial"/>
          <w:b w:val="0"/>
          <w:sz w:val="24"/>
        </w:rPr>
      </w:pPr>
      <w:r w:rsidRPr="007A17AF">
        <w:t>Chief Executive’s foreword</w:t>
      </w:r>
    </w:p>
    <w:p w14:paraId="64DEE4E2" w14:textId="77777777" w:rsidR="00191DFE" w:rsidRDefault="00191DFE" w:rsidP="00EC284E">
      <w:pPr>
        <w:pStyle w:val="Heading4"/>
        <w:rPr>
          <w:rFonts w:cs="Arial"/>
          <w:b w:val="0"/>
          <w:sz w:val="24"/>
          <w:szCs w:val="24"/>
        </w:rPr>
      </w:pPr>
      <w:r w:rsidRPr="00AB7BD5">
        <w:t>A historical service in a modern world</w:t>
      </w:r>
    </w:p>
    <w:p w14:paraId="55FFA351" w14:textId="77777777" w:rsidR="00191DFE" w:rsidRDefault="00191DFE" w:rsidP="00191DFE">
      <w:pPr>
        <w:rPr>
          <w:rFonts w:ascii="Arial" w:hAnsi="Arial" w:cs="Arial"/>
          <w:b/>
          <w:bCs/>
          <w:sz w:val="24"/>
          <w:szCs w:val="24"/>
        </w:rPr>
      </w:pPr>
      <w:r>
        <w:rPr>
          <w:rFonts w:ascii="Arial" w:hAnsi="Arial" w:cs="Arial"/>
          <w:b/>
          <w:bCs/>
          <w:noProof/>
          <w:sz w:val="24"/>
          <w:szCs w:val="24"/>
        </w:rPr>
        <w:drawing>
          <wp:inline distT="0" distB="0" distL="0" distR="0" wp14:anchorId="0C40B5F9" wp14:editId="2991BBA5">
            <wp:extent cx="5730875" cy="278638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786380"/>
                    </a:xfrm>
                    <a:prstGeom prst="rect">
                      <a:avLst/>
                    </a:prstGeom>
                    <a:noFill/>
                  </pic:spPr>
                </pic:pic>
              </a:graphicData>
            </a:graphic>
          </wp:inline>
        </w:drawing>
      </w:r>
    </w:p>
    <w:p w14:paraId="4B2945DF" w14:textId="569FBCD9" w:rsidR="00191DFE" w:rsidRDefault="00191DFE" w:rsidP="00191DFE">
      <w:pPr>
        <w:rPr>
          <w:rFonts w:ascii="Arial" w:hAnsi="Arial" w:cs="Arial"/>
          <w:sz w:val="24"/>
          <w:szCs w:val="24"/>
        </w:rPr>
      </w:pPr>
      <w:r w:rsidRPr="00AB7BD5">
        <w:rPr>
          <w:rFonts w:ascii="Arial" w:hAnsi="Arial" w:cs="Arial"/>
          <w:sz w:val="24"/>
          <w:szCs w:val="24"/>
        </w:rPr>
        <w:t xml:space="preserve">The Insolvency Service has a proud tradition of delivering for the British people. As far back as the 19th century </w:t>
      </w:r>
      <w:r w:rsidR="0045297D">
        <w:rPr>
          <w:rFonts w:ascii="Arial" w:hAnsi="Arial" w:cs="Arial"/>
          <w:sz w:val="24"/>
          <w:szCs w:val="24"/>
        </w:rPr>
        <w:t>O</w:t>
      </w:r>
      <w:r w:rsidRPr="00AB7BD5">
        <w:rPr>
          <w:rFonts w:ascii="Arial" w:hAnsi="Arial" w:cs="Arial"/>
          <w:sz w:val="24"/>
          <w:szCs w:val="24"/>
        </w:rPr>
        <w:t xml:space="preserve">fficial </w:t>
      </w:r>
      <w:r w:rsidR="00D30A50">
        <w:rPr>
          <w:rFonts w:ascii="Arial" w:hAnsi="Arial" w:cs="Arial"/>
          <w:sz w:val="24"/>
          <w:szCs w:val="24"/>
        </w:rPr>
        <w:t>R</w:t>
      </w:r>
      <w:r w:rsidRPr="00AB7BD5">
        <w:rPr>
          <w:rFonts w:ascii="Arial" w:hAnsi="Arial" w:cs="Arial"/>
          <w:sz w:val="24"/>
          <w:szCs w:val="24"/>
        </w:rPr>
        <w:t xml:space="preserve">eceivers were dealing with financial failure. And although much has changed over the last 140 years, our core objective to deliver economic confidence, still holds true. </w:t>
      </w:r>
    </w:p>
    <w:p w14:paraId="096A67FD" w14:textId="77777777" w:rsidR="00191DFE" w:rsidRPr="00AB7BD5" w:rsidRDefault="00191DFE" w:rsidP="00191DFE">
      <w:pPr>
        <w:rPr>
          <w:rFonts w:ascii="Arial" w:hAnsi="Arial" w:cs="Arial"/>
          <w:sz w:val="24"/>
          <w:szCs w:val="24"/>
        </w:rPr>
      </w:pPr>
      <w:r>
        <w:rPr>
          <w:rFonts w:ascii="Arial" w:hAnsi="Arial" w:cs="Arial"/>
          <w:sz w:val="24"/>
          <w:szCs w:val="24"/>
        </w:rPr>
        <w:t>We are now half way through our 5-year strategy to</w:t>
      </w:r>
      <w:r w:rsidRPr="00AB7BD5">
        <w:rPr>
          <w:rFonts w:ascii="Arial" w:hAnsi="Arial" w:cs="Arial"/>
          <w:sz w:val="24"/>
          <w:szCs w:val="24"/>
        </w:rPr>
        <w:t xml:space="preserve"> ensure </w:t>
      </w:r>
      <w:r>
        <w:rPr>
          <w:rFonts w:ascii="Arial" w:hAnsi="Arial" w:cs="Arial"/>
          <w:sz w:val="24"/>
          <w:szCs w:val="24"/>
        </w:rPr>
        <w:t xml:space="preserve">that </w:t>
      </w:r>
      <w:r w:rsidRPr="00AB7BD5">
        <w:rPr>
          <w:rFonts w:ascii="Arial" w:hAnsi="Arial" w:cs="Arial"/>
          <w:sz w:val="24"/>
          <w:szCs w:val="24"/>
        </w:rPr>
        <w:t xml:space="preserve">the </w:t>
      </w:r>
      <w:r>
        <w:rPr>
          <w:rFonts w:ascii="Arial" w:hAnsi="Arial" w:cs="Arial"/>
          <w:sz w:val="24"/>
          <w:szCs w:val="24"/>
        </w:rPr>
        <w:t>A</w:t>
      </w:r>
      <w:r w:rsidRPr="00AB7BD5">
        <w:rPr>
          <w:rFonts w:ascii="Arial" w:hAnsi="Arial" w:cs="Arial"/>
          <w:sz w:val="24"/>
          <w:szCs w:val="24"/>
        </w:rPr>
        <w:t>gency is at the centre of a fair, efficient and effective insolvency system</w:t>
      </w:r>
      <w:r>
        <w:rPr>
          <w:rFonts w:ascii="Arial" w:hAnsi="Arial" w:cs="Arial"/>
          <w:sz w:val="24"/>
          <w:szCs w:val="24"/>
        </w:rPr>
        <w:t>.</w:t>
      </w:r>
      <w:r w:rsidRPr="000C0027">
        <w:rPr>
          <w:rFonts w:ascii="Arial" w:hAnsi="Arial" w:cs="Arial"/>
          <w:sz w:val="24"/>
          <w:szCs w:val="24"/>
        </w:rPr>
        <w:t xml:space="preserve"> </w:t>
      </w:r>
      <w:r w:rsidRPr="00AB7BD5">
        <w:rPr>
          <w:rFonts w:ascii="Arial" w:hAnsi="Arial" w:cs="Arial"/>
          <w:sz w:val="24"/>
          <w:szCs w:val="24"/>
        </w:rPr>
        <w:t>Our insolvency framework is rightly regarded as one of the best in the world, and we want to maintain that reputation, keeping pace with the way people manage their affairs in today’s environment.</w:t>
      </w:r>
    </w:p>
    <w:p w14:paraId="5223FE92" w14:textId="16FCEEEB" w:rsidR="00191DFE" w:rsidRPr="00AB7BD5" w:rsidRDefault="00191DFE" w:rsidP="00191DFE">
      <w:pPr>
        <w:rPr>
          <w:rFonts w:ascii="Arial" w:hAnsi="Arial" w:cs="Arial"/>
          <w:sz w:val="24"/>
          <w:szCs w:val="24"/>
        </w:rPr>
      </w:pPr>
      <w:r>
        <w:rPr>
          <w:rFonts w:ascii="Arial" w:hAnsi="Arial" w:cs="Arial"/>
          <w:sz w:val="24"/>
          <w:szCs w:val="24"/>
        </w:rPr>
        <w:t>This year’s annual</w:t>
      </w:r>
      <w:r w:rsidRPr="00AB7BD5">
        <w:rPr>
          <w:rFonts w:ascii="Arial" w:hAnsi="Arial" w:cs="Arial"/>
          <w:sz w:val="24"/>
          <w:szCs w:val="24"/>
        </w:rPr>
        <w:t xml:space="preserve"> report showcases how we are taking steps to strengthen the insolvency regime to ensure it works effectively for all its stakeholders</w:t>
      </w:r>
      <w:r>
        <w:rPr>
          <w:rFonts w:ascii="Arial" w:hAnsi="Arial" w:cs="Arial"/>
          <w:sz w:val="24"/>
          <w:szCs w:val="24"/>
        </w:rPr>
        <w:t xml:space="preserve"> whilst at the same time continuing to provide excellent service for all our customers. </w:t>
      </w:r>
      <w:r w:rsidR="00135B48">
        <w:rPr>
          <w:rFonts w:ascii="Arial" w:hAnsi="Arial" w:cs="Arial"/>
          <w:sz w:val="24"/>
          <w:szCs w:val="24"/>
        </w:rPr>
        <w:t>This year, w</w:t>
      </w:r>
      <w:r>
        <w:rPr>
          <w:rFonts w:ascii="Arial" w:hAnsi="Arial" w:cs="Arial"/>
          <w:sz w:val="24"/>
          <w:szCs w:val="24"/>
        </w:rPr>
        <w:t>e increased our customer satisfaction score and achieved our target of 84%.</w:t>
      </w:r>
    </w:p>
    <w:p w14:paraId="49EA0094" w14:textId="4CC2674B" w:rsidR="00191DFE" w:rsidRDefault="00191DFE" w:rsidP="00191DFE">
      <w:pPr>
        <w:rPr>
          <w:rFonts w:ascii="Arial" w:hAnsi="Arial" w:cs="Arial"/>
          <w:sz w:val="24"/>
          <w:szCs w:val="24"/>
        </w:rPr>
      </w:pPr>
      <w:r w:rsidRPr="00AB7BD5">
        <w:rPr>
          <w:rFonts w:ascii="Arial" w:hAnsi="Arial" w:cs="Arial"/>
          <w:sz w:val="24"/>
          <w:szCs w:val="24"/>
        </w:rPr>
        <w:t>During 2023</w:t>
      </w:r>
      <w:r w:rsidR="00A01F7B">
        <w:rPr>
          <w:rFonts w:ascii="Arial" w:hAnsi="Arial" w:cs="Arial"/>
          <w:sz w:val="24"/>
          <w:szCs w:val="24"/>
        </w:rPr>
        <w:t>-</w:t>
      </w:r>
      <w:r w:rsidRPr="00AB7BD5">
        <w:rPr>
          <w:rFonts w:ascii="Arial" w:hAnsi="Arial" w:cs="Arial"/>
          <w:sz w:val="24"/>
          <w:szCs w:val="24"/>
        </w:rPr>
        <w:t xml:space="preserve">24 our Official Receivers handled nearly 11,000 new insolvency cases, a significant increase from just over 9,000 </w:t>
      </w:r>
      <w:r w:rsidR="00366F0B">
        <w:rPr>
          <w:rFonts w:ascii="Arial" w:hAnsi="Arial" w:cs="Arial"/>
          <w:sz w:val="24"/>
          <w:szCs w:val="24"/>
        </w:rPr>
        <w:t>in 2022</w:t>
      </w:r>
      <w:r w:rsidR="001E1E91">
        <w:rPr>
          <w:rFonts w:ascii="Arial" w:hAnsi="Arial" w:cs="Arial"/>
          <w:sz w:val="24"/>
          <w:szCs w:val="24"/>
        </w:rPr>
        <w:t>-</w:t>
      </w:r>
      <w:r w:rsidR="00366F0B">
        <w:rPr>
          <w:rFonts w:ascii="Arial" w:hAnsi="Arial" w:cs="Arial"/>
          <w:sz w:val="24"/>
          <w:szCs w:val="24"/>
        </w:rPr>
        <w:t>23</w:t>
      </w:r>
      <w:r>
        <w:rPr>
          <w:rFonts w:ascii="Arial" w:hAnsi="Arial" w:cs="Arial"/>
          <w:sz w:val="24"/>
          <w:szCs w:val="24"/>
        </w:rPr>
        <w:t>. We</w:t>
      </w:r>
      <w:r w:rsidRPr="00AB7BD5">
        <w:rPr>
          <w:rFonts w:ascii="Arial" w:hAnsi="Arial" w:cs="Arial"/>
          <w:sz w:val="24"/>
          <w:szCs w:val="24"/>
        </w:rPr>
        <w:t xml:space="preserve"> returned nearly £60m to the economy through dividends returned to creditors</w:t>
      </w:r>
      <w:r>
        <w:rPr>
          <w:rFonts w:ascii="Arial" w:hAnsi="Arial" w:cs="Arial"/>
          <w:sz w:val="24"/>
          <w:szCs w:val="24"/>
        </w:rPr>
        <w:t xml:space="preserve">, an increase of nearly £15m from </w:t>
      </w:r>
      <w:r w:rsidR="00E36252">
        <w:rPr>
          <w:rFonts w:ascii="Arial" w:hAnsi="Arial" w:cs="Arial"/>
          <w:sz w:val="24"/>
          <w:szCs w:val="24"/>
        </w:rPr>
        <w:t>the previous</w:t>
      </w:r>
      <w:r>
        <w:rPr>
          <w:rFonts w:ascii="Arial" w:hAnsi="Arial" w:cs="Arial"/>
          <w:sz w:val="24"/>
          <w:szCs w:val="24"/>
        </w:rPr>
        <w:t xml:space="preserve"> year</w:t>
      </w:r>
      <w:r w:rsidRPr="00AB7BD5">
        <w:rPr>
          <w:rFonts w:ascii="Arial" w:hAnsi="Arial" w:cs="Arial"/>
          <w:sz w:val="24"/>
          <w:szCs w:val="24"/>
        </w:rPr>
        <w:t>. This has been enabled by successful</w:t>
      </w:r>
      <w:r>
        <w:rPr>
          <w:rFonts w:ascii="Arial" w:hAnsi="Arial" w:cs="Arial"/>
          <w:sz w:val="24"/>
          <w:szCs w:val="24"/>
        </w:rPr>
        <w:t xml:space="preserve">ly </w:t>
      </w:r>
      <w:r w:rsidRPr="00AB7BD5">
        <w:rPr>
          <w:rFonts w:ascii="Arial" w:hAnsi="Arial" w:cs="Arial"/>
          <w:sz w:val="24"/>
          <w:szCs w:val="24"/>
        </w:rPr>
        <w:t>improv</w:t>
      </w:r>
      <w:r>
        <w:rPr>
          <w:rFonts w:ascii="Arial" w:hAnsi="Arial" w:cs="Arial"/>
          <w:sz w:val="24"/>
          <w:szCs w:val="24"/>
        </w:rPr>
        <w:t xml:space="preserve">ing and streamlining the way </w:t>
      </w:r>
      <w:r w:rsidR="005B3626">
        <w:rPr>
          <w:rFonts w:ascii="Arial" w:hAnsi="Arial" w:cs="Arial"/>
          <w:sz w:val="24"/>
          <w:szCs w:val="24"/>
        </w:rPr>
        <w:t xml:space="preserve">our Official Receivers </w:t>
      </w:r>
      <w:r>
        <w:rPr>
          <w:rFonts w:ascii="Arial" w:hAnsi="Arial" w:cs="Arial"/>
          <w:sz w:val="24"/>
          <w:szCs w:val="24"/>
        </w:rPr>
        <w:t>operate.</w:t>
      </w:r>
    </w:p>
    <w:p w14:paraId="14F58A97" w14:textId="77777777" w:rsidR="009068BD" w:rsidRDefault="009068BD">
      <w:pPr>
        <w:rPr>
          <w:rFonts w:ascii="Arial" w:hAnsi="Arial" w:cs="Arial"/>
          <w:sz w:val="24"/>
          <w:szCs w:val="24"/>
        </w:rPr>
      </w:pPr>
      <w:r>
        <w:rPr>
          <w:rFonts w:ascii="Arial" w:hAnsi="Arial" w:cs="Arial"/>
          <w:sz w:val="24"/>
          <w:szCs w:val="24"/>
        </w:rPr>
        <w:br w:type="page"/>
      </w:r>
    </w:p>
    <w:p w14:paraId="312509EE" w14:textId="2202A823" w:rsidR="00191DFE" w:rsidRDefault="00191DFE" w:rsidP="00191DFE">
      <w:pPr>
        <w:rPr>
          <w:rFonts w:ascii="Arial" w:hAnsi="Arial" w:cs="Arial"/>
          <w:sz w:val="24"/>
          <w:szCs w:val="24"/>
        </w:rPr>
      </w:pPr>
      <w:r w:rsidRPr="00AB7BD5">
        <w:rPr>
          <w:rFonts w:ascii="Arial" w:hAnsi="Arial" w:cs="Arial"/>
          <w:sz w:val="24"/>
          <w:szCs w:val="24"/>
        </w:rPr>
        <w:lastRenderedPageBreak/>
        <w:t xml:space="preserve">Our Redundancy Payments Service provides a vital service for people who are owed money due to the insolvency of their employer. This year we </w:t>
      </w:r>
      <w:r w:rsidR="000427BD">
        <w:rPr>
          <w:rFonts w:ascii="Arial" w:hAnsi="Arial" w:cs="Arial"/>
          <w:sz w:val="24"/>
          <w:szCs w:val="24"/>
        </w:rPr>
        <w:t xml:space="preserve">helped people </w:t>
      </w:r>
      <w:r w:rsidR="00953870">
        <w:rPr>
          <w:rFonts w:ascii="Arial" w:hAnsi="Arial" w:cs="Arial"/>
          <w:sz w:val="24"/>
          <w:szCs w:val="24"/>
        </w:rPr>
        <w:t>who had lost their jobs due to no fault of their own by</w:t>
      </w:r>
      <w:r w:rsidRPr="00AB7BD5">
        <w:rPr>
          <w:rFonts w:ascii="Arial" w:hAnsi="Arial" w:cs="Arial"/>
          <w:sz w:val="24"/>
          <w:szCs w:val="24"/>
        </w:rPr>
        <w:t xml:space="preserve"> process</w:t>
      </w:r>
      <w:r w:rsidR="00D87A01">
        <w:rPr>
          <w:rFonts w:ascii="Arial" w:hAnsi="Arial" w:cs="Arial"/>
          <w:sz w:val="24"/>
          <w:szCs w:val="24"/>
        </w:rPr>
        <w:t>ing</w:t>
      </w:r>
      <w:r w:rsidRPr="00AB7BD5">
        <w:rPr>
          <w:rFonts w:ascii="Arial" w:hAnsi="Arial" w:cs="Arial"/>
          <w:sz w:val="24"/>
          <w:szCs w:val="24"/>
        </w:rPr>
        <w:t xml:space="preserve"> over 85,000 </w:t>
      </w:r>
      <w:r w:rsidR="00D87A01">
        <w:rPr>
          <w:rFonts w:ascii="Arial" w:hAnsi="Arial" w:cs="Arial"/>
          <w:sz w:val="24"/>
          <w:szCs w:val="24"/>
        </w:rPr>
        <w:t xml:space="preserve">redundancy related </w:t>
      </w:r>
      <w:r w:rsidRPr="00AB7BD5">
        <w:rPr>
          <w:rFonts w:ascii="Arial" w:hAnsi="Arial" w:cs="Arial"/>
          <w:sz w:val="24"/>
          <w:szCs w:val="24"/>
        </w:rPr>
        <w:t xml:space="preserve">payments in an average </w:t>
      </w:r>
      <w:r w:rsidR="00800BCC">
        <w:rPr>
          <w:rFonts w:ascii="Arial" w:hAnsi="Arial" w:cs="Arial"/>
          <w:sz w:val="24"/>
          <w:szCs w:val="24"/>
        </w:rPr>
        <w:t xml:space="preserve">of </w:t>
      </w:r>
      <w:r w:rsidRPr="00AB7BD5">
        <w:rPr>
          <w:rFonts w:ascii="Arial" w:hAnsi="Arial" w:cs="Arial"/>
          <w:sz w:val="24"/>
          <w:szCs w:val="24"/>
        </w:rPr>
        <w:t>less than 10 days, an improvement on last year of over 30%.</w:t>
      </w:r>
    </w:p>
    <w:p w14:paraId="74FAB2F8" w14:textId="4A991BC3" w:rsidR="00191DFE" w:rsidRPr="00AB7BD5" w:rsidRDefault="00191DFE" w:rsidP="00191DFE">
      <w:pPr>
        <w:rPr>
          <w:rFonts w:ascii="Arial" w:hAnsi="Arial" w:cs="Arial"/>
          <w:sz w:val="24"/>
          <w:szCs w:val="24"/>
        </w:rPr>
      </w:pPr>
      <w:r>
        <w:rPr>
          <w:rFonts w:ascii="Arial" w:hAnsi="Arial" w:cs="Arial"/>
          <w:sz w:val="24"/>
          <w:szCs w:val="24"/>
        </w:rPr>
        <w:t>Our</w:t>
      </w:r>
      <w:r w:rsidRPr="00AB7BD5">
        <w:rPr>
          <w:rFonts w:ascii="Arial" w:hAnsi="Arial" w:cs="Arial"/>
          <w:sz w:val="24"/>
          <w:szCs w:val="24"/>
        </w:rPr>
        <w:t xml:space="preserve"> personal insolvency regime</w:t>
      </w:r>
      <w:r>
        <w:rPr>
          <w:rFonts w:ascii="Arial" w:hAnsi="Arial" w:cs="Arial"/>
          <w:sz w:val="24"/>
          <w:szCs w:val="24"/>
        </w:rPr>
        <w:t xml:space="preserve"> has</w:t>
      </w:r>
      <w:r w:rsidRPr="00AB7BD5">
        <w:rPr>
          <w:rFonts w:ascii="Arial" w:hAnsi="Arial" w:cs="Arial"/>
          <w:sz w:val="24"/>
          <w:szCs w:val="24"/>
        </w:rPr>
        <w:t xml:space="preserve"> its roots in the Victorian era</w:t>
      </w:r>
      <w:r>
        <w:rPr>
          <w:rFonts w:ascii="Arial" w:hAnsi="Arial" w:cs="Arial"/>
          <w:sz w:val="24"/>
          <w:szCs w:val="24"/>
        </w:rPr>
        <w:t xml:space="preserve"> and</w:t>
      </w:r>
      <w:r w:rsidRPr="00AB7BD5">
        <w:rPr>
          <w:rFonts w:ascii="Arial" w:hAnsi="Arial" w:cs="Arial"/>
          <w:sz w:val="24"/>
          <w:szCs w:val="24"/>
        </w:rPr>
        <w:t xml:space="preserve"> has evolved over time to become</w:t>
      </w:r>
      <w:r>
        <w:rPr>
          <w:rFonts w:ascii="Arial" w:hAnsi="Arial" w:cs="Arial"/>
          <w:sz w:val="24"/>
          <w:szCs w:val="24"/>
        </w:rPr>
        <w:t xml:space="preserve"> </w:t>
      </w:r>
      <w:r w:rsidRPr="00AB7BD5">
        <w:rPr>
          <w:rFonts w:ascii="Arial" w:hAnsi="Arial" w:cs="Arial"/>
          <w:sz w:val="24"/>
          <w:szCs w:val="24"/>
        </w:rPr>
        <w:t xml:space="preserve">far more flexible, recognising the difficulties faced by those who cannot pay their debts as well as the rights of creditors. </w:t>
      </w:r>
      <w:r>
        <w:rPr>
          <w:rFonts w:ascii="Arial" w:hAnsi="Arial" w:cs="Arial"/>
          <w:sz w:val="24"/>
          <w:szCs w:val="24"/>
        </w:rPr>
        <w:t>The</w:t>
      </w:r>
      <w:r w:rsidRPr="00AB7BD5">
        <w:rPr>
          <w:rFonts w:ascii="Arial" w:hAnsi="Arial" w:cs="Arial"/>
          <w:sz w:val="24"/>
          <w:szCs w:val="24"/>
        </w:rPr>
        <w:t xml:space="preserve"> successful Breathing Space scheme, launched in 2021, gives people in problem debt the right to legal protections from creditor action for up to 60 days. Last year we granted 89,351 applications including 1,388 for people in a mental health crisis. Recently announced changes make it easier for some of the most financially vulnerable people </w:t>
      </w:r>
      <w:r w:rsidR="008975FD">
        <w:rPr>
          <w:rFonts w:ascii="Arial" w:hAnsi="Arial" w:cs="Arial"/>
          <w:sz w:val="24"/>
          <w:szCs w:val="24"/>
        </w:rPr>
        <w:t>in England and W</w:t>
      </w:r>
      <w:r w:rsidR="00652C19">
        <w:rPr>
          <w:rFonts w:ascii="Arial" w:hAnsi="Arial" w:cs="Arial"/>
          <w:sz w:val="24"/>
          <w:szCs w:val="24"/>
        </w:rPr>
        <w:t>ales</w:t>
      </w:r>
      <w:r w:rsidRPr="00AB7BD5">
        <w:rPr>
          <w:rFonts w:ascii="Arial" w:hAnsi="Arial" w:cs="Arial"/>
          <w:sz w:val="24"/>
          <w:szCs w:val="24"/>
        </w:rPr>
        <w:t xml:space="preserve"> to </w:t>
      </w:r>
      <w:r w:rsidR="00DD7C01">
        <w:rPr>
          <w:rFonts w:ascii="Arial" w:hAnsi="Arial" w:cs="Arial"/>
          <w:sz w:val="24"/>
          <w:szCs w:val="24"/>
        </w:rPr>
        <w:t>obtain</w:t>
      </w:r>
      <w:r w:rsidRPr="00AB7BD5">
        <w:rPr>
          <w:rFonts w:ascii="Arial" w:hAnsi="Arial" w:cs="Arial"/>
          <w:sz w:val="24"/>
          <w:szCs w:val="24"/>
        </w:rPr>
        <w:t xml:space="preserve"> a Debt Relief Order, continuing our support for people in financial distress. </w:t>
      </w:r>
    </w:p>
    <w:p w14:paraId="50B0C72F" w14:textId="257D6765" w:rsidR="00191DFE" w:rsidRPr="00AB7BD5" w:rsidRDefault="00191DFE" w:rsidP="00191DFE">
      <w:pPr>
        <w:rPr>
          <w:rFonts w:ascii="Arial" w:hAnsi="Arial" w:cs="Arial"/>
          <w:sz w:val="24"/>
          <w:szCs w:val="24"/>
        </w:rPr>
      </w:pPr>
      <w:r w:rsidRPr="00AB7BD5">
        <w:rPr>
          <w:rFonts w:ascii="Arial" w:hAnsi="Arial" w:cs="Arial"/>
          <w:sz w:val="24"/>
          <w:szCs w:val="24"/>
        </w:rPr>
        <w:t xml:space="preserve">The importance </w:t>
      </w:r>
      <w:r w:rsidR="00AE5495">
        <w:rPr>
          <w:rFonts w:ascii="Arial" w:hAnsi="Arial" w:cs="Arial"/>
          <w:sz w:val="24"/>
          <w:szCs w:val="24"/>
        </w:rPr>
        <w:t xml:space="preserve">of </w:t>
      </w:r>
      <w:r w:rsidRPr="00AB7BD5">
        <w:rPr>
          <w:rFonts w:ascii="Arial" w:hAnsi="Arial" w:cs="Arial"/>
          <w:sz w:val="24"/>
          <w:szCs w:val="24"/>
        </w:rPr>
        <w:t xml:space="preserve">establishing the causes of financial failure </w:t>
      </w:r>
      <w:r>
        <w:rPr>
          <w:rFonts w:ascii="Arial" w:hAnsi="Arial" w:cs="Arial"/>
          <w:sz w:val="24"/>
          <w:szCs w:val="24"/>
        </w:rPr>
        <w:t>is</w:t>
      </w:r>
      <w:r w:rsidRPr="00AB7BD5">
        <w:rPr>
          <w:rFonts w:ascii="Arial" w:hAnsi="Arial" w:cs="Arial"/>
          <w:sz w:val="24"/>
          <w:szCs w:val="24"/>
        </w:rPr>
        <w:t xml:space="preserve"> a core part of our work and our ongoing vital criminal and civil work to tackle financial wrongdoing helps deliver economic confidence. </w:t>
      </w:r>
      <w:bookmarkStart w:id="1" w:name="_Hlk169094074"/>
      <w:r w:rsidRPr="00AB7BD5">
        <w:rPr>
          <w:rFonts w:ascii="Arial" w:hAnsi="Arial" w:cs="Arial"/>
          <w:sz w:val="24"/>
          <w:szCs w:val="24"/>
        </w:rPr>
        <w:t>This year we have completed 87 criminal prosecutions, undertaken 139 live company investigations and disqualified 1,222 directors for misconduct</w:t>
      </w:r>
      <w:bookmarkEnd w:id="1"/>
      <w:r w:rsidR="00BE3953">
        <w:rPr>
          <w:rFonts w:ascii="Arial" w:hAnsi="Arial" w:cs="Arial"/>
          <w:sz w:val="24"/>
          <w:szCs w:val="24"/>
        </w:rPr>
        <w:t xml:space="preserve">, a return to </w:t>
      </w:r>
      <w:r w:rsidR="00F61BE4">
        <w:rPr>
          <w:rFonts w:ascii="Arial" w:hAnsi="Arial" w:cs="Arial"/>
          <w:sz w:val="24"/>
          <w:szCs w:val="24"/>
        </w:rPr>
        <w:t>pre-Covid levels</w:t>
      </w:r>
      <w:r w:rsidR="00532EC6">
        <w:rPr>
          <w:rFonts w:ascii="Arial" w:hAnsi="Arial" w:cs="Arial"/>
          <w:sz w:val="24"/>
          <w:szCs w:val="24"/>
        </w:rPr>
        <w:t>.</w:t>
      </w:r>
      <w:r w:rsidRPr="00AB7BD5">
        <w:rPr>
          <w:rFonts w:ascii="Arial" w:hAnsi="Arial" w:cs="Arial"/>
          <w:sz w:val="24"/>
          <w:szCs w:val="24"/>
        </w:rPr>
        <w:t xml:space="preserve"> </w:t>
      </w:r>
    </w:p>
    <w:p w14:paraId="28D62FEA" w14:textId="4BEFBFB2" w:rsidR="00191DFE" w:rsidRPr="00AB7BD5" w:rsidRDefault="00191DFE" w:rsidP="00191DFE">
      <w:pPr>
        <w:rPr>
          <w:rFonts w:ascii="Arial" w:hAnsi="Arial" w:cs="Arial"/>
          <w:sz w:val="24"/>
          <w:szCs w:val="24"/>
        </w:rPr>
      </w:pPr>
      <w:r w:rsidRPr="00AB7BD5">
        <w:rPr>
          <w:rFonts w:ascii="Arial" w:hAnsi="Arial" w:cs="Arial"/>
          <w:sz w:val="24"/>
          <w:szCs w:val="24"/>
        </w:rPr>
        <w:t xml:space="preserve">The misconduct we investigate reflects modern challenges and new legislation. </w:t>
      </w:r>
      <w:r>
        <w:rPr>
          <w:rFonts w:ascii="Arial" w:hAnsi="Arial" w:cs="Arial"/>
          <w:sz w:val="24"/>
          <w:szCs w:val="24"/>
        </w:rPr>
        <w:t xml:space="preserve"> Our continued</w:t>
      </w:r>
      <w:r w:rsidRPr="00AB7BD5">
        <w:rPr>
          <w:rFonts w:ascii="Arial" w:hAnsi="Arial" w:cs="Arial"/>
          <w:sz w:val="24"/>
          <w:szCs w:val="24"/>
        </w:rPr>
        <w:t xml:space="preserve"> focus on </w:t>
      </w:r>
      <w:r>
        <w:rPr>
          <w:rFonts w:ascii="Arial" w:hAnsi="Arial" w:cs="Arial"/>
          <w:sz w:val="24"/>
          <w:szCs w:val="24"/>
        </w:rPr>
        <w:t xml:space="preserve">Covid loan abuse led to </w:t>
      </w:r>
      <w:r w:rsidRPr="00AB7BD5">
        <w:rPr>
          <w:rFonts w:ascii="Arial" w:hAnsi="Arial" w:cs="Arial"/>
          <w:sz w:val="24"/>
          <w:szCs w:val="24"/>
        </w:rPr>
        <w:t>831 disqualification outcomes, 93 bankruptcy restrictions and 22 criminal prosecutions for offences</w:t>
      </w:r>
      <w:r w:rsidR="00DB27C0">
        <w:rPr>
          <w:rFonts w:ascii="Arial" w:hAnsi="Arial" w:cs="Arial"/>
          <w:sz w:val="24"/>
          <w:szCs w:val="24"/>
        </w:rPr>
        <w:t xml:space="preserve"> in this area</w:t>
      </w:r>
      <w:r>
        <w:rPr>
          <w:rFonts w:ascii="Arial" w:hAnsi="Arial" w:cs="Arial"/>
          <w:sz w:val="24"/>
          <w:szCs w:val="24"/>
        </w:rPr>
        <w:t>.</w:t>
      </w:r>
      <w:r w:rsidRPr="00AB7BD5">
        <w:rPr>
          <w:rFonts w:ascii="Arial" w:hAnsi="Arial" w:cs="Arial"/>
          <w:sz w:val="24"/>
          <w:szCs w:val="24"/>
        </w:rPr>
        <w:t xml:space="preserve"> </w:t>
      </w:r>
      <w:r>
        <w:rPr>
          <w:rFonts w:ascii="Arial" w:hAnsi="Arial" w:cs="Arial"/>
          <w:sz w:val="24"/>
          <w:szCs w:val="24"/>
        </w:rPr>
        <w:t>It also enabled us to take steps to recover</w:t>
      </w:r>
      <w:r w:rsidRPr="00AB7BD5">
        <w:rPr>
          <w:rFonts w:ascii="Arial" w:hAnsi="Arial" w:cs="Arial"/>
          <w:sz w:val="24"/>
          <w:szCs w:val="24"/>
        </w:rPr>
        <w:t xml:space="preserve"> nearly £3m</w:t>
      </w:r>
      <w:r>
        <w:rPr>
          <w:rFonts w:ascii="Arial" w:hAnsi="Arial" w:cs="Arial"/>
          <w:sz w:val="24"/>
          <w:szCs w:val="24"/>
        </w:rPr>
        <w:t xml:space="preserve"> for the taxpayer.</w:t>
      </w:r>
    </w:p>
    <w:p w14:paraId="3BF8F5AE" w14:textId="6A4800F5" w:rsidR="00191DFE" w:rsidRPr="00AB7BD5" w:rsidRDefault="00191DFE" w:rsidP="00191DFE">
      <w:pPr>
        <w:rPr>
          <w:rFonts w:ascii="Arial" w:hAnsi="Arial" w:cs="Arial"/>
          <w:sz w:val="24"/>
          <w:szCs w:val="24"/>
        </w:rPr>
      </w:pPr>
      <w:r>
        <w:rPr>
          <w:rFonts w:ascii="Arial" w:hAnsi="Arial" w:cs="Arial"/>
          <w:sz w:val="24"/>
          <w:szCs w:val="24"/>
        </w:rPr>
        <w:t xml:space="preserve">Our new </w:t>
      </w:r>
      <w:r w:rsidRPr="00AB7BD5">
        <w:rPr>
          <w:rFonts w:ascii="Arial" w:hAnsi="Arial" w:cs="Arial"/>
          <w:sz w:val="24"/>
          <w:szCs w:val="24"/>
        </w:rPr>
        <w:t>Anti Money Laundering Intelligence Cell</w:t>
      </w:r>
      <w:r>
        <w:rPr>
          <w:rFonts w:ascii="Arial" w:hAnsi="Arial" w:cs="Arial"/>
          <w:sz w:val="24"/>
          <w:szCs w:val="24"/>
        </w:rPr>
        <w:t>,</w:t>
      </w:r>
      <w:r w:rsidRPr="00AB7BD5">
        <w:rPr>
          <w:rFonts w:ascii="Arial" w:hAnsi="Arial" w:cs="Arial"/>
          <w:sz w:val="24"/>
          <w:szCs w:val="24"/>
        </w:rPr>
        <w:t xml:space="preserve"> funded by the new Economic Crime Levy</w:t>
      </w:r>
      <w:r>
        <w:rPr>
          <w:rFonts w:ascii="Arial" w:hAnsi="Arial" w:cs="Arial"/>
          <w:sz w:val="24"/>
          <w:szCs w:val="24"/>
        </w:rPr>
        <w:t xml:space="preserve">, was launched </w:t>
      </w:r>
      <w:r w:rsidR="004000C2">
        <w:rPr>
          <w:rFonts w:ascii="Arial" w:hAnsi="Arial" w:cs="Arial"/>
          <w:sz w:val="24"/>
          <w:szCs w:val="24"/>
        </w:rPr>
        <w:t>in February 2024</w:t>
      </w:r>
      <w:r>
        <w:rPr>
          <w:rFonts w:ascii="Arial" w:hAnsi="Arial" w:cs="Arial"/>
          <w:sz w:val="24"/>
          <w:szCs w:val="24"/>
        </w:rPr>
        <w:t>.</w:t>
      </w:r>
      <w:r w:rsidRPr="00AB7BD5">
        <w:rPr>
          <w:rFonts w:ascii="Arial" w:hAnsi="Arial" w:cs="Arial"/>
          <w:sz w:val="24"/>
          <w:szCs w:val="24"/>
        </w:rPr>
        <w:t xml:space="preserve"> This work has already achieved significant success in disrupting organisations involved in money laundering, crypto scams and threats to UK financial and national security. </w:t>
      </w:r>
      <w:r>
        <w:rPr>
          <w:rFonts w:ascii="Arial" w:hAnsi="Arial" w:cs="Arial"/>
          <w:sz w:val="24"/>
          <w:szCs w:val="24"/>
        </w:rPr>
        <w:t>We are also putting systems in place to investigate new offences to tackle economic crime and support economic growth</w:t>
      </w:r>
      <w:r w:rsidR="003D5667">
        <w:rPr>
          <w:rFonts w:ascii="Arial" w:hAnsi="Arial" w:cs="Arial"/>
          <w:sz w:val="24"/>
          <w:szCs w:val="24"/>
        </w:rPr>
        <w:t xml:space="preserve"> </w:t>
      </w:r>
      <w:r w:rsidR="00286F94">
        <w:rPr>
          <w:rFonts w:ascii="Arial" w:hAnsi="Arial" w:cs="Arial"/>
          <w:sz w:val="24"/>
          <w:szCs w:val="24"/>
        </w:rPr>
        <w:t>i</w:t>
      </w:r>
      <w:r>
        <w:rPr>
          <w:rFonts w:ascii="Arial" w:hAnsi="Arial" w:cs="Arial"/>
          <w:sz w:val="24"/>
          <w:szCs w:val="24"/>
        </w:rPr>
        <w:t xml:space="preserve">ntroduced by </w:t>
      </w:r>
      <w:r w:rsidR="00286F94">
        <w:rPr>
          <w:rFonts w:ascii="Arial" w:hAnsi="Arial" w:cs="Arial"/>
          <w:sz w:val="24"/>
          <w:szCs w:val="24"/>
        </w:rPr>
        <w:t>t</w:t>
      </w:r>
      <w:r w:rsidRPr="00AB7BD5">
        <w:rPr>
          <w:rFonts w:ascii="Arial" w:hAnsi="Arial" w:cs="Arial"/>
          <w:sz w:val="24"/>
          <w:szCs w:val="24"/>
        </w:rPr>
        <w:t>he Economic Crime and Corporate Transparency Act 2023</w:t>
      </w:r>
      <w:r w:rsidR="00286F94">
        <w:rPr>
          <w:rFonts w:ascii="Arial" w:hAnsi="Arial" w:cs="Arial"/>
          <w:sz w:val="24"/>
          <w:szCs w:val="24"/>
        </w:rPr>
        <w:t>. This</w:t>
      </w:r>
      <w:r>
        <w:rPr>
          <w:rFonts w:ascii="Arial" w:hAnsi="Arial" w:cs="Arial"/>
          <w:sz w:val="24"/>
          <w:szCs w:val="24"/>
        </w:rPr>
        <w:t xml:space="preserve"> new legislation has</w:t>
      </w:r>
      <w:r w:rsidRPr="00AB7BD5">
        <w:rPr>
          <w:rFonts w:ascii="Arial" w:hAnsi="Arial" w:cs="Arial"/>
          <w:sz w:val="24"/>
          <w:szCs w:val="24"/>
        </w:rPr>
        <w:t xml:space="preserve"> also provided us with a new </w:t>
      </w:r>
      <w:r>
        <w:rPr>
          <w:rFonts w:ascii="Arial" w:hAnsi="Arial" w:cs="Arial"/>
          <w:sz w:val="24"/>
          <w:szCs w:val="24"/>
        </w:rPr>
        <w:t>fee funded income stream</w:t>
      </w:r>
      <w:r w:rsidRPr="00AB7BD5">
        <w:rPr>
          <w:rFonts w:ascii="Arial" w:hAnsi="Arial" w:cs="Arial"/>
          <w:sz w:val="24"/>
          <w:szCs w:val="24"/>
        </w:rPr>
        <w:t xml:space="preserve"> for our corporate investigation and enforcement activity</w:t>
      </w:r>
      <w:r>
        <w:rPr>
          <w:rFonts w:ascii="Arial" w:hAnsi="Arial" w:cs="Arial"/>
          <w:sz w:val="24"/>
          <w:szCs w:val="24"/>
        </w:rPr>
        <w:t xml:space="preserve">, </w:t>
      </w:r>
      <w:r w:rsidRPr="00AB7BD5">
        <w:rPr>
          <w:rFonts w:ascii="Arial" w:hAnsi="Arial" w:cs="Arial"/>
          <w:sz w:val="24"/>
          <w:szCs w:val="24"/>
        </w:rPr>
        <w:t xml:space="preserve">key to helping us achieve </w:t>
      </w:r>
      <w:r>
        <w:rPr>
          <w:rFonts w:ascii="Arial" w:hAnsi="Arial" w:cs="Arial"/>
          <w:sz w:val="24"/>
          <w:szCs w:val="24"/>
        </w:rPr>
        <w:t xml:space="preserve">a sustainable funding model. </w:t>
      </w:r>
    </w:p>
    <w:p w14:paraId="58F5ED99" w14:textId="60E7D34C" w:rsidR="00191DFE" w:rsidRPr="00AB7BD5" w:rsidRDefault="00191DFE" w:rsidP="00191DFE">
      <w:pPr>
        <w:rPr>
          <w:rFonts w:ascii="Arial" w:hAnsi="Arial" w:cs="Arial"/>
          <w:sz w:val="24"/>
          <w:szCs w:val="24"/>
        </w:rPr>
      </w:pPr>
      <w:r w:rsidRPr="00AB7BD5">
        <w:rPr>
          <w:rFonts w:ascii="Arial" w:hAnsi="Arial" w:cs="Arial"/>
          <w:sz w:val="24"/>
          <w:szCs w:val="24"/>
        </w:rPr>
        <w:t>In July</w:t>
      </w:r>
      <w:r w:rsidR="00CE4F98">
        <w:rPr>
          <w:rFonts w:ascii="Arial" w:hAnsi="Arial" w:cs="Arial"/>
          <w:sz w:val="24"/>
          <w:szCs w:val="24"/>
        </w:rPr>
        <w:t xml:space="preserve"> 202</w:t>
      </w:r>
      <w:r w:rsidR="00C639FA">
        <w:rPr>
          <w:rFonts w:ascii="Arial" w:hAnsi="Arial" w:cs="Arial"/>
          <w:sz w:val="24"/>
          <w:szCs w:val="24"/>
        </w:rPr>
        <w:t>3</w:t>
      </w:r>
      <w:r w:rsidRPr="00AB7BD5">
        <w:rPr>
          <w:rFonts w:ascii="Arial" w:hAnsi="Arial" w:cs="Arial"/>
          <w:sz w:val="24"/>
          <w:szCs w:val="24"/>
        </w:rPr>
        <w:t xml:space="preserve"> we successfully launched our directors’ information hub, to help directors understand their duties and avoid insolvency. This online collection of concise, bitesize information and animations guides directors through the lifecycle of a company to help them make the right decisions at the right times</w:t>
      </w:r>
      <w:r>
        <w:rPr>
          <w:rFonts w:ascii="Arial" w:hAnsi="Arial" w:cs="Arial"/>
          <w:sz w:val="24"/>
          <w:szCs w:val="24"/>
        </w:rPr>
        <w:t>,</w:t>
      </w:r>
      <w:r w:rsidRPr="00AB7BD5">
        <w:rPr>
          <w:rFonts w:ascii="Arial" w:hAnsi="Arial" w:cs="Arial"/>
          <w:sz w:val="24"/>
          <w:szCs w:val="24"/>
        </w:rPr>
        <w:t xml:space="preserve"> which we will continue to update and improve. </w:t>
      </w:r>
      <w:r>
        <w:rPr>
          <w:rFonts w:ascii="Arial" w:hAnsi="Arial" w:cs="Arial"/>
          <w:sz w:val="24"/>
          <w:szCs w:val="24"/>
        </w:rPr>
        <w:t>Since its launch there have been nearly 20,000 unique views and the monthly trend is upwards.</w:t>
      </w:r>
    </w:p>
    <w:p w14:paraId="6DA8FB2B" w14:textId="418615DB" w:rsidR="00191DFE" w:rsidRPr="00AB7BD5" w:rsidRDefault="00191DFE" w:rsidP="00191DFE">
      <w:pPr>
        <w:rPr>
          <w:rFonts w:ascii="Arial" w:hAnsi="Arial" w:cs="Arial"/>
          <w:sz w:val="24"/>
          <w:szCs w:val="24"/>
        </w:rPr>
      </w:pPr>
      <w:r w:rsidRPr="00AB7BD5">
        <w:rPr>
          <w:rFonts w:ascii="Arial" w:hAnsi="Arial" w:cs="Arial"/>
          <w:sz w:val="24"/>
          <w:szCs w:val="24"/>
        </w:rPr>
        <w:t xml:space="preserve">Making best use of technology </w:t>
      </w:r>
      <w:r>
        <w:rPr>
          <w:rFonts w:ascii="Arial" w:hAnsi="Arial" w:cs="Arial"/>
          <w:sz w:val="24"/>
          <w:szCs w:val="24"/>
        </w:rPr>
        <w:t>means we will be able to serve our customers efficiently, effectively and in a way to suit them.</w:t>
      </w:r>
      <w:r w:rsidRPr="00AB7BD5">
        <w:rPr>
          <w:rFonts w:ascii="Arial" w:hAnsi="Arial" w:cs="Arial"/>
          <w:sz w:val="24"/>
          <w:szCs w:val="24"/>
        </w:rPr>
        <w:t xml:space="preserve"> We </w:t>
      </w:r>
      <w:r w:rsidR="00BC7F03">
        <w:rPr>
          <w:rFonts w:ascii="Arial" w:hAnsi="Arial" w:cs="Arial"/>
          <w:sz w:val="24"/>
          <w:szCs w:val="24"/>
        </w:rPr>
        <w:t>plan</w:t>
      </w:r>
      <w:r w:rsidRPr="00AB7BD5">
        <w:rPr>
          <w:rFonts w:ascii="Arial" w:hAnsi="Arial" w:cs="Arial"/>
          <w:sz w:val="24"/>
          <w:szCs w:val="24"/>
        </w:rPr>
        <w:t xml:space="preserve"> to digit</w:t>
      </w:r>
      <w:r w:rsidR="00A73AC5">
        <w:rPr>
          <w:rFonts w:ascii="Arial" w:hAnsi="Arial" w:cs="Arial"/>
          <w:sz w:val="24"/>
          <w:szCs w:val="24"/>
        </w:rPr>
        <w:t>al</w:t>
      </w:r>
      <w:r w:rsidRPr="00AB7BD5">
        <w:rPr>
          <w:rFonts w:ascii="Arial" w:hAnsi="Arial" w:cs="Arial"/>
          <w:sz w:val="24"/>
          <w:szCs w:val="24"/>
        </w:rPr>
        <w:t>ise more services and forms for our customers, making them easier to use and more accessible and secure</w:t>
      </w:r>
      <w:r>
        <w:rPr>
          <w:rFonts w:ascii="Arial" w:hAnsi="Arial" w:cs="Arial"/>
          <w:sz w:val="24"/>
          <w:szCs w:val="24"/>
        </w:rPr>
        <w:t>.</w:t>
      </w:r>
      <w:r w:rsidRPr="00AB7BD5">
        <w:rPr>
          <w:rFonts w:ascii="Arial" w:hAnsi="Arial" w:cs="Arial"/>
          <w:sz w:val="24"/>
          <w:szCs w:val="24"/>
        </w:rPr>
        <w:t xml:space="preserve"> Over the course of the year, we </w:t>
      </w:r>
      <w:r>
        <w:rPr>
          <w:rFonts w:ascii="Arial" w:hAnsi="Arial" w:cs="Arial"/>
          <w:sz w:val="24"/>
          <w:szCs w:val="24"/>
        </w:rPr>
        <w:t xml:space="preserve">have </w:t>
      </w:r>
      <w:r w:rsidRPr="00AB7BD5">
        <w:rPr>
          <w:rFonts w:ascii="Arial" w:hAnsi="Arial" w:cs="Arial"/>
          <w:sz w:val="24"/>
          <w:szCs w:val="24"/>
        </w:rPr>
        <w:t xml:space="preserve">continued to develop a modern </w:t>
      </w:r>
      <w:r w:rsidR="00C00F71">
        <w:rPr>
          <w:rFonts w:ascii="Arial" w:hAnsi="Arial" w:cs="Arial"/>
          <w:sz w:val="24"/>
          <w:szCs w:val="24"/>
        </w:rPr>
        <w:t xml:space="preserve">adaptable </w:t>
      </w:r>
      <w:r w:rsidRPr="00AB7BD5">
        <w:rPr>
          <w:rFonts w:ascii="Arial" w:hAnsi="Arial" w:cs="Arial"/>
          <w:sz w:val="24"/>
          <w:szCs w:val="24"/>
        </w:rPr>
        <w:t>case management system that will generate significant efficiency savings</w:t>
      </w:r>
      <w:r>
        <w:rPr>
          <w:rFonts w:ascii="Arial" w:hAnsi="Arial" w:cs="Arial"/>
          <w:sz w:val="24"/>
          <w:szCs w:val="24"/>
        </w:rPr>
        <w:t xml:space="preserve">. </w:t>
      </w:r>
      <w:r>
        <w:rPr>
          <w:rFonts w:ascii="Arial" w:hAnsi="Arial" w:cs="Arial"/>
          <w:sz w:val="24"/>
          <w:szCs w:val="24"/>
        </w:rPr>
        <w:lastRenderedPageBreak/>
        <w:t>We have also</w:t>
      </w:r>
      <w:r w:rsidRPr="00AB7BD5">
        <w:rPr>
          <w:rFonts w:ascii="Arial" w:hAnsi="Arial" w:cs="Arial"/>
          <w:sz w:val="24"/>
          <w:szCs w:val="24"/>
        </w:rPr>
        <w:t xml:space="preserve"> put plans in place to equip our staff with </w:t>
      </w:r>
      <w:r w:rsidR="007223B0">
        <w:rPr>
          <w:rFonts w:ascii="Arial" w:hAnsi="Arial" w:cs="Arial"/>
          <w:sz w:val="24"/>
          <w:szCs w:val="24"/>
        </w:rPr>
        <w:t>new hardware</w:t>
      </w:r>
      <w:r w:rsidRPr="00AB7BD5">
        <w:rPr>
          <w:rFonts w:ascii="Arial" w:hAnsi="Arial" w:cs="Arial"/>
          <w:sz w:val="24"/>
          <w:szCs w:val="24"/>
        </w:rPr>
        <w:t xml:space="preserve"> to increase productivity and reliability.</w:t>
      </w:r>
    </w:p>
    <w:p w14:paraId="06B892BE" w14:textId="139A86C1" w:rsidR="00191DFE" w:rsidRPr="00AB7BD5" w:rsidRDefault="00191DFE" w:rsidP="00191DFE">
      <w:pPr>
        <w:rPr>
          <w:rFonts w:ascii="Arial" w:hAnsi="Arial" w:cs="Arial"/>
          <w:sz w:val="24"/>
          <w:szCs w:val="24"/>
        </w:rPr>
      </w:pPr>
      <w:r w:rsidRPr="00AB7BD5">
        <w:rPr>
          <w:rFonts w:ascii="Arial" w:hAnsi="Arial" w:cs="Arial"/>
          <w:sz w:val="24"/>
          <w:szCs w:val="24"/>
        </w:rPr>
        <w:t>Looking back at our rich history, the first Official Receiver was appointed in Birmingham in 1884 and papers from that time show that there were considerable discussions about the location and costs of office premises</w:t>
      </w:r>
      <w:r>
        <w:rPr>
          <w:rFonts w:ascii="Arial" w:hAnsi="Arial" w:cs="Arial"/>
          <w:sz w:val="24"/>
          <w:szCs w:val="24"/>
        </w:rPr>
        <w:t>.</w:t>
      </w:r>
      <w:r w:rsidRPr="00AB7BD5">
        <w:rPr>
          <w:rFonts w:ascii="Arial" w:hAnsi="Arial" w:cs="Arial"/>
          <w:sz w:val="24"/>
          <w:szCs w:val="24"/>
        </w:rPr>
        <w:t xml:space="preserve"> Fast forward to 2024, and by the time it is completed, our Transforming Workplaces project will have moved our estate footprint from 22 sites throughout the country to 11 Regional Centres based around the best locations for our customers. Our centres will offer our people vibrant, modern workspaces where they can collaborate and engage with their colleagues. This year colleagues from our Edinburgh and Croydon offices </w:t>
      </w:r>
      <w:r w:rsidR="00791664">
        <w:rPr>
          <w:rFonts w:ascii="Arial" w:hAnsi="Arial" w:cs="Arial"/>
          <w:sz w:val="24"/>
          <w:szCs w:val="24"/>
        </w:rPr>
        <w:t>moved into</w:t>
      </w:r>
      <w:r w:rsidRPr="00AB7BD5">
        <w:rPr>
          <w:rFonts w:ascii="Arial" w:hAnsi="Arial" w:cs="Arial"/>
          <w:sz w:val="24"/>
          <w:szCs w:val="24"/>
        </w:rPr>
        <w:t xml:space="preserve"> new offices </w:t>
      </w:r>
      <w:r w:rsidR="002E32B7">
        <w:rPr>
          <w:rFonts w:ascii="Arial" w:hAnsi="Arial" w:cs="Arial"/>
          <w:sz w:val="24"/>
          <w:szCs w:val="24"/>
        </w:rPr>
        <w:t xml:space="preserve">and </w:t>
      </w:r>
      <w:r w:rsidRPr="00AB7BD5">
        <w:rPr>
          <w:rFonts w:ascii="Arial" w:hAnsi="Arial" w:cs="Arial"/>
          <w:sz w:val="24"/>
          <w:szCs w:val="24"/>
        </w:rPr>
        <w:t xml:space="preserve">colleagues from our Reading, Blackpool and Birkenhead offices </w:t>
      </w:r>
      <w:r w:rsidR="00280079">
        <w:rPr>
          <w:rFonts w:ascii="Arial" w:hAnsi="Arial" w:cs="Arial"/>
          <w:sz w:val="24"/>
          <w:szCs w:val="24"/>
        </w:rPr>
        <w:t xml:space="preserve">relocated </w:t>
      </w:r>
      <w:r w:rsidRPr="00AB7BD5">
        <w:rPr>
          <w:rFonts w:ascii="Arial" w:hAnsi="Arial" w:cs="Arial"/>
          <w:sz w:val="24"/>
          <w:szCs w:val="24"/>
        </w:rPr>
        <w:t>to Regional Centres.</w:t>
      </w:r>
      <w:r>
        <w:rPr>
          <w:rFonts w:ascii="Arial" w:hAnsi="Arial" w:cs="Arial"/>
          <w:sz w:val="24"/>
          <w:szCs w:val="24"/>
        </w:rPr>
        <w:t xml:space="preserve"> </w:t>
      </w:r>
    </w:p>
    <w:p w14:paraId="71E228B6" w14:textId="52FC5F1A" w:rsidR="00191DFE" w:rsidRPr="00AB7BD5" w:rsidRDefault="009D52F7" w:rsidP="00191DFE">
      <w:pPr>
        <w:rPr>
          <w:rFonts w:ascii="Arial" w:hAnsi="Arial" w:cs="Arial"/>
          <w:sz w:val="24"/>
          <w:szCs w:val="24"/>
        </w:rPr>
      </w:pPr>
      <w:r>
        <w:rPr>
          <w:rFonts w:ascii="Arial" w:hAnsi="Arial" w:cs="Arial"/>
          <w:noProof/>
          <w:sz w:val="24"/>
          <w:szCs w:val="24"/>
        </w:rPr>
        <w:drawing>
          <wp:anchor distT="0" distB="0" distL="114300" distR="114300" simplePos="0" relativeHeight="251658252" behindDoc="1" locked="0" layoutInCell="1" allowOverlap="1" wp14:anchorId="1AF6BEBA" wp14:editId="3084E278">
            <wp:simplePos x="0" y="0"/>
            <wp:positionH relativeFrom="column">
              <wp:posOffset>41910</wp:posOffset>
            </wp:positionH>
            <wp:positionV relativeFrom="paragraph">
              <wp:posOffset>1216025</wp:posOffset>
            </wp:positionV>
            <wp:extent cx="2705100" cy="1803400"/>
            <wp:effectExtent l="0" t="0" r="0"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05100" cy="1803400"/>
                    </a:xfrm>
                    <a:prstGeom prst="rect">
                      <a:avLst/>
                    </a:prstGeom>
                    <a:noFill/>
                  </pic:spPr>
                </pic:pic>
              </a:graphicData>
            </a:graphic>
            <wp14:sizeRelH relativeFrom="margin">
              <wp14:pctWidth>0</wp14:pctWidth>
            </wp14:sizeRelH>
            <wp14:sizeRelV relativeFrom="margin">
              <wp14:pctHeight>0</wp14:pctHeight>
            </wp14:sizeRelV>
          </wp:anchor>
        </w:drawing>
      </w:r>
      <w:r w:rsidR="00191DFE" w:rsidRPr="00AB7BD5">
        <w:rPr>
          <w:rFonts w:ascii="Arial" w:hAnsi="Arial" w:cs="Arial"/>
          <w:sz w:val="24"/>
          <w:szCs w:val="24"/>
        </w:rPr>
        <w:t xml:space="preserve">This </w:t>
      </w:r>
      <w:r w:rsidR="00191DFE">
        <w:rPr>
          <w:rFonts w:ascii="Arial" w:hAnsi="Arial" w:cs="Arial"/>
          <w:sz w:val="24"/>
          <w:szCs w:val="24"/>
        </w:rPr>
        <w:t>foreword gives</w:t>
      </w:r>
      <w:r w:rsidR="00191DFE" w:rsidRPr="00AB7BD5">
        <w:rPr>
          <w:rFonts w:ascii="Arial" w:hAnsi="Arial" w:cs="Arial"/>
          <w:sz w:val="24"/>
          <w:szCs w:val="24"/>
        </w:rPr>
        <w:t xml:space="preserve"> </w:t>
      </w:r>
      <w:r w:rsidR="00EC6ECE">
        <w:rPr>
          <w:rFonts w:ascii="Arial" w:hAnsi="Arial" w:cs="Arial"/>
          <w:sz w:val="24"/>
          <w:szCs w:val="24"/>
        </w:rPr>
        <w:t>only</w:t>
      </w:r>
      <w:r w:rsidR="00191DFE">
        <w:rPr>
          <w:rFonts w:ascii="Arial" w:hAnsi="Arial" w:cs="Arial"/>
          <w:sz w:val="24"/>
          <w:szCs w:val="24"/>
        </w:rPr>
        <w:t xml:space="preserve"> </w:t>
      </w:r>
      <w:r w:rsidR="00191DFE" w:rsidRPr="00AB7BD5">
        <w:rPr>
          <w:rFonts w:ascii="Arial" w:hAnsi="Arial" w:cs="Arial"/>
          <w:sz w:val="24"/>
          <w:szCs w:val="24"/>
        </w:rPr>
        <w:t xml:space="preserve">a small snapshot of the </w:t>
      </w:r>
      <w:r w:rsidR="00191DFE">
        <w:rPr>
          <w:rFonts w:ascii="Arial" w:hAnsi="Arial" w:cs="Arial"/>
          <w:sz w:val="24"/>
          <w:szCs w:val="24"/>
        </w:rPr>
        <w:t>diverse</w:t>
      </w:r>
      <w:r w:rsidR="00191DFE" w:rsidRPr="00AB7BD5">
        <w:rPr>
          <w:rFonts w:ascii="Arial" w:hAnsi="Arial" w:cs="Arial"/>
          <w:sz w:val="24"/>
          <w:szCs w:val="24"/>
        </w:rPr>
        <w:t xml:space="preserve"> range of work the </w:t>
      </w:r>
      <w:r w:rsidR="00453972">
        <w:rPr>
          <w:rFonts w:ascii="Arial" w:hAnsi="Arial" w:cs="Arial"/>
          <w:sz w:val="24"/>
          <w:szCs w:val="24"/>
        </w:rPr>
        <w:t>A</w:t>
      </w:r>
      <w:r w:rsidR="00191DFE" w:rsidRPr="00AB7BD5">
        <w:rPr>
          <w:rFonts w:ascii="Arial" w:hAnsi="Arial" w:cs="Arial"/>
          <w:sz w:val="24"/>
          <w:szCs w:val="24"/>
        </w:rPr>
        <w:t xml:space="preserve">gency </w:t>
      </w:r>
      <w:r w:rsidR="00191DFE">
        <w:rPr>
          <w:rFonts w:ascii="Arial" w:hAnsi="Arial" w:cs="Arial"/>
          <w:sz w:val="24"/>
          <w:szCs w:val="24"/>
        </w:rPr>
        <w:t>undertakes. The</w:t>
      </w:r>
      <w:r w:rsidR="00191DFE" w:rsidRPr="00AB7BD5">
        <w:rPr>
          <w:rFonts w:ascii="Arial" w:hAnsi="Arial" w:cs="Arial"/>
          <w:sz w:val="24"/>
          <w:szCs w:val="24"/>
        </w:rPr>
        <w:t xml:space="preserve"> full report offers an insight </w:t>
      </w:r>
      <w:r w:rsidR="00191DFE">
        <w:rPr>
          <w:rFonts w:ascii="Arial" w:hAnsi="Arial" w:cs="Arial"/>
          <w:sz w:val="24"/>
          <w:szCs w:val="24"/>
        </w:rPr>
        <w:t>into our</w:t>
      </w:r>
      <w:r w:rsidR="00191DFE" w:rsidRPr="00AB7BD5">
        <w:rPr>
          <w:rFonts w:ascii="Arial" w:hAnsi="Arial" w:cs="Arial"/>
          <w:sz w:val="24"/>
          <w:szCs w:val="24"/>
        </w:rPr>
        <w:t xml:space="preserve"> achievements </w:t>
      </w:r>
      <w:r w:rsidR="00191DFE">
        <w:rPr>
          <w:rFonts w:ascii="Arial" w:hAnsi="Arial" w:cs="Arial"/>
          <w:sz w:val="24"/>
          <w:szCs w:val="24"/>
        </w:rPr>
        <w:t xml:space="preserve">against our annual plan for </w:t>
      </w:r>
      <w:r w:rsidR="00191DFE" w:rsidRPr="00AB7BD5">
        <w:rPr>
          <w:rFonts w:ascii="Arial" w:hAnsi="Arial" w:cs="Arial"/>
          <w:sz w:val="24"/>
          <w:szCs w:val="24"/>
        </w:rPr>
        <w:t xml:space="preserve">2023-24. I am immensely proud of </w:t>
      </w:r>
      <w:r w:rsidR="00191DFE">
        <w:rPr>
          <w:rFonts w:ascii="Arial" w:hAnsi="Arial" w:cs="Arial"/>
          <w:sz w:val="24"/>
          <w:szCs w:val="24"/>
        </w:rPr>
        <w:t>everything we have delivered.  This is testament to the</w:t>
      </w:r>
      <w:r w:rsidR="00191DFE" w:rsidRPr="00AB7BD5">
        <w:rPr>
          <w:rFonts w:ascii="Arial" w:hAnsi="Arial" w:cs="Arial"/>
          <w:sz w:val="24"/>
          <w:szCs w:val="24"/>
        </w:rPr>
        <w:t xml:space="preserve"> continued professionalism of our people as they provide first class services for our customers </w:t>
      </w:r>
      <w:r w:rsidR="00191DFE">
        <w:rPr>
          <w:rFonts w:ascii="Arial" w:hAnsi="Arial" w:cs="Arial"/>
          <w:sz w:val="24"/>
          <w:szCs w:val="24"/>
        </w:rPr>
        <w:t>alongside</w:t>
      </w:r>
      <w:r w:rsidR="00191DFE" w:rsidRPr="00AB7BD5">
        <w:rPr>
          <w:rFonts w:ascii="Arial" w:hAnsi="Arial" w:cs="Arial"/>
          <w:sz w:val="24"/>
          <w:szCs w:val="24"/>
        </w:rPr>
        <w:t xml:space="preserve"> delivering the significant levels of change required to ensure the Agency continues to fulfil its purpose in </w:t>
      </w:r>
      <w:r w:rsidR="00191DFE">
        <w:rPr>
          <w:rFonts w:ascii="Arial" w:hAnsi="Arial" w:cs="Arial"/>
          <w:sz w:val="24"/>
          <w:szCs w:val="24"/>
        </w:rPr>
        <w:t>a changing</w:t>
      </w:r>
      <w:r w:rsidR="00191DFE" w:rsidRPr="00AB7BD5">
        <w:rPr>
          <w:rFonts w:ascii="Arial" w:hAnsi="Arial" w:cs="Arial"/>
          <w:sz w:val="24"/>
          <w:szCs w:val="24"/>
        </w:rPr>
        <w:t xml:space="preserve"> world.</w:t>
      </w:r>
    </w:p>
    <w:p w14:paraId="079D8121" w14:textId="36A0CB94" w:rsidR="007A17AF" w:rsidRDefault="007A17AF" w:rsidP="00CC69E4">
      <w:pPr>
        <w:jc w:val="center"/>
        <w:rPr>
          <w:rFonts w:ascii="Arial" w:hAnsi="Arial" w:cs="Arial"/>
          <w:sz w:val="24"/>
          <w:szCs w:val="24"/>
        </w:rPr>
      </w:pPr>
    </w:p>
    <w:p w14:paraId="1068A6DB" w14:textId="6BFDAFC2" w:rsidR="007A17AF" w:rsidRDefault="00CC69E4">
      <w:pPr>
        <w:rPr>
          <w:rFonts w:ascii="Arial" w:hAnsi="Arial" w:cs="Arial"/>
          <w:sz w:val="24"/>
          <w:szCs w:val="24"/>
        </w:rPr>
      </w:pPr>
      <w:r>
        <w:rPr>
          <w:rFonts w:ascii="Arial" w:hAnsi="Arial" w:cs="Arial"/>
          <w:sz w:val="24"/>
          <w:szCs w:val="24"/>
        </w:rPr>
        <w:t>Dean Beale</w:t>
      </w:r>
      <w:r w:rsidR="006156DE">
        <w:rPr>
          <w:rFonts w:ascii="Arial" w:hAnsi="Arial" w:cs="Arial"/>
          <w:sz w:val="24"/>
          <w:szCs w:val="24"/>
        </w:rPr>
        <w:t xml:space="preserve">, </w:t>
      </w:r>
      <w:r w:rsidR="00395AF1">
        <w:rPr>
          <w:rFonts w:ascii="Arial" w:hAnsi="Arial" w:cs="Arial"/>
          <w:sz w:val="24"/>
          <w:szCs w:val="24"/>
        </w:rPr>
        <w:t>Chief Executive</w:t>
      </w:r>
    </w:p>
    <w:p w14:paraId="594F8611" w14:textId="65DF05ED" w:rsidR="006156DE" w:rsidRDefault="006156DE">
      <w:pPr>
        <w:rPr>
          <w:rFonts w:ascii="Arial" w:hAnsi="Arial" w:cs="Arial"/>
          <w:sz w:val="24"/>
          <w:szCs w:val="24"/>
        </w:rPr>
      </w:pPr>
      <w:r>
        <w:rPr>
          <w:rFonts w:ascii="Arial" w:hAnsi="Arial" w:cs="Arial"/>
          <w:noProof/>
          <w:sz w:val="24"/>
          <w:szCs w:val="24"/>
        </w:rPr>
        <w:drawing>
          <wp:inline distT="0" distB="0" distL="0" distR="0" wp14:anchorId="08EB2656" wp14:editId="4D4186D9">
            <wp:extent cx="1377950" cy="536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536575"/>
                    </a:xfrm>
                    <a:prstGeom prst="rect">
                      <a:avLst/>
                    </a:prstGeom>
                    <a:noFill/>
                  </pic:spPr>
                </pic:pic>
              </a:graphicData>
            </a:graphic>
          </wp:inline>
        </w:drawing>
      </w:r>
    </w:p>
    <w:p w14:paraId="220BE958" w14:textId="77777777" w:rsidR="002E711A" w:rsidRDefault="002E711A">
      <w:pPr>
        <w:rPr>
          <w:rFonts w:ascii="Arial" w:hAnsi="Arial" w:cs="Arial"/>
          <w:b/>
          <w:bCs/>
          <w:sz w:val="24"/>
          <w:szCs w:val="24"/>
        </w:rPr>
      </w:pPr>
      <w:r>
        <w:rPr>
          <w:rFonts w:ascii="Arial" w:hAnsi="Arial" w:cs="Arial"/>
          <w:b/>
          <w:bCs/>
          <w:sz w:val="24"/>
          <w:szCs w:val="24"/>
        </w:rPr>
        <w:br w:type="page"/>
      </w:r>
    </w:p>
    <w:p w14:paraId="3AA65699" w14:textId="375063A8" w:rsidR="007A17AF" w:rsidRDefault="007A17AF" w:rsidP="003D270B">
      <w:pPr>
        <w:pStyle w:val="Heading3"/>
        <w:rPr>
          <w:rFonts w:cs="Arial"/>
          <w:b w:val="0"/>
          <w:sz w:val="24"/>
        </w:rPr>
      </w:pPr>
      <w:r w:rsidRPr="007A17AF">
        <w:lastRenderedPageBreak/>
        <w:t>Who we are and what we do</w:t>
      </w:r>
    </w:p>
    <w:p w14:paraId="18B4AD48" w14:textId="0BDAA961" w:rsidR="007A17AF" w:rsidRDefault="007A17AF">
      <w:pPr>
        <w:rPr>
          <w:rFonts w:ascii="Arial" w:hAnsi="Arial" w:cs="Arial"/>
          <w:sz w:val="24"/>
          <w:szCs w:val="24"/>
        </w:rPr>
      </w:pPr>
      <w:r>
        <w:rPr>
          <w:rFonts w:ascii="Arial" w:hAnsi="Arial" w:cs="Arial"/>
          <w:sz w:val="24"/>
          <w:szCs w:val="24"/>
        </w:rPr>
        <w:t>This report is designed to give an overview of the activities and performance of the Insolvency Service</w:t>
      </w:r>
      <w:r w:rsidR="00F868F4">
        <w:rPr>
          <w:rFonts w:ascii="Arial" w:hAnsi="Arial" w:cs="Arial"/>
          <w:sz w:val="24"/>
          <w:szCs w:val="24"/>
        </w:rPr>
        <w:t>, ‘the Agency’,</w:t>
      </w:r>
      <w:r>
        <w:rPr>
          <w:rFonts w:ascii="Arial" w:hAnsi="Arial" w:cs="Arial"/>
          <w:sz w:val="24"/>
          <w:szCs w:val="24"/>
        </w:rPr>
        <w:t xml:space="preserve"> during the year. More detailed analysis can be found in our accountability report and financial statements.</w:t>
      </w:r>
    </w:p>
    <w:p w14:paraId="1DE61F16" w14:textId="78862A89" w:rsidR="007A17AF" w:rsidRDefault="007A17AF" w:rsidP="003D270B">
      <w:pPr>
        <w:pStyle w:val="Heading4"/>
        <w:rPr>
          <w:rFonts w:cs="Arial"/>
          <w:b w:val="0"/>
          <w:sz w:val="24"/>
          <w:szCs w:val="24"/>
        </w:rPr>
      </w:pPr>
      <w:r>
        <w:t>Who we are</w:t>
      </w:r>
    </w:p>
    <w:p w14:paraId="722B2500" w14:textId="68B6C8AD" w:rsidR="007A17AF" w:rsidRDefault="007A17AF">
      <w:pPr>
        <w:rPr>
          <w:rFonts w:ascii="Arial" w:hAnsi="Arial" w:cs="Arial"/>
          <w:sz w:val="24"/>
          <w:szCs w:val="24"/>
        </w:rPr>
      </w:pPr>
      <w:r>
        <w:rPr>
          <w:rFonts w:ascii="Arial" w:hAnsi="Arial" w:cs="Arial"/>
          <w:sz w:val="24"/>
          <w:szCs w:val="24"/>
        </w:rPr>
        <w:t>The Insolvency Service is an Executive Agency of the Department for Business and Trade (DBT), currently based in 16 locations across Great Britain. DBT retains financial and operational supervision over the work we do and approves our strategies and budgets.</w:t>
      </w:r>
    </w:p>
    <w:p w14:paraId="7EC72D30" w14:textId="53495330" w:rsidR="00423ECE" w:rsidRDefault="00AB6D51" w:rsidP="00AB6D51">
      <w:pPr>
        <w:rPr>
          <w:rFonts w:ascii="Arial" w:hAnsi="Arial" w:cs="Arial"/>
          <w:sz w:val="24"/>
          <w:szCs w:val="24"/>
        </w:rPr>
      </w:pPr>
      <w:r w:rsidRPr="00AB6D51">
        <w:rPr>
          <w:rFonts w:ascii="Arial" w:hAnsi="Arial" w:cs="Arial"/>
          <w:sz w:val="24"/>
          <w:szCs w:val="24"/>
        </w:rPr>
        <w:t>On 7 February 2023, the prime minister announced a major machinery of government change which redistributed the activities of several existing government departments and created three new departments including the Department for Business and Trade. The Insolvency Service has been designated to the Department for Business and Trade with accounting officer responsibilities formally transferred from 1 April 2023.</w:t>
      </w:r>
    </w:p>
    <w:p w14:paraId="60EE7A35" w14:textId="2D750ED8" w:rsidR="007A17AF" w:rsidRDefault="007A17AF" w:rsidP="00AB6D51">
      <w:pPr>
        <w:rPr>
          <w:rFonts w:ascii="Arial" w:hAnsi="Arial" w:cs="Arial"/>
          <w:sz w:val="24"/>
          <w:szCs w:val="24"/>
        </w:rPr>
      </w:pPr>
      <w:r>
        <w:rPr>
          <w:rFonts w:ascii="Arial" w:hAnsi="Arial" w:cs="Arial"/>
          <w:sz w:val="24"/>
          <w:szCs w:val="24"/>
        </w:rPr>
        <w:t>We are governed by the Insolvency Service Board, comprised of executive and non-executive</w:t>
      </w:r>
      <w:r w:rsidR="00F8610F">
        <w:rPr>
          <w:rFonts w:ascii="Arial" w:hAnsi="Arial" w:cs="Arial"/>
          <w:sz w:val="24"/>
          <w:szCs w:val="24"/>
        </w:rPr>
        <w:t xml:space="preserve"> members. The Board is responsible for the long-term </w:t>
      </w:r>
      <w:r w:rsidR="00B85537">
        <w:rPr>
          <w:rFonts w:ascii="Arial" w:hAnsi="Arial" w:cs="Arial"/>
          <w:sz w:val="24"/>
          <w:szCs w:val="24"/>
        </w:rPr>
        <w:t xml:space="preserve">success </w:t>
      </w:r>
      <w:r w:rsidR="00F868F4">
        <w:rPr>
          <w:rFonts w:ascii="Arial" w:hAnsi="Arial" w:cs="Arial"/>
          <w:sz w:val="24"/>
          <w:szCs w:val="24"/>
        </w:rPr>
        <w:t>of the Agency</w:t>
      </w:r>
      <w:r w:rsidR="00352590">
        <w:rPr>
          <w:rFonts w:ascii="Arial" w:hAnsi="Arial" w:cs="Arial"/>
          <w:sz w:val="24"/>
          <w:szCs w:val="24"/>
        </w:rPr>
        <w:t>, which includes setting strategic aims and objectives</w:t>
      </w:r>
      <w:r w:rsidR="00E267A1">
        <w:rPr>
          <w:rFonts w:ascii="Arial" w:hAnsi="Arial" w:cs="Arial"/>
          <w:sz w:val="24"/>
          <w:szCs w:val="24"/>
        </w:rPr>
        <w:t>, making sure that leadership and other resources</w:t>
      </w:r>
      <w:r w:rsidR="007207CE">
        <w:rPr>
          <w:rFonts w:ascii="Arial" w:hAnsi="Arial" w:cs="Arial"/>
          <w:sz w:val="24"/>
          <w:szCs w:val="24"/>
        </w:rPr>
        <w:t>,</w:t>
      </w:r>
      <w:r w:rsidR="00E267A1">
        <w:rPr>
          <w:rFonts w:ascii="Arial" w:hAnsi="Arial" w:cs="Arial"/>
          <w:sz w:val="24"/>
          <w:szCs w:val="24"/>
        </w:rPr>
        <w:t xml:space="preserve"> including an effective </w:t>
      </w:r>
      <w:r w:rsidR="002136FF">
        <w:rPr>
          <w:rFonts w:ascii="Arial" w:hAnsi="Arial" w:cs="Arial"/>
          <w:sz w:val="24"/>
          <w:szCs w:val="24"/>
        </w:rPr>
        <w:t>risk management and assurance framework</w:t>
      </w:r>
      <w:r w:rsidR="007207CE">
        <w:rPr>
          <w:rFonts w:ascii="Arial" w:hAnsi="Arial" w:cs="Arial"/>
          <w:sz w:val="24"/>
          <w:szCs w:val="24"/>
        </w:rPr>
        <w:t>,</w:t>
      </w:r>
      <w:r w:rsidR="002136FF">
        <w:rPr>
          <w:rFonts w:ascii="Arial" w:hAnsi="Arial" w:cs="Arial"/>
          <w:sz w:val="24"/>
          <w:szCs w:val="24"/>
        </w:rPr>
        <w:t xml:space="preserve"> are in place</w:t>
      </w:r>
      <w:r w:rsidR="007A4720">
        <w:rPr>
          <w:rFonts w:ascii="Arial" w:hAnsi="Arial" w:cs="Arial"/>
          <w:sz w:val="24"/>
          <w:szCs w:val="24"/>
        </w:rPr>
        <w:t>, challenging and supporting management performance, and reporting to DBT</w:t>
      </w:r>
      <w:r w:rsidR="00060172">
        <w:rPr>
          <w:rFonts w:ascii="Arial" w:hAnsi="Arial" w:cs="Arial"/>
          <w:sz w:val="24"/>
          <w:szCs w:val="24"/>
        </w:rPr>
        <w:t>.</w:t>
      </w:r>
    </w:p>
    <w:p w14:paraId="7B9F4F66" w14:textId="55EFE27C" w:rsidR="00060172" w:rsidRDefault="00060172">
      <w:pPr>
        <w:rPr>
          <w:rFonts w:ascii="Arial" w:hAnsi="Arial" w:cs="Arial"/>
          <w:sz w:val="24"/>
          <w:szCs w:val="24"/>
        </w:rPr>
      </w:pPr>
      <w:r>
        <w:rPr>
          <w:rFonts w:ascii="Arial" w:hAnsi="Arial" w:cs="Arial"/>
          <w:sz w:val="24"/>
          <w:szCs w:val="24"/>
        </w:rPr>
        <w:t>Our governance statement provides further detail about our Board and various committees</w:t>
      </w:r>
      <w:r w:rsidR="002E1630">
        <w:rPr>
          <w:rFonts w:ascii="Arial" w:hAnsi="Arial" w:cs="Arial"/>
          <w:sz w:val="24"/>
          <w:szCs w:val="24"/>
        </w:rPr>
        <w:t>.</w:t>
      </w:r>
    </w:p>
    <w:p w14:paraId="5181F9BD" w14:textId="5ED2FB80" w:rsidR="002E1630" w:rsidRDefault="002E1630">
      <w:pPr>
        <w:rPr>
          <w:rFonts w:ascii="Arial" w:hAnsi="Arial" w:cs="Arial"/>
          <w:sz w:val="24"/>
          <w:szCs w:val="24"/>
        </w:rPr>
      </w:pPr>
      <w:r>
        <w:rPr>
          <w:rFonts w:ascii="Arial" w:hAnsi="Arial" w:cs="Arial"/>
          <w:sz w:val="24"/>
          <w:szCs w:val="24"/>
        </w:rPr>
        <w:t xml:space="preserve">For information on our status as an Executive Agency, the </w:t>
      </w:r>
      <w:hyperlink r:id="rId19" w:history="1">
        <w:r w:rsidRPr="005E3585">
          <w:rPr>
            <w:rStyle w:val="Hyperlink"/>
            <w:rFonts w:ascii="Arial" w:hAnsi="Arial" w:cs="Arial"/>
            <w:sz w:val="24"/>
            <w:szCs w:val="24"/>
          </w:rPr>
          <w:t>Classification of public bodies</w:t>
        </w:r>
        <w:r w:rsidR="0097065B" w:rsidRPr="005E3585">
          <w:rPr>
            <w:rStyle w:val="Hyperlink"/>
            <w:rFonts w:ascii="Arial" w:hAnsi="Arial" w:cs="Arial"/>
            <w:sz w:val="24"/>
            <w:szCs w:val="24"/>
          </w:rPr>
          <w:t>: information and guidance</w:t>
        </w:r>
      </w:hyperlink>
      <w:r w:rsidR="0097065B">
        <w:rPr>
          <w:rFonts w:ascii="Arial" w:hAnsi="Arial" w:cs="Arial"/>
          <w:sz w:val="24"/>
          <w:szCs w:val="24"/>
        </w:rPr>
        <w:t xml:space="preserve"> summarises the main characteristics of different types of public bodies.</w:t>
      </w:r>
    </w:p>
    <w:p w14:paraId="2104172C" w14:textId="67259E41" w:rsidR="008561F5" w:rsidRPr="00797B5C" w:rsidRDefault="008561F5" w:rsidP="003D270B">
      <w:pPr>
        <w:pStyle w:val="Heading4"/>
        <w:rPr>
          <w:rFonts w:cs="Arial"/>
          <w:b w:val="0"/>
          <w:sz w:val="24"/>
          <w:szCs w:val="24"/>
        </w:rPr>
      </w:pPr>
      <w:r w:rsidRPr="00797B5C">
        <w:t>What we do</w:t>
      </w:r>
    </w:p>
    <w:p w14:paraId="4FA8520A" w14:textId="2BBE869F" w:rsidR="00657D1D" w:rsidRDefault="001C0874">
      <w:pPr>
        <w:rPr>
          <w:rFonts w:ascii="Arial" w:hAnsi="Arial" w:cs="Arial"/>
          <w:sz w:val="24"/>
          <w:szCs w:val="24"/>
        </w:rPr>
      </w:pPr>
      <w:r>
        <w:rPr>
          <w:rFonts w:ascii="Arial" w:hAnsi="Arial" w:cs="Arial"/>
          <w:sz w:val="24"/>
          <w:szCs w:val="24"/>
        </w:rPr>
        <w:t xml:space="preserve">We </w:t>
      </w:r>
      <w:r w:rsidR="00AD0FA2">
        <w:rPr>
          <w:rFonts w:ascii="Arial" w:hAnsi="Arial" w:cs="Arial"/>
          <w:sz w:val="24"/>
          <w:szCs w:val="24"/>
        </w:rPr>
        <w:t xml:space="preserve">oversee and foster a world class insolvency regime. Our core objective is to deliver economic </w:t>
      </w:r>
      <w:r w:rsidR="00E13DB8">
        <w:rPr>
          <w:rFonts w:ascii="Arial" w:hAnsi="Arial" w:cs="Arial"/>
          <w:sz w:val="24"/>
          <w:szCs w:val="24"/>
        </w:rPr>
        <w:t xml:space="preserve">confidence by supporting those in financial distress, tackling financial wrongdoing and maximising </w:t>
      </w:r>
      <w:r w:rsidR="00F870CD">
        <w:rPr>
          <w:rFonts w:ascii="Arial" w:hAnsi="Arial" w:cs="Arial"/>
          <w:sz w:val="24"/>
          <w:szCs w:val="24"/>
        </w:rPr>
        <w:t>returns to creditors.</w:t>
      </w:r>
    </w:p>
    <w:p w14:paraId="644B2462" w14:textId="30640946" w:rsidR="00F870CD" w:rsidRDefault="00F870CD">
      <w:pPr>
        <w:rPr>
          <w:rFonts w:ascii="Arial" w:hAnsi="Arial" w:cs="Arial"/>
          <w:sz w:val="24"/>
          <w:szCs w:val="24"/>
        </w:rPr>
      </w:pPr>
      <w:r>
        <w:rPr>
          <w:rFonts w:ascii="Arial" w:hAnsi="Arial" w:cs="Arial"/>
          <w:sz w:val="24"/>
          <w:szCs w:val="24"/>
        </w:rPr>
        <w:t xml:space="preserve">Our Official Receivers deliver an essential public service by dealing with people subject to bankruptcy and insolvent businesses, realising </w:t>
      </w:r>
      <w:r w:rsidR="00E176BF">
        <w:rPr>
          <w:rFonts w:ascii="Arial" w:hAnsi="Arial" w:cs="Arial"/>
          <w:sz w:val="24"/>
          <w:szCs w:val="24"/>
        </w:rPr>
        <w:t xml:space="preserve">and distributing assets, helping people to get back on their feet, and carrying out </w:t>
      </w:r>
      <w:r w:rsidR="00C3320D">
        <w:rPr>
          <w:rFonts w:ascii="Arial" w:hAnsi="Arial" w:cs="Arial"/>
          <w:sz w:val="24"/>
          <w:szCs w:val="24"/>
        </w:rPr>
        <w:t>investigations to support the integrity of the insolvency system and the wider business and lending economy.</w:t>
      </w:r>
    </w:p>
    <w:p w14:paraId="784D2483" w14:textId="5F982190" w:rsidR="00C3320D" w:rsidRDefault="00C3320D">
      <w:pPr>
        <w:rPr>
          <w:rFonts w:ascii="Arial" w:hAnsi="Arial" w:cs="Arial"/>
          <w:sz w:val="24"/>
          <w:szCs w:val="24"/>
        </w:rPr>
      </w:pPr>
      <w:r>
        <w:rPr>
          <w:rFonts w:ascii="Arial" w:hAnsi="Arial" w:cs="Arial"/>
          <w:sz w:val="24"/>
          <w:szCs w:val="24"/>
        </w:rPr>
        <w:t>Our investigators scrutinise director and corporate behaviour</w:t>
      </w:r>
      <w:r w:rsidR="002C2067">
        <w:rPr>
          <w:rFonts w:ascii="Arial" w:hAnsi="Arial" w:cs="Arial"/>
          <w:sz w:val="24"/>
          <w:szCs w:val="24"/>
        </w:rPr>
        <w:t xml:space="preserve">, investigating those who abuse the system, and work to disqualify unfit directors to protect the public and business from future harm. We also </w:t>
      </w:r>
      <w:r w:rsidR="002A3142">
        <w:rPr>
          <w:rFonts w:ascii="Arial" w:hAnsi="Arial" w:cs="Arial"/>
          <w:sz w:val="24"/>
          <w:szCs w:val="24"/>
        </w:rPr>
        <w:t>investigate</w:t>
      </w:r>
      <w:r w:rsidR="002C2067">
        <w:rPr>
          <w:rFonts w:ascii="Arial" w:hAnsi="Arial" w:cs="Arial"/>
          <w:sz w:val="24"/>
          <w:szCs w:val="24"/>
        </w:rPr>
        <w:t xml:space="preserve"> </w:t>
      </w:r>
      <w:r w:rsidR="002A3142">
        <w:rPr>
          <w:rFonts w:ascii="Arial" w:hAnsi="Arial" w:cs="Arial"/>
          <w:sz w:val="24"/>
          <w:szCs w:val="24"/>
        </w:rPr>
        <w:t xml:space="preserve">trading companies and take action to wind them up where they have been </w:t>
      </w:r>
      <w:r w:rsidR="00F053C9">
        <w:rPr>
          <w:rFonts w:ascii="Arial" w:hAnsi="Arial" w:cs="Arial"/>
          <w:sz w:val="24"/>
          <w:szCs w:val="24"/>
        </w:rPr>
        <w:t xml:space="preserve">operating against the public interest. We investigate and prosecute breaches of company and insolvency </w:t>
      </w:r>
      <w:r w:rsidR="00280191">
        <w:rPr>
          <w:rFonts w:ascii="Arial" w:hAnsi="Arial" w:cs="Arial"/>
          <w:sz w:val="24"/>
          <w:szCs w:val="24"/>
        </w:rPr>
        <w:t>legislation and other criminal offences on behalf of DBT.</w:t>
      </w:r>
    </w:p>
    <w:p w14:paraId="11BFFCF2" w14:textId="07152079" w:rsidR="00280191" w:rsidRDefault="00280191">
      <w:pPr>
        <w:rPr>
          <w:rFonts w:ascii="Arial" w:hAnsi="Arial" w:cs="Arial"/>
          <w:sz w:val="24"/>
          <w:szCs w:val="24"/>
        </w:rPr>
      </w:pPr>
      <w:r>
        <w:rPr>
          <w:rFonts w:ascii="Arial" w:hAnsi="Arial" w:cs="Arial"/>
          <w:sz w:val="24"/>
          <w:szCs w:val="24"/>
        </w:rPr>
        <w:lastRenderedPageBreak/>
        <w:t xml:space="preserve">Our Redundancy Payments Service </w:t>
      </w:r>
      <w:r w:rsidR="002E72E4">
        <w:rPr>
          <w:rFonts w:ascii="Arial" w:hAnsi="Arial" w:cs="Arial"/>
          <w:sz w:val="24"/>
          <w:szCs w:val="24"/>
        </w:rPr>
        <w:t xml:space="preserve">makes sure people receive redundancy pay from the National Insurance Fund (NIF) and other statutory </w:t>
      </w:r>
      <w:r w:rsidR="006F5A49">
        <w:rPr>
          <w:rFonts w:ascii="Arial" w:hAnsi="Arial" w:cs="Arial"/>
          <w:sz w:val="24"/>
          <w:szCs w:val="24"/>
        </w:rPr>
        <w:t>entitlements when a business fails.</w:t>
      </w:r>
    </w:p>
    <w:p w14:paraId="0F8147E2" w14:textId="20A1DD89" w:rsidR="006F5A49" w:rsidRDefault="006F5A49">
      <w:pPr>
        <w:rPr>
          <w:rFonts w:ascii="Arial" w:hAnsi="Arial" w:cs="Arial"/>
          <w:sz w:val="24"/>
          <w:szCs w:val="24"/>
        </w:rPr>
      </w:pPr>
      <w:r>
        <w:rPr>
          <w:rFonts w:ascii="Arial" w:hAnsi="Arial" w:cs="Arial"/>
          <w:sz w:val="24"/>
          <w:szCs w:val="24"/>
        </w:rPr>
        <w:t>Our adjudicator, Debt Relief Order (DRO) and Breathing Space teams help to support those in financial distress</w:t>
      </w:r>
      <w:r w:rsidR="0086790F">
        <w:rPr>
          <w:rFonts w:ascii="Arial" w:hAnsi="Arial" w:cs="Arial"/>
          <w:sz w:val="24"/>
          <w:szCs w:val="24"/>
        </w:rPr>
        <w:t xml:space="preserve"> by managing and administering bankruptcy, DRO and Breathing Space applications.</w:t>
      </w:r>
    </w:p>
    <w:p w14:paraId="2DB994FE" w14:textId="43319610" w:rsidR="00C17DAB" w:rsidRDefault="0086790F">
      <w:pPr>
        <w:rPr>
          <w:rFonts w:ascii="Arial" w:hAnsi="Arial" w:cs="Arial"/>
          <w:sz w:val="24"/>
          <w:szCs w:val="24"/>
        </w:rPr>
      </w:pPr>
      <w:r>
        <w:rPr>
          <w:rFonts w:ascii="Arial" w:hAnsi="Arial" w:cs="Arial"/>
          <w:sz w:val="24"/>
          <w:szCs w:val="24"/>
        </w:rPr>
        <w:t xml:space="preserve">We act as an impartial source of information for the public </w:t>
      </w:r>
      <w:r w:rsidR="003E7D5D">
        <w:rPr>
          <w:rFonts w:ascii="Arial" w:hAnsi="Arial" w:cs="Arial"/>
          <w:sz w:val="24"/>
          <w:szCs w:val="24"/>
        </w:rPr>
        <w:t>on insolvency and redundancy matters and advise DBT ministers and other government departments.</w:t>
      </w:r>
    </w:p>
    <w:p w14:paraId="5D6E20ED" w14:textId="6056B449" w:rsidR="00C17DAB" w:rsidRDefault="00C17DAB" w:rsidP="003D270B">
      <w:pPr>
        <w:pStyle w:val="Heading3"/>
        <w:rPr>
          <w:rFonts w:cs="Arial"/>
          <w:b w:val="0"/>
          <w:sz w:val="24"/>
        </w:rPr>
      </w:pPr>
      <w:r>
        <w:t>Our objectives</w:t>
      </w:r>
    </w:p>
    <w:p w14:paraId="43B5E0EC" w14:textId="325D0AB0" w:rsidR="00C17DAB" w:rsidRDefault="00CC1DA3">
      <w:pPr>
        <w:rPr>
          <w:rFonts w:ascii="Arial" w:hAnsi="Arial" w:cs="Arial"/>
          <w:sz w:val="24"/>
          <w:szCs w:val="24"/>
        </w:rPr>
      </w:pPr>
      <w:r>
        <w:rPr>
          <w:rFonts w:ascii="Arial" w:hAnsi="Arial" w:cs="Arial"/>
          <w:sz w:val="24"/>
          <w:szCs w:val="24"/>
        </w:rPr>
        <w:t>This annual report and accounts set</w:t>
      </w:r>
      <w:r w:rsidR="00CD2075">
        <w:rPr>
          <w:rFonts w:ascii="Arial" w:hAnsi="Arial" w:cs="Arial"/>
          <w:sz w:val="24"/>
          <w:szCs w:val="24"/>
        </w:rPr>
        <w:t>s</w:t>
      </w:r>
      <w:r>
        <w:rPr>
          <w:rFonts w:ascii="Arial" w:hAnsi="Arial" w:cs="Arial"/>
          <w:sz w:val="24"/>
          <w:szCs w:val="24"/>
        </w:rPr>
        <w:t xml:space="preserve"> out the Agency’s performance and achievements for, and reports on, the delivery of objectives we published </w:t>
      </w:r>
      <w:r w:rsidR="008D79AA">
        <w:rPr>
          <w:rFonts w:ascii="Arial" w:hAnsi="Arial" w:cs="Arial"/>
          <w:sz w:val="24"/>
          <w:szCs w:val="24"/>
        </w:rPr>
        <w:t xml:space="preserve">in our </w:t>
      </w:r>
      <w:hyperlink r:id="rId20" w:anchor=":~:text=Details,priorities%20to%20support%20economic%20growth." w:history="1">
        <w:r w:rsidR="008D79AA" w:rsidRPr="00764003">
          <w:rPr>
            <w:rStyle w:val="Hyperlink"/>
            <w:rFonts w:ascii="Arial" w:hAnsi="Arial" w:cs="Arial"/>
            <w:sz w:val="24"/>
            <w:szCs w:val="24"/>
          </w:rPr>
          <w:t>2023-24 annual plan</w:t>
        </w:r>
      </w:hyperlink>
      <w:r w:rsidR="008D79AA">
        <w:rPr>
          <w:rFonts w:ascii="Arial" w:hAnsi="Arial" w:cs="Arial"/>
          <w:sz w:val="24"/>
          <w:szCs w:val="24"/>
        </w:rPr>
        <w:t>.</w:t>
      </w:r>
    </w:p>
    <w:p w14:paraId="0A354E28" w14:textId="1CFA9866" w:rsidR="00764003" w:rsidRDefault="00764003">
      <w:pPr>
        <w:rPr>
          <w:rFonts w:ascii="Arial" w:hAnsi="Arial" w:cs="Arial"/>
          <w:sz w:val="24"/>
          <w:szCs w:val="24"/>
        </w:rPr>
      </w:pPr>
      <w:r>
        <w:rPr>
          <w:rFonts w:ascii="Arial" w:hAnsi="Arial" w:cs="Arial"/>
          <w:sz w:val="24"/>
          <w:szCs w:val="24"/>
        </w:rPr>
        <w:t>Those strategic and operational objectives</w:t>
      </w:r>
      <w:r w:rsidR="00F77284">
        <w:rPr>
          <w:rFonts w:ascii="Arial" w:hAnsi="Arial" w:cs="Arial"/>
          <w:sz w:val="24"/>
          <w:szCs w:val="24"/>
        </w:rPr>
        <w:t xml:space="preserve"> to ensure continued delivery of excellent customer service were to:</w:t>
      </w:r>
    </w:p>
    <w:p w14:paraId="4A562CEB" w14:textId="052D71D2" w:rsidR="00F77284" w:rsidRDefault="00F77284" w:rsidP="00F77284">
      <w:pPr>
        <w:pStyle w:val="ListParagraph"/>
        <w:numPr>
          <w:ilvl w:val="0"/>
          <w:numId w:val="2"/>
        </w:numPr>
        <w:rPr>
          <w:rFonts w:ascii="Arial" w:hAnsi="Arial" w:cs="Arial"/>
          <w:sz w:val="24"/>
          <w:szCs w:val="24"/>
        </w:rPr>
      </w:pPr>
      <w:r>
        <w:rPr>
          <w:rFonts w:ascii="Arial" w:hAnsi="Arial" w:cs="Arial"/>
          <w:sz w:val="24"/>
          <w:szCs w:val="24"/>
        </w:rPr>
        <w:t xml:space="preserve">Strengthen </w:t>
      </w:r>
      <w:r w:rsidR="006265F5">
        <w:rPr>
          <w:rFonts w:ascii="Arial" w:hAnsi="Arial" w:cs="Arial"/>
          <w:sz w:val="24"/>
          <w:szCs w:val="24"/>
        </w:rPr>
        <w:t>our system regulation and improve the insolvency framework</w:t>
      </w:r>
    </w:p>
    <w:p w14:paraId="76E30FA7" w14:textId="30EF29FE" w:rsidR="006265F5" w:rsidRDefault="006265F5" w:rsidP="00F77284">
      <w:pPr>
        <w:pStyle w:val="ListParagraph"/>
        <w:numPr>
          <w:ilvl w:val="0"/>
          <w:numId w:val="2"/>
        </w:numPr>
        <w:rPr>
          <w:rFonts w:ascii="Arial" w:hAnsi="Arial" w:cs="Arial"/>
          <w:sz w:val="24"/>
          <w:szCs w:val="24"/>
        </w:rPr>
      </w:pPr>
      <w:r>
        <w:rPr>
          <w:rFonts w:ascii="Arial" w:hAnsi="Arial" w:cs="Arial"/>
          <w:sz w:val="24"/>
          <w:szCs w:val="24"/>
        </w:rPr>
        <w:t>Strengthen our reputation</w:t>
      </w:r>
      <w:r w:rsidR="00527B38">
        <w:rPr>
          <w:rFonts w:ascii="Arial" w:hAnsi="Arial" w:cs="Arial"/>
          <w:sz w:val="24"/>
          <w:szCs w:val="24"/>
        </w:rPr>
        <w:t xml:space="preserve"> and impact in investigation and enforcement</w:t>
      </w:r>
    </w:p>
    <w:p w14:paraId="1FD3F7A6" w14:textId="3462481E" w:rsidR="00527B38" w:rsidRDefault="00527B38" w:rsidP="00F77284">
      <w:pPr>
        <w:pStyle w:val="ListParagraph"/>
        <w:numPr>
          <w:ilvl w:val="0"/>
          <w:numId w:val="2"/>
        </w:numPr>
        <w:rPr>
          <w:rFonts w:ascii="Arial" w:hAnsi="Arial" w:cs="Arial"/>
          <w:sz w:val="24"/>
          <w:szCs w:val="24"/>
        </w:rPr>
      </w:pPr>
      <w:r>
        <w:rPr>
          <w:rFonts w:ascii="Arial" w:hAnsi="Arial" w:cs="Arial"/>
          <w:sz w:val="24"/>
          <w:szCs w:val="24"/>
        </w:rPr>
        <w:t>Sharpen our operating focus</w:t>
      </w:r>
    </w:p>
    <w:p w14:paraId="69E491D6" w14:textId="6DD09F3E" w:rsidR="00527B38" w:rsidRDefault="00527B38" w:rsidP="00F77284">
      <w:pPr>
        <w:pStyle w:val="ListParagraph"/>
        <w:numPr>
          <w:ilvl w:val="0"/>
          <w:numId w:val="2"/>
        </w:numPr>
        <w:rPr>
          <w:rFonts w:ascii="Arial" w:hAnsi="Arial" w:cs="Arial"/>
          <w:sz w:val="24"/>
          <w:szCs w:val="24"/>
        </w:rPr>
      </w:pPr>
      <w:r>
        <w:rPr>
          <w:rFonts w:ascii="Arial" w:hAnsi="Arial" w:cs="Arial"/>
          <w:sz w:val="24"/>
          <w:szCs w:val="24"/>
        </w:rPr>
        <w:t xml:space="preserve">Shape a new approach </w:t>
      </w:r>
      <w:r w:rsidR="00A367CB">
        <w:rPr>
          <w:rFonts w:ascii="Arial" w:hAnsi="Arial" w:cs="Arial"/>
          <w:sz w:val="24"/>
          <w:szCs w:val="24"/>
        </w:rPr>
        <w:t>to prevent insolvency and rehabilitate through education and guidance</w:t>
      </w:r>
    </w:p>
    <w:p w14:paraId="1C1ABC2F" w14:textId="3B225316" w:rsidR="00A367CB" w:rsidRDefault="00A367CB" w:rsidP="00F77284">
      <w:pPr>
        <w:pStyle w:val="ListParagraph"/>
        <w:numPr>
          <w:ilvl w:val="0"/>
          <w:numId w:val="2"/>
        </w:numPr>
        <w:rPr>
          <w:rFonts w:ascii="Arial" w:hAnsi="Arial" w:cs="Arial"/>
          <w:sz w:val="24"/>
          <w:szCs w:val="24"/>
        </w:rPr>
      </w:pPr>
      <w:r>
        <w:rPr>
          <w:rFonts w:ascii="Arial" w:hAnsi="Arial" w:cs="Arial"/>
          <w:sz w:val="24"/>
          <w:szCs w:val="24"/>
        </w:rPr>
        <w:t>Strengthen and modernise our technology</w:t>
      </w:r>
      <w:r w:rsidR="00916D9E">
        <w:rPr>
          <w:rFonts w:ascii="Arial" w:hAnsi="Arial" w:cs="Arial"/>
          <w:sz w:val="24"/>
          <w:szCs w:val="24"/>
        </w:rPr>
        <w:t xml:space="preserve"> and infrastructure</w:t>
      </w:r>
    </w:p>
    <w:p w14:paraId="04E27A29" w14:textId="463C70E9" w:rsidR="00916D9E" w:rsidRDefault="00916D9E" w:rsidP="00F77284">
      <w:pPr>
        <w:pStyle w:val="ListParagraph"/>
        <w:numPr>
          <w:ilvl w:val="0"/>
          <w:numId w:val="2"/>
        </w:numPr>
        <w:rPr>
          <w:rFonts w:ascii="Arial" w:hAnsi="Arial" w:cs="Arial"/>
          <w:sz w:val="24"/>
          <w:szCs w:val="24"/>
        </w:rPr>
      </w:pPr>
      <w:r>
        <w:rPr>
          <w:rFonts w:ascii="Arial" w:hAnsi="Arial" w:cs="Arial"/>
          <w:sz w:val="24"/>
          <w:szCs w:val="24"/>
        </w:rPr>
        <w:t>Shape the Agency as a great place to work</w:t>
      </w:r>
    </w:p>
    <w:p w14:paraId="66201171" w14:textId="401EB670" w:rsidR="00916D9E" w:rsidRDefault="00916D9E" w:rsidP="00F77284">
      <w:pPr>
        <w:pStyle w:val="ListParagraph"/>
        <w:numPr>
          <w:ilvl w:val="0"/>
          <w:numId w:val="2"/>
        </w:numPr>
        <w:rPr>
          <w:rFonts w:ascii="Arial" w:hAnsi="Arial" w:cs="Arial"/>
          <w:sz w:val="24"/>
          <w:szCs w:val="24"/>
        </w:rPr>
      </w:pPr>
      <w:r>
        <w:rPr>
          <w:rFonts w:ascii="Arial" w:hAnsi="Arial" w:cs="Arial"/>
          <w:sz w:val="24"/>
          <w:szCs w:val="24"/>
        </w:rPr>
        <w:t>Sharpen our financial model to ensure sustainability</w:t>
      </w:r>
    </w:p>
    <w:p w14:paraId="41C49C96" w14:textId="0C63D169" w:rsidR="00E901B0" w:rsidRDefault="00E901B0" w:rsidP="00772452">
      <w:pPr>
        <w:jc w:val="center"/>
        <w:rPr>
          <w:rFonts w:ascii="Arial" w:hAnsi="Arial" w:cs="Arial"/>
          <w:b/>
          <w:bCs/>
          <w:sz w:val="24"/>
          <w:szCs w:val="24"/>
        </w:rPr>
      </w:pPr>
    </w:p>
    <w:p w14:paraId="53AEA831" w14:textId="6E77489F" w:rsidR="00071C8C" w:rsidRDefault="00071C8C">
      <w:pPr>
        <w:rPr>
          <w:rFonts w:ascii="Arial" w:hAnsi="Arial" w:cs="Arial"/>
          <w:b/>
          <w:bCs/>
          <w:sz w:val="24"/>
          <w:szCs w:val="24"/>
        </w:rPr>
      </w:pPr>
      <w:r>
        <w:rPr>
          <w:rFonts w:ascii="Arial" w:hAnsi="Arial" w:cs="Arial"/>
          <w:b/>
          <w:bCs/>
          <w:sz w:val="24"/>
          <w:szCs w:val="24"/>
        </w:rPr>
        <w:br w:type="page"/>
      </w:r>
    </w:p>
    <w:p w14:paraId="712A0062" w14:textId="37F65A52" w:rsidR="00071C8C" w:rsidRPr="0005574B" w:rsidRDefault="006E5C4F" w:rsidP="003D270B">
      <w:pPr>
        <w:pStyle w:val="Heading4"/>
        <w:rPr>
          <w:rFonts w:cs="Arial"/>
          <w:b w:val="0"/>
          <w:color w:val="4472C4" w:themeColor="accent1"/>
          <w:sz w:val="32"/>
          <w:szCs w:val="32"/>
        </w:rPr>
      </w:pPr>
      <w:r w:rsidRPr="0005574B">
        <w:rPr>
          <w:sz w:val="32"/>
          <w:szCs w:val="32"/>
        </w:rPr>
        <w:lastRenderedPageBreak/>
        <w:t>Strengthen our system regulation and improve the insolvency framework</w:t>
      </w:r>
    </w:p>
    <w:p w14:paraId="7C8A30D0" w14:textId="18A7D727" w:rsidR="00D32570" w:rsidRPr="00D94216" w:rsidRDefault="00C627C3" w:rsidP="00E901B0">
      <w:pPr>
        <w:rPr>
          <w:rFonts w:ascii="Arial" w:hAnsi="Arial" w:cs="Arial"/>
          <w:b/>
          <w:bCs/>
          <w:color w:val="4472C4" w:themeColor="accent1"/>
          <w:sz w:val="32"/>
          <w:szCs w:val="32"/>
        </w:rPr>
      </w:pPr>
      <w:r>
        <w:rPr>
          <w:rFonts w:ascii="Arial" w:hAnsi="Arial" w:cs="Arial"/>
          <w:b/>
          <w:bCs/>
          <w:noProof/>
          <w:color w:val="4472C4" w:themeColor="accent1"/>
          <w:sz w:val="32"/>
          <w:szCs w:val="32"/>
        </w:rPr>
        <w:drawing>
          <wp:inline distT="0" distB="0" distL="0" distR="0" wp14:anchorId="79F5B926" wp14:editId="47593DDE">
            <wp:extent cx="5731192" cy="3820795"/>
            <wp:effectExtent l="0" t="0" r="317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192" cy="3820795"/>
                    </a:xfrm>
                    <a:prstGeom prst="rect">
                      <a:avLst/>
                    </a:prstGeom>
                  </pic:spPr>
                </pic:pic>
              </a:graphicData>
            </a:graphic>
          </wp:inline>
        </w:drawing>
      </w:r>
    </w:p>
    <w:tbl>
      <w:tblPr>
        <w:tblStyle w:val="TableGrid"/>
        <w:tblW w:w="0" w:type="auto"/>
        <w:tblLook w:val="04A0" w:firstRow="1" w:lastRow="0" w:firstColumn="1" w:lastColumn="0" w:noHBand="0" w:noVBand="1"/>
      </w:tblPr>
      <w:tblGrid>
        <w:gridCol w:w="3256"/>
        <w:gridCol w:w="1417"/>
        <w:gridCol w:w="4343"/>
      </w:tblGrid>
      <w:tr w:rsidR="006E5C4F" w14:paraId="52CEF49A" w14:textId="77777777" w:rsidTr="00CD7B39">
        <w:tc>
          <w:tcPr>
            <w:tcW w:w="3256" w:type="dxa"/>
          </w:tcPr>
          <w:p w14:paraId="0895A408" w14:textId="667858B6" w:rsidR="006E5C4F" w:rsidRDefault="006E5C4F" w:rsidP="00E901B0">
            <w:pPr>
              <w:rPr>
                <w:rFonts w:ascii="Arial" w:hAnsi="Arial" w:cs="Arial"/>
                <w:color w:val="4472C4" w:themeColor="accent1"/>
                <w:sz w:val="24"/>
                <w:szCs w:val="24"/>
              </w:rPr>
            </w:pPr>
            <w:r>
              <w:rPr>
                <w:rFonts w:ascii="Arial" w:hAnsi="Arial" w:cs="Arial"/>
                <w:color w:val="4472C4" w:themeColor="accent1"/>
                <w:sz w:val="24"/>
                <w:szCs w:val="24"/>
              </w:rPr>
              <w:t>Objective</w:t>
            </w:r>
          </w:p>
        </w:tc>
        <w:tc>
          <w:tcPr>
            <w:tcW w:w="1417" w:type="dxa"/>
          </w:tcPr>
          <w:p w14:paraId="6FC28BC3" w14:textId="44568225" w:rsidR="006E5C4F" w:rsidRDefault="006E5C4F" w:rsidP="00E901B0">
            <w:pPr>
              <w:rPr>
                <w:rFonts w:ascii="Arial" w:hAnsi="Arial" w:cs="Arial"/>
                <w:color w:val="4472C4" w:themeColor="accent1"/>
                <w:sz w:val="24"/>
                <w:szCs w:val="24"/>
              </w:rPr>
            </w:pPr>
            <w:r>
              <w:rPr>
                <w:rFonts w:ascii="Arial" w:hAnsi="Arial" w:cs="Arial"/>
                <w:color w:val="4472C4" w:themeColor="accent1"/>
                <w:sz w:val="24"/>
                <w:szCs w:val="24"/>
              </w:rPr>
              <w:t>Status</w:t>
            </w:r>
          </w:p>
        </w:tc>
        <w:tc>
          <w:tcPr>
            <w:tcW w:w="4343" w:type="dxa"/>
          </w:tcPr>
          <w:p w14:paraId="1578B546" w14:textId="36DEF595" w:rsidR="006E5C4F" w:rsidRDefault="00DF4C83" w:rsidP="00E901B0">
            <w:pPr>
              <w:rPr>
                <w:rFonts w:ascii="Arial" w:hAnsi="Arial" w:cs="Arial"/>
                <w:color w:val="4472C4" w:themeColor="accent1"/>
                <w:sz w:val="24"/>
                <w:szCs w:val="24"/>
              </w:rPr>
            </w:pPr>
            <w:r>
              <w:rPr>
                <w:rFonts w:ascii="Arial" w:hAnsi="Arial" w:cs="Arial"/>
                <w:color w:val="4472C4" w:themeColor="accent1"/>
                <w:sz w:val="24"/>
                <w:szCs w:val="24"/>
              </w:rPr>
              <w:t>Commentary</w:t>
            </w:r>
          </w:p>
        </w:tc>
      </w:tr>
      <w:tr w:rsidR="006E5C4F" w14:paraId="5E3A6E63" w14:textId="77777777" w:rsidTr="00CD7B39">
        <w:tc>
          <w:tcPr>
            <w:tcW w:w="3256" w:type="dxa"/>
          </w:tcPr>
          <w:p w14:paraId="688A9E4C" w14:textId="503DBA8B" w:rsidR="006E5C4F" w:rsidRPr="00625870" w:rsidRDefault="00DF4C83" w:rsidP="00E901B0">
            <w:pPr>
              <w:rPr>
                <w:rFonts w:ascii="Arial" w:hAnsi="Arial" w:cs="Arial"/>
                <w:sz w:val="24"/>
                <w:szCs w:val="24"/>
              </w:rPr>
            </w:pPr>
            <w:r w:rsidRPr="00625870">
              <w:rPr>
                <w:rFonts w:ascii="Arial" w:hAnsi="Arial" w:cs="Arial"/>
                <w:sz w:val="24"/>
                <w:szCs w:val="24"/>
              </w:rPr>
              <w:t xml:space="preserve">Implement the findings of our </w:t>
            </w:r>
            <w:r w:rsidR="004B2657">
              <w:rPr>
                <w:rFonts w:ascii="Arial" w:hAnsi="Arial" w:cs="Arial"/>
                <w:sz w:val="24"/>
                <w:szCs w:val="24"/>
              </w:rPr>
              <w:t>UNCITRAL</w:t>
            </w:r>
            <w:r w:rsidR="00C76D1E">
              <w:rPr>
                <w:rStyle w:val="FootnoteReference"/>
                <w:rFonts w:ascii="Arial" w:hAnsi="Arial" w:cs="Arial"/>
                <w:sz w:val="24"/>
                <w:szCs w:val="24"/>
              </w:rPr>
              <w:footnoteReference w:id="2"/>
            </w:r>
            <w:r w:rsidR="004B2657">
              <w:rPr>
                <w:rFonts w:ascii="Arial" w:hAnsi="Arial" w:cs="Arial"/>
                <w:sz w:val="24"/>
                <w:szCs w:val="24"/>
              </w:rPr>
              <w:t xml:space="preserve"> </w:t>
            </w:r>
            <w:r w:rsidRPr="00625870">
              <w:rPr>
                <w:rFonts w:ascii="Arial" w:hAnsi="Arial" w:cs="Arial"/>
                <w:sz w:val="24"/>
                <w:szCs w:val="24"/>
              </w:rPr>
              <w:t xml:space="preserve">consultation on </w:t>
            </w:r>
            <w:r w:rsidR="00625870">
              <w:rPr>
                <w:rFonts w:ascii="Arial" w:hAnsi="Arial" w:cs="Arial"/>
                <w:sz w:val="24"/>
                <w:szCs w:val="24"/>
              </w:rPr>
              <w:t>new model laws to facilitate cross border insolvency</w:t>
            </w:r>
            <w:r w:rsidR="00733CF4">
              <w:rPr>
                <w:rFonts w:ascii="Arial" w:hAnsi="Arial" w:cs="Arial"/>
                <w:sz w:val="24"/>
                <w:szCs w:val="24"/>
              </w:rPr>
              <w:t xml:space="preserve"> subject to Ministerial agreement</w:t>
            </w:r>
            <w:r w:rsidR="00583E5A">
              <w:rPr>
                <w:rFonts w:ascii="Arial" w:hAnsi="Arial" w:cs="Arial"/>
                <w:sz w:val="24"/>
                <w:szCs w:val="24"/>
              </w:rPr>
              <w:t>.</w:t>
            </w:r>
          </w:p>
        </w:tc>
        <w:tc>
          <w:tcPr>
            <w:tcW w:w="1417" w:type="dxa"/>
          </w:tcPr>
          <w:p w14:paraId="28E7A818" w14:textId="3B3AAD45" w:rsidR="006E5C4F" w:rsidRPr="00625870" w:rsidRDefault="00DC405B" w:rsidP="00E901B0">
            <w:pPr>
              <w:rPr>
                <w:rFonts w:ascii="Arial" w:hAnsi="Arial" w:cs="Arial"/>
                <w:sz w:val="24"/>
                <w:szCs w:val="24"/>
              </w:rPr>
            </w:pPr>
            <w:r>
              <w:rPr>
                <w:rFonts w:ascii="Arial" w:hAnsi="Arial" w:cs="Arial"/>
                <w:sz w:val="24"/>
                <w:szCs w:val="24"/>
              </w:rPr>
              <w:t>In progress</w:t>
            </w:r>
          </w:p>
        </w:tc>
        <w:tc>
          <w:tcPr>
            <w:tcW w:w="4343" w:type="dxa"/>
          </w:tcPr>
          <w:p w14:paraId="30EC9ECE" w14:textId="77777777" w:rsidR="006E5C4F" w:rsidRDefault="00733CF4" w:rsidP="00E901B0">
            <w:pPr>
              <w:rPr>
                <w:rFonts w:ascii="Arial" w:hAnsi="Arial" w:cs="Arial"/>
                <w:sz w:val="24"/>
                <w:szCs w:val="24"/>
              </w:rPr>
            </w:pPr>
            <w:r>
              <w:rPr>
                <w:rFonts w:ascii="Arial" w:hAnsi="Arial" w:cs="Arial"/>
                <w:sz w:val="24"/>
                <w:szCs w:val="24"/>
              </w:rPr>
              <w:t xml:space="preserve">The Government has </w:t>
            </w:r>
            <w:r w:rsidR="00956684">
              <w:rPr>
                <w:rFonts w:ascii="Arial" w:hAnsi="Arial" w:cs="Arial"/>
                <w:sz w:val="24"/>
                <w:szCs w:val="24"/>
              </w:rPr>
              <w:t>committed to introduce the UNCITRAL model law on Enterprise Group insolvency as soon as possible</w:t>
            </w:r>
            <w:r w:rsidR="00E31D39">
              <w:rPr>
                <w:rFonts w:ascii="Arial" w:hAnsi="Arial" w:cs="Arial"/>
                <w:sz w:val="24"/>
                <w:szCs w:val="24"/>
              </w:rPr>
              <w:t xml:space="preserve">, and to give further thought to some of the more technical areas surrounding the </w:t>
            </w:r>
            <w:r w:rsidR="00C76D1E">
              <w:rPr>
                <w:rFonts w:ascii="Arial" w:hAnsi="Arial" w:cs="Arial"/>
                <w:sz w:val="24"/>
                <w:szCs w:val="24"/>
              </w:rPr>
              <w:t>law concerning insolvency related judgements.</w:t>
            </w:r>
          </w:p>
          <w:p w14:paraId="5A287C6E" w14:textId="7D060CF3" w:rsidR="00861804" w:rsidRPr="00625870" w:rsidRDefault="00861804" w:rsidP="00E901B0">
            <w:pPr>
              <w:rPr>
                <w:rFonts w:ascii="Arial" w:hAnsi="Arial" w:cs="Arial"/>
                <w:sz w:val="24"/>
                <w:szCs w:val="24"/>
              </w:rPr>
            </w:pPr>
          </w:p>
        </w:tc>
      </w:tr>
      <w:tr w:rsidR="006E5C4F" w14:paraId="3D050F0E" w14:textId="77777777" w:rsidTr="00CD7B39">
        <w:tc>
          <w:tcPr>
            <w:tcW w:w="3256" w:type="dxa"/>
          </w:tcPr>
          <w:p w14:paraId="02A9B16C" w14:textId="4598501C" w:rsidR="006E5C4F" w:rsidRPr="00625870" w:rsidRDefault="00C612EE" w:rsidP="00E901B0">
            <w:pPr>
              <w:rPr>
                <w:rFonts w:ascii="Arial" w:hAnsi="Arial" w:cs="Arial"/>
                <w:sz w:val="24"/>
                <w:szCs w:val="24"/>
              </w:rPr>
            </w:pPr>
            <w:r>
              <w:rPr>
                <w:rFonts w:ascii="Arial" w:hAnsi="Arial" w:cs="Arial"/>
                <w:sz w:val="24"/>
                <w:szCs w:val="24"/>
              </w:rPr>
              <w:t xml:space="preserve">Implement the Government’s response to its consultation on reforming </w:t>
            </w:r>
            <w:r w:rsidR="00861804">
              <w:rPr>
                <w:rFonts w:ascii="Arial" w:hAnsi="Arial" w:cs="Arial"/>
                <w:sz w:val="24"/>
                <w:szCs w:val="24"/>
              </w:rPr>
              <w:t>the way insolvency practitioners are regulated.</w:t>
            </w:r>
          </w:p>
        </w:tc>
        <w:tc>
          <w:tcPr>
            <w:tcW w:w="1417" w:type="dxa"/>
          </w:tcPr>
          <w:p w14:paraId="43082D76" w14:textId="24942CC5" w:rsidR="006E5C4F" w:rsidRPr="00625870" w:rsidRDefault="00861804" w:rsidP="00E901B0">
            <w:pPr>
              <w:rPr>
                <w:rFonts w:ascii="Arial" w:hAnsi="Arial" w:cs="Arial"/>
                <w:sz w:val="24"/>
                <w:szCs w:val="24"/>
              </w:rPr>
            </w:pPr>
            <w:r>
              <w:rPr>
                <w:rFonts w:ascii="Arial" w:hAnsi="Arial" w:cs="Arial"/>
                <w:sz w:val="24"/>
                <w:szCs w:val="24"/>
              </w:rPr>
              <w:t>In progress</w:t>
            </w:r>
          </w:p>
        </w:tc>
        <w:tc>
          <w:tcPr>
            <w:tcW w:w="4343" w:type="dxa"/>
          </w:tcPr>
          <w:p w14:paraId="2BC4EEAC" w14:textId="758ACA1F" w:rsidR="00505E9F" w:rsidRPr="00625870" w:rsidRDefault="000225B4" w:rsidP="00E901B0">
            <w:pPr>
              <w:rPr>
                <w:rFonts w:ascii="Arial" w:hAnsi="Arial" w:cs="Arial"/>
                <w:sz w:val="24"/>
                <w:szCs w:val="24"/>
              </w:rPr>
            </w:pPr>
            <w:r>
              <w:rPr>
                <w:rFonts w:ascii="Arial" w:hAnsi="Arial" w:cs="Arial"/>
                <w:sz w:val="24"/>
                <w:szCs w:val="24"/>
              </w:rPr>
              <w:t>Since issuing the Government’s response to its consultation</w:t>
            </w:r>
            <w:r w:rsidR="00AD14A1">
              <w:rPr>
                <w:rFonts w:ascii="Arial" w:hAnsi="Arial" w:cs="Arial"/>
                <w:sz w:val="24"/>
                <w:szCs w:val="24"/>
              </w:rPr>
              <w:t xml:space="preserve"> in September, we have been working constructively with the Recognised Pr</w:t>
            </w:r>
            <w:r w:rsidR="00B86939">
              <w:rPr>
                <w:rFonts w:ascii="Arial" w:hAnsi="Arial" w:cs="Arial"/>
                <w:sz w:val="24"/>
                <w:szCs w:val="24"/>
              </w:rPr>
              <w:t>o</w:t>
            </w:r>
            <w:r w:rsidR="00AD14A1">
              <w:rPr>
                <w:rFonts w:ascii="Arial" w:hAnsi="Arial" w:cs="Arial"/>
                <w:sz w:val="24"/>
                <w:szCs w:val="24"/>
              </w:rPr>
              <w:t>fessional</w:t>
            </w:r>
            <w:r w:rsidR="00B86939">
              <w:rPr>
                <w:rFonts w:ascii="Arial" w:hAnsi="Arial" w:cs="Arial"/>
                <w:sz w:val="24"/>
                <w:szCs w:val="24"/>
              </w:rPr>
              <w:t xml:space="preserve"> </w:t>
            </w:r>
            <w:r w:rsidR="000E5E65">
              <w:rPr>
                <w:rFonts w:ascii="Arial" w:hAnsi="Arial" w:cs="Arial"/>
                <w:sz w:val="24"/>
                <w:szCs w:val="24"/>
              </w:rPr>
              <w:t>Bodies exploring ways to harmonise regulatory processes and shape future legislation</w:t>
            </w:r>
            <w:r w:rsidR="00F9377D">
              <w:rPr>
                <w:rFonts w:ascii="Arial" w:hAnsi="Arial" w:cs="Arial"/>
                <w:sz w:val="24"/>
                <w:szCs w:val="24"/>
              </w:rPr>
              <w:t xml:space="preserve"> to deliver consistent, high quality regulatory outcomes.</w:t>
            </w:r>
            <w:r w:rsidR="00F20C6C">
              <w:rPr>
                <w:rFonts w:ascii="Arial" w:hAnsi="Arial" w:cs="Arial"/>
                <w:sz w:val="24"/>
                <w:szCs w:val="24"/>
              </w:rPr>
              <w:t xml:space="preserve"> </w:t>
            </w:r>
          </w:p>
        </w:tc>
      </w:tr>
    </w:tbl>
    <w:p w14:paraId="05AA7C3B" w14:textId="77777777" w:rsidR="00B468F6" w:rsidRDefault="00B468F6">
      <w:r>
        <w:br w:type="page"/>
      </w:r>
    </w:p>
    <w:tbl>
      <w:tblPr>
        <w:tblStyle w:val="TableGrid"/>
        <w:tblW w:w="0" w:type="auto"/>
        <w:tblLook w:val="04A0" w:firstRow="1" w:lastRow="0" w:firstColumn="1" w:lastColumn="0" w:noHBand="0" w:noVBand="1"/>
      </w:tblPr>
      <w:tblGrid>
        <w:gridCol w:w="3256"/>
        <w:gridCol w:w="1417"/>
        <w:gridCol w:w="4343"/>
      </w:tblGrid>
      <w:tr w:rsidR="00B468F6" w14:paraId="2E61F8C2" w14:textId="77777777" w:rsidTr="00CD7B39">
        <w:tc>
          <w:tcPr>
            <w:tcW w:w="3256" w:type="dxa"/>
          </w:tcPr>
          <w:p w14:paraId="0FCBD249" w14:textId="5B816D05" w:rsidR="00B468F6" w:rsidRDefault="00B468F6" w:rsidP="00B468F6">
            <w:pPr>
              <w:rPr>
                <w:rFonts w:ascii="Arial" w:hAnsi="Arial" w:cs="Arial"/>
                <w:sz w:val="24"/>
                <w:szCs w:val="24"/>
              </w:rPr>
            </w:pPr>
            <w:r>
              <w:rPr>
                <w:rFonts w:ascii="Arial" w:hAnsi="Arial" w:cs="Arial"/>
                <w:color w:val="4472C4" w:themeColor="accent1"/>
                <w:sz w:val="24"/>
                <w:szCs w:val="24"/>
              </w:rPr>
              <w:lastRenderedPageBreak/>
              <w:t>Objective</w:t>
            </w:r>
          </w:p>
        </w:tc>
        <w:tc>
          <w:tcPr>
            <w:tcW w:w="1417" w:type="dxa"/>
          </w:tcPr>
          <w:p w14:paraId="194EE4A2" w14:textId="0F404551" w:rsidR="00B468F6" w:rsidRDefault="00B468F6" w:rsidP="00B468F6">
            <w:pPr>
              <w:rPr>
                <w:rFonts w:ascii="Arial" w:hAnsi="Arial" w:cs="Arial"/>
                <w:sz w:val="24"/>
                <w:szCs w:val="24"/>
              </w:rPr>
            </w:pPr>
            <w:r>
              <w:rPr>
                <w:rFonts w:ascii="Arial" w:hAnsi="Arial" w:cs="Arial"/>
                <w:color w:val="4472C4" w:themeColor="accent1"/>
                <w:sz w:val="24"/>
                <w:szCs w:val="24"/>
              </w:rPr>
              <w:t>Status</w:t>
            </w:r>
          </w:p>
        </w:tc>
        <w:tc>
          <w:tcPr>
            <w:tcW w:w="4343" w:type="dxa"/>
          </w:tcPr>
          <w:p w14:paraId="02A5D17A" w14:textId="2FAFE881" w:rsidR="00B468F6" w:rsidRDefault="00B468F6" w:rsidP="00B468F6">
            <w:pPr>
              <w:rPr>
                <w:rFonts w:ascii="Arial" w:hAnsi="Arial" w:cs="Arial"/>
                <w:sz w:val="24"/>
                <w:szCs w:val="24"/>
              </w:rPr>
            </w:pPr>
            <w:r>
              <w:rPr>
                <w:rFonts w:ascii="Arial" w:hAnsi="Arial" w:cs="Arial"/>
                <w:color w:val="4472C4" w:themeColor="accent1"/>
                <w:sz w:val="24"/>
                <w:szCs w:val="24"/>
              </w:rPr>
              <w:t>Commentary</w:t>
            </w:r>
          </w:p>
        </w:tc>
      </w:tr>
      <w:tr w:rsidR="006E5C4F" w14:paraId="366552BE" w14:textId="77777777" w:rsidTr="00CD7B39">
        <w:tc>
          <w:tcPr>
            <w:tcW w:w="3256" w:type="dxa"/>
          </w:tcPr>
          <w:p w14:paraId="7B31EB38" w14:textId="75C0EF55" w:rsidR="006E5C4F" w:rsidRDefault="007B1091" w:rsidP="00E901B0">
            <w:pPr>
              <w:rPr>
                <w:rFonts w:ascii="Arial" w:hAnsi="Arial" w:cs="Arial"/>
                <w:sz w:val="24"/>
                <w:szCs w:val="24"/>
              </w:rPr>
            </w:pPr>
            <w:r>
              <w:rPr>
                <w:rFonts w:ascii="Arial" w:hAnsi="Arial" w:cs="Arial"/>
                <w:sz w:val="24"/>
                <w:szCs w:val="24"/>
              </w:rPr>
              <w:t>Publish the findings of the Government’s review of personal insolvency</w:t>
            </w:r>
            <w:r w:rsidR="00591E2D">
              <w:rPr>
                <w:rFonts w:ascii="Arial" w:hAnsi="Arial" w:cs="Arial"/>
                <w:sz w:val="24"/>
                <w:szCs w:val="24"/>
              </w:rPr>
              <w:t xml:space="preserve"> and develop proposals to improve the regime for people in financial distress.</w:t>
            </w:r>
          </w:p>
          <w:p w14:paraId="061F6C5F" w14:textId="383FE9A9" w:rsidR="00FE4E55" w:rsidRPr="00625870" w:rsidRDefault="00FE4E55" w:rsidP="00E901B0">
            <w:pPr>
              <w:rPr>
                <w:rFonts w:ascii="Arial" w:hAnsi="Arial" w:cs="Arial"/>
                <w:sz w:val="24"/>
                <w:szCs w:val="24"/>
              </w:rPr>
            </w:pPr>
          </w:p>
        </w:tc>
        <w:tc>
          <w:tcPr>
            <w:tcW w:w="1417" w:type="dxa"/>
          </w:tcPr>
          <w:p w14:paraId="7E8D3BA5" w14:textId="1F1F1E7B" w:rsidR="006E5C4F" w:rsidRPr="00625870" w:rsidRDefault="00591E2D" w:rsidP="00E901B0">
            <w:pPr>
              <w:rPr>
                <w:rFonts w:ascii="Arial" w:hAnsi="Arial" w:cs="Arial"/>
                <w:sz w:val="24"/>
                <w:szCs w:val="24"/>
              </w:rPr>
            </w:pPr>
            <w:r>
              <w:rPr>
                <w:rFonts w:ascii="Arial" w:hAnsi="Arial" w:cs="Arial"/>
                <w:sz w:val="24"/>
                <w:szCs w:val="24"/>
              </w:rPr>
              <w:t>Achieved</w:t>
            </w:r>
          </w:p>
        </w:tc>
        <w:tc>
          <w:tcPr>
            <w:tcW w:w="4343" w:type="dxa"/>
          </w:tcPr>
          <w:p w14:paraId="0B361F8E" w14:textId="01742E4A" w:rsidR="006E5C4F" w:rsidRPr="00625870" w:rsidRDefault="00356D8A" w:rsidP="00E901B0">
            <w:pPr>
              <w:rPr>
                <w:rFonts w:ascii="Arial" w:hAnsi="Arial" w:cs="Arial"/>
                <w:sz w:val="24"/>
                <w:szCs w:val="24"/>
              </w:rPr>
            </w:pPr>
            <w:r>
              <w:rPr>
                <w:rFonts w:ascii="Arial" w:hAnsi="Arial" w:cs="Arial"/>
                <w:sz w:val="24"/>
                <w:szCs w:val="24"/>
              </w:rPr>
              <w:t>New measures have been developed to make it easier to obtain a Debt Relief Order</w:t>
            </w:r>
            <w:r w:rsidR="00D13C79">
              <w:rPr>
                <w:rFonts w:ascii="Arial" w:hAnsi="Arial" w:cs="Arial"/>
                <w:sz w:val="24"/>
                <w:szCs w:val="24"/>
              </w:rPr>
              <w:t xml:space="preserve"> and work is ongoing on further long-term measures.</w:t>
            </w:r>
          </w:p>
        </w:tc>
      </w:tr>
      <w:tr w:rsidR="006E5C4F" w14:paraId="345C9B9B" w14:textId="77777777" w:rsidTr="00CD7B39">
        <w:tc>
          <w:tcPr>
            <w:tcW w:w="3256" w:type="dxa"/>
          </w:tcPr>
          <w:p w14:paraId="682419CA" w14:textId="075E1BA7" w:rsidR="006E5C4F" w:rsidRPr="00625870" w:rsidRDefault="000C7C36" w:rsidP="00E901B0">
            <w:pPr>
              <w:rPr>
                <w:rFonts w:ascii="Arial" w:hAnsi="Arial" w:cs="Arial"/>
                <w:sz w:val="24"/>
                <w:szCs w:val="24"/>
              </w:rPr>
            </w:pPr>
            <w:r>
              <w:rPr>
                <w:rFonts w:ascii="Arial" w:hAnsi="Arial" w:cs="Arial"/>
                <w:sz w:val="24"/>
                <w:szCs w:val="24"/>
              </w:rPr>
              <w:t xml:space="preserve">Implement a refreshed stakeholder engagement programme </w:t>
            </w:r>
            <w:r w:rsidR="00FE4E55">
              <w:rPr>
                <w:rFonts w:ascii="Arial" w:hAnsi="Arial" w:cs="Arial"/>
                <w:sz w:val="24"/>
                <w:szCs w:val="24"/>
              </w:rPr>
              <w:t>to enhance transparency and trust in relation to what we do.</w:t>
            </w:r>
          </w:p>
        </w:tc>
        <w:tc>
          <w:tcPr>
            <w:tcW w:w="1417" w:type="dxa"/>
          </w:tcPr>
          <w:p w14:paraId="4BFE4142" w14:textId="50C60412" w:rsidR="006E5C4F" w:rsidRPr="00625870" w:rsidRDefault="00FE4E55" w:rsidP="00E901B0">
            <w:pPr>
              <w:rPr>
                <w:rFonts w:ascii="Arial" w:hAnsi="Arial" w:cs="Arial"/>
                <w:sz w:val="24"/>
                <w:szCs w:val="24"/>
              </w:rPr>
            </w:pPr>
            <w:r>
              <w:rPr>
                <w:rFonts w:ascii="Arial" w:hAnsi="Arial" w:cs="Arial"/>
                <w:sz w:val="24"/>
                <w:szCs w:val="24"/>
              </w:rPr>
              <w:t>Achieved</w:t>
            </w:r>
          </w:p>
        </w:tc>
        <w:tc>
          <w:tcPr>
            <w:tcW w:w="4343" w:type="dxa"/>
          </w:tcPr>
          <w:p w14:paraId="1317C6DA" w14:textId="76EDAD0B" w:rsidR="006E5C4F" w:rsidRDefault="005D271F" w:rsidP="00E901B0">
            <w:pPr>
              <w:rPr>
                <w:rFonts w:ascii="Arial" w:hAnsi="Arial" w:cs="Arial"/>
                <w:sz w:val="24"/>
                <w:szCs w:val="24"/>
              </w:rPr>
            </w:pPr>
            <w:r>
              <w:rPr>
                <w:rFonts w:ascii="Arial" w:hAnsi="Arial" w:cs="Arial"/>
                <w:sz w:val="24"/>
                <w:szCs w:val="24"/>
              </w:rPr>
              <w:t xml:space="preserve">During the year we launched a new “Critical Friends Panel” </w:t>
            </w:r>
            <w:r w:rsidR="004D732C">
              <w:rPr>
                <w:rFonts w:ascii="Arial" w:hAnsi="Arial" w:cs="Arial"/>
                <w:sz w:val="24"/>
                <w:szCs w:val="24"/>
              </w:rPr>
              <w:t xml:space="preserve">to provide a forum </w:t>
            </w:r>
            <w:r w:rsidR="00196E92">
              <w:rPr>
                <w:rFonts w:ascii="Arial" w:hAnsi="Arial" w:cs="Arial"/>
                <w:sz w:val="24"/>
                <w:szCs w:val="24"/>
              </w:rPr>
              <w:t>to discuss key issues between ourselves and industry stakeholders.</w:t>
            </w:r>
          </w:p>
          <w:p w14:paraId="741A69E0" w14:textId="44649E53" w:rsidR="00196E92" w:rsidRPr="00625870" w:rsidRDefault="00196E92" w:rsidP="00E901B0">
            <w:pPr>
              <w:rPr>
                <w:rFonts w:ascii="Arial" w:hAnsi="Arial" w:cs="Arial"/>
                <w:sz w:val="24"/>
                <w:szCs w:val="24"/>
              </w:rPr>
            </w:pPr>
          </w:p>
        </w:tc>
      </w:tr>
      <w:tr w:rsidR="006E5C4F" w14:paraId="5B185CF7" w14:textId="77777777" w:rsidTr="00CD7B39">
        <w:tc>
          <w:tcPr>
            <w:tcW w:w="3256" w:type="dxa"/>
          </w:tcPr>
          <w:p w14:paraId="5FCA4C11" w14:textId="785BC756" w:rsidR="006E5C4F" w:rsidRPr="00625870" w:rsidRDefault="00644FF4" w:rsidP="00E901B0">
            <w:pPr>
              <w:rPr>
                <w:rFonts w:ascii="Arial" w:hAnsi="Arial" w:cs="Arial"/>
                <w:sz w:val="24"/>
                <w:szCs w:val="24"/>
              </w:rPr>
            </w:pPr>
            <w:r>
              <w:rPr>
                <w:rFonts w:ascii="Arial" w:hAnsi="Arial" w:cs="Arial"/>
                <w:sz w:val="24"/>
                <w:szCs w:val="24"/>
              </w:rPr>
              <w:t xml:space="preserve">Consult on changes to our official statistics publications to improve </w:t>
            </w:r>
            <w:r w:rsidR="00C81DFA">
              <w:rPr>
                <w:rFonts w:ascii="Arial" w:hAnsi="Arial" w:cs="Arial"/>
                <w:sz w:val="24"/>
                <w:szCs w:val="24"/>
              </w:rPr>
              <w:t>trustworthiness, quality and value to users.</w:t>
            </w:r>
          </w:p>
        </w:tc>
        <w:tc>
          <w:tcPr>
            <w:tcW w:w="1417" w:type="dxa"/>
          </w:tcPr>
          <w:p w14:paraId="6ED5224E" w14:textId="3213E265" w:rsidR="006E5C4F" w:rsidRPr="00625870" w:rsidRDefault="00C81DFA" w:rsidP="00E901B0">
            <w:pPr>
              <w:rPr>
                <w:rFonts w:ascii="Arial" w:hAnsi="Arial" w:cs="Arial"/>
                <w:sz w:val="24"/>
                <w:szCs w:val="24"/>
              </w:rPr>
            </w:pPr>
            <w:r>
              <w:rPr>
                <w:rFonts w:ascii="Arial" w:hAnsi="Arial" w:cs="Arial"/>
                <w:sz w:val="24"/>
                <w:szCs w:val="24"/>
              </w:rPr>
              <w:t>Achieved</w:t>
            </w:r>
          </w:p>
        </w:tc>
        <w:tc>
          <w:tcPr>
            <w:tcW w:w="4343" w:type="dxa"/>
          </w:tcPr>
          <w:p w14:paraId="4C971E49" w14:textId="7536334C" w:rsidR="006E5C4F" w:rsidRDefault="00E971DE" w:rsidP="00E901B0">
            <w:pPr>
              <w:rPr>
                <w:rFonts w:ascii="Arial" w:hAnsi="Arial" w:cs="Arial"/>
                <w:sz w:val="24"/>
                <w:szCs w:val="24"/>
              </w:rPr>
            </w:pPr>
            <w:r>
              <w:rPr>
                <w:rFonts w:ascii="Arial" w:hAnsi="Arial" w:cs="Arial"/>
                <w:sz w:val="24"/>
                <w:szCs w:val="24"/>
              </w:rPr>
              <w:t xml:space="preserve">Following </w:t>
            </w:r>
            <w:r w:rsidR="008744B1">
              <w:rPr>
                <w:rFonts w:ascii="Arial" w:hAnsi="Arial" w:cs="Arial"/>
                <w:sz w:val="24"/>
                <w:szCs w:val="24"/>
              </w:rPr>
              <w:t>consultation,</w:t>
            </w:r>
            <w:r w:rsidR="002E07EC">
              <w:rPr>
                <w:rFonts w:ascii="Arial" w:hAnsi="Arial" w:cs="Arial"/>
                <w:sz w:val="24"/>
                <w:szCs w:val="24"/>
              </w:rPr>
              <w:t xml:space="preserve"> we </w:t>
            </w:r>
            <w:r w:rsidR="00121FAA">
              <w:rPr>
                <w:rFonts w:ascii="Arial" w:hAnsi="Arial" w:cs="Arial"/>
                <w:sz w:val="24"/>
                <w:szCs w:val="24"/>
              </w:rPr>
              <w:t>have merged our monthly and quarterly statistic</w:t>
            </w:r>
            <w:r w:rsidR="00FA4E5F">
              <w:rPr>
                <w:rFonts w:ascii="Arial" w:hAnsi="Arial" w:cs="Arial"/>
                <w:sz w:val="24"/>
                <w:szCs w:val="24"/>
              </w:rPr>
              <w:t xml:space="preserve">s and now publish a seasonally adjusted set of monthly </w:t>
            </w:r>
            <w:r w:rsidR="00FE3F65">
              <w:rPr>
                <w:rFonts w:ascii="Arial" w:hAnsi="Arial" w:cs="Arial"/>
                <w:sz w:val="24"/>
                <w:szCs w:val="24"/>
              </w:rPr>
              <w:t>statistics</w:t>
            </w:r>
            <w:r w:rsidR="00E10428">
              <w:rPr>
                <w:rFonts w:ascii="Arial" w:hAnsi="Arial" w:cs="Arial"/>
                <w:sz w:val="24"/>
                <w:szCs w:val="24"/>
              </w:rPr>
              <w:t xml:space="preserve">. </w:t>
            </w:r>
            <w:r w:rsidR="00100D15">
              <w:rPr>
                <w:rFonts w:ascii="Arial" w:hAnsi="Arial" w:cs="Arial"/>
                <w:sz w:val="24"/>
                <w:szCs w:val="24"/>
              </w:rPr>
              <w:t xml:space="preserve">The provision </w:t>
            </w:r>
            <w:r w:rsidR="007216B3">
              <w:rPr>
                <w:rFonts w:ascii="Arial" w:hAnsi="Arial" w:cs="Arial"/>
                <w:sz w:val="24"/>
                <w:szCs w:val="24"/>
              </w:rPr>
              <w:t xml:space="preserve">of these </w:t>
            </w:r>
            <w:r w:rsidR="006851C2">
              <w:rPr>
                <w:rFonts w:ascii="Arial" w:hAnsi="Arial" w:cs="Arial"/>
                <w:sz w:val="24"/>
                <w:szCs w:val="24"/>
              </w:rPr>
              <w:t>new, more frequent statistics will aid debate and decision-making</w:t>
            </w:r>
            <w:r w:rsidR="00564C80">
              <w:rPr>
                <w:rFonts w:ascii="Arial" w:hAnsi="Arial" w:cs="Arial"/>
                <w:sz w:val="24"/>
                <w:szCs w:val="24"/>
              </w:rPr>
              <w:t>, improve trustworthiness, quality</w:t>
            </w:r>
            <w:r w:rsidR="00CD7B39">
              <w:rPr>
                <w:rFonts w:ascii="Arial" w:hAnsi="Arial" w:cs="Arial"/>
                <w:sz w:val="24"/>
                <w:szCs w:val="24"/>
              </w:rPr>
              <w:t xml:space="preserve"> and value to users and are compliant with the Code of Practice for Statistics.</w:t>
            </w:r>
          </w:p>
          <w:p w14:paraId="01920D64" w14:textId="6E3B1AD4" w:rsidR="00CD7B39" w:rsidRPr="00625870" w:rsidRDefault="00CD7B39" w:rsidP="00E901B0">
            <w:pPr>
              <w:rPr>
                <w:rFonts w:ascii="Arial" w:hAnsi="Arial" w:cs="Arial"/>
                <w:sz w:val="24"/>
                <w:szCs w:val="24"/>
              </w:rPr>
            </w:pPr>
          </w:p>
        </w:tc>
      </w:tr>
    </w:tbl>
    <w:p w14:paraId="22749466" w14:textId="77777777" w:rsidR="006E5C4F" w:rsidRDefault="006E5C4F" w:rsidP="00E901B0">
      <w:pPr>
        <w:rPr>
          <w:rFonts w:ascii="Arial" w:hAnsi="Arial" w:cs="Arial"/>
          <w:color w:val="4472C4" w:themeColor="accent1"/>
          <w:sz w:val="24"/>
          <w:szCs w:val="24"/>
        </w:rPr>
      </w:pPr>
    </w:p>
    <w:p w14:paraId="2E1F9462" w14:textId="31026A4A" w:rsidR="00CD7B39" w:rsidRDefault="003A5A1F" w:rsidP="00CF5792">
      <w:pPr>
        <w:pStyle w:val="Heading4"/>
        <w:rPr>
          <w:rFonts w:cs="Arial"/>
          <w:color w:val="4472C4" w:themeColor="accent1"/>
          <w:sz w:val="24"/>
          <w:szCs w:val="24"/>
        </w:rPr>
      </w:pPr>
      <w:r>
        <w:t>Performance analysis</w:t>
      </w:r>
    </w:p>
    <w:p w14:paraId="5FDFCBC8" w14:textId="77777777" w:rsidR="001F7396" w:rsidRDefault="003A5A1F" w:rsidP="00E901B0">
      <w:pPr>
        <w:rPr>
          <w:rFonts w:ascii="Arial" w:hAnsi="Arial" w:cs="Arial"/>
          <w:sz w:val="24"/>
          <w:szCs w:val="24"/>
        </w:rPr>
      </w:pPr>
      <w:r>
        <w:rPr>
          <w:rFonts w:ascii="Arial" w:hAnsi="Arial" w:cs="Arial"/>
          <w:sz w:val="24"/>
          <w:szCs w:val="24"/>
        </w:rPr>
        <w:t xml:space="preserve">Our insolvency framework </w:t>
      </w:r>
      <w:r w:rsidR="004443DC">
        <w:rPr>
          <w:rFonts w:ascii="Arial" w:hAnsi="Arial" w:cs="Arial"/>
          <w:sz w:val="24"/>
          <w:szCs w:val="24"/>
        </w:rPr>
        <w:t xml:space="preserve">is rightly regarded as one of the best in the world: delivering economic confidence by supporting those </w:t>
      </w:r>
      <w:r w:rsidR="00AC63EA">
        <w:rPr>
          <w:rFonts w:ascii="Arial" w:hAnsi="Arial" w:cs="Arial"/>
          <w:sz w:val="24"/>
          <w:szCs w:val="24"/>
        </w:rPr>
        <w:t>in financial distress, tackling financial wrongdoing and maximising returns to creditors.</w:t>
      </w:r>
    </w:p>
    <w:p w14:paraId="182A52B2" w14:textId="4147BE54" w:rsidR="003A5A1F" w:rsidRDefault="001F7396" w:rsidP="00E901B0">
      <w:pPr>
        <w:rPr>
          <w:rFonts w:ascii="Arial" w:hAnsi="Arial" w:cs="Arial"/>
          <w:sz w:val="24"/>
          <w:szCs w:val="24"/>
        </w:rPr>
      </w:pPr>
      <w:r>
        <w:rPr>
          <w:rFonts w:ascii="Arial" w:hAnsi="Arial" w:cs="Arial"/>
          <w:sz w:val="24"/>
          <w:szCs w:val="24"/>
        </w:rPr>
        <w:t>The insolvenc</w:t>
      </w:r>
      <w:r w:rsidR="00A656BC">
        <w:rPr>
          <w:rFonts w:ascii="Arial" w:hAnsi="Arial" w:cs="Arial"/>
          <w:sz w:val="24"/>
          <w:szCs w:val="24"/>
        </w:rPr>
        <w:t>y</w:t>
      </w:r>
      <w:r>
        <w:rPr>
          <w:rFonts w:ascii="Arial" w:hAnsi="Arial" w:cs="Arial"/>
          <w:sz w:val="24"/>
          <w:szCs w:val="24"/>
        </w:rPr>
        <w:t xml:space="preserve"> profession, which is key to delivering the UK’s insolvency framework</w:t>
      </w:r>
      <w:r w:rsidR="00A656BC">
        <w:rPr>
          <w:rFonts w:ascii="Arial" w:hAnsi="Arial" w:cs="Arial"/>
          <w:sz w:val="24"/>
          <w:szCs w:val="24"/>
        </w:rPr>
        <w:t>, plays a pivotal role in maintaining our reputation</w:t>
      </w:r>
      <w:r w:rsidR="00CE07F1">
        <w:rPr>
          <w:rFonts w:ascii="Arial" w:hAnsi="Arial" w:cs="Arial"/>
          <w:sz w:val="24"/>
          <w:szCs w:val="24"/>
        </w:rPr>
        <w:t xml:space="preserve"> as a world-leading jurisdiction, helping to create the level playing field and economic environment</w:t>
      </w:r>
      <w:r w:rsidR="00ED20C6">
        <w:rPr>
          <w:rFonts w:ascii="Arial" w:hAnsi="Arial" w:cs="Arial"/>
          <w:sz w:val="24"/>
          <w:szCs w:val="24"/>
        </w:rPr>
        <w:t xml:space="preserve"> that encourages investment and economic growth.</w:t>
      </w:r>
    </w:p>
    <w:p w14:paraId="32E051B9" w14:textId="4467CFC1" w:rsidR="00ED20C6" w:rsidRDefault="00ED20C6" w:rsidP="00E901B0">
      <w:pPr>
        <w:rPr>
          <w:rFonts w:ascii="Arial" w:hAnsi="Arial" w:cs="Arial"/>
          <w:sz w:val="24"/>
          <w:szCs w:val="24"/>
        </w:rPr>
      </w:pPr>
      <w:r>
        <w:rPr>
          <w:rFonts w:ascii="Arial" w:hAnsi="Arial" w:cs="Arial"/>
          <w:sz w:val="24"/>
          <w:szCs w:val="24"/>
        </w:rPr>
        <w:t xml:space="preserve">This year we have made significant progress towards modernising </w:t>
      </w:r>
      <w:r w:rsidR="00DC5590">
        <w:rPr>
          <w:rFonts w:ascii="Arial" w:hAnsi="Arial" w:cs="Arial"/>
          <w:sz w:val="24"/>
          <w:szCs w:val="24"/>
        </w:rPr>
        <w:t>and reforming our insolvency regime.</w:t>
      </w:r>
    </w:p>
    <w:p w14:paraId="7840CB2E" w14:textId="558BCFB5" w:rsidR="00DC5590" w:rsidRDefault="0033365A" w:rsidP="00CF5792">
      <w:pPr>
        <w:pStyle w:val="Heading4"/>
        <w:rPr>
          <w:rFonts w:cs="Arial"/>
          <w:b w:val="0"/>
          <w:sz w:val="24"/>
          <w:szCs w:val="24"/>
        </w:rPr>
      </w:pPr>
      <w:r>
        <w:t>International insolvency</w:t>
      </w:r>
    </w:p>
    <w:p w14:paraId="5339D02D" w14:textId="64E55EA5" w:rsidR="00120202" w:rsidRDefault="009F447B" w:rsidP="00E901B0">
      <w:pPr>
        <w:rPr>
          <w:rFonts w:ascii="Arial" w:hAnsi="Arial" w:cs="Arial"/>
          <w:sz w:val="24"/>
          <w:szCs w:val="24"/>
        </w:rPr>
      </w:pPr>
      <w:r>
        <w:rPr>
          <w:rFonts w:ascii="Arial" w:hAnsi="Arial" w:cs="Arial"/>
          <w:sz w:val="24"/>
          <w:szCs w:val="24"/>
        </w:rPr>
        <w:t xml:space="preserve">In July, we published the Government’s </w:t>
      </w:r>
      <w:hyperlink r:id="rId22" w:history="1">
        <w:r w:rsidRPr="00386DB0">
          <w:rPr>
            <w:rStyle w:val="Hyperlink"/>
            <w:rFonts w:ascii="Arial" w:hAnsi="Arial" w:cs="Arial"/>
            <w:sz w:val="24"/>
            <w:szCs w:val="24"/>
          </w:rPr>
          <w:t>response</w:t>
        </w:r>
      </w:hyperlink>
      <w:r>
        <w:rPr>
          <w:rFonts w:ascii="Arial" w:hAnsi="Arial" w:cs="Arial"/>
          <w:sz w:val="24"/>
          <w:szCs w:val="24"/>
        </w:rPr>
        <w:t xml:space="preserve"> to its consultation on introducing two new model laws</w:t>
      </w:r>
      <w:r w:rsidR="00FE5159">
        <w:rPr>
          <w:rFonts w:ascii="Arial" w:hAnsi="Arial" w:cs="Arial"/>
          <w:sz w:val="24"/>
          <w:szCs w:val="24"/>
        </w:rPr>
        <w:t xml:space="preserve">. We were grateful for the considered responses </w:t>
      </w:r>
      <w:r w:rsidR="000D7A77">
        <w:rPr>
          <w:rFonts w:ascii="Arial" w:hAnsi="Arial" w:cs="Arial"/>
          <w:sz w:val="24"/>
          <w:szCs w:val="24"/>
        </w:rPr>
        <w:t>to the consultation which made it clear that there was a divergence of views within our expert</w:t>
      </w:r>
      <w:r w:rsidR="006543EC">
        <w:rPr>
          <w:rFonts w:ascii="Arial" w:hAnsi="Arial" w:cs="Arial"/>
          <w:sz w:val="24"/>
          <w:szCs w:val="24"/>
        </w:rPr>
        <w:t xml:space="preserve"> stakeholder community in relation to what is a very technical area. The Government has committed </w:t>
      </w:r>
      <w:r w:rsidR="00183634">
        <w:rPr>
          <w:rFonts w:ascii="Arial" w:hAnsi="Arial" w:cs="Arial"/>
          <w:sz w:val="24"/>
          <w:szCs w:val="24"/>
        </w:rPr>
        <w:t>to introduce the UNCITRAL model law on Enterprise Group insolvency as soon as possible</w:t>
      </w:r>
      <w:r w:rsidR="00F525C5">
        <w:rPr>
          <w:rFonts w:ascii="Arial" w:hAnsi="Arial" w:cs="Arial"/>
          <w:sz w:val="24"/>
          <w:szCs w:val="24"/>
        </w:rPr>
        <w:t xml:space="preserve">, and to give further thought to some of the more technical areas surrounding the law concerning </w:t>
      </w:r>
      <w:r w:rsidR="00120202">
        <w:rPr>
          <w:rFonts w:ascii="Arial" w:hAnsi="Arial" w:cs="Arial"/>
          <w:sz w:val="24"/>
          <w:szCs w:val="24"/>
        </w:rPr>
        <w:t>insolvency related judgements.</w:t>
      </w:r>
    </w:p>
    <w:p w14:paraId="3E22D89D" w14:textId="77777777" w:rsidR="006A38E5" w:rsidRDefault="006A38E5">
      <w:pPr>
        <w:rPr>
          <w:rFonts w:ascii="Arial" w:hAnsi="Arial" w:cs="Arial"/>
          <w:b/>
          <w:bCs/>
          <w:sz w:val="24"/>
          <w:szCs w:val="24"/>
        </w:rPr>
      </w:pPr>
      <w:r>
        <w:rPr>
          <w:rFonts w:ascii="Arial" w:hAnsi="Arial" w:cs="Arial"/>
          <w:b/>
          <w:bCs/>
          <w:sz w:val="24"/>
          <w:szCs w:val="24"/>
        </w:rPr>
        <w:br w:type="page"/>
      </w:r>
    </w:p>
    <w:p w14:paraId="65CCB2D6" w14:textId="1CA9EE2C" w:rsidR="00120202" w:rsidRDefault="00120202" w:rsidP="00CF5792">
      <w:pPr>
        <w:pStyle w:val="Heading4"/>
        <w:rPr>
          <w:rFonts w:cs="Arial"/>
          <w:b w:val="0"/>
          <w:sz w:val="24"/>
          <w:szCs w:val="24"/>
        </w:rPr>
      </w:pPr>
      <w:r>
        <w:lastRenderedPageBreak/>
        <w:t xml:space="preserve">Personal </w:t>
      </w:r>
      <w:r w:rsidR="002E6D2A" w:rsidRPr="00143B8D">
        <w:rPr>
          <w:rFonts w:cs="Arial"/>
          <w:szCs w:val="28"/>
        </w:rPr>
        <w:t>i</w:t>
      </w:r>
      <w:r w:rsidRPr="00143B8D">
        <w:rPr>
          <w:rFonts w:cs="Arial"/>
          <w:szCs w:val="28"/>
        </w:rPr>
        <w:t xml:space="preserve">nsolvency </w:t>
      </w:r>
      <w:r w:rsidR="002E6D2A" w:rsidRPr="00143B8D">
        <w:rPr>
          <w:rFonts w:cs="Arial"/>
          <w:szCs w:val="28"/>
        </w:rPr>
        <w:t>r</w:t>
      </w:r>
      <w:r w:rsidRPr="00143B8D">
        <w:rPr>
          <w:rFonts w:cs="Arial"/>
          <w:szCs w:val="28"/>
        </w:rPr>
        <w:t>eview</w:t>
      </w:r>
    </w:p>
    <w:p w14:paraId="3AECD841" w14:textId="4F69EA0F" w:rsidR="0033365A" w:rsidRDefault="000656BA" w:rsidP="00E901B0">
      <w:pPr>
        <w:rPr>
          <w:rFonts w:ascii="Arial" w:hAnsi="Arial" w:cs="Arial"/>
          <w:sz w:val="24"/>
          <w:szCs w:val="24"/>
        </w:rPr>
      </w:pPr>
      <w:r>
        <w:rPr>
          <w:rFonts w:ascii="Arial" w:hAnsi="Arial" w:cs="Arial"/>
          <w:sz w:val="24"/>
          <w:szCs w:val="24"/>
        </w:rPr>
        <w:t xml:space="preserve">We published the Government’s </w:t>
      </w:r>
      <w:hyperlink r:id="rId23" w:history="1">
        <w:r w:rsidRPr="00CF4B31">
          <w:rPr>
            <w:rStyle w:val="Hyperlink"/>
            <w:rFonts w:ascii="Arial" w:hAnsi="Arial" w:cs="Arial"/>
            <w:sz w:val="24"/>
            <w:szCs w:val="24"/>
          </w:rPr>
          <w:t>response</w:t>
        </w:r>
      </w:hyperlink>
      <w:r>
        <w:rPr>
          <w:rFonts w:ascii="Arial" w:hAnsi="Arial" w:cs="Arial"/>
          <w:sz w:val="24"/>
          <w:szCs w:val="24"/>
        </w:rPr>
        <w:t xml:space="preserve"> to its call for evidence on the personal insolvency </w:t>
      </w:r>
      <w:r w:rsidR="003B67E0">
        <w:rPr>
          <w:rFonts w:ascii="Arial" w:hAnsi="Arial" w:cs="Arial"/>
          <w:sz w:val="24"/>
          <w:szCs w:val="24"/>
        </w:rPr>
        <w:t>framework in August 2023.</w:t>
      </w:r>
      <w:r w:rsidR="00D10AE6">
        <w:rPr>
          <w:rFonts w:ascii="Arial" w:hAnsi="Arial" w:cs="Arial"/>
          <w:sz w:val="24"/>
          <w:szCs w:val="24"/>
        </w:rPr>
        <w:t xml:space="preserve"> It </w:t>
      </w:r>
      <w:r w:rsidR="001B1D42">
        <w:rPr>
          <w:rFonts w:ascii="Arial" w:hAnsi="Arial" w:cs="Arial"/>
          <w:sz w:val="24"/>
          <w:szCs w:val="24"/>
        </w:rPr>
        <w:t xml:space="preserve">announced a fundamental review of the entire personal insolvency </w:t>
      </w:r>
      <w:r w:rsidR="001F64AC">
        <w:rPr>
          <w:rFonts w:ascii="Arial" w:hAnsi="Arial" w:cs="Arial"/>
          <w:sz w:val="24"/>
          <w:szCs w:val="24"/>
        </w:rPr>
        <w:t xml:space="preserve">regime. </w:t>
      </w:r>
      <w:r w:rsidR="0024062F">
        <w:rPr>
          <w:rFonts w:ascii="Arial" w:hAnsi="Arial" w:cs="Arial"/>
          <w:sz w:val="24"/>
          <w:szCs w:val="24"/>
        </w:rPr>
        <w:t xml:space="preserve">Up to 100,000 individuals enter a formal insolvency process each year and this was a </w:t>
      </w:r>
      <w:r w:rsidR="00F11FBF">
        <w:rPr>
          <w:rFonts w:ascii="Arial" w:hAnsi="Arial" w:cs="Arial"/>
          <w:sz w:val="24"/>
          <w:szCs w:val="24"/>
        </w:rPr>
        <w:t xml:space="preserve">real opportunity to make a difference to people in financial distress and update a regime </w:t>
      </w:r>
      <w:r w:rsidR="0079518F">
        <w:rPr>
          <w:rFonts w:ascii="Arial" w:hAnsi="Arial" w:cs="Arial"/>
          <w:sz w:val="24"/>
          <w:szCs w:val="24"/>
        </w:rPr>
        <w:t>that has its roots in the Victorian era.</w:t>
      </w:r>
      <w:r w:rsidR="00F525C5">
        <w:rPr>
          <w:rFonts w:ascii="Arial" w:hAnsi="Arial" w:cs="Arial"/>
          <w:sz w:val="24"/>
          <w:szCs w:val="24"/>
        </w:rPr>
        <w:t xml:space="preserve"> </w:t>
      </w:r>
    </w:p>
    <w:p w14:paraId="741C4755" w14:textId="348A382A" w:rsidR="0095069D" w:rsidRDefault="004A0848" w:rsidP="00E901B0">
      <w:pPr>
        <w:rPr>
          <w:rFonts w:ascii="Arial" w:hAnsi="Arial" w:cs="Arial"/>
          <w:sz w:val="24"/>
          <w:szCs w:val="24"/>
        </w:rPr>
      </w:pPr>
      <w:r>
        <w:rPr>
          <w:rFonts w:ascii="Arial" w:hAnsi="Arial" w:cs="Arial"/>
          <w:sz w:val="24"/>
          <w:szCs w:val="24"/>
        </w:rPr>
        <w:t xml:space="preserve">Following the announcement, we developed measures to make it easier to obtain a </w:t>
      </w:r>
      <w:r w:rsidR="00204666">
        <w:rPr>
          <w:rFonts w:ascii="Arial" w:hAnsi="Arial" w:cs="Arial"/>
          <w:sz w:val="24"/>
          <w:szCs w:val="24"/>
        </w:rPr>
        <w:t xml:space="preserve">Debt Relief Order and these were announced </w:t>
      </w:r>
      <w:r w:rsidR="00FB329B">
        <w:rPr>
          <w:rFonts w:ascii="Arial" w:hAnsi="Arial" w:cs="Arial"/>
          <w:sz w:val="24"/>
          <w:szCs w:val="24"/>
        </w:rPr>
        <w:t xml:space="preserve">in the Chancellor’s spring budget statement. </w:t>
      </w:r>
      <w:r w:rsidR="0095069D">
        <w:rPr>
          <w:rFonts w:ascii="Arial" w:hAnsi="Arial" w:cs="Arial"/>
          <w:sz w:val="24"/>
          <w:szCs w:val="24"/>
        </w:rPr>
        <w:t>The changes are:</w:t>
      </w:r>
    </w:p>
    <w:p w14:paraId="596CFBC4" w14:textId="31A5796D" w:rsidR="0095069D" w:rsidRDefault="00594F62" w:rsidP="0095069D">
      <w:pPr>
        <w:pStyle w:val="ListParagraph"/>
        <w:numPr>
          <w:ilvl w:val="0"/>
          <w:numId w:val="3"/>
        </w:numPr>
        <w:rPr>
          <w:rFonts w:ascii="Arial" w:hAnsi="Arial" w:cs="Arial"/>
          <w:sz w:val="24"/>
          <w:szCs w:val="24"/>
        </w:rPr>
      </w:pPr>
      <w:r>
        <w:rPr>
          <w:rFonts w:ascii="Arial" w:hAnsi="Arial" w:cs="Arial"/>
          <w:sz w:val="24"/>
          <w:szCs w:val="24"/>
        </w:rPr>
        <w:t>The permanent removal of the £90 administration fee that applicants need to pay</w:t>
      </w:r>
    </w:p>
    <w:p w14:paraId="30DBFB13" w14:textId="49D2CB6D" w:rsidR="0069361D" w:rsidRDefault="0069361D" w:rsidP="0095069D">
      <w:pPr>
        <w:pStyle w:val="ListParagraph"/>
        <w:numPr>
          <w:ilvl w:val="0"/>
          <w:numId w:val="3"/>
        </w:numPr>
        <w:rPr>
          <w:rFonts w:ascii="Arial" w:hAnsi="Arial" w:cs="Arial"/>
          <w:sz w:val="24"/>
          <w:szCs w:val="24"/>
        </w:rPr>
      </w:pPr>
      <w:r>
        <w:rPr>
          <w:rFonts w:ascii="Arial" w:hAnsi="Arial" w:cs="Arial"/>
          <w:sz w:val="24"/>
          <w:szCs w:val="24"/>
        </w:rPr>
        <w:t xml:space="preserve">An increased </w:t>
      </w:r>
      <w:r w:rsidR="003F4885">
        <w:rPr>
          <w:rFonts w:ascii="Arial" w:hAnsi="Arial" w:cs="Arial"/>
          <w:sz w:val="24"/>
          <w:szCs w:val="24"/>
        </w:rPr>
        <w:t>debt threshold</w:t>
      </w:r>
      <w:r w:rsidR="006F7C28">
        <w:rPr>
          <w:rFonts w:ascii="Arial" w:hAnsi="Arial" w:cs="Arial"/>
          <w:sz w:val="24"/>
          <w:szCs w:val="24"/>
        </w:rPr>
        <w:t>,</w:t>
      </w:r>
      <w:r w:rsidR="003F4885">
        <w:rPr>
          <w:rFonts w:ascii="Arial" w:hAnsi="Arial" w:cs="Arial"/>
          <w:sz w:val="24"/>
          <w:szCs w:val="24"/>
        </w:rPr>
        <w:t xml:space="preserve"> from £30,000 to £50,000</w:t>
      </w:r>
      <w:r w:rsidR="006F7C28">
        <w:rPr>
          <w:rFonts w:ascii="Arial" w:hAnsi="Arial" w:cs="Arial"/>
          <w:sz w:val="24"/>
          <w:szCs w:val="24"/>
        </w:rPr>
        <w:t>,</w:t>
      </w:r>
      <w:r w:rsidR="003F4885">
        <w:rPr>
          <w:rFonts w:ascii="Arial" w:hAnsi="Arial" w:cs="Arial"/>
          <w:sz w:val="24"/>
          <w:szCs w:val="24"/>
        </w:rPr>
        <w:t xml:space="preserve"> meaning more people </w:t>
      </w:r>
      <w:r w:rsidR="006F7C28">
        <w:rPr>
          <w:rFonts w:ascii="Arial" w:hAnsi="Arial" w:cs="Arial"/>
          <w:sz w:val="24"/>
          <w:szCs w:val="24"/>
        </w:rPr>
        <w:t>will be able to apply for a DRO</w:t>
      </w:r>
    </w:p>
    <w:p w14:paraId="57554656" w14:textId="3F39E060" w:rsidR="006F7C28" w:rsidRPr="0095069D" w:rsidRDefault="00206146" w:rsidP="0095069D">
      <w:pPr>
        <w:pStyle w:val="ListParagraph"/>
        <w:numPr>
          <w:ilvl w:val="0"/>
          <w:numId w:val="3"/>
        </w:numPr>
        <w:rPr>
          <w:rFonts w:ascii="Arial" w:hAnsi="Arial" w:cs="Arial"/>
          <w:sz w:val="24"/>
          <w:szCs w:val="24"/>
        </w:rPr>
      </w:pPr>
      <w:r>
        <w:rPr>
          <w:rFonts w:ascii="Arial" w:hAnsi="Arial" w:cs="Arial"/>
          <w:sz w:val="24"/>
          <w:szCs w:val="24"/>
        </w:rPr>
        <w:t>The value of a single motor vehicle</w:t>
      </w:r>
      <w:r w:rsidR="00017842">
        <w:rPr>
          <w:rFonts w:ascii="Arial" w:hAnsi="Arial" w:cs="Arial"/>
          <w:sz w:val="24"/>
          <w:szCs w:val="24"/>
        </w:rPr>
        <w:t xml:space="preserve"> that can be disregarded increased from £2,000 to £4,000</w:t>
      </w:r>
      <w:r w:rsidR="000361F5">
        <w:rPr>
          <w:rFonts w:ascii="Arial" w:hAnsi="Arial" w:cs="Arial"/>
          <w:sz w:val="24"/>
          <w:szCs w:val="24"/>
        </w:rPr>
        <w:t xml:space="preserve"> to help DRO applicants retain a personal vehicle</w:t>
      </w:r>
    </w:p>
    <w:p w14:paraId="41663953" w14:textId="7614EF18" w:rsidR="004A0848" w:rsidRDefault="00A570F9" w:rsidP="00E901B0">
      <w:pPr>
        <w:rPr>
          <w:rFonts w:ascii="Arial" w:hAnsi="Arial" w:cs="Arial"/>
          <w:sz w:val="24"/>
          <w:szCs w:val="24"/>
        </w:rPr>
      </w:pPr>
      <w:r>
        <w:rPr>
          <w:rFonts w:ascii="Arial" w:hAnsi="Arial" w:cs="Arial"/>
          <w:sz w:val="24"/>
          <w:szCs w:val="24"/>
        </w:rPr>
        <w:t>The fee was ab</w:t>
      </w:r>
      <w:r w:rsidR="00A11188">
        <w:rPr>
          <w:rFonts w:ascii="Arial" w:hAnsi="Arial" w:cs="Arial"/>
          <w:sz w:val="24"/>
          <w:szCs w:val="24"/>
        </w:rPr>
        <w:t>olished with effect from</w:t>
      </w:r>
      <w:r w:rsidR="005559E0">
        <w:rPr>
          <w:rFonts w:ascii="Arial" w:hAnsi="Arial" w:cs="Arial"/>
          <w:sz w:val="24"/>
          <w:szCs w:val="24"/>
        </w:rPr>
        <w:t xml:space="preserve"> 6 April 2024</w:t>
      </w:r>
      <w:r w:rsidR="00A11188">
        <w:rPr>
          <w:rFonts w:ascii="Arial" w:hAnsi="Arial" w:cs="Arial"/>
          <w:sz w:val="24"/>
          <w:szCs w:val="24"/>
        </w:rPr>
        <w:t xml:space="preserve"> </w:t>
      </w:r>
      <w:r w:rsidR="00FD3831">
        <w:rPr>
          <w:rFonts w:ascii="Arial" w:hAnsi="Arial" w:cs="Arial"/>
          <w:sz w:val="24"/>
          <w:szCs w:val="24"/>
        </w:rPr>
        <w:t>and o</w:t>
      </w:r>
      <w:r w:rsidR="008F0191">
        <w:rPr>
          <w:rFonts w:ascii="Arial" w:hAnsi="Arial" w:cs="Arial"/>
          <w:sz w:val="24"/>
          <w:szCs w:val="24"/>
        </w:rPr>
        <w:t>rders to change the monetary limits</w:t>
      </w:r>
      <w:r w:rsidR="00CA5B4D">
        <w:rPr>
          <w:rFonts w:ascii="Arial" w:hAnsi="Arial" w:cs="Arial"/>
          <w:sz w:val="24"/>
          <w:szCs w:val="24"/>
        </w:rPr>
        <w:t xml:space="preserve">, to come into force on </w:t>
      </w:r>
      <w:r w:rsidR="00B36C11">
        <w:rPr>
          <w:rFonts w:ascii="Arial" w:hAnsi="Arial" w:cs="Arial"/>
          <w:sz w:val="24"/>
          <w:szCs w:val="24"/>
        </w:rPr>
        <w:t>28 June 2024</w:t>
      </w:r>
      <w:r w:rsidR="008F0191">
        <w:rPr>
          <w:rFonts w:ascii="Arial" w:hAnsi="Arial" w:cs="Arial"/>
          <w:sz w:val="24"/>
          <w:szCs w:val="24"/>
        </w:rPr>
        <w:t xml:space="preserve"> </w:t>
      </w:r>
      <w:r w:rsidR="00FD3831">
        <w:rPr>
          <w:rFonts w:ascii="Arial" w:hAnsi="Arial" w:cs="Arial"/>
          <w:sz w:val="24"/>
          <w:szCs w:val="24"/>
        </w:rPr>
        <w:t>were laid in</w:t>
      </w:r>
      <w:r w:rsidR="00FC7459">
        <w:rPr>
          <w:rFonts w:ascii="Arial" w:hAnsi="Arial" w:cs="Arial"/>
          <w:sz w:val="24"/>
          <w:szCs w:val="24"/>
        </w:rPr>
        <w:t xml:space="preserve"> May</w:t>
      </w:r>
      <w:r w:rsidR="001F0604">
        <w:rPr>
          <w:rFonts w:ascii="Arial" w:hAnsi="Arial" w:cs="Arial"/>
          <w:sz w:val="24"/>
          <w:szCs w:val="24"/>
        </w:rPr>
        <w:t>.</w:t>
      </w:r>
      <w:r w:rsidR="000C5E0E">
        <w:rPr>
          <w:rFonts w:ascii="Arial" w:hAnsi="Arial" w:cs="Arial"/>
          <w:sz w:val="24"/>
          <w:szCs w:val="24"/>
        </w:rPr>
        <w:t xml:space="preserve"> </w:t>
      </w:r>
      <w:r>
        <w:rPr>
          <w:rFonts w:ascii="Arial" w:hAnsi="Arial" w:cs="Arial"/>
          <w:sz w:val="24"/>
          <w:szCs w:val="24"/>
        </w:rPr>
        <w:t>We</w:t>
      </w:r>
      <w:r w:rsidR="00E7514C">
        <w:rPr>
          <w:rFonts w:ascii="Arial" w:hAnsi="Arial" w:cs="Arial"/>
          <w:sz w:val="24"/>
          <w:szCs w:val="24"/>
        </w:rPr>
        <w:t xml:space="preserve"> will monitor </w:t>
      </w:r>
      <w:r w:rsidR="00C7118B">
        <w:rPr>
          <w:rFonts w:ascii="Arial" w:hAnsi="Arial" w:cs="Arial"/>
          <w:sz w:val="24"/>
          <w:szCs w:val="24"/>
        </w:rPr>
        <w:t xml:space="preserve">the effect of these changes on DRO case numbers. </w:t>
      </w:r>
      <w:r w:rsidR="005F3ACC">
        <w:rPr>
          <w:rFonts w:ascii="Arial" w:hAnsi="Arial" w:cs="Arial"/>
          <w:sz w:val="24"/>
          <w:szCs w:val="24"/>
        </w:rPr>
        <w:t xml:space="preserve">We are now working on longer-term structural </w:t>
      </w:r>
      <w:r w:rsidR="006D6A9C">
        <w:rPr>
          <w:rFonts w:ascii="Arial" w:hAnsi="Arial" w:cs="Arial"/>
          <w:sz w:val="24"/>
          <w:szCs w:val="24"/>
        </w:rPr>
        <w:t>change,</w:t>
      </w:r>
      <w:r w:rsidR="00264026">
        <w:rPr>
          <w:rFonts w:ascii="Arial" w:hAnsi="Arial" w:cs="Arial"/>
          <w:sz w:val="24"/>
          <w:szCs w:val="24"/>
        </w:rPr>
        <w:t xml:space="preserve"> and we expect to consult on th</w:t>
      </w:r>
      <w:r w:rsidR="000B772F">
        <w:rPr>
          <w:rFonts w:ascii="Arial" w:hAnsi="Arial" w:cs="Arial"/>
          <w:sz w:val="24"/>
          <w:szCs w:val="24"/>
        </w:rPr>
        <w:t>at</w:t>
      </w:r>
      <w:r w:rsidR="00264026">
        <w:rPr>
          <w:rFonts w:ascii="Arial" w:hAnsi="Arial" w:cs="Arial"/>
          <w:sz w:val="24"/>
          <w:szCs w:val="24"/>
        </w:rPr>
        <w:t xml:space="preserve"> later in 2024</w:t>
      </w:r>
      <w:r w:rsidR="009C0F31">
        <w:rPr>
          <w:rFonts w:ascii="Arial" w:hAnsi="Arial" w:cs="Arial"/>
          <w:sz w:val="24"/>
          <w:szCs w:val="24"/>
        </w:rPr>
        <w:t>-</w:t>
      </w:r>
      <w:r w:rsidR="00264026">
        <w:rPr>
          <w:rFonts w:ascii="Arial" w:hAnsi="Arial" w:cs="Arial"/>
          <w:sz w:val="24"/>
          <w:szCs w:val="24"/>
        </w:rPr>
        <w:t>25.</w:t>
      </w:r>
    </w:p>
    <w:p w14:paraId="3984F9C9" w14:textId="5BEEE43F" w:rsidR="00646C6F" w:rsidRDefault="002E6D2A" w:rsidP="00CF5792">
      <w:pPr>
        <w:pStyle w:val="Heading4"/>
        <w:rPr>
          <w:rFonts w:cs="Arial"/>
          <w:b w:val="0"/>
          <w:sz w:val="24"/>
          <w:szCs w:val="24"/>
        </w:rPr>
      </w:pPr>
      <w:r>
        <w:t>Refreshed stakeholder engagement</w:t>
      </w:r>
    </w:p>
    <w:p w14:paraId="21817750" w14:textId="6A9DB098" w:rsidR="002E6D2A" w:rsidRDefault="002D6ECD" w:rsidP="00E901B0">
      <w:pPr>
        <w:rPr>
          <w:rFonts w:ascii="Arial" w:hAnsi="Arial" w:cs="Arial"/>
          <w:sz w:val="24"/>
          <w:szCs w:val="24"/>
        </w:rPr>
      </w:pPr>
      <w:r>
        <w:rPr>
          <w:rFonts w:ascii="Arial" w:hAnsi="Arial" w:cs="Arial"/>
          <w:sz w:val="24"/>
          <w:szCs w:val="24"/>
        </w:rPr>
        <w:t xml:space="preserve">During the year we launched a new “Critical Friends Panel” </w:t>
      </w:r>
      <w:r w:rsidR="002471E0">
        <w:rPr>
          <w:rFonts w:ascii="Arial" w:hAnsi="Arial" w:cs="Arial"/>
          <w:sz w:val="24"/>
          <w:szCs w:val="24"/>
        </w:rPr>
        <w:t xml:space="preserve">to facilitate a frank exchange of views </w:t>
      </w:r>
      <w:r w:rsidR="003028CD">
        <w:rPr>
          <w:rFonts w:ascii="Arial" w:hAnsi="Arial" w:cs="Arial"/>
          <w:sz w:val="24"/>
          <w:szCs w:val="24"/>
        </w:rPr>
        <w:t xml:space="preserve">between </w:t>
      </w:r>
      <w:r w:rsidR="001C5407">
        <w:rPr>
          <w:rFonts w:ascii="Arial" w:hAnsi="Arial" w:cs="Arial"/>
          <w:sz w:val="24"/>
          <w:szCs w:val="24"/>
        </w:rPr>
        <w:t xml:space="preserve">ourselves </w:t>
      </w:r>
      <w:r w:rsidR="003028CD">
        <w:rPr>
          <w:rFonts w:ascii="Arial" w:hAnsi="Arial" w:cs="Arial"/>
          <w:sz w:val="24"/>
          <w:szCs w:val="24"/>
        </w:rPr>
        <w:t>and key industry stakeholders</w:t>
      </w:r>
      <w:r w:rsidR="00D444CA">
        <w:rPr>
          <w:rFonts w:ascii="Arial" w:hAnsi="Arial" w:cs="Arial"/>
          <w:sz w:val="24"/>
          <w:szCs w:val="24"/>
        </w:rPr>
        <w:t xml:space="preserve">. This </w:t>
      </w:r>
      <w:r w:rsidR="00554D3F">
        <w:rPr>
          <w:rFonts w:ascii="Arial" w:hAnsi="Arial" w:cs="Arial"/>
          <w:sz w:val="24"/>
          <w:szCs w:val="24"/>
        </w:rPr>
        <w:t>will help</w:t>
      </w:r>
      <w:r w:rsidR="006A42CA">
        <w:rPr>
          <w:rFonts w:ascii="Arial" w:hAnsi="Arial" w:cs="Arial"/>
          <w:sz w:val="24"/>
          <w:szCs w:val="24"/>
        </w:rPr>
        <w:t xml:space="preserve"> us </w:t>
      </w:r>
      <w:r w:rsidR="003C7C98">
        <w:rPr>
          <w:rFonts w:ascii="Arial" w:hAnsi="Arial" w:cs="Arial"/>
          <w:sz w:val="24"/>
          <w:szCs w:val="24"/>
        </w:rPr>
        <w:t>to</w:t>
      </w:r>
      <w:r w:rsidR="006A42CA">
        <w:rPr>
          <w:rFonts w:ascii="Arial" w:hAnsi="Arial" w:cs="Arial"/>
          <w:sz w:val="24"/>
          <w:szCs w:val="24"/>
        </w:rPr>
        <w:t xml:space="preserve"> maintain our focus on ensuring that we provide</w:t>
      </w:r>
      <w:r w:rsidR="009139FA">
        <w:rPr>
          <w:rFonts w:ascii="Arial" w:hAnsi="Arial" w:cs="Arial"/>
          <w:sz w:val="24"/>
          <w:szCs w:val="24"/>
        </w:rPr>
        <w:t xml:space="preserve"> the best possible service to our customers, external stakeholders and the public we s</w:t>
      </w:r>
      <w:r w:rsidR="0088097C">
        <w:rPr>
          <w:rFonts w:ascii="Arial" w:hAnsi="Arial" w:cs="Arial"/>
          <w:sz w:val="24"/>
          <w:szCs w:val="24"/>
        </w:rPr>
        <w:t>e</w:t>
      </w:r>
      <w:r w:rsidR="009139FA">
        <w:rPr>
          <w:rFonts w:ascii="Arial" w:hAnsi="Arial" w:cs="Arial"/>
          <w:sz w:val="24"/>
          <w:szCs w:val="24"/>
        </w:rPr>
        <w:t>rve.</w:t>
      </w:r>
      <w:r w:rsidR="0003042A">
        <w:rPr>
          <w:rFonts w:ascii="Arial" w:hAnsi="Arial" w:cs="Arial"/>
          <w:sz w:val="24"/>
          <w:szCs w:val="24"/>
        </w:rPr>
        <w:t xml:space="preserve"> </w:t>
      </w:r>
      <w:r w:rsidR="006B462A">
        <w:rPr>
          <w:rFonts w:ascii="Arial" w:hAnsi="Arial" w:cs="Arial"/>
          <w:sz w:val="24"/>
          <w:szCs w:val="24"/>
        </w:rPr>
        <w:t>Our</w:t>
      </w:r>
      <w:r w:rsidR="0003042A">
        <w:rPr>
          <w:rFonts w:ascii="Arial" w:hAnsi="Arial" w:cs="Arial"/>
          <w:sz w:val="24"/>
          <w:szCs w:val="24"/>
        </w:rPr>
        <w:t xml:space="preserve"> stakeholder engagement plan has undergone a full review</w:t>
      </w:r>
      <w:r w:rsidR="00AD75E9">
        <w:rPr>
          <w:rFonts w:ascii="Arial" w:hAnsi="Arial" w:cs="Arial"/>
          <w:sz w:val="24"/>
          <w:szCs w:val="24"/>
        </w:rPr>
        <w:t xml:space="preserve"> to assess whether we are getting the best from </w:t>
      </w:r>
      <w:r w:rsidR="002E6DED">
        <w:rPr>
          <w:rFonts w:ascii="Arial" w:hAnsi="Arial" w:cs="Arial"/>
          <w:sz w:val="24"/>
          <w:szCs w:val="24"/>
        </w:rPr>
        <w:t>our engagement with stakeholder</w:t>
      </w:r>
      <w:r w:rsidR="006D6A9C">
        <w:rPr>
          <w:rFonts w:ascii="Arial" w:hAnsi="Arial" w:cs="Arial"/>
          <w:sz w:val="24"/>
          <w:szCs w:val="24"/>
        </w:rPr>
        <w:t>s</w:t>
      </w:r>
      <w:r w:rsidR="00EC0254">
        <w:rPr>
          <w:rFonts w:ascii="Arial" w:hAnsi="Arial" w:cs="Arial"/>
          <w:sz w:val="24"/>
          <w:szCs w:val="24"/>
        </w:rPr>
        <w:t xml:space="preserve">, that </w:t>
      </w:r>
      <w:r w:rsidR="00BE53E8">
        <w:rPr>
          <w:rFonts w:ascii="Arial" w:hAnsi="Arial" w:cs="Arial"/>
          <w:sz w:val="24"/>
          <w:szCs w:val="24"/>
        </w:rPr>
        <w:t xml:space="preserve">we are maximising our relationships and </w:t>
      </w:r>
      <w:r w:rsidR="002A4F49">
        <w:rPr>
          <w:rFonts w:ascii="Arial" w:hAnsi="Arial" w:cs="Arial"/>
          <w:sz w:val="24"/>
          <w:szCs w:val="24"/>
        </w:rPr>
        <w:t>that we enhance trust in what we do.</w:t>
      </w:r>
    </w:p>
    <w:p w14:paraId="3ABB549E" w14:textId="77777777" w:rsidR="002A4F49" w:rsidRDefault="002A4F49" w:rsidP="00E901B0">
      <w:pPr>
        <w:rPr>
          <w:rFonts w:ascii="Arial" w:hAnsi="Arial" w:cs="Arial"/>
          <w:sz w:val="24"/>
          <w:szCs w:val="24"/>
        </w:rPr>
      </w:pPr>
    </w:p>
    <w:p w14:paraId="4EAC5C8A" w14:textId="77777777" w:rsidR="00B93793" w:rsidRDefault="00B93793">
      <w:pPr>
        <w:rPr>
          <w:rFonts w:ascii="Arial" w:hAnsi="Arial" w:cs="Arial"/>
          <w:b/>
          <w:bCs/>
          <w:color w:val="4472C4" w:themeColor="accent1"/>
          <w:sz w:val="32"/>
          <w:szCs w:val="32"/>
        </w:rPr>
      </w:pPr>
      <w:r>
        <w:rPr>
          <w:rFonts w:ascii="Arial" w:hAnsi="Arial" w:cs="Arial"/>
          <w:b/>
          <w:bCs/>
          <w:color w:val="4472C4" w:themeColor="accent1"/>
          <w:sz w:val="32"/>
          <w:szCs w:val="32"/>
        </w:rPr>
        <w:br w:type="page"/>
      </w:r>
    </w:p>
    <w:p w14:paraId="5F9C6830" w14:textId="485770CE" w:rsidR="009B40B6" w:rsidRPr="0005574B" w:rsidRDefault="009B40B6" w:rsidP="00CF5792">
      <w:pPr>
        <w:pStyle w:val="Heading4"/>
        <w:rPr>
          <w:rFonts w:cs="Arial"/>
          <w:b w:val="0"/>
          <w:color w:val="4472C4" w:themeColor="accent1"/>
          <w:sz w:val="32"/>
          <w:szCs w:val="32"/>
        </w:rPr>
      </w:pPr>
      <w:r w:rsidRPr="0005574B">
        <w:rPr>
          <w:sz w:val="32"/>
          <w:szCs w:val="32"/>
        </w:rPr>
        <w:lastRenderedPageBreak/>
        <w:t xml:space="preserve">Strengthen our </w:t>
      </w:r>
      <w:r w:rsidR="00AB0545" w:rsidRPr="0005574B">
        <w:rPr>
          <w:sz w:val="32"/>
          <w:szCs w:val="32"/>
        </w:rPr>
        <w:t>reputation and impact in investigation and enforcement</w:t>
      </w:r>
    </w:p>
    <w:p w14:paraId="1A961E87" w14:textId="5A897F1D" w:rsidR="00B93793" w:rsidRPr="00DC28DA" w:rsidRDefault="006A1634" w:rsidP="00E901B0">
      <w:pPr>
        <w:rPr>
          <w:rFonts w:ascii="Arial" w:hAnsi="Arial" w:cs="Arial"/>
          <w:b/>
          <w:bCs/>
          <w:color w:val="4472C4" w:themeColor="accent1"/>
          <w:sz w:val="32"/>
          <w:szCs w:val="32"/>
        </w:rPr>
      </w:pPr>
      <w:r>
        <w:rPr>
          <w:rFonts w:ascii="Arial" w:hAnsi="Arial" w:cs="Arial"/>
          <w:b/>
          <w:bCs/>
          <w:noProof/>
          <w:color w:val="4472C4" w:themeColor="accent1"/>
          <w:sz w:val="32"/>
          <w:szCs w:val="32"/>
        </w:rPr>
        <w:drawing>
          <wp:inline distT="0" distB="0" distL="0" distR="0" wp14:anchorId="7B22E0A3" wp14:editId="71AEB1E2">
            <wp:extent cx="5722620" cy="3815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147" r="12861" b="27020"/>
                    <a:stretch/>
                  </pic:blipFill>
                  <pic:spPr bwMode="auto">
                    <a:xfrm>
                      <a:off x="0" y="0"/>
                      <a:ext cx="5722620" cy="381508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256"/>
        <w:gridCol w:w="1417"/>
        <w:gridCol w:w="4343"/>
      </w:tblGrid>
      <w:tr w:rsidR="00906180" w14:paraId="7696E9F0" w14:textId="77777777">
        <w:tc>
          <w:tcPr>
            <w:tcW w:w="3256" w:type="dxa"/>
          </w:tcPr>
          <w:p w14:paraId="33893163" w14:textId="77777777" w:rsidR="00906180" w:rsidRDefault="00906180">
            <w:pPr>
              <w:rPr>
                <w:rFonts w:ascii="Arial" w:hAnsi="Arial" w:cs="Arial"/>
                <w:color w:val="4472C4" w:themeColor="accent1"/>
                <w:sz w:val="24"/>
                <w:szCs w:val="24"/>
              </w:rPr>
            </w:pPr>
            <w:r>
              <w:rPr>
                <w:rFonts w:ascii="Arial" w:hAnsi="Arial" w:cs="Arial"/>
                <w:color w:val="4472C4" w:themeColor="accent1"/>
                <w:sz w:val="24"/>
                <w:szCs w:val="24"/>
              </w:rPr>
              <w:t>Objective</w:t>
            </w:r>
          </w:p>
        </w:tc>
        <w:tc>
          <w:tcPr>
            <w:tcW w:w="1417" w:type="dxa"/>
          </w:tcPr>
          <w:p w14:paraId="313877C9" w14:textId="77777777" w:rsidR="00906180" w:rsidRDefault="00906180">
            <w:pPr>
              <w:rPr>
                <w:rFonts w:ascii="Arial" w:hAnsi="Arial" w:cs="Arial"/>
                <w:color w:val="4472C4" w:themeColor="accent1"/>
                <w:sz w:val="24"/>
                <w:szCs w:val="24"/>
              </w:rPr>
            </w:pPr>
            <w:r>
              <w:rPr>
                <w:rFonts w:ascii="Arial" w:hAnsi="Arial" w:cs="Arial"/>
                <w:color w:val="4472C4" w:themeColor="accent1"/>
                <w:sz w:val="24"/>
                <w:szCs w:val="24"/>
              </w:rPr>
              <w:t>Status</w:t>
            </w:r>
          </w:p>
        </w:tc>
        <w:tc>
          <w:tcPr>
            <w:tcW w:w="4343" w:type="dxa"/>
          </w:tcPr>
          <w:p w14:paraId="5E58252C" w14:textId="77777777" w:rsidR="00906180" w:rsidRDefault="00906180">
            <w:pPr>
              <w:rPr>
                <w:rFonts w:ascii="Arial" w:hAnsi="Arial" w:cs="Arial"/>
                <w:color w:val="4472C4" w:themeColor="accent1"/>
                <w:sz w:val="24"/>
                <w:szCs w:val="24"/>
              </w:rPr>
            </w:pPr>
            <w:r>
              <w:rPr>
                <w:rFonts w:ascii="Arial" w:hAnsi="Arial" w:cs="Arial"/>
                <w:color w:val="4472C4" w:themeColor="accent1"/>
                <w:sz w:val="24"/>
                <w:szCs w:val="24"/>
              </w:rPr>
              <w:t>Commentary</w:t>
            </w:r>
          </w:p>
        </w:tc>
      </w:tr>
      <w:tr w:rsidR="00906180" w14:paraId="15480AA9" w14:textId="77777777">
        <w:tc>
          <w:tcPr>
            <w:tcW w:w="3256" w:type="dxa"/>
          </w:tcPr>
          <w:p w14:paraId="16999E0B" w14:textId="2AC0FEFE" w:rsidR="00906180" w:rsidRPr="00625870" w:rsidRDefault="00906180">
            <w:pPr>
              <w:rPr>
                <w:rFonts w:ascii="Arial" w:hAnsi="Arial" w:cs="Arial"/>
                <w:sz w:val="24"/>
                <w:szCs w:val="24"/>
              </w:rPr>
            </w:pPr>
            <w:r>
              <w:rPr>
                <w:rFonts w:ascii="Arial" w:hAnsi="Arial" w:cs="Arial"/>
                <w:sz w:val="24"/>
                <w:szCs w:val="24"/>
              </w:rPr>
              <w:t>Develop our anti-money laundering intelligence gathering capability</w:t>
            </w:r>
            <w:r w:rsidR="00DB3019">
              <w:rPr>
                <w:rFonts w:ascii="Arial" w:hAnsi="Arial" w:cs="Arial"/>
                <w:sz w:val="24"/>
                <w:szCs w:val="24"/>
              </w:rPr>
              <w:t xml:space="preserve"> to support cross government action to tackle economic crime</w:t>
            </w:r>
            <w:r w:rsidR="008A30DA">
              <w:rPr>
                <w:rFonts w:ascii="Arial" w:hAnsi="Arial" w:cs="Arial"/>
                <w:sz w:val="24"/>
                <w:szCs w:val="24"/>
              </w:rPr>
              <w:t>.</w:t>
            </w:r>
          </w:p>
        </w:tc>
        <w:tc>
          <w:tcPr>
            <w:tcW w:w="1417" w:type="dxa"/>
          </w:tcPr>
          <w:p w14:paraId="1E50B73B" w14:textId="77777777" w:rsidR="00906180" w:rsidRPr="00625870" w:rsidRDefault="00906180">
            <w:pPr>
              <w:rPr>
                <w:rFonts w:ascii="Arial" w:hAnsi="Arial" w:cs="Arial"/>
                <w:sz w:val="24"/>
                <w:szCs w:val="24"/>
              </w:rPr>
            </w:pPr>
            <w:r>
              <w:rPr>
                <w:rFonts w:ascii="Arial" w:hAnsi="Arial" w:cs="Arial"/>
                <w:sz w:val="24"/>
                <w:szCs w:val="24"/>
              </w:rPr>
              <w:t>Achieved</w:t>
            </w:r>
          </w:p>
        </w:tc>
        <w:tc>
          <w:tcPr>
            <w:tcW w:w="4343" w:type="dxa"/>
          </w:tcPr>
          <w:p w14:paraId="199224DB" w14:textId="203B6F17" w:rsidR="00906180" w:rsidRDefault="00B65800">
            <w:pPr>
              <w:rPr>
                <w:rFonts w:ascii="Arial" w:hAnsi="Arial" w:cs="Arial"/>
                <w:sz w:val="24"/>
                <w:szCs w:val="24"/>
              </w:rPr>
            </w:pPr>
            <w:r>
              <w:rPr>
                <w:rFonts w:ascii="Arial" w:hAnsi="Arial" w:cs="Arial"/>
                <w:sz w:val="24"/>
                <w:szCs w:val="24"/>
              </w:rPr>
              <w:t>We have recruited a dedicated Anti</w:t>
            </w:r>
            <w:r w:rsidR="00A8750A">
              <w:rPr>
                <w:rFonts w:ascii="Arial" w:hAnsi="Arial" w:cs="Arial"/>
                <w:sz w:val="24"/>
                <w:szCs w:val="24"/>
              </w:rPr>
              <w:t xml:space="preserve"> </w:t>
            </w:r>
            <w:r>
              <w:rPr>
                <w:rFonts w:ascii="Arial" w:hAnsi="Arial" w:cs="Arial"/>
                <w:sz w:val="24"/>
                <w:szCs w:val="24"/>
              </w:rPr>
              <w:t xml:space="preserve">Money </w:t>
            </w:r>
            <w:r w:rsidR="00A8750A">
              <w:rPr>
                <w:rFonts w:ascii="Arial" w:hAnsi="Arial" w:cs="Arial"/>
                <w:sz w:val="24"/>
                <w:szCs w:val="24"/>
              </w:rPr>
              <w:t>Laundering Intelligence Team to identify money laundering activity</w:t>
            </w:r>
            <w:r w:rsidR="00093325">
              <w:rPr>
                <w:rFonts w:ascii="Arial" w:hAnsi="Arial" w:cs="Arial"/>
                <w:sz w:val="24"/>
                <w:szCs w:val="24"/>
              </w:rPr>
              <w:t xml:space="preserve"> across the UK corporate register.</w:t>
            </w:r>
          </w:p>
          <w:p w14:paraId="169CB7E8" w14:textId="77777777" w:rsidR="00906180" w:rsidRPr="00625870" w:rsidRDefault="00906180">
            <w:pPr>
              <w:rPr>
                <w:rFonts w:ascii="Arial" w:hAnsi="Arial" w:cs="Arial"/>
                <w:sz w:val="24"/>
                <w:szCs w:val="24"/>
              </w:rPr>
            </w:pPr>
          </w:p>
        </w:tc>
      </w:tr>
      <w:tr w:rsidR="00906180" w14:paraId="608A69A1" w14:textId="77777777">
        <w:tc>
          <w:tcPr>
            <w:tcW w:w="3256" w:type="dxa"/>
          </w:tcPr>
          <w:p w14:paraId="07CDC4E6" w14:textId="5D2F7002" w:rsidR="00906180" w:rsidRPr="00625870" w:rsidRDefault="00A356E4">
            <w:pPr>
              <w:rPr>
                <w:rFonts w:ascii="Arial" w:hAnsi="Arial" w:cs="Arial"/>
                <w:sz w:val="24"/>
                <w:szCs w:val="24"/>
              </w:rPr>
            </w:pPr>
            <w:r>
              <w:rPr>
                <w:rFonts w:ascii="Arial" w:hAnsi="Arial" w:cs="Arial"/>
                <w:sz w:val="24"/>
                <w:szCs w:val="24"/>
              </w:rPr>
              <w:t>Work with Companies House and DBT</w:t>
            </w:r>
            <w:r w:rsidR="00E136B2">
              <w:rPr>
                <w:rFonts w:ascii="Arial" w:hAnsi="Arial" w:cs="Arial"/>
                <w:sz w:val="24"/>
                <w:szCs w:val="24"/>
              </w:rPr>
              <w:t xml:space="preserve"> to improve the integrity of the companies register through our enforcement work</w:t>
            </w:r>
            <w:r w:rsidR="008A30DA">
              <w:rPr>
                <w:rFonts w:ascii="Arial" w:hAnsi="Arial" w:cs="Arial"/>
                <w:sz w:val="24"/>
                <w:szCs w:val="24"/>
              </w:rPr>
              <w:t>.</w:t>
            </w:r>
          </w:p>
        </w:tc>
        <w:tc>
          <w:tcPr>
            <w:tcW w:w="1417" w:type="dxa"/>
          </w:tcPr>
          <w:p w14:paraId="7C075450" w14:textId="43BB6C90" w:rsidR="00906180" w:rsidRPr="00625870" w:rsidRDefault="00E136B2">
            <w:pPr>
              <w:rPr>
                <w:rFonts w:ascii="Arial" w:hAnsi="Arial" w:cs="Arial"/>
                <w:sz w:val="24"/>
                <w:szCs w:val="24"/>
              </w:rPr>
            </w:pPr>
            <w:r>
              <w:rPr>
                <w:rFonts w:ascii="Arial" w:hAnsi="Arial" w:cs="Arial"/>
                <w:sz w:val="24"/>
                <w:szCs w:val="24"/>
              </w:rPr>
              <w:t>In progress</w:t>
            </w:r>
          </w:p>
        </w:tc>
        <w:tc>
          <w:tcPr>
            <w:tcW w:w="4343" w:type="dxa"/>
          </w:tcPr>
          <w:p w14:paraId="1E69EBDE" w14:textId="0ECD1D23" w:rsidR="00906180" w:rsidRPr="00625870" w:rsidRDefault="32B17749">
            <w:pPr>
              <w:rPr>
                <w:rFonts w:ascii="Arial" w:hAnsi="Arial" w:cs="Arial"/>
                <w:sz w:val="24"/>
                <w:szCs w:val="24"/>
              </w:rPr>
            </w:pPr>
            <w:r w:rsidRPr="1FEE3B9B">
              <w:rPr>
                <w:rFonts w:ascii="Arial" w:hAnsi="Arial" w:cs="Arial"/>
                <w:sz w:val="24"/>
                <w:szCs w:val="24"/>
              </w:rPr>
              <w:t>T</w:t>
            </w:r>
            <w:r w:rsidR="00A22781" w:rsidRPr="1FEE3B9B">
              <w:rPr>
                <w:rFonts w:ascii="Arial" w:hAnsi="Arial" w:cs="Arial"/>
                <w:sz w:val="24"/>
                <w:szCs w:val="24"/>
              </w:rPr>
              <w:t xml:space="preserve">he Agency </w:t>
            </w:r>
            <w:r w:rsidR="58550533" w:rsidRPr="1FEE3B9B">
              <w:rPr>
                <w:rFonts w:ascii="Arial" w:hAnsi="Arial" w:cs="Arial"/>
                <w:sz w:val="24"/>
                <w:szCs w:val="24"/>
              </w:rPr>
              <w:t>has successfully completed the first phase of recruitment</w:t>
            </w:r>
            <w:r w:rsidR="4FC17F02" w:rsidRPr="1FEE3B9B">
              <w:rPr>
                <w:rFonts w:ascii="Arial" w:hAnsi="Arial" w:cs="Arial"/>
                <w:sz w:val="24"/>
                <w:szCs w:val="24"/>
              </w:rPr>
              <w:t>, established protocols for work flows</w:t>
            </w:r>
            <w:r w:rsidR="58550533" w:rsidRPr="1FEE3B9B">
              <w:rPr>
                <w:rFonts w:ascii="Arial" w:hAnsi="Arial" w:cs="Arial"/>
                <w:sz w:val="24"/>
                <w:szCs w:val="24"/>
              </w:rPr>
              <w:t xml:space="preserve"> and is ready to act upon referrals from Companies House</w:t>
            </w:r>
            <w:r w:rsidR="20DAD705" w:rsidRPr="1FEE3B9B">
              <w:rPr>
                <w:rFonts w:ascii="Arial" w:hAnsi="Arial" w:cs="Arial"/>
                <w:sz w:val="24"/>
                <w:szCs w:val="24"/>
              </w:rPr>
              <w:t xml:space="preserve"> relating to new offences arising from The Economic Crime and Corporate Transparency Act 2023 (ECCTA)</w:t>
            </w:r>
            <w:r w:rsidR="35DB2C82" w:rsidRPr="1FEE3B9B">
              <w:rPr>
                <w:rFonts w:ascii="Arial" w:hAnsi="Arial" w:cs="Arial"/>
                <w:sz w:val="24"/>
                <w:szCs w:val="24"/>
              </w:rPr>
              <w:t xml:space="preserve"> that are aimed at promoting greater integrity and transparency to the companies register</w:t>
            </w:r>
            <w:r w:rsidR="5A9A14ED" w:rsidRPr="1FEE3B9B">
              <w:rPr>
                <w:rFonts w:ascii="Arial" w:hAnsi="Arial" w:cs="Arial"/>
                <w:sz w:val="24"/>
                <w:szCs w:val="24"/>
              </w:rPr>
              <w:t>.</w:t>
            </w:r>
          </w:p>
        </w:tc>
      </w:tr>
    </w:tbl>
    <w:p w14:paraId="5F903EF6" w14:textId="77777777" w:rsidR="0071060A" w:rsidRDefault="0071060A">
      <w:r>
        <w:br w:type="page"/>
      </w:r>
    </w:p>
    <w:tbl>
      <w:tblPr>
        <w:tblStyle w:val="TableGrid"/>
        <w:tblW w:w="0" w:type="auto"/>
        <w:tblLook w:val="04A0" w:firstRow="1" w:lastRow="0" w:firstColumn="1" w:lastColumn="0" w:noHBand="0" w:noVBand="1"/>
      </w:tblPr>
      <w:tblGrid>
        <w:gridCol w:w="3256"/>
        <w:gridCol w:w="1417"/>
        <w:gridCol w:w="4343"/>
      </w:tblGrid>
      <w:tr w:rsidR="009B768E" w14:paraId="29A43571" w14:textId="77777777">
        <w:tc>
          <w:tcPr>
            <w:tcW w:w="3256" w:type="dxa"/>
          </w:tcPr>
          <w:p w14:paraId="651F66D0" w14:textId="33740D60" w:rsidR="009B768E" w:rsidRDefault="009B768E" w:rsidP="009B768E">
            <w:pPr>
              <w:rPr>
                <w:rFonts w:ascii="Arial" w:hAnsi="Arial" w:cs="Arial"/>
                <w:sz w:val="24"/>
                <w:szCs w:val="24"/>
              </w:rPr>
            </w:pPr>
            <w:r>
              <w:rPr>
                <w:rFonts w:ascii="Arial" w:hAnsi="Arial" w:cs="Arial"/>
                <w:color w:val="4472C4" w:themeColor="accent1"/>
                <w:sz w:val="24"/>
                <w:szCs w:val="24"/>
              </w:rPr>
              <w:lastRenderedPageBreak/>
              <w:t>Objective</w:t>
            </w:r>
          </w:p>
        </w:tc>
        <w:tc>
          <w:tcPr>
            <w:tcW w:w="1417" w:type="dxa"/>
          </w:tcPr>
          <w:p w14:paraId="00B822B1" w14:textId="0631E828" w:rsidR="009B768E" w:rsidRDefault="009B768E" w:rsidP="009B768E">
            <w:pPr>
              <w:rPr>
                <w:rFonts w:ascii="Arial" w:hAnsi="Arial" w:cs="Arial"/>
                <w:sz w:val="24"/>
                <w:szCs w:val="24"/>
              </w:rPr>
            </w:pPr>
            <w:r>
              <w:rPr>
                <w:rFonts w:ascii="Arial" w:hAnsi="Arial" w:cs="Arial"/>
                <w:color w:val="4472C4" w:themeColor="accent1"/>
                <w:sz w:val="24"/>
                <w:szCs w:val="24"/>
              </w:rPr>
              <w:t>Status</w:t>
            </w:r>
          </w:p>
        </w:tc>
        <w:tc>
          <w:tcPr>
            <w:tcW w:w="4343" w:type="dxa"/>
          </w:tcPr>
          <w:p w14:paraId="33178DB5" w14:textId="43A3F68F" w:rsidR="009B768E" w:rsidRPr="1FEE3B9B" w:rsidRDefault="009B768E" w:rsidP="009B768E">
            <w:pPr>
              <w:rPr>
                <w:rFonts w:ascii="Arial" w:hAnsi="Arial" w:cs="Arial"/>
                <w:sz w:val="24"/>
                <w:szCs w:val="24"/>
              </w:rPr>
            </w:pPr>
            <w:r>
              <w:rPr>
                <w:rFonts w:ascii="Arial" w:hAnsi="Arial" w:cs="Arial"/>
                <w:color w:val="4472C4" w:themeColor="accent1"/>
                <w:sz w:val="24"/>
                <w:szCs w:val="24"/>
              </w:rPr>
              <w:t>Commentary</w:t>
            </w:r>
          </w:p>
        </w:tc>
      </w:tr>
      <w:tr w:rsidR="009B768E" w14:paraId="07D4AB86" w14:textId="77777777">
        <w:tc>
          <w:tcPr>
            <w:tcW w:w="3256" w:type="dxa"/>
          </w:tcPr>
          <w:p w14:paraId="4B95BFFE" w14:textId="5D8F5A83" w:rsidR="009B768E" w:rsidRPr="00625870" w:rsidRDefault="009B768E" w:rsidP="009B768E">
            <w:pPr>
              <w:rPr>
                <w:rFonts w:ascii="Arial" w:hAnsi="Arial" w:cs="Arial"/>
                <w:sz w:val="24"/>
                <w:szCs w:val="24"/>
              </w:rPr>
            </w:pPr>
            <w:r>
              <w:rPr>
                <w:rFonts w:ascii="Arial" w:hAnsi="Arial" w:cs="Arial"/>
                <w:sz w:val="24"/>
                <w:szCs w:val="24"/>
              </w:rPr>
              <w:t>Enhance our investigation capability through the delivery of new forensic computing facilities and gaining accreditation through the internationally recognised quality management system (ISO 17025).</w:t>
            </w:r>
          </w:p>
        </w:tc>
        <w:tc>
          <w:tcPr>
            <w:tcW w:w="1417" w:type="dxa"/>
          </w:tcPr>
          <w:p w14:paraId="4AF3514F" w14:textId="01DA5405" w:rsidR="009B768E" w:rsidRPr="00625870" w:rsidRDefault="009B768E" w:rsidP="009B768E">
            <w:pPr>
              <w:rPr>
                <w:rFonts w:ascii="Arial" w:hAnsi="Arial" w:cs="Arial"/>
                <w:sz w:val="24"/>
                <w:szCs w:val="24"/>
              </w:rPr>
            </w:pPr>
            <w:r>
              <w:rPr>
                <w:rFonts w:ascii="Arial" w:hAnsi="Arial" w:cs="Arial"/>
                <w:sz w:val="24"/>
                <w:szCs w:val="24"/>
              </w:rPr>
              <w:t>In progress</w:t>
            </w:r>
          </w:p>
        </w:tc>
        <w:tc>
          <w:tcPr>
            <w:tcW w:w="4343" w:type="dxa"/>
          </w:tcPr>
          <w:p w14:paraId="73831BF6" w14:textId="0BA61CD9" w:rsidR="009B768E" w:rsidRPr="00625870" w:rsidRDefault="009B768E" w:rsidP="009B768E">
            <w:pPr>
              <w:rPr>
                <w:rFonts w:ascii="Arial" w:hAnsi="Arial" w:cs="Arial"/>
                <w:sz w:val="24"/>
                <w:szCs w:val="24"/>
              </w:rPr>
            </w:pPr>
            <w:r w:rsidRPr="1FEE3B9B">
              <w:rPr>
                <w:rFonts w:ascii="Arial" w:hAnsi="Arial" w:cs="Arial"/>
                <w:sz w:val="24"/>
                <w:szCs w:val="24"/>
              </w:rPr>
              <w:t>Our Forensic Computing Project will deliver infrastructure improvements in Q1 2024</w:t>
            </w:r>
            <w:r w:rsidR="00830EB7">
              <w:rPr>
                <w:rFonts w:ascii="Arial" w:hAnsi="Arial" w:cs="Arial"/>
                <w:sz w:val="24"/>
                <w:szCs w:val="24"/>
              </w:rPr>
              <w:t>-</w:t>
            </w:r>
            <w:r w:rsidRPr="1FEE3B9B">
              <w:rPr>
                <w:rFonts w:ascii="Arial" w:hAnsi="Arial" w:cs="Arial"/>
                <w:sz w:val="24"/>
                <w:szCs w:val="24"/>
              </w:rPr>
              <w:t>25. This will deliver secure data storage facilities and move certain technical activities to the cloud. Preparation for our ISO pre-assessment continues with Quality and Technical manuals being revised ahead of UKAS review in Summer 2024.</w:t>
            </w:r>
          </w:p>
        </w:tc>
      </w:tr>
      <w:tr w:rsidR="009B768E" w14:paraId="3A401F00" w14:textId="77777777">
        <w:tc>
          <w:tcPr>
            <w:tcW w:w="3256" w:type="dxa"/>
          </w:tcPr>
          <w:p w14:paraId="04C4F09A" w14:textId="1F4E0AA8" w:rsidR="009B768E" w:rsidRPr="00625870" w:rsidRDefault="009B768E" w:rsidP="009B768E">
            <w:pPr>
              <w:rPr>
                <w:rFonts w:ascii="Arial" w:hAnsi="Arial" w:cs="Arial"/>
                <w:sz w:val="24"/>
                <w:szCs w:val="24"/>
              </w:rPr>
            </w:pPr>
            <w:r>
              <w:rPr>
                <w:rFonts w:ascii="Arial" w:hAnsi="Arial" w:cs="Arial"/>
                <w:sz w:val="24"/>
                <w:szCs w:val="24"/>
              </w:rPr>
              <w:t>Investigate misconduct and take effective action according to risks identified in our annual strategic assessment, maintaining a focus on fraud related to Covid-19 financial support schemes.</w:t>
            </w:r>
          </w:p>
        </w:tc>
        <w:tc>
          <w:tcPr>
            <w:tcW w:w="1417" w:type="dxa"/>
          </w:tcPr>
          <w:p w14:paraId="124EEAE9" w14:textId="671C959D" w:rsidR="009B768E" w:rsidRPr="00625870" w:rsidRDefault="009B768E" w:rsidP="009B768E">
            <w:pPr>
              <w:rPr>
                <w:rFonts w:ascii="Arial" w:hAnsi="Arial" w:cs="Arial"/>
                <w:sz w:val="24"/>
                <w:szCs w:val="24"/>
              </w:rPr>
            </w:pPr>
            <w:r>
              <w:rPr>
                <w:rFonts w:ascii="Arial" w:hAnsi="Arial" w:cs="Arial"/>
                <w:sz w:val="24"/>
                <w:szCs w:val="24"/>
              </w:rPr>
              <w:t>Achieved</w:t>
            </w:r>
          </w:p>
        </w:tc>
        <w:tc>
          <w:tcPr>
            <w:tcW w:w="4343" w:type="dxa"/>
          </w:tcPr>
          <w:p w14:paraId="482478EE" w14:textId="72C04E78" w:rsidR="009B768E" w:rsidRPr="00625870" w:rsidRDefault="009B768E" w:rsidP="009B768E">
            <w:pPr>
              <w:rPr>
                <w:rFonts w:ascii="Arial" w:hAnsi="Arial" w:cs="Arial"/>
                <w:sz w:val="24"/>
                <w:szCs w:val="24"/>
              </w:rPr>
            </w:pPr>
            <w:r>
              <w:rPr>
                <w:rFonts w:ascii="Arial" w:hAnsi="Arial" w:cs="Arial"/>
                <w:sz w:val="24"/>
                <w:szCs w:val="24"/>
              </w:rPr>
              <w:t>We have continued to maintain focus on fraud related to Covid-19 financial support schemes, increasing our enforcement outcomes from 48% last year to 62% of all our 2023-24 disqualification and criminal outcomes.</w:t>
            </w:r>
          </w:p>
        </w:tc>
      </w:tr>
      <w:tr w:rsidR="009B768E" w14:paraId="57361CFF" w14:textId="77777777">
        <w:tc>
          <w:tcPr>
            <w:tcW w:w="3256" w:type="dxa"/>
          </w:tcPr>
          <w:p w14:paraId="48F202FD" w14:textId="133DE2BC" w:rsidR="009B768E" w:rsidRPr="00625870" w:rsidRDefault="009B768E" w:rsidP="009B768E">
            <w:pPr>
              <w:rPr>
                <w:rFonts w:ascii="Arial" w:hAnsi="Arial" w:cs="Arial"/>
                <w:sz w:val="24"/>
                <w:szCs w:val="24"/>
              </w:rPr>
            </w:pPr>
            <w:r>
              <w:rPr>
                <w:rFonts w:ascii="Arial" w:hAnsi="Arial" w:cs="Arial"/>
                <w:sz w:val="24"/>
                <w:szCs w:val="24"/>
              </w:rPr>
              <w:t>Introduce capability to investigate insolvency related criminal offences in Scotland, to align with our activities in England and Wales.</w:t>
            </w:r>
          </w:p>
        </w:tc>
        <w:tc>
          <w:tcPr>
            <w:tcW w:w="1417" w:type="dxa"/>
          </w:tcPr>
          <w:p w14:paraId="07698266" w14:textId="2A1C65DD" w:rsidR="009B768E" w:rsidRPr="00625870" w:rsidRDefault="009B768E" w:rsidP="009B768E">
            <w:pPr>
              <w:rPr>
                <w:rFonts w:ascii="Arial" w:hAnsi="Arial" w:cs="Arial"/>
                <w:sz w:val="24"/>
                <w:szCs w:val="24"/>
              </w:rPr>
            </w:pPr>
            <w:r>
              <w:rPr>
                <w:rFonts w:ascii="Arial" w:hAnsi="Arial" w:cs="Arial"/>
                <w:sz w:val="24"/>
                <w:szCs w:val="24"/>
              </w:rPr>
              <w:t>Achieved</w:t>
            </w:r>
          </w:p>
        </w:tc>
        <w:tc>
          <w:tcPr>
            <w:tcW w:w="4343" w:type="dxa"/>
          </w:tcPr>
          <w:p w14:paraId="50CCADD8" w14:textId="7DC0D891" w:rsidR="009B768E" w:rsidRPr="00625870" w:rsidRDefault="009B768E" w:rsidP="009B768E">
            <w:pPr>
              <w:rPr>
                <w:rFonts w:ascii="Arial" w:hAnsi="Arial" w:cs="Arial"/>
                <w:sz w:val="24"/>
                <w:szCs w:val="24"/>
              </w:rPr>
            </w:pPr>
            <w:r>
              <w:rPr>
                <w:rFonts w:ascii="Arial" w:hAnsi="Arial" w:cs="Arial"/>
                <w:sz w:val="24"/>
                <w:szCs w:val="24"/>
              </w:rPr>
              <w:t>We have worked with Police Scotland to successfully develop capability to investigate criminal offences in Scotland and have opened cases looking at serious fraud related to Covid-19 financial support schemes.</w:t>
            </w:r>
          </w:p>
        </w:tc>
      </w:tr>
      <w:tr w:rsidR="009B768E" w14:paraId="4ECCADAF" w14:textId="77777777">
        <w:tc>
          <w:tcPr>
            <w:tcW w:w="3256" w:type="dxa"/>
          </w:tcPr>
          <w:p w14:paraId="322B23E1" w14:textId="4FDFE819" w:rsidR="009B768E" w:rsidRDefault="009B768E" w:rsidP="009B768E">
            <w:pPr>
              <w:rPr>
                <w:rFonts w:ascii="Arial" w:hAnsi="Arial" w:cs="Arial"/>
                <w:sz w:val="24"/>
                <w:szCs w:val="24"/>
              </w:rPr>
            </w:pPr>
            <w:r>
              <w:rPr>
                <w:rFonts w:ascii="Arial" w:hAnsi="Arial" w:cs="Arial"/>
                <w:sz w:val="24"/>
                <w:szCs w:val="24"/>
              </w:rPr>
              <w:t>Improve our stakeholder engagement activity to enhance transparency and trust in relation to what we do.</w:t>
            </w:r>
          </w:p>
        </w:tc>
        <w:tc>
          <w:tcPr>
            <w:tcW w:w="1417" w:type="dxa"/>
          </w:tcPr>
          <w:p w14:paraId="3C0C414F" w14:textId="490A743E" w:rsidR="009B768E" w:rsidRDefault="009B768E" w:rsidP="009B768E">
            <w:pPr>
              <w:rPr>
                <w:rFonts w:ascii="Arial" w:hAnsi="Arial" w:cs="Arial"/>
                <w:sz w:val="24"/>
                <w:szCs w:val="24"/>
              </w:rPr>
            </w:pPr>
            <w:r>
              <w:rPr>
                <w:rFonts w:ascii="Arial" w:hAnsi="Arial" w:cs="Arial"/>
                <w:sz w:val="24"/>
                <w:szCs w:val="24"/>
              </w:rPr>
              <w:t>Achieved</w:t>
            </w:r>
          </w:p>
        </w:tc>
        <w:tc>
          <w:tcPr>
            <w:tcW w:w="4343" w:type="dxa"/>
          </w:tcPr>
          <w:p w14:paraId="3D3253FC" w14:textId="0003CC6F" w:rsidR="009B768E" w:rsidRDefault="009B768E" w:rsidP="009B768E">
            <w:pPr>
              <w:rPr>
                <w:rFonts w:ascii="Arial" w:hAnsi="Arial" w:cs="Arial"/>
                <w:sz w:val="24"/>
                <w:szCs w:val="24"/>
              </w:rPr>
            </w:pPr>
            <w:r>
              <w:rPr>
                <w:rFonts w:ascii="Arial" w:hAnsi="Arial" w:cs="Arial"/>
                <w:sz w:val="24"/>
                <w:szCs w:val="24"/>
              </w:rPr>
              <w:t>We have increased our promotion of our enforcement activity externally, including relevant fraud forums and continue to actively share intelligence information with a range of partners including HMRC, the National Crime Agency and the Home Office.</w:t>
            </w:r>
          </w:p>
        </w:tc>
      </w:tr>
    </w:tbl>
    <w:p w14:paraId="1C9312CA" w14:textId="77777777" w:rsidR="00DC28DA" w:rsidRDefault="00DC28DA" w:rsidP="00E901B0">
      <w:pPr>
        <w:rPr>
          <w:rFonts w:ascii="Arial" w:hAnsi="Arial" w:cs="Arial"/>
          <w:b/>
          <w:bCs/>
          <w:sz w:val="24"/>
          <w:szCs w:val="24"/>
        </w:rPr>
      </w:pPr>
    </w:p>
    <w:p w14:paraId="57BF22DB" w14:textId="5B77C37A" w:rsidR="00AB0545" w:rsidRDefault="00904E2D" w:rsidP="00CF5792">
      <w:pPr>
        <w:pStyle w:val="Heading4"/>
        <w:rPr>
          <w:rFonts w:cs="Arial"/>
          <w:b w:val="0"/>
          <w:sz w:val="24"/>
          <w:szCs w:val="24"/>
        </w:rPr>
      </w:pPr>
      <w:r>
        <w:t>How we performed</w:t>
      </w:r>
    </w:p>
    <w:tbl>
      <w:tblPr>
        <w:tblStyle w:val="TableGrid"/>
        <w:tblW w:w="0" w:type="auto"/>
        <w:tblLook w:val="04A0" w:firstRow="1" w:lastRow="0" w:firstColumn="1" w:lastColumn="0" w:noHBand="0" w:noVBand="1"/>
      </w:tblPr>
      <w:tblGrid>
        <w:gridCol w:w="4957"/>
        <w:gridCol w:w="1353"/>
        <w:gridCol w:w="1353"/>
        <w:gridCol w:w="1353"/>
      </w:tblGrid>
      <w:tr w:rsidR="00F01C1E" w14:paraId="58F08F53" w14:textId="77777777" w:rsidTr="00336CE9">
        <w:tc>
          <w:tcPr>
            <w:tcW w:w="9016" w:type="dxa"/>
            <w:gridSpan w:val="4"/>
            <w:shd w:val="clear" w:color="auto" w:fill="5B9BD5" w:themeFill="accent5"/>
          </w:tcPr>
          <w:p w14:paraId="1F27E7B3" w14:textId="3CA6845D" w:rsidR="00F01C1E" w:rsidRPr="00904E2D" w:rsidRDefault="00F01C1E" w:rsidP="00E901B0">
            <w:pPr>
              <w:rPr>
                <w:rFonts w:ascii="Arial" w:hAnsi="Arial" w:cs="Arial"/>
                <w:b/>
                <w:bCs/>
                <w:sz w:val="24"/>
                <w:szCs w:val="24"/>
              </w:rPr>
            </w:pPr>
            <w:r w:rsidRPr="00336CE9">
              <w:rPr>
                <w:rFonts w:ascii="Arial" w:hAnsi="Arial" w:cs="Arial"/>
                <w:b/>
                <w:bCs/>
                <w:color w:val="FFFFFF" w:themeColor="background1"/>
                <w:sz w:val="24"/>
                <w:szCs w:val="24"/>
              </w:rPr>
              <w:t>Tackling financial wrongdoing</w:t>
            </w:r>
          </w:p>
        </w:tc>
      </w:tr>
      <w:tr w:rsidR="00F01C1E" w14:paraId="50FAB4E0" w14:textId="77777777" w:rsidTr="00F01C1E">
        <w:tc>
          <w:tcPr>
            <w:tcW w:w="4957" w:type="dxa"/>
          </w:tcPr>
          <w:p w14:paraId="1FB74011" w14:textId="77777777" w:rsidR="00F01C1E" w:rsidRDefault="00F01C1E" w:rsidP="00E901B0">
            <w:pPr>
              <w:rPr>
                <w:rFonts w:ascii="Arial" w:hAnsi="Arial" w:cs="Arial"/>
                <w:sz w:val="24"/>
                <w:szCs w:val="24"/>
              </w:rPr>
            </w:pPr>
          </w:p>
        </w:tc>
        <w:tc>
          <w:tcPr>
            <w:tcW w:w="1353" w:type="dxa"/>
          </w:tcPr>
          <w:p w14:paraId="542188A4" w14:textId="221C8531" w:rsidR="00F01C1E" w:rsidRPr="00F01C1E" w:rsidRDefault="00F01C1E" w:rsidP="00227BBB">
            <w:pPr>
              <w:jc w:val="center"/>
              <w:rPr>
                <w:rFonts w:ascii="Arial" w:hAnsi="Arial" w:cs="Arial"/>
                <w:b/>
                <w:bCs/>
                <w:sz w:val="24"/>
                <w:szCs w:val="24"/>
              </w:rPr>
            </w:pPr>
            <w:r w:rsidRPr="00F01C1E">
              <w:rPr>
                <w:rFonts w:ascii="Arial" w:hAnsi="Arial" w:cs="Arial"/>
                <w:b/>
                <w:bCs/>
                <w:sz w:val="24"/>
                <w:szCs w:val="24"/>
              </w:rPr>
              <w:t>2023-24</w:t>
            </w:r>
          </w:p>
        </w:tc>
        <w:tc>
          <w:tcPr>
            <w:tcW w:w="1353" w:type="dxa"/>
          </w:tcPr>
          <w:p w14:paraId="7B722893" w14:textId="00C7FC44" w:rsidR="00F01C1E" w:rsidRPr="00F01C1E" w:rsidRDefault="00F01C1E" w:rsidP="00227BBB">
            <w:pPr>
              <w:jc w:val="center"/>
              <w:rPr>
                <w:rFonts w:ascii="Arial" w:hAnsi="Arial" w:cs="Arial"/>
                <w:b/>
                <w:bCs/>
                <w:sz w:val="24"/>
                <w:szCs w:val="24"/>
              </w:rPr>
            </w:pPr>
            <w:r w:rsidRPr="00F01C1E">
              <w:rPr>
                <w:rFonts w:ascii="Arial" w:hAnsi="Arial" w:cs="Arial"/>
                <w:b/>
                <w:bCs/>
                <w:sz w:val="24"/>
                <w:szCs w:val="24"/>
              </w:rPr>
              <w:t>2022-23</w:t>
            </w:r>
          </w:p>
        </w:tc>
        <w:tc>
          <w:tcPr>
            <w:tcW w:w="1353" w:type="dxa"/>
          </w:tcPr>
          <w:p w14:paraId="2583EBD3" w14:textId="5461D403" w:rsidR="00F01C1E" w:rsidRPr="00F01C1E" w:rsidRDefault="00F01C1E" w:rsidP="00227BBB">
            <w:pPr>
              <w:jc w:val="center"/>
              <w:rPr>
                <w:rFonts w:ascii="Arial" w:hAnsi="Arial" w:cs="Arial"/>
                <w:b/>
                <w:bCs/>
                <w:sz w:val="24"/>
                <w:szCs w:val="24"/>
              </w:rPr>
            </w:pPr>
            <w:r w:rsidRPr="00F01C1E">
              <w:rPr>
                <w:rFonts w:ascii="Arial" w:hAnsi="Arial" w:cs="Arial"/>
                <w:b/>
                <w:bCs/>
                <w:sz w:val="24"/>
                <w:szCs w:val="24"/>
              </w:rPr>
              <w:t>2021-22</w:t>
            </w:r>
          </w:p>
        </w:tc>
      </w:tr>
      <w:tr w:rsidR="00F01C1E" w14:paraId="6C467E55" w14:textId="77777777" w:rsidTr="00F01C1E">
        <w:tc>
          <w:tcPr>
            <w:tcW w:w="4957" w:type="dxa"/>
          </w:tcPr>
          <w:p w14:paraId="41DB250F" w14:textId="639E2DE2" w:rsidR="00F01C1E" w:rsidRDefault="00227BBB" w:rsidP="00E901B0">
            <w:pPr>
              <w:rPr>
                <w:rFonts w:ascii="Arial" w:hAnsi="Arial" w:cs="Arial"/>
                <w:sz w:val="24"/>
                <w:szCs w:val="24"/>
              </w:rPr>
            </w:pPr>
            <w:r>
              <w:rPr>
                <w:rFonts w:ascii="Arial" w:hAnsi="Arial" w:cs="Arial"/>
                <w:sz w:val="24"/>
                <w:szCs w:val="24"/>
              </w:rPr>
              <w:t>Criminal prosecutions</w:t>
            </w:r>
          </w:p>
        </w:tc>
        <w:tc>
          <w:tcPr>
            <w:tcW w:w="1353" w:type="dxa"/>
          </w:tcPr>
          <w:p w14:paraId="0F29869F" w14:textId="1C0611E6" w:rsidR="00F01C1E" w:rsidRDefault="00227BBB" w:rsidP="00227BBB">
            <w:pPr>
              <w:jc w:val="center"/>
              <w:rPr>
                <w:rFonts w:ascii="Arial" w:hAnsi="Arial" w:cs="Arial"/>
                <w:sz w:val="24"/>
                <w:szCs w:val="24"/>
              </w:rPr>
            </w:pPr>
            <w:r>
              <w:rPr>
                <w:rFonts w:ascii="Arial" w:hAnsi="Arial" w:cs="Arial"/>
                <w:sz w:val="24"/>
                <w:szCs w:val="24"/>
              </w:rPr>
              <w:t>8</w:t>
            </w:r>
            <w:r w:rsidR="0038487A">
              <w:rPr>
                <w:rFonts w:ascii="Arial" w:hAnsi="Arial" w:cs="Arial"/>
                <w:sz w:val="24"/>
                <w:szCs w:val="24"/>
              </w:rPr>
              <w:t>7</w:t>
            </w:r>
          </w:p>
        </w:tc>
        <w:tc>
          <w:tcPr>
            <w:tcW w:w="1353" w:type="dxa"/>
          </w:tcPr>
          <w:p w14:paraId="247D2F2C" w14:textId="470CB180" w:rsidR="00F01C1E" w:rsidRDefault="00227BBB" w:rsidP="00227BBB">
            <w:pPr>
              <w:jc w:val="center"/>
              <w:rPr>
                <w:rFonts w:ascii="Arial" w:hAnsi="Arial" w:cs="Arial"/>
                <w:sz w:val="24"/>
                <w:szCs w:val="24"/>
              </w:rPr>
            </w:pPr>
            <w:r>
              <w:rPr>
                <w:rFonts w:ascii="Arial" w:hAnsi="Arial" w:cs="Arial"/>
                <w:sz w:val="24"/>
                <w:szCs w:val="24"/>
              </w:rPr>
              <w:t>113</w:t>
            </w:r>
          </w:p>
        </w:tc>
        <w:tc>
          <w:tcPr>
            <w:tcW w:w="1353" w:type="dxa"/>
          </w:tcPr>
          <w:p w14:paraId="471E30E4" w14:textId="4E70D969" w:rsidR="00F01C1E" w:rsidRDefault="00227BBB" w:rsidP="00227BBB">
            <w:pPr>
              <w:jc w:val="center"/>
              <w:rPr>
                <w:rFonts w:ascii="Arial" w:hAnsi="Arial" w:cs="Arial"/>
                <w:sz w:val="24"/>
                <w:szCs w:val="24"/>
              </w:rPr>
            </w:pPr>
            <w:r>
              <w:rPr>
                <w:rFonts w:ascii="Arial" w:hAnsi="Arial" w:cs="Arial"/>
                <w:sz w:val="24"/>
                <w:szCs w:val="24"/>
              </w:rPr>
              <w:t>119</w:t>
            </w:r>
          </w:p>
        </w:tc>
      </w:tr>
      <w:tr w:rsidR="00F01C1E" w14:paraId="324D4217" w14:textId="77777777" w:rsidTr="00F01C1E">
        <w:tc>
          <w:tcPr>
            <w:tcW w:w="4957" w:type="dxa"/>
          </w:tcPr>
          <w:p w14:paraId="3CF9CA32" w14:textId="387DA8EC" w:rsidR="00F01C1E" w:rsidRDefault="00227BBB" w:rsidP="00E901B0">
            <w:pPr>
              <w:rPr>
                <w:rFonts w:ascii="Arial" w:hAnsi="Arial" w:cs="Arial"/>
                <w:sz w:val="24"/>
                <w:szCs w:val="24"/>
              </w:rPr>
            </w:pPr>
            <w:r>
              <w:rPr>
                <w:rFonts w:ascii="Arial" w:hAnsi="Arial" w:cs="Arial"/>
                <w:sz w:val="24"/>
                <w:szCs w:val="24"/>
              </w:rPr>
              <w:t>Live company investigations</w:t>
            </w:r>
          </w:p>
        </w:tc>
        <w:tc>
          <w:tcPr>
            <w:tcW w:w="1353" w:type="dxa"/>
          </w:tcPr>
          <w:p w14:paraId="55CEAB51" w14:textId="778852B4" w:rsidR="00F01C1E" w:rsidRDefault="00E8579F" w:rsidP="00227BBB">
            <w:pPr>
              <w:jc w:val="center"/>
              <w:rPr>
                <w:rFonts w:ascii="Arial" w:hAnsi="Arial" w:cs="Arial"/>
                <w:sz w:val="24"/>
                <w:szCs w:val="24"/>
              </w:rPr>
            </w:pPr>
            <w:r>
              <w:rPr>
                <w:rFonts w:ascii="Arial" w:hAnsi="Arial" w:cs="Arial"/>
                <w:sz w:val="24"/>
                <w:szCs w:val="24"/>
              </w:rPr>
              <w:t>139</w:t>
            </w:r>
          </w:p>
        </w:tc>
        <w:tc>
          <w:tcPr>
            <w:tcW w:w="1353" w:type="dxa"/>
          </w:tcPr>
          <w:p w14:paraId="226592D7" w14:textId="7B063275" w:rsidR="00F01C1E" w:rsidRDefault="00E8579F" w:rsidP="00227BBB">
            <w:pPr>
              <w:jc w:val="center"/>
              <w:rPr>
                <w:rFonts w:ascii="Arial" w:hAnsi="Arial" w:cs="Arial"/>
                <w:sz w:val="24"/>
                <w:szCs w:val="24"/>
              </w:rPr>
            </w:pPr>
            <w:r>
              <w:rPr>
                <w:rFonts w:ascii="Arial" w:hAnsi="Arial" w:cs="Arial"/>
                <w:sz w:val="24"/>
                <w:szCs w:val="24"/>
              </w:rPr>
              <w:t>152</w:t>
            </w:r>
          </w:p>
        </w:tc>
        <w:tc>
          <w:tcPr>
            <w:tcW w:w="1353" w:type="dxa"/>
          </w:tcPr>
          <w:p w14:paraId="748F2361" w14:textId="400231B2" w:rsidR="00F01C1E" w:rsidRDefault="00E8579F" w:rsidP="00227BBB">
            <w:pPr>
              <w:jc w:val="center"/>
              <w:rPr>
                <w:rFonts w:ascii="Arial" w:hAnsi="Arial" w:cs="Arial"/>
                <w:sz w:val="24"/>
                <w:szCs w:val="24"/>
              </w:rPr>
            </w:pPr>
            <w:r>
              <w:rPr>
                <w:rFonts w:ascii="Arial" w:hAnsi="Arial" w:cs="Arial"/>
                <w:sz w:val="24"/>
                <w:szCs w:val="24"/>
              </w:rPr>
              <w:t>168</w:t>
            </w:r>
          </w:p>
        </w:tc>
      </w:tr>
      <w:tr w:rsidR="00F01C1E" w14:paraId="3A123446" w14:textId="77777777" w:rsidTr="00F01C1E">
        <w:tc>
          <w:tcPr>
            <w:tcW w:w="4957" w:type="dxa"/>
          </w:tcPr>
          <w:p w14:paraId="58ED3DF4" w14:textId="440409D8" w:rsidR="00F01C1E" w:rsidRDefault="00E8579F" w:rsidP="00E901B0">
            <w:pPr>
              <w:rPr>
                <w:rFonts w:ascii="Arial" w:hAnsi="Arial" w:cs="Arial"/>
                <w:sz w:val="24"/>
                <w:szCs w:val="24"/>
              </w:rPr>
            </w:pPr>
            <w:r>
              <w:rPr>
                <w:rFonts w:ascii="Arial" w:hAnsi="Arial" w:cs="Arial"/>
                <w:sz w:val="24"/>
                <w:szCs w:val="24"/>
              </w:rPr>
              <w:t>Directors disqualified for misconduct</w:t>
            </w:r>
          </w:p>
        </w:tc>
        <w:tc>
          <w:tcPr>
            <w:tcW w:w="1353" w:type="dxa"/>
          </w:tcPr>
          <w:p w14:paraId="206E8C10" w14:textId="4176AA07" w:rsidR="00F01C1E" w:rsidRDefault="00E8579F" w:rsidP="00227BBB">
            <w:pPr>
              <w:jc w:val="center"/>
              <w:rPr>
                <w:rFonts w:ascii="Arial" w:hAnsi="Arial" w:cs="Arial"/>
                <w:sz w:val="24"/>
                <w:szCs w:val="24"/>
              </w:rPr>
            </w:pPr>
            <w:r>
              <w:rPr>
                <w:rFonts w:ascii="Arial" w:hAnsi="Arial" w:cs="Arial"/>
                <w:sz w:val="24"/>
                <w:szCs w:val="24"/>
              </w:rPr>
              <w:t>1,2</w:t>
            </w:r>
            <w:r w:rsidR="004C2098">
              <w:rPr>
                <w:rFonts w:ascii="Arial" w:hAnsi="Arial" w:cs="Arial"/>
                <w:sz w:val="24"/>
                <w:szCs w:val="24"/>
              </w:rPr>
              <w:t>22</w:t>
            </w:r>
          </w:p>
        </w:tc>
        <w:tc>
          <w:tcPr>
            <w:tcW w:w="1353" w:type="dxa"/>
          </w:tcPr>
          <w:p w14:paraId="68EA10BE" w14:textId="54B5072F" w:rsidR="00F01C1E" w:rsidRDefault="00E8579F" w:rsidP="00227BBB">
            <w:pPr>
              <w:jc w:val="center"/>
              <w:rPr>
                <w:rFonts w:ascii="Arial" w:hAnsi="Arial" w:cs="Arial"/>
                <w:sz w:val="24"/>
                <w:szCs w:val="24"/>
              </w:rPr>
            </w:pPr>
            <w:r>
              <w:rPr>
                <w:rFonts w:ascii="Arial" w:hAnsi="Arial" w:cs="Arial"/>
                <w:sz w:val="24"/>
                <w:szCs w:val="24"/>
              </w:rPr>
              <w:t>942</w:t>
            </w:r>
          </w:p>
        </w:tc>
        <w:tc>
          <w:tcPr>
            <w:tcW w:w="1353" w:type="dxa"/>
          </w:tcPr>
          <w:p w14:paraId="4C001429" w14:textId="2935D835" w:rsidR="00F01C1E" w:rsidRDefault="00E8579F" w:rsidP="00227BBB">
            <w:pPr>
              <w:jc w:val="center"/>
              <w:rPr>
                <w:rFonts w:ascii="Arial" w:hAnsi="Arial" w:cs="Arial"/>
                <w:sz w:val="24"/>
                <w:szCs w:val="24"/>
              </w:rPr>
            </w:pPr>
            <w:r>
              <w:rPr>
                <w:rFonts w:ascii="Arial" w:hAnsi="Arial" w:cs="Arial"/>
                <w:sz w:val="24"/>
                <w:szCs w:val="24"/>
              </w:rPr>
              <w:t>802</w:t>
            </w:r>
          </w:p>
        </w:tc>
      </w:tr>
      <w:tr w:rsidR="00F01C1E" w14:paraId="38540FF8" w14:textId="77777777" w:rsidTr="00F01C1E">
        <w:tc>
          <w:tcPr>
            <w:tcW w:w="4957" w:type="dxa"/>
          </w:tcPr>
          <w:p w14:paraId="676C30ED" w14:textId="6106EA81" w:rsidR="00F01C1E" w:rsidRDefault="00F90740" w:rsidP="00E901B0">
            <w:pPr>
              <w:rPr>
                <w:rFonts w:ascii="Arial" w:hAnsi="Arial" w:cs="Arial"/>
                <w:sz w:val="24"/>
                <w:szCs w:val="24"/>
              </w:rPr>
            </w:pPr>
            <w:r>
              <w:rPr>
                <w:rFonts w:ascii="Arial" w:hAnsi="Arial" w:cs="Arial"/>
                <w:sz w:val="24"/>
                <w:szCs w:val="24"/>
              </w:rPr>
              <w:t>Directors disqualified for more than 10 years</w:t>
            </w:r>
          </w:p>
        </w:tc>
        <w:tc>
          <w:tcPr>
            <w:tcW w:w="1353" w:type="dxa"/>
          </w:tcPr>
          <w:p w14:paraId="3C9DE996" w14:textId="72ED6635" w:rsidR="00F01C1E" w:rsidRDefault="00F90740" w:rsidP="00227BBB">
            <w:pPr>
              <w:jc w:val="center"/>
              <w:rPr>
                <w:rFonts w:ascii="Arial" w:hAnsi="Arial" w:cs="Arial"/>
                <w:sz w:val="24"/>
                <w:szCs w:val="24"/>
              </w:rPr>
            </w:pPr>
            <w:r>
              <w:rPr>
                <w:rFonts w:ascii="Arial" w:hAnsi="Arial" w:cs="Arial"/>
                <w:sz w:val="24"/>
                <w:szCs w:val="24"/>
              </w:rPr>
              <w:t>47.1%</w:t>
            </w:r>
          </w:p>
        </w:tc>
        <w:tc>
          <w:tcPr>
            <w:tcW w:w="1353" w:type="dxa"/>
          </w:tcPr>
          <w:p w14:paraId="1F64084C" w14:textId="09C43C8D" w:rsidR="00F01C1E" w:rsidRDefault="006D7461" w:rsidP="00227BBB">
            <w:pPr>
              <w:jc w:val="center"/>
              <w:rPr>
                <w:rFonts w:ascii="Arial" w:hAnsi="Arial" w:cs="Arial"/>
                <w:sz w:val="24"/>
                <w:szCs w:val="24"/>
              </w:rPr>
            </w:pPr>
            <w:r>
              <w:rPr>
                <w:rFonts w:ascii="Arial" w:hAnsi="Arial" w:cs="Arial"/>
                <w:sz w:val="24"/>
                <w:szCs w:val="24"/>
              </w:rPr>
              <w:t>30.9%</w:t>
            </w:r>
          </w:p>
        </w:tc>
        <w:tc>
          <w:tcPr>
            <w:tcW w:w="1353" w:type="dxa"/>
          </w:tcPr>
          <w:p w14:paraId="1116F224" w14:textId="4C1A9B42" w:rsidR="00F01C1E" w:rsidRDefault="006D7461" w:rsidP="00227BBB">
            <w:pPr>
              <w:jc w:val="center"/>
              <w:rPr>
                <w:rFonts w:ascii="Arial" w:hAnsi="Arial" w:cs="Arial"/>
                <w:sz w:val="24"/>
                <w:szCs w:val="24"/>
              </w:rPr>
            </w:pPr>
            <w:r>
              <w:rPr>
                <w:rFonts w:ascii="Arial" w:hAnsi="Arial" w:cs="Arial"/>
                <w:sz w:val="24"/>
                <w:szCs w:val="24"/>
              </w:rPr>
              <w:t>6%</w:t>
            </w:r>
          </w:p>
        </w:tc>
      </w:tr>
      <w:tr w:rsidR="00F90740" w14:paraId="22927B16" w14:textId="77777777" w:rsidTr="00F01C1E">
        <w:tc>
          <w:tcPr>
            <w:tcW w:w="4957" w:type="dxa"/>
          </w:tcPr>
          <w:p w14:paraId="209D5A3E" w14:textId="0DC7ABA3" w:rsidR="00F90740" w:rsidRDefault="006D7461" w:rsidP="00E901B0">
            <w:pPr>
              <w:rPr>
                <w:rFonts w:ascii="Arial" w:hAnsi="Arial" w:cs="Arial"/>
                <w:sz w:val="24"/>
                <w:szCs w:val="24"/>
              </w:rPr>
            </w:pPr>
            <w:r>
              <w:rPr>
                <w:rFonts w:ascii="Arial" w:hAnsi="Arial" w:cs="Arial"/>
                <w:sz w:val="24"/>
                <w:szCs w:val="24"/>
              </w:rPr>
              <w:t>Bankruptcy restrictions</w:t>
            </w:r>
          </w:p>
        </w:tc>
        <w:tc>
          <w:tcPr>
            <w:tcW w:w="1353" w:type="dxa"/>
          </w:tcPr>
          <w:p w14:paraId="4F9BCD5F" w14:textId="64979574" w:rsidR="00F90740" w:rsidRDefault="006D7461" w:rsidP="00227BBB">
            <w:pPr>
              <w:jc w:val="center"/>
              <w:rPr>
                <w:rFonts w:ascii="Arial" w:hAnsi="Arial" w:cs="Arial"/>
                <w:sz w:val="24"/>
                <w:szCs w:val="24"/>
              </w:rPr>
            </w:pPr>
            <w:r>
              <w:rPr>
                <w:rFonts w:ascii="Arial" w:hAnsi="Arial" w:cs="Arial"/>
                <w:sz w:val="24"/>
                <w:szCs w:val="24"/>
              </w:rPr>
              <w:t>134</w:t>
            </w:r>
          </w:p>
        </w:tc>
        <w:tc>
          <w:tcPr>
            <w:tcW w:w="1353" w:type="dxa"/>
          </w:tcPr>
          <w:p w14:paraId="27228EFA" w14:textId="014C47F6" w:rsidR="00F90740" w:rsidRDefault="006D7461" w:rsidP="00227BBB">
            <w:pPr>
              <w:jc w:val="center"/>
              <w:rPr>
                <w:rFonts w:ascii="Arial" w:hAnsi="Arial" w:cs="Arial"/>
                <w:sz w:val="24"/>
                <w:szCs w:val="24"/>
              </w:rPr>
            </w:pPr>
            <w:r>
              <w:rPr>
                <w:rFonts w:ascii="Arial" w:hAnsi="Arial" w:cs="Arial"/>
                <w:sz w:val="24"/>
                <w:szCs w:val="24"/>
              </w:rPr>
              <w:t>250</w:t>
            </w:r>
          </w:p>
        </w:tc>
        <w:tc>
          <w:tcPr>
            <w:tcW w:w="1353" w:type="dxa"/>
          </w:tcPr>
          <w:p w14:paraId="73D3E203" w14:textId="6101CA3D" w:rsidR="00F90740" w:rsidRDefault="006D7461" w:rsidP="00227BBB">
            <w:pPr>
              <w:jc w:val="center"/>
              <w:rPr>
                <w:rFonts w:ascii="Arial" w:hAnsi="Arial" w:cs="Arial"/>
                <w:sz w:val="24"/>
                <w:szCs w:val="24"/>
              </w:rPr>
            </w:pPr>
            <w:r>
              <w:rPr>
                <w:rFonts w:ascii="Arial" w:hAnsi="Arial" w:cs="Arial"/>
                <w:sz w:val="24"/>
                <w:szCs w:val="24"/>
              </w:rPr>
              <w:t>319</w:t>
            </w:r>
          </w:p>
        </w:tc>
      </w:tr>
    </w:tbl>
    <w:p w14:paraId="1BF1A60A" w14:textId="77777777" w:rsidR="00904E2D" w:rsidRPr="00904E2D" w:rsidRDefault="00904E2D" w:rsidP="00E901B0">
      <w:pPr>
        <w:rPr>
          <w:rFonts w:ascii="Arial" w:hAnsi="Arial" w:cs="Arial"/>
          <w:sz w:val="24"/>
          <w:szCs w:val="24"/>
        </w:rPr>
      </w:pPr>
    </w:p>
    <w:tbl>
      <w:tblPr>
        <w:tblStyle w:val="TableGrid"/>
        <w:tblW w:w="0" w:type="auto"/>
        <w:tblLook w:val="04A0" w:firstRow="1" w:lastRow="0" w:firstColumn="1" w:lastColumn="0" w:noHBand="0" w:noVBand="1"/>
      </w:tblPr>
      <w:tblGrid>
        <w:gridCol w:w="4957"/>
        <w:gridCol w:w="1353"/>
        <w:gridCol w:w="1353"/>
        <w:gridCol w:w="1353"/>
      </w:tblGrid>
      <w:tr w:rsidR="00D72C39" w14:paraId="12B3855B" w14:textId="77777777" w:rsidTr="00336CE9">
        <w:tc>
          <w:tcPr>
            <w:tcW w:w="9016" w:type="dxa"/>
            <w:gridSpan w:val="4"/>
            <w:shd w:val="clear" w:color="auto" w:fill="5B9BD5" w:themeFill="accent5"/>
          </w:tcPr>
          <w:p w14:paraId="187319DA" w14:textId="1C801FD8" w:rsidR="00D72C39" w:rsidRPr="00904E2D" w:rsidRDefault="00D72C39">
            <w:pPr>
              <w:rPr>
                <w:rFonts w:ascii="Arial" w:hAnsi="Arial" w:cs="Arial"/>
                <w:b/>
                <w:bCs/>
                <w:sz w:val="24"/>
                <w:szCs w:val="24"/>
              </w:rPr>
            </w:pPr>
            <w:bookmarkStart w:id="2" w:name="_Hlk165629000"/>
            <w:r w:rsidRPr="00336CE9">
              <w:rPr>
                <w:rFonts w:ascii="Arial" w:hAnsi="Arial" w:cs="Arial"/>
                <w:b/>
                <w:bCs/>
                <w:color w:val="FFFFFF" w:themeColor="background1"/>
                <w:sz w:val="24"/>
                <w:szCs w:val="24"/>
              </w:rPr>
              <w:t>Performance measures</w:t>
            </w:r>
          </w:p>
        </w:tc>
      </w:tr>
      <w:tr w:rsidR="00D72C39" w14:paraId="7F9E0928" w14:textId="77777777">
        <w:tc>
          <w:tcPr>
            <w:tcW w:w="4957" w:type="dxa"/>
          </w:tcPr>
          <w:p w14:paraId="0C0FC0A4" w14:textId="77777777" w:rsidR="00D72C39" w:rsidRDefault="00D72C39">
            <w:pPr>
              <w:rPr>
                <w:rFonts w:ascii="Arial" w:hAnsi="Arial" w:cs="Arial"/>
                <w:sz w:val="24"/>
                <w:szCs w:val="24"/>
              </w:rPr>
            </w:pPr>
          </w:p>
        </w:tc>
        <w:tc>
          <w:tcPr>
            <w:tcW w:w="1353" w:type="dxa"/>
          </w:tcPr>
          <w:p w14:paraId="535DF91E" w14:textId="77777777" w:rsidR="00D72C39" w:rsidRPr="00F01C1E" w:rsidRDefault="00D72C39">
            <w:pPr>
              <w:jc w:val="center"/>
              <w:rPr>
                <w:rFonts w:ascii="Arial" w:hAnsi="Arial" w:cs="Arial"/>
                <w:b/>
                <w:bCs/>
                <w:sz w:val="24"/>
                <w:szCs w:val="24"/>
              </w:rPr>
            </w:pPr>
            <w:r w:rsidRPr="00F01C1E">
              <w:rPr>
                <w:rFonts w:ascii="Arial" w:hAnsi="Arial" w:cs="Arial"/>
                <w:b/>
                <w:bCs/>
                <w:sz w:val="24"/>
                <w:szCs w:val="24"/>
              </w:rPr>
              <w:t>2023-24</w:t>
            </w:r>
          </w:p>
        </w:tc>
        <w:tc>
          <w:tcPr>
            <w:tcW w:w="1353" w:type="dxa"/>
          </w:tcPr>
          <w:p w14:paraId="572ACDD0" w14:textId="77777777" w:rsidR="00D72C39" w:rsidRPr="00F01C1E" w:rsidRDefault="00D72C39">
            <w:pPr>
              <w:jc w:val="center"/>
              <w:rPr>
                <w:rFonts w:ascii="Arial" w:hAnsi="Arial" w:cs="Arial"/>
                <w:b/>
                <w:bCs/>
                <w:sz w:val="24"/>
                <w:szCs w:val="24"/>
              </w:rPr>
            </w:pPr>
            <w:r w:rsidRPr="00F01C1E">
              <w:rPr>
                <w:rFonts w:ascii="Arial" w:hAnsi="Arial" w:cs="Arial"/>
                <w:b/>
                <w:bCs/>
                <w:sz w:val="24"/>
                <w:szCs w:val="24"/>
              </w:rPr>
              <w:t>2022-23</w:t>
            </w:r>
          </w:p>
        </w:tc>
        <w:tc>
          <w:tcPr>
            <w:tcW w:w="1353" w:type="dxa"/>
          </w:tcPr>
          <w:p w14:paraId="20267D34" w14:textId="77777777" w:rsidR="00D72C39" w:rsidRPr="00F01C1E" w:rsidRDefault="00D72C39">
            <w:pPr>
              <w:jc w:val="center"/>
              <w:rPr>
                <w:rFonts w:ascii="Arial" w:hAnsi="Arial" w:cs="Arial"/>
                <w:b/>
                <w:bCs/>
                <w:sz w:val="24"/>
                <w:szCs w:val="24"/>
              </w:rPr>
            </w:pPr>
            <w:r w:rsidRPr="00F01C1E">
              <w:rPr>
                <w:rFonts w:ascii="Arial" w:hAnsi="Arial" w:cs="Arial"/>
                <w:b/>
                <w:bCs/>
                <w:sz w:val="24"/>
                <w:szCs w:val="24"/>
              </w:rPr>
              <w:t>2021-22</w:t>
            </w:r>
          </w:p>
        </w:tc>
      </w:tr>
      <w:tr w:rsidR="00D72C39" w14:paraId="1612C7EE" w14:textId="77777777" w:rsidTr="004D5FBE">
        <w:tc>
          <w:tcPr>
            <w:tcW w:w="4957" w:type="dxa"/>
          </w:tcPr>
          <w:p w14:paraId="6CD2387E" w14:textId="5CFC6E03" w:rsidR="00D72C39" w:rsidRDefault="00D72C39">
            <w:pPr>
              <w:rPr>
                <w:rFonts w:ascii="Arial" w:hAnsi="Arial" w:cs="Arial"/>
                <w:sz w:val="24"/>
                <w:szCs w:val="24"/>
              </w:rPr>
            </w:pPr>
            <w:r>
              <w:rPr>
                <w:rFonts w:ascii="Arial" w:hAnsi="Arial" w:cs="Arial"/>
                <w:sz w:val="24"/>
                <w:szCs w:val="24"/>
              </w:rPr>
              <w:t xml:space="preserve">Covid-19 Support Scheme misconduct and fraud related outcomes as a percentage </w:t>
            </w:r>
            <w:r w:rsidR="004D5FBE">
              <w:rPr>
                <w:rFonts w:ascii="Arial" w:hAnsi="Arial" w:cs="Arial"/>
                <w:sz w:val="24"/>
                <w:szCs w:val="24"/>
              </w:rPr>
              <w:t>of all disqualification and criminal outcomes</w:t>
            </w:r>
          </w:p>
        </w:tc>
        <w:tc>
          <w:tcPr>
            <w:tcW w:w="1353" w:type="dxa"/>
            <w:vAlign w:val="center"/>
          </w:tcPr>
          <w:p w14:paraId="57CE2871" w14:textId="6172F673" w:rsidR="00D72C39" w:rsidRDefault="006D4537" w:rsidP="004D5FBE">
            <w:pPr>
              <w:jc w:val="center"/>
              <w:rPr>
                <w:rFonts w:ascii="Arial" w:hAnsi="Arial" w:cs="Arial"/>
                <w:sz w:val="24"/>
                <w:szCs w:val="24"/>
              </w:rPr>
            </w:pPr>
            <w:r>
              <w:rPr>
                <w:rFonts w:ascii="Arial" w:hAnsi="Arial" w:cs="Arial"/>
                <w:sz w:val="24"/>
                <w:szCs w:val="24"/>
              </w:rPr>
              <w:t>62%</w:t>
            </w:r>
          </w:p>
        </w:tc>
        <w:tc>
          <w:tcPr>
            <w:tcW w:w="1353" w:type="dxa"/>
            <w:vAlign w:val="center"/>
          </w:tcPr>
          <w:p w14:paraId="1AF25BD5" w14:textId="21798FEF" w:rsidR="00D72C39" w:rsidRDefault="006D4537" w:rsidP="004D5FBE">
            <w:pPr>
              <w:jc w:val="center"/>
              <w:rPr>
                <w:rFonts w:ascii="Arial" w:hAnsi="Arial" w:cs="Arial"/>
                <w:sz w:val="24"/>
                <w:szCs w:val="24"/>
              </w:rPr>
            </w:pPr>
            <w:r>
              <w:rPr>
                <w:rFonts w:ascii="Arial" w:hAnsi="Arial" w:cs="Arial"/>
                <w:sz w:val="24"/>
                <w:szCs w:val="24"/>
              </w:rPr>
              <w:t>48%</w:t>
            </w:r>
          </w:p>
        </w:tc>
        <w:tc>
          <w:tcPr>
            <w:tcW w:w="1353" w:type="dxa"/>
            <w:vAlign w:val="center"/>
          </w:tcPr>
          <w:p w14:paraId="5EB9B99E" w14:textId="40F0C235" w:rsidR="00D72C39" w:rsidRDefault="006D4537" w:rsidP="004D5FBE">
            <w:pPr>
              <w:jc w:val="center"/>
              <w:rPr>
                <w:rFonts w:ascii="Arial" w:hAnsi="Arial" w:cs="Arial"/>
                <w:sz w:val="24"/>
                <w:szCs w:val="24"/>
              </w:rPr>
            </w:pPr>
            <w:r>
              <w:rPr>
                <w:rFonts w:ascii="Arial" w:hAnsi="Arial" w:cs="Arial"/>
                <w:sz w:val="24"/>
                <w:szCs w:val="24"/>
              </w:rPr>
              <w:t>16%</w:t>
            </w:r>
          </w:p>
        </w:tc>
      </w:tr>
      <w:bookmarkEnd w:id="2"/>
    </w:tbl>
    <w:p w14:paraId="38CD7695" w14:textId="77777777" w:rsidR="00BD72F2" w:rsidRDefault="00BD72F2" w:rsidP="006D4537">
      <w:pPr>
        <w:rPr>
          <w:rFonts w:ascii="Arial" w:hAnsi="Arial" w:cs="Arial"/>
          <w:color w:val="4472C4" w:themeColor="accent1"/>
          <w:sz w:val="24"/>
          <w:szCs w:val="24"/>
        </w:rPr>
      </w:pPr>
    </w:p>
    <w:p w14:paraId="40861D7A" w14:textId="3D4AF75D" w:rsidR="006D4537" w:rsidRDefault="006D4537" w:rsidP="00BD72F2">
      <w:pPr>
        <w:pStyle w:val="Heading4"/>
      </w:pPr>
      <w:r>
        <w:lastRenderedPageBreak/>
        <w:t>Performance analysis</w:t>
      </w:r>
    </w:p>
    <w:p w14:paraId="7FD1F49B" w14:textId="2305D4B9" w:rsidR="006D4537" w:rsidRDefault="008C27C4" w:rsidP="00CF5792">
      <w:pPr>
        <w:pStyle w:val="Heading4"/>
        <w:rPr>
          <w:rFonts w:cs="Arial"/>
          <w:b w:val="0"/>
          <w:sz w:val="24"/>
          <w:szCs w:val="24"/>
        </w:rPr>
      </w:pPr>
      <w:r>
        <w:t>Enforcement outcomes</w:t>
      </w:r>
    </w:p>
    <w:p w14:paraId="71BF1DB3" w14:textId="73E20800" w:rsidR="008C27C4" w:rsidRDefault="003D59E2" w:rsidP="00E901B0">
      <w:pPr>
        <w:rPr>
          <w:rFonts w:ascii="Arial" w:hAnsi="Arial" w:cs="Arial"/>
          <w:sz w:val="24"/>
          <w:szCs w:val="24"/>
        </w:rPr>
      </w:pPr>
      <w:r>
        <w:rPr>
          <w:rFonts w:ascii="Arial" w:hAnsi="Arial" w:cs="Arial"/>
          <w:sz w:val="24"/>
          <w:szCs w:val="24"/>
        </w:rPr>
        <w:t xml:space="preserve">Our commitment </w:t>
      </w:r>
      <w:r w:rsidR="00F273A6">
        <w:rPr>
          <w:rFonts w:ascii="Arial" w:hAnsi="Arial" w:cs="Arial"/>
          <w:sz w:val="24"/>
          <w:szCs w:val="24"/>
        </w:rPr>
        <w:t xml:space="preserve">to using </w:t>
      </w:r>
      <w:r w:rsidR="0056268B">
        <w:rPr>
          <w:rFonts w:ascii="Arial" w:hAnsi="Arial" w:cs="Arial"/>
          <w:sz w:val="24"/>
          <w:szCs w:val="24"/>
        </w:rPr>
        <w:t>our powers to tackle financial wrongdoing and help ensure a level playing field for business is demonstrated by the outcome of our investigation and enforcement activity throughout the year.</w:t>
      </w:r>
    </w:p>
    <w:p w14:paraId="1F9F8042" w14:textId="2162A0BB" w:rsidR="009C0F31" w:rsidRDefault="009C0F31" w:rsidP="00E901B0">
      <w:pPr>
        <w:rPr>
          <w:rFonts w:ascii="Arial" w:hAnsi="Arial" w:cs="Arial"/>
          <w:sz w:val="24"/>
          <w:szCs w:val="24"/>
        </w:rPr>
      </w:pPr>
      <w:r>
        <w:rPr>
          <w:rFonts w:ascii="Arial" w:hAnsi="Arial" w:cs="Arial"/>
          <w:sz w:val="24"/>
          <w:szCs w:val="24"/>
        </w:rPr>
        <w:t>In 2023-24</w:t>
      </w:r>
      <w:r w:rsidR="00F277E6">
        <w:rPr>
          <w:rFonts w:ascii="Arial" w:hAnsi="Arial" w:cs="Arial"/>
          <w:sz w:val="24"/>
          <w:szCs w:val="24"/>
        </w:rPr>
        <w:t xml:space="preserve"> there were:</w:t>
      </w:r>
    </w:p>
    <w:p w14:paraId="6EB6173B" w14:textId="1629893A" w:rsidR="00F277E6" w:rsidRDefault="00F277E6" w:rsidP="00F277E6">
      <w:pPr>
        <w:pStyle w:val="ListParagraph"/>
        <w:numPr>
          <w:ilvl w:val="0"/>
          <w:numId w:val="4"/>
        </w:numPr>
        <w:rPr>
          <w:rFonts w:ascii="Arial" w:hAnsi="Arial" w:cs="Arial"/>
          <w:sz w:val="24"/>
          <w:szCs w:val="24"/>
        </w:rPr>
      </w:pPr>
      <w:r>
        <w:rPr>
          <w:rFonts w:ascii="Arial" w:hAnsi="Arial" w:cs="Arial"/>
          <w:sz w:val="24"/>
          <w:szCs w:val="24"/>
        </w:rPr>
        <w:t>1,2</w:t>
      </w:r>
      <w:r w:rsidR="004B60E1">
        <w:rPr>
          <w:rFonts w:ascii="Arial" w:hAnsi="Arial" w:cs="Arial"/>
          <w:sz w:val="24"/>
          <w:szCs w:val="24"/>
        </w:rPr>
        <w:t>22</w:t>
      </w:r>
      <w:r>
        <w:rPr>
          <w:rFonts w:ascii="Arial" w:hAnsi="Arial" w:cs="Arial"/>
          <w:sz w:val="24"/>
          <w:szCs w:val="24"/>
        </w:rPr>
        <w:t xml:space="preserve"> director disqualifications</w:t>
      </w:r>
    </w:p>
    <w:p w14:paraId="03702EBE" w14:textId="62DC878D" w:rsidR="00F277E6" w:rsidRDefault="00F277E6" w:rsidP="00F277E6">
      <w:pPr>
        <w:pStyle w:val="ListParagraph"/>
        <w:numPr>
          <w:ilvl w:val="0"/>
          <w:numId w:val="4"/>
        </w:numPr>
        <w:rPr>
          <w:rFonts w:ascii="Arial" w:hAnsi="Arial" w:cs="Arial"/>
          <w:sz w:val="24"/>
          <w:szCs w:val="24"/>
        </w:rPr>
      </w:pPr>
      <w:r>
        <w:rPr>
          <w:rFonts w:ascii="Arial" w:hAnsi="Arial" w:cs="Arial"/>
          <w:sz w:val="24"/>
          <w:szCs w:val="24"/>
        </w:rPr>
        <w:t>134 bankruptcy restriction</w:t>
      </w:r>
      <w:r w:rsidR="00987C11">
        <w:rPr>
          <w:rFonts w:ascii="Arial" w:hAnsi="Arial" w:cs="Arial"/>
          <w:sz w:val="24"/>
          <w:szCs w:val="24"/>
        </w:rPr>
        <w:t>s</w:t>
      </w:r>
    </w:p>
    <w:p w14:paraId="313557D8" w14:textId="336CAC51" w:rsidR="00F277E6" w:rsidRDefault="00F277E6" w:rsidP="00F277E6">
      <w:pPr>
        <w:pStyle w:val="ListParagraph"/>
        <w:numPr>
          <w:ilvl w:val="0"/>
          <w:numId w:val="4"/>
        </w:numPr>
        <w:rPr>
          <w:rFonts w:ascii="Arial" w:hAnsi="Arial" w:cs="Arial"/>
          <w:sz w:val="24"/>
          <w:szCs w:val="24"/>
        </w:rPr>
      </w:pPr>
      <w:r>
        <w:rPr>
          <w:rFonts w:ascii="Arial" w:hAnsi="Arial" w:cs="Arial"/>
          <w:sz w:val="24"/>
          <w:szCs w:val="24"/>
        </w:rPr>
        <w:t>8</w:t>
      </w:r>
      <w:r w:rsidR="0044192D">
        <w:rPr>
          <w:rFonts w:ascii="Arial" w:hAnsi="Arial" w:cs="Arial"/>
          <w:sz w:val="24"/>
          <w:szCs w:val="24"/>
        </w:rPr>
        <w:t>7</w:t>
      </w:r>
      <w:r>
        <w:rPr>
          <w:rFonts w:ascii="Arial" w:hAnsi="Arial" w:cs="Arial"/>
          <w:sz w:val="24"/>
          <w:szCs w:val="24"/>
        </w:rPr>
        <w:t xml:space="preserve"> criminal </w:t>
      </w:r>
      <w:r w:rsidR="00B3313A">
        <w:rPr>
          <w:rFonts w:ascii="Arial" w:hAnsi="Arial" w:cs="Arial"/>
          <w:sz w:val="24"/>
          <w:szCs w:val="24"/>
        </w:rPr>
        <w:t>prosecutions</w:t>
      </w:r>
    </w:p>
    <w:p w14:paraId="207292CC" w14:textId="525A637A" w:rsidR="00551B17" w:rsidRDefault="00B3313A" w:rsidP="00B3313A">
      <w:pPr>
        <w:rPr>
          <w:rFonts w:ascii="Arial" w:hAnsi="Arial" w:cs="Arial"/>
          <w:sz w:val="24"/>
          <w:szCs w:val="24"/>
        </w:rPr>
      </w:pPr>
      <w:r>
        <w:rPr>
          <w:rFonts w:ascii="Arial" w:hAnsi="Arial" w:cs="Arial"/>
          <w:sz w:val="24"/>
          <w:szCs w:val="24"/>
        </w:rPr>
        <w:t>Th</w:t>
      </w:r>
      <w:r w:rsidR="00A16FEA">
        <w:rPr>
          <w:rFonts w:ascii="Arial" w:hAnsi="Arial" w:cs="Arial"/>
          <w:sz w:val="24"/>
          <w:szCs w:val="24"/>
        </w:rPr>
        <w:t>is year th</w:t>
      </w:r>
      <w:r>
        <w:rPr>
          <w:rFonts w:ascii="Arial" w:hAnsi="Arial" w:cs="Arial"/>
          <w:sz w:val="24"/>
          <w:szCs w:val="24"/>
        </w:rPr>
        <w:t>e average length of a disqualification increased to over 8.6 years from 7.4 years</w:t>
      </w:r>
      <w:r w:rsidR="00A16FEA">
        <w:rPr>
          <w:rFonts w:ascii="Arial" w:hAnsi="Arial" w:cs="Arial"/>
          <w:sz w:val="24"/>
          <w:szCs w:val="24"/>
        </w:rPr>
        <w:t xml:space="preserve"> and the </w:t>
      </w:r>
      <w:r w:rsidR="00551B17">
        <w:rPr>
          <w:rFonts w:ascii="Arial" w:hAnsi="Arial" w:cs="Arial"/>
          <w:sz w:val="24"/>
          <w:szCs w:val="24"/>
        </w:rPr>
        <w:t xml:space="preserve">average length of bankruptcy restrictions increased </w:t>
      </w:r>
      <w:r w:rsidR="00A16FEA">
        <w:rPr>
          <w:rFonts w:ascii="Arial" w:hAnsi="Arial" w:cs="Arial"/>
          <w:sz w:val="24"/>
          <w:szCs w:val="24"/>
        </w:rPr>
        <w:t>to 8.5 years from 6.3 years.</w:t>
      </w:r>
      <w:r w:rsidR="2603B062" w:rsidRPr="42A0C3AD">
        <w:rPr>
          <w:rFonts w:ascii="Arial" w:hAnsi="Arial" w:cs="Arial"/>
          <w:sz w:val="24"/>
          <w:szCs w:val="24"/>
        </w:rPr>
        <w:t xml:space="preserve"> This reflects the seriousness of the misconduct connected to Covid 19 support scheme abuse, which made up a greater proportion of our overall </w:t>
      </w:r>
      <w:r w:rsidR="1D9C12C8" w:rsidRPr="42A0C3AD">
        <w:rPr>
          <w:rFonts w:ascii="Arial" w:hAnsi="Arial" w:cs="Arial"/>
          <w:sz w:val="24"/>
          <w:szCs w:val="24"/>
        </w:rPr>
        <w:t>enforcement outcomes than in the previous years.</w:t>
      </w:r>
    </w:p>
    <w:p w14:paraId="73C2EB72" w14:textId="08FD391B" w:rsidR="00A8585E" w:rsidRDefault="00A8585E" w:rsidP="00B3313A">
      <w:pPr>
        <w:rPr>
          <w:rFonts w:ascii="Arial" w:hAnsi="Arial" w:cs="Arial"/>
          <w:sz w:val="24"/>
          <w:szCs w:val="24"/>
        </w:rPr>
      </w:pPr>
      <w:r>
        <w:rPr>
          <w:rFonts w:ascii="Arial" w:hAnsi="Arial" w:cs="Arial"/>
          <w:noProof/>
          <w:sz w:val="24"/>
          <w:szCs w:val="24"/>
        </w:rPr>
        <w:drawing>
          <wp:inline distT="0" distB="0" distL="0" distR="0" wp14:anchorId="291F4073" wp14:editId="3BE63F5D">
            <wp:extent cx="5276850" cy="23736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0995" cy="2388989"/>
                    </a:xfrm>
                    <a:prstGeom prst="rect">
                      <a:avLst/>
                    </a:prstGeom>
                    <a:noFill/>
                  </pic:spPr>
                </pic:pic>
              </a:graphicData>
            </a:graphic>
          </wp:inline>
        </w:drawing>
      </w:r>
    </w:p>
    <w:p w14:paraId="1B82153C" w14:textId="2B0EDB01" w:rsidR="00A8585E" w:rsidRPr="000B1DDD" w:rsidRDefault="000B1DDD" w:rsidP="00B3313A">
      <w:pPr>
        <w:rPr>
          <w:rFonts w:ascii="Arial" w:hAnsi="Arial" w:cs="Arial"/>
          <w:sz w:val="18"/>
          <w:szCs w:val="18"/>
        </w:rPr>
      </w:pPr>
      <w:r>
        <w:rPr>
          <w:rFonts w:ascii="Arial" w:hAnsi="Arial" w:cs="Arial"/>
          <w:sz w:val="18"/>
          <w:szCs w:val="18"/>
        </w:rPr>
        <w:t xml:space="preserve">Number of directors disqualified </w:t>
      </w:r>
      <w:r w:rsidR="00A21D1A">
        <w:rPr>
          <w:rFonts w:ascii="Arial" w:hAnsi="Arial" w:cs="Arial"/>
          <w:sz w:val="18"/>
          <w:szCs w:val="18"/>
        </w:rPr>
        <w:t>for misconduct</w:t>
      </w:r>
    </w:p>
    <w:p w14:paraId="6D30D54C" w14:textId="06CCA42C" w:rsidR="00A16FEA" w:rsidRDefault="006F7233" w:rsidP="00B3313A">
      <w:pPr>
        <w:rPr>
          <w:rFonts w:ascii="Arial" w:hAnsi="Arial" w:cs="Arial"/>
          <w:sz w:val="24"/>
          <w:szCs w:val="24"/>
        </w:rPr>
      </w:pPr>
      <w:r>
        <w:rPr>
          <w:rFonts w:ascii="Arial" w:hAnsi="Arial" w:cs="Arial"/>
          <w:sz w:val="24"/>
          <w:szCs w:val="24"/>
        </w:rPr>
        <w:t>During the year, 8</w:t>
      </w:r>
      <w:r w:rsidR="0044192D">
        <w:rPr>
          <w:rFonts w:ascii="Arial" w:hAnsi="Arial" w:cs="Arial"/>
          <w:sz w:val="24"/>
          <w:szCs w:val="24"/>
        </w:rPr>
        <w:t>7</w:t>
      </w:r>
      <w:r>
        <w:rPr>
          <w:rFonts w:ascii="Arial" w:hAnsi="Arial" w:cs="Arial"/>
          <w:sz w:val="24"/>
          <w:szCs w:val="24"/>
        </w:rPr>
        <w:t xml:space="preserve"> individuals facing criminal charges brought by the Agency were convicted.</w:t>
      </w:r>
      <w:r w:rsidR="009269A0">
        <w:rPr>
          <w:rFonts w:ascii="Arial" w:hAnsi="Arial" w:cs="Arial"/>
          <w:sz w:val="24"/>
          <w:szCs w:val="24"/>
        </w:rPr>
        <w:t xml:space="preserve"> 2</w:t>
      </w:r>
      <w:r w:rsidR="00261FF3">
        <w:rPr>
          <w:rFonts w:ascii="Arial" w:hAnsi="Arial" w:cs="Arial"/>
          <w:sz w:val="24"/>
          <w:szCs w:val="24"/>
        </w:rPr>
        <w:t>2</w:t>
      </w:r>
      <w:r w:rsidR="009269A0">
        <w:rPr>
          <w:rFonts w:ascii="Arial" w:hAnsi="Arial" w:cs="Arial"/>
          <w:sz w:val="24"/>
          <w:szCs w:val="24"/>
        </w:rPr>
        <w:t xml:space="preserve"> of these convictions related to Covid-19 support scheme misconduct of which 14 individuals were </w:t>
      </w:r>
      <w:r w:rsidR="008C6BF9">
        <w:rPr>
          <w:rFonts w:ascii="Arial" w:hAnsi="Arial" w:cs="Arial"/>
          <w:sz w:val="24"/>
          <w:szCs w:val="24"/>
        </w:rPr>
        <w:t>sentenced to imprisonment. There were 101 criminal sentencing</w:t>
      </w:r>
      <w:r w:rsidR="004003B7">
        <w:rPr>
          <w:rFonts w:ascii="Arial" w:hAnsi="Arial" w:cs="Arial"/>
          <w:sz w:val="24"/>
          <w:szCs w:val="24"/>
        </w:rPr>
        <w:t xml:space="preserve"> outcomes with financial orders such as fines, victim surcharges and compensation orders</w:t>
      </w:r>
      <w:r w:rsidR="00AD4488">
        <w:rPr>
          <w:rFonts w:ascii="Arial" w:hAnsi="Arial" w:cs="Arial"/>
          <w:sz w:val="24"/>
          <w:szCs w:val="24"/>
        </w:rPr>
        <w:t xml:space="preserve"> with a total value of £906,691. This included seven confiscation orders with a total value of £547,797.</w:t>
      </w:r>
    </w:p>
    <w:p w14:paraId="3D290D8E" w14:textId="30CC1C40" w:rsidR="00A94A11" w:rsidRDefault="00A94A11" w:rsidP="00B3313A">
      <w:pPr>
        <w:rPr>
          <w:rFonts w:ascii="Arial" w:hAnsi="Arial" w:cs="Arial"/>
          <w:sz w:val="24"/>
          <w:szCs w:val="24"/>
        </w:rPr>
      </w:pPr>
      <w:r>
        <w:rPr>
          <w:rFonts w:ascii="Arial" w:hAnsi="Arial" w:cs="Arial"/>
          <w:sz w:val="24"/>
          <w:szCs w:val="24"/>
        </w:rPr>
        <w:t>We undertook 139 investigations into live companies during the year</w:t>
      </w:r>
      <w:r w:rsidR="00BC131E">
        <w:rPr>
          <w:rFonts w:ascii="Arial" w:hAnsi="Arial" w:cs="Arial"/>
          <w:sz w:val="24"/>
          <w:szCs w:val="24"/>
        </w:rPr>
        <w:t xml:space="preserve"> </w:t>
      </w:r>
      <w:r w:rsidR="2BFC8FC6" w:rsidRPr="59C144B7">
        <w:rPr>
          <w:rFonts w:ascii="Arial" w:hAnsi="Arial" w:cs="Arial"/>
          <w:sz w:val="24"/>
          <w:szCs w:val="24"/>
        </w:rPr>
        <w:t xml:space="preserve">and obtained winding up orders in relation to </w:t>
      </w:r>
      <w:r>
        <w:rPr>
          <w:rFonts w:ascii="Arial" w:hAnsi="Arial" w:cs="Arial"/>
          <w:sz w:val="24"/>
          <w:szCs w:val="24"/>
        </w:rPr>
        <w:t>45 companies</w:t>
      </w:r>
      <w:r w:rsidR="27FD921B" w:rsidRPr="59C144B7">
        <w:rPr>
          <w:rFonts w:ascii="Arial" w:hAnsi="Arial" w:cs="Arial"/>
          <w:sz w:val="24"/>
          <w:szCs w:val="24"/>
        </w:rPr>
        <w:t>.</w:t>
      </w:r>
    </w:p>
    <w:p w14:paraId="4CEE2CEF" w14:textId="7C3B1C7B" w:rsidR="00ED31C9" w:rsidRDefault="00ED31C9" w:rsidP="00B3313A">
      <w:pPr>
        <w:rPr>
          <w:rFonts w:ascii="Arial" w:hAnsi="Arial" w:cs="Arial"/>
          <w:sz w:val="24"/>
          <w:szCs w:val="24"/>
        </w:rPr>
      </w:pPr>
      <w:r>
        <w:rPr>
          <w:rFonts w:ascii="Arial" w:hAnsi="Arial" w:cs="Arial"/>
          <w:sz w:val="24"/>
          <w:szCs w:val="24"/>
        </w:rPr>
        <w:t xml:space="preserve">More information on our Enforcement Outcomes can be found </w:t>
      </w:r>
      <w:hyperlink r:id="rId26" w:history="1">
        <w:r w:rsidRPr="00121568">
          <w:rPr>
            <w:rStyle w:val="Hyperlink"/>
            <w:rFonts w:ascii="Arial" w:hAnsi="Arial" w:cs="Arial"/>
            <w:sz w:val="24"/>
            <w:szCs w:val="24"/>
          </w:rPr>
          <w:t>here</w:t>
        </w:r>
      </w:hyperlink>
      <w:r>
        <w:rPr>
          <w:rFonts w:ascii="Arial" w:hAnsi="Arial" w:cs="Arial"/>
          <w:sz w:val="24"/>
          <w:szCs w:val="24"/>
        </w:rPr>
        <w:t>.</w:t>
      </w:r>
    </w:p>
    <w:p w14:paraId="336FF406" w14:textId="77777777" w:rsidR="0071060A" w:rsidRDefault="0071060A">
      <w:pPr>
        <w:rPr>
          <w:rFonts w:ascii="Arial" w:hAnsi="Arial" w:cs="Arial"/>
          <w:b/>
          <w:bCs/>
          <w:sz w:val="24"/>
          <w:szCs w:val="24"/>
        </w:rPr>
      </w:pPr>
      <w:r>
        <w:rPr>
          <w:rFonts w:ascii="Arial" w:hAnsi="Arial" w:cs="Arial"/>
          <w:b/>
          <w:bCs/>
          <w:sz w:val="24"/>
          <w:szCs w:val="24"/>
        </w:rPr>
        <w:br w:type="page"/>
      </w:r>
    </w:p>
    <w:p w14:paraId="58896D5A" w14:textId="6B1583D8" w:rsidR="000A44DE" w:rsidRDefault="000A44DE" w:rsidP="00CF5792">
      <w:pPr>
        <w:pStyle w:val="Heading4"/>
        <w:rPr>
          <w:rFonts w:cs="Arial"/>
          <w:b w:val="0"/>
          <w:sz w:val="24"/>
          <w:szCs w:val="24"/>
        </w:rPr>
      </w:pPr>
      <w:r>
        <w:lastRenderedPageBreak/>
        <w:t>Covid-19 Financial Support Misconduct</w:t>
      </w:r>
    </w:p>
    <w:p w14:paraId="041D0792" w14:textId="102AC60A" w:rsidR="00C26301" w:rsidRDefault="00C26301" w:rsidP="00B3313A">
      <w:pPr>
        <w:rPr>
          <w:rFonts w:ascii="Arial" w:hAnsi="Arial" w:cs="Arial"/>
          <w:sz w:val="24"/>
          <w:szCs w:val="24"/>
        </w:rPr>
      </w:pPr>
      <w:r>
        <w:rPr>
          <w:rFonts w:ascii="Arial" w:hAnsi="Arial" w:cs="Arial"/>
          <w:sz w:val="24"/>
          <w:szCs w:val="24"/>
        </w:rPr>
        <w:t>A continued area of focus for our work through the year has been misconduct in relation to Covid-19 Financial Support with 831</w:t>
      </w:r>
      <w:r w:rsidR="004F7707">
        <w:rPr>
          <w:rFonts w:ascii="Arial" w:hAnsi="Arial" w:cs="Arial"/>
          <w:sz w:val="24"/>
          <w:szCs w:val="24"/>
        </w:rPr>
        <w:t xml:space="preserve"> disqualification outcomes and 93 bankruptcy restrictions that included an allegation to misuse </w:t>
      </w:r>
      <w:r w:rsidR="00786A23">
        <w:rPr>
          <w:rFonts w:ascii="Arial" w:hAnsi="Arial" w:cs="Arial"/>
          <w:sz w:val="24"/>
          <w:szCs w:val="24"/>
        </w:rPr>
        <w:t>of one or more of these schemes. There have also been 2</w:t>
      </w:r>
      <w:r w:rsidR="00532CC6">
        <w:rPr>
          <w:rFonts w:ascii="Arial" w:hAnsi="Arial" w:cs="Arial"/>
          <w:sz w:val="24"/>
          <w:szCs w:val="24"/>
        </w:rPr>
        <w:t>2</w:t>
      </w:r>
      <w:r w:rsidR="00786A23">
        <w:rPr>
          <w:rFonts w:ascii="Arial" w:hAnsi="Arial" w:cs="Arial"/>
          <w:sz w:val="24"/>
          <w:szCs w:val="24"/>
        </w:rPr>
        <w:t xml:space="preserve"> criminal prosecutions for offences connected to the abuse </w:t>
      </w:r>
      <w:r w:rsidR="00DC330A">
        <w:rPr>
          <w:rFonts w:ascii="Arial" w:hAnsi="Arial" w:cs="Arial"/>
          <w:sz w:val="24"/>
          <w:szCs w:val="24"/>
        </w:rPr>
        <w:t>of one or more of these schemes.</w:t>
      </w:r>
    </w:p>
    <w:p w14:paraId="6126D30E" w14:textId="015425F1" w:rsidR="00DC330A" w:rsidRDefault="00DC330A" w:rsidP="00B3313A">
      <w:pPr>
        <w:rPr>
          <w:rFonts w:ascii="Arial" w:hAnsi="Arial" w:cs="Arial"/>
          <w:sz w:val="24"/>
          <w:szCs w:val="24"/>
        </w:rPr>
      </w:pPr>
      <w:r>
        <w:rPr>
          <w:rFonts w:ascii="Arial" w:hAnsi="Arial" w:cs="Arial"/>
          <w:sz w:val="24"/>
          <w:szCs w:val="24"/>
        </w:rPr>
        <w:t xml:space="preserve">We continued to receive additional funding to help investigate </w:t>
      </w:r>
      <w:r w:rsidR="00DD7334">
        <w:rPr>
          <w:rFonts w:ascii="Arial" w:hAnsi="Arial" w:cs="Arial"/>
          <w:sz w:val="24"/>
          <w:szCs w:val="24"/>
        </w:rPr>
        <w:t>this area of misconduct, which contributed to 200 of the 831 director disqualification outcomes</w:t>
      </w:r>
      <w:r w:rsidR="00C973DF">
        <w:rPr>
          <w:rFonts w:ascii="Arial" w:hAnsi="Arial" w:cs="Arial"/>
          <w:sz w:val="24"/>
          <w:szCs w:val="24"/>
        </w:rPr>
        <w:t xml:space="preserve"> that we obtained. </w:t>
      </w:r>
      <w:r w:rsidR="006607AD">
        <w:rPr>
          <w:rFonts w:ascii="Arial" w:hAnsi="Arial" w:cs="Arial"/>
          <w:sz w:val="24"/>
          <w:szCs w:val="24"/>
        </w:rPr>
        <w:t>This work will be continued in 2024-25.</w:t>
      </w:r>
    </w:p>
    <w:p w14:paraId="0034B817" w14:textId="746CC9D3" w:rsidR="006607AD" w:rsidRDefault="006607AD" w:rsidP="00B3313A">
      <w:pPr>
        <w:rPr>
          <w:rFonts w:ascii="Arial" w:hAnsi="Arial" w:cs="Arial"/>
          <w:sz w:val="24"/>
          <w:szCs w:val="24"/>
        </w:rPr>
      </w:pPr>
      <w:r>
        <w:rPr>
          <w:rFonts w:ascii="Arial" w:hAnsi="Arial" w:cs="Arial"/>
          <w:sz w:val="24"/>
          <w:szCs w:val="24"/>
        </w:rPr>
        <w:t>Alongside our enforcement work, we took steps to recover funds lost to the taxpayer</w:t>
      </w:r>
      <w:r w:rsidR="006D7BFE">
        <w:rPr>
          <w:rFonts w:ascii="Arial" w:hAnsi="Arial" w:cs="Arial"/>
          <w:sz w:val="24"/>
          <w:szCs w:val="24"/>
        </w:rPr>
        <w:t xml:space="preserve">. </w:t>
      </w:r>
      <w:r w:rsidR="00834DE5">
        <w:rPr>
          <w:rFonts w:ascii="Arial" w:hAnsi="Arial" w:cs="Arial"/>
          <w:sz w:val="24"/>
          <w:szCs w:val="24"/>
        </w:rPr>
        <w:t xml:space="preserve">This action has </w:t>
      </w:r>
      <w:r w:rsidR="00C03E1D">
        <w:rPr>
          <w:rFonts w:ascii="Arial" w:hAnsi="Arial" w:cs="Arial"/>
          <w:sz w:val="24"/>
          <w:szCs w:val="24"/>
        </w:rPr>
        <w:t>resulted in</w:t>
      </w:r>
      <w:r w:rsidR="006D7BFE">
        <w:rPr>
          <w:rFonts w:ascii="Arial" w:hAnsi="Arial" w:cs="Arial"/>
          <w:sz w:val="24"/>
          <w:szCs w:val="24"/>
        </w:rPr>
        <w:t xml:space="preserve"> 90 directors receiv</w:t>
      </w:r>
      <w:r w:rsidR="00C03E1D">
        <w:rPr>
          <w:rFonts w:ascii="Arial" w:hAnsi="Arial" w:cs="Arial"/>
          <w:sz w:val="24"/>
          <w:szCs w:val="24"/>
        </w:rPr>
        <w:t>ing</w:t>
      </w:r>
      <w:r w:rsidR="006D7BFE">
        <w:rPr>
          <w:rFonts w:ascii="Arial" w:hAnsi="Arial" w:cs="Arial"/>
          <w:sz w:val="24"/>
          <w:szCs w:val="24"/>
        </w:rPr>
        <w:t xml:space="preserve"> a compensation order or provid</w:t>
      </w:r>
      <w:r w:rsidR="007D3559">
        <w:rPr>
          <w:rFonts w:ascii="Arial" w:hAnsi="Arial" w:cs="Arial"/>
          <w:sz w:val="24"/>
          <w:szCs w:val="24"/>
        </w:rPr>
        <w:t>ing</w:t>
      </w:r>
      <w:r w:rsidR="006D7BFE">
        <w:rPr>
          <w:rFonts w:ascii="Arial" w:hAnsi="Arial" w:cs="Arial"/>
          <w:sz w:val="24"/>
          <w:szCs w:val="24"/>
        </w:rPr>
        <w:t xml:space="preserve"> a compensation undertaking</w:t>
      </w:r>
      <w:r w:rsidR="00EB4FBE">
        <w:rPr>
          <w:rFonts w:ascii="Arial" w:hAnsi="Arial" w:cs="Arial"/>
          <w:sz w:val="24"/>
          <w:szCs w:val="24"/>
        </w:rPr>
        <w:t xml:space="preserve"> to pay a combined total of £2,833,937.</w:t>
      </w:r>
    </w:p>
    <w:p w14:paraId="3AD9F06B" w14:textId="0C879BB1" w:rsidR="00077930" w:rsidRDefault="00905662" w:rsidP="00CF5792">
      <w:pPr>
        <w:pStyle w:val="Heading4"/>
        <w:rPr>
          <w:rFonts w:cs="Arial"/>
          <w:b w:val="0"/>
          <w:sz w:val="24"/>
          <w:szCs w:val="24"/>
        </w:rPr>
      </w:pPr>
      <w:r>
        <w:rPr>
          <w:noProof/>
          <w:color w:val="2B579A"/>
          <w:shd w:val="clear" w:color="auto" w:fill="E6E6E6"/>
        </w:rPr>
        <mc:AlternateContent>
          <mc:Choice Requires="wps">
            <w:drawing>
              <wp:anchor distT="0" distB="0" distL="114300" distR="114300" simplePos="0" relativeHeight="251658248" behindDoc="0" locked="0" layoutInCell="1" allowOverlap="1" wp14:anchorId="6E747D3D" wp14:editId="2AC8DCC2">
                <wp:simplePos x="0" y="0"/>
                <wp:positionH relativeFrom="margin">
                  <wp:align>left</wp:align>
                </wp:positionH>
                <wp:positionV relativeFrom="paragraph">
                  <wp:posOffset>297180</wp:posOffset>
                </wp:positionV>
                <wp:extent cx="5981700" cy="5393055"/>
                <wp:effectExtent l="0" t="0" r="19050" b="17145"/>
                <wp:wrapTopAndBottom/>
                <wp:docPr id="14" name="Rectangle 14"/>
                <wp:cNvGraphicFramePr/>
                <a:graphic xmlns:a="http://schemas.openxmlformats.org/drawingml/2006/main">
                  <a:graphicData uri="http://schemas.microsoft.com/office/word/2010/wordprocessingShape">
                    <wps:wsp>
                      <wps:cNvSpPr/>
                      <wps:spPr>
                        <a:xfrm>
                          <a:off x="0" y="0"/>
                          <a:ext cx="5981700" cy="5393055"/>
                        </a:xfrm>
                        <a:prstGeom prst="rect">
                          <a:avLst/>
                        </a:prstGeom>
                        <a:solidFill>
                          <a:srgbClr val="4472C4"/>
                        </a:solidFill>
                        <a:ln w="12700" cap="flat" cmpd="sng" algn="ctr">
                          <a:solidFill>
                            <a:srgbClr val="4472C4">
                              <a:shade val="15000"/>
                            </a:srgbClr>
                          </a:solidFill>
                          <a:prstDash val="solid"/>
                          <a:miter lim="800000"/>
                        </a:ln>
                        <a:effectLst/>
                      </wps:spPr>
                      <wps:txbx>
                        <w:txbxContent>
                          <w:p w14:paraId="75E10401" w14:textId="5B70299B" w:rsidR="00077930" w:rsidRDefault="00077930" w:rsidP="00077930">
                            <w:pPr>
                              <w:rPr>
                                <w:rFonts w:ascii="Arial" w:hAnsi="Arial" w:cs="Arial"/>
                                <w:b/>
                                <w:bCs/>
                                <w:color w:val="FFFFFF" w:themeColor="background1"/>
                                <w:sz w:val="24"/>
                                <w:szCs w:val="24"/>
                              </w:rPr>
                            </w:pPr>
                            <w:r>
                              <w:rPr>
                                <w:rFonts w:ascii="Arial" w:hAnsi="Arial" w:cs="Arial"/>
                                <w:b/>
                                <w:bCs/>
                                <w:color w:val="FFFFFF" w:themeColor="background1"/>
                                <w:sz w:val="24"/>
                                <w:szCs w:val="24"/>
                              </w:rPr>
                              <w:t>Fraud and Money Laundering Offences</w:t>
                            </w:r>
                          </w:p>
                          <w:p w14:paraId="0C8DCA22" w14:textId="2999B5E2" w:rsidR="00077930" w:rsidRDefault="00077930" w:rsidP="00077930">
                            <w:pPr>
                              <w:rPr>
                                <w:rFonts w:ascii="Arial" w:hAnsi="Arial" w:cs="Arial"/>
                                <w:color w:val="FFFFFF" w:themeColor="background1"/>
                                <w:sz w:val="24"/>
                                <w:szCs w:val="24"/>
                              </w:rPr>
                            </w:pPr>
                            <w:r>
                              <w:rPr>
                                <w:rFonts w:ascii="Arial" w:hAnsi="Arial" w:cs="Arial"/>
                                <w:color w:val="FFFFFF" w:themeColor="background1"/>
                                <w:sz w:val="24"/>
                                <w:szCs w:val="24"/>
                              </w:rPr>
                              <w:t xml:space="preserve">A complicated invoice </w:t>
                            </w:r>
                            <w:r w:rsidR="008D63F1">
                              <w:rPr>
                                <w:rFonts w:ascii="Arial" w:hAnsi="Arial" w:cs="Arial"/>
                                <w:color w:val="FFFFFF" w:themeColor="background1"/>
                                <w:sz w:val="24"/>
                                <w:szCs w:val="24"/>
                              </w:rPr>
                              <w:t xml:space="preserve">factoring fraud and money laundering case involving five </w:t>
                            </w:r>
                            <w:r w:rsidR="007905D6">
                              <w:rPr>
                                <w:rFonts w:ascii="Arial" w:hAnsi="Arial" w:cs="Arial"/>
                                <w:color w:val="FFFFFF" w:themeColor="background1"/>
                                <w:sz w:val="24"/>
                                <w:szCs w:val="24"/>
                              </w:rPr>
                              <w:t xml:space="preserve">defendants. With the help </w:t>
                            </w:r>
                            <w:r w:rsidR="00836A21">
                              <w:rPr>
                                <w:rFonts w:ascii="Arial" w:hAnsi="Arial" w:cs="Arial"/>
                                <w:color w:val="FFFFFF" w:themeColor="background1"/>
                                <w:sz w:val="24"/>
                                <w:szCs w:val="24"/>
                              </w:rPr>
                              <w:t xml:space="preserve">of various others, Defendant one </w:t>
                            </w:r>
                            <w:r w:rsidR="00D72770">
                              <w:rPr>
                                <w:rFonts w:ascii="Arial" w:hAnsi="Arial" w:cs="Arial"/>
                                <w:color w:val="FFFFFF" w:themeColor="background1"/>
                                <w:sz w:val="24"/>
                                <w:szCs w:val="24"/>
                              </w:rPr>
                              <w:t xml:space="preserve">set up businesses which claimed </w:t>
                            </w:r>
                            <w:r w:rsidR="005A6AF3">
                              <w:rPr>
                                <w:rFonts w:ascii="Arial" w:hAnsi="Arial" w:cs="Arial"/>
                                <w:color w:val="FFFFFF" w:themeColor="background1"/>
                                <w:sz w:val="24"/>
                                <w:szCs w:val="24"/>
                              </w:rPr>
                              <w:t>to sell furniture and carpets</w:t>
                            </w:r>
                            <w:r w:rsidR="00B00789">
                              <w:rPr>
                                <w:rFonts w:ascii="Arial" w:hAnsi="Arial" w:cs="Arial"/>
                                <w:color w:val="FFFFFF" w:themeColor="background1"/>
                                <w:sz w:val="24"/>
                                <w:szCs w:val="24"/>
                              </w:rPr>
                              <w:t xml:space="preserve">. However </w:t>
                            </w:r>
                            <w:r w:rsidR="005E1F33">
                              <w:rPr>
                                <w:rFonts w:ascii="Arial" w:hAnsi="Arial" w:cs="Arial"/>
                                <w:color w:val="FFFFFF" w:themeColor="background1"/>
                                <w:sz w:val="24"/>
                                <w:szCs w:val="24"/>
                              </w:rPr>
                              <w:t xml:space="preserve">the companies were a sham and used as a vehicle </w:t>
                            </w:r>
                            <w:r w:rsidR="00D21565">
                              <w:rPr>
                                <w:rFonts w:ascii="Arial" w:hAnsi="Arial" w:cs="Arial"/>
                                <w:color w:val="FFFFFF" w:themeColor="background1"/>
                                <w:sz w:val="24"/>
                                <w:szCs w:val="24"/>
                              </w:rPr>
                              <w:t>to commit both fraud against banks</w:t>
                            </w:r>
                            <w:r w:rsidR="002A15D2">
                              <w:rPr>
                                <w:rFonts w:ascii="Arial" w:hAnsi="Arial" w:cs="Arial"/>
                                <w:color w:val="FFFFFF" w:themeColor="background1"/>
                                <w:sz w:val="24"/>
                                <w:szCs w:val="24"/>
                              </w:rPr>
                              <w:t xml:space="preserve"> and money laundering. </w:t>
                            </w:r>
                            <w:r w:rsidR="001133B1">
                              <w:rPr>
                                <w:rFonts w:ascii="Arial" w:hAnsi="Arial" w:cs="Arial"/>
                                <w:color w:val="FFFFFF" w:themeColor="background1"/>
                                <w:sz w:val="24"/>
                                <w:szCs w:val="24"/>
                              </w:rPr>
                              <w:t xml:space="preserve">The offences in the case </w:t>
                            </w:r>
                            <w:r w:rsidR="00193E58">
                              <w:rPr>
                                <w:rFonts w:ascii="Arial" w:hAnsi="Arial" w:cs="Arial"/>
                                <w:color w:val="FFFFFF" w:themeColor="background1"/>
                                <w:sz w:val="24"/>
                                <w:szCs w:val="24"/>
                              </w:rPr>
                              <w:t xml:space="preserve">mainly </w:t>
                            </w:r>
                            <w:r w:rsidR="00AD5E2F">
                              <w:rPr>
                                <w:rFonts w:ascii="Arial" w:hAnsi="Arial" w:cs="Arial"/>
                                <w:color w:val="FFFFFF" w:themeColor="background1"/>
                                <w:sz w:val="24"/>
                                <w:szCs w:val="24"/>
                              </w:rPr>
                              <w:t>took pla</w:t>
                            </w:r>
                            <w:r w:rsidR="004D008A">
                              <w:rPr>
                                <w:rFonts w:ascii="Arial" w:hAnsi="Arial" w:cs="Arial"/>
                                <w:color w:val="FFFFFF" w:themeColor="background1"/>
                                <w:sz w:val="24"/>
                                <w:szCs w:val="24"/>
                              </w:rPr>
                              <w:t>c</w:t>
                            </w:r>
                            <w:r w:rsidR="00AD5E2F">
                              <w:rPr>
                                <w:rFonts w:ascii="Arial" w:hAnsi="Arial" w:cs="Arial"/>
                                <w:color w:val="FFFFFF" w:themeColor="background1"/>
                                <w:sz w:val="24"/>
                                <w:szCs w:val="24"/>
                              </w:rPr>
                              <w:t xml:space="preserve">e between 2012 and </w:t>
                            </w:r>
                            <w:r w:rsidR="004D008A">
                              <w:rPr>
                                <w:rFonts w:ascii="Arial" w:hAnsi="Arial" w:cs="Arial"/>
                                <w:color w:val="FFFFFF" w:themeColor="background1"/>
                                <w:sz w:val="24"/>
                                <w:szCs w:val="24"/>
                              </w:rPr>
                              <w:t>2014</w:t>
                            </w:r>
                            <w:r w:rsidR="005040C0">
                              <w:rPr>
                                <w:rFonts w:ascii="Arial" w:hAnsi="Arial" w:cs="Arial"/>
                                <w:color w:val="FFFFFF" w:themeColor="background1"/>
                                <w:sz w:val="24"/>
                                <w:szCs w:val="24"/>
                              </w:rPr>
                              <w:t xml:space="preserve"> </w:t>
                            </w:r>
                            <w:r w:rsidR="00193E58">
                              <w:rPr>
                                <w:rFonts w:ascii="Arial" w:hAnsi="Arial" w:cs="Arial"/>
                                <w:color w:val="FFFFFF" w:themeColor="background1"/>
                                <w:sz w:val="24"/>
                                <w:szCs w:val="24"/>
                              </w:rPr>
                              <w:t>and resulted in losses</w:t>
                            </w:r>
                            <w:r w:rsidR="00E53887">
                              <w:rPr>
                                <w:rFonts w:ascii="Arial" w:hAnsi="Arial" w:cs="Arial"/>
                                <w:color w:val="FFFFFF" w:themeColor="background1"/>
                                <w:sz w:val="24"/>
                                <w:szCs w:val="24"/>
                              </w:rPr>
                              <w:t xml:space="preserve"> of over £500</w:t>
                            </w:r>
                            <w:r w:rsidR="006521D3">
                              <w:rPr>
                                <w:rFonts w:ascii="Arial" w:hAnsi="Arial" w:cs="Arial"/>
                                <w:color w:val="FFFFFF" w:themeColor="background1"/>
                                <w:sz w:val="24"/>
                                <w:szCs w:val="24"/>
                              </w:rPr>
                              <w:t>,000</w:t>
                            </w:r>
                            <w:r w:rsidR="00134282">
                              <w:rPr>
                                <w:rFonts w:ascii="Arial" w:hAnsi="Arial" w:cs="Arial"/>
                                <w:color w:val="FFFFFF" w:themeColor="background1"/>
                                <w:sz w:val="24"/>
                                <w:szCs w:val="24"/>
                              </w:rPr>
                              <w:t xml:space="preserve"> from a number of banks. </w:t>
                            </w:r>
                          </w:p>
                          <w:p w14:paraId="19A946F7" w14:textId="1CBB57E8" w:rsidR="00134282" w:rsidRDefault="00134282" w:rsidP="00077930">
                            <w:pPr>
                              <w:rPr>
                                <w:rFonts w:ascii="Arial" w:hAnsi="Arial" w:cs="Arial"/>
                                <w:color w:val="FFFFFF" w:themeColor="background1"/>
                                <w:sz w:val="24"/>
                                <w:szCs w:val="24"/>
                              </w:rPr>
                            </w:pPr>
                            <w:r>
                              <w:rPr>
                                <w:rFonts w:ascii="Arial" w:hAnsi="Arial" w:cs="Arial"/>
                                <w:color w:val="FFFFFF" w:themeColor="background1"/>
                                <w:sz w:val="24"/>
                                <w:szCs w:val="24"/>
                              </w:rPr>
                              <w:t xml:space="preserve">Following an investigation </w:t>
                            </w:r>
                            <w:r w:rsidR="00681EA0">
                              <w:rPr>
                                <w:rFonts w:ascii="Arial" w:hAnsi="Arial" w:cs="Arial"/>
                                <w:color w:val="FFFFFF" w:themeColor="background1"/>
                                <w:sz w:val="24"/>
                                <w:szCs w:val="24"/>
                              </w:rPr>
                              <w:t>and prosecutions</w:t>
                            </w:r>
                            <w:r w:rsidR="00D94969">
                              <w:rPr>
                                <w:rFonts w:ascii="Arial" w:hAnsi="Arial" w:cs="Arial"/>
                                <w:color w:val="FFFFFF" w:themeColor="background1"/>
                                <w:sz w:val="24"/>
                                <w:szCs w:val="24"/>
                              </w:rPr>
                              <w:t xml:space="preserve"> brought by the Agency</w:t>
                            </w:r>
                            <w:r w:rsidR="00595188">
                              <w:rPr>
                                <w:rFonts w:ascii="Arial" w:hAnsi="Arial" w:cs="Arial"/>
                                <w:color w:val="FFFFFF" w:themeColor="background1"/>
                                <w:sz w:val="24"/>
                                <w:szCs w:val="24"/>
                              </w:rPr>
                              <w:t xml:space="preserve">, all five </w:t>
                            </w:r>
                            <w:r w:rsidR="009539AF">
                              <w:rPr>
                                <w:rFonts w:ascii="Arial" w:hAnsi="Arial" w:cs="Arial"/>
                                <w:color w:val="FFFFFF" w:themeColor="background1"/>
                                <w:sz w:val="24"/>
                                <w:szCs w:val="24"/>
                              </w:rPr>
                              <w:t>defendants</w:t>
                            </w:r>
                            <w:r w:rsidR="006E3A51">
                              <w:rPr>
                                <w:rFonts w:ascii="Arial" w:hAnsi="Arial" w:cs="Arial"/>
                                <w:color w:val="FFFFFF" w:themeColor="background1"/>
                                <w:sz w:val="24"/>
                                <w:szCs w:val="24"/>
                              </w:rPr>
                              <w:t xml:space="preserve"> pleaded guilty</w:t>
                            </w:r>
                            <w:r w:rsidR="00D5382D">
                              <w:rPr>
                                <w:rFonts w:ascii="Arial" w:hAnsi="Arial" w:cs="Arial"/>
                                <w:color w:val="FFFFFF" w:themeColor="background1"/>
                                <w:sz w:val="24"/>
                                <w:szCs w:val="24"/>
                              </w:rPr>
                              <w:t xml:space="preserve"> to </w:t>
                            </w:r>
                            <w:r w:rsidR="00B81AF2">
                              <w:rPr>
                                <w:rFonts w:ascii="Arial" w:hAnsi="Arial" w:cs="Arial"/>
                                <w:color w:val="FFFFFF" w:themeColor="background1"/>
                                <w:sz w:val="24"/>
                                <w:szCs w:val="24"/>
                              </w:rPr>
                              <w:t>fraud and money laundering charges</w:t>
                            </w:r>
                            <w:r w:rsidR="005633CB">
                              <w:rPr>
                                <w:rFonts w:ascii="Arial" w:hAnsi="Arial" w:cs="Arial"/>
                                <w:color w:val="FFFFFF" w:themeColor="background1"/>
                                <w:sz w:val="24"/>
                                <w:szCs w:val="24"/>
                              </w:rPr>
                              <w:t>.</w:t>
                            </w:r>
                          </w:p>
                          <w:p w14:paraId="4FB1DF25" w14:textId="3239E6D2" w:rsidR="005633CB" w:rsidRDefault="005633CB" w:rsidP="005633CB">
                            <w:pPr>
                              <w:pStyle w:val="ListParagraph"/>
                              <w:numPr>
                                <w:ilvl w:val="0"/>
                                <w:numId w:val="29"/>
                              </w:numPr>
                              <w:rPr>
                                <w:rFonts w:ascii="Arial" w:hAnsi="Arial" w:cs="Arial"/>
                                <w:color w:val="FFFFFF" w:themeColor="background1"/>
                                <w:sz w:val="24"/>
                                <w:szCs w:val="24"/>
                              </w:rPr>
                            </w:pPr>
                            <w:r>
                              <w:rPr>
                                <w:rFonts w:ascii="Arial" w:hAnsi="Arial" w:cs="Arial"/>
                                <w:color w:val="FFFFFF" w:themeColor="background1"/>
                                <w:sz w:val="24"/>
                                <w:szCs w:val="24"/>
                              </w:rPr>
                              <w:t>Defendant 1</w:t>
                            </w:r>
                            <w:r w:rsidR="006C3CA2">
                              <w:rPr>
                                <w:rFonts w:ascii="Arial" w:hAnsi="Arial" w:cs="Arial"/>
                                <w:color w:val="FFFFFF" w:themeColor="background1"/>
                                <w:sz w:val="24"/>
                                <w:szCs w:val="24"/>
                              </w:rPr>
                              <w:t xml:space="preserve"> </w:t>
                            </w:r>
                            <w:r w:rsidR="000F45C5">
                              <w:rPr>
                                <w:rFonts w:ascii="Arial" w:hAnsi="Arial" w:cs="Arial"/>
                                <w:color w:val="FFFFFF" w:themeColor="background1"/>
                                <w:sz w:val="24"/>
                                <w:szCs w:val="24"/>
                              </w:rPr>
                              <w:t xml:space="preserve">pleaded guilty to four counts of fraud by false </w:t>
                            </w:r>
                            <w:r w:rsidR="000E2075">
                              <w:rPr>
                                <w:rFonts w:ascii="Arial" w:hAnsi="Arial" w:cs="Arial"/>
                                <w:color w:val="FFFFFF" w:themeColor="background1"/>
                                <w:sz w:val="24"/>
                                <w:szCs w:val="24"/>
                              </w:rPr>
                              <w:t>representation and one count of money laundering</w:t>
                            </w:r>
                            <w:r w:rsidR="00386645">
                              <w:rPr>
                                <w:rFonts w:ascii="Arial" w:hAnsi="Arial" w:cs="Arial"/>
                                <w:color w:val="FFFFFF" w:themeColor="background1"/>
                                <w:sz w:val="24"/>
                                <w:szCs w:val="24"/>
                              </w:rPr>
                              <w:t xml:space="preserve"> and was jailed </w:t>
                            </w:r>
                            <w:r w:rsidR="00820172">
                              <w:rPr>
                                <w:rFonts w:ascii="Arial" w:hAnsi="Arial" w:cs="Arial"/>
                                <w:color w:val="FFFFFF" w:themeColor="background1"/>
                                <w:sz w:val="24"/>
                                <w:szCs w:val="24"/>
                              </w:rPr>
                              <w:t>for six years and four months</w:t>
                            </w:r>
                            <w:r w:rsidR="000679E9">
                              <w:rPr>
                                <w:rFonts w:ascii="Arial" w:hAnsi="Arial" w:cs="Arial"/>
                                <w:color w:val="FFFFFF" w:themeColor="background1"/>
                                <w:sz w:val="24"/>
                                <w:szCs w:val="24"/>
                              </w:rPr>
                              <w:t xml:space="preserve"> and disqualified as a </w:t>
                            </w:r>
                            <w:r w:rsidR="00890FD4">
                              <w:rPr>
                                <w:rFonts w:ascii="Arial" w:hAnsi="Arial" w:cs="Arial"/>
                                <w:color w:val="FFFFFF" w:themeColor="background1"/>
                                <w:sz w:val="24"/>
                                <w:szCs w:val="24"/>
                              </w:rPr>
                              <w:t xml:space="preserve">company </w:t>
                            </w:r>
                            <w:r w:rsidR="000679E9">
                              <w:rPr>
                                <w:rFonts w:ascii="Arial" w:hAnsi="Arial" w:cs="Arial"/>
                                <w:color w:val="FFFFFF" w:themeColor="background1"/>
                                <w:sz w:val="24"/>
                                <w:szCs w:val="24"/>
                              </w:rPr>
                              <w:t xml:space="preserve">director </w:t>
                            </w:r>
                            <w:r w:rsidR="007C0EB7">
                              <w:rPr>
                                <w:rFonts w:ascii="Arial" w:hAnsi="Arial" w:cs="Arial"/>
                                <w:color w:val="FFFFFF" w:themeColor="background1"/>
                                <w:sz w:val="24"/>
                                <w:szCs w:val="24"/>
                              </w:rPr>
                              <w:t>for nine years</w:t>
                            </w:r>
                          </w:p>
                          <w:p w14:paraId="7900CFAE" w14:textId="25F64C91" w:rsidR="00262640" w:rsidRDefault="00262640" w:rsidP="005633CB">
                            <w:pPr>
                              <w:pStyle w:val="ListParagraph"/>
                              <w:numPr>
                                <w:ilvl w:val="0"/>
                                <w:numId w:val="29"/>
                              </w:numPr>
                              <w:rPr>
                                <w:rFonts w:ascii="Arial" w:hAnsi="Arial" w:cs="Arial"/>
                                <w:color w:val="FFFFFF" w:themeColor="background1"/>
                                <w:sz w:val="24"/>
                                <w:szCs w:val="24"/>
                              </w:rPr>
                            </w:pPr>
                            <w:r>
                              <w:rPr>
                                <w:rFonts w:ascii="Arial" w:hAnsi="Arial" w:cs="Arial"/>
                                <w:color w:val="FFFFFF" w:themeColor="background1"/>
                                <w:sz w:val="24"/>
                                <w:szCs w:val="24"/>
                              </w:rPr>
                              <w:t xml:space="preserve">Defendant </w:t>
                            </w:r>
                            <w:r w:rsidR="00C97719">
                              <w:rPr>
                                <w:rFonts w:ascii="Arial" w:hAnsi="Arial" w:cs="Arial"/>
                                <w:color w:val="FFFFFF" w:themeColor="background1"/>
                                <w:sz w:val="24"/>
                                <w:szCs w:val="24"/>
                              </w:rPr>
                              <w:t>2 plea</w:t>
                            </w:r>
                            <w:r w:rsidR="00BE4445">
                              <w:rPr>
                                <w:rFonts w:ascii="Arial" w:hAnsi="Arial" w:cs="Arial"/>
                                <w:color w:val="FFFFFF" w:themeColor="background1"/>
                                <w:sz w:val="24"/>
                                <w:szCs w:val="24"/>
                              </w:rPr>
                              <w:t>ded guilty to one count of fraud by false representation</w:t>
                            </w:r>
                            <w:r w:rsidR="00953E80">
                              <w:rPr>
                                <w:rFonts w:ascii="Arial" w:hAnsi="Arial" w:cs="Arial"/>
                                <w:color w:val="FFFFFF" w:themeColor="background1"/>
                                <w:sz w:val="24"/>
                                <w:szCs w:val="24"/>
                              </w:rPr>
                              <w:t xml:space="preserve"> and one count of money </w:t>
                            </w:r>
                            <w:r w:rsidR="00F73DBA">
                              <w:rPr>
                                <w:rFonts w:ascii="Arial" w:hAnsi="Arial" w:cs="Arial"/>
                                <w:color w:val="FFFFFF" w:themeColor="background1"/>
                                <w:sz w:val="24"/>
                                <w:szCs w:val="24"/>
                              </w:rPr>
                              <w:t xml:space="preserve">laundering and was sentenced to 19 months </w:t>
                            </w:r>
                            <w:r w:rsidR="00A02ADC">
                              <w:rPr>
                                <w:rFonts w:ascii="Arial" w:hAnsi="Arial" w:cs="Arial"/>
                                <w:color w:val="FFFFFF" w:themeColor="background1"/>
                                <w:sz w:val="24"/>
                                <w:szCs w:val="24"/>
                              </w:rPr>
                              <w:t>in prison, suspended for two years</w:t>
                            </w:r>
                            <w:r w:rsidR="0081059F">
                              <w:rPr>
                                <w:rFonts w:ascii="Arial" w:hAnsi="Arial" w:cs="Arial"/>
                                <w:color w:val="FFFFFF" w:themeColor="background1"/>
                                <w:sz w:val="24"/>
                                <w:szCs w:val="24"/>
                              </w:rPr>
                              <w:t>, 20 days rehabilitation activity and 140 hours of unpaid work</w:t>
                            </w:r>
                          </w:p>
                          <w:p w14:paraId="7031B49D" w14:textId="2D20715D" w:rsidR="0081059F" w:rsidRDefault="002D3092" w:rsidP="005633CB">
                            <w:pPr>
                              <w:pStyle w:val="ListParagraph"/>
                              <w:numPr>
                                <w:ilvl w:val="0"/>
                                <w:numId w:val="29"/>
                              </w:numPr>
                              <w:rPr>
                                <w:rFonts w:ascii="Arial" w:hAnsi="Arial" w:cs="Arial"/>
                                <w:color w:val="FFFFFF" w:themeColor="background1"/>
                                <w:sz w:val="24"/>
                                <w:szCs w:val="24"/>
                              </w:rPr>
                            </w:pPr>
                            <w:r>
                              <w:rPr>
                                <w:rFonts w:ascii="Arial" w:hAnsi="Arial" w:cs="Arial"/>
                                <w:color w:val="FFFFFF" w:themeColor="background1"/>
                                <w:sz w:val="24"/>
                                <w:szCs w:val="24"/>
                              </w:rPr>
                              <w:t xml:space="preserve">Defendant 3 </w:t>
                            </w:r>
                            <w:r w:rsidR="00ED09F8">
                              <w:rPr>
                                <w:rFonts w:ascii="Arial" w:hAnsi="Arial" w:cs="Arial"/>
                                <w:color w:val="FFFFFF" w:themeColor="background1"/>
                                <w:sz w:val="24"/>
                                <w:szCs w:val="24"/>
                              </w:rPr>
                              <w:t>pleaded guilty to one count of fraud</w:t>
                            </w:r>
                            <w:r w:rsidR="00E64B87">
                              <w:rPr>
                                <w:rFonts w:ascii="Arial" w:hAnsi="Arial" w:cs="Arial"/>
                                <w:color w:val="FFFFFF" w:themeColor="background1"/>
                                <w:sz w:val="24"/>
                                <w:szCs w:val="24"/>
                              </w:rPr>
                              <w:t xml:space="preserve"> by false representation and </w:t>
                            </w:r>
                            <w:r w:rsidR="00516851">
                              <w:rPr>
                                <w:rFonts w:ascii="Arial" w:hAnsi="Arial" w:cs="Arial"/>
                                <w:color w:val="FFFFFF" w:themeColor="background1"/>
                                <w:sz w:val="24"/>
                                <w:szCs w:val="24"/>
                              </w:rPr>
                              <w:t>one count of money laundering</w:t>
                            </w:r>
                            <w:r w:rsidR="00D61FC2">
                              <w:rPr>
                                <w:rFonts w:ascii="Arial" w:hAnsi="Arial" w:cs="Arial"/>
                                <w:color w:val="FFFFFF" w:themeColor="background1"/>
                                <w:sz w:val="24"/>
                                <w:szCs w:val="24"/>
                              </w:rPr>
                              <w:t xml:space="preserve"> and was sentenced to 22 months in prison</w:t>
                            </w:r>
                            <w:r w:rsidR="00C85263">
                              <w:rPr>
                                <w:rFonts w:ascii="Arial" w:hAnsi="Arial" w:cs="Arial"/>
                                <w:color w:val="FFFFFF" w:themeColor="background1"/>
                                <w:sz w:val="24"/>
                                <w:szCs w:val="24"/>
                              </w:rPr>
                              <w:t>, suspended for two years</w:t>
                            </w:r>
                            <w:r w:rsidR="00A42C9C">
                              <w:rPr>
                                <w:rFonts w:ascii="Arial" w:hAnsi="Arial" w:cs="Arial"/>
                                <w:color w:val="FFFFFF" w:themeColor="background1"/>
                                <w:sz w:val="24"/>
                                <w:szCs w:val="24"/>
                              </w:rPr>
                              <w:t xml:space="preserve">, 10 days </w:t>
                            </w:r>
                            <w:r w:rsidR="00DC296C">
                              <w:rPr>
                                <w:rFonts w:ascii="Arial" w:hAnsi="Arial" w:cs="Arial"/>
                                <w:color w:val="FFFFFF" w:themeColor="background1"/>
                                <w:sz w:val="24"/>
                                <w:szCs w:val="24"/>
                              </w:rPr>
                              <w:t>rehabilitation activity and 175 hours of unpaid work</w:t>
                            </w:r>
                          </w:p>
                          <w:p w14:paraId="2704A886" w14:textId="69375B71" w:rsidR="002E5EF9" w:rsidRDefault="005D62A1" w:rsidP="005633CB">
                            <w:pPr>
                              <w:pStyle w:val="ListParagraph"/>
                              <w:numPr>
                                <w:ilvl w:val="0"/>
                                <w:numId w:val="29"/>
                              </w:numPr>
                              <w:rPr>
                                <w:rFonts w:ascii="Arial" w:hAnsi="Arial" w:cs="Arial"/>
                                <w:color w:val="FFFFFF" w:themeColor="background1"/>
                                <w:sz w:val="24"/>
                                <w:szCs w:val="24"/>
                              </w:rPr>
                            </w:pPr>
                            <w:r>
                              <w:rPr>
                                <w:rFonts w:ascii="Arial" w:hAnsi="Arial" w:cs="Arial"/>
                                <w:color w:val="FFFFFF" w:themeColor="background1"/>
                                <w:sz w:val="24"/>
                                <w:szCs w:val="24"/>
                              </w:rPr>
                              <w:t xml:space="preserve">Defendant 4 pleaded guilty to one count of fraud and one count of money laundering </w:t>
                            </w:r>
                            <w:r w:rsidR="00B55CBD">
                              <w:rPr>
                                <w:rFonts w:ascii="Arial" w:hAnsi="Arial" w:cs="Arial"/>
                                <w:color w:val="FFFFFF" w:themeColor="background1"/>
                                <w:sz w:val="24"/>
                                <w:szCs w:val="24"/>
                              </w:rPr>
                              <w:t xml:space="preserve">and was sentenced to 19 months </w:t>
                            </w:r>
                            <w:r w:rsidR="00A37B9E">
                              <w:rPr>
                                <w:rFonts w:ascii="Arial" w:hAnsi="Arial" w:cs="Arial"/>
                                <w:color w:val="FFFFFF" w:themeColor="background1"/>
                                <w:sz w:val="24"/>
                                <w:szCs w:val="24"/>
                              </w:rPr>
                              <w:t>in prison, suspended for two years, 20 days rehabilitation activity</w:t>
                            </w:r>
                            <w:r w:rsidR="00244A4B">
                              <w:rPr>
                                <w:rFonts w:ascii="Arial" w:hAnsi="Arial" w:cs="Arial"/>
                                <w:color w:val="FFFFFF" w:themeColor="background1"/>
                                <w:sz w:val="24"/>
                                <w:szCs w:val="24"/>
                              </w:rPr>
                              <w:t xml:space="preserve"> and 140 hours of unpaid work</w:t>
                            </w:r>
                          </w:p>
                          <w:p w14:paraId="0BFD4468" w14:textId="7A4DE092" w:rsidR="008B03A3" w:rsidRPr="005633CB" w:rsidRDefault="008B03A3" w:rsidP="005633CB">
                            <w:pPr>
                              <w:pStyle w:val="ListParagraph"/>
                              <w:numPr>
                                <w:ilvl w:val="0"/>
                                <w:numId w:val="29"/>
                              </w:numPr>
                              <w:rPr>
                                <w:rFonts w:ascii="Arial" w:hAnsi="Arial" w:cs="Arial"/>
                                <w:color w:val="FFFFFF" w:themeColor="background1"/>
                                <w:sz w:val="24"/>
                                <w:szCs w:val="24"/>
                              </w:rPr>
                            </w:pPr>
                            <w:r>
                              <w:rPr>
                                <w:rFonts w:ascii="Arial" w:hAnsi="Arial" w:cs="Arial"/>
                                <w:color w:val="FFFFFF" w:themeColor="background1"/>
                                <w:sz w:val="24"/>
                                <w:szCs w:val="24"/>
                              </w:rPr>
                              <w:t xml:space="preserve">Defendant 5 pleaded guilty to one count of money laundering </w:t>
                            </w:r>
                            <w:r w:rsidR="00730362">
                              <w:rPr>
                                <w:rFonts w:ascii="Arial" w:hAnsi="Arial" w:cs="Arial"/>
                                <w:color w:val="FFFFFF" w:themeColor="background1"/>
                                <w:sz w:val="24"/>
                                <w:szCs w:val="24"/>
                              </w:rPr>
                              <w:t>and was handed an 18-month community order and ordered to complete 50 hours of unpaid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747D3D" id="Rectangle 14" o:spid="_x0000_s1027" style="position:absolute;margin-left:0;margin-top:23.4pt;width:471pt;height:424.65pt;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" fillcolor="#4472c4" strokecolor="#172c51" strokeweight="1pt">
                <v:textbox>
                  <w:txbxContent>
                    <w:p w14:paraId="75E10401" w14:textId="5B70299B" w:rsidR="00077930" w:rsidRDefault="00077930" w:rsidP="00077930">
                      <w:pPr>
                        <w:rPr>
                          <w:rFonts w:ascii="Arial" w:hAnsi="Arial" w:cs="Arial"/>
                          <w:b/>
                          <w:bCs/>
                          <w:color w:val="FFFFFF" w:themeColor="background1"/>
                          <w:sz w:val="24"/>
                          <w:szCs w:val="24"/>
                        </w:rPr>
                      </w:pPr>
                      <w:r>
                        <w:rPr>
                          <w:rFonts w:ascii="Arial" w:hAnsi="Arial" w:cs="Arial"/>
                          <w:b/>
                          <w:bCs/>
                          <w:color w:val="FFFFFF" w:themeColor="background1"/>
                          <w:sz w:val="24"/>
                          <w:szCs w:val="24"/>
                        </w:rPr>
                        <w:t>Fraud and Money Laundering Offences</w:t>
                      </w:r>
                    </w:p>
                    <w:p w14:paraId="0C8DCA22" w14:textId="2999B5E2" w:rsidR="00077930" w:rsidRDefault="00077930" w:rsidP="00077930">
                      <w:pPr>
                        <w:rPr>
                          <w:rFonts w:ascii="Arial" w:hAnsi="Arial" w:cs="Arial"/>
                          <w:color w:val="FFFFFF" w:themeColor="background1"/>
                          <w:sz w:val="24"/>
                          <w:szCs w:val="24"/>
                        </w:rPr>
                      </w:pPr>
                      <w:r>
                        <w:rPr>
                          <w:rFonts w:ascii="Arial" w:hAnsi="Arial" w:cs="Arial"/>
                          <w:color w:val="FFFFFF" w:themeColor="background1"/>
                          <w:sz w:val="24"/>
                          <w:szCs w:val="24"/>
                        </w:rPr>
                        <w:t xml:space="preserve">A complicated invoice </w:t>
                      </w:r>
                      <w:r w:rsidR="008D63F1">
                        <w:rPr>
                          <w:rFonts w:ascii="Arial" w:hAnsi="Arial" w:cs="Arial"/>
                          <w:color w:val="FFFFFF" w:themeColor="background1"/>
                          <w:sz w:val="24"/>
                          <w:szCs w:val="24"/>
                        </w:rPr>
                        <w:t xml:space="preserve">factoring fraud and money laundering case involving five </w:t>
                      </w:r>
                      <w:r w:rsidR="007905D6">
                        <w:rPr>
                          <w:rFonts w:ascii="Arial" w:hAnsi="Arial" w:cs="Arial"/>
                          <w:color w:val="FFFFFF" w:themeColor="background1"/>
                          <w:sz w:val="24"/>
                          <w:szCs w:val="24"/>
                        </w:rPr>
                        <w:t xml:space="preserve">defendants. With the help </w:t>
                      </w:r>
                      <w:r w:rsidR="00836A21">
                        <w:rPr>
                          <w:rFonts w:ascii="Arial" w:hAnsi="Arial" w:cs="Arial"/>
                          <w:color w:val="FFFFFF" w:themeColor="background1"/>
                          <w:sz w:val="24"/>
                          <w:szCs w:val="24"/>
                        </w:rPr>
                        <w:t xml:space="preserve">of various others, Defendant one </w:t>
                      </w:r>
                      <w:r w:rsidR="00D72770">
                        <w:rPr>
                          <w:rFonts w:ascii="Arial" w:hAnsi="Arial" w:cs="Arial"/>
                          <w:color w:val="FFFFFF" w:themeColor="background1"/>
                          <w:sz w:val="24"/>
                          <w:szCs w:val="24"/>
                        </w:rPr>
                        <w:t xml:space="preserve">set up businesses which claimed </w:t>
                      </w:r>
                      <w:r w:rsidR="005A6AF3">
                        <w:rPr>
                          <w:rFonts w:ascii="Arial" w:hAnsi="Arial" w:cs="Arial"/>
                          <w:color w:val="FFFFFF" w:themeColor="background1"/>
                          <w:sz w:val="24"/>
                          <w:szCs w:val="24"/>
                        </w:rPr>
                        <w:t>to sell furniture and carpets</w:t>
                      </w:r>
                      <w:r w:rsidR="00B00789">
                        <w:rPr>
                          <w:rFonts w:ascii="Arial" w:hAnsi="Arial" w:cs="Arial"/>
                          <w:color w:val="FFFFFF" w:themeColor="background1"/>
                          <w:sz w:val="24"/>
                          <w:szCs w:val="24"/>
                        </w:rPr>
                        <w:t xml:space="preserve">. However </w:t>
                      </w:r>
                      <w:r w:rsidR="005E1F33">
                        <w:rPr>
                          <w:rFonts w:ascii="Arial" w:hAnsi="Arial" w:cs="Arial"/>
                          <w:color w:val="FFFFFF" w:themeColor="background1"/>
                          <w:sz w:val="24"/>
                          <w:szCs w:val="24"/>
                        </w:rPr>
                        <w:t xml:space="preserve">the companies were a sham and used as a vehicle </w:t>
                      </w:r>
                      <w:r w:rsidR="00D21565">
                        <w:rPr>
                          <w:rFonts w:ascii="Arial" w:hAnsi="Arial" w:cs="Arial"/>
                          <w:color w:val="FFFFFF" w:themeColor="background1"/>
                          <w:sz w:val="24"/>
                          <w:szCs w:val="24"/>
                        </w:rPr>
                        <w:t>to commit both fraud against banks</w:t>
                      </w:r>
                      <w:r w:rsidR="002A15D2">
                        <w:rPr>
                          <w:rFonts w:ascii="Arial" w:hAnsi="Arial" w:cs="Arial"/>
                          <w:color w:val="FFFFFF" w:themeColor="background1"/>
                          <w:sz w:val="24"/>
                          <w:szCs w:val="24"/>
                        </w:rPr>
                        <w:t xml:space="preserve"> and money laundering. </w:t>
                      </w:r>
                      <w:r w:rsidR="001133B1">
                        <w:rPr>
                          <w:rFonts w:ascii="Arial" w:hAnsi="Arial" w:cs="Arial"/>
                          <w:color w:val="FFFFFF" w:themeColor="background1"/>
                          <w:sz w:val="24"/>
                          <w:szCs w:val="24"/>
                        </w:rPr>
                        <w:t xml:space="preserve">The offences in the case </w:t>
                      </w:r>
                      <w:r w:rsidR="00193E58">
                        <w:rPr>
                          <w:rFonts w:ascii="Arial" w:hAnsi="Arial" w:cs="Arial"/>
                          <w:color w:val="FFFFFF" w:themeColor="background1"/>
                          <w:sz w:val="24"/>
                          <w:szCs w:val="24"/>
                        </w:rPr>
                        <w:t xml:space="preserve">mainly </w:t>
                      </w:r>
                      <w:r w:rsidR="00AD5E2F">
                        <w:rPr>
                          <w:rFonts w:ascii="Arial" w:hAnsi="Arial" w:cs="Arial"/>
                          <w:color w:val="FFFFFF" w:themeColor="background1"/>
                          <w:sz w:val="24"/>
                          <w:szCs w:val="24"/>
                        </w:rPr>
                        <w:t>took pla</w:t>
                      </w:r>
                      <w:r w:rsidR="004D008A">
                        <w:rPr>
                          <w:rFonts w:ascii="Arial" w:hAnsi="Arial" w:cs="Arial"/>
                          <w:color w:val="FFFFFF" w:themeColor="background1"/>
                          <w:sz w:val="24"/>
                          <w:szCs w:val="24"/>
                        </w:rPr>
                        <w:t>c</w:t>
                      </w:r>
                      <w:r w:rsidR="00AD5E2F">
                        <w:rPr>
                          <w:rFonts w:ascii="Arial" w:hAnsi="Arial" w:cs="Arial"/>
                          <w:color w:val="FFFFFF" w:themeColor="background1"/>
                          <w:sz w:val="24"/>
                          <w:szCs w:val="24"/>
                        </w:rPr>
                        <w:t xml:space="preserve">e between 2012 and </w:t>
                      </w:r>
                      <w:r w:rsidR="004D008A">
                        <w:rPr>
                          <w:rFonts w:ascii="Arial" w:hAnsi="Arial" w:cs="Arial"/>
                          <w:color w:val="FFFFFF" w:themeColor="background1"/>
                          <w:sz w:val="24"/>
                          <w:szCs w:val="24"/>
                        </w:rPr>
                        <w:t>2014</w:t>
                      </w:r>
                      <w:r w:rsidR="005040C0">
                        <w:rPr>
                          <w:rFonts w:ascii="Arial" w:hAnsi="Arial" w:cs="Arial"/>
                          <w:color w:val="FFFFFF" w:themeColor="background1"/>
                          <w:sz w:val="24"/>
                          <w:szCs w:val="24"/>
                        </w:rPr>
                        <w:t xml:space="preserve"> </w:t>
                      </w:r>
                      <w:r w:rsidR="00193E58">
                        <w:rPr>
                          <w:rFonts w:ascii="Arial" w:hAnsi="Arial" w:cs="Arial"/>
                          <w:color w:val="FFFFFF" w:themeColor="background1"/>
                          <w:sz w:val="24"/>
                          <w:szCs w:val="24"/>
                        </w:rPr>
                        <w:t>and resulted in losses</w:t>
                      </w:r>
                      <w:r w:rsidR="00E53887">
                        <w:rPr>
                          <w:rFonts w:ascii="Arial" w:hAnsi="Arial" w:cs="Arial"/>
                          <w:color w:val="FFFFFF" w:themeColor="background1"/>
                          <w:sz w:val="24"/>
                          <w:szCs w:val="24"/>
                        </w:rPr>
                        <w:t xml:space="preserve"> of over £500</w:t>
                      </w:r>
                      <w:r w:rsidR="006521D3">
                        <w:rPr>
                          <w:rFonts w:ascii="Arial" w:hAnsi="Arial" w:cs="Arial"/>
                          <w:color w:val="FFFFFF" w:themeColor="background1"/>
                          <w:sz w:val="24"/>
                          <w:szCs w:val="24"/>
                        </w:rPr>
                        <w:t>,000</w:t>
                      </w:r>
                      <w:r w:rsidR="00134282">
                        <w:rPr>
                          <w:rFonts w:ascii="Arial" w:hAnsi="Arial" w:cs="Arial"/>
                          <w:color w:val="FFFFFF" w:themeColor="background1"/>
                          <w:sz w:val="24"/>
                          <w:szCs w:val="24"/>
                        </w:rPr>
                        <w:t xml:space="preserve"> from a number of banks. </w:t>
                      </w:r>
                    </w:p>
                    <w:p w14:paraId="19A946F7" w14:textId="1CBB57E8" w:rsidR="00134282" w:rsidRDefault="00134282" w:rsidP="00077930">
                      <w:pPr>
                        <w:rPr>
                          <w:rFonts w:ascii="Arial" w:hAnsi="Arial" w:cs="Arial"/>
                          <w:color w:val="FFFFFF" w:themeColor="background1"/>
                          <w:sz w:val="24"/>
                          <w:szCs w:val="24"/>
                        </w:rPr>
                      </w:pPr>
                      <w:r>
                        <w:rPr>
                          <w:rFonts w:ascii="Arial" w:hAnsi="Arial" w:cs="Arial"/>
                          <w:color w:val="FFFFFF" w:themeColor="background1"/>
                          <w:sz w:val="24"/>
                          <w:szCs w:val="24"/>
                        </w:rPr>
                        <w:t xml:space="preserve">Following an investigation </w:t>
                      </w:r>
                      <w:r w:rsidR="00681EA0">
                        <w:rPr>
                          <w:rFonts w:ascii="Arial" w:hAnsi="Arial" w:cs="Arial"/>
                          <w:color w:val="FFFFFF" w:themeColor="background1"/>
                          <w:sz w:val="24"/>
                          <w:szCs w:val="24"/>
                        </w:rPr>
                        <w:t>and prosecutions</w:t>
                      </w:r>
                      <w:r w:rsidR="00D94969">
                        <w:rPr>
                          <w:rFonts w:ascii="Arial" w:hAnsi="Arial" w:cs="Arial"/>
                          <w:color w:val="FFFFFF" w:themeColor="background1"/>
                          <w:sz w:val="24"/>
                          <w:szCs w:val="24"/>
                        </w:rPr>
                        <w:t xml:space="preserve"> brought by the Agency</w:t>
                      </w:r>
                      <w:r w:rsidR="00595188">
                        <w:rPr>
                          <w:rFonts w:ascii="Arial" w:hAnsi="Arial" w:cs="Arial"/>
                          <w:color w:val="FFFFFF" w:themeColor="background1"/>
                          <w:sz w:val="24"/>
                          <w:szCs w:val="24"/>
                        </w:rPr>
                        <w:t xml:space="preserve">, all five </w:t>
                      </w:r>
                      <w:r w:rsidR="009539AF">
                        <w:rPr>
                          <w:rFonts w:ascii="Arial" w:hAnsi="Arial" w:cs="Arial"/>
                          <w:color w:val="FFFFFF" w:themeColor="background1"/>
                          <w:sz w:val="24"/>
                          <w:szCs w:val="24"/>
                        </w:rPr>
                        <w:t>defendants</w:t>
                      </w:r>
                      <w:r w:rsidR="006E3A51">
                        <w:rPr>
                          <w:rFonts w:ascii="Arial" w:hAnsi="Arial" w:cs="Arial"/>
                          <w:color w:val="FFFFFF" w:themeColor="background1"/>
                          <w:sz w:val="24"/>
                          <w:szCs w:val="24"/>
                        </w:rPr>
                        <w:t xml:space="preserve"> pleaded guilty</w:t>
                      </w:r>
                      <w:r w:rsidR="00D5382D">
                        <w:rPr>
                          <w:rFonts w:ascii="Arial" w:hAnsi="Arial" w:cs="Arial"/>
                          <w:color w:val="FFFFFF" w:themeColor="background1"/>
                          <w:sz w:val="24"/>
                          <w:szCs w:val="24"/>
                        </w:rPr>
                        <w:t xml:space="preserve"> to </w:t>
                      </w:r>
                      <w:r w:rsidR="00B81AF2">
                        <w:rPr>
                          <w:rFonts w:ascii="Arial" w:hAnsi="Arial" w:cs="Arial"/>
                          <w:color w:val="FFFFFF" w:themeColor="background1"/>
                          <w:sz w:val="24"/>
                          <w:szCs w:val="24"/>
                        </w:rPr>
                        <w:t>fraud and money laundering charges</w:t>
                      </w:r>
                      <w:r w:rsidR="005633CB">
                        <w:rPr>
                          <w:rFonts w:ascii="Arial" w:hAnsi="Arial" w:cs="Arial"/>
                          <w:color w:val="FFFFFF" w:themeColor="background1"/>
                          <w:sz w:val="24"/>
                          <w:szCs w:val="24"/>
                        </w:rPr>
                        <w:t>.</w:t>
                      </w:r>
                    </w:p>
                    <w:p w14:paraId="4FB1DF25" w14:textId="3239E6D2" w:rsidR="005633CB" w:rsidRDefault="005633CB" w:rsidP="005633CB">
                      <w:pPr>
                        <w:pStyle w:val="ListParagraph"/>
                        <w:numPr>
                          <w:ilvl w:val="0"/>
                          <w:numId w:val="29"/>
                        </w:numPr>
                        <w:rPr>
                          <w:rFonts w:ascii="Arial" w:hAnsi="Arial" w:cs="Arial"/>
                          <w:color w:val="FFFFFF" w:themeColor="background1"/>
                          <w:sz w:val="24"/>
                          <w:szCs w:val="24"/>
                        </w:rPr>
                      </w:pPr>
                      <w:r>
                        <w:rPr>
                          <w:rFonts w:ascii="Arial" w:hAnsi="Arial" w:cs="Arial"/>
                          <w:color w:val="FFFFFF" w:themeColor="background1"/>
                          <w:sz w:val="24"/>
                          <w:szCs w:val="24"/>
                        </w:rPr>
                        <w:t>Defendant 1</w:t>
                      </w:r>
                      <w:r w:rsidR="006C3CA2">
                        <w:rPr>
                          <w:rFonts w:ascii="Arial" w:hAnsi="Arial" w:cs="Arial"/>
                          <w:color w:val="FFFFFF" w:themeColor="background1"/>
                          <w:sz w:val="24"/>
                          <w:szCs w:val="24"/>
                        </w:rPr>
                        <w:t xml:space="preserve"> </w:t>
                      </w:r>
                      <w:r w:rsidR="000F45C5">
                        <w:rPr>
                          <w:rFonts w:ascii="Arial" w:hAnsi="Arial" w:cs="Arial"/>
                          <w:color w:val="FFFFFF" w:themeColor="background1"/>
                          <w:sz w:val="24"/>
                          <w:szCs w:val="24"/>
                        </w:rPr>
                        <w:t xml:space="preserve">pleaded guilty to four counts of fraud by false </w:t>
                      </w:r>
                      <w:r w:rsidR="000E2075">
                        <w:rPr>
                          <w:rFonts w:ascii="Arial" w:hAnsi="Arial" w:cs="Arial"/>
                          <w:color w:val="FFFFFF" w:themeColor="background1"/>
                          <w:sz w:val="24"/>
                          <w:szCs w:val="24"/>
                        </w:rPr>
                        <w:t>representation and one count of money laundering</w:t>
                      </w:r>
                      <w:r w:rsidR="00386645">
                        <w:rPr>
                          <w:rFonts w:ascii="Arial" w:hAnsi="Arial" w:cs="Arial"/>
                          <w:color w:val="FFFFFF" w:themeColor="background1"/>
                          <w:sz w:val="24"/>
                          <w:szCs w:val="24"/>
                        </w:rPr>
                        <w:t xml:space="preserve"> and was jailed </w:t>
                      </w:r>
                      <w:r w:rsidR="00820172">
                        <w:rPr>
                          <w:rFonts w:ascii="Arial" w:hAnsi="Arial" w:cs="Arial"/>
                          <w:color w:val="FFFFFF" w:themeColor="background1"/>
                          <w:sz w:val="24"/>
                          <w:szCs w:val="24"/>
                        </w:rPr>
                        <w:t>for six years and four months</w:t>
                      </w:r>
                      <w:r w:rsidR="000679E9">
                        <w:rPr>
                          <w:rFonts w:ascii="Arial" w:hAnsi="Arial" w:cs="Arial"/>
                          <w:color w:val="FFFFFF" w:themeColor="background1"/>
                          <w:sz w:val="24"/>
                          <w:szCs w:val="24"/>
                        </w:rPr>
                        <w:t xml:space="preserve"> and disqualified as a </w:t>
                      </w:r>
                      <w:r w:rsidR="00890FD4">
                        <w:rPr>
                          <w:rFonts w:ascii="Arial" w:hAnsi="Arial" w:cs="Arial"/>
                          <w:color w:val="FFFFFF" w:themeColor="background1"/>
                          <w:sz w:val="24"/>
                          <w:szCs w:val="24"/>
                        </w:rPr>
                        <w:t xml:space="preserve">company </w:t>
                      </w:r>
                      <w:r w:rsidR="000679E9">
                        <w:rPr>
                          <w:rFonts w:ascii="Arial" w:hAnsi="Arial" w:cs="Arial"/>
                          <w:color w:val="FFFFFF" w:themeColor="background1"/>
                          <w:sz w:val="24"/>
                          <w:szCs w:val="24"/>
                        </w:rPr>
                        <w:t xml:space="preserve">director </w:t>
                      </w:r>
                      <w:r w:rsidR="007C0EB7">
                        <w:rPr>
                          <w:rFonts w:ascii="Arial" w:hAnsi="Arial" w:cs="Arial"/>
                          <w:color w:val="FFFFFF" w:themeColor="background1"/>
                          <w:sz w:val="24"/>
                          <w:szCs w:val="24"/>
                        </w:rPr>
                        <w:t>for nine years</w:t>
                      </w:r>
                    </w:p>
                    <w:p w14:paraId="7900CFAE" w14:textId="25F64C91" w:rsidR="00262640" w:rsidRDefault="00262640" w:rsidP="005633CB">
                      <w:pPr>
                        <w:pStyle w:val="ListParagraph"/>
                        <w:numPr>
                          <w:ilvl w:val="0"/>
                          <w:numId w:val="29"/>
                        </w:numPr>
                        <w:rPr>
                          <w:rFonts w:ascii="Arial" w:hAnsi="Arial" w:cs="Arial"/>
                          <w:color w:val="FFFFFF" w:themeColor="background1"/>
                          <w:sz w:val="24"/>
                          <w:szCs w:val="24"/>
                        </w:rPr>
                      </w:pPr>
                      <w:r>
                        <w:rPr>
                          <w:rFonts w:ascii="Arial" w:hAnsi="Arial" w:cs="Arial"/>
                          <w:color w:val="FFFFFF" w:themeColor="background1"/>
                          <w:sz w:val="24"/>
                          <w:szCs w:val="24"/>
                        </w:rPr>
                        <w:t xml:space="preserve">Defendant </w:t>
                      </w:r>
                      <w:r w:rsidR="00C97719">
                        <w:rPr>
                          <w:rFonts w:ascii="Arial" w:hAnsi="Arial" w:cs="Arial"/>
                          <w:color w:val="FFFFFF" w:themeColor="background1"/>
                          <w:sz w:val="24"/>
                          <w:szCs w:val="24"/>
                        </w:rPr>
                        <w:t>2 plea</w:t>
                      </w:r>
                      <w:r w:rsidR="00BE4445">
                        <w:rPr>
                          <w:rFonts w:ascii="Arial" w:hAnsi="Arial" w:cs="Arial"/>
                          <w:color w:val="FFFFFF" w:themeColor="background1"/>
                          <w:sz w:val="24"/>
                          <w:szCs w:val="24"/>
                        </w:rPr>
                        <w:t>ded guilty to one count of fraud by false representation</w:t>
                      </w:r>
                      <w:r w:rsidR="00953E80">
                        <w:rPr>
                          <w:rFonts w:ascii="Arial" w:hAnsi="Arial" w:cs="Arial"/>
                          <w:color w:val="FFFFFF" w:themeColor="background1"/>
                          <w:sz w:val="24"/>
                          <w:szCs w:val="24"/>
                        </w:rPr>
                        <w:t xml:space="preserve"> and one count of money </w:t>
                      </w:r>
                      <w:r w:rsidR="00F73DBA">
                        <w:rPr>
                          <w:rFonts w:ascii="Arial" w:hAnsi="Arial" w:cs="Arial"/>
                          <w:color w:val="FFFFFF" w:themeColor="background1"/>
                          <w:sz w:val="24"/>
                          <w:szCs w:val="24"/>
                        </w:rPr>
                        <w:t xml:space="preserve">laundering and was sentenced to 19 months </w:t>
                      </w:r>
                      <w:r w:rsidR="00A02ADC">
                        <w:rPr>
                          <w:rFonts w:ascii="Arial" w:hAnsi="Arial" w:cs="Arial"/>
                          <w:color w:val="FFFFFF" w:themeColor="background1"/>
                          <w:sz w:val="24"/>
                          <w:szCs w:val="24"/>
                        </w:rPr>
                        <w:t>in prison, suspended for two years</w:t>
                      </w:r>
                      <w:r w:rsidR="0081059F">
                        <w:rPr>
                          <w:rFonts w:ascii="Arial" w:hAnsi="Arial" w:cs="Arial"/>
                          <w:color w:val="FFFFFF" w:themeColor="background1"/>
                          <w:sz w:val="24"/>
                          <w:szCs w:val="24"/>
                        </w:rPr>
                        <w:t>, 20 days rehabilitation activity and 140 hours of unpaid work</w:t>
                      </w:r>
                    </w:p>
                    <w:p w14:paraId="7031B49D" w14:textId="2D20715D" w:rsidR="0081059F" w:rsidRDefault="002D3092" w:rsidP="005633CB">
                      <w:pPr>
                        <w:pStyle w:val="ListParagraph"/>
                        <w:numPr>
                          <w:ilvl w:val="0"/>
                          <w:numId w:val="29"/>
                        </w:numPr>
                        <w:rPr>
                          <w:rFonts w:ascii="Arial" w:hAnsi="Arial" w:cs="Arial"/>
                          <w:color w:val="FFFFFF" w:themeColor="background1"/>
                          <w:sz w:val="24"/>
                          <w:szCs w:val="24"/>
                        </w:rPr>
                      </w:pPr>
                      <w:r>
                        <w:rPr>
                          <w:rFonts w:ascii="Arial" w:hAnsi="Arial" w:cs="Arial"/>
                          <w:color w:val="FFFFFF" w:themeColor="background1"/>
                          <w:sz w:val="24"/>
                          <w:szCs w:val="24"/>
                        </w:rPr>
                        <w:t xml:space="preserve">Defendant 3 </w:t>
                      </w:r>
                      <w:r w:rsidR="00ED09F8">
                        <w:rPr>
                          <w:rFonts w:ascii="Arial" w:hAnsi="Arial" w:cs="Arial"/>
                          <w:color w:val="FFFFFF" w:themeColor="background1"/>
                          <w:sz w:val="24"/>
                          <w:szCs w:val="24"/>
                        </w:rPr>
                        <w:t>pleaded guilty to one count of fraud</w:t>
                      </w:r>
                      <w:r w:rsidR="00E64B87">
                        <w:rPr>
                          <w:rFonts w:ascii="Arial" w:hAnsi="Arial" w:cs="Arial"/>
                          <w:color w:val="FFFFFF" w:themeColor="background1"/>
                          <w:sz w:val="24"/>
                          <w:szCs w:val="24"/>
                        </w:rPr>
                        <w:t xml:space="preserve"> by false representation and </w:t>
                      </w:r>
                      <w:r w:rsidR="00516851">
                        <w:rPr>
                          <w:rFonts w:ascii="Arial" w:hAnsi="Arial" w:cs="Arial"/>
                          <w:color w:val="FFFFFF" w:themeColor="background1"/>
                          <w:sz w:val="24"/>
                          <w:szCs w:val="24"/>
                        </w:rPr>
                        <w:t>one count of money laundering</w:t>
                      </w:r>
                      <w:r w:rsidR="00D61FC2">
                        <w:rPr>
                          <w:rFonts w:ascii="Arial" w:hAnsi="Arial" w:cs="Arial"/>
                          <w:color w:val="FFFFFF" w:themeColor="background1"/>
                          <w:sz w:val="24"/>
                          <w:szCs w:val="24"/>
                        </w:rPr>
                        <w:t xml:space="preserve"> and was sentenced to 22 months in prison</w:t>
                      </w:r>
                      <w:r w:rsidR="00C85263">
                        <w:rPr>
                          <w:rFonts w:ascii="Arial" w:hAnsi="Arial" w:cs="Arial"/>
                          <w:color w:val="FFFFFF" w:themeColor="background1"/>
                          <w:sz w:val="24"/>
                          <w:szCs w:val="24"/>
                        </w:rPr>
                        <w:t>, suspended for two years</w:t>
                      </w:r>
                      <w:r w:rsidR="00A42C9C">
                        <w:rPr>
                          <w:rFonts w:ascii="Arial" w:hAnsi="Arial" w:cs="Arial"/>
                          <w:color w:val="FFFFFF" w:themeColor="background1"/>
                          <w:sz w:val="24"/>
                          <w:szCs w:val="24"/>
                        </w:rPr>
                        <w:t xml:space="preserve">, 10 days </w:t>
                      </w:r>
                      <w:r w:rsidR="00DC296C">
                        <w:rPr>
                          <w:rFonts w:ascii="Arial" w:hAnsi="Arial" w:cs="Arial"/>
                          <w:color w:val="FFFFFF" w:themeColor="background1"/>
                          <w:sz w:val="24"/>
                          <w:szCs w:val="24"/>
                        </w:rPr>
                        <w:t>rehabilitation activity and 175 hours of unpaid work</w:t>
                      </w:r>
                    </w:p>
                    <w:p w14:paraId="2704A886" w14:textId="69375B71" w:rsidR="002E5EF9" w:rsidRDefault="005D62A1" w:rsidP="005633CB">
                      <w:pPr>
                        <w:pStyle w:val="ListParagraph"/>
                        <w:numPr>
                          <w:ilvl w:val="0"/>
                          <w:numId w:val="29"/>
                        </w:numPr>
                        <w:rPr>
                          <w:rFonts w:ascii="Arial" w:hAnsi="Arial" w:cs="Arial"/>
                          <w:color w:val="FFFFFF" w:themeColor="background1"/>
                          <w:sz w:val="24"/>
                          <w:szCs w:val="24"/>
                        </w:rPr>
                      </w:pPr>
                      <w:r>
                        <w:rPr>
                          <w:rFonts w:ascii="Arial" w:hAnsi="Arial" w:cs="Arial"/>
                          <w:color w:val="FFFFFF" w:themeColor="background1"/>
                          <w:sz w:val="24"/>
                          <w:szCs w:val="24"/>
                        </w:rPr>
                        <w:t xml:space="preserve">Defendant 4 pleaded guilty to one count of fraud and one count of money laundering </w:t>
                      </w:r>
                      <w:r w:rsidR="00B55CBD">
                        <w:rPr>
                          <w:rFonts w:ascii="Arial" w:hAnsi="Arial" w:cs="Arial"/>
                          <w:color w:val="FFFFFF" w:themeColor="background1"/>
                          <w:sz w:val="24"/>
                          <w:szCs w:val="24"/>
                        </w:rPr>
                        <w:t xml:space="preserve">and was sentenced to 19 months </w:t>
                      </w:r>
                      <w:r w:rsidR="00A37B9E">
                        <w:rPr>
                          <w:rFonts w:ascii="Arial" w:hAnsi="Arial" w:cs="Arial"/>
                          <w:color w:val="FFFFFF" w:themeColor="background1"/>
                          <w:sz w:val="24"/>
                          <w:szCs w:val="24"/>
                        </w:rPr>
                        <w:t>in prison, suspended for two years, 20 days rehabilitation activity</w:t>
                      </w:r>
                      <w:r w:rsidR="00244A4B">
                        <w:rPr>
                          <w:rFonts w:ascii="Arial" w:hAnsi="Arial" w:cs="Arial"/>
                          <w:color w:val="FFFFFF" w:themeColor="background1"/>
                          <w:sz w:val="24"/>
                          <w:szCs w:val="24"/>
                        </w:rPr>
                        <w:t xml:space="preserve"> and 140 hours of unpaid work</w:t>
                      </w:r>
                    </w:p>
                    <w:p w14:paraId="0BFD4468" w14:textId="7A4DE092" w:rsidR="008B03A3" w:rsidRPr="005633CB" w:rsidRDefault="008B03A3" w:rsidP="005633CB">
                      <w:pPr>
                        <w:pStyle w:val="ListParagraph"/>
                        <w:numPr>
                          <w:ilvl w:val="0"/>
                          <w:numId w:val="29"/>
                        </w:numPr>
                        <w:rPr>
                          <w:rFonts w:ascii="Arial" w:hAnsi="Arial" w:cs="Arial"/>
                          <w:color w:val="FFFFFF" w:themeColor="background1"/>
                          <w:sz w:val="24"/>
                          <w:szCs w:val="24"/>
                        </w:rPr>
                      </w:pPr>
                      <w:r>
                        <w:rPr>
                          <w:rFonts w:ascii="Arial" w:hAnsi="Arial" w:cs="Arial"/>
                          <w:color w:val="FFFFFF" w:themeColor="background1"/>
                          <w:sz w:val="24"/>
                          <w:szCs w:val="24"/>
                        </w:rPr>
                        <w:t xml:space="preserve">Defendant 5 pleaded guilty to one count of money laundering </w:t>
                      </w:r>
                      <w:r w:rsidR="00730362">
                        <w:rPr>
                          <w:rFonts w:ascii="Arial" w:hAnsi="Arial" w:cs="Arial"/>
                          <w:color w:val="FFFFFF" w:themeColor="background1"/>
                          <w:sz w:val="24"/>
                          <w:szCs w:val="24"/>
                        </w:rPr>
                        <w:t>and was handed an 18-month community order and ordered to complete 50 hours of unpaid work</w:t>
                      </w:r>
                    </w:p>
                  </w:txbxContent>
                </v:textbox>
                <w10:wrap type="topAndBottom" anchorx="margin"/>
              </v:rect>
            </w:pict>
          </mc:Fallback>
        </mc:AlternateContent>
      </w:r>
      <w:r w:rsidR="002809A8">
        <w:rPr>
          <w:rFonts w:cs="Arial"/>
          <w:sz w:val="24"/>
          <w:szCs w:val="24"/>
        </w:rPr>
        <w:t>Enforcement case studies</w:t>
      </w:r>
    </w:p>
    <w:p w14:paraId="628D4062" w14:textId="4E92ACEC" w:rsidR="00077930" w:rsidRDefault="00077930" w:rsidP="00B3313A">
      <w:pPr>
        <w:rPr>
          <w:rFonts w:ascii="Arial" w:hAnsi="Arial" w:cs="Arial"/>
          <w:sz w:val="24"/>
          <w:szCs w:val="24"/>
        </w:rPr>
      </w:pPr>
    </w:p>
    <w:p w14:paraId="2FA47D67" w14:textId="1A2557C0" w:rsidR="00FB7571" w:rsidRDefault="00905662">
      <w:pPr>
        <w:rPr>
          <w:rFonts w:ascii="Arial" w:hAnsi="Arial" w:cs="Arial"/>
          <w:sz w:val="24"/>
          <w:szCs w:val="24"/>
        </w:rPr>
      </w:pPr>
      <w:r>
        <w:rPr>
          <w:rFonts w:ascii="Arial" w:hAnsi="Arial" w:cs="Arial"/>
          <w:noProof/>
          <w:color w:val="2B579A"/>
          <w:sz w:val="24"/>
          <w:szCs w:val="24"/>
          <w:shd w:val="clear" w:color="auto" w:fill="E6E6E6"/>
        </w:rPr>
        <w:lastRenderedPageBreak/>
        <mc:AlternateContent>
          <mc:Choice Requires="wps">
            <w:drawing>
              <wp:anchor distT="0" distB="0" distL="114300" distR="114300" simplePos="0" relativeHeight="251658241" behindDoc="0" locked="0" layoutInCell="1" allowOverlap="1" wp14:anchorId="23B8B314" wp14:editId="25A414D4">
                <wp:simplePos x="0" y="0"/>
                <wp:positionH relativeFrom="margin">
                  <wp:align>left</wp:align>
                </wp:positionH>
                <wp:positionV relativeFrom="paragraph">
                  <wp:posOffset>5251027</wp:posOffset>
                </wp:positionV>
                <wp:extent cx="5981700" cy="3155950"/>
                <wp:effectExtent l="0" t="0" r="19050" b="25400"/>
                <wp:wrapNone/>
                <wp:docPr id="1" name="Rectangle 1"/>
                <wp:cNvGraphicFramePr/>
                <a:graphic xmlns:a="http://schemas.openxmlformats.org/drawingml/2006/main">
                  <a:graphicData uri="http://schemas.microsoft.com/office/word/2010/wordprocessingShape">
                    <wps:wsp>
                      <wps:cNvSpPr/>
                      <wps:spPr>
                        <a:xfrm>
                          <a:off x="0" y="0"/>
                          <a:ext cx="5981700" cy="3155950"/>
                        </a:xfrm>
                        <a:prstGeom prst="rect">
                          <a:avLst/>
                        </a:prstGeom>
                        <a:solidFill>
                          <a:srgbClr val="4472C4"/>
                        </a:solidFill>
                        <a:ln w="12700" cap="flat" cmpd="sng" algn="ctr">
                          <a:solidFill>
                            <a:srgbClr val="4472C4">
                              <a:shade val="15000"/>
                            </a:srgbClr>
                          </a:solidFill>
                          <a:prstDash val="solid"/>
                          <a:miter lim="800000"/>
                        </a:ln>
                        <a:effectLst/>
                      </wps:spPr>
                      <wps:txbx>
                        <w:txbxContent>
                          <w:p w14:paraId="6D3663A8" w14:textId="77777777" w:rsidR="008F6543" w:rsidRDefault="00711767" w:rsidP="008F6543">
                            <w:pPr>
                              <w:rPr>
                                <w:rFonts w:ascii="Arial" w:hAnsi="Arial" w:cs="Arial"/>
                                <w:b/>
                                <w:bCs/>
                                <w:color w:val="FFFFFF" w:themeColor="background1"/>
                                <w:sz w:val="24"/>
                                <w:szCs w:val="24"/>
                              </w:rPr>
                            </w:pPr>
                            <w:r>
                              <w:rPr>
                                <w:rFonts w:ascii="Arial" w:hAnsi="Arial" w:cs="Arial"/>
                                <w:b/>
                                <w:bCs/>
                                <w:color w:val="FFFFFF" w:themeColor="background1"/>
                                <w:sz w:val="24"/>
                                <w:szCs w:val="24"/>
                              </w:rPr>
                              <w:t>Illegally running a company whilst bankrupt</w:t>
                            </w:r>
                          </w:p>
                          <w:p w14:paraId="5A9A1E8A" w14:textId="77777777" w:rsidR="007B053B" w:rsidRPr="007B053B" w:rsidRDefault="007B053B" w:rsidP="007B053B">
                            <w:pPr>
                              <w:rPr>
                                <w:rFonts w:ascii="Arial" w:hAnsi="Arial" w:cs="Arial"/>
                                <w:color w:val="FFFFFF" w:themeColor="background1"/>
                                <w:sz w:val="24"/>
                                <w:szCs w:val="24"/>
                              </w:rPr>
                            </w:pPr>
                            <w:r w:rsidRPr="007B053B">
                              <w:rPr>
                                <w:rFonts w:ascii="Arial" w:hAnsi="Arial" w:cs="Arial"/>
                                <w:color w:val="FFFFFF" w:themeColor="background1"/>
                                <w:sz w:val="24"/>
                                <w:szCs w:val="24"/>
                              </w:rPr>
                              <w:t xml:space="preserve">In December 2023 a man was ordered to pay more than £33,000 after investigators uncovered assets in a business he had been running while bankrupt. </w:t>
                            </w:r>
                          </w:p>
                          <w:p w14:paraId="65926D5F" w14:textId="77777777" w:rsidR="007B053B" w:rsidRPr="007B053B" w:rsidRDefault="007B053B" w:rsidP="007B053B">
                            <w:pPr>
                              <w:rPr>
                                <w:rFonts w:ascii="Arial" w:hAnsi="Arial" w:cs="Arial"/>
                                <w:color w:val="FFFFFF" w:themeColor="background1"/>
                                <w:sz w:val="24"/>
                                <w:szCs w:val="24"/>
                              </w:rPr>
                            </w:pPr>
                            <w:r w:rsidRPr="007B053B">
                              <w:rPr>
                                <w:rFonts w:ascii="Arial" w:hAnsi="Arial" w:cs="Arial"/>
                                <w:color w:val="FFFFFF" w:themeColor="background1"/>
                                <w:sz w:val="24"/>
                                <w:szCs w:val="24"/>
                              </w:rPr>
                              <w:t xml:space="preserve">Following a car crash, police found more than £8,000 in the car. Discovering the driver was both bankrupt and running a company they contacted the Insolvency Service. </w:t>
                            </w:r>
                          </w:p>
                          <w:p w14:paraId="3D7ABC2A" w14:textId="77777777" w:rsidR="007B053B" w:rsidRPr="007B053B" w:rsidRDefault="007B053B" w:rsidP="007B053B">
                            <w:pPr>
                              <w:rPr>
                                <w:rFonts w:ascii="Arial" w:hAnsi="Arial" w:cs="Arial"/>
                                <w:color w:val="FFFFFF" w:themeColor="background1"/>
                                <w:sz w:val="24"/>
                                <w:szCs w:val="24"/>
                              </w:rPr>
                            </w:pPr>
                            <w:r w:rsidRPr="007B053B">
                              <w:rPr>
                                <w:rFonts w:ascii="Arial" w:hAnsi="Arial" w:cs="Arial"/>
                                <w:color w:val="FFFFFF" w:themeColor="background1"/>
                                <w:sz w:val="24"/>
                                <w:szCs w:val="24"/>
                              </w:rPr>
                              <w:t xml:space="preserve">In collaboration with the police, the defendant pled guilty to acting as a director while bankrupt and in March 2022 he was sentenced to 19 weeks imprisonment, suspended for two years, and 200 hours of unpaid work. He was additionally given an eight-year disqualification and ordered to pay costs of £3,000. </w:t>
                            </w:r>
                          </w:p>
                          <w:p w14:paraId="28916B41" w14:textId="77777777" w:rsidR="00B32DCA" w:rsidRPr="000506E3" w:rsidRDefault="007B053B" w:rsidP="007B053B">
                            <w:pPr>
                              <w:rPr>
                                <w:rFonts w:ascii="Arial" w:hAnsi="Arial" w:cs="Arial"/>
                                <w:color w:val="FFFFFF" w:themeColor="background1"/>
                                <w:sz w:val="24"/>
                                <w:szCs w:val="24"/>
                              </w:rPr>
                            </w:pPr>
                            <w:r w:rsidRPr="007B053B">
                              <w:rPr>
                                <w:rFonts w:ascii="Arial" w:hAnsi="Arial" w:cs="Arial"/>
                                <w:color w:val="FFFFFF" w:themeColor="background1"/>
                                <w:sz w:val="24"/>
                                <w:szCs w:val="24"/>
                              </w:rPr>
                              <w:t>Investigators from our Financial Investigation Unit carried out further investigations, gathering 800 pages of documentary evidence, to show that he had £33,642 of available assets, despite claiming otherwise. In December 2023, a confiscation order for that sum was made and has now been paid in full.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B8B314" id="Rectangle 1" o:spid="_x0000_s1028" style="position:absolute;margin-left:0;margin-top:413.45pt;width:471pt;height:248.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" fillcolor="#4472c4" strokecolor="#172c51" strokeweight="1pt">
                <v:textbox>
                  <w:txbxContent>
                    <w:p w14:paraId="6D3663A8" w14:textId="77777777" w:rsidR="008F6543" w:rsidRDefault="00711767" w:rsidP="008F6543">
                      <w:pPr>
                        <w:rPr>
                          <w:rFonts w:ascii="Arial" w:hAnsi="Arial" w:cs="Arial"/>
                          <w:b/>
                          <w:bCs/>
                          <w:color w:val="FFFFFF" w:themeColor="background1"/>
                          <w:sz w:val="24"/>
                          <w:szCs w:val="24"/>
                        </w:rPr>
                      </w:pPr>
                      <w:r>
                        <w:rPr>
                          <w:rFonts w:ascii="Arial" w:hAnsi="Arial" w:cs="Arial"/>
                          <w:b/>
                          <w:bCs/>
                          <w:color w:val="FFFFFF" w:themeColor="background1"/>
                          <w:sz w:val="24"/>
                          <w:szCs w:val="24"/>
                        </w:rPr>
                        <w:t>Illegally running a company whilst bankrupt</w:t>
                      </w:r>
                    </w:p>
                    <w:p w14:paraId="5A9A1E8A" w14:textId="77777777" w:rsidR="007B053B" w:rsidRPr="007B053B" w:rsidRDefault="007B053B" w:rsidP="007B053B">
                      <w:pPr>
                        <w:rPr>
                          <w:rFonts w:ascii="Arial" w:hAnsi="Arial" w:cs="Arial"/>
                          <w:color w:val="FFFFFF" w:themeColor="background1"/>
                          <w:sz w:val="24"/>
                          <w:szCs w:val="24"/>
                        </w:rPr>
                      </w:pPr>
                      <w:r w:rsidRPr="007B053B">
                        <w:rPr>
                          <w:rFonts w:ascii="Arial" w:hAnsi="Arial" w:cs="Arial"/>
                          <w:color w:val="FFFFFF" w:themeColor="background1"/>
                          <w:sz w:val="24"/>
                          <w:szCs w:val="24"/>
                        </w:rPr>
                        <w:t xml:space="preserve">In December 2023 a man was ordered to pay more than £33,000 after investigators uncovered assets in a business he had been running while bankrupt. </w:t>
                      </w:r>
                    </w:p>
                    <w:p w14:paraId="65926D5F" w14:textId="77777777" w:rsidR="007B053B" w:rsidRPr="007B053B" w:rsidRDefault="007B053B" w:rsidP="007B053B">
                      <w:pPr>
                        <w:rPr>
                          <w:rFonts w:ascii="Arial" w:hAnsi="Arial" w:cs="Arial"/>
                          <w:color w:val="FFFFFF" w:themeColor="background1"/>
                          <w:sz w:val="24"/>
                          <w:szCs w:val="24"/>
                        </w:rPr>
                      </w:pPr>
                      <w:r w:rsidRPr="007B053B">
                        <w:rPr>
                          <w:rFonts w:ascii="Arial" w:hAnsi="Arial" w:cs="Arial"/>
                          <w:color w:val="FFFFFF" w:themeColor="background1"/>
                          <w:sz w:val="24"/>
                          <w:szCs w:val="24"/>
                        </w:rPr>
                        <w:t xml:space="preserve">Following a car crash, police found more than £8,000 in the car. Discovering the driver was both bankrupt and running a company they contacted the Insolvency Service. </w:t>
                      </w:r>
                    </w:p>
                    <w:p w14:paraId="3D7ABC2A" w14:textId="77777777" w:rsidR="007B053B" w:rsidRPr="007B053B" w:rsidRDefault="007B053B" w:rsidP="007B053B">
                      <w:pPr>
                        <w:rPr>
                          <w:rFonts w:ascii="Arial" w:hAnsi="Arial" w:cs="Arial"/>
                          <w:color w:val="FFFFFF" w:themeColor="background1"/>
                          <w:sz w:val="24"/>
                          <w:szCs w:val="24"/>
                        </w:rPr>
                      </w:pPr>
                      <w:r w:rsidRPr="007B053B">
                        <w:rPr>
                          <w:rFonts w:ascii="Arial" w:hAnsi="Arial" w:cs="Arial"/>
                          <w:color w:val="FFFFFF" w:themeColor="background1"/>
                          <w:sz w:val="24"/>
                          <w:szCs w:val="24"/>
                        </w:rPr>
                        <w:t xml:space="preserve">In collaboration with the police, the defendant pled guilty to acting as a director while bankrupt and in March 2022 he was sentenced to 19 weeks imprisonment, suspended for two years, and 200 hours of unpaid work. He was additionally given an eight-year disqualification and ordered to pay costs of £3,000. </w:t>
                      </w:r>
                    </w:p>
                    <w:p w14:paraId="28916B41" w14:textId="77777777" w:rsidR="00B32DCA" w:rsidRPr="000506E3" w:rsidRDefault="007B053B" w:rsidP="007B053B">
                      <w:pPr>
                        <w:rPr>
                          <w:rFonts w:ascii="Arial" w:hAnsi="Arial" w:cs="Arial"/>
                          <w:color w:val="FFFFFF" w:themeColor="background1"/>
                          <w:sz w:val="24"/>
                          <w:szCs w:val="24"/>
                        </w:rPr>
                      </w:pPr>
                      <w:r w:rsidRPr="007B053B">
                        <w:rPr>
                          <w:rFonts w:ascii="Arial" w:hAnsi="Arial" w:cs="Arial"/>
                          <w:color w:val="FFFFFF" w:themeColor="background1"/>
                          <w:sz w:val="24"/>
                          <w:szCs w:val="24"/>
                        </w:rPr>
                        <w:t>Investigators from our Financial Investigation Unit carried out further investigations, gathering 800 pages of documentary evidence, to show that he had £33,642 of available assets, despite claiming otherwise. In December 2023, a confiscation order for that sum was made and has now been paid in full.</w:t>
                      </w:r>
                    </w:p>
                  </w:txbxContent>
                </v:textbox>
                <w10:wrap anchorx="margin"/>
              </v:rect>
            </w:pict>
          </mc:Fallback>
        </mc:AlternateContent>
      </w:r>
      <w:r>
        <w:rPr>
          <w:rFonts w:ascii="Arial" w:hAnsi="Arial" w:cs="Arial"/>
          <w:noProof/>
          <w:color w:val="2B579A"/>
          <w:sz w:val="24"/>
          <w:szCs w:val="24"/>
          <w:shd w:val="clear" w:color="auto" w:fill="E6E6E6"/>
        </w:rPr>
        <mc:AlternateContent>
          <mc:Choice Requires="wps">
            <w:drawing>
              <wp:anchor distT="0" distB="0" distL="114300" distR="114300" simplePos="0" relativeHeight="251658240" behindDoc="0" locked="0" layoutInCell="1" allowOverlap="1" wp14:anchorId="2D8E2EBF" wp14:editId="1E0F154F">
                <wp:simplePos x="0" y="0"/>
                <wp:positionH relativeFrom="margin">
                  <wp:align>left</wp:align>
                </wp:positionH>
                <wp:positionV relativeFrom="paragraph">
                  <wp:posOffset>2287058</wp:posOffset>
                </wp:positionV>
                <wp:extent cx="5981700" cy="27940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5981700" cy="2794000"/>
                        </a:xfrm>
                        <a:prstGeom prst="rect">
                          <a:avLst/>
                        </a:prstGeom>
                        <a:solidFill>
                          <a:srgbClr val="4472C4"/>
                        </a:solidFill>
                        <a:ln w="12700">
                          <a:solidFill>
                            <a:srgbClr val="172C51">
                              <a:shade val="15000"/>
                            </a:srgbClr>
                          </a:solidFill>
                          <a:prstDash val="solid"/>
                          <a:miter/>
                        </a:ln>
                      </wps:spPr>
                      <wps:txbx>
                        <w:txbxContent>
                          <w:p w14:paraId="2A0E8772" w14:textId="77777777" w:rsidR="00DE52C9" w:rsidRPr="001A1BDE" w:rsidRDefault="00DE52C9" w:rsidP="00E528EC">
                            <w:pPr>
                              <w:spacing w:line="256" w:lineRule="auto"/>
                              <w:rPr>
                                <w:rFonts w:ascii="Arial" w:hAnsi="Arial" w:cs="Arial"/>
                                <w:b/>
                                <w:color w:val="FFFFFF"/>
                                <w:kern w:val="0"/>
                                <w:sz w:val="24"/>
                                <w:szCs w:val="24"/>
                                <w:lang w:val="en-US"/>
                                <w14:ligatures w14:val="none"/>
                              </w:rPr>
                            </w:pPr>
                            <w:r w:rsidRPr="001A1BDE">
                              <w:rPr>
                                <w:rFonts w:ascii="Arial" w:hAnsi="Arial" w:cs="Arial"/>
                                <w:b/>
                                <w:color w:val="FFFFFF"/>
                                <w:sz w:val="24"/>
                                <w:szCs w:val="24"/>
                                <w:lang w:val="en-US"/>
                              </w:rPr>
                              <w:t>Covid 19 financial support scheme misconduct (</w:t>
                            </w:r>
                            <w:r w:rsidR="00BB6767" w:rsidRPr="001A1BDE">
                              <w:rPr>
                                <w:rFonts w:ascii="Arial" w:hAnsi="Arial" w:cs="Arial"/>
                                <w:b/>
                                <w:color w:val="FFFFFF"/>
                                <w:sz w:val="24"/>
                                <w:szCs w:val="24"/>
                                <w:lang w:val="en-US"/>
                              </w:rPr>
                              <w:t>Disqualification and compensation</w:t>
                            </w:r>
                            <w:r w:rsidRPr="001A1BDE">
                              <w:rPr>
                                <w:rFonts w:ascii="Arial" w:hAnsi="Arial" w:cs="Arial"/>
                                <w:b/>
                                <w:color w:val="FFFFFF"/>
                                <w:sz w:val="24"/>
                                <w:szCs w:val="24"/>
                                <w:lang w:val="en-US"/>
                              </w:rPr>
                              <w:t>)</w:t>
                            </w:r>
                          </w:p>
                          <w:p w14:paraId="0A6ED9D0" w14:textId="77777777" w:rsidR="001A1BDE" w:rsidRPr="001A1BDE" w:rsidRDefault="001A1BDE" w:rsidP="001A1BDE">
                            <w:pPr>
                              <w:spacing w:line="256" w:lineRule="auto"/>
                              <w:rPr>
                                <w:rFonts w:ascii="Arial" w:hAnsi="Arial" w:cs="Arial"/>
                                <w:color w:val="FFFFFF"/>
                                <w:sz w:val="24"/>
                                <w:szCs w:val="24"/>
                                <w:lang w:val="en-US"/>
                              </w:rPr>
                            </w:pPr>
                            <w:r w:rsidRPr="001A1BDE">
                              <w:rPr>
                                <w:rFonts w:ascii="Arial" w:hAnsi="Arial" w:cs="Arial"/>
                                <w:color w:val="FFFFFF"/>
                                <w:sz w:val="24"/>
                                <w:szCs w:val="24"/>
                                <w:lang w:val="en-US"/>
                              </w:rPr>
                              <w:t xml:space="preserve">A director of a north London gift company has been ordered to repay £43,750 after abusing the Bounce Back Loan scheme. </w:t>
                            </w:r>
                          </w:p>
                          <w:p w14:paraId="59A6B948" w14:textId="77777777" w:rsidR="001A1BDE" w:rsidRPr="001A1BDE" w:rsidRDefault="001A1BDE" w:rsidP="001A1BDE">
                            <w:pPr>
                              <w:spacing w:line="256" w:lineRule="auto"/>
                              <w:rPr>
                                <w:rFonts w:ascii="Arial" w:hAnsi="Arial" w:cs="Arial"/>
                                <w:color w:val="FFFFFF"/>
                                <w:sz w:val="24"/>
                                <w:szCs w:val="24"/>
                                <w:lang w:val="en-US"/>
                              </w:rPr>
                            </w:pPr>
                            <w:r w:rsidRPr="001A1BDE">
                              <w:rPr>
                                <w:rFonts w:ascii="Arial" w:hAnsi="Arial" w:cs="Arial"/>
                                <w:color w:val="FFFFFF"/>
                                <w:sz w:val="24"/>
                                <w:szCs w:val="24"/>
                                <w:lang w:val="en-US"/>
                              </w:rPr>
                              <w:t xml:space="preserve">The company went into Liquidation in July 2021 triggering an investigation which uncovered the abuse of the loan scheme. </w:t>
                            </w:r>
                          </w:p>
                          <w:p w14:paraId="6C1EEC40" w14:textId="77777777" w:rsidR="001A1BDE" w:rsidRPr="001A1BDE" w:rsidRDefault="001A1BDE" w:rsidP="001A1BDE">
                            <w:pPr>
                              <w:spacing w:line="256" w:lineRule="auto"/>
                              <w:rPr>
                                <w:rFonts w:ascii="Arial" w:hAnsi="Arial" w:cs="Arial"/>
                                <w:color w:val="FFFFFF"/>
                                <w:sz w:val="24"/>
                                <w:szCs w:val="24"/>
                                <w:lang w:val="en-US"/>
                              </w:rPr>
                            </w:pPr>
                            <w:r w:rsidRPr="001A1BDE">
                              <w:rPr>
                                <w:rFonts w:ascii="Arial" w:hAnsi="Arial" w:cs="Arial"/>
                                <w:color w:val="FFFFFF"/>
                                <w:sz w:val="24"/>
                                <w:szCs w:val="24"/>
                                <w:lang w:val="en-US"/>
                              </w:rPr>
                              <w:t xml:space="preserve">On 6 September 2023, the High Court of Justice Business and Property Courts imposed a </w:t>
                            </w:r>
                            <w:r w:rsidR="00BF0265" w:rsidRPr="001A1BDE">
                              <w:rPr>
                                <w:rFonts w:ascii="Arial" w:hAnsi="Arial" w:cs="Arial"/>
                                <w:color w:val="FFFFFF"/>
                                <w:sz w:val="24"/>
                                <w:szCs w:val="24"/>
                                <w:lang w:val="en-US"/>
                              </w:rPr>
                              <w:t>nine-year</w:t>
                            </w:r>
                            <w:r w:rsidRPr="001A1BDE">
                              <w:rPr>
                                <w:rFonts w:ascii="Arial" w:hAnsi="Arial" w:cs="Arial"/>
                                <w:color w:val="FFFFFF"/>
                                <w:sz w:val="24"/>
                                <w:szCs w:val="24"/>
                                <w:lang w:val="en-US"/>
                              </w:rPr>
                              <w:t xml:space="preserve"> disqualification and compensation order after hearing that he had given false information to claim the maximum loan amount of £50,000.</w:t>
                            </w:r>
                          </w:p>
                          <w:p w14:paraId="795A3F12" w14:textId="77777777" w:rsidR="00123E64" w:rsidRPr="001A1BDE" w:rsidRDefault="001A1BDE" w:rsidP="001A1BDE">
                            <w:pPr>
                              <w:spacing w:line="256" w:lineRule="auto"/>
                              <w:rPr>
                                <w:rFonts w:ascii="Arial" w:hAnsi="Arial" w:cs="Arial"/>
                                <w:color w:val="FFFFFF"/>
                                <w:sz w:val="24"/>
                                <w:szCs w:val="24"/>
                                <w:lang w:val="en-US"/>
                              </w:rPr>
                            </w:pPr>
                            <w:r w:rsidRPr="001A1BDE">
                              <w:rPr>
                                <w:rFonts w:ascii="Arial" w:hAnsi="Arial" w:cs="Arial"/>
                                <w:color w:val="FFFFFF"/>
                                <w:sz w:val="24"/>
                                <w:szCs w:val="24"/>
                                <w:lang w:val="en-US"/>
                              </w:rPr>
                              <w:t>Despite arguing he was unable to repay the money, the Judge rejected this, and ordered the director to repay £43,750 which represented the excess amount falsely claimed plus interest.</w:t>
                            </w:r>
                          </w:p>
                        </w:txbxContent>
                      </wps:txbx>
                      <wps:bodyPr spcFirstLastPara="0" wrap="square" lIns="91440" tIns="45720" rIns="91440" bIns="45720" anchor="ctr">
                        <a:noAutofit/>
                      </wps:bodyPr>
                    </wps:wsp>
                  </a:graphicData>
                </a:graphic>
                <wp14:sizeRelV relativeFrom="margin">
                  <wp14:pctHeight>0</wp14:pctHeight>
                </wp14:sizeRelV>
              </wp:anchor>
            </w:drawing>
          </mc:Choice>
          <mc:Fallback>
            <w:pict>
              <v:rect w14:anchorId="2D8E2EBF" id="Rectangle 3" o:spid="_x0000_s1029" style="position:absolute;margin-left:0;margin-top:180.1pt;width:471pt;height:220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" fillcolor="#4472c4" strokecolor="#040c1d" strokeweight="1pt">
                <v:textbox>
                  <w:txbxContent>
                    <w:p w14:paraId="2A0E8772" w14:textId="77777777" w:rsidR="00DE52C9" w:rsidRPr="001A1BDE" w:rsidRDefault="00DE52C9" w:rsidP="00E528EC">
                      <w:pPr>
                        <w:spacing w:line="256" w:lineRule="auto"/>
                        <w:rPr>
                          <w:rFonts w:ascii="Arial" w:hAnsi="Arial" w:cs="Arial"/>
                          <w:b/>
                          <w:color w:val="FFFFFF"/>
                          <w:kern w:val="0"/>
                          <w:sz w:val="24"/>
                          <w:szCs w:val="24"/>
                          <w:lang w:val="en-US"/>
                          <w14:ligatures w14:val="none"/>
                        </w:rPr>
                      </w:pPr>
                      <w:r w:rsidRPr="001A1BDE">
                        <w:rPr>
                          <w:rFonts w:ascii="Arial" w:hAnsi="Arial" w:cs="Arial"/>
                          <w:b/>
                          <w:color w:val="FFFFFF"/>
                          <w:sz w:val="24"/>
                          <w:szCs w:val="24"/>
                          <w:lang w:val="en-US"/>
                        </w:rPr>
                        <w:t>Covid 19 financial support scheme misconduct (</w:t>
                      </w:r>
                      <w:r w:rsidR="00BB6767" w:rsidRPr="001A1BDE">
                        <w:rPr>
                          <w:rFonts w:ascii="Arial" w:hAnsi="Arial" w:cs="Arial"/>
                          <w:b/>
                          <w:color w:val="FFFFFF"/>
                          <w:sz w:val="24"/>
                          <w:szCs w:val="24"/>
                          <w:lang w:val="en-US"/>
                        </w:rPr>
                        <w:t>Disqualification and compensation</w:t>
                      </w:r>
                      <w:r w:rsidRPr="001A1BDE">
                        <w:rPr>
                          <w:rFonts w:ascii="Arial" w:hAnsi="Arial" w:cs="Arial"/>
                          <w:b/>
                          <w:color w:val="FFFFFF"/>
                          <w:sz w:val="24"/>
                          <w:szCs w:val="24"/>
                          <w:lang w:val="en-US"/>
                        </w:rPr>
                        <w:t>)</w:t>
                      </w:r>
                    </w:p>
                    <w:p w14:paraId="0A6ED9D0" w14:textId="77777777" w:rsidR="001A1BDE" w:rsidRPr="001A1BDE" w:rsidRDefault="001A1BDE" w:rsidP="001A1BDE">
                      <w:pPr>
                        <w:spacing w:line="256" w:lineRule="auto"/>
                        <w:rPr>
                          <w:rFonts w:ascii="Arial" w:hAnsi="Arial" w:cs="Arial"/>
                          <w:color w:val="FFFFFF"/>
                          <w:sz w:val="24"/>
                          <w:szCs w:val="24"/>
                          <w:lang w:val="en-US"/>
                        </w:rPr>
                      </w:pPr>
                      <w:r w:rsidRPr="001A1BDE">
                        <w:rPr>
                          <w:rFonts w:ascii="Arial" w:hAnsi="Arial" w:cs="Arial"/>
                          <w:color w:val="FFFFFF"/>
                          <w:sz w:val="24"/>
                          <w:szCs w:val="24"/>
                          <w:lang w:val="en-US"/>
                        </w:rPr>
                        <w:t xml:space="preserve">A director of a north London gift company has been ordered to repay £43,750 after abusing the Bounce Back Loan scheme. </w:t>
                      </w:r>
                    </w:p>
                    <w:p w14:paraId="59A6B948" w14:textId="77777777" w:rsidR="001A1BDE" w:rsidRPr="001A1BDE" w:rsidRDefault="001A1BDE" w:rsidP="001A1BDE">
                      <w:pPr>
                        <w:spacing w:line="256" w:lineRule="auto"/>
                        <w:rPr>
                          <w:rFonts w:ascii="Arial" w:hAnsi="Arial" w:cs="Arial"/>
                          <w:color w:val="FFFFFF"/>
                          <w:sz w:val="24"/>
                          <w:szCs w:val="24"/>
                          <w:lang w:val="en-US"/>
                        </w:rPr>
                      </w:pPr>
                      <w:r w:rsidRPr="001A1BDE">
                        <w:rPr>
                          <w:rFonts w:ascii="Arial" w:hAnsi="Arial" w:cs="Arial"/>
                          <w:color w:val="FFFFFF"/>
                          <w:sz w:val="24"/>
                          <w:szCs w:val="24"/>
                          <w:lang w:val="en-US"/>
                        </w:rPr>
                        <w:t xml:space="preserve">The company went into Liquidation in July 2021 triggering an investigation which uncovered the abuse of the loan scheme. </w:t>
                      </w:r>
                    </w:p>
                    <w:p w14:paraId="6C1EEC40" w14:textId="77777777" w:rsidR="001A1BDE" w:rsidRPr="001A1BDE" w:rsidRDefault="001A1BDE" w:rsidP="001A1BDE">
                      <w:pPr>
                        <w:spacing w:line="256" w:lineRule="auto"/>
                        <w:rPr>
                          <w:rFonts w:ascii="Arial" w:hAnsi="Arial" w:cs="Arial"/>
                          <w:color w:val="FFFFFF"/>
                          <w:sz w:val="24"/>
                          <w:szCs w:val="24"/>
                          <w:lang w:val="en-US"/>
                        </w:rPr>
                      </w:pPr>
                      <w:r w:rsidRPr="001A1BDE">
                        <w:rPr>
                          <w:rFonts w:ascii="Arial" w:hAnsi="Arial" w:cs="Arial"/>
                          <w:color w:val="FFFFFF"/>
                          <w:sz w:val="24"/>
                          <w:szCs w:val="24"/>
                          <w:lang w:val="en-US"/>
                        </w:rPr>
                        <w:t xml:space="preserve">On 6 September 2023, the High Court of Justice Business and Property Courts imposed a </w:t>
                      </w:r>
                      <w:r w:rsidR="00BF0265" w:rsidRPr="001A1BDE">
                        <w:rPr>
                          <w:rFonts w:ascii="Arial" w:hAnsi="Arial" w:cs="Arial"/>
                          <w:color w:val="FFFFFF"/>
                          <w:sz w:val="24"/>
                          <w:szCs w:val="24"/>
                          <w:lang w:val="en-US"/>
                        </w:rPr>
                        <w:t>nine-year</w:t>
                      </w:r>
                      <w:r w:rsidRPr="001A1BDE">
                        <w:rPr>
                          <w:rFonts w:ascii="Arial" w:hAnsi="Arial" w:cs="Arial"/>
                          <w:color w:val="FFFFFF"/>
                          <w:sz w:val="24"/>
                          <w:szCs w:val="24"/>
                          <w:lang w:val="en-US"/>
                        </w:rPr>
                        <w:t xml:space="preserve"> disqualification and compensation order after hearing that he had given false information to claim the maximum loan amount of £50,000.</w:t>
                      </w:r>
                    </w:p>
                    <w:p w14:paraId="795A3F12" w14:textId="77777777" w:rsidR="00123E64" w:rsidRPr="001A1BDE" w:rsidRDefault="001A1BDE" w:rsidP="001A1BDE">
                      <w:pPr>
                        <w:spacing w:line="256" w:lineRule="auto"/>
                        <w:rPr>
                          <w:rFonts w:ascii="Arial" w:hAnsi="Arial" w:cs="Arial"/>
                          <w:color w:val="FFFFFF"/>
                          <w:sz w:val="24"/>
                          <w:szCs w:val="24"/>
                          <w:lang w:val="en-US"/>
                        </w:rPr>
                      </w:pPr>
                      <w:r w:rsidRPr="001A1BDE">
                        <w:rPr>
                          <w:rFonts w:ascii="Arial" w:hAnsi="Arial" w:cs="Arial"/>
                          <w:color w:val="FFFFFF"/>
                          <w:sz w:val="24"/>
                          <w:szCs w:val="24"/>
                          <w:lang w:val="en-US"/>
                        </w:rPr>
                        <w:t>Despite arguing he was unable to repay the money, the Judge rejected this, and ordered the director to repay £43,750 which represented the excess amount falsely claimed plus interest.</w:t>
                      </w:r>
                    </w:p>
                  </w:txbxContent>
                </v:textbox>
                <w10:wrap anchorx="margin"/>
              </v:rect>
            </w:pict>
          </mc:Fallback>
        </mc:AlternateContent>
      </w:r>
      <w:r>
        <w:rPr>
          <w:rFonts w:ascii="Arial" w:hAnsi="Arial" w:cs="Arial"/>
          <w:noProof/>
          <w:color w:val="2B579A"/>
          <w:sz w:val="24"/>
          <w:szCs w:val="24"/>
          <w:shd w:val="clear" w:color="auto" w:fill="E6E6E6"/>
        </w:rPr>
        <mc:AlternateContent>
          <mc:Choice Requires="wps">
            <w:drawing>
              <wp:anchor distT="0" distB="0" distL="114300" distR="114300" simplePos="0" relativeHeight="251658253" behindDoc="0" locked="0" layoutInCell="1" allowOverlap="1" wp14:anchorId="20B9913E" wp14:editId="4B10FD8B">
                <wp:simplePos x="0" y="0"/>
                <wp:positionH relativeFrom="margin">
                  <wp:align>left</wp:align>
                </wp:positionH>
                <wp:positionV relativeFrom="paragraph">
                  <wp:posOffset>287655</wp:posOffset>
                </wp:positionV>
                <wp:extent cx="5981700" cy="1845310"/>
                <wp:effectExtent l="0" t="0" r="19050" b="21590"/>
                <wp:wrapTopAndBottom/>
                <wp:docPr id="2" name="Rectangle 2"/>
                <wp:cNvGraphicFramePr/>
                <a:graphic xmlns:a="http://schemas.openxmlformats.org/drawingml/2006/main">
                  <a:graphicData uri="http://schemas.microsoft.com/office/word/2010/wordprocessingShape">
                    <wps:wsp>
                      <wps:cNvSpPr/>
                      <wps:spPr>
                        <a:xfrm>
                          <a:off x="0" y="0"/>
                          <a:ext cx="5981700" cy="18453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EFE486" w14:textId="77777777" w:rsidR="00FB7571" w:rsidRDefault="00FB7571" w:rsidP="00FB7571">
                            <w:pPr>
                              <w:rPr>
                                <w:rFonts w:ascii="Arial" w:hAnsi="Arial" w:cs="Arial"/>
                                <w:b/>
                                <w:bCs/>
                                <w:color w:val="FFFFFF" w:themeColor="background1"/>
                                <w:sz w:val="24"/>
                                <w:szCs w:val="24"/>
                              </w:rPr>
                            </w:pPr>
                            <w:r>
                              <w:rPr>
                                <w:rFonts w:ascii="Arial" w:hAnsi="Arial" w:cs="Arial"/>
                                <w:b/>
                                <w:bCs/>
                                <w:color w:val="FFFFFF" w:themeColor="background1"/>
                                <w:sz w:val="24"/>
                                <w:szCs w:val="24"/>
                              </w:rPr>
                              <w:t>Covid 19 financial support scheme misconduct (Criminal prosecution)</w:t>
                            </w:r>
                          </w:p>
                          <w:p w14:paraId="271ED6E7" w14:textId="77777777" w:rsidR="00FB7571" w:rsidRDefault="00FB7571" w:rsidP="00FB7571">
                            <w:pPr>
                              <w:rPr>
                                <w:rFonts w:ascii="Arial" w:hAnsi="Arial" w:cs="Arial"/>
                                <w:color w:val="FFFFFF" w:themeColor="background1"/>
                                <w:sz w:val="24"/>
                                <w:szCs w:val="24"/>
                              </w:rPr>
                            </w:pPr>
                            <w:r>
                              <w:rPr>
                                <w:rFonts w:ascii="Arial" w:hAnsi="Arial" w:cs="Arial"/>
                                <w:color w:val="FFFFFF" w:themeColor="background1"/>
                                <w:sz w:val="24"/>
                                <w:szCs w:val="24"/>
                              </w:rPr>
                              <w:t>A sole trader who claimed to run businesses as a courier and a café fraudulently obtained a £50,000 Bounce Back loan. He withdrew £19,000 within one week of receiving the loan and our investigations showed that he had used the loan for personal rather than business purposes.</w:t>
                            </w:r>
                          </w:p>
                          <w:p w14:paraId="652716E2" w14:textId="77777777" w:rsidR="00FB7571" w:rsidRPr="000506E3" w:rsidRDefault="00FB7571" w:rsidP="00FB7571">
                            <w:pPr>
                              <w:rPr>
                                <w:rFonts w:ascii="Arial" w:hAnsi="Arial" w:cs="Arial"/>
                                <w:color w:val="FFFFFF" w:themeColor="background1"/>
                                <w:sz w:val="24"/>
                                <w:szCs w:val="24"/>
                              </w:rPr>
                            </w:pPr>
                            <w:r>
                              <w:rPr>
                                <w:rFonts w:ascii="Arial" w:hAnsi="Arial" w:cs="Arial"/>
                                <w:color w:val="FFFFFF" w:themeColor="background1"/>
                                <w:sz w:val="24"/>
                                <w:szCs w:val="24"/>
                              </w:rPr>
                              <w:t>He tried to avoid repaying the loan by declaring bankruptcy in October 2021, but Wood Green Crown Court ordered that he repay the loan in full and sentenced him to two years in prison, suspended for two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B9913E" id="Rectangle 2" o:spid="_x0000_s1030" style="position:absolute;margin-left:0;margin-top:22.65pt;width:471pt;height:145.3pt;z-index:2516582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" fillcolor="#4472c4 [3204]" strokecolor="#09101d [484]" strokeweight="1pt">
                <v:textbox>
                  <w:txbxContent>
                    <w:p w14:paraId="6DEFE486" w14:textId="77777777" w:rsidR="00FB7571" w:rsidRDefault="00FB7571" w:rsidP="00FB7571">
                      <w:pPr>
                        <w:rPr>
                          <w:rFonts w:ascii="Arial" w:hAnsi="Arial" w:cs="Arial"/>
                          <w:b/>
                          <w:bCs/>
                          <w:color w:val="FFFFFF" w:themeColor="background1"/>
                          <w:sz w:val="24"/>
                          <w:szCs w:val="24"/>
                        </w:rPr>
                      </w:pPr>
                      <w:r>
                        <w:rPr>
                          <w:rFonts w:ascii="Arial" w:hAnsi="Arial" w:cs="Arial"/>
                          <w:b/>
                          <w:bCs/>
                          <w:color w:val="FFFFFF" w:themeColor="background1"/>
                          <w:sz w:val="24"/>
                          <w:szCs w:val="24"/>
                        </w:rPr>
                        <w:t>Covid 19 financial support scheme misconduct (Criminal prosecution)</w:t>
                      </w:r>
                    </w:p>
                    <w:p w14:paraId="271ED6E7" w14:textId="77777777" w:rsidR="00FB7571" w:rsidRDefault="00FB7571" w:rsidP="00FB7571">
                      <w:pPr>
                        <w:rPr>
                          <w:rFonts w:ascii="Arial" w:hAnsi="Arial" w:cs="Arial"/>
                          <w:color w:val="FFFFFF" w:themeColor="background1"/>
                          <w:sz w:val="24"/>
                          <w:szCs w:val="24"/>
                        </w:rPr>
                      </w:pPr>
                      <w:r>
                        <w:rPr>
                          <w:rFonts w:ascii="Arial" w:hAnsi="Arial" w:cs="Arial"/>
                          <w:color w:val="FFFFFF" w:themeColor="background1"/>
                          <w:sz w:val="24"/>
                          <w:szCs w:val="24"/>
                        </w:rPr>
                        <w:t>A sole trader who claimed to run businesses as a courier and a café fraudulently obtained a £50,000 Bounce Back loan. He withdrew £19,000 within one week of receiving the loan and our investigations showed that he had used the loan for personal rather than business purposes.</w:t>
                      </w:r>
                    </w:p>
                    <w:p w14:paraId="652716E2" w14:textId="77777777" w:rsidR="00FB7571" w:rsidRPr="000506E3" w:rsidRDefault="00FB7571" w:rsidP="00FB7571">
                      <w:pPr>
                        <w:rPr>
                          <w:rFonts w:ascii="Arial" w:hAnsi="Arial" w:cs="Arial"/>
                          <w:color w:val="FFFFFF" w:themeColor="background1"/>
                          <w:sz w:val="24"/>
                          <w:szCs w:val="24"/>
                        </w:rPr>
                      </w:pPr>
                      <w:r>
                        <w:rPr>
                          <w:rFonts w:ascii="Arial" w:hAnsi="Arial" w:cs="Arial"/>
                          <w:color w:val="FFFFFF" w:themeColor="background1"/>
                          <w:sz w:val="24"/>
                          <w:szCs w:val="24"/>
                        </w:rPr>
                        <w:t>He tried to avoid repaying the loan by declaring bankruptcy in October 2021, but Wood Green Crown Court ordered that he repay the loan in full and sentenced him to two years in prison, suspended for two years.</w:t>
                      </w:r>
                    </w:p>
                  </w:txbxContent>
                </v:textbox>
                <w10:wrap type="topAndBottom" anchorx="margin"/>
              </v:rect>
            </w:pict>
          </mc:Fallback>
        </mc:AlternateContent>
      </w:r>
      <w:r w:rsidR="00FB7571">
        <w:rPr>
          <w:rFonts w:ascii="Arial" w:hAnsi="Arial" w:cs="Arial"/>
          <w:sz w:val="24"/>
          <w:szCs w:val="24"/>
        </w:rPr>
        <w:br w:type="page"/>
      </w:r>
    </w:p>
    <w:p w14:paraId="36369324" w14:textId="2DEAE91C" w:rsidR="00843EA7" w:rsidRDefault="00905662" w:rsidP="00B3313A">
      <w:pPr>
        <w:rPr>
          <w:rFonts w:ascii="Arial" w:hAnsi="Arial" w:cs="Arial"/>
          <w:sz w:val="24"/>
          <w:szCs w:val="24"/>
        </w:rPr>
      </w:pPr>
      <w:r>
        <w:rPr>
          <w:rFonts w:ascii="Arial" w:hAnsi="Arial" w:cs="Arial"/>
          <w:noProof/>
          <w:color w:val="2B579A"/>
          <w:sz w:val="24"/>
          <w:szCs w:val="24"/>
          <w:shd w:val="clear" w:color="auto" w:fill="E6E6E6"/>
        </w:rPr>
        <w:lastRenderedPageBreak/>
        <mc:AlternateContent>
          <mc:Choice Requires="wps">
            <w:drawing>
              <wp:anchor distT="0" distB="0" distL="114300" distR="114300" simplePos="0" relativeHeight="251658242" behindDoc="0" locked="0" layoutInCell="1" allowOverlap="1" wp14:anchorId="1A1DD3B7" wp14:editId="40479FA0">
                <wp:simplePos x="0" y="0"/>
                <wp:positionH relativeFrom="margin">
                  <wp:posOffset>-25400</wp:posOffset>
                </wp:positionH>
                <wp:positionV relativeFrom="paragraph">
                  <wp:posOffset>226060</wp:posOffset>
                </wp:positionV>
                <wp:extent cx="5981700" cy="2226733"/>
                <wp:effectExtent l="0" t="0" r="19050" b="21590"/>
                <wp:wrapNone/>
                <wp:docPr id="4" name="Rectangle 4"/>
                <wp:cNvGraphicFramePr/>
                <a:graphic xmlns:a="http://schemas.openxmlformats.org/drawingml/2006/main">
                  <a:graphicData uri="http://schemas.microsoft.com/office/word/2010/wordprocessingShape">
                    <wps:wsp>
                      <wps:cNvSpPr/>
                      <wps:spPr>
                        <a:xfrm>
                          <a:off x="0" y="0"/>
                          <a:ext cx="5981700" cy="2226733"/>
                        </a:xfrm>
                        <a:prstGeom prst="rect">
                          <a:avLst/>
                        </a:prstGeom>
                        <a:solidFill>
                          <a:srgbClr val="4472C4"/>
                        </a:solidFill>
                        <a:ln w="12700" cap="flat" cmpd="sng" algn="ctr">
                          <a:solidFill>
                            <a:srgbClr val="4472C4">
                              <a:shade val="15000"/>
                            </a:srgbClr>
                          </a:solidFill>
                          <a:prstDash val="solid"/>
                          <a:miter lim="800000"/>
                        </a:ln>
                        <a:effectLst/>
                      </wps:spPr>
                      <wps:txbx>
                        <w:txbxContent>
                          <w:p w14:paraId="23BA895A" w14:textId="77777777" w:rsidR="00AA749B" w:rsidRDefault="003F32FF" w:rsidP="00AA749B">
                            <w:pPr>
                              <w:rPr>
                                <w:rFonts w:ascii="Arial" w:hAnsi="Arial" w:cs="Arial"/>
                                <w:b/>
                                <w:bCs/>
                                <w:color w:val="FFFFFF" w:themeColor="background1"/>
                                <w:sz w:val="24"/>
                                <w:szCs w:val="24"/>
                              </w:rPr>
                            </w:pPr>
                            <w:r>
                              <w:rPr>
                                <w:rFonts w:ascii="Arial" w:hAnsi="Arial" w:cs="Arial"/>
                                <w:b/>
                                <w:bCs/>
                                <w:color w:val="FFFFFF" w:themeColor="background1"/>
                                <w:sz w:val="24"/>
                                <w:szCs w:val="24"/>
                              </w:rPr>
                              <w:t>Actin</w:t>
                            </w:r>
                            <w:r w:rsidR="0038156C">
                              <w:rPr>
                                <w:rFonts w:ascii="Arial" w:hAnsi="Arial" w:cs="Arial"/>
                                <w:b/>
                                <w:bCs/>
                                <w:color w:val="FFFFFF" w:themeColor="background1"/>
                                <w:sz w:val="24"/>
                                <w:szCs w:val="24"/>
                              </w:rPr>
                              <w:t>g</w:t>
                            </w:r>
                            <w:r>
                              <w:rPr>
                                <w:rFonts w:ascii="Arial" w:hAnsi="Arial" w:cs="Arial"/>
                                <w:b/>
                                <w:bCs/>
                                <w:color w:val="FFFFFF" w:themeColor="background1"/>
                                <w:sz w:val="24"/>
                                <w:szCs w:val="24"/>
                              </w:rPr>
                              <w:t xml:space="preserve"> as a Director whilst disqualified</w:t>
                            </w:r>
                          </w:p>
                          <w:p w14:paraId="4633F432" w14:textId="77777777" w:rsidR="00341EDD" w:rsidRPr="00341EDD" w:rsidRDefault="00341EDD" w:rsidP="00341EDD">
                            <w:pPr>
                              <w:rPr>
                                <w:rFonts w:ascii="Arial" w:hAnsi="Arial" w:cs="Arial"/>
                                <w:color w:val="FFFFFF" w:themeColor="background1"/>
                                <w:sz w:val="24"/>
                                <w:szCs w:val="24"/>
                              </w:rPr>
                            </w:pPr>
                            <w:r w:rsidRPr="00341EDD">
                              <w:rPr>
                                <w:rFonts w:ascii="Arial" w:hAnsi="Arial" w:cs="Arial"/>
                                <w:color w:val="FFFFFF" w:themeColor="background1"/>
                                <w:sz w:val="24"/>
                                <w:szCs w:val="24"/>
                              </w:rPr>
                              <w:t>In December 2023 a disqualified director received a 10-week prison sentence, suspended for 18 months. This followed a breach of his eight-year director disqualification by running a window fitting company during the period of the disqualification. He was also fined £500 and ordered to pay £3,000 in costs.</w:t>
                            </w:r>
                          </w:p>
                          <w:p w14:paraId="522C0C56" w14:textId="77777777" w:rsidR="00CA4914" w:rsidRPr="000506E3" w:rsidRDefault="00341EDD" w:rsidP="00341EDD">
                            <w:pPr>
                              <w:rPr>
                                <w:rFonts w:ascii="Arial" w:hAnsi="Arial" w:cs="Arial"/>
                                <w:color w:val="FFFFFF" w:themeColor="background1"/>
                                <w:sz w:val="24"/>
                                <w:szCs w:val="24"/>
                              </w:rPr>
                            </w:pPr>
                            <w:r w:rsidRPr="00341EDD">
                              <w:rPr>
                                <w:rFonts w:ascii="Arial" w:hAnsi="Arial" w:cs="Arial"/>
                                <w:color w:val="FFFFFF" w:themeColor="background1"/>
                                <w:sz w:val="24"/>
                                <w:szCs w:val="24"/>
                              </w:rPr>
                              <w:t>Despite being the subject of an eight-year disqualification undertaking as a result of misconduct in two earlier companies which had gone into liquidation, Agency investigators discovered that although he was not a registered director of the company, he took part in the day-to-day running before it went into liquidation owing more than £297,000.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1DD3B7" id="Rectangle 4" o:spid="_x0000_s1031" style="position:absolute;margin-left:-2pt;margin-top:17.8pt;width:471pt;height:175.3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" fillcolor="#4472c4" strokecolor="#172c51" strokeweight="1pt">
                <v:textbox>
                  <w:txbxContent>
                    <w:p w14:paraId="23BA895A" w14:textId="77777777" w:rsidR="00AA749B" w:rsidRDefault="003F32FF" w:rsidP="00AA749B">
                      <w:pPr>
                        <w:rPr>
                          <w:rFonts w:ascii="Arial" w:hAnsi="Arial" w:cs="Arial"/>
                          <w:b/>
                          <w:bCs/>
                          <w:color w:val="FFFFFF" w:themeColor="background1"/>
                          <w:sz w:val="24"/>
                          <w:szCs w:val="24"/>
                        </w:rPr>
                      </w:pPr>
                      <w:r>
                        <w:rPr>
                          <w:rFonts w:ascii="Arial" w:hAnsi="Arial" w:cs="Arial"/>
                          <w:b/>
                          <w:bCs/>
                          <w:color w:val="FFFFFF" w:themeColor="background1"/>
                          <w:sz w:val="24"/>
                          <w:szCs w:val="24"/>
                        </w:rPr>
                        <w:t>Actin</w:t>
                      </w:r>
                      <w:r w:rsidR="0038156C">
                        <w:rPr>
                          <w:rFonts w:ascii="Arial" w:hAnsi="Arial" w:cs="Arial"/>
                          <w:b/>
                          <w:bCs/>
                          <w:color w:val="FFFFFF" w:themeColor="background1"/>
                          <w:sz w:val="24"/>
                          <w:szCs w:val="24"/>
                        </w:rPr>
                        <w:t>g</w:t>
                      </w:r>
                      <w:r>
                        <w:rPr>
                          <w:rFonts w:ascii="Arial" w:hAnsi="Arial" w:cs="Arial"/>
                          <w:b/>
                          <w:bCs/>
                          <w:color w:val="FFFFFF" w:themeColor="background1"/>
                          <w:sz w:val="24"/>
                          <w:szCs w:val="24"/>
                        </w:rPr>
                        <w:t xml:space="preserve"> as a Director whilst disqualified</w:t>
                      </w:r>
                    </w:p>
                    <w:p w14:paraId="4633F432" w14:textId="77777777" w:rsidR="00341EDD" w:rsidRPr="00341EDD" w:rsidRDefault="00341EDD" w:rsidP="00341EDD">
                      <w:pPr>
                        <w:rPr>
                          <w:rFonts w:ascii="Arial" w:hAnsi="Arial" w:cs="Arial"/>
                          <w:color w:val="FFFFFF" w:themeColor="background1"/>
                          <w:sz w:val="24"/>
                          <w:szCs w:val="24"/>
                        </w:rPr>
                      </w:pPr>
                      <w:r w:rsidRPr="00341EDD">
                        <w:rPr>
                          <w:rFonts w:ascii="Arial" w:hAnsi="Arial" w:cs="Arial"/>
                          <w:color w:val="FFFFFF" w:themeColor="background1"/>
                          <w:sz w:val="24"/>
                          <w:szCs w:val="24"/>
                        </w:rPr>
                        <w:t>In December 2023 a disqualified director received a 10-week prison sentence, suspended for 18 months. This followed a breach of his eight-year director disqualification by running a window fitting company during the period of the disqualification. He was also fined £500 and ordered to pay £3,000 in costs.</w:t>
                      </w:r>
                    </w:p>
                    <w:p w14:paraId="522C0C56" w14:textId="77777777" w:rsidR="00CA4914" w:rsidRPr="000506E3" w:rsidRDefault="00341EDD" w:rsidP="00341EDD">
                      <w:pPr>
                        <w:rPr>
                          <w:rFonts w:ascii="Arial" w:hAnsi="Arial" w:cs="Arial"/>
                          <w:color w:val="FFFFFF" w:themeColor="background1"/>
                          <w:sz w:val="24"/>
                          <w:szCs w:val="24"/>
                        </w:rPr>
                      </w:pPr>
                      <w:r w:rsidRPr="00341EDD">
                        <w:rPr>
                          <w:rFonts w:ascii="Arial" w:hAnsi="Arial" w:cs="Arial"/>
                          <w:color w:val="FFFFFF" w:themeColor="background1"/>
                          <w:sz w:val="24"/>
                          <w:szCs w:val="24"/>
                        </w:rPr>
                        <w:t>Despite being the subject of an eight-year disqualification undertaking as a result of misconduct in two earlier companies which had gone into liquidation, Agency investigators discovered that although he was not a registered director of the company, he took part in the day-to-day running before it went into liquidation owing more than £297,000.</w:t>
                      </w:r>
                    </w:p>
                  </w:txbxContent>
                </v:textbox>
                <w10:wrap anchorx="margin"/>
              </v:rect>
            </w:pict>
          </mc:Fallback>
        </mc:AlternateContent>
      </w:r>
    </w:p>
    <w:p w14:paraId="428F98AE" w14:textId="1E24D6E3" w:rsidR="00843EA7" w:rsidRDefault="00843EA7" w:rsidP="00B3313A">
      <w:pPr>
        <w:rPr>
          <w:rFonts w:ascii="Arial" w:hAnsi="Arial" w:cs="Arial"/>
          <w:sz w:val="24"/>
          <w:szCs w:val="24"/>
        </w:rPr>
      </w:pPr>
    </w:p>
    <w:p w14:paraId="12E825D7" w14:textId="412AE04F" w:rsidR="002809A8" w:rsidRDefault="002809A8" w:rsidP="00B3313A">
      <w:pPr>
        <w:rPr>
          <w:rFonts w:ascii="Arial" w:hAnsi="Arial" w:cs="Arial"/>
          <w:sz w:val="24"/>
          <w:szCs w:val="24"/>
        </w:rPr>
      </w:pPr>
    </w:p>
    <w:p w14:paraId="52B378E3" w14:textId="34EA4C84" w:rsidR="00BB6767" w:rsidRDefault="00BB6767" w:rsidP="00B3313A">
      <w:pPr>
        <w:rPr>
          <w:rFonts w:ascii="Arial" w:hAnsi="Arial" w:cs="Arial"/>
          <w:sz w:val="24"/>
          <w:szCs w:val="24"/>
        </w:rPr>
      </w:pPr>
    </w:p>
    <w:p w14:paraId="6615E5B2" w14:textId="1375C508" w:rsidR="00BB6767" w:rsidRDefault="00BB6767" w:rsidP="00B3313A">
      <w:pPr>
        <w:rPr>
          <w:rFonts w:ascii="Arial" w:hAnsi="Arial" w:cs="Arial"/>
          <w:sz w:val="24"/>
          <w:szCs w:val="24"/>
        </w:rPr>
      </w:pPr>
    </w:p>
    <w:p w14:paraId="06BDB235" w14:textId="4D7E3C93" w:rsidR="00BB6767" w:rsidRDefault="00BB6767" w:rsidP="00B3313A">
      <w:pPr>
        <w:rPr>
          <w:rFonts w:ascii="Arial" w:hAnsi="Arial" w:cs="Arial"/>
          <w:sz w:val="24"/>
          <w:szCs w:val="24"/>
        </w:rPr>
      </w:pPr>
    </w:p>
    <w:p w14:paraId="25784356" w14:textId="560719E0" w:rsidR="00BB6767" w:rsidRDefault="00BB6767" w:rsidP="00B3313A">
      <w:pPr>
        <w:rPr>
          <w:rFonts w:ascii="Arial" w:hAnsi="Arial" w:cs="Arial"/>
          <w:sz w:val="24"/>
          <w:szCs w:val="24"/>
        </w:rPr>
      </w:pPr>
    </w:p>
    <w:p w14:paraId="71CF3B2F" w14:textId="5FECB077" w:rsidR="00BB6767" w:rsidRDefault="00BB6767" w:rsidP="00B3313A">
      <w:pPr>
        <w:rPr>
          <w:rFonts w:ascii="Arial" w:hAnsi="Arial" w:cs="Arial"/>
          <w:sz w:val="24"/>
          <w:szCs w:val="24"/>
        </w:rPr>
      </w:pPr>
    </w:p>
    <w:p w14:paraId="4A9643EB" w14:textId="192E8306" w:rsidR="00BB6767" w:rsidRDefault="00BB6767" w:rsidP="00B3313A">
      <w:pPr>
        <w:rPr>
          <w:rFonts w:ascii="Arial" w:hAnsi="Arial" w:cs="Arial"/>
          <w:sz w:val="24"/>
          <w:szCs w:val="24"/>
        </w:rPr>
      </w:pPr>
    </w:p>
    <w:p w14:paraId="3334C887" w14:textId="098F510E" w:rsidR="00843EA7" w:rsidRDefault="00905662" w:rsidP="00B3313A">
      <w:pPr>
        <w:rPr>
          <w:rFonts w:ascii="Arial" w:hAnsi="Arial" w:cs="Arial"/>
          <w:sz w:val="24"/>
          <w:szCs w:val="24"/>
        </w:rPr>
      </w:pPr>
      <w:r>
        <w:rPr>
          <w:rFonts w:ascii="Arial" w:hAnsi="Arial" w:cs="Arial"/>
          <w:noProof/>
          <w:color w:val="2B579A"/>
          <w:sz w:val="24"/>
          <w:szCs w:val="24"/>
          <w:shd w:val="clear" w:color="auto" w:fill="E6E6E6"/>
        </w:rPr>
        <mc:AlternateContent>
          <mc:Choice Requires="wps">
            <w:drawing>
              <wp:anchor distT="0" distB="0" distL="114300" distR="114300" simplePos="0" relativeHeight="251658254" behindDoc="0" locked="0" layoutInCell="1" allowOverlap="1" wp14:anchorId="617948A8" wp14:editId="1D13617B">
                <wp:simplePos x="0" y="0"/>
                <wp:positionH relativeFrom="margin">
                  <wp:posOffset>-25400</wp:posOffset>
                </wp:positionH>
                <wp:positionV relativeFrom="paragraph">
                  <wp:posOffset>50377</wp:posOffset>
                </wp:positionV>
                <wp:extent cx="5981700" cy="2497667"/>
                <wp:effectExtent l="0" t="0" r="19050" b="17145"/>
                <wp:wrapNone/>
                <wp:docPr id="5" name="Rectangle 5"/>
                <wp:cNvGraphicFramePr/>
                <a:graphic xmlns:a="http://schemas.openxmlformats.org/drawingml/2006/main">
                  <a:graphicData uri="http://schemas.microsoft.com/office/word/2010/wordprocessingShape">
                    <wps:wsp>
                      <wps:cNvSpPr/>
                      <wps:spPr>
                        <a:xfrm>
                          <a:off x="0" y="0"/>
                          <a:ext cx="5981700" cy="2497667"/>
                        </a:xfrm>
                        <a:prstGeom prst="rect">
                          <a:avLst/>
                        </a:prstGeom>
                        <a:solidFill>
                          <a:srgbClr val="4472C4"/>
                        </a:solidFill>
                        <a:ln w="12700" cap="flat" cmpd="sng" algn="ctr">
                          <a:solidFill>
                            <a:srgbClr val="4472C4">
                              <a:shade val="15000"/>
                            </a:srgbClr>
                          </a:solidFill>
                          <a:prstDash val="solid"/>
                          <a:miter lim="800000"/>
                        </a:ln>
                        <a:effectLst/>
                      </wps:spPr>
                      <wps:txbx>
                        <w:txbxContent>
                          <w:p w14:paraId="31E9C66E" w14:textId="77777777" w:rsidR="00FB7571" w:rsidRDefault="00FB7571" w:rsidP="00FB7571">
                            <w:pPr>
                              <w:rPr>
                                <w:rFonts w:ascii="Arial" w:hAnsi="Arial" w:cs="Arial"/>
                                <w:b/>
                                <w:bCs/>
                                <w:color w:val="FFFFFF" w:themeColor="background1"/>
                                <w:sz w:val="24"/>
                                <w:szCs w:val="24"/>
                              </w:rPr>
                            </w:pPr>
                            <w:r>
                              <w:rPr>
                                <w:rFonts w:ascii="Arial" w:hAnsi="Arial" w:cs="Arial"/>
                                <w:b/>
                                <w:bCs/>
                                <w:color w:val="FFFFFF" w:themeColor="background1"/>
                                <w:sz w:val="24"/>
                                <w:szCs w:val="24"/>
                              </w:rPr>
                              <w:t>Insolvency Act offences and forgery</w:t>
                            </w:r>
                          </w:p>
                          <w:p w14:paraId="706E3FAD" w14:textId="77777777" w:rsidR="00FB7571" w:rsidRDefault="00FB7571" w:rsidP="00FB7571">
                            <w:pPr>
                              <w:rPr>
                                <w:rFonts w:ascii="Arial" w:hAnsi="Arial" w:cs="Arial"/>
                                <w:color w:val="FFFFFF" w:themeColor="background1"/>
                                <w:sz w:val="24"/>
                                <w:szCs w:val="24"/>
                              </w:rPr>
                            </w:pPr>
                            <w:r>
                              <w:rPr>
                                <w:rFonts w:ascii="Arial" w:hAnsi="Arial" w:cs="Arial"/>
                                <w:color w:val="FFFFFF" w:themeColor="background1"/>
                                <w:sz w:val="24"/>
                                <w:szCs w:val="24"/>
                              </w:rPr>
                              <w:t>On 4 December 2023 a woman pleaded guilty to the charges relating to fraudulently transferring property, contrary to section 357(1) of the Insolvency Act 1986, and Forgery, contrary to section 1 of the Forgery and Counterfeiting Act 1981.</w:t>
                            </w:r>
                          </w:p>
                          <w:p w14:paraId="508DC842" w14:textId="77777777" w:rsidR="00FB7571" w:rsidRDefault="00FB7571" w:rsidP="00FB7571">
                            <w:pPr>
                              <w:rPr>
                                <w:rFonts w:ascii="Arial" w:hAnsi="Arial" w:cs="Arial"/>
                                <w:color w:val="FFFFFF" w:themeColor="background1"/>
                                <w:sz w:val="24"/>
                                <w:szCs w:val="24"/>
                              </w:rPr>
                            </w:pPr>
                            <w:r>
                              <w:rPr>
                                <w:rFonts w:ascii="Arial" w:hAnsi="Arial" w:cs="Arial"/>
                                <w:color w:val="FFFFFF" w:themeColor="background1"/>
                                <w:sz w:val="24"/>
                                <w:szCs w:val="24"/>
                              </w:rPr>
                              <w:t>In the lead up to the bankruptcy order made against her, she made two fraudulent disposals of her property. She transferred her share of two companies worth £26,179 and £118,770 respectively to her son. She then signed an assets and liability statement in the name of another person, after they had refused to sign the document. She submitted the signed document in order to get a loan for £1,987,500.</w:t>
                            </w:r>
                          </w:p>
                          <w:p w14:paraId="6A4861EB" w14:textId="77777777" w:rsidR="00FB7571" w:rsidRPr="000506E3" w:rsidRDefault="00FB7571" w:rsidP="00FB7571">
                            <w:pPr>
                              <w:rPr>
                                <w:rFonts w:ascii="Arial" w:hAnsi="Arial" w:cs="Arial"/>
                                <w:color w:val="FFFFFF" w:themeColor="background1"/>
                                <w:sz w:val="24"/>
                                <w:szCs w:val="24"/>
                              </w:rPr>
                            </w:pPr>
                            <w:r>
                              <w:rPr>
                                <w:rFonts w:ascii="Arial" w:hAnsi="Arial" w:cs="Arial"/>
                                <w:color w:val="FFFFFF" w:themeColor="background1"/>
                                <w:sz w:val="24"/>
                                <w:szCs w:val="24"/>
                              </w:rPr>
                              <w:t>She was sentenced to 16 months imprisonment suspended for 18 months, 200 hours unpaid work, and ordered to pay £2,000 costs.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7948A8" id="Rectangle 5" o:spid="_x0000_s1032" style="position:absolute;margin-left:-2pt;margin-top:3.95pt;width:471pt;height:196.65pt;z-index:251658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" fillcolor="#4472c4" strokecolor="#172c51" strokeweight="1pt">
                <v:textbox>
                  <w:txbxContent>
                    <w:p w14:paraId="31E9C66E" w14:textId="77777777" w:rsidR="00FB7571" w:rsidRDefault="00FB7571" w:rsidP="00FB7571">
                      <w:pPr>
                        <w:rPr>
                          <w:rFonts w:ascii="Arial" w:hAnsi="Arial" w:cs="Arial"/>
                          <w:b/>
                          <w:bCs/>
                          <w:color w:val="FFFFFF" w:themeColor="background1"/>
                          <w:sz w:val="24"/>
                          <w:szCs w:val="24"/>
                        </w:rPr>
                      </w:pPr>
                      <w:r>
                        <w:rPr>
                          <w:rFonts w:ascii="Arial" w:hAnsi="Arial" w:cs="Arial"/>
                          <w:b/>
                          <w:bCs/>
                          <w:color w:val="FFFFFF" w:themeColor="background1"/>
                          <w:sz w:val="24"/>
                          <w:szCs w:val="24"/>
                        </w:rPr>
                        <w:t>Insolvency Act offences and forgery</w:t>
                      </w:r>
                    </w:p>
                    <w:p w14:paraId="706E3FAD" w14:textId="77777777" w:rsidR="00FB7571" w:rsidRDefault="00FB7571" w:rsidP="00FB7571">
                      <w:pPr>
                        <w:rPr>
                          <w:rFonts w:ascii="Arial" w:hAnsi="Arial" w:cs="Arial"/>
                          <w:color w:val="FFFFFF" w:themeColor="background1"/>
                          <w:sz w:val="24"/>
                          <w:szCs w:val="24"/>
                        </w:rPr>
                      </w:pPr>
                      <w:r>
                        <w:rPr>
                          <w:rFonts w:ascii="Arial" w:hAnsi="Arial" w:cs="Arial"/>
                          <w:color w:val="FFFFFF" w:themeColor="background1"/>
                          <w:sz w:val="24"/>
                          <w:szCs w:val="24"/>
                        </w:rPr>
                        <w:t>On 4 December 2023 a woman pleaded guilty to the charges relating to fraudulently transferring property, contrary to section 357(1) of the Insolvency Act 1986, and Forgery, contrary to section 1 of the Forgery and Counterfeiting Act 1981.</w:t>
                      </w:r>
                    </w:p>
                    <w:p w14:paraId="508DC842" w14:textId="77777777" w:rsidR="00FB7571" w:rsidRDefault="00FB7571" w:rsidP="00FB7571">
                      <w:pPr>
                        <w:rPr>
                          <w:rFonts w:ascii="Arial" w:hAnsi="Arial" w:cs="Arial"/>
                          <w:color w:val="FFFFFF" w:themeColor="background1"/>
                          <w:sz w:val="24"/>
                          <w:szCs w:val="24"/>
                        </w:rPr>
                      </w:pPr>
                      <w:r>
                        <w:rPr>
                          <w:rFonts w:ascii="Arial" w:hAnsi="Arial" w:cs="Arial"/>
                          <w:color w:val="FFFFFF" w:themeColor="background1"/>
                          <w:sz w:val="24"/>
                          <w:szCs w:val="24"/>
                        </w:rPr>
                        <w:t>In the lead up to the bankruptcy order made against her, she made two fraudulent disposals of her property. She transferred her share of two companies worth £26,179 and £118,770 respectively to her son. She then signed an assets and liability statement in the name of another person, after they had refused to sign the document. She submitted the signed document in order to get a loan for £1,987,500.</w:t>
                      </w:r>
                    </w:p>
                    <w:p w14:paraId="6A4861EB" w14:textId="77777777" w:rsidR="00FB7571" w:rsidRPr="000506E3" w:rsidRDefault="00FB7571" w:rsidP="00FB7571">
                      <w:pPr>
                        <w:rPr>
                          <w:rFonts w:ascii="Arial" w:hAnsi="Arial" w:cs="Arial"/>
                          <w:color w:val="FFFFFF" w:themeColor="background1"/>
                          <w:sz w:val="24"/>
                          <w:szCs w:val="24"/>
                        </w:rPr>
                      </w:pPr>
                      <w:r>
                        <w:rPr>
                          <w:rFonts w:ascii="Arial" w:hAnsi="Arial" w:cs="Arial"/>
                          <w:color w:val="FFFFFF" w:themeColor="background1"/>
                          <w:sz w:val="24"/>
                          <w:szCs w:val="24"/>
                        </w:rPr>
                        <w:t>She was sentenced to 16 months imprisonment suspended for 18 months, 200 hours unpaid work, and ordered to pay £2,000 costs.</w:t>
                      </w:r>
                    </w:p>
                  </w:txbxContent>
                </v:textbox>
                <w10:wrap anchorx="margin"/>
              </v:rect>
            </w:pict>
          </mc:Fallback>
        </mc:AlternateContent>
      </w:r>
    </w:p>
    <w:p w14:paraId="5D2764DD" w14:textId="004569E0" w:rsidR="00BB6767" w:rsidRDefault="00BB6767" w:rsidP="00B3313A">
      <w:pPr>
        <w:rPr>
          <w:rFonts w:ascii="Arial" w:hAnsi="Arial" w:cs="Arial"/>
          <w:sz w:val="24"/>
          <w:szCs w:val="24"/>
        </w:rPr>
      </w:pPr>
    </w:p>
    <w:p w14:paraId="59F59ED8" w14:textId="0FAF9410" w:rsidR="00BB6767" w:rsidRDefault="00BB6767" w:rsidP="00B3313A">
      <w:pPr>
        <w:rPr>
          <w:rFonts w:ascii="Arial" w:hAnsi="Arial" w:cs="Arial"/>
          <w:sz w:val="24"/>
          <w:szCs w:val="24"/>
        </w:rPr>
      </w:pPr>
    </w:p>
    <w:p w14:paraId="5DC988C8" w14:textId="34A0FADB" w:rsidR="00E76F47" w:rsidRDefault="00E76F47" w:rsidP="00B3313A">
      <w:pPr>
        <w:rPr>
          <w:rFonts w:ascii="Arial" w:hAnsi="Arial" w:cs="Arial"/>
          <w:sz w:val="24"/>
          <w:szCs w:val="24"/>
        </w:rPr>
      </w:pPr>
    </w:p>
    <w:p w14:paraId="3B18F951" w14:textId="69A72628" w:rsidR="00E76F47" w:rsidRDefault="00E76F47" w:rsidP="00B3313A">
      <w:pPr>
        <w:rPr>
          <w:rFonts w:ascii="Arial" w:hAnsi="Arial" w:cs="Arial"/>
          <w:sz w:val="24"/>
          <w:szCs w:val="24"/>
        </w:rPr>
      </w:pPr>
    </w:p>
    <w:p w14:paraId="2D2DC06B" w14:textId="66255DAA" w:rsidR="00BB6767" w:rsidRDefault="00BB6767" w:rsidP="00B3313A">
      <w:pPr>
        <w:rPr>
          <w:rFonts w:ascii="Arial" w:hAnsi="Arial" w:cs="Arial"/>
          <w:sz w:val="24"/>
          <w:szCs w:val="24"/>
        </w:rPr>
      </w:pPr>
    </w:p>
    <w:p w14:paraId="3E50EC9E" w14:textId="79EFE473" w:rsidR="00BB6767" w:rsidRDefault="00BB6767" w:rsidP="00B3313A">
      <w:pPr>
        <w:rPr>
          <w:rFonts w:ascii="Arial" w:hAnsi="Arial" w:cs="Arial"/>
          <w:sz w:val="24"/>
          <w:szCs w:val="24"/>
        </w:rPr>
      </w:pPr>
    </w:p>
    <w:p w14:paraId="5D8A724D" w14:textId="050514F1" w:rsidR="008F6543" w:rsidRDefault="008F6543" w:rsidP="00B3313A">
      <w:pPr>
        <w:rPr>
          <w:rFonts w:ascii="Arial" w:hAnsi="Arial" w:cs="Arial"/>
          <w:sz w:val="24"/>
          <w:szCs w:val="24"/>
        </w:rPr>
      </w:pPr>
    </w:p>
    <w:p w14:paraId="49915F79" w14:textId="7B51604C" w:rsidR="008F6543" w:rsidRDefault="008F6543" w:rsidP="00B3313A">
      <w:pPr>
        <w:rPr>
          <w:rFonts w:ascii="Arial" w:hAnsi="Arial" w:cs="Arial"/>
          <w:sz w:val="24"/>
          <w:szCs w:val="24"/>
        </w:rPr>
      </w:pPr>
    </w:p>
    <w:p w14:paraId="21642145" w14:textId="77777777" w:rsidR="00BB6767" w:rsidRDefault="00BB6767" w:rsidP="00B3313A">
      <w:pPr>
        <w:rPr>
          <w:rFonts w:ascii="Arial" w:hAnsi="Arial" w:cs="Arial"/>
          <w:sz w:val="24"/>
          <w:szCs w:val="24"/>
        </w:rPr>
      </w:pPr>
    </w:p>
    <w:p w14:paraId="2E869BD5" w14:textId="7EA1AD5C" w:rsidR="00E76F47" w:rsidRDefault="00E76F47" w:rsidP="00CF5792">
      <w:pPr>
        <w:pStyle w:val="Heading4"/>
        <w:rPr>
          <w:rFonts w:cs="Arial"/>
          <w:b w:val="0"/>
          <w:sz w:val="24"/>
          <w:szCs w:val="24"/>
        </w:rPr>
      </w:pPr>
      <w:r>
        <w:t>Anti Money Laundering Intelligence Cell (AMLIC)</w:t>
      </w:r>
    </w:p>
    <w:p w14:paraId="1E2BA2B3" w14:textId="462B054A" w:rsidR="00E76F47" w:rsidRDefault="00BF528F" w:rsidP="00B3313A">
      <w:pPr>
        <w:rPr>
          <w:rFonts w:ascii="Arial" w:hAnsi="Arial" w:cs="Arial"/>
          <w:sz w:val="24"/>
          <w:szCs w:val="24"/>
        </w:rPr>
      </w:pPr>
      <w:r>
        <w:rPr>
          <w:rFonts w:ascii="Arial" w:hAnsi="Arial" w:cs="Arial"/>
          <w:sz w:val="24"/>
          <w:szCs w:val="24"/>
        </w:rPr>
        <w:t>Our new</w:t>
      </w:r>
      <w:r w:rsidR="00FE1A5A">
        <w:rPr>
          <w:rFonts w:ascii="Arial" w:hAnsi="Arial" w:cs="Arial"/>
          <w:sz w:val="24"/>
          <w:szCs w:val="24"/>
        </w:rPr>
        <w:t xml:space="preserve"> Anti Money Laundering Intelligence Cell </w:t>
      </w:r>
      <w:r>
        <w:rPr>
          <w:rFonts w:ascii="Arial" w:hAnsi="Arial" w:cs="Arial"/>
          <w:sz w:val="24"/>
          <w:szCs w:val="24"/>
        </w:rPr>
        <w:t xml:space="preserve">became operational </w:t>
      </w:r>
      <w:r w:rsidR="001C1C22">
        <w:rPr>
          <w:rFonts w:ascii="Arial" w:hAnsi="Arial" w:cs="Arial"/>
          <w:sz w:val="24"/>
          <w:szCs w:val="24"/>
        </w:rPr>
        <w:t>during 2023-24</w:t>
      </w:r>
      <w:r>
        <w:rPr>
          <w:rFonts w:ascii="Arial" w:hAnsi="Arial" w:cs="Arial"/>
          <w:sz w:val="24"/>
          <w:szCs w:val="24"/>
        </w:rPr>
        <w:t>. This</w:t>
      </w:r>
      <w:r w:rsidR="001C1C22">
        <w:rPr>
          <w:rFonts w:ascii="Arial" w:hAnsi="Arial" w:cs="Arial"/>
          <w:sz w:val="24"/>
          <w:szCs w:val="24"/>
        </w:rPr>
        <w:t xml:space="preserve"> is a new initiative funded by the Economic Crime</w:t>
      </w:r>
      <w:r w:rsidR="001D5E72">
        <w:rPr>
          <w:rFonts w:ascii="Arial" w:hAnsi="Arial" w:cs="Arial"/>
          <w:sz w:val="24"/>
          <w:szCs w:val="24"/>
        </w:rPr>
        <w:t xml:space="preserve"> (Anti Money Laundering) Levy. </w:t>
      </w:r>
    </w:p>
    <w:p w14:paraId="725B8231" w14:textId="1CB723E7" w:rsidR="001D5E72" w:rsidRDefault="001D5E72" w:rsidP="00B3313A">
      <w:pPr>
        <w:rPr>
          <w:rFonts w:ascii="Arial" w:hAnsi="Arial" w:cs="Arial"/>
          <w:sz w:val="24"/>
          <w:szCs w:val="24"/>
        </w:rPr>
      </w:pPr>
      <w:r>
        <w:rPr>
          <w:rFonts w:ascii="Arial" w:hAnsi="Arial" w:cs="Arial"/>
          <w:sz w:val="24"/>
          <w:szCs w:val="24"/>
        </w:rPr>
        <w:t>AMLIC</w:t>
      </w:r>
      <w:r w:rsidR="00E0157E">
        <w:rPr>
          <w:rFonts w:ascii="Arial" w:hAnsi="Arial" w:cs="Arial"/>
          <w:sz w:val="24"/>
          <w:szCs w:val="24"/>
        </w:rPr>
        <w:t>’s specific objectives are to develop and disseminate intelligence to internal and external partners</w:t>
      </w:r>
      <w:r w:rsidR="008209D9">
        <w:rPr>
          <w:rFonts w:ascii="Arial" w:hAnsi="Arial" w:cs="Arial"/>
          <w:sz w:val="24"/>
          <w:szCs w:val="24"/>
        </w:rPr>
        <w:t>, specifically Companies House, the National Economic Crime Centre (N</w:t>
      </w:r>
      <w:r w:rsidR="00C607CC">
        <w:rPr>
          <w:rFonts w:ascii="Arial" w:hAnsi="Arial" w:cs="Arial"/>
          <w:sz w:val="24"/>
          <w:szCs w:val="24"/>
        </w:rPr>
        <w:t>ECC), all UK law enforcement and overseas agencies such as US Homeland Security.</w:t>
      </w:r>
      <w:r w:rsidR="00C643F0">
        <w:rPr>
          <w:rFonts w:ascii="Arial" w:hAnsi="Arial" w:cs="Arial"/>
          <w:sz w:val="24"/>
          <w:szCs w:val="24"/>
        </w:rPr>
        <w:t xml:space="preserve"> </w:t>
      </w:r>
      <w:r w:rsidR="0005129C" w:rsidRPr="1FEE3B9B">
        <w:rPr>
          <w:rFonts w:ascii="Arial" w:hAnsi="Arial" w:cs="Arial"/>
          <w:sz w:val="24"/>
          <w:szCs w:val="24"/>
        </w:rPr>
        <w:t xml:space="preserve"> </w:t>
      </w:r>
      <w:r w:rsidR="6FCD590B" w:rsidRPr="1FEE3B9B">
        <w:rPr>
          <w:rFonts w:ascii="Arial" w:hAnsi="Arial" w:cs="Arial"/>
          <w:sz w:val="24"/>
          <w:szCs w:val="24"/>
        </w:rPr>
        <w:t>We</w:t>
      </w:r>
      <w:r w:rsidR="00E84022">
        <w:rPr>
          <w:rFonts w:ascii="Arial" w:hAnsi="Arial" w:cs="Arial"/>
          <w:sz w:val="24"/>
          <w:szCs w:val="24"/>
        </w:rPr>
        <w:t xml:space="preserve"> will</w:t>
      </w:r>
      <w:r w:rsidR="0005129C">
        <w:rPr>
          <w:rFonts w:ascii="Arial" w:hAnsi="Arial" w:cs="Arial"/>
          <w:sz w:val="24"/>
          <w:szCs w:val="24"/>
        </w:rPr>
        <w:t xml:space="preserve"> help </w:t>
      </w:r>
      <w:r w:rsidR="00E84022">
        <w:rPr>
          <w:rFonts w:ascii="Arial" w:hAnsi="Arial" w:cs="Arial"/>
          <w:sz w:val="24"/>
          <w:szCs w:val="24"/>
        </w:rPr>
        <w:t xml:space="preserve">to </w:t>
      </w:r>
      <w:r w:rsidR="0005129C">
        <w:rPr>
          <w:rFonts w:ascii="Arial" w:hAnsi="Arial" w:cs="Arial"/>
          <w:sz w:val="24"/>
          <w:szCs w:val="24"/>
        </w:rPr>
        <w:t>drive</w:t>
      </w:r>
      <w:r w:rsidR="00894525">
        <w:rPr>
          <w:rFonts w:ascii="Arial" w:hAnsi="Arial" w:cs="Arial"/>
          <w:sz w:val="24"/>
          <w:szCs w:val="24"/>
        </w:rPr>
        <w:t xml:space="preserve"> the removal of these activities from the company register where they involve</w:t>
      </w:r>
      <w:r w:rsidR="0010581F">
        <w:rPr>
          <w:rFonts w:ascii="Arial" w:hAnsi="Arial" w:cs="Arial"/>
          <w:sz w:val="24"/>
          <w:szCs w:val="24"/>
        </w:rPr>
        <w:t xml:space="preserve"> or are enacted through entities registered on the UK Corporate register.</w:t>
      </w:r>
    </w:p>
    <w:p w14:paraId="34B0D8D0" w14:textId="77777777" w:rsidR="00905662" w:rsidRDefault="00905662">
      <w:pPr>
        <w:rPr>
          <w:rFonts w:ascii="Arial" w:eastAsiaTheme="majorEastAsia" w:hAnsi="Arial" w:cstheme="majorBidi"/>
          <w:b/>
          <w:iCs/>
          <w:color w:val="1F3864" w:themeColor="accent1" w:themeShade="80"/>
          <w:kern w:val="0"/>
          <w:sz w:val="28"/>
          <w14:ligatures w14:val="none"/>
        </w:rPr>
      </w:pPr>
      <w:r>
        <w:br w:type="page"/>
      </w:r>
    </w:p>
    <w:p w14:paraId="10ABB957" w14:textId="76C9BEFD" w:rsidR="00965273" w:rsidRPr="009E33B5" w:rsidRDefault="00965273" w:rsidP="0027375A">
      <w:pPr>
        <w:pStyle w:val="Heading4"/>
        <w:rPr>
          <w:rFonts w:cs="Arial"/>
          <w:b w:val="0"/>
          <w:color w:val="4472C4" w:themeColor="accent1"/>
          <w:sz w:val="24"/>
          <w:szCs w:val="24"/>
        </w:rPr>
      </w:pPr>
      <w:r w:rsidRPr="009E33B5">
        <w:lastRenderedPageBreak/>
        <w:t>Early outcomes include:</w:t>
      </w:r>
    </w:p>
    <w:p w14:paraId="5F685C92" w14:textId="3331D77E" w:rsidR="008C0D1F" w:rsidRPr="0027375A" w:rsidRDefault="00255C4E" w:rsidP="008C0D1F">
      <w:pPr>
        <w:pStyle w:val="ListParagraph"/>
        <w:numPr>
          <w:ilvl w:val="0"/>
          <w:numId w:val="5"/>
        </w:numPr>
        <w:rPr>
          <w:rFonts w:ascii="Arial" w:hAnsi="Arial" w:cs="Arial"/>
          <w:color w:val="000000" w:themeColor="text1"/>
          <w:sz w:val="24"/>
          <w:szCs w:val="24"/>
        </w:rPr>
      </w:pPr>
      <w:r w:rsidRPr="0027375A">
        <w:rPr>
          <w:rFonts w:ascii="Arial" w:hAnsi="Arial" w:cs="Arial"/>
          <w:color w:val="000000" w:themeColor="text1"/>
          <w:sz w:val="24"/>
          <w:szCs w:val="24"/>
        </w:rPr>
        <w:t>Sharing</w:t>
      </w:r>
      <w:r w:rsidR="00FA6B88" w:rsidRPr="0027375A">
        <w:rPr>
          <w:rFonts w:ascii="Arial" w:hAnsi="Arial" w:cs="Arial"/>
          <w:color w:val="000000" w:themeColor="text1"/>
          <w:sz w:val="24"/>
          <w:szCs w:val="24"/>
        </w:rPr>
        <w:t xml:space="preserve"> of intelligence related to </w:t>
      </w:r>
      <w:r w:rsidR="00D67788" w:rsidRPr="0027375A">
        <w:rPr>
          <w:rFonts w:ascii="Arial" w:hAnsi="Arial" w:cs="Arial"/>
          <w:color w:val="000000" w:themeColor="text1"/>
          <w:sz w:val="24"/>
          <w:szCs w:val="24"/>
        </w:rPr>
        <w:t xml:space="preserve">over 58,000 people based in Southeast Asia but operating </w:t>
      </w:r>
      <w:r w:rsidR="00FD54A7" w:rsidRPr="0027375A">
        <w:rPr>
          <w:rFonts w:ascii="Arial" w:hAnsi="Arial" w:cs="Arial"/>
          <w:color w:val="000000" w:themeColor="text1"/>
          <w:sz w:val="24"/>
          <w:szCs w:val="24"/>
        </w:rPr>
        <w:t>entities on the UK register involved in pig butchering scams, crypto and for</w:t>
      </w:r>
      <w:r w:rsidRPr="0027375A">
        <w:rPr>
          <w:rFonts w:ascii="Arial" w:hAnsi="Arial" w:cs="Arial"/>
          <w:color w:val="000000" w:themeColor="text1"/>
          <w:sz w:val="24"/>
          <w:szCs w:val="24"/>
        </w:rPr>
        <w:t>e</w:t>
      </w:r>
      <w:r w:rsidR="00FD54A7" w:rsidRPr="0027375A">
        <w:rPr>
          <w:rFonts w:ascii="Arial" w:hAnsi="Arial" w:cs="Arial"/>
          <w:color w:val="000000" w:themeColor="text1"/>
          <w:sz w:val="24"/>
          <w:szCs w:val="24"/>
        </w:rPr>
        <w:t xml:space="preserve">x scams and threats to UK financial and </w:t>
      </w:r>
      <w:r w:rsidR="008C0D1F" w:rsidRPr="0027375A">
        <w:rPr>
          <w:rFonts w:ascii="Arial" w:hAnsi="Arial" w:cs="Arial"/>
          <w:color w:val="000000" w:themeColor="text1"/>
          <w:sz w:val="24"/>
          <w:szCs w:val="24"/>
        </w:rPr>
        <w:t>national security</w:t>
      </w:r>
    </w:p>
    <w:p w14:paraId="794DF81D" w14:textId="789437A4" w:rsidR="00BF2C6F" w:rsidRPr="0027375A" w:rsidRDefault="001867DE" w:rsidP="008C0D1F">
      <w:pPr>
        <w:pStyle w:val="ListParagraph"/>
        <w:numPr>
          <w:ilvl w:val="0"/>
          <w:numId w:val="5"/>
        </w:numPr>
        <w:rPr>
          <w:rFonts w:ascii="Arial" w:hAnsi="Arial" w:cs="Arial"/>
          <w:color w:val="000000" w:themeColor="text1"/>
          <w:sz w:val="24"/>
          <w:szCs w:val="24"/>
        </w:rPr>
      </w:pPr>
      <w:r w:rsidRPr="0027375A">
        <w:rPr>
          <w:rFonts w:ascii="Arial" w:hAnsi="Arial" w:cs="Arial"/>
          <w:color w:val="000000" w:themeColor="text1"/>
          <w:sz w:val="24"/>
          <w:szCs w:val="24"/>
        </w:rPr>
        <w:t>The identification of</w:t>
      </w:r>
      <w:r w:rsidR="009638D4" w:rsidRPr="0027375A">
        <w:rPr>
          <w:rFonts w:ascii="Arial" w:hAnsi="Arial" w:cs="Arial"/>
          <w:color w:val="000000" w:themeColor="text1"/>
          <w:sz w:val="24"/>
          <w:szCs w:val="24"/>
        </w:rPr>
        <w:t xml:space="preserve"> £83 million in unrestrained </w:t>
      </w:r>
      <w:r w:rsidR="00A94F98" w:rsidRPr="0027375A">
        <w:rPr>
          <w:rFonts w:ascii="Arial" w:hAnsi="Arial" w:cs="Arial"/>
          <w:color w:val="000000" w:themeColor="text1"/>
          <w:sz w:val="24"/>
          <w:szCs w:val="24"/>
        </w:rPr>
        <w:t>criminal property in the UK linked to money laundering by Sinocentric O</w:t>
      </w:r>
      <w:r w:rsidR="003C630F" w:rsidRPr="0027375A">
        <w:rPr>
          <w:rFonts w:ascii="Arial" w:hAnsi="Arial" w:cs="Arial"/>
          <w:color w:val="000000" w:themeColor="text1"/>
          <w:sz w:val="24"/>
          <w:szCs w:val="24"/>
        </w:rPr>
        <w:t xml:space="preserve">rganised </w:t>
      </w:r>
      <w:r w:rsidR="00A94F98" w:rsidRPr="0027375A">
        <w:rPr>
          <w:rFonts w:ascii="Arial" w:hAnsi="Arial" w:cs="Arial"/>
          <w:color w:val="000000" w:themeColor="text1"/>
          <w:sz w:val="24"/>
          <w:szCs w:val="24"/>
        </w:rPr>
        <w:t>C</w:t>
      </w:r>
      <w:r w:rsidR="003C630F" w:rsidRPr="0027375A">
        <w:rPr>
          <w:rFonts w:ascii="Arial" w:hAnsi="Arial" w:cs="Arial"/>
          <w:color w:val="000000" w:themeColor="text1"/>
          <w:sz w:val="24"/>
          <w:szCs w:val="24"/>
        </w:rPr>
        <w:t xml:space="preserve">rime </w:t>
      </w:r>
      <w:r w:rsidR="00A94F98" w:rsidRPr="0027375A">
        <w:rPr>
          <w:rFonts w:ascii="Arial" w:hAnsi="Arial" w:cs="Arial"/>
          <w:color w:val="000000" w:themeColor="text1"/>
          <w:sz w:val="24"/>
          <w:szCs w:val="24"/>
        </w:rPr>
        <w:t>G</w:t>
      </w:r>
      <w:r w:rsidR="003C630F" w:rsidRPr="0027375A">
        <w:rPr>
          <w:rFonts w:ascii="Arial" w:hAnsi="Arial" w:cs="Arial"/>
          <w:color w:val="000000" w:themeColor="text1"/>
          <w:sz w:val="24"/>
          <w:szCs w:val="24"/>
        </w:rPr>
        <w:t>roup</w:t>
      </w:r>
      <w:r w:rsidR="00A94F98" w:rsidRPr="0027375A">
        <w:rPr>
          <w:rFonts w:ascii="Arial" w:hAnsi="Arial" w:cs="Arial"/>
          <w:color w:val="000000" w:themeColor="text1"/>
          <w:sz w:val="24"/>
          <w:szCs w:val="24"/>
        </w:rPr>
        <w:t>s</w:t>
      </w:r>
      <w:r w:rsidR="003C630F" w:rsidRPr="0027375A">
        <w:rPr>
          <w:rFonts w:ascii="Arial" w:hAnsi="Arial" w:cs="Arial"/>
          <w:color w:val="000000" w:themeColor="text1"/>
          <w:sz w:val="24"/>
          <w:szCs w:val="24"/>
        </w:rPr>
        <w:t xml:space="preserve"> (OCGs)</w:t>
      </w:r>
      <w:r w:rsidR="005F4FC9" w:rsidRPr="0027375A">
        <w:rPr>
          <w:rFonts w:ascii="Arial" w:hAnsi="Arial" w:cs="Arial"/>
          <w:color w:val="000000" w:themeColor="text1"/>
          <w:sz w:val="24"/>
          <w:szCs w:val="24"/>
        </w:rPr>
        <w:t xml:space="preserve"> which will be referred to the N</w:t>
      </w:r>
      <w:r w:rsidR="00EE7167" w:rsidRPr="0027375A">
        <w:rPr>
          <w:rFonts w:ascii="Arial" w:hAnsi="Arial" w:cs="Arial"/>
          <w:color w:val="000000" w:themeColor="text1"/>
          <w:sz w:val="24"/>
          <w:szCs w:val="24"/>
        </w:rPr>
        <w:t xml:space="preserve">ational </w:t>
      </w:r>
      <w:r w:rsidR="005F4FC9" w:rsidRPr="0027375A">
        <w:rPr>
          <w:rFonts w:ascii="Arial" w:hAnsi="Arial" w:cs="Arial"/>
          <w:color w:val="000000" w:themeColor="text1"/>
          <w:sz w:val="24"/>
          <w:szCs w:val="24"/>
        </w:rPr>
        <w:t>C</w:t>
      </w:r>
      <w:r w:rsidR="00EE7167" w:rsidRPr="0027375A">
        <w:rPr>
          <w:rFonts w:ascii="Arial" w:hAnsi="Arial" w:cs="Arial"/>
          <w:color w:val="000000" w:themeColor="text1"/>
          <w:sz w:val="24"/>
          <w:szCs w:val="24"/>
        </w:rPr>
        <w:t xml:space="preserve">rime </w:t>
      </w:r>
      <w:r w:rsidR="005F4FC9" w:rsidRPr="0027375A">
        <w:rPr>
          <w:rFonts w:ascii="Arial" w:hAnsi="Arial" w:cs="Arial"/>
          <w:color w:val="000000" w:themeColor="text1"/>
          <w:sz w:val="24"/>
          <w:szCs w:val="24"/>
        </w:rPr>
        <w:t>A</w:t>
      </w:r>
      <w:r w:rsidR="00EE7167" w:rsidRPr="0027375A">
        <w:rPr>
          <w:rFonts w:ascii="Arial" w:hAnsi="Arial" w:cs="Arial"/>
          <w:color w:val="000000" w:themeColor="text1"/>
          <w:sz w:val="24"/>
          <w:szCs w:val="24"/>
        </w:rPr>
        <w:t>gency (NCA)</w:t>
      </w:r>
      <w:r w:rsidR="008F3B44" w:rsidRPr="0027375A">
        <w:rPr>
          <w:rFonts w:ascii="Arial" w:hAnsi="Arial" w:cs="Arial"/>
          <w:color w:val="000000" w:themeColor="text1"/>
          <w:sz w:val="24"/>
          <w:szCs w:val="24"/>
        </w:rPr>
        <w:t xml:space="preserve"> and a further sum of £22 million</w:t>
      </w:r>
      <w:r w:rsidR="00D6055B" w:rsidRPr="0027375A">
        <w:rPr>
          <w:rFonts w:ascii="Arial" w:hAnsi="Arial" w:cs="Arial"/>
          <w:color w:val="000000" w:themeColor="text1"/>
          <w:sz w:val="24"/>
          <w:szCs w:val="24"/>
        </w:rPr>
        <w:t xml:space="preserve"> was identified in the possession of a London family member of the Head of a Klepto</w:t>
      </w:r>
      <w:r w:rsidR="00AA0B04" w:rsidRPr="0027375A">
        <w:rPr>
          <w:rFonts w:ascii="Arial" w:hAnsi="Arial" w:cs="Arial"/>
          <w:color w:val="000000" w:themeColor="text1"/>
          <w:sz w:val="24"/>
          <w:szCs w:val="24"/>
        </w:rPr>
        <w:t>cratic</w:t>
      </w:r>
      <w:r w:rsidR="0027760C" w:rsidRPr="0027375A">
        <w:rPr>
          <w:rStyle w:val="FootnoteReference"/>
          <w:rFonts w:ascii="Arial" w:hAnsi="Arial" w:cs="Arial"/>
          <w:color w:val="000000" w:themeColor="text1"/>
          <w:sz w:val="24"/>
          <w:szCs w:val="24"/>
        </w:rPr>
        <w:footnoteReference w:id="3"/>
      </w:r>
      <w:r w:rsidR="0027760C" w:rsidRPr="0027375A">
        <w:rPr>
          <w:rFonts w:ascii="Arial" w:hAnsi="Arial" w:cs="Arial"/>
          <w:color w:val="000000" w:themeColor="text1"/>
          <w:sz w:val="24"/>
          <w:szCs w:val="24"/>
        </w:rPr>
        <w:t xml:space="preserve"> state</w:t>
      </w:r>
    </w:p>
    <w:p w14:paraId="3FCB6864" w14:textId="30F3E1E0" w:rsidR="00D21500" w:rsidRPr="0027375A" w:rsidRDefault="00D16DBF" w:rsidP="008C0D1F">
      <w:pPr>
        <w:pStyle w:val="ListParagraph"/>
        <w:numPr>
          <w:ilvl w:val="0"/>
          <w:numId w:val="5"/>
        </w:numPr>
        <w:rPr>
          <w:rFonts w:ascii="Arial" w:hAnsi="Arial" w:cs="Arial"/>
          <w:color w:val="000000" w:themeColor="text1"/>
          <w:sz w:val="24"/>
          <w:szCs w:val="24"/>
        </w:rPr>
      </w:pPr>
      <w:r w:rsidRPr="0027375A">
        <w:rPr>
          <w:rFonts w:ascii="Arial" w:hAnsi="Arial" w:cs="Arial"/>
          <w:color w:val="000000" w:themeColor="text1"/>
          <w:sz w:val="24"/>
          <w:szCs w:val="24"/>
        </w:rPr>
        <w:t xml:space="preserve">The development </w:t>
      </w:r>
      <w:r w:rsidR="005550DB" w:rsidRPr="0027375A">
        <w:rPr>
          <w:rFonts w:ascii="Arial" w:hAnsi="Arial" w:cs="Arial"/>
          <w:color w:val="000000" w:themeColor="text1"/>
          <w:sz w:val="24"/>
          <w:szCs w:val="24"/>
        </w:rPr>
        <w:t xml:space="preserve">of intensive intelligence used to support an NCA operation against an East European </w:t>
      </w:r>
      <w:r w:rsidR="7760B1F5" w:rsidRPr="0027375A">
        <w:rPr>
          <w:rFonts w:ascii="Arial" w:hAnsi="Arial" w:cs="Arial"/>
          <w:color w:val="000000" w:themeColor="text1"/>
          <w:sz w:val="24"/>
          <w:szCs w:val="24"/>
        </w:rPr>
        <w:t>p</w:t>
      </w:r>
      <w:r w:rsidR="005550DB" w:rsidRPr="0027375A">
        <w:rPr>
          <w:rFonts w:ascii="Arial" w:hAnsi="Arial" w:cs="Arial"/>
          <w:color w:val="000000" w:themeColor="text1"/>
          <w:sz w:val="24"/>
          <w:szCs w:val="24"/>
        </w:rPr>
        <w:t xml:space="preserve">oly Crime Group involved in setting </w:t>
      </w:r>
      <w:r w:rsidR="00AE7973" w:rsidRPr="0027375A">
        <w:rPr>
          <w:rFonts w:ascii="Arial" w:hAnsi="Arial" w:cs="Arial"/>
          <w:color w:val="000000" w:themeColor="text1"/>
          <w:sz w:val="24"/>
          <w:szCs w:val="24"/>
        </w:rPr>
        <w:t>up well over 100 companies using front men and women in the UK to launder millions of pounds in criminal property</w:t>
      </w:r>
      <w:r w:rsidR="00DD5747" w:rsidRPr="0027375A">
        <w:rPr>
          <w:rFonts w:ascii="Arial" w:hAnsi="Arial" w:cs="Arial"/>
          <w:color w:val="000000" w:themeColor="text1"/>
          <w:sz w:val="24"/>
          <w:szCs w:val="24"/>
        </w:rPr>
        <w:t xml:space="preserve"> and that is now the NCA’s number three operational priority</w:t>
      </w:r>
    </w:p>
    <w:p w14:paraId="7C191B69" w14:textId="3E5DCD89" w:rsidR="00601599" w:rsidRDefault="00601599" w:rsidP="00CF5792">
      <w:pPr>
        <w:pStyle w:val="Heading4"/>
        <w:rPr>
          <w:rFonts w:cs="Arial"/>
          <w:b w:val="0"/>
          <w:sz w:val="24"/>
          <w:szCs w:val="24"/>
        </w:rPr>
      </w:pPr>
      <w:r>
        <w:t xml:space="preserve">Economic Crime and Corporate Transparency </w:t>
      </w:r>
      <w:r w:rsidR="007B59BE" w:rsidRPr="00446B88">
        <w:rPr>
          <w:rFonts w:cs="Arial"/>
          <w:szCs w:val="28"/>
        </w:rPr>
        <w:t>Act 2023</w:t>
      </w:r>
    </w:p>
    <w:p w14:paraId="49E6AB1A" w14:textId="77777777" w:rsidR="006E46EC" w:rsidRDefault="007B59BE" w:rsidP="005B08C3">
      <w:pPr>
        <w:rPr>
          <w:rFonts w:ascii="Arial" w:hAnsi="Arial" w:cs="Arial"/>
          <w:sz w:val="24"/>
          <w:szCs w:val="24"/>
        </w:rPr>
      </w:pPr>
      <w:r>
        <w:rPr>
          <w:rFonts w:ascii="Arial" w:hAnsi="Arial" w:cs="Arial"/>
          <w:sz w:val="24"/>
          <w:szCs w:val="24"/>
        </w:rPr>
        <w:t xml:space="preserve">The Act received </w:t>
      </w:r>
      <w:r w:rsidR="003928B8">
        <w:rPr>
          <w:rFonts w:ascii="Arial" w:hAnsi="Arial" w:cs="Arial"/>
          <w:sz w:val="24"/>
          <w:szCs w:val="24"/>
        </w:rPr>
        <w:t xml:space="preserve">Royal Assent in October 2023 and gave Companies House powers to play a more significant </w:t>
      </w:r>
      <w:r w:rsidR="0077585C">
        <w:rPr>
          <w:rFonts w:ascii="Arial" w:hAnsi="Arial" w:cs="Arial"/>
          <w:sz w:val="24"/>
          <w:szCs w:val="24"/>
        </w:rPr>
        <w:t xml:space="preserve">role in tackling economic crime and supporting economic growth. </w:t>
      </w:r>
      <w:r w:rsidR="00D71CAD">
        <w:rPr>
          <w:rFonts w:ascii="Arial" w:hAnsi="Arial" w:cs="Arial"/>
          <w:sz w:val="24"/>
          <w:szCs w:val="24"/>
        </w:rPr>
        <w:t xml:space="preserve">We are collaborating with Companies House </w:t>
      </w:r>
      <w:r w:rsidR="00B27B2B">
        <w:rPr>
          <w:rFonts w:ascii="Arial" w:hAnsi="Arial" w:cs="Arial"/>
          <w:sz w:val="24"/>
          <w:szCs w:val="24"/>
        </w:rPr>
        <w:t xml:space="preserve">to implement and enforce the new measures which include new criminal offences and a licensing regime </w:t>
      </w:r>
      <w:r w:rsidR="00847AF7">
        <w:rPr>
          <w:rFonts w:ascii="Arial" w:hAnsi="Arial" w:cs="Arial"/>
          <w:sz w:val="24"/>
          <w:szCs w:val="24"/>
        </w:rPr>
        <w:t>under sanctions legislation.</w:t>
      </w:r>
    </w:p>
    <w:p w14:paraId="714199DB" w14:textId="6613C144" w:rsidR="00783246" w:rsidRDefault="003C3007" w:rsidP="005B08C3">
      <w:pPr>
        <w:rPr>
          <w:rFonts w:ascii="Arial" w:hAnsi="Arial" w:cs="Arial"/>
          <w:sz w:val="24"/>
          <w:szCs w:val="24"/>
        </w:rPr>
      </w:pPr>
      <w:r>
        <w:rPr>
          <w:rFonts w:ascii="Arial" w:hAnsi="Arial" w:cs="Arial"/>
          <w:sz w:val="24"/>
          <w:szCs w:val="24"/>
        </w:rPr>
        <w:t xml:space="preserve">A new </w:t>
      </w:r>
      <w:r w:rsidR="008378EE">
        <w:rPr>
          <w:rFonts w:ascii="Arial" w:hAnsi="Arial" w:cs="Arial"/>
          <w:sz w:val="24"/>
          <w:szCs w:val="24"/>
        </w:rPr>
        <w:t xml:space="preserve">funding regime </w:t>
      </w:r>
      <w:r w:rsidR="00C01A73">
        <w:rPr>
          <w:rFonts w:ascii="Arial" w:hAnsi="Arial" w:cs="Arial"/>
          <w:sz w:val="24"/>
          <w:szCs w:val="24"/>
        </w:rPr>
        <w:t>for our corporate investigation and enforcement activity</w:t>
      </w:r>
      <w:r w:rsidR="47B5D8DC" w:rsidRPr="68B8B134">
        <w:rPr>
          <w:rFonts w:ascii="Arial" w:hAnsi="Arial" w:cs="Arial"/>
          <w:sz w:val="24"/>
          <w:szCs w:val="24"/>
        </w:rPr>
        <w:t xml:space="preserve">, including the additional activity that will arise </w:t>
      </w:r>
      <w:r w:rsidR="138CC9D2" w:rsidRPr="34E582B7">
        <w:rPr>
          <w:rFonts w:ascii="Arial" w:hAnsi="Arial" w:cs="Arial"/>
          <w:sz w:val="24"/>
          <w:szCs w:val="24"/>
        </w:rPr>
        <w:t xml:space="preserve">from </w:t>
      </w:r>
      <w:r w:rsidR="004D7799">
        <w:rPr>
          <w:rFonts w:ascii="Arial" w:hAnsi="Arial" w:cs="Arial"/>
          <w:sz w:val="24"/>
          <w:szCs w:val="24"/>
        </w:rPr>
        <w:t>it</w:t>
      </w:r>
      <w:r w:rsidR="00C01A73">
        <w:rPr>
          <w:rFonts w:ascii="Arial" w:hAnsi="Arial" w:cs="Arial"/>
          <w:sz w:val="24"/>
          <w:szCs w:val="24"/>
        </w:rPr>
        <w:t xml:space="preserve"> </w:t>
      </w:r>
      <w:r w:rsidR="00CF0EB0">
        <w:rPr>
          <w:rFonts w:ascii="Arial" w:hAnsi="Arial" w:cs="Arial"/>
          <w:sz w:val="24"/>
          <w:szCs w:val="24"/>
        </w:rPr>
        <w:t xml:space="preserve">was launched in March 2024 and will come into force </w:t>
      </w:r>
      <w:r w:rsidR="00BD7949">
        <w:rPr>
          <w:rFonts w:ascii="Arial" w:hAnsi="Arial" w:cs="Arial"/>
          <w:sz w:val="24"/>
          <w:szCs w:val="24"/>
        </w:rPr>
        <w:t>in May 2024</w:t>
      </w:r>
      <w:r w:rsidR="00C15360">
        <w:rPr>
          <w:rFonts w:ascii="Arial" w:hAnsi="Arial" w:cs="Arial"/>
          <w:sz w:val="24"/>
          <w:szCs w:val="24"/>
        </w:rPr>
        <w:t xml:space="preserve">. It will give us more stability and certainty in how </w:t>
      </w:r>
      <w:r w:rsidR="78263C66" w:rsidRPr="68B8B134">
        <w:rPr>
          <w:rFonts w:ascii="Arial" w:hAnsi="Arial" w:cs="Arial"/>
          <w:sz w:val="24"/>
          <w:szCs w:val="24"/>
        </w:rPr>
        <w:t xml:space="preserve">our corporate investigation and enforcement activity is funded </w:t>
      </w:r>
      <w:r w:rsidR="00CE3696" w:rsidRPr="68B8B134">
        <w:rPr>
          <w:rFonts w:ascii="Arial" w:hAnsi="Arial" w:cs="Arial"/>
          <w:sz w:val="24"/>
          <w:szCs w:val="24"/>
        </w:rPr>
        <w:t>and</w:t>
      </w:r>
      <w:r w:rsidR="00CE3696">
        <w:rPr>
          <w:rFonts w:ascii="Arial" w:hAnsi="Arial" w:cs="Arial"/>
          <w:sz w:val="24"/>
          <w:szCs w:val="24"/>
        </w:rPr>
        <w:t xml:space="preserve"> </w:t>
      </w:r>
      <w:r w:rsidR="001937D1">
        <w:rPr>
          <w:rFonts w:ascii="Arial" w:hAnsi="Arial" w:cs="Arial"/>
          <w:sz w:val="24"/>
          <w:szCs w:val="24"/>
        </w:rPr>
        <w:t xml:space="preserve">will </w:t>
      </w:r>
      <w:r w:rsidR="00CE3696">
        <w:rPr>
          <w:rFonts w:ascii="Arial" w:hAnsi="Arial" w:cs="Arial"/>
          <w:sz w:val="24"/>
          <w:szCs w:val="24"/>
        </w:rPr>
        <w:t xml:space="preserve">enable us to be more flexible </w:t>
      </w:r>
      <w:r w:rsidR="001049F6">
        <w:rPr>
          <w:rFonts w:ascii="Arial" w:hAnsi="Arial" w:cs="Arial"/>
          <w:sz w:val="24"/>
          <w:szCs w:val="24"/>
        </w:rPr>
        <w:t>in how we use this funding for our work.</w:t>
      </w:r>
    </w:p>
    <w:p w14:paraId="130302DE" w14:textId="7CB849D6" w:rsidR="007B59BE" w:rsidRDefault="0077585C" w:rsidP="005B08C3">
      <w:pPr>
        <w:rPr>
          <w:rFonts w:ascii="Arial" w:hAnsi="Arial" w:cs="Arial"/>
          <w:sz w:val="24"/>
          <w:szCs w:val="24"/>
        </w:rPr>
      </w:pPr>
      <w:r>
        <w:rPr>
          <w:rFonts w:ascii="Arial" w:hAnsi="Arial" w:cs="Arial"/>
          <w:sz w:val="24"/>
          <w:szCs w:val="24"/>
        </w:rPr>
        <w:t xml:space="preserve">We </w:t>
      </w:r>
      <w:r w:rsidR="0018697A">
        <w:rPr>
          <w:rFonts w:ascii="Arial" w:hAnsi="Arial" w:cs="Arial"/>
          <w:sz w:val="24"/>
          <w:szCs w:val="24"/>
        </w:rPr>
        <w:t>will continue to work</w:t>
      </w:r>
      <w:r>
        <w:rPr>
          <w:rFonts w:ascii="Arial" w:hAnsi="Arial" w:cs="Arial"/>
          <w:sz w:val="24"/>
          <w:szCs w:val="24"/>
        </w:rPr>
        <w:t xml:space="preserve"> closely with </w:t>
      </w:r>
      <w:r w:rsidR="0018697A">
        <w:rPr>
          <w:rFonts w:ascii="Arial" w:hAnsi="Arial" w:cs="Arial"/>
          <w:sz w:val="24"/>
          <w:szCs w:val="24"/>
        </w:rPr>
        <w:t>DBT and Companies House</w:t>
      </w:r>
      <w:r w:rsidR="00532210">
        <w:rPr>
          <w:rFonts w:ascii="Arial" w:hAnsi="Arial" w:cs="Arial"/>
          <w:sz w:val="24"/>
          <w:szCs w:val="24"/>
        </w:rPr>
        <w:t xml:space="preserve"> on an extensive programme of secondary legislation</w:t>
      </w:r>
      <w:r w:rsidR="00C81643">
        <w:rPr>
          <w:rFonts w:ascii="Arial" w:hAnsi="Arial" w:cs="Arial"/>
          <w:sz w:val="24"/>
          <w:szCs w:val="24"/>
        </w:rPr>
        <w:t xml:space="preserve"> to fully implement the Act’s provisions.</w:t>
      </w:r>
    </w:p>
    <w:p w14:paraId="5E358687" w14:textId="77777777" w:rsidR="007E10CD" w:rsidRDefault="007E10CD" w:rsidP="005B08C3">
      <w:pPr>
        <w:rPr>
          <w:rFonts w:ascii="Arial" w:hAnsi="Arial" w:cs="Arial"/>
          <w:sz w:val="24"/>
          <w:szCs w:val="24"/>
        </w:rPr>
      </w:pPr>
    </w:p>
    <w:p w14:paraId="0C87BC73" w14:textId="6B954DCB" w:rsidR="005B08C3" w:rsidRPr="0005574B" w:rsidRDefault="005B08C3" w:rsidP="00CF5792">
      <w:pPr>
        <w:pStyle w:val="Heading4"/>
        <w:rPr>
          <w:rFonts w:cs="Arial"/>
          <w:b w:val="0"/>
          <w:color w:val="4472C4" w:themeColor="accent1"/>
          <w:sz w:val="32"/>
          <w:szCs w:val="32"/>
        </w:rPr>
      </w:pPr>
      <w:r w:rsidRPr="0005574B">
        <w:rPr>
          <w:sz w:val="32"/>
          <w:szCs w:val="32"/>
        </w:rPr>
        <w:lastRenderedPageBreak/>
        <w:t>Sharpen our operating focus</w:t>
      </w:r>
    </w:p>
    <w:p w14:paraId="02F37152" w14:textId="0795C94C" w:rsidR="0030642A" w:rsidRPr="00DC28DA" w:rsidRDefault="001D36C0" w:rsidP="005B08C3">
      <w:pPr>
        <w:rPr>
          <w:rFonts w:ascii="Arial" w:hAnsi="Arial" w:cs="Arial"/>
          <w:b/>
          <w:bCs/>
          <w:color w:val="4472C4" w:themeColor="accent1"/>
          <w:sz w:val="32"/>
          <w:szCs w:val="32"/>
        </w:rPr>
      </w:pPr>
      <w:r>
        <w:rPr>
          <w:rFonts w:ascii="Arial" w:hAnsi="Arial" w:cs="Arial"/>
          <w:b/>
          <w:bCs/>
          <w:noProof/>
          <w:color w:val="4472C4" w:themeColor="accent1"/>
          <w:sz w:val="32"/>
          <w:szCs w:val="32"/>
        </w:rPr>
        <w:drawing>
          <wp:inline distT="0" distB="0" distL="0" distR="0" wp14:anchorId="7B336433" wp14:editId="60FC5F3A">
            <wp:extent cx="5722620" cy="3815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22620" cy="381508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256"/>
        <w:gridCol w:w="1417"/>
        <w:gridCol w:w="4343"/>
      </w:tblGrid>
      <w:tr w:rsidR="006852D9" w14:paraId="049ACE23" w14:textId="77777777">
        <w:tc>
          <w:tcPr>
            <w:tcW w:w="3256" w:type="dxa"/>
          </w:tcPr>
          <w:p w14:paraId="459C31BE" w14:textId="77777777" w:rsidR="006852D9" w:rsidRDefault="006852D9">
            <w:pPr>
              <w:rPr>
                <w:rFonts w:ascii="Arial" w:hAnsi="Arial" w:cs="Arial"/>
                <w:color w:val="4472C4" w:themeColor="accent1"/>
                <w:sz w:val="24"/>
                <w:szCs w:val="24"/>
              </w:rPr>
            </w:pPr>
            <w:r>
              <w:rPr>
                <w:rFonts w:ascii="Arial" w:hAnsi="Arial" w:cs="Arial"/>
                <w:color w:val="4472C4" w:themeColor="accent1"/>
                <w:sz w:val="24"/>
                <w:szCs w:val="24"/>
              </w:rPr>
              <w:t>Objective</w:t>
            </w:r>
          </w:p>
        </w:tc>
        <w:tc>
          <w:tcPr>
            <w:tcW w:w="1417" w:type="dxa"/>
          </w:tcPr>
          <w:p w14:paraId="142D2C61" w14:textId="77777777" w:rsidR="006852D9" w:rsidRDefault="006852D9">
            <w:pPr>
              <w:rPr>
                <w:rFonts w:ascii="Arial" w:hAnsi="Arial" w:cs="Arial"/>
                <w:color w:val="4472C4" w:themeColor="accent1"/>
                <w:sz w:val="24"/>
                <w:szCs w:val="24"/>
              </w:rPr>
            </w:pPr>
            <w:r>
              <w:rPr>
                <w:rFonts w:ascii="Arial" w:hAnsi="Arial" w:cs="Arial"/>
                <w:color w:val="4472C4" w:themeColor="accent1"/>
                <w:sz w:val="24"/>
                <w:szCs w:val="24"/>
              </w:rPr>
              <w:t>Status</w:t>
            </w:r>
          </w:p>
        </w:tc>
        <w:tc>
          <w:tcPr>
            <w:tcW w:w="4343" w:type="dxa"/>
          </w:tcPr>
          <w:p w14:paraId="240C3D5D" w14:textId="77777777" w:rsidR="006852D9" w:rsidRDefault="006852D9">
            <w:pPr>
              <w:rPr>
                <w:rFonts w:ascii="Arial" w:hAnsi="Arial" w:cs="Arial"/>
                <w:color w:val="4472C4" w:themeColor="accent1"/>
                <w:sz w:val="24"/>
                <w:szCs w:val="24"/>
              </w:rPr>
            </w:pPr>
            <w:r>
              <w:rPr>
                <w:rFonts w:ascii="Arial" w:hAnsi="Arial" w:cs="Arial"/>
                <w:color w:val="4472C4" w:themeColor="accent1"/>
                <w:sz w:val="24"/>
                <w:szCs w:val="24"/>
              </w:rPr>
              <w:t>Commentary</w:t>
            </w:r>
          </w:p>
        </w:tc>
      </w:tr>
      <w:tr w:rsidR="006852D9" w14:paraId="3932CBB2" w14:textId="77777777">
        <w:tc>
          <w:tcPr>
            <w:tcW w:w="3256" w:type="dxa"/>
          </w:tcPr>
          <w:p w14:paraId="41E2D4C7" w14:textId="4BFA8D8E" w:rsidR="006852D9" w:rsidRPr="00625870" w:rsidRDefault="00934851">
            <w:pPr>
              <w:rPr>
                <w:rFonts w:ascii="Arial" w:hAnsi="Arial" w:cs="Arial"/>
                <w:sz w:val="24"/>
                <w:szCs w:val="24"/>
              </w:rPr>
            </w:pPr>
            <w:r>
              <w:rPr>
                <w:rFonts w:ascii="Arial" w:hAnsi="Arial" w:cs="Arial"/>
                <w:sz w:val="24"/>
                <w:szCs w:val="24"/>
              </w:rPr>
              <w:t xml:space="preserve">Launch a new digital service for our customers, replacing our paper-based </w:t>
            </w:r>
            <w:r w:rsidR="00F2143D">
              <w:rPr>
                <w:rFonts w:ascii="Arial" w:hAnsi="Arial" w:cs="Arial"/>
                <w:sz w:val="24"/>
                <w:szCs w:val="24"/>
              </w:rPr>
              <w:t>reports to creditors and proof of debt forms with online submissions and reporting options</w:t>
            </w:r>
            <w:r w:rsidR="00F5501D">
              <w:rPr>
                <w:rFonts w:ascii="Arial" w:hAnsi="Arial" w:cs="Arial"/>
                <w:sz w:val="24"/>
                <w:szCs w:val="24"/>
              </w:rPr>
              <w:t>.</w:t>
            </w:r>
          </w:p>
        </w:tc>
        <w:tc>
          <w:tcPr>
            <w:tcW w:w="1417" w:type="dxa"/>
          </w:tcPr>
          <w:p w14:paraId="3609BBBF" w14:textId="7AACE0EA" w:rsidR="006852D9" w:rsidRPr="00625870" w:rsidRDefault="00100B40">
            <w:pPr>
              <w:rPr>
                <w:rFonts w:ascii="Arial" w:hAnsi="Arial" w:cs="Arial"/>
                <w:sz w:val="24"/>
                <w:szCs w:val="24"/>
              </w:rPr>
            </w:pPr>
            <w:r>
              <w:rPr>
                <w:rFonts w:ascii="Arial" w:hAnsi="Arial" w:cs="Arial"/>
                <w:sz w:val="24"/>
                <w:szCs w:val="24"/>
              </w:rPr>
              <w:t>In progress</w:t>
            </w:r>
          </w:p>
        </w:tc>
        <w:tc>
          <w:tcPr>
            <w:tcW w:w="4343" w:type="dxa"/>
          </w:tcPr>
          <w:p w14:paraId="42790E9F" w14:textId="1D70FCD0" w:rsidR="006852D9" w:rsidRPr="00625870" w:rsidRDefault="00100B40">
            <w:pPr>
              <w:rPr>
                <w:rFonts w:ascii="Arial" w:hAnsi="Arial" w:cs="Arial"/>
                <w:sz w:val="24"/>
                <w:szCs w:val="24"/>
              </w:rPr>
            </w:pPr>
            <w:r>
              <w:rPr>
                <w:rFonts w:ascii="Arial" w:hAnsi="Arial" w:cs="Arial"/>
                <w:sz w:val="24"/>
                <w:szCs w:val="24"/>
              </w:rPr>
              <w:t>This is on track to be implemented</w:t>
            </w:r>
            <w:r w:rsidR="481E33A2" w:rsidRPr="245D1C83">
              <w:rPr>
                <w:rFonts w:ascii="Arial" w:hAnsi="Arial" w:cs="Arial"/>
                <w:sz w:val="24"/>
                <w:szCs w:val="24"/>
              </w:rPr>
              <w:t xml:space="preserve"> </w:t>
            </w:r>
            <w:r w:rsidR="00DD2599">
              <w:rPr>
                <w:rFonts w:ascii="Arial" w:hAnsi="Arial" w:cs="Arial"/>
                <w:sz w:val="24"/>
                <w:szCs w:val="24"/>
              </w:rPr>
              <w:t>in</w:t>
            </w:r>
            <w:r w:rsidR="481E33A2" w:rsidRPr="245D1C83">
              <w:rPr>
                <w:rFonts w:ascii="Arial" w:hAnsi="Arial" w:cs="Arial"/>
                <w:sz w:val="24"/>
                <w:szCs w:val="24"/>
              </w:rPr>
              <w:t xml:space="preserve"> 2025</w:t>
            </w:r>
            <w:r w:rsidR="00472AD7">
              <w:rPr>
                <w:rFonts w:ascii="Arial" w:hAnsi="Arial" w:cs="Arial"/>
                <w:sz w:val="24"/>
                <w:szCs w:val="24"/>
              </w:rPr>
              <w:t>.</w:t>
            </w:r>
          </w:p>
        </w:tc>
      </w:tr>
      <w:tr w:rsidR="006852D9" w14:paraId="3B96B126" w14:textId="77777777">
        <w:tc>
          <w:tcPr>
            <w:tcW w:w="3256" w:type="dxa"/>
          </w:tcPr>
          <w:p w14:paraId="6CBD2EA6" w14:textId="66155C39" w:rsidR="006852D9" w:rsidRPr="00625870" w:rsidRDefault="00D0550D">
            <w:pPr>
              <w:rPr>
                <w:rFonts w:ascii="Arial" w:hAnsi="Arial" w:cs="Arial"/>
                <w:sz w:val="24"/>
                <w:szCs w:val="24"/>
              </w:rPr>
            </w:pPr>
            <w:r>
              <w:rPr>
                <w:rFonts w:ascii="Arial" w:hAnsi="Arial" w:cs="Arial"/>
                <w:sz w:val="24"/>
                <w:szCs w:val="24"/>
              </w:rPr>
              <w:t>Introduce new tools and embed a data driven culture</w:t>
            </w:r>
            <w:r w:rsidR="00E54B65">
              <w:rPr>
                <w:rFonts w:ascii="Arial" w:hAnsi="Arial" w:cs="Arial"/>
                <w:sz w:val="24"/>
                <w:szCs w:val="24"/>
              </w:rPr>
              <w:t xml:space="preserve"> that will drive operational decision-making and make best use of continuous process improvement</w:t>
            </w:r>
            <w:r w:rsidR="00F5501D">
              <w:rPr>
                <w:rFonts w:ascii="Arial" w:hAnsi="Arial" w:cs="Arial"/>
                <w:sz w:val="24"/>
                <w:szCs w:val="24"/>
              </w:rPr>
              <w:t xml:space="preserve"> techniques to enhance our effectiveness.</w:t>
            </w:r>
          </w:p>
        </w:tc>
        <w:tc>
          <w:tcPr>
            <w:tcW w:w="1417" w:type="dxa"/>
          </w:tcPr>
          <w:p w14:paraId="30B37EFB" w14:textId="7F004E4F" w:rsidR="006852D9" w:rsidRPr="00625870" w:rsidRDefault="00F5501D">
            <w:pPr>
              <w:rPr>
                <w:rFonts w:ascii="Arial" w:hAnsi="Arial" w:cs="Arial"/>
                <w:sz w:val="24"/>
                <w:szCs w:val="24"/>
              </w:rPr>
            </w:pPr>
            <w:r>
              <w:rPr>
                <w:rFonts w:ascii="Arial" w:hAnsi="Arial" w:cs="Arial"/>
                <w:sz w:val="24"/>
                <w:szCs w:val="24"/>
              </w:rPr>
              <w:t>Achieved</w:t>
            </w:r>
          </w:p>
        </w:tc>
        <w:tc>
          <w:tcPr>
            <w:tcW w:w="4343" w:type="dxa"/>
          </w:tcPr>
          <w:p w14:paraId="711B3394" w14:textId="63F60D2A" w:rsidR="006852D9" w:rsidRPr="00625870" w:rsidRDefault="00AC505F">
            <w:pPr>
              <w:rPr>
                <w:rFonts w:ascii="Arial" w:hAnsi="Arial" w:cs="Arial"/>
                <w:sz w:val="24"/>
                <w:szCs w:val="24"/>
              </w:rPr>
            </w:pPr>
            <w:r>
              <w:rPr>
                <w:rFonts w:ascii="Arial" w:hAnsi="Arial" w:cs="Arial"/>
                <w:sz w:val="24"/>
                <w:szCs w:val="24"/>
              </w:rPr>
              <w:t>We have completed a review of our Central Case Team based on performance</w:t>
            </w:r>
            <w:r w:rsidR="003E2C67">
              <w:rPr>
                <w:rFonts w:ascii="Arial" w:hAnsi="Arial" w:cs="Arial"/>
                <w:sz w:val="24"/>
                <w:szCs w:val="24"/>
              </w:rPr>
              <w:t xml:space="preserve"> and</w:t>
            </w:r>
            <w:r>
              <w:rPr>
                <w:rFonts w:ascii="Arial" w:hAnsi="Arial" w:cs="Arial"/>
                <w:sz w:val="24"/>
                <w:szCs w:val="24"/>
              </w:rPr>
              <w:t xml:space="preserve"> resource data</w:t>
            </w:r>
            <w:r w:rsidR="003E2C67">
              <w:rPr>
                <w:rFonts w:ascii="Arial" w:hAnsi="Arial" w:cs="Arial"/>
                <w:sz w:val="24"/>
                <w:szCs w:val="24"/>
              </w:rPr>
              <w:t>,</w:t>
            </w:r>
            <w:r>
              <w:rPr>
                <w:rFonts w:ascii="Arial" w:hAnsi="Arial" w:cs="Arial"/>
                <w:sz w:val="24"/>
                <w:szCs w:val="24"/>
              </w:rPr>
              <w:t xml:space="preserve"> undertaken</w:t>
            </w:r>
            <w:r w:rsidR="003E2C67">
              <w:rPr>
                <w:rFonts w:ascii="Arial" w:hAnsi="Arial" w:cs="Arial"/>
                <w:sz w:val="24"/>
                <w:szCs w:val="24"/>
              </w:rPr>
              <w:t xml:space="preserve"> a trial of virtual interviewing</w:t>
            </w:r>
            <w:r w:rsidR="00D3493A">
              <w:rPr>
                <w:rFonts w:ascii="Arial" w:hAnsi="Arial" w:cs="Arial"/>
                <w:sz w:val="24"/>
                <w:szCs w:val="24"/>
              </w:rPr>
              <w:t xml:space="preserve"> and introduced a central allocation system leading to </w:t>
            </w:r>
            <w:r w:rsidR="00BA014F">
              <w:rPr>
                <w:rFonts w:ascii="Arial" w:hAnsi="Arial" w:cs="Arial"/>
                <w:sz w:val="24"/>
                <w:szCs w:val="24"/>
              </w:rPr>
              <w:t>an improved use of examiner resource and a more even distribution of cases. We have also introduced</w:t>
            </w:r>
            <w:r w:rsidR="00AE1DD6">
              <w:rPr>
                <w:rFonts w:ascii="Arial" w:hAnsi="Arial" w:cs="Arial"/>
                <w:sz w:val="24"/>
                <w:szCs w:val="24"/>
              </w:rPr>
              <w:t xml:space="preserve"> electronic signatures for customer documents to enable faster processing.</w:t>
            </w:r>
          </w:p>
        </w:tc>
      </w:tr>
    </w:tbl>
    <w:p w14:paraId="0714EB59" w14:textId="77777777" w:rsidR="001D36C0" w:rsidRDefault="001D36C0">
      <w:r>
        <w:br w:type="page"/>
      </w:r>
    </w:p>
    <w:tbl>
      <w:tblPr>
        <w:tblStyle w:val="TableGrid"/>
        <w:tblW w:w="0" w:type="auto"/>
        <w:tblLook w:val="04A0" w:firstRow="1" w:lastRow="0" w:firstColumn="1" w:lastColumn="0" w:noHBand="0" w:noVBand="1"/>
      </w:tblPr>
      <w:tblGrid>
        <w:gridCol w:w="3256"/>
        <w:gridCol w:w="1417"/>
        <w:gridCol w:w="4343"/>
      </w:tblGrid>
      <w:tr w:rsidR="00E261B2" w14:paraId="68E96829" w14:textId="77777777">
        <w:tc>
          <w:tcPr>
            <w:tcW w:w="3256" w:type="dxa"/>
          </w:tcPr>
          <w:p w14:paraId="484B9639" w14:textId="747EC9F8" w:rsidR="00E261B2" w:rsidRDefault="00E261B2" w:rsidP="00E261B2">
            <w:pPr>
              <w:rPr>
                <w:rFonts w:ascii="Arial" w:hAnsi="Arial" w:cs="Arial"/>
                <w:sz w:val="24"/>
                <w:szCs w:val="24"/>
              </w:rPr>
            </w:pPr>
            <w:r>
              <w:rPr>
                <w:rFonts w:ascii="Arial" w:hAnsi="Arial" w:cs="Arial"/>
                <w:color w:val="4472C4" w:themeColor="accent1"/>
                <w:sz w:val="24"/>
                <w:szCs w:val="24"/>
              </w:rPr>
              <w:lastRenderedPageBreak/>
              <w:t>Objective</w:t>
            </w:r>
          </w:p>
        </w:tc>
        <w:tc>
          <w:tcPr>
            <w:tcW w:w="1417" w:type="dxa"/>
          </w:tcPr>
          <w:p w14:paraId="16CEF20F" w14:textId="3F172E9F" w:rsidR="00E261B2" w:rsidRDefault="00E261B2" w:rsidP="00E261B2">
            <w:pPr>
              <w:rPr>
                <w:rFonts w:ascii="Arial" w:hAnsi="Arial" w:cs="Arial"/>
                <w:sz w:val="24"/>
                <w:szCs w:val="24"/>
              </w:rPr>
            </w:pPr>
            <w:r>
              <w:rPr>
                <w:rFonts w:ascii="Arial" w:hAnsi="Arial" w:cs="Arial"/>
                <w:color w:val="4472C4" w:themeColor="accent1"/>
                <w:sz w:val="24"/>
                <w:szCs w:val="24"/>
              </w:rPr>
              <w:t>Status</w:t>
            </w:r>
          </w:p>
        </w:tc>
        <w:tc>
          <w:tcPr>
            <w:tcW w:w="4343" w:type="dxa"/>
          </w:tcPr>
          <w:p w14:paraId="1C28EBC3" w14:textId="77646998" w:rsidR="00E261B2" w:rsidRDefault="00E261B2" w:rsidP="00E261B2">
            <w:pPr>
              <w:rPr>
                <w:rFonts w:ascii="Arial" w:hAnsi="Arial" w:cs="Arial"/>
                <w:sz w:val="24"/>
                <w:szCs w:val="24"/>
              </w:rPr>
            </w:pPr>
            <w:r>
              <w:rPr>
                <w:rFonts w:ascii="Arial" w:hAnsi="Arial" w:cs="Arial"/>
                <w:color w:val="4472C4" w:themeColor="accent1"/>
                <w:sz w:val="24"/>
                <w:szCs w:val="24"/>
              </w:rPr>
              <w:t>Commentary</w:t>
            </w:r>
          </w:p>
        </w:tc>
      </w:tr>
      <w:tr w:rsidR="00E261B2" w14:paraId="7222ED58" w14:textId="77777777">
        <w:tc>
          <w:tcPr>
            <w:tcW w:w="3256" w:type="dxa"/>
          </w:tcPr>
          <w:p w14:paraId="1F16C65D" w14:textId="18581B1D" w:rsidR="00E261B2" w:rsidRPr="00625870" w:rsidRDefault="00E261B2" w:rsidP="00E261B2">
            <w:pPr>
              <w:rPr>
                <w:rFonts w:ascii="Arial" w:hAnsi="Arial" w:cs="Arial"/>
                <w:sz w:val="24"/>
                <w:szCs w:val="24"/>
              </w:rPr>
            </w:pPr>
            <w:r>
              <w:rPr>
                <w:rFonts w:ascii="Arial" w:hAnsi="Arial" w:cs="Arial"/>
                <w:sz w:val="24"/>
                <w:szCs w:val="24"/>
              </w:rPr>
              <w:t>Complete development of our Future Case Management Capability ready for launch in Spring 2024 to deliver significant increases in efficiency and improved customer service.</w:t>
            </w:r>
          </w:p>
        </w:tc>
        <w:tc>
          <w:tcPr>
            <w:tcW w:w="1417" w:type="dxa"/>
          </w:tcPr>
          <w:p w14:paraId="47C4A32B" w14:textId="0D4379A1" w:rsidR="00E261B2" w:rsidRPr="00625870" w:rsidRDefault="00E261B2" w:rsidP="00E261B2">
            <w:pPr>
              <w:rPr>
                <w:rFonts w:ascii="Arial" w:hAnsi="Arial" w:cs="Arial"/>
                <w:sz w:val="24"/>
                <w:szCs w:val="24"/>
              </w:rPr>
            </w:pPr>
            <w:r>
              <w:rPr>
                <w:rFonts w:ascii="Arial" w:hAnsi="Arial" w:cs="Arial"/>
                <w:sz w:val="24"/>
                <w:szCs w:val="24"/>
              </w:rPr>
              <w:t>In progress</w:t>
            </w:r>
          </w:p>
        </w:tc>
        <w:tc>
          <w:tcPr>
            <w:tcW w:w="4343" w:type="dxa"/>
          </w:tcPr>
          <w:p w14:paraId="5DB48A1A" w14:textId="134B2F23" w:rsidR="00E261B2" w:rsidRPr="00625870" w:rsidRDefault="00E261B2" w:rsidP="00E261B2">
            <w:pPr>
              <w:rPr>
                <w:rFonts w:ascii="Arial" w:hAnsi="Arial" w:cs="Arial"/>
                <w:sz w:val="24"/>
                <w:szCs w:val="24"/>
              </w:rPr>
            </w:pPr>
            <w:r>
              <w:rPr>
                <w:rFonts w:ascii="Arial" w:hAnsi="Arial" w:cs="Arial"/>
                <w:sz w:val="24"/>
                <w:szCs w:val="24"/>
              </w:rPr>
              <w:t xml:space="preserve">During the year we have continued the development of our new case management system which is now due to be implemented </w:t>
            </w:r>
            <w:r w:rsidRPr="00110380">
              <w:rPr>
                <w:rFonts w:ascii="Arial" w:hAnsi="Arial" w:cs="Arial"/>
                <w:sz w:val="24"/>
                <w:szCs w:val="24"/>
              </w:rPr>
              <w:t>during</w:t>
            </w:r>
            <w:r w:rsidRPr="245D1C83">
              <w:rPr>
                <w:rFonts w:ascii="Arial" w:hAnsi="Arial" w:cs="Arial"/>
                <w:sz w:val="24"/>
                <w:szCs w:val="24"/>
              </w:rPr>
              <w:t xml:space="preserve"> 2024</w:t>
            </w:r>
            <w:r w:rsidRPr="00110380">
              <w:rPr>
                <w:rFonts w:ascii="Arial" w:hAnsi="Arial" w:cs="Arial"/>
                <w:sz w:val="24"/>
                <w:szCs w:val="24"/>
              </w:rPr>
              <w:t>-25</w:t>
            </w:r>
            <w:r>
              <w:rPr>
                <w:rFonts w:ascii="Arial" w:hAnsi="Arial" w:cs="Arial"/>
                <w:sz w:val="24"/>
                <w:szCs w:val="24"/>
              </w:rPr>
              <w:t>.</w:t>
            </w:r>
          </w:p>
        </w:tc>
      </w:tr>
    </w:tbl>
    <w:p w14:paraId="49B533FB" w14:textId="77777777" w:rsidR="005B08C3" w:rsidRDefault="005B08C3" w:rsidP="005B08C3">
      <w:pPr>
        <w:rPr>
          <w:rFonts w:ascii="Arial" w:hAnsi="Arial" w:cs="Arial"/>
          <w:sz w:val="24"/>
          <w:szCs w:val="24"/>
        </w:rPr>
      </w:pPr>
    </w:p>
    <w:p w14:paraId="21F94861" w14:textId="67309D12" w:rsidR="001C7C0A" w:rsidRPr="001C7C0A" w:rsidRDefault="001C7C0A" w:rsidP="004919D3">
      <w:pPr>
        <w:pStyle w:val="Heading4"/>
        <w:rPr>
          <w:rFonts w:cs="Arial"/>
          <w:b w:val="0"/>
          <w:sz w:val="24"/>
          <w:szCs w:val="24"/>
        </w:rPr>
      </w:pPr>
      <w:r>
        <w:t>How we performed</w:t>
      </w:r>
    </w:p>
    <w:tbl>
      <w:tblPr>
        <w:tblStyle w:val="TableGrid"/>
        <w:tblW w:w="0" w:type="auto"/>
        <w:tblLook w:val="04A0" w:firstRow="1" w:lastRow="0" w:firstColumn="1" w:lastColumn="0" w:noHBand="0" w:noVBand="1"/>
      </w:tblPr>
      <w:tblGrid>
        <w:gridCol w:w="4957"/>
        <w:gridCol w:w="1353"/>
        <w:gridCol w:w="1353"/>
        <w:gridCol w:w="1353"/>
      </w:tblGrid>
      <w:tr w:rsidR="0067616C" w14:paraId="2AF6163A" w14:textId="77777777" w:rsidTr="00336CE9">
        <w:tc>
          <w:tcPr>
            <w:tcW w:w="9016" w:type="dxa"/>
            <w:gridSpan w:val="4"/>
            <w:shd w:val="clear" w:color="auto" w:fill="5B9BD5" w:themeFill="accent5"/>
          </w:tcPr>
          <w:p w14:paraId="07678F6E" w14:textId="1B2B117F" w:rsidR="0067616C" w:rsidRPr="00904E2D" w:rsidRDefault="001C7C0A">
            <w:pPr>
              <w:rPr>
                <w:rFonts w:ascii="Arial" w:hAnsi="Arial" w:cs="Arial"/>
                <w:b/>
                <w:bCs/>
                <w:sz w:val="24"/>
                <w:szCs w:val="24"/>
              </w:rPr>
            </w:pPr>
            <w:r w:rsidRPr="00336CE9">
              <w:rPr>
                <w:rFonts w:ascii="Arial" w:hAnsi="Arial" w:cs="Arial"/>
                <w:b/>
                <w:bCs/>
                <w:color w:val="FFFFFF" w:themeColor="background1"/>
                <w:sz w:val="24"/>
                <w:szCs w:val="24"/>
              </w:rPr>
              <w:t>Supporting those in financial distress</w:t>
            </w:r>
          </w:p>
        </w:tc>
      </w:tr>
      <w:tr w:rsidR="0067616C" w14:paraId="238A5CD1" w14:textId="77777777">
        <w:tc>
          <w:tcPr>
            <w:tcW w:w="4957" w:type="dxa"/>
          </w:tcPr>
          <w:p w14:paraId="3DBF6971" w14:textId="77777777" w:rsidR="0067616C" w:rsidRDefault="0067616C">
            <w:pPr>
              <w:rPr>
                <w:rFonts w:ascii="Arial" w:hAnsi="Arial" w:cs="Arial"/>
                <w:sz w:val="24"/>
                <w:szCs w:val="24"/>
              </w:rPr>
            </w:pPr>
          </w:p>
        </w:tc>
        <w:tc>
          <w:tcPr>
            <w:tcW w:w="1353" w:type="dxa"/>
          </w:tcPr>
          <w:p w14:paraId="733CDAA1" w14:textId="77777777" w:rsidR="0067616C" w:rsidRPr="00F01C1E" w:rsidRDefault="0067616C">
            <w:pPr>
              <w:jc w:val="center"/>
              <w:rPr>
                <w:rFonts w:ascii="Arial" w:hAnsi="Arial" w:cs="Arial"/>
                <w:b/>
                <w:bCs/>
                <w:sz w:val="24"/>
                <w:szCs w:val="24"/>
              </w:rPr>
            </w:pPr>
            <w:r w:rsidRPr="00F01C1E">
              <w:rPr>
                <w:rFonts w:ascii="Arial" w:hAnsi="Arial" w:cs="Arial"/>
                <w:b/>
                <w:bCs/>
                <w:sz w:val="24"/>
                <w:szCs w:val="24"/>
              </w:rPr>
              <w:t>2023-24</w:t>
            </w:r>
          </w:p>
        </w:tc>
        <w:tc>
          <w:tcPr>
            <w:tcW w:w="1353" w:type="dxa"/>
          </w:tcPr>
          <w:p w14:paraId="009C56BE" w14:textId="77777777" w:rsidR="0067616C" w:rsidRPr="00F01C1E" w:rsidRDefault="0067616C">
            <w:pPr>
              <w:jc w:val="center"/>
              <w:rPr>
                <w:rFonts w:ascii="Arial" w:hAnsi="Arial" w:cs="Arial"/>
                <w:b/>
                <w:bCs/>
                <w:sz w:val="24"/>
                <w:szCs w:val="24"/>
              </w:rPr>
            </w:pPr>
            <w:r w:rsidRPr="00F01C1E">
              <w:rPr>
                <w:rFonts w:ascii="Arial" w:hAnsi="Arial" w:cs="Arial"/>
                <w:b/>
                <w:bCs/>
                <w:sz w:val="24"/>
                <w:szCs w:val="24"/>
              </w:rPr>
              <w:t>2022-23</w:t>
            </w:r>
          </w:p>
        </w:tc>
        <w:tc>
          <w:tcPr>
            <w:tcW w:w="1353" w:type="dxa"/>
          </w:tcPr>
          <w:p w14:paraId="08B85B11" w14:textId="77777777" w:rsidR="0067616C" w:rsidRPr="00F01C1E" w:rsidRDefault="0067616C">
            <w:pPr>
              <w:jc w:val="center"/>
              <w:rPr>
                <w:rFonts w:ascii="Arial" w:hAnsi="Arial" w:cs="Arial"/>
                <w:b/>
                <w:bCs/>
                <w:sz w:val="24"/>
                <w:szCs w:val="24"/>
              </w:rPr>
            </w:pPr>
            <w:r w:rsidRPr="00F01C1E">
              <w:rPr>
                <w:rFonts w:ascii="Arial" w:hAnsi="Arial" w:cs="Arial"/>
                <w:b/>
                <w:bCs/>
                <w:sz w:val="24"/>
                <w:szCs w:val="24"/>
              </w:rPr>
              <w:t>2021-22</w:t>
            </w:r>
          </w:p>
        </w:tc>
      </w:tr>
      <w:tr w:rsidR="0067616C" w14:paraId="1F9D6202" w14:textId="77777777">
        <w:tc>
          <w:tcPr>
            <w:tcW w:w="4957" w:type="dxa"/>
          </w:tcPr>
          <w:p w14:paraId="0E178167" w14:textId="7021D335" w:rsidR="0067616C" w:rsidRDefault="001C7C0A">
            <w:pPr>
              <w:rPr>
                <w:rFonts w:ascii="Arial" w:hAnsi="Arial" w:cs="Arial"/>
                <w:sz w:val="24"/>
                <w:szCs w:val="24"/>
              </w:rPr>
            </w:pPr>
            <w:r>
              <w:rPr>
                <w:rFonts w:ascii="Arial" w:hAnsi="Arial" w:cs="Arial"/>
                <w:sz w:val="24"/>
                <w:szCs w:val="24"/>
              </w:rPr>
              <w:t>New insolvency cases handled by our Official Receivers</w:t>
            </w:r>
          </w:p>
        </w:tc>
        <w:tc>
          <w:tcPr>
            <w:tcW w:w="1353" w:type="dxa"/>
            <w:vAlign w:val="center"/>
          </w:tcPr>
          <w:p w14:paraId="36CC027B" w14:textId="4459A57D" w:rsidR="0067616C" w:rsidRDefault="001C7C0A">
            <w:pPr>
              <w:jc w:val="center"/>
              <w:rPr>
                <w:rFonts w:ascii="Arial" w:hAnsi="Arial" w:cs="Arial"/>
                <w:sz w:val="24"/>
                <w:szCs w:val="24"/>
              </w:rPr>
            </w:pPr>
            <w:r>
              <w:rPr>
                <w:rFonts w:ascii="Arial" w:hAnsi="Arial" w:cs="Arial"/>
                <w:sz w:val="24"/>
                <w:szCs w:val="24"/>
              </w:rPr>
              <w:t>10,907</w:t>
            </w:r>
          </w:p>
        </w:tc>
        <w:tc>
          <w:tcPr>
            <w:tcW w:w="1353" w:type="dxa"/>
            <w:vAlign w:val="center"/>
          </w:tcPr>
          <w:p w14:paraId="4B87F167" w14:textId="420B3F42" w:rsidR="0067616C" w:rsidRDefault="001C7C0A">
            <w:pPr>
              <w:jc w:val="center"/>
              <w:rPr>
                <w:rFonts w:ascii="Arial" w:hAnsi="Arial" w:cs="Arial"/>
                <w:sz w:val="24"/>
                <w:szCs w:val="24"/>
              </w:rPr>
            </w:pPr>
            <w:r>
              <w:rPr>
                <w:rFonts w:ascii="Arial" w:hAnsi="Arial" w:cs="Arial"/>
                <w:sz w:val="24"/>
                <w:szCs w:val="24"/>
              </w:rPr>
              <w:t>9,028</w:t>
            </w:r>
          </w:p>
        </w:tc>
        <w:tc>
          <w:tcPr>
            <w:tcW w:w="1353" w:type="dxa"/>
            <w:vAlign w:val="center"/>
          </w:tcPr>
          <w:p w14:paraId="3944CDF1" w14:textId="7F599C68" w:rsidR="0067616C" w:rsidRDefault="001C7C0A">
            <w:pPr>
              <w:jc w:val="center"/>
              <w:rPr>
                <w:rFonts w:ascii="Arial" w:hAnsi="Arial" w:cs="Arial"/>
                <w:sz w:val="24"/>
                <w:szCs w:val="24"/>
              </w:rPr>
            </w:pPr>
            <w:r>
              <w:rPr>
                <w:rFonts w:ascii="Arial" w:hAnsi="Arial" w:cs="Arial"/>
                <w:sz w:val="24"/>
                <w:szCs w:val="24"/>
              </w:rPr>
              <w:t>8,467</w:t>
            </w:r>
          </w:p>
        </w:tc>
      </w:tr>
      <w:tr w:rsidR="001C7C0A" w14:paraId="38B9511D" w14:textId="77777777">
        <w:tc>
          <w:tcPr>
            <w:tcW w:w="4957" w:type="dxa"/>
          </w:tcPr>
          <w:p w14:paraId="6A986BE6" w14:textId="71D79F59" w:rsidR="001C7C0A" w:rsidRDefault="004A02DA">
            <w:pPr>
              <w:rPr>
                <w:rFonts w:ascii="Arial" w:hAnsi="Arial" w:cs="Arial"/>
                <w:sz w:val="24"/>
                <w:szCs w:val="24"/>
              </w:rPr>
            </w:pPr>
            <w:r>
              <w:rPr>
                <w:rFonts w:ascii="Arial" w:hAnsi="Arial" w:cs="Arial"/>
                <w:sz w:val="24"/>
                <w:szCs w:val="24"/>
              </w:rPr>
              <w:t>Creditor petition bankruptcy orders</w:t>
            </w:r>
          </w:p>
        </w:tc>
        <w:tc>
          <w:tcPr>
            <w:tcW w:w="1353" w:type="dxa"/>
            <w:vAlign w:val="center"/>
          </w:tcPr>
          <w:p w14:paraId="7470582E" w14:textId="65779334" w:rsidR="001C7C0A" w:rsidRDefault="004A02DA">
            <w:pPr>
              <w:jc w:val="center"/>
              <w:rPr>
                <w:rFonts w:ascii="Arial" w:hAnsi="Arial" w:cs="Arial"/>
                <w:sz w:val="24"/>
                <w:szCs w:val="24"/>
              </w:rPr>
            </w:pPr>
            <w:r>
              <w:rPr>
                <w:rFonts w:ascii="Arial" w:hAnsi="Arial" w:cs="Arial"/>
                <w:sz w:val="24"/>
                <w:szCs w:val="24"/>
              </w:rPr>
              <w:t>1,759</w:t>
            </w:r>
          </w:p>
        </w:tc>
        <w:tc>
          <w:tcPr>
            <w:tcW w:w="1353" w:type="dxa"/>
            <w:vAlign w:val="center"/>
          </w:tcPr>
          <w:p w14:paraId="14F3BFB2" w14:textId="6B9A3985" w:rsidR="001C7C0A" w:rsidRDefault="004A02DA">
            <w:pPr>
              <w:jc w:val="center"/>
              <w:rPr>
                <w:rFonts w:ascii="Arial" w:hAnsi="Arial" w:cs="Arial"/>
                <w:sz w:val="24"/>
                <w:szCs w:val="24"/>
              </w:rPr>
            </w:pPr>
            <w:r>
              <w:rPr>
                <w:rFonts w:ascii="Arial" w:hAnsi="Arial" w:cs="Arial"/>
                <w:sz w:val="24"/>
                <w:szCs w:val="24"/>
              </w:rPr>
              <w:t>1,194</w:t>
            </w:r>
          </w:p>
        </w:tc>
        <w:tc>
          <w:tcPr>
            <w:tcW w:w="1353" w:type="dxa"/>
            <w:vAlign w:val="center"/>
          </w:tcPr>
          <w:p w14:paraId="660DC131" w14:textId="4A1C3A8C" w:rsidR="001C7C0A" w:rsidRDefault="004A02DA">
            <w:pPr>
              <w:jc w:val="center"/>
              <w:rPr>
                <w:rFonts w:ascii="Arial" w:hAnsi="Arial" w:cs="Arial"/>
                <w:sz w:val="24"/>
                <w:szCs w:val="24"/>
              </w:rPr>
            </w:pPr>
            <w:r>
              <w:rPr>
                <w:rFonts w:ascii="Arial" w:hAnsi="Arial" w:cs="Arial"/>
                <w:sz w:val="24"/>
                <w:szCs w:val="24"/>
              </w:rPr>
              <w:t>1,089</w:t>
            </w:r>
          </w:p>
        </w:tc>
      </w:tr>
      <w:tr w:rsidR="001C7C0A" w14:paraId="66AC7671" w14:textId="77777777">
        <w:tc>
          <w:tcPr>
            <w:tcW w:w="4957" w:type="dxa"/>
          </w:tcPr>
          <w:p w14:paraId="6350D2BE" w14:textId="760EE44F" w:rsidR="001C7C0A" w:rsidRDefault="00B93418">
            <w:pPr>
              <w:rPr>
                <w:rFonts w:ascii="Arial" w:hAnsi="Arial" w:cs="Arial"/>
                <w:sz w:val="24"/>
                <w:szCs w:val="24"/>
              </w:rPr>
            </w:pPr>
            <w:r>
              <w:rPr>
                <w:rFonts w:ascii="Arial" w:hAnsi="Arial" w:cs="Arial"/>
                <w:sz w:val="24"/>
                <w:szCs w:val="24"/>
              </w:rPr>
              <w:t>Redundancy payment claims</w:t>
            </w:r>
          </w:p>
        </w:tc>
        <w:tc>
          <w:tcPr>
            <w:tcW w:w="1353" w:type="dxa"/>
            <w:vAlign w:val="center"/>
          </w:tcPr>
          <w:p w14:paraId="2EB1BB5C" w14:textId="2E7556F7" w:rsidR="001C7C0A" w:rsidRDefault="00B93418">
            <w:pPr>
              <w:jc w:val="center"/>
              <w:rPr>
                <w:rFonts w:ascii="Arial" w:hAnsi="Arial" w:cs="Arial"/>
                <w:sz w:val="24"/>
                <w:szCs w:val="24"/>
              </w:rPr>
            </w:pPr>
            <w:r>
              <w:rPr>
                <w:rFonts w:ascii="Arial" w:hAnsi="Arial" w:cs="Arial"/>
                <w:sz w:val="24"/>
                <w:szCs w:val="24"/>
              </w:rPr>
              <w:t>85,592</w:t>
            </w:r>
          </w:p>
        </w:tc>
        <w:tc>
          <w:tcPr>
            <w:tcW w:w="1353" w:type="dxa"/>
            <w:vAlign w:val="center"/>
          </w:tcPr>
          <w:p w14:paraId="736D8752" w14:textId="691B2232" w:rsidR="001C7C0A" w:rsidRDefault="00B93418">
            <w:pPr>
              <w:jc w:val="center"/>
              <w:rPr>
                <w:rFonts w:ascii="Arial" w:hAnsi="Arial" w:cs="Arial"/>
                <w:sz w:val="24"/>
                <w:szCs w:val="24"/>
              </w:rPr>
            </w:pPr>
            <w:r>
              <w:rPr>
                <w:rFonts w:ascii="Arial" w:hAnsi="Arial" w:cs="Arial"/>
                <w:sz w:val="24"/>
                <w:szCs w:val="24"/>
              </w:rPr>
              <w:t>59,234</w:t>
            </w:r>
          </w:p>
        </w:tc>
        <w:tc>
          <w:tcPr>
            <w:tcW w:w="1353" w:type="dxa"/>
            <w:vAlign w:val="center"/>
          </w:tcPr>
          <w:p w14:paraId="4BED38E5" w14:textId="677E35B5" w:rsidR="001C7C0A" w:rsidRDefault="00B93418">
            <w:pPr>
              <w:jc w:val="center"/>
              <w:rPr>
                <w:rFonts w:ascii="Arial" w:hAnsi="Arial" w:cs="Arial"/>
                <w:sz w:val="24"/>
                <w:szCs w:val="24"/>
              </w:rPr>
            </w:pPr>
            <w:r>
              <w:rPr>
                <w:rFonts w:ascii="Arial" w:hAnsi="Arial" w:cs="Arial"/>
                <w:sz w:val="24"/>
                <w:szCs w:val="24"/>
              </w:rPr>
              <w:t>44,895</w:t>
            </w:r>
          </w:p>
        </w:tc>
      </w:tr>
      <w:tr w:rsidR="001C7C0A" w14:paraId="2A61BC45" w14:textId="77777777">
        <w:tc>
          <w:tcPr>
            <w:tcW w:w="4957" w:type="dxa"/>
          </w:tcPr>
          <w:p w14:paraId="31570758" w14:textId="0DDE4641" w:rsidR="001C7C0A" w:rsidRDefault="00B93418">
            <w:pPr>
              <w:rPr>
                <w:rFonts w:ascii="Arial" w:hAnsi="Arial" w:cs="Arial"/>
                <w:sz w:val="24"/>
                <w:szCs w:val="24"/>
              </w:rPr>
            </w:pPr>
            <w:r>
              <w:rPr>
                <w:rFonts w:ascii="Arial" w:hAnsi="Arial" w:cs="Arial"/>
                <w:sz w:val="24"/>
                <w:szCs w:val="24"/>
              </w:rPr>
              <w:t>Compulsory liquidations</w:t>
            </w:r>
          </w:p>
        </w:tc>
        <w:tc>
          <w:tcPr>
            <w:tcW w:w="1353" w:type="dxa"/>
            <w:vAlign w:val="center"/>
          </w:tcPr>
          <w:p w14:paraId="72C18359" w14:textId="4D5827A0" w:rsidR="001C7C0A" w:rsidRDefault="00B93418">
            <w:pPr>
              <w:jc w:val="center"/>
              <w:rPr>
                <w:rFonts w:ascii="Arial" w:hAnsi="Arial" w:cs="Arial"/>
                <w:sz w:val="24"/>
                <w:szCs w:val="24"/>
              </w:rPr>
            </w:pPr>
            <w:r>
              <w:rPr>
                <w:rFonts w:ascii="Arial" w:hAnsi="Arial" w:cs="Arial"/>
                <w:sz w:val="24"/>
                <w:szCs w:val="24"/>
              </w:rPr>
              <w:t>2,991</w:t>
            </w:r>
          </w:p>
        </w:tc>
        <w:tc>
          <w:tcPr>
            <w:tcW w:w="1353" w:type="dxa"/>
            <w:vAlign w:val="center"/>
          </w:tcPr>
          <w:p w14:paraId="04D8D902" w14:textId="54E7049D" w:rsidR="001C7C0A" w:rsidRDefault="00B93418">
            <w:pPr>
              <w:jc w:val="center"/>
              <w:rPr>
                <w:rFonts w:ascii="Arial" w:hAnsi="Arial" w:cs="Arial"/>
                <w:sz w:val="24"/>
                <w:szCs w:val="24"/>
              </w:rPr>
            </w:pPr>
            <w:r>
              <w:rPr>
                <w:rFonts w:ascii="Arial" w:hAnsi="Arial" w:cs="Arial"/>
                <w:sz w:val="24"/>
                <w:szCs w:val="24"/>
              </w:rPr>
              <w:t>2,287</w:t>
            </w:r>
          </w:p>
        </w:tc>
        <w:tc>
          <w:tcPr>
            <w:tcW w:w="1353" w:type="dxa"/>
            <w:vAlign w:val="center"/>
          </w:tcPr>
          <w:p w14:paraId="0E09D5F4" w14:textId="2B4D8AEC" w:rsidR="001C7C0A" w:rsidRDefault="00B93418">
            <w:pPr>
              <w:jc w:val="center"/>
              <w:rPr>
                <w:rFonts w:ascii="Arial" w:hAnsi="Arial" w:cs="Arial"/>
                <w:sz w:val="24"/>
                <w:szCs w:val="24"/>
              </w:rPr>
            </w:pPr>
            <w:r>
              <w:rPr>
                <w:rFonts w:ascii="Arial" w:hAnsi="Arial" w:cs="Arial"/>
                <w:sz w:val="24"/>
                <w:szCs w:val="24"/>
              </w:rPr>
              <w:t>712</w:t>
            </w:r>
          </w:p>
        </w:tc>
      </w:tr>
      <w:tr w:rsidR="007B6D80" w14:paraId="49B7957B" w14:textId="77777777">
        <w:tc>
          <w:tcPr>
            <w:tcW w:w="4957" w:type="dxa"/>
          </w:tcPr>
          <w:p w14:paraId="079062A2" w14:textId="62A40077" w:rsidR="007B6D80" w:rsidRDefault="007B6D80" w:rsidP="007B6D80">
            <w:pPr>
              <w:rPr>
                <w:rFonts w:ascii="Arial" w:hAnsi="Arial" w:cs="Arial"/>
                <w:sz w:val="24"/>
                <w:szCs w:val="24"/>
              </w:rPr>
            </w:pPr>
            <w:r>
              <w:rPr>
                <w:rFonts w:ascii="Arial" w:hAnsi="Arial" w:cs="Arial"/>
                <w:sz w:val="24"/>
                <w:szCs w:val="24"/>
              </w:rPr>
              <w:t>Debt relief orders</w:t>
            </w:r>
          </w:p>
        </w:tc>
        <w:tc>
          <w:tcPr>
            <w:tcW w:w="1353" w:type="dxa"/>
            <w:vAlign w:val="center"/>
          </w:tcPr>
          <w:p w14:paraId="49248FFB" w14:textId="48B2D150" w:rsidR="007B6D80" w:rsidRDefault="007B6D80" w:rsidP="007B6D80">
            <w:pPr>
              <w:jc w:val="center"/>
              <w:rPr>
                <w:rFonts w:ascii="Arial" w:hAnsi="Arial" w:cs="Arial"/>
                <w:sz w:val="24"/>
                <w:szCs w:val="24"/>
              </w:rPr>
            </w:pPr>
            <w:r>
              <w:rPr>
                <w:rFonts w:ascii="Arial" w:hAnsi="Arial" w:cs="Arial"/>
                <w:sz w:val="24"/>
                <w:szCs w:val="24"/>
              </w:rPr>
              <w:t>32,514</w:t>
            </w:r>
          </w:p>
        </w:tc>
        <w:tc>
          <w:tcPr>
            <w:tcW w:w="1353" w:type="dxa"/>
            <w:vAlign w:val="center"/>
          </w:tcPr>
          <w:p w14:paraId="1AB473B1" w14:textId="0F14BC1D" w:rsidR="007B6D80" w:rsidRDefault="007B6D80" w:rsidP="007B6D80">
            <w:pPr>
              <w:jc w:val="center"/>
              <w:rPr>
                <w:rFonts w:ascii="Arial" w:hAnsi="Arial" w:cs="Arial"/>
                <w:sz w:val="24"/>
                <w:szCs w:val="24"/>
              </w:rPr>
            </w:pPr>
            <w:r>
              <w:rPr>
                <w:rFonts w:ascii="Arial" w:hAnsi="Arial" w:cs="Arial"/>
                <w:sz w:val="24"/>
                <w:szCs w:val="24"/>
              </w:rPr>
              <w:t>24,267</w:t>
            </w:r>
          </w:p>
        </w:tc>
        <w:tc>
          <w:tcPr>
            <w:tcW w:w="1353" w:type="dxa"/>
            <w:vAlign w:val="center"/>
          </w:tcPr>
          <w:p w14:paraId="17C7092C" w14:textId="2981540B" w:rsidR="007B6D80" w:rsidRDefault="007B6D80" w:rsidP="007B6D80">
            <w:pPr>
              <w:jc w:val="center"/>
              <w:rPr>
                <w:rFonts w:ascii="Arial" w:hAnsi="Arial" w:cs="Arial"/>
                <w:sz w:val="24"/>
                <w:szCs w:val="24"/>
              </w:rPr>
            </w:pPr>
            <w:r>
              <w:rPr>
                <w:rFonts w:ascii="Arial" w:hAnsi="Arial" w:cs="Arial"/>
                <w:sz w:val="24"/>
                <w:szCs w:val="24"/>
              </w:rPr>
              <w:t>22,601</w:t>
            </w:r>
          </w:p>
        </w:tc>
      </w:tr>
      <w:tr w:rsidR="007B6D80" w14:paraId="609E7225" w14:textId="77777777">
        <w:tc>
          <w:tcPr>
            <w:tcW w:w="4957" w:type="dxa"/>
          </w:tcPr>
          <w:p w14:paraId="035ADCFB" w14:textId="6181E39D" w:rsidR="007B6D80" w:rsidRDefault="007B6D80" w:rsidP="007B6D80">
            <w:pPr>
              <w:rPr>
                <w:rFonts w:ascii="Arial" w:hAnsi="Arial" w:cs="Arial"/>
                <w:sz w:val="24"/>
                <w:szCs w:val="24"/>
              </w:rPr>
            </w:pPr>
            <w:r>
              <w:rPr>
                <w:rFonts w:ascii="Arial" w:hAnsi="Arial" w:cs="Arial"/>
                <w:sz w:val="24"/>
                <w:szCs w:val="24"/>
              </w:rPr>
              <w:t>Online debtor’s application bankruptcy orders</w:t>
            </w:r>
          </w:p>
        </w:tc>
        <w:tc>
          <w:tcPr>
            <w:tcW w:w="1353" w:type="dxa"/>
            <w:vAlign w:val="center"/>
          </w:tcPr>
          <w:p w14:paraId="4FDC4E1E" w14:textId="4F05F206" w:rsidR="007B6D80" w:rsidRDefault="007B6D80" w:rsidP="007B6D80">
            <w:pPr>
              <w:jc w:val="center"/>
              <w:rPr>
                <w:rFonts w:ascii="Arial" w:hAnsi="Arial" w:cs="Arial"/>
                <w:sz w:val="24"/>
                <w:szCs w:val="24"/>
              </w:rPr>
            </w:pPr>
            <w:r>
              <w:rPr>
                <w:rFonts w:ascii="Arial" w:hAnsi="Arial" w:cs="Arial"/>
                <w:sz w:val="24"/>
                <w:szCs w:val="24"/>
              </w:rPr>
              <w:t>6,162</w:t>
            </w:r>
          </w:p>
        </w:tc>
        <w:tc>
          <w:tcPr>
            <w:tcW w:w="1353" w:type="dxa"/>
            <w:vAlign w:val="center"/>
          </w:tcPr>
          <w:p w14:paraId="51ADB2EF" w14:textId="3222B0EA" w:rsidR="007B6D80" w:rsidRDefault="007B6D80" w:rsidP="007B6D80">
            <w:pPr>
              <w:jc w:val="center"/>
              <w:rPr>
                <w:rFonts w:ascii="Arial" w:hAnsi="Arial" w:cs="Arial"/>
                <w:sz w:val="24"/>
                <w:szCs w:val="24"/>
              </w:rPr>
            </w:pPr>
            <w:r>
              <w:rPr>
                <w:rFonts w:ascii="Arial" w:hAnsi="Arial" w:cs="Arial"/>
                <w:sz w:val="24"/>
                <w:szCs w:val="24"/>
              </w:rPr>
              <w:t>5,558</w:t>
            </w:r>
          </w:p>
        </w:tc>
        <w:tc>
          <w:tcPr>
            <w:tcW w:w="1353" w:type="dxa"/>
            <w:vAlign w:val="center"/>
          </w:tcPr>
          <w:p w14:paraId="0FB65318" w14:textId="77E9C796" w:rsidR="007B6D80" w:rsidRDefault="007B6D80" w:rsidP="007B6D80">
            <w:pPr>
              <w:jc w:val="center"/>
              <w:rPr>
                <w:rFonts w:ascii="Arial" w:hAnsi="Arial" w:cs="Arial"/>
                <w:sz w:val="24"/>
                <w:szCs w:val="24"/>
              </w:rPr>
            </w:pPr>
            <w:r>
              <w:rPr>
                <w:rFonts w:ascii="Arial" w:hAnsi="Arial" w:cs="Arial"/>
                <w:sz w:val="24"/>
                <w:szCs w:val="24"/>
              </w:rPr>
              <w:t>6,669</w:t>
            </w:r>
          </w:p>
        </w:tc>
      </w:tr>
      <w:tr w:rsidR="007B6D80" w14:paraId="7483156E" w14:textId="77777777">
        <w:tc>
          <w:tcPr>
            <w:tcW w:w="4957" w:type="dxa"/>
          </w:tcPr>
          <w:p w14:paraId="3509A99B" w14:textId="2CFFD59D" w:rsidR="007B6D80" w:rsidRDefault="007B6D80" w:rsidP="007B6D80">
            <w:pPr>
              <w:rPr>
                <w:rFonts w:ascii="Arial" w:hAnsi="Arial" w:cs="Arial"/>
                <w:sz w:val="24"/>
                <w:szCs w:val="24"/>
              </w:rPr>
            </w:pPr>
            <w:r>
              <w:rPr>
                <w:rFonts w:ascii="Arial" w:hAnsi="Arial" w:cs="Arial"/>
                <w:sz w:val="24"/>
                <w:szCs w:val="24"/>
              </w:rPr>
              <w:t>Breathing Space</w:t>
            </w:r>
            <w:r>
              <w:rPr>
                <w:rStyle w:val="FootnoteReference"/>
                <w:rFonts w:ascii="Arial" w:hAnsi="Arial" w:cs="Arial"/>
                <w:sz w:val="24"/>
                <w:szCs w:val="24"/>
              </w:rPr>
              <w:footnoteReference w:id="4"/>
            </w:r>
            <w:r>
              <w:rPr>
                <w:rFonts w:ascii="Arial" w:hAnsi="Arial" w:cs="Arial"/>
                <w:sz w:val="24"/>
                <w:szCs w:val="24"/>
              </w:rPr>
              <w:t xml:space="preserve"> applications granted</w:t>
            </w:r>
          </w:p>
        </w:tc>
        <w:tc>
          <w:tcPr>
            <w:tcW w:w="1353" w:type="dxa"/>
            <w:vAlign w:val="center"/>
          </w:tcPr>
          <w:p w14:paraId="4EBC65F7" w14:textId="7AB98317" w:rsidR="007B6D80" w:rsidRDefault="007B6D80" w:rsidP="007B6D80">
            <w:pPr>
              <w:jc w:val="center"/>
              <w:rPr>
                <w:rFonts w:ascii="Arial" w:hAnsi="Arial" w:cs="Arial"/>
                <w:sz w:val="24"/>
                <w:szCs w:val="24"/>
              </w:rPr>
            </w:pPr>
            <w:r>
              <w:rPr>
                <w:rFonts w:ascii="Arial" w:hAnsi="Arial" w:cs="Arial"/>
                <w:sz w:val="24"/>
                <w:szCs w:val="24"/>
              </w:rPr>
              <w:t>89,351</w:t>
            </w:r>
          </w:p>
        </w:tc>
        <w:tc>
          <w:tcPr>
            <w:tcW w:w="1353" w:type="dxa"/>
            <w:vAlign w:val="center"/>
          </w:tcPr>
          <w:p w14:paraId="2CA09996" w14:textId="39E70D74" w:rsidR="007B6D80" w:rsidRDefault="007B6D80" w:rsidP="007B6D80">
            <w:pPr>
              <w:jc w:val="center"/>
              <w:rPr>
                <w:rFonts w:ascii="Arial" w:hAnsi="Arial" w:cs="Arial"/>
                <w:sz w:val="24"/>
                <w:szCs w:val="24"/>
              </w:rPr>
            </w:pPr>
            <w:r>
              <w:rPr>
                <w:rFonts w:ascii="Arial" w:hAnsi="Arial" w:cs="Arial"/>
                <w:sz w:val="24"/>
                <w:szCs w:val="24"/>
              </w:rPr>
              <w:t>76,599</w:t>
            </w:r>
          </w:p>
        </w:tc>
        <w:tc>
          <w:tcPr>
            <w:tcW w:w="1353" w:type="dxa"/>
            <w:vAlign w:val="center"/>
          </w:tcPr>
          <w:p w14:paraId="2830D5B4" w14:textId="6FFBFDF8" w:rsidR="007B6D80" w:rsidRDefault="007B6D80" w:rsidP="007B6D80">
            <w:pPr>
              <w:jc w:val="center"/>
              <w:rPr>
                <w:rFonts w:ascii="Arial" w:hAnsi="Arial" w:cs="Arial"/>
                <w:sz w:val="24"/>
                <w:szCs w:val="24"/>
              </w:rPr>
            </w:pPr>
            <w:r>
              <w:rPr>
                <w:rFonts w:ascii="Arial" w:hAnsi="Arial" w:cs="Arial"/>
                <w:sz w:val="24"/>
                <w:szCs w:val="24"/>
              </w:rPr>
              <w:t>58,476</w:t>
            </w:r>
          </w:p>
        </w:tc>
      </w:tr>
      <w:tr w:rsidR="007B6D80" w14:paraId="00CA2E22" w14:textId="77777777">
        <w:tc>
          <w:tcPr>
            <w:tcW w:w="4957" w:type="dxa"/>
          </w:tcPr>
          <w:p w14:paraId="45A8128E" w14:textId="67588B1E" w:rsidR="007B6D80" w:rsidRDefault="007B6D80" w:rsidP="007B6D80">
            <w:pPr>
              <w:rPr>
                <w:rFonts w:ascii="Arial" w:hAnsi="Arial" w:cs="Arial"/>
                <w:sz w:val="24"/>
                <w:szCs w:val="24"/>
              </w:rPr>
            </w:pPr>
            <w:r>
              <w:rPr>
                <w:rFonts w:ascii="Arial" w:hAnsi="Arial" w:cs="Arial"/>
                <w:sz w:val="24"/>
                <w:szCs w:val="24"/>
              </w:rPr>
              <w:t>Breathing Space applications granted for people in a mental health crisis</w:t>
            </w:r>
          </w:p>
        </w:tc>
        <w:tc>
          <w:tcPr>
            <w:tcW w:w="1353" w:type="dxa"/>
            <w:vAlign w:val="center"/>
          </w:tcPr>
          <w:p w14:paraId="5BDCA607" w14:textId="4ADDE3A7" w:rsidR="007B6D80" w:rsidRDefault="007B6D80" w:rsidP="007B6D80">
            <w:pPr>
              <w:jc w:val="center"/>
              <w:rPr>
                <w:rFonts w:ascii="Arial" w:hAnsi="Arial" w:cs="Arial"/>
                <w:sz w:val="24"/>
                <w:szCs w:val="24"/>
              </w:rPr>
            </w:pPr>
            <w:r>
              <w:rPr>
                <w:rFonts w:ascii="Arial" w:hAnsi="Arial" w:cs="Arial"/>
                <w:sz w:val="24"/>
                <w:szCs w:val="24"/>
              </w:rPr>
              <w:t>1,388</w:t>
            </w:r>
          </w:p>
        </w:tc>
        <w:tc>
          <w:tcPr>
            <w:tcW w:w="1353" w:type="dxa"/>
            <w:vAlign w:val="center"/>
          </w:tcPr>
          <w:p w14:paraId="3ADA4F95" w14:textId="3D73563C" w:rsidR="007B6D80" w:rsidRDefault="007B6D80" w:rsidP="007B6D80">
            <w:pPr>
              <w:jc w:val="center"/>
              <w:rPr>
                <w:rFonts w:ascii="Arial" w:hAnsi="Arial" w:cs="Arial"/>
                <w:sz w:val="24"/>
                <w:szCs w:val="24"/>
              </w:rPr>
            </w:pPr>
            <w:r>
              <w:rPr>
                <w:rFonts w:ascii="Arial" w:hAnsi="Arial" w:cs="Arial"/>
                <w:sz w:val="24"/>
                <w:szCs w:val="24"/>
              </w:rPr>
              <w:t>1,341</w:t>
            </w:r>
          </w:p>
        </w:tc>
        <w:tc>
          <w:tcPr>
            <w:tcW w:w="1353" w:type="dxa"/>
            <w:vAlign w:val="center"/>
          </w:tcPr>
          <w:p w14:paraId="642BD654" w14:textId="0CC00A1A" w:rsidR="007B6D80" w:rsidRDefault="007B6D80" w:rsidP="007B6D80">
            <w:pPr>
              <w:jc w:val="center"/>
              <w:rPr>
                <w:rFonts w:ascii="Arial" w:hAnsi="Arial" w:cs="Arial"/>
                <w:sz w:val="24"/>
                <w:szCs w:val="24"/>
              </w:rPr>
            </w:pPr>
            <w:r>
              <w:rPr>
                <w:rFonts w:ascii="Arial" w:hAnsi="Arial" w:cs="Arial"/>
                <w:sz w:val="24"/>
                <w:szCs w:val="24"/>
              </w:rPr>
              <w:t>908</w:t>
            </w:r>
          </w:p>
        </w:tc>
      </w:tr>
    </w:tbl>
    <w:p w14:paraId="3323709D" w14:textId="77777777" w:rsidR="0067616C" w:rsidRDefault="0067616C" w:rsidP="005B08C3">
      <w:pPr>
        <w:rPr>
          <w:rFonts w:ascii="Arial" w:hAnsi="Arial" w:cs="Arial"/>
          <w:sz w:val="24"/>
          <w:szCs w:val="24"/>
        </w:rPr>
      </w:pPr>
    </w:p>
    <w:tbl>
      <w:tblPr>
        <w:tblStyle w:val="TableGrid"/>
        <w:tblW w:w="0" w:type="auto"/>
        <w:tblLook w:val="04A0" w:firstRow="1" w:lastRow="0" w:firstColumn="1" w:lastColumn="0" w:noHBand="0" w:noVBand="1"/>
      </w:tblPr>
      <w:tblGrid>
        <w:gridCol w:w="4957"/>
        <w:gridCol w:w="1353"/>
        <w:gridCol w:w="1353"/>
        <w:gridCol w:w="1353"/>
      </w:tblGrid>
      <w:tr w:rsidR="00FF3AA0" w14:paraId="7F3D0ACE" w14:textId="77777777" w:rsidTr="00336CE9">
        <w:tc>
          <w:tcPr>
            <w:tcW w:w="9016" w:type="dxa"/>
            <w:gridSpan w:val="4"/>
            <w:shd w:val="clear" w:color="auto" w:fill="5B9BD5" w:themeFill="accent5"/>
          </w:tcPr>
          <w:p w14:paraId="07AC7CD1" w14:textId="4C1E89AF" w:rsidR="00FF3AA0" w:rsidRPr="00904E2D" w:rsidRDefault="00FF3AA0">
            <w:pPr>
              <w:rPr>
                <w:rFonts w:ascii="Arial" w:hAnsi="Arial" w:cs="Arial"/>
                <w:b/>
                <w:bCs/>
                <w:sz w:val="24"/>
                <w:szCs w:val="24"/>
              </w:rPr>
            </w:pPr>
            <w:r w:rsidRPr="00336CE9">
              <w:rPr>
                <w:rFonts w:ascii="Arial" w:hAnsi="Arial" w:cs="Arial"/>
                <w:b/>
                <w:bCs/>
                <w:color w:val="FFFFFF" w:themeColor="background1"/>
                <w:sz w:val="24"/>
                <w:szCs w:val="24"/>
              </w:rPr>
              <w:t>Maximising returns to creditors</w:t>
            </w:r>
          </w:p>
        </w:tc>
      </w:tr>
      <w:tr w:rsidR="00FF3AA0" w14:paraId="20205600" w14:textId="77777777">
        <w:tc>
          <w:tcPr>
            <w:tcW w:w="4957" w:type="dxa"/>
          </w:tcPr>
          <w:p w14:paraId="63D47978" w14:textId="77777777" w:rsidR="00FF3AA0" w:rsidRDefault="00FF3AA0">
            <w:pPr>
              <w:rPr>
                <w:rFonts w:ascii="Arial" w:hAnsi="Arial" w:cs="Arial"/>
                <w:sz w:val="24"/>
                <w:szCs w:val="24"/>
              </w:rPr>
            </w:pPr>
          </w:p>
        </w:tc>
        <w:tc>
          <w:tcPr>
            <w:tcW w:w="1353" w:type="dxa"/>
          </w:tcPr>
          <w:p w14:paraId="6944DB84" w14:textId="77777777" w:rsidR="00FF3AA0" w:rsidRPr="00F01C1E" w:rsidRDefault="00FF3AA0">
            <w:pPr>
              <w:jc w:val="center"/>
              <w:rPr>
                <w:rFonts w:ascii="Arial" w:hAnsi="Arial" w:cs="Arial"/>
                <w:b/>
                <w:bCs/>
                <w:sz w:val="24"/>
                <w:szCs w:val="24"/>
              </w:rPr>
            </w:pPr>
            <w:r w:rsidRPr="00F01C1E">
              <w:rPr>
                <w:rFonts w:ascii="Arial" w:hAnsi="Arial" w:cs="Arial"/>
                <w:b/>
                <w:bCs/>
                <w:sz w:val="24"/>
                <w:szCs w:val="24"/>
              </w:rPr>
              <w:t>2023-24</w:t>
            </w:r>
          </w:p>
        </w:tc>
        <w:tc>
          <w:tcPr>
            <w:tcW w:w="1353" w:type="dxa"/>
          </w:tcPr>
          <w:p w14:paraId="11A63883" w14:textId="77777777" w:rsidR="00FF3AA0" w:rsidRPr="00F01C1E" w:rsidRDefault="00FF3AA0">
            <w:pPr>
              <w:jc w:val="center"/>
              <w:rPr>
                <w:rFonts w:ascii="Arial" w:hAnsi="Arial" w:cs="Arial"/>
                <w:b/>
                <w:bCs/>
                <w:sz w:val="24"/>
                <w:szCs w:val="24"/>
              </w:rPr>
            </w:pPr>
            <w:r w:rsidRPr="00F01C1E">
              <w:rPr>
                <w:rFonts w:ascii="Arial" w:hAnsi="Arial" w:cs="Arial"/>
                <w:b/>
                <w:bCs/>
                <w:sz w:val="24"/>
                <w:szCs w:val="24"/>
              </w:rPr>
              <w:t>2022-23</w:t>
            </w:r>
          </w:p>
        </w:tc>
        <w:tc>
          <w:tcPr>
            <w:tcW w:w="1353" w:type="dxa"/>
          </w:tcPr>
          <w:p w14:paraId="30D2C019" w14:textId="77777777" w:rsidR="00FF3AA0" w:rsidRPr="00F01C1E" w:rsidRDefault="00FF3AA0">
            <w:pPr>
              <w:jc w:val="center"/>
              <w:rPr>
                <w:rFonts w:ascii="Arial" w:hAnsi="Arial" w:cs="Arial"/>
                <w:b/>
                <w:bCs/>
                <w:sz w:val="24"/>
                <w:szCs w:val="24"/>
              </w:rPr>
            </w:pPr>
            <w:r w:rsidRPr="00F01C1E">
              <w:rPr>
                <w:rFonts w:ascii="Arial" w:hAnsi="Arial" w:cs="Arial"/>
                <w:b/>
                <w:bCs/>
                <w:sz w:val="24"/>
                <w:szCs w:val="24"/>
              </w:rPr>
              <w:t>2021-22</w:t>
            </w:r>
          </w:p>
        </w:tc>
      </w:tr>
      <w:tr w:rsidR="00FF3AA0" w14:paraId="316F6624" w14:textId="77777777">
        <w:tc>
          <w:tcPr>
            <w:tcW w:w="4957" w:type="dxa"/>
          </w:tcPr>
          <w:p w14:paraId="13900C74" w14:textId="1A83FB54" w:rsidR="00FF3AA0" w:rsidRDefault="0053351A">
            <w:pPr>
              <w:rPr>
                <w:rFonts w:ascii="Arial" w:hAnsi="Arial" w:cs="Arial"/>
                <w:sz w:val="24"/>
                <w:szCs w:val="24"/>
              </w:rPr>
            </w:pPr>
            <w:r>
              <w:rPr>
                <w:rFonts w:ascii="Arial" w:hAnsi="Arial" w:cs="Arial"/>
                <w:sz w:val="24"/>
                <w:szCs w:val="24"/>
              </w:rPr>
              <w:t>Dividends returned to creditors</w:t>
            </w:r>
            <w:r w:rsidR="21CFB820" w:rsidRPr="245D1C83">
              <w:rPr>
                <w:rFonts w:ascii="Arial" w:hAnsi="Arial" w:cs="Arial"/>
                <w:sz w:val="24"/>
                <w:szCs w:val="24"/>
              </w:rPr>
              <w:t xml:space="preserve"> and debtors</w:t>
            </w:r>
          </w:p>
        </w:tc>
        <w:tc>
          <w:tcPr>
            <w:tcW w:w="1353" w:type="dxa"/>
            <w:vAlign w:val="center"/>
          </w:tcPr>
          <w:p w14:paraId="183A7870" w14:textId="36884672" w:rsidR="00FF3AA0" w:rsidRDefault="0053351A">
            <w:pPr>
              <w:jc w:val="center"/>
              <w:rPr>
                <w:rFonts w:ascii="Arial" w:hAnsi="Arial" w:cs="Arial"/>
                <w:sz w:val="24"/>
                <w:szCs w:val="24"/>
              </w:rPr>
            </w:pPr>
            <w:r>
              <w:rPr>
                <w:rFonts w:ascii="Arial" w:hAnsi="Arial" w:cs="Arial"/>
                <w:sz w:val="24"/>
                <w:szCs w:val="24"/>
              </w:rPr>
              <w:t>£59.2m</w:t>
            </w:r>
          </w:p>
        </w:tc>
        <w:tc>
          <w:tcPr>
            <w:tcW w:w="1353" w:type="dxa"/>
            <w:vAlign w:val="center"/>
          </w:tcPr>
          <w:p w14:paraId="162B204E" w14:textId="15695B19" w:rsidR="00FF3AA0" w:rsidRDefault="0053351A">
            <w:pPr>
              <w:jc w:val="center"/>
              <w:rPr>
                <w:rFonts w:ascii="Arial" w:hAnsi="Arial" w:cs="Arial"/>
                <w:sz w:val="24"/>
                <w:szCs w:val="24"/>
              </w:rPr>
            </w:pPr>
            <w:r>
              <w:rPr>
                <w:rFonts w:ascii="Arial" w:hAnsi="Arial" w:cs="Arial"/>
                <w:sz w:val="24"/>
                <w:szCs w:val="24"/>
              </w:rPr>
              <w:t>£45.7m</w:t>
            </w:r>
          </w:p>
        </w:tc>
        <w:tc>
          <w:tcPr>
            <w:tcW w:w="1353" w:type="dxa"/>
            <w:vAlign w:val="center"/>
          </w:tcPr>
          <w:p w14:paraId="0F830BFB" w14:textId="1F4004D1" w:rsidR="00FF3AA0" w:rsidRDefault="00ED5CBD">
            <w:pPr>
              <w:jc w:val="center"/>
              <w:rPr>
                <w:rFonts w:ascii="Arial" w:hAnsi="Arial" w:cs="Arial"/>
                <w:sz w:val="24"/>
                <w:szCs w:val="24"/>
              </w:rPr>
            </w:pPr>
            <w:r>
              <w:rPr>
                <w:rFonts w:ascii="Arial" w:hAnsi="Arial" w:cs="Arial"/>
                <w:sz w:val="24"/>
                <w:szCs w:val="24"/>
              </w:rPr>
              <w:t>£42.7m</w:t>
            </w:r>
          </w:p>
        </w:tc>
      </w:tr>
    </w:tbl>
    <w:p w14:paraId="7B97BFF8" w14:textId="77777777" w:rsidR="00FF3AA0" w:rsidRDefault="00FF3AA0" w:rsidP="005B08C3">
      <w:pPr>
        <w:rPr>
          <w:rFonts w:ascii="Arial" w:hAnsi="Arial" w:cs="Arial"/>
          <w:sz w:val="24"/>
          <w:szCs w:val="24"/>
        </w:rPr>
      </w:pPr>
    </w:p>
    <w:p w14:paraId="27CE22B0" w14:textId="77777777" w:rsidR="00E261B2" w:rsidRDefault="00E261B2">
      <w:r>
        <w:br w:type="page"/>
      </w:r>
    </w:p>
    <w:tbl>
      <w:tblPr>
        <w:tblStyle w:val="TableGrid"/>
        <w:tblW w:w="0" w:type="auto"/>
        <w:tblLook w:val="04A0" w:firstRow="1" w:lastRow="0" w:firstColumn="1" w:lastColumn="0" w:noHBand="0" w:noVBand="1"/>
      </w:tblPr>
      <w:tblGrid>
        <w:gridCol w:w="4957"/>
        <w:gridCol w:w="1353"/>
        <w:gridCol w:w="1353"/>
        <w:gridCol w:w="1353"/>
      </w:tblGrid>
      <w:tr w:rsidR="00572400" w14:paraId="63C13BDE" w14:textId="77777777" w:rsidTr="630972AC">
        <w:tc>
          <w:tcPr>
            <w:tcW w:w="9016" w:type="dxa"/>
            <w:gridSpan w:val="4"/>
            <w:shd w:val="clear" w:color="auto" w:fill="5B9BD5" w:themeFill="accent5"/>
          </w:tcPr>
          <w:p w14:paraId="6413B986" w14:textId="3338DEF5" w:rsidR="00572400" w:rsidRPr="00904E2D" w:rsidRDefault="00572400">
            <w:pPr>
              <w:rPr>
                <w:rFonts w:ascii="Arial" w:hAnsi="Arial" w:cs="Arial"/>
                <w:b/>
                <w:bCs/>
                <w:sz w:val="24"/>
                <w:szCs w:val="24"/>
              </w:rPr>
            </w:pPr>
            <w:r w:rsidRPr="00336CE9">
              <w:rPr>
                <w:rFonts w:ascii="Arial" w:hAnsi="Arial" w:cs="Arial"/>
                <w:b/>
                <w:bCs/>
                <w:color w:val="FFFFFF" w:themeColor="background1"/>
                <w:sz w:val="24"/>
                <w:szCs w:val="24"/>
              </w:rPr>
              <w:lastRenderedPageBreak/>
              <w:t>Performance measures</w:t>
            </w:r>
          </w:p>
        </w:tc>
      </w:tr>
      <w:tr w:rsidR="00572400" w14:paraId="607873BA" w14:textId="77777777" w:rsidTr="630972AC">
        <w:tc>
          <w:tcPr>
            <w:tcW w:w="4957" w:type="dxa"/>
          </w:tcPr>
          <w:p w14:paraId="0722ACF6" w14:textId="77777777" w:rsidR="00572400" w:rsidRDefault="00572400">
            <w:pPr>
              <w:rPr>
                <w:rFonts w:ascii="Arial" w:hAnsi="Arial" w:cs="Arial"/>
                <w:sz w:val="24"/>
                <w:szCs w:val="24"/>
              </w:rPr>
            </w:pPr>
          </w:p>
        </w:tc>
        <w:tc>
          <w:tcPr>
            <w:tcW w:w="1353" w:type="dxa"/>
          </w:tcPr>
          <w:p w14:paraId="58520FC4" w14:textId="77777777" w:rsidR="00572400" w:rsidRPr="00F01C1E" w:rsidRDefault="00572400">
            <w:pPr>
              <w:jc w:val="center"/>
              <w:rPr>
                <w:rFonts w:ascii="Arial" w:hAnsi="Arial" w:cs="Arial"/>
                <w:b/>
                <w:bCs/>
                <w:sz w:val="24"/>
                <w:szCs w:val="24"/>
              </w:rPr>
            </w:pPr>
            <w:r w:rsidRPr="00F01C1E">
              <w:rPr>
                <w:rFonts w:ascii="Arial" w:hAnsi="Arial" w:cs="Arial"/>
                <w:b/>
                <w:bCs/>
                <w:sz w:val="24"/>
                <w:szCs w:val="24"/>
              </w:rPr>
              <w:t>2023-24</w:t>
            </w:r>
          </w:p>
        </w:tc>
        <w:tc>
          <w:tcPr>
            <w:tcW w:w="1353" w:type="dxa"/>
          </w:tcPr>
          <w:p w14:paraId="5F33A718" w14:textId="77777777" w:rsidR="00572400" w:rsidRPr="00F01C1E" w:rsidRDefault="00572400">
            <w:pPr>
              <w:jc w:val="center"/>
              <w:rPr>
                <w:rFonts w:ascii="Arial" w:hAnsi="Arial" w:cs="Arial"/>
                <w:b/>
                <w:bCs/>
                <w:sz w:val="24"/>
                <w:szCs w:val="24"/>
              </w:rPr>
            </w:pPr>
            <w:r w:rsidRPr="00F01C1E">
              <w:rPr>
                <w:rFonts w:ascii="Arial" w:hAnsi="Arial" w:cs="Arial"/>
                <w:b/>
                <w:bCs/>
                <w:sz w:val="24"/>
                <w:szCs w:val="24"/>
              </w:rPr>
              <w:t>2022-23</w:t>
            </w:r>
          </w:p>
        </w:tc>
        <w:tc>
          <w:tcPr>
            <w:tcW w:w="1353" w:type="dxa"/>
          </w:tcPr>
          <w:p w14:paraId="5B9E3C34" w14:textId="77777777" w:rsidR="00572400" w:rsidRPr="00F01C1E" w:rsidRDefault="00572400">
            <w:pPr>
              <w:jc w:val="center"/>
              <w:rPr>
                <w:rFonts w:ascii="Arial" w:hAnsi="Arial" w:cs="Arial"/>
                <w:b/>
                <w:bCs/>
                <w:sz w:val="24"/>
                <w:szCs w:val="24"/>
              </w:rPr>
            </w:pPr>
            <w:r w:rsidRPr="00F01C1E">
              <w:rPr>
                <w:rFonts w:ascii="Arial" w:hAnsi="Arial" w:cs="Arial"/>
                <w:b/>
                <w:bCs/>
                <w:sz w:val="24"/>
                <w:szCs w:val="24"/>
              </w:rPr>
              <w:t>2021-22</w:t>
            </w:r>
          </w:p>
        </w:tc>
      </w:tr>
      <w:tr w:rsidR="00572400" w14:paraId="09BA1A64" w14:textId="77777777" w:rsidTr="630972AC">
        <w:tc>
          <w:tcPr>
            <w:tcW w:w="4957" w:type="dxa"/>
          </w:tcPr>
          <w:p w14:paraId="07FC8270" w14:textId="6D8519AB" w:rsidR="00572400" w:rsidRDefault="00971AA1">
            <w:pPr>
              <w:rPr>
                <w:rFonts w:ascii="Arial" w:hAnsi="Arial" w:cs="Arial"/>
                <w:sz w:val="24"/>
                <w:szCs w:val="24"/>
              </w:rPr>
            </w:pPr>
            <w:r>
              <w:rPr>
                <w:rFonts w:ascii="Arial" w:hAnsi="Arial" w:cs="Arial"/>
                <w:sz w:val="24"/>
                <w:szCs w:val="24"/>
              </w:rPr>
              <w:t>At least 84% of our customers are satisfied with our work</w:t>
            </w:r>
          </w:p>
        </w:tc>
        <w:tc>
          <w:tcPr>
            <w:tcW w:w="1353" w:type="dxa"/>
            <w:vAlign w:val="center"/>
          </w:tcPr>
          <w:p w14:paraId="7D24AA52" w14:textId="30BE3A3D" w:rsidR="00572400" w:rsidRDefault="00971AA1">
            <w:pPr>
              <w:jc w:val="center"/>
              <w:rPr>
                <w:rFonts w:ascii="Arial" w:hAnsi="Arial" w:cs="Arial"/>
                <w:sz w:val="24"/>
                <w:szCs w:val="24"/>
              </w:rPr>
            </w:pPr>
            <w:r>
              <w:rPr>
                <w:rFonts w:ascii="Arial" w:hAnsi="Arial" w:cs="Arial"/>
                <w:sz w:val="24"/>
                <w:szCs w:val="24"/>
              </w:rPr>
              <w:t>84%</w:t>
            </w:r>
          </w:p>
        </w:tc>
        <w:tc>
          <w:tcPr>
            <w:tcW w:w="1353" w:type="dxa"/>
            <w:vAlign w:val="center"/>
          </w:tcPr>
          <w:p w14:paraId="02A70F5E" w14:textId="537DB8D6" w:rsidR="00572400" w:rsidRDefault="00971AA1">
            <w:pPr>
              <w:jc w:val="center"/>
              <w:rPr>
                <w:rFonts w:ascii="Arial" w:hAnsi="Arial" w:cs="Arial"/>
                <w:sz w:val="24"/>
                <w:szCs w:val="24"/>
              </w:rPr>
            </w:pPr>
            <w:r>
              <w:rPr>
                <w:rFonts w:ascii="Arial" w:hAnsi="Arial" w:cs="Arial"/>
                <w:sz w:val="24"/>
                <w:szCs w:val="24"/>
              </w:rPr>
              <w:t>82%</w:t>
            </w:r>
          </w:p>
        </w:tc>
        <w:tc>
          <w:tcPr>
            <w:tcW w:w="1353" w:type="dxa"/>
            <w:vAlign w:val="center"/>
          </w:tcPr>
          <w:p w14:paraId="5E053B20" w14:textId="64A19CAA" w:rsidR="00572400" w:rsidRDefault="00971AA1">
            <w:pPr>
              <w:jc w:val="center"/>
              <w:rPr>
                <w:rFonts w:ascii="Arial" w:hAnsi="Arial" w:cs="Arial"/>
                <w:sz w:val="24"/>
                <w:szCs w:val="24"/>
              </w:rPr>
            </w:pPr>
            <w:r>
              <w:rPr>
                <w:rFonts w:ascii="Arial" w:hAnsi="Arial" w:cs="Arial"/>
                <w:sz w:val="24"/>
                <w:szCs w:val="24"/>
              </w:rPr>
              <w:t>84%</w:t>
            </w:r>
          </w:p>
        </w:tc>
      </w:tr>
      <w:tr w:rsidR="00572400" w14:paraId="6ACF77D8" w14:textId="77777777" w:rsidTr="630972AC">
        <w:tc>
          <w:tcPr>
            <w:tcW w:w="4957" w:type="dxa"/>
          </w:tcPr>
          <w:p w14:paraId="7000F6CD" w14:textId="0CE83B98" w:rsidR="00572400" w:rsidRDefault="00A0631A">
            <w:pPr>
              <w:rPr>
                <w:rFonts w:ascii="Arial" w:hAnsi="Arial" w:cs="Arial"/>
                <w:sz w:val="24"/>
                <w:szCs w:val="24"/>
              </w:rPr>
            </w:pPr>
            <w:r>
              <w:rPr>
                <w:rFonts w:ascii="Arial" w:hAnsi="Arial" w:cs="Arial"/>
                <w:sz w:val="24"/>
                <w:szCs w:val="24"/>
              </w:rPr>
              <w:t xml:space="preserve">Official Receivers returning funds to the economy by making </w:t>
            </w:r>
            <w:r w:rsidR="1825BE2C" w:rsidRPr="245D1C83">
              <w:rPr>
                <w:rFonts w:ascii="Arial" w:hAnsi="Arial" w:cs="Arial"/>
                <w:sz w:val="24"/>
                <w:szCs w:val="24"/>
              </w:rPr>
              <w:t>19,000</w:t>
            </w:r>
            <w:r>
              <w:rPr>
                <w:rFonts w:ascii="Arial" w:hAnsi="Arial" w:cs="Arial"/>
                <w:sz w:val="24"/>
                <w:szCs w:val="24"/>
              </w:rPr>
              <w:t xml:space="preserve"> distributions to creditors and debtors</w:t>
            </w:r>
          </w:p>
        </w:tc>
        <w:tc>
          <w:tcPr>
            <w:tcW w:w="1353" w:type="dxa"/>
            <w:vAlign w:val="center"/>
          </w:tcPr>
          <w:p w14:paraId="70091420" w14:textId="533E6F73" w:rsidR="00572400" w:rsidRDefault="00BE547E">
            <w:pPr>
              <w:jc w:val="center"/>
              <w:rPr>
                <w:rFonts w:ascii="Arial" w:hAnsi="Arial" w:cs="Arial"/>
                <w:sz w:val="24"/>
                <w:szCs w:val="24"/>
              </w:rPr>
            </w:pPr>
            <w:r>
              <w:rPr>
                <w:rFonts w:ascii="Arial" w:hAnsi="Arial" w:cs="Arial"/>
                <w:sz w:val="24"/>
                <w:szCs w:val="24"/>
              </w:rPr>
              <w:t>17,543</w:t>
            </w:r>
          </w:p>
        </w:tc>
        <w:tc>
          <w:tcPr>
            <w:tcW w:w="1353" w:type="dxa"/>
            <w:vAlign w:val="center"/>
          </w:tcPr>
          <w:p w14:paraId="275600FE" w14:textId="21044F6F" w:rsidR="00572400" w:rsidRDefault="00EE4C2C">
            <w:pPr>
              <w:jc w:val="center"/>
              <w:rPr>
                <w:rFonts w:ascii="Arial" w:hAnsi="Arial" w:cs="Arial"/>
                <w:sz w:val="24"/>
                <w:szCs w:val="24"/>
              </w:rPr>
            </w:pPr>
            <w:r>
              <w:rPr>
                <w:rFonts w:ascii="Arial" w:hAnsi="Arial" w:cs="Arial"/>
                <w:sz w:val="24"/>
                <w:szCs w:val="24"/>
              </w:rPr>
              <w:t>-</w:t>
            </w:r>
          </w:p>
        </w:tc>
        <w:tc>
          <w:tcPr>
            <w:tcW w:w="1353" w:type="dxa"/>
            <w:vAlign w:val="center"/>
          </w:tcPr>
          <w:p w14:paraId="2970E35F" w14:textId="2C7765A7" w:rsidR="00572400" w:rsidRDefault="00BE547E">
            <w:pPr>
              <w:jc w:val="center"/>
              <w:rPr>
                <w:rFonts w:ascii="Arial" w:hAnsi="Arial" w:cs="Arial"/>
                <w:sz w:val="24"/>
                <w:szCs w:val="24"/>
              </w:rPr>
            </w:pPr>
            <w:r>
              <w:rPr>
                <w:rFonts w:ascii="Arial" w:hAnsi="Arial" w:cs="Arial"/>
                <w:sz w:val="24"/>
                <w:szCs w:val="24"/>
              </w:rPr>
              <w:t>-</w:t>
            </w:r>
          </w:p>
        </w:tc>
      </w:tr>
      <w:tr w:rsidR="00572400" w14:paraId="37B083DD" w14:textId="77777777" w:rsidTr="630972AC">
        <w:tc>
          <w:tcPr>
            <w:tcW w:w="4957" w:type="dxa"/>
          </w:tcPr>
          <w:p w14:paraId="71233760" w14:textId="7D48EE2F" w:rsidR="00572400" w:rsidRDefault="00CB5783">
            <w:pPr>
              <w:rPr>
                <w:rFonts w:ascii="Arial" w:hAnsi="Arial" w:cs="Arial"/>
                <w:sz w:val="24"/>
                <w:szCs w:val="24"/>
              </w:rPr>
            </w:pPr>
            <w:r>
              <w:rPr>
                <w:rFonts w:ascii="Arial" w:hAnsi="Arial" w:cs="Arial"/>
                <w:sz w:val="24"/>
                <w:szCs w:val="24"/>
              </w:rPr>
              <w:t>Issue 85% or more of Breathing Space statutory notices electronically</w:t>
            </w:r>
          </w:p>
        </w:tc>
        <w:tc>
          <w:tcPr>
            <w:tcW w:w="1353" w:type="dxa"/>
            <w:vAlign w:val="center"/>
          </w:tcPr>
          <w:p w14:paraId="6F106112" w14:textId="0AFDF9E4" w:rsidR="00572400" w:rsidRDefault="0063766F">
            <w:pPr>
              <w:jc w:val="center"/>
              <w:rPr>
                <w:rFonts w:ascii="Arial" w:hAnsi="Arial" w:cs="Arial"/>
                <w:sz w:val="24"/>
                <w:szCs w:val="24"/>
              </w:rPr>
            </w:pPr>
            <w:r>
              <w:rPr>
                <w:rFonts w:ascii="Arial" w:hAnsi="Arial" w:cs="Arial"/>
                <w:sz w:val="24"/>
                <w:szCs w:val="24"/>
              </w:rPr>
              <w:t>87%</w:t>
            </w:r>
          </w:p>
        </w:tc>
        <w:tc>
          <w:tcPr>
            <w:tcW w:w="1353" w:type="dxa"/>
            <w:vAlign w:val="center"/>
          </w:tcPr>
          <w:p w14:paraId="6268F1D6" w14:textId="103139A7" w:rsidR="00572400" w:rsidRDefault="0063766F">
            <w:pPr>
              <w:jc w:val="center"/>
              <w:rPr>
                <w:rFonts w:ascii="Arial" w:hAnsi="Arial" w:cs="Arial"/>
                <w:sz w:val="24"/>
                <w:szCs w:val="24"/>
              </w:rPr>
            </w:pPr>
            <w:r>
              <w:rPr>
                <w:rFonts w:ascii="Arial" w:hAnsi="Arial" w:cs="Arial"/>
                <w:sz w:val="24"/>
                <w:szCs w:val="24"/>
              </w:rPr>
              <w:t>86%</w:t>
            </w:r>
          </w:p>
        </w:tc>
        <w:tc>
          <w:tcPr>
            <w:tcW w:w="1353" w:type="dxa"/>
            <w:vAlign w:val="center"/>
          </w:tcPr>
          <w:p w14:paraId="6F129A26" w14:textId="4B7D7643" w:rsidR="00572400" w:rsidRDefault="0063766F">
            <w:pPr>
              <w:jc w:val="center"/>
              <w:rPr>
                <w:rFonts w:ascii="Arial" w:hAnsi="Arial" w:cs="Arial"/>
                <w:sz w:val="24"/>
                <w:szCs w:val="24"/>
              </w:rPr>
            </w:pPr>
            <w:r>
              <w:rPr>
                <w:rFonts w:ascii="Arial" w:hAnsi="Arial" w:cs="Arial"/>
                <w:sz w:val="24"/>
                <w:szCs w:val="24"/>
              </w:rPr>
              <w:t>-</w:t>
            </w:r>
          </w:p>
        </w:tc>
      </w:tr>
      <w:tr w:rsidR="00572400" w14:paraId="59B9BD4C" w14:textId="77777777" w:rsidTr="630972AC">
        <w:tc>
          <w:tcPr>
            <w:tcW w:w="4957" w:type="dxa"/>
          </w:tcPr>
          <w:p w14:paraId="5994D2BB" w14:textId="65FFE11A" w:rsidR="00572400" w:rsidRDefault="0063766F">
            <w:pPr>
              <w:rPr>
                <w:rFonts w:ascii="Arial" w:hAnsi="Arial" w:cs="Arial"/>
                <w:sz w:val="24"/>
                <w:szCs w:val="24"/>
              </w:rPr>
            </w:pPr>
            <w:r w:rsidRPr="630972AC">
              <w:rPr>
                <w:rFonts w:ascii="Arial" w:hAnsi="Arial" w:cs="Arial"/>
                <w:sz w:val="24"/>
                <w:szCs w:val="24"/>
              </w:rPr>
              <w:t xml:space="preserve">Issue </w:t>
            </w:r>
            <w:r w:rsidR="002B0E17" w:rsidRPr="630972AC">
              <w:rPr>
                <w:rFonts w:ascii="Arial" w:hAnsi="Arial" w:cs="Arial"/>
                <w:sz w:val="24"/>
                <w:szCs w:val="24"/>
              </w:rPr>
              <w:t xml:space="preserve">an </w:t>
            </w:r>
            <w:r w:rsidR="00402862" w:rsidRPr="630972AC">
              <w:rPr>
                <w:rFonts w:ascii="Arial" w:hAnsi="Arial" w:cs="Arial"/>
                <w:sz w:val="24"/>
                <w:szCs w:val="24"/>
              </w:rPr>
              <w:t>Official Receiver’s report to</w:t>
            </w:r>
            <w:r w:rsidR="00F6600E" w:rsidRPr="630972AC">
              <w:rPr>
                <w:rFonts w:ascii="Arial" w:hAnsi="Arial" w:cs="Arial"/>
                <w:sz w:val="24"/>
                <w:szCs w:val="24"/>
              </w:rPr>
              <w:t xml:space="preserve"> creditors </w:t>
            </w:r>
            <w:r w:rsidR="00961F6B" w:rsidRPr="630972AC">
              <w:rPr>
                <w:rFonts w:ascii="Arial" w:hAnsi="Arial" w:cs="Arial"/>
                <w:sz w:val="24"/>
                <w:szCs w:val="24"/>
              </w:rPr>
              <w:t>within 15 days of interviewing (or a decision that no interview is required) in at least 9</w:t>
            </w:r>
            <w:r w:rsidR="6BFD64AE" w:rsidRPr="630972AC">
              <w:rPr>
                <w:rFonts w:ascii="Arial" w:hAnsi="Arial" w:cs="Arial"/>
                <w:sz w:val="24"/>
                <w:szCs w:val="24"/>
              </w:rPr>
              <w:t>4</w:t>
            </w:r>
            <w:r w:rsidR="00961F6B" w:rsidRPr="630972AC">
              <w:rPr>
                <w:rFonts w:ascii="Arial" w:hAnsi="Arial" w:cs="Arial"/>
                <w:sz w:val="24"/>
                <w:szCs w:val="24"/>
              </w:rPr>
              <w:t>% of bankruptcy</w:t>
            </w:r>
            <w:r w:rsidR="007862E2" w:rsidRPr="630972AC">
              <w:rPr>
                <w:rFonts w:ascii="Arial" w:hAnsi="Arial" w:cs="Arial"/>
                <w:sz w:val="24"/>
                <w:szCs w:val="24"/>
              </w:rPr>
              <w:t xml:space="preserve"> and liquidation cases</w:t>
            </w:r>
          </w:p>
        </w:tc>
        <w:tc>
          <w:tcPr>
            <w:tcW w:w="1353" w:type="dxa"/>
            <w:vAlign w:val="center"/>
          </w:tcPr>
          <w:p w14:paraId="3D652FFE" w14:textId="10D3DDFD" w:rsidR="00572400" w:rsidRDefault="007862E2">
            <w:pPr>
              <w:jc w:val="center"/>
              <w:rPr>
                <w:rFonts w:ascii="Arial" w:hAnsi="Arial" w:cs="Arial"/>
                <w:sz w:val="24"/>
                <w:szCs w:val="24"/>
              </w:rPr>
            </w:pPr>
            <w:r>
              <w:rPr>
                <w:rFonts w:ascii="Arial" w:hAnsi="Arial" w:cs="Arial"/>
                <w:sz w:val="24"/>
                <w:szCs w:val="24"/>
              </w:rPr>
              <w:t>94.3%</w:t>
            </w:r>
          </w:p>
        </w:tc>
        <w:tc>
          <w:tcPr>
            <w:tcW w:w="1353" w:type="dxa"/>
            <w:vAlign w:val="center"/>
          </w:tcPr>
          <w:p w14:paraId="6DEEF7DD" w14:textId="3F621A17" w:rsidR="00572400" w:rsidRDefault="3F80AFE1">
            <w:pPr>
              <w:jc w:val="center"/>
              <w:rPr>
                <w:rFonts w:ascii="Arial" w:hAnsi="Arial" w:cs="Arial"/>
                <w:sz w:val="24"/>
                <w:szCs w:val="24"/>
              </w:rPr>
            </w:pPr>
            <w:r w:rsidRPr="245D1C83">
              <w:rPr>
                <w:rFonts w:ascii="Arial" w:hAnsi="Arial" w:cs="Arial"/>
                <w:sz w:val="24"/>
                <w:szCs w:val="24"/>
              </w:rPr>
              <w:t>9</w:t>
            </w:r>
            <w:r w:rsidR="007862E2" w:rsidRPr="245D1C83">
              <w:rPr>
                <w:rFonts w:ascii="Arial" w:hAnsi="Arial" w:cs="Arial"/>
                <w:sz w:val="24"/>
                <w:szCs w:val="24"/>
              </w:rPr>
              <w:t>5</w:t>
            </w:r>
            <w:r w:rsidR="007862E2">
              <w:rPr>
                <w:rFonts w:ascii="Arial" w:hAnsi="Arial" w:cs="Arial"/>
                <w:sz w:val="24"/>
                <w:szCs w:val="24"/>
              </w:rPr>
              <w:t>.9%</w:t>
            </w:r>
          </w:p>
        </w:tc>
        <w:tc>
          <w:tcPr>
            <w:tcW w:w="1353" w:type="dxa"/>
            <w:vAlign w:val="center"/>
          </w:tcPr>
          <w:p w14:paraId="03A7DC44" w14:textId="7132B1AD" w:rsidR="00572400" w:rsidRDefault="007862E2">
            <w:pPr>
              <w:jc w:val="center"/>
              <w:rPr>
                <w:rFonts w:ascii="Arial" w:hAnsi="Arial" w:cs="Arial"/>
                <w:sz w:val="24"/>
                <w:szCs w:val="24"/>
              </w:rPr>
            </w:pPr>
            <w:r>
              <w:rPr>
                <w:rFonts w:ascii="Arial" w:hAnsi="Arial" w:cs="Arial"/>
                <w:sz w:val="24"/>
                <w:szCs w:val="24"/>
              </w:rPr>
              <w:t>95%</w:t>
            </w:r>
          </w:p>
        </w:tc>
      </w:tr>
      <w:tr w:rsidR="007862E2" w14:paraId="5B41E9E9" w14:textId="77777777" w:rsidTr="630972AC">
        <w:tc>
          <w:tcPr>
            <w:tcW w:w="4957" w:type="dxa"/>
          </w:tcPr>
          <w:p w14:paraId="3AFFFC39" w14:textId="2A950A0B" w:rsidR="007862E2" w:rsidRDefault="007862E2">
            <w:pPr>
              <w:rPr>
                <w:rFonts w:ascii="Arial" w:hAnsi="Arial" w:cs="Arial"/>
                <w:sz w:val="24"/>
                <w:szCs w:val="24"/>
              </w:rPr>
            </w:pPr>
            <w:r>
              <w:rPr>
                <w:rFonts w:ascii="Arial" w:hAnsi="Arial" w:cs="Arial"/>
                <w:sz w:val="24"/>
                <w:szCs w:val="24"/>
              </w:rPr>
              <w:t xml:space="preserve">Process redundancy payments claims in an average time of </w:t>
            </w:r>
            <w:r w:rsidR="001E6218">
              <w:rPr>
                <w:rFonts w:ascii="Arial" w:hAnsi="Arial" w:cs="Arial"/>
                <w:sz w:val="24"/>
                <w:szCs w:val="24"/>
              </w:rPr>
              <w:t>14 days or less</w:t>
            </w:r>
          </w:p>
        </w:tc>
        <w:tc>
          <w:tcPr>
            <w:tcW w:w="1353" w:type="dxa"/>
            <w:vAlign w:val="center"/>
          </w:tcPr>
          <w:p w14:paraId="097BE310" w14:textId="519DB506" w:rsidR="007862E2" w:rsidRDefault="001E6218">
            <w:pPr>
              <w:jc w:val="center"/>
              <w:rPr>
                <w:rFonts w:ascii="Arial" w:hAnsi="Arial" w:cs="Arial"/>
                <w:sz w:val="24"/>
                <w:szCs w:val="24"/>
              </w:rPr>
            </w:pPr>
            <w:r>
              <w:rPr>
                <w:rFonts w:ascii="Arial" w:hAnsi="Arial" w:cs="Arial"/>
                <w:sz w:val="24"/>
                <w:szCs w:val="24"/>
              </w:rPr>
              <w:t>9.91</w:t>
            </w:r>
          </w:p>
        </w:tc>
        <w:tc>
          <w:tcPr>
            <w:tcW w:w="1353" w:type="dxa"/>
            <w:vAlign w:val="center"/>
          </w:tcPr>
          <w:p w14:paraId="70C293CF" w14:textId="31702BD9" w:rsidR="007862E2" w:rsidRDefault="001E6218">
            <w:pPr>
              <w:jc w:val="center"/>
              <w:rPr>
                <w:rFonts w:ascii="Arial" w:hAnsi="Arial" w:cs="Arial"/>
                <w:sz w:val="24"/>
                <w:szCs w:val="24"/>
              </w:rPr>
            </w:pPr>
            <w:r>
              <w:rPr>
                <w:rFonts w:ascii="Arial" w:hAnsi="Arial" w:cs="Arial"/>
                <w:sz w:val="24"/>
                <w:szCs w:val="24"/>
              </w:rPr>
              <w:t>14.4</w:t>
            </w:r>
          </w:p>
        </w:tc>
        <w:tc>
          <w:tcPr>
            <w:tcW w:w="1353" w:type="dxa"/>
            <w:vAlign w:val="center"/>
          </w:tcPr>
          <w:p w14:paraId="73AD5279" w14:textId="6A051C92" w:rsidR="007862E2" w:rsidRDefault="001E6218">
            <w:pPr>
              <w:jc w:val="center"/>
              <w:rPr>
                <w:rFonts w:ascii="Arial" w:hAnsi="Arial" w:cs="Arial"/>
                <w:sz w:val="24"/>
                <w:szCs w:val="24"/>
              </w:rPr>
            </w:pPr>
            <w:r>
              <w:rPr>
                <w:rFonts w:ascii="Arial" w:hAnsi="Arial" w:cs="Arial"/>
                <w:sz w:val="24"/>
                <w:szCs w:val="24"/>
              </w:rPr>
              <w:t>12</w:t>
            </w:r>
          </w:p>
        </w:tc>
      </w:tr>
      <w:tr w:rsidR="007862E2" w14:paraId="2BA4EC3C" w14:textId="77777777" w:rsidTr="630972AC">
        <w:tc>
          <w:tcPr>
            <w:tcW w:w="4957" w:type="dxa"/>
          </w:tcPr>
          <w:p w14:paraId="3A54B323" w14:textId="098A579F" w:rsidR="007862E2" w:rsidRDefault="001E6218">
            <w:pPr>
              <w:rPr>
                <w:rFonts w:ascii="Arial" w:hAnsi="Arial" w:cs="Arial"/>
                <w:sz w:val="24"/>
                <w:szCs w:val="24"/>
              </w:rPr>
            </w:pPr>
            <w:r>
              <w:rPr>
                <w:rFonts w:ascii="Arial" w:hAnsi="Arial" w:cs="Arial"/>
                <w:sz w:val="24"/>
                <w:szCs w:val="24"/>
              </w:rPr>
              <w:t>Value of distributions to creditors and debtors</w:t>
            </w:r>
          </w:p>
        </w:tc>
        <w:tc>
          <w:tcPr>
            <w:tcW w:w="1353" w:type="dxa"/>
            <w:vAlign w:val="center"/>
          </w:tcPr>
          <w:p w14:paraId="5E692685" w14:textId="3C019D2F" w:rsidR="007862E2" w:rsidRDefault="00D43CB8">
            <w:pPr>
              <w:jc w:val="center"/>
              <w:rPr>
                <w:rFonts w:ascii="Arial" w:hAnsi="Arial" w:cs="Arial"/>
                <w:sz w:val="24"/>
                <w:szCs w:val="24"/>
              </w:rPr>
            </w:pPr>
            <w:r>
              <w:rPr>
                <w:rFonts w:ascii="Arial" w:hAnsi="Arial" w:cs="Arial"/>
                <w:sz w:val="24"/>
                <w:szCs w:val="24"/>
              </w:rPr>
              <w:t>£59.2m</w:t>
            </w:r>
          </w:p>
        </w:tc>
        <w:tc>
          <w:tcPr>
            <w:tcW w:w="1353" w:type="dxa"/>
            <w:vAlign w:val="center"/>
          </w:tcPr>
          <w:p w14:paraId="02F7B03C" w14:textId="052D3511" w:rsidR="007862E2" w:rsidRDefault="00D43CB8">
            <w:pPr>
              <w:jc w:val="center"/>
              <w:rPr>
                <w:rFonts w:ascii="Arial" w:hAnsi="Arial" w:cs="Arial"/>
                <w:sz w:val="24"/>
                <w:szCs w:val="24"/>
              </w:rPr>
            </w:pPr>
            <w:r>
              <w:rPr>
                <w:rFonts w:ascii="Arial" w:hAnsi="Arial" w:cs="Arial"/>
                <w:sz w:val="24"/>
                <w:szCs w:val="24"/>
              </w:rPr>
              <w:t>£45.7m</w:t>
            </w:r>
          </w:p>
        </w:tc>
        <w:tc>
          <w:tcPr>
            <w:tcW w:w="1353" w:type="dxa"/>
            <w:vAlign w:val="center"/>
          </w:tcPr>
          <w:p w14:paraId="7330A132" w14:textId="74A89F08" w:rsidR="007862E2" w:rsidRDefault="000C2CE1">
            <w:pPr>
              <w:jc w:val="center"/>
              <w:rPr>
                <w:rFonts w:ascii="Arial" w:hAnsi="Arial" w:cs="Arial"/>
                <w:sz w:val="24"/>
                <w:szCs w:val="24"/>
              </w:rPr>
            </w:pPr>
            <w:r>
              <w:rPr>
                <w:rFonts w:ascii="Arial" w:hAnsi="Arial" w:cs="Arial"/>
                <w:sz w:val="24"/>
                <w:szCs w:val="24"/>
              </w:rPr>
              <w:t>£42.7m</w:t>
            </w:r>
          </w:p>
        </w:tc>
      </w:tr>
    </w:tbl>
    <w:p w14:paraId="38A4159D" w14:textId="7DFEDC4C" w:rsidR="630972AC" w:rsidRDefault="630972AC"/>
    <w:p w14:paraId="06D08518" w14:textId="4A28D41B" w:rsidR="00C9258E" w:rsidRDefault="00C9258E" w:rsidP="004919D3">
      <w:pPr>
        <w:pStyle w:val="Heading4"/>
        <w:rPr>
          <w:rFonts w:cs="Arial"/>
          <w:color w:val="4472C4" w:themeColor="accent1"/>
          <w:sz w:val="24"/>
          <w:szCs w:val="24"/>
        </w:rPr>
      </w:pPr>
      <w:r w:rsidRPr="00C9258E">
        <w:t>Performance analysis</w:t>
      </w:r>
    </w:p>
    <w:p w14:paraId="425ED7DE" w14:textId="4198C6BE" w:rsidR="00C9258E" w:rsidRDefault="00B1311D" w:rsidP="004919D3">
      <w:pPr>
        <w:pStyle w:val="Heading4"/>
        <w:rPr>
          <w:rFonts w:cs="Arial"/>
          <w:b w:val="0"/>
          <w:sz w:val="24"/>
          <w:szCs w:val="24"/>
        </w:rPr>
      </w:pPr>
      <w:r>
        <w:t>Increased efficiency</w:t>
      </w:r>
      <w:r w:rsidR="005C7C10">
        <w:rPr>
          <w:rFonts w:cs="Arial"/>
          <w:sz w:val="24"/>
          <w:szCs w:val="24"/>
        </w:rPr>
        <w:t xml:space="preserve"> and impact</w:t>
      </w:r>
    </w:p>
    <w:p w14:paraId="5267E592" w14:textId="093A3FB7" w:rsidR="00602A84" w:rsidRDefault="00602A84" w:rsidP="005B08C3">
      <w:pPr>
        <w:rPr>
          <w:rFonts w:ascii="Arial" w:hAnsi="Arial" w:cs="Arial"/>
          <w:sz w:val="24"/>
          <w:szCs w:val="24"/>
        </w:rPr>
      </w:pPr>
      <w:r>
        <w:rPr>
          <w:rFonts w:ascii="Arial" w:hAnsi="Arial" w:cs="Arial"/>
          <w:sz w:val="24"/>
          <w:szCs w:val="24"/>
        </w:rPr>
        <w:t xml:space="preserve">We have achieved </w:t>
      </w:r>
      <w:r w:rsidR="0034660D">
        <w:rPr>
          <w:rFonts w:ascii="Arial" w:hAnsi="Arial" w:cs="Arial"/>
          <w:sz w:val="24"/>
          <w:szCs w:val="24"/>
        </w:rPr>
        <w:t xml:space="preserve">a </w:t>
      </w:r>
      <w:r w:rsidR="001A02AD">
        <w:rPr>
          <w:rFonts w:ascii="Arial" w:hAnsi="Arial" w:cs="Arial"/>
          <w:sz w:val="24"/>
          <w:szCs w:val="24"/>
        </w:rPr>
        <w:t xml:space="preserve">near 90% increase in </w:t>
      </w:r>
      <w:r w:rsidR="00952F7E">
        <w:rPr>
          <w:rFonts w:ascii="Arial" w:hAnsi="Arial" w:cs="Arial"/>
          <w:sz w:val="24"/>
          <w:szCs w:val="24"/>
        </w:rPr>
        <w:t xml:space="preserve">individual </w:t>
      </w:r>
      <w:r w:rsidR="001A02AD">
        <w:rPr>
          <w:rFonts w:ascii="Arial" w:hAnsi="Arial" w:cs="Arial"/>
          <w:sz w:val="24"/>
          <w:szCs w:val="24"/>
        </w:rPr>
        <w:t>productivity</w:t>
      </w:r>
      <w:r w:rsidR="00952F7E">
        <w:rPr>
          <w:rFonts w:ascii="Arial" w:hAnsi="Arial" w:cs="Arial"/>
          <w:sz w:val="24"/>
          <w:szCs w:val="24"/>
        </w:rPr>
        <w:t xml:space="preserve"> in respect of our </w:t>
      </w:r>
      <w:r w:rsidR="00632360">
        <w:rPr>
          <w:rFonts w:ascii="Arial" w:hAnsi="Arial" w:cs="Arial"/>
          <w:sz w:val="24"/>
          <w:szCs w:val="24"/>
        </w:rPr>
        <w:t>Payment Protection Insurance (PPI) c</w:t>
      </w:r>
      <w:r w:rsidR="001100DC">
        <w:rPr>
          <w:rFonts w:ascii="Arial" w:hAnsi="Arial" w:cs="Arial"/>
          <w:sz w:val="24"/>
          <w:szCs w:val="24"/>
        </w:rPr>
        <w:t>ases</w:t>
      </w:r>
      <w:r w:rsidR="002A5280">
        <w:rPr>
          <w:rFonts w:ascii="Arial" w:hAnsi="Arial" w:cs="Arial"/>
          <w:sz w:val="24"/>
          <w:szCs w:val="24"/>
        </w:rPr>
        <w:t xml:space="preserve"> by implementing improvements identified </w:t>
      </w:r>
      <w:r w:rsidR="003A7D83">
        <w:rPr>
          <w:rFonts w:ascii="Arial" w:hAnsi="Arial" w:cs="Arial"/>
          <w:sz w:val="24"/>
          <w:szCs w:val="24"/>
        </w:rPr>
        <w:t>using</w:t>
      </w:r>
      <w:r w:rsidR="0038212E">
        <w:rPr>
          <w:rFonts w:ascii="Arial" w:hAnsi="Arial" w:cs="Arial"/>
          <w:sz w:val="24"/>
          <w:szCs w:val="24"/>
        </w:rPr>
        <w:t xml:space="preserve"> continuous improvement (CI) methods</w:t>
      </w:r>
      <w:r w:rsidR="0034660D">
        <w:rPr>
          <w:rFonts w:ascii="Arial" w:hAnsi="Arial" w:cs="Arial"/>
          <w:sz w:val="24"/>
          <w:szCs w:val="24"/>
        </w:rPr>
        <w:t xml:space="preserve">. </w:t>
      </w:r>
      <w:r w:rsidR="003A7D83">
        <w:rPr>
          <w:rFonts w:ascii="Arial" w:hAnsi="Arial" w:cs="Arial"/>
          <w:sz w:val="24"/>
          <w:szCs w:val="24"/>
        </w:rPr>
        <w:t xml:space="preserve">The work has </w:t>
      </w:r>
      <w:r w:rsidR="00E838EE">
        <w:rPr>
          <w:rFonts w:ascii="Arial" w:hAnsi="Arial" w:cs="Arial"/>
          <w:sz w:val="24"/>
          <w:szCs w:val="24"/>
        </w:rPr>
        <w:t xml:space="preserve">seen </w:t>
      </w:r>
      <w:r w:rsidR="00CF6182">
        <w:rPr>
          <w:rFonts w:ascii="Arial" w:hAnsi="Arial" w:cs="Arial"/>
          <w:sz w:val="24"/>
          <w:szCs w:val="24"/>
        </w:rPr>
        <w:t>the average monthly distributions per FTE</w:t>
      </w:r>
      <w:r w:rsidR="0045218D">
        <w:rPr>
          <w:rFonts w:ascii="Arial" w:hAnsi="Arial" w:cs="Arial"/>
          <w:sz w:val="24"/>
          <w:szCs w:val="24"/>
        </w:rPr>
        <w:t xml:space="preserve"> increase </w:t>
      </w:r>
      <w:r w:rsidR="00F41E62">
        <w:rPr>
          <w:rFonts w:ascii="Arial" w:hAnsi="Arial" w:cs="Arial"/>
          <w:sz w:val="24"/>
          <w:szCs w:val="24"/>
        </w:rPr>
        <w:t xml:space="preserve">from 15 </w:t>
      </w:r>
      <w:r w:rsidR="0045218D">
        <w:rPr>
          <w:rFonts w:ascii="Arial" w:hAnsi="Arial" w:cs="Arial"/>
          <w:sz w:val="24"/>
          <w:szCs w:val="24"/>
        </w:rPr>
        <w:t>to around 28 this year.</w:t>
      </w:r>
    </w:p>
    <w:p w14:paraId="186CA9AF" w14:textId="5A362F2F" w:rsidR="00670043" w:rsidRDefault="004C55F7" w:rsidP="005B08C3">
      <w:pPr>
        <w:rPr>
          <w:rFonts w:ascii="Arial" w:hAnsi="Arial" w:cs="Arial"/>
          <w:sz w:val="24"/>
          <w:szCs w:val="24"/>
        </w:rPr>
      </w:pPr>
      <w:r>
        <w:rPr>
          <w:noProof/>
        </w:rPr>
        <w:drawing>
          <wp:inline distT="0" distB="0" distL="0" distR="0" wp14:anchorId="6BBCFFDA" wp14:editId="0E41406A">
            <wp:extent cx="5372100" cy="2724150"/>
            <wp:effectExtent l="0" t="0" r="0" b="0"/>
            <wp:docPr id="23" name="Chart 23">
              <a:extLst xmlns:a="http://schemas.openxmlformats.org/drawingml/2006/main">
                <a:ext uri="{FF2B5EF4-FFF2-40B4-BE49-F238E27FC236}">
                  <a16:creationId xmlns:a16="http://schemas.microsoft.com/office/drawing/2014/main" id="{2AF2EABE-CA96-47CA-BB8F-471346DCC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6056B5" w14:textId="61239F3A" w:rsidR="004C55F7" w:rsidRPr="004C55F7" w:rsidRDefault="004C55F7" w:rsidP="005B08C3">
      <w:pPr>
        <w:rPr>
          <w:rFonts w:ascii="Arial" w:hAnsi="Arial" w:cs="Arial"/>
          <w:sz w:val="18"/>
          <w:szCs w:val="18"/>
        </w:rPr>
      </w:pPr>
      <w:r>
        <w:rPr>
          <w:rFonts w:ascii="Arial" w:hAnsi="Arial" w:cs="Arial"/>
          <w:sz w:val="18"/>
          <w:szCs w:val="18"/>
        </w:rPr>
        <w:t xml:space="preserve">The value of monthly PPI </w:t>
      </w:r>
      <w:r w:rsidR="00204132">
        <w:rPr>
          <w:rFonts w:ascii="Arial" w:hAnsi="Arial" w:cs="Arial"/>
          <w:sz w:val="18"/>
          <w:szCs w:val="18"/>
        </w:rPr>
        <w:t>distributions in 2023-24</w:t>
      </w:r>
    </w:p>
    <w:p w14:paraId="1865CFE2" w14:textId="77777777" w:rsidR="00E261B2" w:rsidRDefault="00E261B2">
      <w:pPr>
        <w:rPr>
          <w:rFonts w:ascii="Arial" w:hAnsi="Arial" w:cs="Arial"/>
          <w:sz w:val="24"/>
          <w:szCs w:val="24"/>
        </w:rPr>
      </w:pPr>
      <w:r>
        <w:rPr>
          <w:rFonts w:ascii="Arial" w:hAnsi="Arial" w:cs="Arial"/>
          <w:sz w:val="24"/>
          <w:szCs w:val="24"/>
        </w:rPr>
        <w:br w:type="page"/>
      </w:r>
    </w:p>
    <w:p w14:paraId="53F138CE" w14:textId="2A1590EE" w:rsidR="00C64F36" w:rsidRDefault="00C64F36" w:rsidP="005B08C3">
      <w:pPr>
        <w:rPr>
          <w:rFonts w:ascii="Arial" w:hAnsi="Arial" w:cs="Arial"/>
          <w:sz w:val="24"/>
          <w:szCs w:val="24"/>
        </w:rPr>
      </w:pPr>
      <w:r>
        <w:rPr>
          <w:rFonts w:ascii="Arial" w:hAnsi="Arial" w:cs="Arial"/>
          <w:sz w:val="24"/>
          <w:szCs w:val="24"/>
        </w:rPr>
        <w:lastRenderedPageBreak/>
        <w:t xml:space="preserve">We </w:t>
      </w:r>
      <w:r w:rsidR="005B44F6">
        <w:rPr>
          <w:rFonts w:ascii="Arial" w:hAnsi="Arial" w:cs="Arial"/>
          <w:sz w:val="24"/>
          <w:szCs w:val="24"/>
        </w:rPr>
        <w:t xml:space="preserve">also </w:t>
      </w:r>
      <w:r>
        <w:rPr>
          <w:rFonts w:ascii="Arial" w:hAnsi="Arial" w:cs="Arial"/>
          <w:sz w:val="24"/>
          <w:szCs w:val="24"/>
        </w:rPr>
        <w:t>exceeded our target of returning £24m to creditors and the wider economy by carrying out a review of cases in scope of the PPI project</w:t>
      </w:r>
      <w:r w:rsidR="009C41C6">
        <w:rPr>
          <w:rFonts w:ascii="Arial" w:hAnsi="Arial" w:cs="Arial"/>
          <w:sz w:val="24"/>
          <w:szCs w:val="24"/>
        </w:rPr>
        <w:t xml:space="preserve"> and actively targeted the higher value cases to increase how much money we returned </w:t>
      </w:r>
      <w:r w:rsidR="00901E02">
        <w:rPr>
          <w:rFonts w:ascii="Arial" w:hAnsi="Arial" w:cs="Arial"/>
          <w:sz w:val="24"/>
          <w:szCs w:val="24"/>
        </w:rPr>
        <w:t>to the wider economy</w:t>
      </w:r>
      <w:r w:rsidR="009C41C6">
        <w:rPr>
          <w:rFonts w:ascii="Arial" w:hAnsi="Arial" w:cs="Arial"/>
          <w:sz w:val="24"/>
          <w:szCs w:val="24"/>
        </w:rPr>
        <w:t>. This resulted in an increase</w:t>
      </w:r>
      <w:r w:rsidR="00E743A9">
        <w:rPr>
          <w:rFonts w:ascii="Arial" w:hAnsi="Arial" w:cs="Arial"/>
          <w:sz w:val="24"/>
          <w:szCs w:val="24"/>
        </w:rPr>
        <w:t xml:space="preserve"> in the average value of PPI distributions per case from £1,500</w:t>
      </w:r>
      <w:r w:rsidR="00A27BDC">
        <w:rPr>
          <w:rFonts w:ascii="Arial" w:hAnsi="Arial" w:cs="Arial"/>
          <w:sz w:val="24"/>
          <w:szCs w:val="24"/>
        </w:rPr>
        <w:t xml:space="preserve"> in the first six months of the year, to £2,000 in the last six months.</w:t>
      </w:r>
      <w:r w:rsidR="00016867">
        <w:rPr>
          <w:rFonts w:ascii="Arial" w:hAnsi="Arial" w:cs="Arial"/>
          <w:sz w:val="24"/>
          <w:szCs w:val="24"/>
        </w:rPr>
        <w:t xml:space="preserve"> In addition, the average monthly value of di</w:t>
      </w:r>
      <w:r w:rsidR="007D0042">
        <w:rPr>
          <w:rFonts w:ascii="Arial" w:hAnsi="Arial" w:cs="Arial"/>
          <w:sz w:val="24"/>
          <w:szCs w:val="24"/>
        </w:rPr>
        <w:t>s</w:t>
      </w:r>
      <w:r w:rsidR="00016867">
        <w:rPr>
          <w:rFonts w:ascii="Arial" w:hAnsi="Arial" w:cs="Arial"/>
          <w:sz w:val="24"/>
          <w:szCs w:val="24"/>
        </w:rPr>
        <w:t>tributions</w:t>
      </w:r>
      <w:r w:rsidR="007D0042">
        <w:rPr>
          <w:rFonts w:ascii="Arial" w:hAnsi="Arial" w:cs="Arial"/>
          <w:sz w:val="24"/>
          <w:szCs w:val="24"/>
        </w:rPr>
        <w:t xml:space="preserve"> over the course of the year</w:t>
      </w:r>
      <w:r w:rsidR="00016867">
        <w:rPr>
          <w:rFonts w:ascii="Arial" w:hAnsi="Arial" w:cs="Arial"/>
          <w:sz w:val="24"/>
          <w:szCs w:val="24"/>
        </w:rPr>
        <w:t xml:space="preserve"> increased from £1.8m</w:t>
      </w:r>
      <w:r w:rsidR="007D0042">
        <w:rPr>
          <w:rFonts w:ascii="Arial" w:hAnsi="Arial" w:cs="Arial"/>
          <w:sz w:val="24"/>
          <w:szCs w:val="24"/>
        </w:rPr>
        <w:t xml:space="preserve"> to £2.5m.</w:t>
      </w:r>
      <w:r w:rsidR="00E809BD">
        <w:rPr>
          <w:rFonts w:ascii="Arial" w:hAnsi="Arial" w:cs="Arial"/>
          <w:sz w:val="24"/>
          <w:szCs w:val="24"/>
        </w:rPr>
        <w:t xml:space="preserve"> So</w:t>
      </w:r>
      <w:r w:rsidR="005C7C10">
        <w:rPr>
          <w:rFonts w:ascii="Arial" w:hAnsi="Arial" w:cs="Arial"/>
          <w:sz w:val="24"/>
          <w:szCs w:val="24"/>
        </w:rPr>
        <w:t>,</w:t>
      </w:r>
      <w:r w:rsidR="00E809BD">
        <w:rPr>
          <w:rFonts w:ascii="Arial" w:hAnsi="Arial" w:cs="Arial"/>
          <w:sz w:val="24"/>
          <w:szCs w:val="24"/>
        </w:rPr>
        <w:t xml:space="preserve"> whilst the volume of distributions is lower than target, in part due to attrition rates and increased case complexity</w:t>
      </w:r>
      <w:r w:rsidR="00695C70">
        <w:rPr>
          <w:rFonts w:ascii="Arial" w:hAnsi="Arial" w:cs="Arial"/>
          <w:sz w:val="24"/>
          <w:szCs w:val="24"/>
        </w:rPr>
        <w:t>, the value to the wider economy has significantly increased.</w:t>
      </w:r>
    </w:p>
    <w:p w14:paraId="30606B65" w14:textId="364D76D5" w:rsidR="00863188" w:rsidRDefault="000B21BD" w:rsidP="004919D3">
      <w:pPr>
        <w:pStyle w:val="Heading4"/>
        <w:rPr>
          <w:rFonts w:cs="Arial"/>
          <w:b w:val="0"/>
          <w:sz w:val="24"/>
          <w:szCs w:val="24"/>
        </w:rPr>
      </w:pPr>
      <w:r>
        <w:rPr>
          <w:noProof/>
          <w:color w:val="2B579A"/>
          <w:shd w:val="clear" w:color="auto" w:fill="E6E6E6"/>
        </w:rPr>
        <mc:AlternateContent>
          <mc:Choice Requires="wps">
            <w:drawing>
              <wp:anchor distT="0" distB="0" distL="114300" distR="114300" simplePos="0" relativeHeight="251658243" behindDoc="0" locked="0" layoutInCell="1" allowOverlap="1" wp14:anchorId="69510104" wp14:editId="54D48F49">
                <wp:simplePos x="0" y="0"/>
                <wp:positionH relativeFrom="margin">
                  <wp:align>left</wp:align>
                </wp:positionH>
                <wp:positionV relativeFrom="paragraph">
                  <wp:posOffset>295275</wp:posOffset>
                </wp:positionV>
                <wp:extent cx="5981700" cy="2371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981700" cy="2371725"/>
                        </a:xfrm>
                        <a:prstGeom prst="rect">
                          <a:avLst/>
                        </a:prstGeom>
                        <a:solidFill>
                          <a:srgbClr val="4472C4"/>
                        </a:solidFill>
                        <a:ln w="12700">
                          <a:solidFill>
                            <a:srgbClr val="172C51">
                              <a:shade val="15000"/>
                            </a:srgbClr>
                          </a:solidFill>
                          <a:prstDash val="solid"/>
                          <a:miter/>
                        </a:ln>
                      </wps:spPr>
                      <wps:txbx>
                        <w:txbxContent>
                          <w:p w14:paraId="67E2B928" w14:textId="77777777" w:rsidR="00BE29D8" w:rsidRDefault="004D3674">
                            <w:pPr>
                              <w:spacing w:line="256" w:lineRule="auto"/>
                              <w:rPr>
                                <w:rFonts w:ascii="Arial" w:hAnsi="Arial" w:cs="Arial"/>
                                <w:b/>
                                <w:color w:val="FFFFFF"/>
                                <w:kern w:val="0"/>
                                <w:sz w:val="24"/>
                                <w:szCs w:val="24"/>
                                <w14:ligatures w14:val="none"/>
                              </w:rPr>
                            </w:pPr>
                            <w:r>
                              <w:rPr>
                                <w:rFonts w:ascii="Arial" w:hAnsi="Arial" w:cs="Arial"/>
                                <w:b/>
                                <w:color w:val="FFFFFF"/>
                              </w:rPr>
                              <w:t>Successful claim against a director for disposal of property proceeds</w:t>
                            </w:r>
                          </w:p>
                          <w:p w14:paraId="7FE6147C" w14:textId="5B43449C" w:rsidR="00BE29D8" w:rsidRDefault="00D95FDA">
                            <w:pPr>
                              <w:spacing w:line="256" w:lineRule="auto"/>
                              <w:rPr>
                                <w:rFonts w:ascii="Arial" w:hAnsi="Arial" w:cs="Arial"/>
                                <w:color w:val="FFFFFF"/>
                              </w:rPr>
                            </w:pPr>
                            <w:r>
                              <w:rPr>
                                <w:rFonts w:ascii="Arial" w:hAnsi="Arial" w:cs="Arial"/>
                                <w:color w:val="FFFFFF"/>
                              </w:rPr>
                              <w:t xml:space="preserve">We successfully </w:t>
                            </w:r>
                            <w:r w:rsidR="00A1092B">
                              <w:rPr>
                                <w:rFonts w:ascii="Arial" w:hAnsi="Arial" w:cs="Arial"/>
                                <w:color w:val="FFFFFF"/>
                              </w:rPr>
                              <w:t xml:space="preserve">brought claims against a former director of a </w:t>
                            </w:r>
                            <w:r w:rsidR="00FA2A5D">
                              <w:rPr>
                                <w:rFonts w:ascii="Arial" w:hAnsi="Arial" w:cs="Arial"/>
                                <w:color w:val="FFFFFF"/>
                              </w:rPr>
                              <w:t xml:space="preserve">women’s </w:t>
                            </w:r>
                            <w:r w:rsidR="001F24F1">
                              <w:rPr>
                                <w:rFonts w:ascii="Arial" w:hAnsi="Arial" w:cs="Arial"/>
                                <w:color w:val="FFFFFF"/>
                              </w:rPr>
                              <w:t>clothing manufacturer</w:t>
                            </w:r>
                            <w:r w:rsidR="00FA2A5D">
                              <w:rPr>
                                <w:rFonts w:ascii="Arial" w:hAnsi="Arial" w:cs="Arial"/>
                                <w:color w:val="FFFFFF"/>
                              </w:rPr>
                              <w:t xml:space="preserve"> and wholesale </w:t>
                            </w:r>
                            <w:r w:rsidR="00A1092B">
                              <w:rPr>
                                <w:rFonts w:ascii="Arial" w:hAnsi="Arial" w:cs="Arial"/>
                                <w:color w:val="FFFFFF"/>
                              </w:rPr>
                              <w:t>company</w:t>
                            </w:r>
                            <w:r w:rsidR="003F1AF1">
                              <w:rPr>
                                <w:rFonts w:ascii="Arial" w:hAnsi="Arial" w:cs="Arial"/>
                                <w:color w:val="FFFFFF"/>
                              </w:rPr>
                              <w:t xml:space="preserve">, to recover money for the benefit of creditors. The </w:t>
                            </w:r>
                            <w:r w:rsidR="00320AEF">
                              <w:rPr>
                                <w:rFonts w:ascii="Arial" w:hAnsi="Arial" w:cs="Arial"/>
                                <w:color w:val="FFFFFF"/>
                              </w:rPr>
                              <w:t xml:space="preserve">company had ceased trading and </w:t>
                            </w:r>
                            <w:r>
                              <w:rPr>
                                <w:rFonts w:ascii="Arial" w:hAnsi="Arial" w:cs="Arial"/>
                                <w:color w:val="FFFFFF"/>
                              </w:rPr>
                              <w:t>sold</w:t>
                            </w:r>
                            <w:r w:rsidR="00320AEF">
                              <w:rPr>
                                <w:rFonts w:ascii="Arial" w:hAnsi="Arial" w:cs="Arial"/>
                                <w:color w:val="FFFFFF"/>
                              </w:rPr>
                              <w:t xml:space="preserve"> its premises prior to a creditor presenting a petition to wind it up</w:t>
                            </w:r>
                            <w:r w:rsidR="00171D6E">
                              <w:rPr>
                                <w:rFonts w:ascii="Arial" w:hAnsi="Arial" w:cs="Arial"/>
                                <w:color w:val="FFFFFF"/>
                              </w:rPr>
                              <w:t xml:space="preserve">. The property was sold at a time the company was </w:t>
                            </w:r>
                            <w:r>
                              <w:rPr>
                                <w:rFonts w:ascii="Arial" w:hAnsi="Arial" w:cs="Arial"/>
                                <w:color w:val="FFFFFF"/>
                              </w:rPr>
                              <w:t>insolvent</w:t>
                            </w:r>
                            <w:r w:rsidR="003753D8">
                              <w:rPr>
                                <w:rFonts w:ascii="Arial" w:hAnsi="Arial" w:cs="Arial"/>
                                <w:color w:val="FFFFFF"/>
                              </w:rPr>
                              <w:t>, removing the principal asset that would have been available to pay the unsecured creditors</w:t>
                            </w:r>
                            <w:r w:rsidR="009C4025">
                              <w:rPr>
                                <w:rFonts w:ascii="Arial" w:hAnsi="Arial" w:cs="Arial"/>
                                <w:color w:val="FFFFFF"/>
                              </w:rPr>
                              <w:t>.</w:t>
                            </w:r>
                          </w:p>
                          <w:p w14:paraId="38ACDAE6" w14:textId="45F69E53" w:rsidR="009C4025" w:rsidRDefault="00F56AD6">
                            <w:pPr>
                              <w:spacing w:line="256" w:lineRule="auto"/>
                              <w:rPr>
                                <w:rFonts w:ascii="Arial" w:hAnsi="Arial" w:cs="Arial"/>
                                <w:color w:val="FFFFFF"/>
                              </w:rPr>
                            </w:pPr>
                            <w:r>
                              <w:rPr>
                                <w:rFonts w:ascii="Arial" w:hAnsi="Arial" w:cs="Arial"/>
                                <w:color w:val="FFFFFF"/>
                              </w:rPr>
                              <w:t>The director defended the claims and placed reliance on suggesting that he had not been able to access the company’s records. The court commented that it is the director’s responsibility to maintain accurate records and that he had ample opportunity to inspect those records but he chose not to do so. The court ordered that he repay over £400,000 to the Official Receiver that had been paid to the director and other third parties.</w:t>
                            </w:r>
                          </w:p>
                        </w:txbxContent>
                      </wps:txbx>
                      <wps:bodyPr spcFirstLastPara="0" wrap="square" lIns="91440" tIns="45720" rIns="91440" bIns="45720" anchor="ctr">
                        <a:noAutofit/>
                      </wps:bodyPr>
                    </wps:wsp>
                  </a:graphicData>
                </a:graphic>
                <wp14:sizeRelV relativeFrom="margin">
                  <wp14:pctHeight>0</wp14:pctHeight>
                </wp14:sizeRelV>
              </wp:anchor>
            </w:drawing>
          </mc:Choice>
          <mc:Fallback>
            <w:pict>
              <v:rect w14:anchorId="69510104" id="Rectangle 7" o:spid="_x0000_s1033" style="position:absolute;margin-left:0;margin-top:23.25pt;width:471pt;height:186.7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" fillcolor="#4472c4" strokecolor="#040c1d" strokeweight="1pt">
                <v:textbox>
                  <w:txbxContent>
                    <w:p w14:paraId="67E2B928" w14:textId="77777777" w:rsidR="00BE29D8" w:rsidRDefault="004D3674">
                      <w:pPr>
                        <w:spacing w:line="256" w:lineRule="auto"/>
                        <w:rPr>
                          <w:rFonts w:ascii="Arial" w:hAnsi="Arial" w:cs="Arial"/>
                          <w:b/>
                          <w:color w:val="FFFFFF"/>
                          <w:kern w:val="0"/>
                          <w:sz w:val="24"/>
                          <w:szCs w:val="24"/>
                          <w14:ligatures w14:val="none"/>
                        </w:rPr>
                      </w:pPr>
                      <w:r>
                        <w:rPr>
                          <w:rFonts w:ascii="Arial" w:hAnsi="Arial" w:cs="Arial"/>
                          <w:b/>
                          <w:color w:val="FFFFFF"/>
                        </w:rPr>
                        <w:t>Successful claim against a director for disposal of property proceeds</w:t>
                      </w:r>
                    </w:p>
                    <w:p w14:paraId="7FE6147C" w14:textId="5B43449C" w:rsidR="00BE29D8" w:rsidRDefault="00D95FDA">
                      <w:pPr>
                        <w:spacing w:line="256" w:lineRule="auto"/>
                        <w:rPr>
                          <w:rFonts w:ascii="Arial" w:hAnsi="Arial" w:cs="Arial"/>
                          <w:color w:val="FFFFFF"/>
                        </w:rPr>
                      </w:pPr>
                      <w:r>
                        <w:rPr>
                          <w:rFonts w:ascii="Arial" w:hAnsi="Arial" w:cs="Arial"/>
                          <w:color w:val="FFFFFF"/>
                        </w:rPr>
                        <w:t xml:space="preserve">We successfully </w:t>
                      </w:r>
                      <w:r w:rsidR="00A1092B">
                        <w:rPr>
                          <w:rFonts w:ascii="Arial" w:hAnsi="Arial" w:cs="Arial"/>
                          <w:color w:val="FFFFFF"/>
                        </w:rPr>
                        <w:t xml:space="preserve">brought claims against a former director of a </w:t>
                      </w:r>
                      <w:r w:rsidR="00FA2A5D">
                        <w:rPr>
                          <w:rFonts w:ascii="Arial" w:hAnsi="Arial" w:cs="Arial"/>
                          <w:color w:val="FFFFFF"/>
                        </w:rPr>
                        <w:t xml:space="preserve">women’s </w:t>
                      </w:r>
                      <w:r w:rsidR="001F24F1">
                        <w:rPr>
                          <w:rFonts w:ascii="Arial" w:hAnsi="Arial" w:cs="Arial"/>
                          <w:color w:val="FFFFFF"/>
                        </w:rPr>
                        <w:t>clothing manufacturer</w:t>
                      </w:r>
                      <w:r w:rsidR="00FA2A5D">
                        <w:rPr>
                          <w:rFonts w:ascii="Arial" w:hAnsi="Arial" w:cs="Arial"/>
                          <w:color w:val="FFFFFF"/>
                        </w:rPr>
                        <w:t xml:space="preserve"> and wholesale </w:t>
                      </w:r>
                      <w:r w:rsidR="00A1092B">
                        <w:rPr>
                          <w:rFonts w:ascii="Arial" w:hAnsi="Arial" w:cs="Arial"/>
                          <w:color w:val="FFFFFF"/>
                        </w:rPr>
                        <w:t>company</w:t>
                      </w:r>
                      <w:r w:rsidR="003F1AF1">
                        <w:rPr>
                          <w:rFonts w:ascii="Arial" w:hAnsi="Arial" w:cs="Arial"/>
                          <w:color w:val="FFFFFF"/>
                        </w:rPr>
                        <w:t xml:space="preserve">, to recover money for the benefit of creditors. The </w:t>
                      </w:r>
                      <w:r w:rsidR="00320AEF">
                        <w:rPr>
                          <w:rFonts w:ascii="Arial" w:hAnsi="Arial" w:cs="Arial"/>
                          <w:color w:val="FFFFFF"/>
                        </w:rPr>
                        <w:t xml:space="preserve">company had ceased trading and </w:t>
                      </w:r>
                      <w:r>
                        <w:rPr>
                          <w:rFonts w:ascii="Arial" w:hAnsi="Arial" w:cs="Arial"/>
                          <w:color w:val="FFFFFF"/>
                        </w:rPr>
                        <w:t>sold</w:t>
                      </w:r>
                      <w:r w:rsidR="00320AEF">
                        <w:rPr>
                          <w:rFonts w:ascii="Arial" w:hAnsi="Arial" w:cs="Arial"/>
                          <w:color w:val="FFFFFF"/>
                        </w:rPr>
                        <w:t xml:space="preserve"> its premises prior to a creditor presenting a petition to wind it up</w:t>
                      </w:r>
                      <w:r w:rsidR="00171D6E">
                        <w:rPr>
                          <w:rFonts w:ascii="Arial" w:hAnsi="Arial" w:cs="Arial"/>
                          <w:color w:val="FFFFFF"/>
                        </w:rPr>
                        <w:t xml:space="preserve">. The property was sold at a time the company was </w:t>
                      </w:r>
                      <w:r>
                        <w:rPr>
                          <w:rFonts w:ascii="Arial" w:hAnsi="Arial" w:cs="Arial"/>
                          <w:color w:val="FFFFFF"/>
                        </w:rPr>
                        <w:t>insolvent</w:t>
                      </w:r>
                      <w:r w:rsidR="003753D8">
                        <w:rPr>
                          <w:rFonts w:ascii="Arial" w:hAnsi="Arial" w:cs="Arial"/>
                          <w:color w:val="FFFFFF"/>
                        </w:rPr>
                        <w:t>, removing the principal asset that would have been available to pay the unsecured creditors</w:t>
                      </w:r>
                      <w:r w:rsidR="009C4025">
                        <w:rPr>
                          <w:rFonts w:ascii="Arial" w:hAnsi="Arial" w:cs="Arial"/>
                          <w:color w:val="FFFFFF"/>
                        </w:rPr>
                        <w:t>.</w:t>
                      </w:r>
                    </w:p>
                    <w:p w14:paraId="38ACDAE6" w14:textId="45F69E53" w:rsidR="009C4025" w:rsidRDefault="00F56AD6">
                      <w:pPr>
                        <w:spacing w:line="256" w:lineRule="auto"/>
                        <w:rPr>
                          <w:rFonts w:ascii="Arial" w:hAnsi="Arial" w:cs="Arial"/>
                          <w:color w:val="FFFFFF"/>
                        </w:rPr>
                      </w:pPr>
                      <w:r>
                        <w:rPr>
                          <w:rFonts w:ascii="Arial" w:hAnsi="Arial" w:cs="Arial"/>
                          <w:color w:val="FFFFFF"/>
                        </w:rPr>
                        <w:t>The director defended the claims and placed reliance on suggesting that he had not been able to access the company’s records. The court commented that it is the director’s responsibility to maintain accurate records and that he had ample opportunity to inspect those records but he chose not to do so. The court ordered that he repay over £400,000 to the Official Receiver that had been paid to the director and other third parties.</w:t>
                      </w:r>
                    </w:p>
                  </w:txbxContent>
                </v:textbox>
                <w10:wrap anchorx="margin"/>
              </v:rect>
            </w:pict>
          </mc:Fallback>
        </mc:AlternateContent>
      </w:r>
      <w:r w:rsidR="004D3674">
        <w:rPr>
          <w:rFonts w:cs="Arial"/>
          <w:sz w:val="24"/>
          <w:szCs w:val="24"/>
        </w:rPr>
        <w:t xml:space="preserve">Official Receiver </w:t>
      </w:r>
      <w:r w:rsidR="004F45EC">
        <w:rPr>
          <w:rFonts w:cs="Arial"/>
          <w:sz w:val="24"/>
          <w:szCs w:val="24"/>
        </w:rPr>
        <w:t xml:space="preserve">and Business Services Division </w:t>
      </w:r>
      <w:r w:rsidR="004D3674">
        <w:rPr>
          <w:rFonts w:cs="Arial"/>
          <w:sz w:val="24"/>
          <w:szCs w:val="24"/>
        </w:rPr>
        <w:t>c</w:t>
      </w:r>
      <w:r w:rsidR="00863188">
        <w:rPr>
          <w:rFonts w:cs="Arial"/>
          <w:sz w:val="24"/>
          <w:szCs w:val="24"/>
        </w:rPr>
        <w:t>ase studies</w:t>
      </w:r>
    </w:p>
    <w:p w14:paraId="080EFA1B" w14:textId="20E2C287" w:rsidR="00863188" w:rsidRDefault="00863188" w:rsidP="005B08C3">
      <w:pPr>
        <w:rPr>
          <w:rFonts w:ascii="Arial" w:hAnsi="Arial" w:cs="Arial"/>
          <w:sz w:val="24"/>
          <w:szCs w:val="24"/>
        </w:rPr>
      </w:pPr>
    </w:p>
    <w:p w14:paraId="4F180F49" w14:textId="77777777" w:rsidR="00BE29D8" w:rsidRDefault="00BE29D8" w:rsidP="005B08C3">
      <w:pPr>
        <w:rPr>
          <w:rFonts w:ascii="Arial" w:hAnsi="Arial" w:cs="Arial"/>
          <w:sz w:val="24"/>
          <w:szCs w:val="24"/>
        </w:rPr>
      </w:pPr>
    </w:p>
    <w:p w14:paraId="09F3B59D" w14:textId="77777777" w:rsidR="00BE29D8" w:rsidRDefault="00BE29D8" w:rsidP="005B08C3">
      <w:pPr>
        <w:rPr>
          <w:rFonts w:ascii="Arial" w:hAnsi="Arial" w:cs="Arial"/>
          <w:sz w:val="24"/>
          <w:szCs w:val="24"/>
        </w:rPr>
      </w:pPr>
    </w:p>
    <w:p w14:paraId="1FA0651C" w14:textId="77777777" w:rsidR="00BE29D8" w:rsidRDefault="00BE29D8" w:rsidP="005B08C3">
      <w:pPr>
        <w:rPr>
          <w:rFonts w:ascii="Arial" w:hAnsi="Arial" w:cs="Arial"/>
          <w:sz w:val="24"/>
          <w:szCs w:val="24"/>
        </w:rPr>
      </w:pPr>
    </w:p>
    <w:p w14:paraId="0ECC98B4" w14:textId="77777777" w:rsidR="00BE29D8" w:rsidRDefault="00BE29D8" w:rsidP="005B08C3">
      <w:pPr>
        <w:rPr>
          <w:rFonts w:ascii="Arial" w:hAnsi="Arial" w:cs="Arial"/>
          <w:sz w:val="24"/>
          <w:szCs w:val="24"/>
        </w:rPr>
      </w:pPr>
    </w:p>
    <w:p w14:paraId="6CFB4156" w14:textId="77777777" w:rsidR="00BE29D8" w:rsidRDefault="00BE29D8" w:rsidP="005B08C3">
      <w:pPr>
        <w:rPr>
          <w:rFonts w:ascii="Arial" w:hAnsi="Arial" w:cs="Arial"/>
          <w:sz w:val="24"/>
          <w:szCs w:val="24"/>
        </w:rPr>
      </w:pPr>
    </w:p>
    <w:p w14:paraId="5B1B5FEB" w14:textId="77777777" w:rsidR="00BE29D8" w:rsidRDefault="00BE29D8" w:rsidP="005B08C3">
      <w:pPr>
        <w:rPr>
          <w:rFonts w:ascii="Arial" w:hAnsi="Arial" w:cs="Arial"/>
          <w:sz w:val="24"/>
          <w:szCs w:val="24"/>
        </w:rPr>
      </w:pPr>
    </w:p>
    <w:p w14:paraId="3D97A2F2" w14:textId="77777777" w:rsidR="00BE29D8" w:rsidRDefault="00BE29D8" w:rsidP="005B08C3">
      <w:pPr>
        <w:rPr>
          <w:rFonts w:ascii="Arial" w:hAnsi="Arial" w:cs="Arial"/>
          <w:sz w:val="24"/>
          <w:szCs w:val="24"/>
        </w:rPr>
      </w:pPr>
    </w:p>
    <w:p w14:paraId="6F7C60E0" w14:textId="22B642E9" w:rsidR="00BE29D8" w:rsidRDefault="000B21BD" w:rsidP="005B08C3">
      <w:pPr>
        <w:rPr>
          <w:rFonts w:ascii="Arial" w:hAnsi="Arial" w:cs="Arial"/>
          <w:sz w:val="24"/>
          <w:szCs w:val="24"/>
        </w:rPr>
      </w:pPr>
      <w:r>
        <w:rPr>
          <w:rFonts w:ascii="Arial" w:hAnsi="Arial" w:cs="Arial"/>
          <w:noProof/>
          <w:color w:val="2B579A"/>
          <w:sz w:val="24"/>
          <w:szCs w:val="24"/>
          <w:shd w:val="clear" w:color="auto" w:fill="E6E6E6"/>
        </w:rPr>
        <mc:AlternateContent>
          <mc:Choice Requires="wps">
            <w:drawing>
              <wp:anchor distT="0" distB="0" distL="114300" distR="114300" simplePos="0" relativeHeight="251658244" behindDoc="0" locked="0" layoutInCell="1" allowOverlap="1" wp14:anchorId="24E66440" wp14:editId="4531B232">
                <wp:simplePos x="0" y="0"/>
                <wp:positionH relativeFrom="margin">
                  <wp:align>left</wp:align>
                </wp:positionH>
                <wp:positionV relativeFrom="paragraph">
                  <wp:posOffset>241300</wp:posOffset>
                </wp:positionV>
                <wp:extent cx="5981700" cy="20764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5981700" cy="2076450"/>
                        </a:xfrm>
                        <a:prstGeom prst="rect">
                          <a:avLst/>
                        </a:prstGeom>
                        <a:solidFill>
                          <a:srgbClr val="4472C4"/>
                        </a:solidFill>
                        <a:ln w="12700">
                          <a:solidFill>
                            <a:srgbClr val="172C51">
                              <a:shade val="15000"/>
                            </a:srgbClr>
                          </a:solidFill>
                          <a:prstDash val="solid"/>
                          <a:miter/>
                        </a:ln>
                      </wps:spPr>
                      <wps:txbx>
                        <w:txbxContent>
                          <w:p w14:paraId="7D47B8D3" w14:textId="77777777" w:rsidR="00024671" w:rsidRDefault="008E0550">
                            <w:pPr>
                              <w:spacing w:line="256" w:lineRule="auto"/>
                              <w:rPr>
                                <w:rFonts w:ascii="Arial" w:hAnsi="Arial" w:cs="Arial"/>
                                <w:b/>
                                <w:color w:val="FFFFFF"/>
                                <w:kern w:val="0"/>
                                <w:sz w:val="24"/>
                                <w:szCs w:val="24"/>
                                <w14:ligatures w14:val="none"/>
                              </w:rPr>
                            </w:pPr>
                            <w:r>
                              <w:rPr>
                                <w:rFonts w:ascii="Arial" w:hAnsi="Arial" w:cs="Arial"/>
                                <w:b/>
                                <w:color w:val="FFFFFF"/>
                              </w:rPr>
                              <w:t>Company liquidation</w:t>
                            </w:r>
                          </w:p>
                          <w:p w14:paraId="438A7C8D" w14:textId="77777777" w:rsidR="00024671" w:rsidRDefault="006B19BB">
                            <w:pPr>
                              <w:spacing w:line="256" w:lineRule="auto"/>
                              <w:rPr>
                                <w:rFonts w:ascii="Arial" w:hAnsi="Arial" w:cs="Arial"/>
                                <w:color w:val="FFFFFF"/>
                              </w:rPr>
                            </w:pPr>
                            <w:r>
                              <w:rPr>
                                <w:rFonts w:ascii="Arial" w:hAnsi="Arial" w:cs="Arial"/>
                                <w:color w:val="FFFFFF"/>
                              </w:rPr>
                              <w:t xml:space="preserve">Whilst dealing with a company liquidation, the Official Receiver’s enquiries </w:t>
                            </w:r>
                            <w:r w:rsidR="00C9472A">
                              <w:rPr>
                                <w:rFonts w:ascii="Arial" w:hAnsi="Arial" w:cs="Arial"/>
                                <w:color w:val="FFFFFF"/>
                              </w:rPr>
                              <w:t xml:space="preserve">led to a belief that the company was still trading and that </w:t>
                            </w:r>
                            <w:r w:rsidR="00C01281">
                              <w:rPr>
                                <w:rFonts w:ascii="Arial" w:hAnsi="Arial" w:cs="Arial"/>
                                <w:color w:val="FFFFFF"/>
                              </w:rPr>
                              <w:t>action was needed to protect assets for the benefit of creditors. The Official Receiver visited the premises expecting to find a bathroom showroom</w:t>
                            </w:r>
                            <w:r w:rsidR="0092785E">
                              <w:rPr>
                                <w:rFonts w:ascii="Arial" w:hAnsi="Arial" w:cs="Arial"/>
                                <w:color w:val="FFFFFF"/>
                              </w:rPr>
                              <w:t xml:space="preserve"> but signage indicated it was selling f</w:t>
                            </w:r>
                            <w:r w:rsidR="004229BD">
                              <w:rPr>
                                <w:rFonts w:ascii="Arial" w:hAnsi="Arial" w:cs="Arial"/>
                                <w:color w:val="FFFFFF"/>
                              </w:rPr>
                              <w:t>i</w:t>
                            </w:r>
                            <w:r w:rsidR="0092785E">
                              <w:rPr>
                                <w:rFonts w:ascii="Arial" w:hAnsi="Arial" w:cs="Arial"/>
                                <w:color w:val="FFFFFF"/>
                              </w:rPr>
                              <w:t>reworks</w:t>
                            </w:r>
                            <w:r w:rsidR="004229BD">
                              <w:rPr>
                                <w:rFonts w:ascii="Arial" w:hAnsi="Arial" w:cs="Arial"/>
                                <w:color w:val="FFFFFF"/>
                              </w:rPr>
                              <w:t>.</w:t>
                            </w:r>
                          </w:p>
                          <w:p w14:paraId="32D8F77A" w14:textId="77777777" w:rsidR="004229BD" w:rsidRDefault="009335D3">
                            <w:pPr>
                              <w:spacing w:line="256" w:lineRule="auto"/>
                              <w:rPr>
                                <w:rFonts w:ascii="Arial" w:hAnsi="Arial" w:cs="Arial"/>
                                <w:color w:val="FFFFFF"/>
                              </w:rPr>
                            </w:pPr>
                            <w:r>
                              <w:rPr>
                                <w:rFonts w:ascii="Arial" w:hAnsi="Arial" w:cs="Arial"/>
                                <w:color w:val="FFFFFF"/>
                              </w:rPr>
                              <w:t>The director was contacted and evidence was collected that showed it was the liquidated company that was trading.</w:t>
                            </w:r>
                            <w:r w:rsidR="00D1387A">
                              <w:rPr>
                                <w:rFonts w:ascii="Arial" w:hAnsi="Arial" w:cs="Arial"/>
                                <w:color w:val="FFFFFF"/>
                              </w:rPr>
                              <w:t xml:space="preserve"> A second address was identified and both addresses were secured to protect the assets</w:t>
                            </w:r>
                            <w:r w:rsidR="009F0419">
                              <w:rPr>
                                <w:rFonts w:ascii="Arial" w:hAnsi="Arial" w:cs="Arial"/>
                                <w:color w:val="FFFFFF"/>
                              </w:rPr>
                              <w:t>. An Insolvency Practitioner was appointed as liquidator to realise those assets</w:t>
                            </w:r>
                            <w:r w:rsidR="00545AC5">
                              <w:rPr>
                                <w:rFonts w:ascii="Arial" w:hAnsi="Arial" w:cs="Arial"/>
                                <w:color w:val="FFFFFF"/>
                              </w:rPr>
                              <w:t>.</w:t>
                            </w:r>
                          </w:p>
                        </w:txbxContent>
                      </wps:txbx>
                      <wps:bodyPr spcFirstLastPara="0" wrap="square" lIns="91440" tIns="45720" rIns="91440" bIns="45720" anchor="ctr">
                        <a:noAutofit/>
                      </wps:bodyPr>
                    </wps:wsp>
                  </a:graphicData>
                </a:graphic>
                <wp14:sizeRelV relativeFrom="margin">
                  <wp14:pctHeight>0</wp14:pctHeight>
                </wp14:sizeRelV>
              </wp:anchor>
            </w:drawing>
          </mc:Choice>
          <mc:Fallback>
            <w:pict>
              <v:rect w14:anchorId="24E66440" id="Rectangle 9" o:spid="_x0000_s1034" style="position:absolute;margin-left:0;margin-top:19pt;width:471pt;height:163.5pt;z-index:2516582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" fillcolor="#4472c4" strokecolor="#040c1d" strokeweight="1pt">
                <v:textbox>
                  <w:txbxContent>
                    <w:p w14:paraId="7D47B8D3" w14:textId="77777777" w:rsidR="00024671" w:rsidRDefault="008E0550">
                      <w:pPr>
                        <w:spacing w:line="256" w:lineRule="auto"/>
                        <w:rPr>
                          <w:rFonts w:ascii="Arial" w:hAnsi="Arial" w:cs="Arial"/>
                          <w:b/>
                          <w:color w:val="FFFFFF"/>
                          <w:kern w:val="0"/>
                          <w:sz w:val="24"/>
                          <w:szCs w:val="24"/>
                          <w14:ligatures w14:val="none"/>
                        </w:rPr>
                      </w:pPr>
                      <w:r>
                        <w:rPr>
                          <w:rFonts w:ascii="Arial" w:hAnsi="Arial" w:cs="Arial"/>
                          <w:b/>
                          <w:color w:val="FFFFFF"/>
                        </w:rPr>
                        <w:t>Company liquidation</w:t>
                      </w:r>
                    </w:p>
                    <w:p w14:paraId="438A7C8D" w14:textId="77777777" w:rsidR="00024671" w:rsidRDefault="006B19BB">
                      <w:pPr>
                        <w:spacing w:line="256" w:lineRule="auto"/>
                        <w:rPr>
                          <w:rFonts w:ascii="Arial" w:hAnsi="Arial" w:cs="Arial"/>
                          <w:color w:val="FFFFFF"/>
                        </w:rPr>
                      </w:pPr>
                      <w:r>
                        <w:rPr>
                          <w:rFonts w:ascii="Arial" w:hAnsi="Arial" w:cs="Arial"/>
                          <w:color w:val="FFFFFF"/>
                        </w:rPr>
                        <w:t xml:space="preserve">Whilst dealing with a company liquidation, the Official Receiver’s enquiries </w:t>
                      </w:r>
                      <w:r w:rsidR="00C9472A">
                        <w:rPr>
                          <w:rFonts w:ascii="Arial" w:hAnsi="Arial" w:cs="Arial"/>
                          <w:color w:val="FFFFFF"/>
                        </w:rPr>
                        <w:t xml:space="preserve">led to a belief that the company was still trading and that </w:t>
                      </w:r>
                      <w:r w:rsidR="00C01281">
                        <w:rPr>
                          <w:rFonts w:ascii="Arial" w:hAnsi="Arial" w:cs="Arial"/>
                          <w:color w:val="FFFFFF"/>
                        </w:rPr>
                        <w:t>action was needed to protect assets for the benefit of creditors. The Official Receiver visited the premises expecting to find a bathroom showroom</w:t>
                      </w:r>
                      <w:r w:rsidR="0092785E">
                        <w:rPr>
                          <w:rFonts w:ascii="Arial" w:hAnsi="Arial" w:cs="Arial"/>
                          <w:color w:val="FFFFFF"/>
                        </w:rPr>
                        <w:t xml:space="preserve"> but signage indicated it was selling f</w:t>
                      </w:r>
                      <w:r w:rsidR="004229BD">
                        <w:rPr>
                          <w:rFonts w:ascii="Arial" w:hAnsi="Arial" w:cs="Arial"/>
                          <w:color w:val="FFFFFF"/>
                        </w:rPr>
                        <w:t>i</w:t>
                      </w:r>
                      <w:r w:rsidR="0092785E">
                        <w:rPr>
                          <w:rFonts w:ascii="Arial" w:hAnsi="Arial" w:cs="Arial"/>
                          <w:color w:val="FFFFFF"/>
                        </w:rPr>
                        <w:t>reworks</w:t>
                      </w:r>
                      <w:r w:rsidR="004229BD">
                        <w:rPr>
                          <w:rFonts w:ascii="Arial" w:hAnsi="Arial" w:cs="Arial"/>
                          <w:color w:val="FFFFFF"/>
                        </w:rPr>
                        <w:t>.</w:t>
                      </w:r>
                    </w:p>
                    <w:p w14:paraId="32D8F77A" w14:textId="77777777" w:rsidR="004229BD" w:rsidRDefault="009335D3">
                      <w:pPr>
                        <w:spacing w:line="256" w:lineRule="auto"/>
                        <w:rPr>
                          <w:rFonts w:ascii="Arial" w:hAnsi="Arial" w:cs="Arial"/>
                          <w:color w:val="FFFFFF"/>
                        </w:rPr>
                      </w:pPr>
                      <w:r>
                        <w:rPr>
                          <w:rFonts w:ascii="Arial" w:hAnsi="Arial" w:cs="Arial"/>
                          <w:color w:val="FFFFFF"/>
                        </w:rPr>
                        <w:t>The director was contacted and evidence was collected that showed it was the liquidated company that was trading.</w:t>
                      </w:r>
                      <w:r w:rsidR="00D1387A">
                        <w:rPr>
                          <w:rFonts w:ascii="Arial" w:hAnsi="Arial" w:cs="Arial"/>
                          <w:color w:val="FFFFFF"/>
                        </w:rPr>
                        <w:t xml:space="preserve"> A second address was identified and both addresses were secured to protect the assets</w:t>
                      </w:r>
                      <w:r w:rsidR="009F0419">
                        <w:rPr>
                          <w:rFonts w:ascii="Arial" w:hAnsi="Arial" w:cs="Arial"/>
                          <w:color w:val="FFFFFF"/>
                        </w:rPr>
                        <w:t>. An Insolvency Practitioner was appointed as liquidator to realise those assets</w:t>
                      </w:r>
                      <w:r w:rsidR="00545AC5">
                        <w:rPr>
                          <w:rFonts w:ascii="Arial" w:hAnsi="Arial" w:cs="Arial"/>
                          <w:color w:val="FFFFFF"/>
                        </w:rPr>
                        <w:t>.</w:t>
                      </w:r>
                    </w:p>
                  </w:txbxContent>
                </v:textbox>
                <w10:wrap anchorx="margin"/>
              </v:rect>
            </w:pict>
          </mc:Fallback>
        </mc:AlternateContent>
      </w:r>
    </w:p>
    <w:p w14:paraId="5C04BB96" w14:textId="3A41B66D" w:rsidR="00BE29D8" w:rsidRDefault="00BE29D8" w:rsidP="005B08C3">
      <w:pPr>
        <w:rPr>
          <w:rFonts w:ascii="Arial" w:hAnsi="Arial" w:cs="Arial"/>
          <w:sz w:val="24"/>
          <w:szCs w:val="24"/>
        </w:rPr>
      </w:pPr>
    </w:p>
    <w:p w14:paraId="64207347" w14:textId="72B3EBDA" w:rsidR="00024671" w:rsidRDefault="00024671" w:rsidP="005B08C3">
      <w:pPr>
        <w:rPr>
          <w:rFonts w:ascii="Arial" w:hAnsi="Arial" w:cs="Arial"/>
          <w:sz w:val="24"/>
          <w:szCs w:val="24"/>
        </w:rPr>
      </w:pPr>
    </w:p>
    <w:p w14:paraId="629AC5ED" w14:textId="25FE1AC2" w:rsidR="00ED2A0C" w:rsidRDefault="00ED2A0C" w:rsidP="005B08C3">
      <w:pPr>
        <w:rPr>
          <w:rFonts w:ascii="Arial" w:hAnsi="Arial" w:cs="Arial"/>
          <w:sz w:val="24"/>
          <w:szCs w:val="24"/>
        </w:rPr>
      </w:pPr>
    </w:p>
    <w:p w14:paraId="55AE2607" w14:textId="674E5B04" w:rsidR="00ED2A0C" w:rsidRDefault="00ED2A0C" w:rsidP="005B08C3">
      <w:pPr>
        <w:rPr>
          <w:rFonts w:ascii="Arial" w:hAnsi="Arial" w:cs="Arial"/>
          <w:sz w:val="24"/>
          <w:szCs w:val="24"/>
        </w:rPr>
      </w:pPr>
    </w:p>
    <w:p w14:paraId="332C8D38" w14:textId="07498D32" w:rsidR="00ED2A0C" w:rsidRDefault="00ED2A0C" w:rsidP="005B08C3">
      <w:pPr>
        <w:rPr>
          <w:rFonts w:ascii="Arial" w:hAnsi="Arial" w:cs="Arial"/>
          <w:sz w:val="24"/>
          <w:szCs w:val="24"/>
        </w:rPr>
      </w:pPr>
    </w:p>
    <w:p w14:paraId="5E1E973A" w14:textId="44B4448F" w:rsidR="00ED2A0C" w:rsidRDefault="00ED2A0C" w:rsidP="005B08C3">
      <w:pPr>
        <w:rPr>
          <w:rFonts w:ascii="Arial" w:hAnsi="Arial" w:cs="Arial"/>
          <w:sz w:val="24"/>
          <w:szCs w:val="24"/>
        </w:rPr>
      </w:pPr>
    </w:p>
    <w:p w14:paraId="33FE1B87" w14:textId="217706F4" w:rsidR="00ED2A0C" w:rsidRDefault="00ED2A0C" w:rsidP="005B08C3">
      <w:pPr>
        <w:rPr>
          <w:rFonts w:ascii="Arial" w:hAnsi="Arial" w:cs="Arial"/>
          <w:sz w:val="24"/>
          <w:szCs w:val="24"/>
        </w:rPr>
      </w:pPr>
    </w:p>
    <w:p w14:paraId="3AE2121C" w14:textId="2B204DEA" w:rsidR="004A7EBA" w:rsidRDefault="004A7EBA" w:rsidP="005B08C3">
      <w:pPr>
        <w:rPr>
          <w:rFonts w:ascii="Arial" w:hAnsi="Arial" w:cs="Arial"/>
          <w:sz w:val="24"/>
          <w:szCs w:val="24"/>
        </w:rPr>
      </w:pPr>
    </w:p>
    <w:p w14:paraId="4C0D9DC8" w14:textId="201A8515" w:rsidR="0027375A" w:rsidRDefault="001D36C0" w:rsidP="004919D3">
      <w:pPr>
        <w:pStyle w:val="Heading4"/>
      </w:pPr>
      <w:r>
        <w:br w:type="page"/>
      </w:r>
    </w:p>
    <w:p w14:paraId="3C25A0CA" w14:textId="1159D2C5" w:rsidR="0027375A" w:rsidRDefault="0027375A" w:rsidP="004919D3">
      <w:pPr>
        <w:pStyle w:val="Heading4"/>
      </w:pPr>
      <w:r>
        <w:rPr>
          <w:rFonts w:cs="Arial"/>
          <w:noProof/>
          <w:color w:val="2B579A"/>
          <w:sz w:val="24"/>
          <w:szCs w:val="24"/>
          <w:shd w:val="clear" w:color="auto" w:fill="E6E6E6"/>
        </w:rPr>
        <w:lastRenderedPageBreak/>
        <mc:AlternateContent>
          <mc:Choice Requires="wps">
            <w:drawing>
              <wp:anchor distT="0" distB="0" distL="114300" distR="114300" simplePos="0" relativeHeight="251658245" behindDoc="0" locked="0" layoutInCell="1" allowOverlap="1" wp14:anchorId="6EED138A" wp14:editId="2185974E">
                <wp:simplePos x="0" y="0"/>
                <wp:positionH relativeFrom="margin">
                  <wp:posOffset>-25400</wp:posOffset>
                </wp:positionH>
                <wp:positionV relativeFrom="paragraph">
                  <wp:posOffset>0</wp:posOffset>
                </wp:positionV>
                <wp:extent cx="5981700" cy="3268133"/>
                <wp:effectExtent l="0" t="0" r="19050" b="27940"/>
                <wp:wrapNone/>
                <wp:docPr id="10" name="Rectangle 10"/>
                <wp:cNvGraphicFramePr/>
                <a:graphic xmlns:a="http://schemas.openxmlformats.org/drawingml/2006/main">
                  <a:graphicData uri="http://schemas.microsoft.com/office/word/2010/wordprocessingShape">
                    <wps:wsp>
                      <wps:cNvSpPr/>
                      <wps:spPr>
                        <a:xfrm>
                          <a:off x="0" y="0"/>
                          <a:ext cx="5981700" cy="3268133"/>
                        </a:xfrm>
                        <a:prstGeom prst="rect">
                          <a:avLst/>
                        </a:prstGeom>
                        <a:solidFill>
                          <a:srgbClr val="4472C4"/>
                        </a:solidFill>
                        <a:ln w="12700">
                          <a:solidFill>
                            <a:srgbClr val="172C51">
                              <a:shade val="15000"/>
                            </a:srgbClr>
                          </a:solidFill>
                          <a:prstDash val="solid"/>
                          <a:miter/>
                        </a:ln>
                      </wps:spPr>
                      <wps:txbx>
                        <w:txbxContent>
                          <w:p w14:paraId="782BDF2D" w14:textId="77777777" w:rsidR="00545AC5" w:rsidRDefault="00366264">
                            <w:pPr>
                              <w:spacing w:line="256" w:lineRule="auto"/>
                              <w:rPr>
                                <w:rFonts w:ascii="Arial" w:hAnsi="Arial" w:cs="Arial"/>
                                <w:b/>
                                <w:color w:val="FFFFFF"/>
                                <w:kern w:val="0"/>
                                <w:sz w:val="24"/>
                                <w:szCs w:val="24"/>
                                <w14:ligatures w14:val="none"/>
                              </w:rPr>
                            </w:pPr>
                            <w:r>
                              <w:rPr>
                                <w:rFonts w:ascii="Arial" w:hAnsi="Arial" w:cs="Arial"/>
                                <w:b/>
                                <w:color w:val="FFFFFF"/>
                              </w:rPr>
                              <w:t>Redundancy Payments Service (RPS)</w:t>
                            </w:r>
                          </w:p>
                          <w:p w14:paraId="461DB4BD" w14:textId="77777777" w:rsidR="00545AC5" w:rsidRDefault="0065265F">
                            <w:pPr>
                              <w:spacing w:line="256" w:lineRule="auto"/>
                              <w:rPr>
                                <w:rFonts w:ascii="Arial" w:hAnsi="Arial" w:cs="Arial"/>
                                <w:color w:val="FFFFFF"/>
                              </w:rPr>
                            </w:pPr>
                            <w:r>
                              <w:rPr>
                                <w:rFonts w:ascii="Arial" w:hAnsi="Arial" w:cs="Arial"/>
                                <w:color w:val="FFFFFF"/>
                              </w:rPr>
                              <w:t>In August 2023</w:t>
                            </w:r>
                            <w:r w:rsidR="00366264">
                              <w:rPr>
                                <w:rFonts w:ascii="Arial" w:hAnsi="Arial" w:cs="Arial"/>
                                <w:color w:val="FFFFFF"/>
                              </w:rPr>
                              <w:t xml:space="preserve"> </w:t>
                            </w:r>
                            <w:r>
                              <w:rPr>
                                <w:rFonts w:ascii="Arial" w:hAnsi="Arial" w:cs="Arial"/>
                                <w:color w:val="FFFFFF"/>
                              </w:rPr>
                              <w:t>a group of companies went into administration</w:t>
                            </w:r>
                            <w:r w:rsidR="00465565">
                              <w:rPr>
                                <w:rFonts w:ascii="Arial" w:hAnsi="Arial" w:cs="Arial"/>
                                <w:color w:val="FFFFFF"/>
                              </w:rPr>
                              <w:t xml:space="preserve"> impacting c10,000 employees</w:t>
                            </w:r>
                            <w:r w:rsidR="00721525">
                              <w:rPr>
                                <w:rFonts w:ascii="Arial" w:hAnsi="Arial" w:cs="Arial"/>
                                <w:color w:val="FFFFFF"/>
                              </w:rPr>
                              <w:t>, the majority of whom were weekly paid. The RPS service worked in collaboration with</w:t>
                            </w:r>
                            <w:r w:rsidR="00D6576A">
                              <w:rPr>
                                <w:rFonts w:ascii="Arial" w:hAnsi="Arial" w:cs="Arial"/>
                                <w:color w:val="FFFFFF"/>
                              </w:rPr>
                              <w:t xml:space="preserve"> the administrators, PWC, to </w:t>
                            </w:r>
                            <w:r w:rsidR="003F3D03">
                              <w:rPr>
                                <w:rFonts w:ascii="Arial" w:hAnsi="Arial" w:cs="Arial"/>
                                <w:color w:val="FFFFFF"/>
                              </w:rPr>
                              <w:t>refine the usual claim processes to manage the variable pay rates</w:t>
                            </w:r>
                            <w:r w:rsidR="000D7AB7">
                              <w:rPr>
                                <w:rFonts w:ascii="Arial" w:hAnsi="Arial" w:cs="Arial"/>
                                <w:color w:val="FFFFFF"/>
                              </w:rPr>
                              <w:t xml:space="preserve"> and added complexity of their </w:t>
                            </w:r>
                            <w:r w:rsidR="00FD14EF">
                              <w:rPr>
                                <w:rFonts w:ascii="Arial" w:hAnsi="Arial" w:cs="Arial"/>
                                <w:color w:val="FFFFFF"/>
                              </w:rPr>
                              <w:t>pay calculations.</w:t>
                            </w:r>
                          </w:p>
                          <w:p w14:paraId="7CAB8601" w14:textId="77777777" w:rsidR="00FD14EF" w:rsidRDefault="00FD14EF">
                            <w:pPr>
                              <w:spacing w:line="256" w:lineRule="auto"/>
                              <w:rPr>
                                <w:rFonts w:ascii="Arial" w:hAnsi="Arial" w:cs="Arial"/>
                                <w:color w:val="FFFFFF"/>
                              </w:rPr>
                            </w:pPr>
                            <w:r>
                              <w:rPr>
                                <w:rFonts w:ascii="Arial" w:hAnsi="Arial" w:cs="Arial"/>
                                <w:color w:val="FFFFFF"/>
                              </w:rPr>
                              <w:t>Within days of the announcement of the first redundancies</w:t>
                            </w:r>
                            <w:r w:rsidR="000C2740">
                              <w:rPr>
                                <w:rFonts w:ascii="Arial" w:hAnsi="Arial" w:cs="Arial"/>
                                <w:color w:val="FFFFFF"/>
                              </w:rPr>
                              <w:t xml:space="preserve">, RPS inspectors and PWC were able to </w:t>
                            </w:r>
                            <w:r w:rsidR="000429FF">
                              <w:rPr>
                                <w:rFonts w:ascii="Arial" w:hAnsi="Arial" w:cs="Arial"/>
                                <w:color w:val="FFFFFF"/>
                              </w:rPr>
                              <w:t xml:space="preserve">gather and validate pay information. </w:t>
                            </w:r>
                            <w:r>
                              <w:rPr>
                                <w:rFonts w:ascii="Arial" w:hAnsi="Arial" w:cs="Arial"/>
                                <w:color w:val="FFFFFF"/>
                              </w:rPr>
                              <w:t>Bespoke communications were created to simplify</w:t>
                            </w:r>
                            <w:r w:rsidR="000429FF">
                              <w:rPr>
                                <w:rFonts w:ascii="Arial" w:hAnsi="Arial" w:cs="Arial"/>
                                <w:color w:val="FFFFFF"/>
                              </w:rPr>
                              <w:t xml:space="preserve"> the claim process for the employees</w:t>
                            </w:r>
                            <w:r w:rsidR="005D6AA6">
                              <w:rPr>
                                <w:rFonts w:ascii="Arial" w:hAnsi="Arial" w:cs="Arial"/>
                                <w:color w:val="FFFFFF"/>
                              </w:rPr>
                              <w:t>, including providing them with information to include in their claim forms.</w:t>
                            </w:r>
                          </w:p>
                          <w:p w14:paraId="5B40E247" w14:textId="77777777" w:rsidR="00872459" w:rsidRDefault="00872459">
                            <w:pPr>
                              <w:spacing w:line="256" w:lineRule="auto"/>
                              <w:rPr>
                                <w:rFonts w:ascii="Arial" w:hAnsi="Arial" w:cs="Arial"/>
                                <w:color w:val="FFFFFF"/>
                              </w:rPr>
                            </w:pPr>
                            <w:r>
                              <w:rPr>
                                <w:rFonts w:ascii="Arial" w:hAnsi="Arial" w:cs="Arial"/>
                                <w:color w:val="FFFFFF"/>
                              </w:rPr>
                              <w:t xml:space="preserve">This meant that the majority of employees were able to make their claims within 5 days of </w:t>
                            </w:r>
                            <w:r w:rsidR="00834AA6">
                              <w:rPr>
                                <w:rFonts w:ascii="Arial" w:hAnsi="Arial" w:cs="Arial"/>
                                <w:color w:val="FFFFFF"/>
                              </w:rPr>
                              <w:t xml:space="preserve">their dismissal and by ring-fencing resource within RPS to this, </w:t>
                            </w:r>
                            <w:r w:rsidR="003D00B3">
                              <w:rPr>
                                <w:rFonts w:ascii="Arial" w:hAnsi="Arial" w:cs="Arial"/>
                                <w:color w:val="FFFFFF"/>
                              </w:rPr>
                              <w:t>each claim was processed within one day. The collaboration</w:t>
                            </w:r>
                            <w:r w:rsidR="00FB2B1B">
                              <w:rPr>
                                <w:rFonts w:ascii="Arial" w:hAnsi="Arial" w:cs="Arial"/>
                                <w:color w:val="FFFFFF"/>
                              </w:rPr>
                              <w:t xml:space="preserve"> between RPS and PWC resulted in minimal additional customer contact and revision of claims information and RPS was able to maintain its usual level of service</w:t>
                            </w:r>
                            <w:r w:rsidR="008075B0">
                              <w:rPr>
                                <w:rFonts w:ascii="Arial" w:hAnsi="Arial" w:cs="Arial"/>
                                <w:color w:val="FFFFFF"/>
                              </w:rPr>
                              <w:t xml:space="preserve"> to other claimants.</w:t>
                            </w:r>
                          </w:p>
                          <w:p w14:paraId="633598D4" w14:textId="77777777" w:rsidR="008075B0" w:rsidRDefault="008075B0">
                            <w:pPr>
                              <w:spacing w:line="256" w:lineRule="auto"/>
                              <w:rPr>
                                <w:rFonts w:ascii="Arial" w:hAnsi="Arial" w:cs="Arial"/>
                                <w:color w:val="FFFFFF"/>
                              </w:rPr>
                            </w:pPr>
                            <w:r>
                              <w:rPr>
                                <w:rFonts w:ascii="Arial" w:hAnsi="Arial" w:cs="Arial"/>
                                <w:color w:val="FFFFFF"/>
                              </w:rPr>
                              <w:t xml:space="preserve">In total just under 10,000 </w:t>
                            </w:r>
                            <w:r w:rsidR="00044778">
                              <w:rPr>
                                <w:rFonts w:ascii="Arial" w:hAnsi="Arial" w:cs="Arial"/>
                                <w:color w:val="FFFFFF"/>
                              </w:rPr>
                              <w:t>claims were received and processed and £53.7m was paid out</w:t>
                            </w:r>
                            <w:r>
                              <w:rPr>
                                <w:rFonts w:ascii="Arial" w:hAnsi="Arial" w:cs="Arial"/>
                                <w:color w:val="FFFFFF"/>
                              </w:rPr>
                              <w:t>,</w:t>
                            </w:r>
                            <w:r w:rsidR="00044778">
                              <w:rPr>
                                <w:rFonts w:ascii="Arial" w:hAnsi="Arial" w:cs="Arial"/>
                                <w:color w:val="FFFFFF"/>
                              </w:rPr>
                              <w:t xml:space="preserve"> helping to support those people in financial distress.</w:t>
                            </w:r>
                          </w:p>
                        </w:txbxContent>
                      </wps:txbx>
                      <wps:bodyPr spcFirstLastPara="0" wrap="square" lIns="91440" tIns="45720" rIns="91440" bIns="45720" anchor="ctr">
                        <a:noAutofit/>
                      </wps:bodyPr>
                    </wps:wsp>
                  </a:graphicData>
                </a:graphic>
                <wp14:sizeRelV relativeFrom="margin">
                  <wp14:pctHeight>0</wp14:pctHeight>
                </wp14:sizeRelV>
              </wp:anchor>
            </w:drawing>
          </mc:Choice>
          <mc:Fallback>
            <w:pict>
              <v:rect w14:anchorId="6EED138A" id="Rectangle 10" o:spid="_x0000_s1035" style="position:absolute;margin-left:-2pt;margin-top:0;width:471pt;height:257.35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" fillcolor="#4472c4" strokecolor="#040c1d" strokeweight="1pt">
                <v:textbox>
                  <w:txbxContent>
                    <w:p w14:paraId="782BDF2D" w14:textId="77777777" w:rsidR="00545AC5" w:rsidRDefault="00366264">
                      <w:pPr>
                        <w:spacing w:line="256" w:lineRule="auto"/>
                        <w:rPr>
                          <w:rFonts w:ascii="Arial" w:hAnsi="Arial" w:cs="Arial"/>
                          <w:b/>
                          <w:color w:val="FFFFFF"/>
                          <w:kern w:val="0"/>
                          <w:sz w:val="24"/>
                          <w:szCs w:val="24"/>
                          <w14:ligatures w14:val="none"/>
                        </w:rPr>
                      </w:pPr>
                      <w:r>
                        <w:rPr>
                          <w:rFonts w:ascii="Arial" w:hAnsi="Arial" w:cs="Arial"/>
                          <w:b/>
                          <w:color w:val="FFFFFF"/>
                        </w:rPr>
                        <w:t>Redundancy Payments Service (RPS)</w:t>
                      </w:r>
                    </w:p>
                    <w:p w14:paraId="461DB4BD" w14:textId="77777777" w:rsidR="00545AC5" w:rsidRDefault="0065265F">
                      <w:pPr>
                        <w:spacing w:line="256" w:lineRule="auto"/>
                        <w:rPr>
                          <w:rFonts w:ascii="Arial" w:hAnsi="Arial" w:cs="Arial"/>
                          <w:color w:val="FFFFFF"/>
                        </w:rPr>
                      </w:pPr>
                      <w:r>
                        <w:rPr>
                          <w:rFonts w:ascii="Arial" w:hAnsi="Arial" w:cs="Arial"/>
                          <w:color w:val="FFFFFF"/>
                        </w:rPr>
                        <w:t>In August 2023</w:t>
                      </w:r>
                      <w:r w:rsidR="00366264">
                        <w:rPr>
                          <w:rFonts w:ascii="Arial" w:hAnsi="Arial" w:cs="Arial"/>
                          <w:color w:val="FFFFFF"/>
                        </w:rPr>
                        <w:t xml:space="preserve"> </w:t>
                      </w:r>
                      <w:r>
                        <w:rPr>
                          <w:rFonts w:ascii="Arial" w:hAnsi="Arial" w:cs="Arial"/>
                          <w:color w:val="FFFFFF"/>
                        </w:rPr>
                        <w:t>a group of companies went into administration</w:t>
                      </w:r>
                      <w:r w:rsidR="00465565">
                        <w:rPr>
                          <w:rFonts w:ascii="Arial" w:hAnsi="Arial" w:cs="Arial"/>
                          <w:color w:val="FFFFFF"/>
                        </w:rPr>
                        <w:t xml:space="preserve"> impacting c10,000 employees</w:t>
                      </w:r>
                      <w:r w:rsidR="00721525">
                        <w:rPr>
                          <w:rFonts w:ascii="Arial" w:hAnsi="Arial" w:cs="Arial"/>
                          <w:color w:val="FFFFFF"/>
                        </w:rPr>
                        <w:t>, the majority of whom were weekly paid. The RPS service worked in collaboration with</w:t>
                      </w:r>
                      <w:r w:rsidR="00D6576A">
                        <w:rPr>
                          <w:rFonts w:ascii="Arial" w:hAnsi="Arial" w:cs="Arial"/>
                          <w:color w:val="FFFFFF"/>
                        </w:rPr>
                        <w:t xml:space="preserve"> the administrators, PWC, to </w:t>
                      </w:r>
                      <w:r w:rsidR="003F3D03">
                        <w:rPr>
                          <w:rFonts w:ascii="Arial" w:hAnsi="Arial" w:cs="Arial"/>
                          <w:color w:val="FFFFFF"/>
                        </w:rPr>
                        <w:t>refine the usual claim processes to manage the variable pay rates</w:t>
                      </w:r>
                      <w:r w:rsidR="000D7AB7">
                        <w:rPr>
                          <w:rFonts w:ascii="Arial" w:hAnsi="Arial" w:cs="Arial"/>
                          <w:color w:val="FFFFFF"/>
                        </w:rPr>
                        <w:t xml:space="preserve"> and added complexity of their </w:t>
                      </w:r>
                      <w:r w:rsidR="00FD14EF">
                        <w:rPr>
                          <w:rFonts w:ascii="Arial" w:hAnsi="Arial" w:cs="Arial"/>
                          <w:color w:val="FFFFFF"/>
                        </w:rPr>
                        <w:t>pay calculations.</w:t>
                      </w:r>
                    </w:p>
                    <w:p w14:paraId="7CAB8601" w14:textId="77777777" w:rsidR="00FD14EF" w:rsidRDefault="00FD14EF">
                      <w:pPr>
                        <w:spacing w:line="256" w:lineRule="auto"/>
                        <w:rPr>
                          <w:rFonts w:ascii="Arial" w:hAnsi="Arial" w:cs="Arial"/>
                          <w:color w:val="FFFFFF"/>
                        </w:rPr>
                      </w:pPr>
                      <w:r>
                        <w:rPr>
                          <w:rFonts w:ascii="Arial" w:hAnsi="Arial" w:cs="Arial"/>
                          <w:color w:val="FFFFFF"/>
                        </w:rPr>
                        <w:t>Within days of the announcement of the first redundancies</w:t>
                      </w:r>
                      <w:r w:rsidR="000C2740">
                        <w:rPr>
                          <w:rFonts w:ascii="Arial" w:hAnsi="Arial" w:cs="Arial"/>
                          <w:color w:val="FFFFFF"/>
                        </w:rPr>
                        <w:t xml:space="preserve">, RPS inspectors and PWC were able to </w:t>
                      </w:r>
                      <w:r w:rsidR="000429FF">
                        <w:rPr>
                          <w:rFonts w:ascii="Arial" w:hAnsi="Arial" w:cs="Arial"/>
                          <w:color w:val="FFFFFF"/>
                        </w:rPr>
                        <w:t xml:space="preserve">gather and validate pay information. </w:t>
                      </w:r>
                      <w:r>
                        <w:rPr>
                          <w:rFonts w:ascii="Arial" w:hAnsi="Arial" w:cs="Arial"/>
                          <w:color w:val="FFFFFF"/>
                        </w:rPr>
                        <w:t>Bespoke communications were created to simplify</w:t>
                      </w:r>
                      <w:r w:rsidR="000429FF">
                        <w:rPr>
                          <w:rFonts w:ascii="Arial" w:hAnsi="Arial" w:cs="Arial"/>
                          <w:color w:val="FFFFFF"/>
                        </w:rPr>
                        <w:t xml:space="preserve"> the claim process for the employees</w:t>
                      </w:r>
                      <w:r w:rsidR="005D6AA6">
                        <w:rPr>
                          <w:rFonts w:ascii="Arial" w:hAnsi="Arial" w:cs="Arial"/>
                          <w:color w:val="FFFFFF"/>
                        </w:rPr>
                        <w:t>, including providing them with information to include in their claim forms.</w:t>
                      </w:r>
                    </w:p>
                    <w:p w14:paraId="5B40E247" w14:textId="77777777" w:rsidR="00872459" w:rsidRDefault="00872459">
                      <w:pPr>
                        <w:spacing w:line="256" w:lineRule="auto"/>
                        <w:rPr>
                          <w:rFonts w:ascii="Arial" w:hAnsi="Arial" w:cs="Arial"/>
                          <w:color w:val="FFFFFF"/>
                        </w:rPr>
                      </w:pPr>
                      <w:r>
                        <w:rPr>
                          <w:rFonts w:ascii="Arial" w:hAnsi="Arial" w:cs="Arial"/>
                          <w:color w:val="FFFFFF"/>
                        </w:rPr>
                        <w:t xml:space="preserve">This meant that the majority of employees were able to make their claims within 5 days of </w:t>
                      </w:r>
                      <w:r w:rsidR="00834AA6">
                        <w:rPr>
                          <w:rFonts w:ascii="Arial" w:hAnsi="Arial" w:cs="Arial"/>
                          <w:color w:val="FFFFFF"/>
                        </w:rPr>
                        <w:t xml:space="preserve">their dismissal and by ring-fencing resource within RPS to this, </w:t>
                      </w:r>
                      <w:r w:rsidR="003D00B3">
                        <w:rPr>
                          <w:rFonts w:ascii="Arial" w:hAnsi="Arial" w:cs="Arial"/>
                          <w:color w:val="FFFFFF"/>
                        </w:rPr>
                        <w:t>each claim was processed within one day. The collaboration</w:t>
                      </w:r>
                      <w:r w:rsidR="00FB2B1B">
                        <w:rPr>
                          <w:rFonts w:ascii="Arial" w:hAnsi="Arial" w:cs="Arial"/>
                          <w:color w:val="FFFFFF"/>
                        </w:rPr>
                        <w:t xml:space="preserve"> between RPS and PWC resulted in minimal additional customer contact and revision of claims information and RPS was able to maintain its usual level of service</w:t>
                      </w:r>
                      <w:r w:rsidR="008075B0">
                        <w:rPr>
                          <w:rFonts w:ascii="Arial" w:hAnsi="Arial" w:cs="Arial"/>
                          <w:color w:val="FFFFFF"/>
                        </w:rPr>
                        <w:t xml:space="preserve"> to other claimants.</w:t>
                      </w:r>
                    </w:p>
                    <w:p w14:paraId="633598D4" w14:textId="77777777" w:rsidR="008075B0" w:rsidRDefault="008075B0">
                      <w:pPr>
                        <w:spacing w:line="256" w:lineRule="auto"/>
                        <w:rPr>
                          <w:rFonts w:ascii="Arial" w:hAnsi="Arial" w:cs="Arial"/>
                          <w:color w:val="FFFFFF"/>
                        </w:rPr>
                      </w:pPr>
                      <w:r>
                        <w:rPr>
                          <w:rFonts w:ascii="Arial" w:hAnsi="Arial" w:cs="Arial"/>
                          <w:color w:val="FFFFFF"/>
                        </w:rPr>
                        <w:t xml:space="preserve">In total just under 10,000 </w:t>
                      </w:r>
                      <w:r w:rsidR="00044778">
                        <w:rPr>
                          <w:rFonts w:ascii="Arial" w:hAnsi="Arial" w:cs="Arial"/>
                          <w:color w:val="FFFFFF"/>
                        </w:rPr>
                        <w:t>claims were received and processed and £53.7m was paid out</w:t>
                      </w:r>
                      <w:r>
                        <w:rPr>
                          <w:rFonts w:ascii="Arial" w:hAnsi="Arial" w:cs="Arial"/>
                          <w:color w:val="FFFFFF"/>
                        </w:rPr>
                        <w:t>,</w:t>
                      </w:r>
                      <w:r w:rsidR="00044778">
                        <w:rPr>
                          <w:rFonts w:ascii="Arial" w:hAnsi="Arial" w:cs="Arial"/>
                          <w:color w:val="FFFFFF"/>
                        </w:rPr>
                        <w:t xml:space="preserve"> helping to support those people in financial distress.</w:t>
                      </w:r>
                    </w:p>
                  </w:txbxContent>
                </v:textbox>
                <w10:wrap anchorx="margin"/>
              </v:rect>
            </w:pict>
          </mc:Fallback>
        </mc:AlternateContent>
      </w:r>
    </w:p>
    <w:p w14:paraId="42E729A7" w14:textId="77777777" w:rsidR="0027375A" w:rsidRDefault="0027375A" w:rsidP="004919D3">
      <w:pPr>
        <w:pStyle w:val="Heading4"/>
      </w:pPr>
    </w:p>
    <w:p w14:paraId="5E90A1C7" w14:textId="77777777" w:rsidR="0027375A" w:rsidRDefault="0027375A" w:rsidP="004919D3">
      <w:pPr>
        <w:pStyle w:val="Heading4"/>
      </w:pPr>
    </w:p>
    <w:p w14:paraId="75BC410E" w14:textId="77777777" w:rsidR="0027375A" w:rsidRDefault="0027375A" w:rsidP="004919D3">
      <w:pPr>
        <w:pStyle w:val="Heading4"/>
      </w:pPr>
    </w:p>
    <w:p w14:paraId="15952EFB" w14:textId="77777777" w:rsidR="0027375A" w:rsidRDefault="0027375A" w:rsidP="004919D3">
      <w:pPr>
        <w:pStyle w:val="Heading4"/>
      </w:pPr>
    </w:p>
    <w:p w14:paraId="5F5545AC" w14:textId="77777777" w:rsidR="0027375A" w:rsidRDefault="0027375A" w:rsidP="004919D3">
      <w:pPr>
        <w:pStyle w:val="Heading4"/>
      </w:pPr>
    </w:p>
    <w:p w14:paraId="7E665C12" w14:textId="77777777" w:rsidR="0027375A" w:rsidRDefault="0027375A" w:rsidP="004919D3">
      <w:pPr>
        <w:pStyle w:val="Heading4"/>
      </w:pPr>
    </w:p>
    <w:p w14:paraId="3531F7C6" w14:textId="77777777" w:rsidR="0027375A" w:rsidRDefault="0027375A" w:rsidP="004919D3">
      <w:pPr>
        <w:pStyle w:val="Heading4"/>
      </w:pPr>
    </w:p>
    <w:p w14:paraId="3821CC0F" w14:textId="77777777" w:rsidR="0027375A" w:rsidRDefault="0027375A" w:rsidP="004919D3">
      <w:pPr>
        <w:pStyle w:val="Heading4"/>
      </w:pPr>
    </w:p>
    <w:p w14:paraId="690FF6CD" w14:textId="77777777" w:rsidR="0027375A" w:rsidRDefault="0027375A" w:rsidP="004919D3">
      <w:pPr>
        <w:pStyle w:val="Heading4"/>
      </w:pPr>
    </w:p>
    <w:p w14:paraId="441D8372" w14:textId="77777777" w:rsidR="0027375A" w:rsidRDefault="0027375A" w:rsidP="004919D3">
      <w:pPr>
        <w:pStyle w:val="Heading4"/>
      </w:pPr>
    </w:p>
    <w:p w14:paraId="266913B2" w14:textId="77777777" w:rsidR="00387D6E" w:rsidRDefault="00387D6E" w:rsidP="004919D3">
      <w:pPr>
        <w:pStyle w:val="Heading4"/>
      </w:pPr>
    </w:p>
    <w:p w14:paraId="71A12C34" w14:textId="2F31D946" w:rsidR="007B4B02" w:rsidRPr="00C70758" w:rsidRDefault="007B4B02" w:rsidP="004919D3">
      <w:pPr>
        <w:pStyle w:val="Heading4"/>
      </w:pPr>
      <w:r>
        <w:t xml:space="preserve">Customer </w:t>
      </w:r>
      <w:r w:rsidR="00993B20" w:rsidRPr="00C70758">
        <w:t>Service Excellence Accreditation</w:t>
      </w:r>
    </w:p>
    <w:p w14:paraId="4FA9E1F2" w14:textId="1626E25C" w:rsidR="00993B20" w:rsidRDefault="00993B20" w:rsidP="005B08C3">
      <w:pPr>
        <w:rPr>
          <w:rFonts w:ascii="Arial" w:hAnsi="Arial" w:cs="Arial"/>
          <w:sz w:val="24"/>
          <w:szCs w:val="24"/>
        </w:rPr>
      </w:pPr>
      <w:r>
        <w:rPr>
          <w:rFonts w:ascii="Arial" w:hAnsi="Arial" w:cs="Arial"/>
          <w:sz w:val="24"/>
          <w:szCs w:val="24"/>
        </w:rPr>
        <w:t xml:space="preserve">The </w:t>
      </w:r>
      <w:hyperlink r:id="rId29" w:history="1">
        <w:r w:rsidRPr="00315D1C">
          <w:rPr>
            <w:rStyle w:val="Hyperlink"/>
            <w:rFonts w:ascii="Arial" w:hAnsi="Arial" w:cs="Arial"/>
            <w:sz w:val="24"/>
            <w:szCs w:val="24"/>
          </w:rPr>
          <w:t xml:space="preserve">Customer Service </w:t>
        </w:r>
        <w:r w:rsidR="008A536E" w:rsidRPr="00315D1C">
          <w:rPr>
            <w:rStyle w:val="Hyperlink"/>
            <w:rFonts w:ascii="Arial" w:hAnsi="Arial" w:cs="Arial"/>
            <w:sz w:val="24"/>
            <w:szCs w:val="24"/>
          </w:rPr>
          <w:t>Excellence (CSE)</w:t>
        </w:r>
      </w:hyperlink>
      <w:r w:rsidR="008A536E">
        <w:rPr>
          <w:rFonts w:ascii="Arial" w:hAnsi="Arial" w:cs="Arial"/>
          <w:sz w:val="24"/>
          <w:szCs w:val="24"/>
        </w:rPr>
        <w:t xml:space="preserve"> accreditation </w:t>
      </w:r>
      <w:r w:rsidR="002C7E7E">
        <w:rPr>
          <w:rFonts w:ascii="Arial" w:hAnsi="Arial" w:cs="Arial"/>
          <w:sz w:val="24"/>
          <w:szCs w:val="24"/>
        </w:rPr>
        <w:t>is an independent quality mark which recognises organisations with a strong customer focus</w:t>
      </w:r>
      <w:r w:rsidR="00F362B3">
        <w:rPr>
          <w:rFonts w:ascii="Arial" w:hAnsi="Arial" w:cs="Arial"/>
          <w:sz w:val="24"/>
          <w:szCs w:val="24"/>
        </w:rPr>
        <w:t xml:space="preserve">. We have held CSE accreditation since 1998 which </w:t>
      </w:r>
      <w:r w:rsidR="009A694F">
        <w:rPr>
          <w:rFonts w:ascii="Arial" w:hAnsi="Arial" w:cs="Arial"/>
          <w:sz w:val="24"/>
          <w:szCs w:val="24"/>
        </w:rPr>
        <w:t>evidences our continuous focus on delivering good services for our customers.</w:t>
      </w:r>
    </w:p>
    <w:p w14:paraId="47B93724" w14:textId="14308EA8" w:rsidR="00BB0BA3" w:rsidRDefault="00F76AC7" w:rsidP="005B08C3">
      <w:pPr>
        <w:rPr>
          <w:rFonts w:ascii="Arial" w:hAnsi="Arial" w:cs="Arial"/>
          <w:sz w:val="24"/>
          <w:szCs w:val="24"/>
        </w:rPr>
      </w:pPr>
      <w:r>
        <w:rPr>
          <w:rFonts w:ascii="Arial" w:hAnsi="Arial" w:cs="Arial"/>
          <w:sz w:val="24"/>
          <w:szCs w:val="24"/>
        </w:rPr>
        <w:t>Led by our User Design Team, this year’s re-accreditation</w:t>
      </w:r>
      <w:r w:rsidR="00056DB7">
        <w:rPr>
          <w:rFonts w:ascii="Arial" w:hAnsi="Arial" w:cs="Arial"/>
          <w:sz w:val="24"/>
          <w:szCs w:val="24"/>
        </w:rPr>
        <w:t xml:space="preserve"> involved meeting 57 elements and providing </w:t>
      </w:r>
      <w:r w:rsidR="00252070">
        <w:rPr>
          <w:rFonts w:ascii="Arial" w:hAnsi="Arial" w:cs="Arial"/>
          <w:sz w:val="24"/>
          <w:szCs w:val="24"/>
        </w:rPr>
        <w:t>108 pieces of evidence to the independent assessor</w:t>
      </w:r>
      <w:r w:rsidR="00243EB7">
        <w:rPr>
          <w:rFonts w:ascii="Arial" w:hAnsi="Arial" w:cs="Arial"/>
          <w:sz w:val="24"/>
          <w:szCs w:val="24"/>
        </w:rPr>
        <w:t xml:space="preserve">. It also included office visits where the assessor spoke to various members </w:t>
      </w:r>
      <w:r w:rsidR="00BB0BA3">
        <w:rPr>
          <w:rFonts w:ascii="Arial" w:hAnsi="Arial" w:cs="Arial"/>
          <w:sz w:val="24"/>
          <w:szCs w:val="24"/>
        </w:rPr>
        <w:t>of Agency staff, customers</w:t>
      </w:r>
      <w:r w:rsidR="00AA1F9A">
        <w:rPr>
          <w:rFonts w:ascii="Arial" w:hAnsi="Arial" w:cs="Arial"/>
          <w:sz w:val="24"/>
          <w:szCs w:val="24"/>
        </w:rPr>
        <w:t>,</w:t>
      </w:r>
      <w:r w:rsidR="00BB0BA3">
        <w:rPr>
          <w:rFonts w:ascii="Arial" w:hAnsi="Arial" w:cs="Arial"/>
          <w:sz w:val="24"/>
          <w:szCs w:val="24"/>
        </w:rPr>
        <w:t xml:space="preserve"> and our Chief Executive. </w:t>
      </w:r>
    </w:p>
    <w:p w14:paraId="7008A2BB" w14:textId="72E14ACB" w:rsidR="00F76AC7" w:rsidRPr="00993B20" w:rsidRDefault="00BB0BA3" w:rsidP="005B08C3">
      <w:pPr>
        <w:rPr>
          <w:rFonts w:ascii="Arial" w:hAnsi="Arial" w:cs="Arial"/>
          <w:sz w:val="24"/>
          <w:szCs w:val="24"/>
        </w:rPr>
      </w:pPr>
      <w:r>
        <w:rPr>
          <w:rFonts w:ascii="Arial" w:hAnsi="Arial" w:cs="Arial"/>
          <w:sz w:val="24"/>
          <w:szCs w:val="24"/>
        </w:rPr>
        <w:t xml:space="preserve">The CSE mark </w:t>
      </w:r>
      <w:r w:rsidR="00027A01">
        <w:rPr>
          <w:rFonts w:ascii="Arial" w:hAnsi="Arial" w:cs="Arial"/>
          <w:sz w:val="24"/>
          <w:szCs w:val="24"/>
        </w:rPr>
        <w:t>was successfully re-accredited, meaning we have now held it for a consecutive 25 years</w:t>
      </w:r>
      <w:r w:rsidR="00F67842">
        <w:rPr>
          <w:rFonts w:ascii="Arial" w:hAnsi="Arial" w:cs="Arial"/>
          <w:sz w:val="24"/>
          <w:szCs w:val="24"/>
        </w:rPr>
        <w:t xml:space="preserve"> and in our </w:t>
      </w:r>
      <w:r w:rsidR="006546C5">
        <w:rPr>
          <w:rFonts w:ascii="Arial" w:hAnsi="Arial" w:cs="Arial"/>
          <w:sz w:val="24"/>
          <w:szCs w:val="24"/>
        </w:rPr>
        <w:t>award,</w:t>
      </w:r>
      <w:r w:rsidR="00F67842">
        <w:rPr>
          <w:rFonts w:ascii="Arial" w:hAnsi="Arial" w:cs="Arial"/>
          <w:sz w:val="24"/>
          <w:szCs w:val="24"/>
        </w:rPr>
        <w:t xml:space="preserve"> we increased our compliant plus rating</w:t>
      </w:r>
      <w:r w:rsidR="006546C5">
        <w:rPr>
          <w:rFonts w:ascii="Arial" w:hAnsi="Arial" w:cs="Arial"/>
          <w:sz w:val="24"/>
          <w:szCs w:val="24"/>
        </w:rPr>
        <w:t>s</w:t>
      </w:r>
      <w:r w:rsidR="00F67842">
        <w:rPr>
          <w:rFonts w:ascii="Arial" w:hAnsi="Arial" w:cs="Arial"/>
          <w:sz w:val="24"/>
          <w:szCs w:val="24"/>
        </w:rPr>
        <w:t xml:space="preserve"> by four</w:t>
      </w:r>
      <w:r w:rsidR="00B53A6E">
        <w:rPr>
          <w:rFonts w:ascii="Arial" w:hAnsi="Arial" w:cs="Arial"/>
          <w:sz w:val="24"/>
          <w:szCs w:val="24"/>
        </w:rPr>
        <w:t xml:space="preserve"> to 31 with 27 complaint ratings and no partially complaint ratings.</w:t>
      </w:r>
    </w:p>
    <w:p w14:paraId="1DE260B9" w14:textId="28254F29" w:rsidR="004F45EC" w:rsidRDefault="00D67201" w:rsidP="005B08C3">
      <w:pPr>
        <w:rPr>
          <w:rFonts w:ascii="Arial" w:hAnsi="Arial" w:cs="Arial"/>
          <w:b/>
          <w:bCs/>
          <w:sz w:val="24"/>
          <w:szCs w:val="24"/>
        </w:rPr>
      </w:pPr>
      <w:r>
        <w:rPr>
          <w:rFonts w:ascii="Arial" w:hAnsi="Arial" w:cs="Arial"/>
          <w:b/>
          <w:bCs/>
          <w:sz w:val="24"/>
          <w:szCs w:val="24"/>
        </w:rPr>
        <w:t>Agency Complaints</w:t>
      </w:r>
    </w:p>
    <w:tbl>
      <w:tblPr>
        <w:tblStyle w:val="TableGrid"/>
        <w:tblW w:w="0" w:type="auto"/>
        <w:tblLook w:val="04A0" w:firstRow="1" w:lastRow="0" w:firstColumn="1" w:lastColumn="0" w:noHBand="0" w:noVBand="1"/>
      </w:tblPr>
      <w:tblGrid>
        <w:gridCol w:w="4957"/>
        <w:gridCol w:w="1353"/>
        <w:gridCol w:w="1353"/>
        <w:gridCol w:w="1353"/>
      </w:tblGrid>
      <w:tr w:rsidR="00D67201" w14:paraId="4E018F33" w14:textId="77777777">
        <w:tc>
          <w:tcPr>
            <w:tcW w:w="4957" w:type="dxa"/>
          </w:tcPr>
          <w:p w14:paraId="628C69DF" w14:textId="646207EC" w:rsidR="00D67201" w:rsidRDefault="5DA5FD1A">
            <w:pPr>
              <w:rPr>
                <w:rFonts w:ascii="Arial" w:hAnsi="Arial" w:cs="Arial"/>
                <w:sz w:val="24"/>
                <w:szCs w:val="24"/>
              </w:rPr>
            </w:pPr>
            <w:r w:rsidRPr="5EF360F5">
              <w:rPr>
                <w:rFonts w:ascii="Arial" w:hAnsi="Arial" w:cs="Arial"/>
                <w:sz w:val="24"/>
                <w:szCs w:val="24"/>
              </w:rPr>
              <w:t>Volumes</w:t>
            </w:r>
          </w:p>
        </w:tc>
        <w:tc>
          <w:tcPr>
            <w:tcW w:w="1353" w:type="dxa"/>
          </w:tcPr>
          <w:p w14:paraId="3FC68E31" w14:textId="77777777" w:rsidR="00D67201" w:rsidRPr="00F01C1E" w:rsidRDefault="00D67201">
            <w:pPr>
              <w:jc w:val="center"/>
              <w:rPr>
                <w:rFonts w:ascii="Arial" w:hAnsi="Arial" w:cs="Arial"/>
                <w:b/>
                <w:bCs/>
                <w:sz w:val="24"/>
                <w:szCs w:val="24"/>
              </w:rPr>
            </w:pPr>
            <w:r w:rsidRPr="00F01C1E">
              <w:rPr>
                <w:rFonts w:ascii="Arial" w:hAnsi="Arial" w:cs="Arial"/>
                <w:b/>
                <w:bCs/>
                <w:sz w:val="24"/>
                <w:szCs w:val="24"/>
              </w:rPr>
              <w:t>2023-24</w:t>
            </w:r>
          </w:p>
        </w:tc>
        <w:tc>
          <w:tcPr>
            <w:tcW w:w="1353" w:type="dxa"/>
          </w:tcPr>
          <w:p w14:paraId="3F49C325" w14:textId="77777777" w:rsidR="00D67201" w:rsidRPr="00F01C1E" w:rsidRDefault="00D67201">
            <w:pPr>
              <w:jc w:val="center"/>
              <w:rPr>
                <w:rFonts w:ascii="Arial" w:hAnsi="Arial" w:cs="Arial"/>
                <w:b/>
                <w:bCs/>
                <w:sz w:val="24"/>
                <w:szCs w:val="24"/>
              </w:rPr>
            </w:pPr>
            <w:r w:rsidRPr="00F01C1E">
              <w:rPr>
                <w:rFonts w:ascii="Arial" w:hAnsi="Arial" w:cs="Arial"/>
                <w:b/>
                <w:bCs/>
                <w:sz w:val="24"/>
                <w:szCs w:val="24"/>
              </w:rPr>
              <w:t>2022-23</w:t>
            </w:r>
          </w:p>
        </w:tc>
        <w:tc>
          <w:tcPr>
            <w:tcW w:w="1353" w:type="dxa"/>
          </w:tcPr>
          <w:p w14:paraId="0BD03803" w14:textId="77777777" w:rsidR="00D67201" w:rsidRPr="00F01C1E" w:rsidRDefault="00D67201">
            <w:pPr>
              <w:jc w:val="center"/>
              <w:rPr>
                <w:rFonts w:ascii="Arial" w:hAnsi="Arial" w:cs="Arial"/>
                <w:b/>
                <w:bCs/>
                <w:sz w:val="24"/>
                <w:szCs w:val="24"/>
              </w:rPr>
            </w:pPr>
            <w:r w:rsidRPr="00F01C1E">
              <w:rPr>
                <w:rFonts w:ascii="Arial" w:hAnsi="Arial" w:cs="Arial"/>
                <w:b/>
                <w:bCs/>
                <w:sz w:val="24"/>
                <w:szCs w:val="24"/>
              </w:rPr>
              <w:t>2021-22</w:t>
            </w:r>
          </w:p>
        </w:tc>
      </w:tr>
      <w:tr w:rsidR="00D67201" w14:paraId="4DECA279" w14:textId="77777777">
        <w:tc>
          <w:tcPr>
            <w:tcW w:w="4957" w:type="dxa"/>
          </w:tcPr>
          <w:p w14:paraId="2CDF75A4" w14:textId="2FC89431" w:rsidR="00D67201" w:rsidRDefault="000822DD">
            <w:pPr>
              <w:rPr>
                <w:rFonts w:ascii="Arial" w:hAnsi="Arial" w:cs="Arial"/>
                <w:sz w:val="24"/>
                <w:szCs w:val="24"/>
              </w:rPr>
            </w:pPr>
            <w:r>
              <w:rPr>
                <w:rFonts w:ascii="Arial" w:hAnsi="Arial" w:cs="Arial"/>
                <w:sz w:val="24"/>
                <w:szCs w:val="24"/>
              </w:rPr>
              <w:t>Total complaints received</w:t>
            </w:r>
          </w:p>
        </w:tc>
        <w:tc>
          <w:tcPr>
            <w:tcW w:w="1353" w:type="dxa"/>
            <w:vAlign w:val="center"/>
          </w:tcPr>
          <w:p w14:paraId="13B0CD74" w14:textId="36E24D72" w:rsidR="00D67201" w:rsidRDefault="00F22CCA">
            <w:pPr>
              <w:jc w:val="center"/>
              <w:rPr>
                <w:rFonts w:ascii="Arial" w:hAnsi="Arial" w:cs="Arial"/>
                <w:sz w:val="24"/>
                <w:szCs w:val="24"/>
              </w:rPr>
            </w:pPr>
            <w:r>
              <w:rPr>
                <w:rFonts w:ascii="Arial" w:hAnsi="Arial" w:cs="Arial"/>
                <w:sz w:val="24"/>
                <w:szCs w:val="24"/>
              </w:rPr>
              <w:t>250</w:t>
            </w:r>
          </w:p>
        </w:tc>
        <w:tc>
          <w:tcPr>
            <w:tcW w:w="1353" w:type="dxa"/>
            <w:vAlign w:val="center"/>
          </w:tcPr>
          <w:p w14:paraId="00C68973" w14:textId="7DE76AC9" w:rsidR="00D67201" w:rsidRDefault="00F22CCA">
            <w:pPr>
              <w:jc w:val="center"/>
              <w:rPr>
                <w:rFonts w:ascii="Arial" w:hAnsi="Arial" w:cs="Arial"/>
                <w:sz w:val="24"/>
                <w:szCs w:val="24"/>
              </w:rPr>
            </w:pPr>
            <w:r>
              <w:rPr>
                <w:rFonts w:ascii="Arial" w:hAnsi="Arial" w:cs="Arial"/>
                <w:sz w:val="24"/>
                <w:szCs w:val="24"/>
              </w:rPr>
              <w:t>306</w:t>
            </w:r>
          </w:p>
        </w:tc>
        <w:tc>
          <w:tcPr>
            <w:tcW w:w="1353" w:type="dxa"/>
            <w:vAlign w:val="center"/>
          </w:tcPr>
          <w:p w14:paraId="5B93BDFE" w14:textId="327E9BFE" w:rsidR="00D67201" w:rsidRDefault="00F22CCA">
            <w:pPr>
              <w:jc w:val="center"/>
              <w:rPr>
                <w:rFonts w:ascii="Arial" w:hAnsi="Arial" w:cs="Arial"/>
                <w:sz w:val="24"/>
                <w:szCs w:val="24"/>
              </w:rPr>
            </w:pPr>
            <w:r>
              <w:rPr>
                <w:rFonts w:ascii="Arial" w:hAnsi="Arial" w:cs="Arial"/>
                <w:sz w:val="24"/>
                <w:szCs w:val="24"/>
              </w:rPr>
              <w:t>339</w:t>
            </w:r>
          </w:p>
        </w:tc>
      </w:tr>
      <w:tr w:rsidR="00D67201" w14:paraId="0823BE22" w14:textId="77777777">
        <w:tc>
          <w:tcPr>
            <w:tcW w:w="4957" w:type="dxa"/>
          </w:tcPr>
          <w:p w14:paraId="0A21E22A" w14:textId="20EAB6B8" w:rsidR="00D67201" w:rsidRDefault="000822DD">
            <w:pPr>
              <w:rPr>
                <w:rFonts w:ascii="Arial" w:hAnsi="Arial" w:cs="Arial"/>
                <w:sz w:val="24"/>
                <w:szCs w:val="24"/>
              </w:rPr>
            </w:pPr>
            <w:r>
              <w:rPr>
                <w:rFonts w:ascii="Arial" w:hAnsi="Arial" w:cs="Arial"/>
                <w:sz w:val="24"/>
                <w:szCs w:val="24"/>
              </w:rPr>
              <w:t>Tier 1</w:t>
            </w:r>
          </w:p>
        </w:tc>
        <w:tc>
          <w:tcPr>
            <w:tcW w:w="1353" w:type="dxa"/>
            <w:vAlign w:val="center"/>
          </w:tcPr>
          <w:p w14:paraId="50EE0F71" w14:textId="42672D0D" w:rsidR="00D67201" w:rsidRDefault="00F22CCA">
            <w:pPr>
              <w:jc w:val="center"/>
              <w:rPr>
                <w:rFonts w:ascii="Arial" w:hAnsi="Arial" w:cs="Arial"/>
                <w:sz w:val="24"/>
                <w:szCs w:val="24"/>
              </w:rPr>
            </w:pPr>
            <w:r>
              <w:rPr>
                <w:rFonts w:ascii="Arial" w:hAnsi="Arial" w:cs="Arial"/>
                <w:sz w:val="24"/>
                <w:szCs w:val="24"/>
              </w:rPr>
              <w:t>176</w:t>
            </w:r>
          </w:p>
        </w:tc>
        <w:tc>
          <w:tcPr>
            <w:tcW w:w="1353" w:type="dxa"/>
            <w:vAlign w:val="center"/>
          </w:tcPr>
          <w:p w14:paraId="57D34601" w14:textId="20361AED" w:rsidR="00D67201" w:rsidRDefault="00F22CCA">
            <w:pPr>
              <w:jc w:val="center"/>
              <w:rPr>
                <w:rFonts w:ascii="Arial" w:hAnsi="Arial" w:cs="Arial"/>
                <w:sz w:val="24"/>
                <w:szCs w:val="24"/>
              </w:rPr>
            </w:pPr>
            <w:r>
              <w:rPr>
                <w:rFonts w:ascii="Arial" w:hAnsi="Arial" w:cs="Arial"/>
                <w:sz w:val="24"/>
                <w:szCs w:val="24"/>
              </w:rPr>
              <w:t>226</w:t>
            </w:r>
          </w:p>
        </w:tc>
        <w:tc>
          <w:tcPr>
            <w:tcW w:w="1353" w:type="dxa"/>
            <w:vAlign w:val="center"/>
          </w:tcPr>
          <w:p w14:paraId="5F317A0A" w14:textId="21C4DB2C" w:rsidR="00D67201" w:rsidRDefault="00F22CCA">
            <w:pPr>
              <w:jc w:val="center"/>
              <w:rPr>
                <w:rFonts w:ascii="Arial" w:hAnsi="Arial" w:cs="Arial"/>
                <w:sz w:val="24"/>
                <w:szCs w:val="24"/>
              </w:rPr>
            </w:pPr>
            <w:r>
              <w:rPr>
                <w:rFonts w:ascii="Arial" w:hAnsi="Arial" w:cs="Arial"/>
                <w:sz w:val="24"/>
                <w:szCs w:val="24"/>
              </w:rPr>
              <w:t>259</w:t>
            </w:r>
          </w:p>
        </w:tc>
      </w:tr>
      <w:tr w:rsidR="00D67201" w14:paraId="4903A3BA" w14:textId="77777777">
        <w:tc>
          <w:tcPr>
            <w:tcW w:w="4957" w:type="dxa"/>
          </w:tcPr>
          <w:p w14:paraId="5E41D26D" w14:textId="2A74AC22" w:rsidR="00D67201" w:rsidRDefault="000822DD">
            <w:pPr>
              <w:rPr>
                <w:rFonts w:ascii="Arial" w:hAnsi="Arial" w:cs="Arial"/>
                <w:sz w:val="24"/>
                <w:szCs w:val="24"/>
              </w:rPr>
            </w:pPr>
            <w:r>
              <w:rPr>
                <w:rFonts w:ascii="Arial" w:hAnsi="Arial" w:cs="Arial"/>
                <w:sz w:val="24"/>
                <w:szCs w:val="24"/>
              </w:rPr>
              <w:t>Tier 2</w:t>
            </w:r>
          </w:p>
        </w:tc>
        <w:tc>
          <w:tcPr>
            <w:tcW w:w="1353" w:type="dxa"/>
            <w:vAlign w:val="center"/>
          </w:tcPr>
          <w:p w14:paraId="1E3282A8" w14:textId="1180D8FE" w:rsidR="00D67201" w:rsidRDefault="00F22CCA">
            <w:pPr>
              <w:jc w:val="center"/>
              <w:rPr>
                <w:rFonts w:ascii="Arial" w:hAnsi="Arial" w:cs="Arial"/>
                <w:sz w:val="24"/>
                <w:szCs w:val="24"/>
              </w:rPr>
            </w:pPr>
            <w:r>
              <w:rPr>
                <w:rFonts w:ascii="Arial" w:hAnsi="Arial" w:cs="Arial"/>
                <w:sz w:val="24"/>
                <w:szCs w:val="24"/>
              </w:rPr>
              <w:t>59</w:t>
            </w:r>
          </w:p>
        </w:tc>
        <w:tc>
          <w:tcPr>
            <w:tcW w:w="1353" w:type="dxa"/>
            <w:vAlign w:val="center"/>
          </w:tcPr>
          <w:p w14:paraId="12CB1F75" w14:textId="0C3F1A24" w:rsidR="00D67201" w:rsidRDefault="00F22CCA">
            <w:pPr>
              <w:jc w:val="center"/>
              <w:rPr>
                <w:rFonts w:ascii="Arial" w:hAnsi="Arial" w:cs="Arial"/>
                <w:sz w:val="24"/>
                <w:szCs w:val="24"/>
              </w:rPr>
            </w:pPr>
            <w:r>
              <w:rPr>
                <w:rFonts w:ascii="Arial" w:hAnsi="Arial" w:cs="Arial"/>
                <w:sz w:val="24"/>
                <w:szCs w:val="24"/>
              </w:rPr>
              <w:t>60</w:t>
            </w:r>
          </w:p>
        </w:tc>
        <w:tc>
          <w:tcPr>
            <w:tcW w:w="1353" w:type="dxa"/>
            <w:vAlign w:val="center"/>
          </w:tcPr>
          <w:p w14:paraId="1582765E" w14:textId="38C3299D" w:rsidR="00D67201" w:rsidRDefault="00F22CCA">
            <w:pPr>
              <w:jc w:val="center"/>
              <w:rPr>
                <w:rFonts w:ascii="Arial" w:hAnsi="Arial" w:cs="Arial"/>
                <w:sz w:val="24"/>
                <w:szCs w:val="24"/>
              </w:rPr>
            </w:pPr>
            <w:r>
              <w:rPr>
                <w:rFonts w:ascii="Arial" w:hAnsi="Arial" w:cs="Arial"/>
                <w:sz w:val="24"/>
                <w:szCs w:val="24"/>
              </w:rPr>
              <w:t>59</w:t>
            </w:r>
          </w:p>
        </w:tc>
      </w:tr>
      <w:tr w:rsidR="00D67201" w14:paraId="7ED20CFE" w14:textId="77777777">
        <w:tc>
          <w:tcPr>
            <w:tcW w:w="4957" w:type="dxa"/>
          </w:tcPr>
          <w:p w14:paraId="2BACFD86" w14:textId="6DF7E06E" w:rsidR="00D67201" w:rsidRDefault="000822DD">
            <w:pPr>
              <w:rPr>
                <w:rFonts w:ascii="Arial" w:hAnsi="Arial" w:cs="Arial"/>
                <w:sz w:val="24"/>
                <w:szCs w:val="24"/>
              </w:rPr>
            </w:pPr>
            <w:r>
              <w:rPr>
                <w:rFonts w:ascii="Arial" w:hAnsi="Arial" w:cs="Arial"/>
                <w:sz w:val="24"/>
                <w:szCs w:val="24"/>
              </w:rPr>
              <w:t>Tier 3</w:t>
            </w:r>
          </w:p>
        </w:tc>
        <w:tc>
          <w:tcPr>
            <w:tcW w:w="1353" w:type="dxa"/>
            <w:vAlign w:val="center"/>
          </w:tcPr>
          <w:p w14:paraId="2686C730" w14:textId="1AA6F9BD" w:rsidR="00D67201" w:rsidRDefault="00F22CCA">
            <w:pPr>
              <w:jc w:val="center"/>
              <w:rPr>
                <w:rFonts w:ascii="Arial" w:hAnsi="Arial" w:cs="Arial"/>
                <w:sz w:val="24"/>
                <w:szCs w:val="24"/>
              </w:rPr>
            </w:pPr>
            <w:r>
              <w:rPr>
                <w:rFonts w:ascii="Arial" w:hAnsi="Arial" w:cs="Arial"/>
                <w:sz w:val="24"/>
                <w:szCs w:val="24"/>
              </w:rPr>
              <w:t>15</w:t>
            </w:r>
          </w:p>
        </w:tc>
        <w:tc>
          <w:tcPr>
            <w:tcW w:w="1353" w:type="dxa"/>
            <w:vAlign w:val="center"/>
          </w:tcPr>
          <w:p w14:paraId="1B94372F" w14:textId="0DE7D00F" w:rsidR="00D67201" w:rsidRDefault="00F22CCA">
            <w:pPr>
              <w:jc w:val="center"/>
              <w:rPr>
                <w:rFonts w:ascii="Arial" w:hAnsi="Arial" w:cs="Arial"/>
                <w:sz w:val="24"/>
                <w:szCs w:val="24"/>
              </w:rPr>
            </w:pPr>
            <w:r>
              <w:rPr>
                <w:rFonts w:ascii="Arial" w:hAnsi="Arial" w:cs="Arial"/>
                <w:sz w:val="24"/>
                <w:szCs w:val="24"/>
              </w:rPr>
              <w:t>20</w:t>
            </w:r>
          </w:p>
        </w:tc>
        <w:tc>
          <w:tcPr>
            <w:tcW w:w="1353" w:type="dxa"/>
            <w:vAlign w:val="center"/>
          </w:tcPr>
          <w:p w14:paraId="2015C923" w14:textId="6539A57F" w:rsidR="00D67201" w:rsidRDefault="00F22CCA">
            <w:pPr>
              <w:jc w:val="center"/>
              <w:rPr>
                <w:rFonts w:ascii="Arial" w:hAnsi="Arial" w:cs="Arial"/>
                <w:sz w:val="24"/>
                <w:szCs w:val="24"/>
              </w:rPr>
            </w:pPr>
            <w:r>
              <w:rPr>
                <w:rFonts w:ascii="Arial" w:hAnsi="Arial" w:cs="Arial"/>
                <w:sz w:val="24"/>
                <w:szCs w:val="24"/>
              </w:rPr>
              <w:t>21</w:t>
            </w:r>
          </w:p>
        </w:tc>
      </w:tr>
    </w:tbl>
    <w:tbl>
      <w:tblPr>
        <w:tblStyle w:val="TableGrid"/>
        <w:tblpPr w:leftFromText="180" w:rightFromText="180" w:vertAnchor="text" w:horzAnchor="margin" w:tblpY="295"/>
        <w:tblW w:w="0" w:type="auto"/>
        <w:tblLayout w:type="fixed"/>
        <w:tblLook w:val="06A0" w:firstRow="1" w:lastRow="0" w:firstColumn="1" w:lastColumn="0" w:noHBand="1" w:noVBand="1"/>
      </w:tblPr>
      <w:tblGrid>
        <w:gridCol w:w="4965"/>
        <w:gridCol w:w="1335"/>
        <w:gridCol w:w="1418"/>
        <w:gridCol w:w="1298"/>
      </w:tblGrid>
      <w:tr w:rsidR="000E71F3" w14:paraId="57196F77" w14:textId="77777777" w:rsidTr="000E71F3">
        <w:trPr>
          <w:trHeight w:val="300"/>
        </w:trPr>
        <w:tc>
          <w:tcPr>
            <w:tcW w:w="4965" w:type="dxa"/>
          </w:tcPr>
          <w:p w14:paraId="1DE2E4D8" w14:textId="77777777" w:rsidR="000E71F3" w:rsidRDefault="000E71F3" w:rsidP="000E71F3">
            <w:pPr>
              <w:rPr>
                <w:rFonts w:ascii="Arial" w:hAnsi="Arial" w:cs="Arial"/>
                <w:sz w:val="24"/>
                <w:szCs w:val="24"/>
              </w:rPr>
            </w:pPr>
            <w:r w:rsidRPr="5EF360F5">
              <w:rPr>
                <w:rFonts w:ascii="Arial" w:hAnsi="Arial" w:cs="Arial"/>
                <w:sz w:val="24"/>
                <w:szCs w:val="24"/>
              </w:rPr>
              <w:t>Uphold rate</w:t>
            </w:r>
          </w:p>
        </w:tc>
        <w:tc>
          <w:tcPr>
            <w:tcW w:w="1335" w:type="dxa"/>
          </w:tcPr>
          <w:p w14:paraId="2471F9F4" w14:textId="77777777" w:rsidR="000E71F3" w:rsidRDefault="000E71F3" w:rsidP="000E71F3">
            <w:pPr>
              <w:rPr>
                <w:rFonts w:ascii="Arial" w:hAnsi="Arial" w:cs="Arial"/>
                <w:b/>
                <w:bCs/>
                <w:sz w:val="24"/>
                <w:szCs w:val="24"/>
              </w:rPr>
            </w:pPr>
            <w:r w:rsidRPr="5EF360F5">
              <w:rPr>
                <w:rFonts w:ascii="Arial" w:hAnsi="Arial" w:cs="Arial"/>
                <w:b/>
                <w:bCs/>
                <w:sz w:val="24"/>
                <w:szCs w:val="24"/>
              </w:rPr>
              <w:t>2023-24</w:t>
            </w:r>
          </w:p>
        </w:tc>
        <w:tc>
          <w:tcPr>
            <w:tcW w:w="1418" w:type="dxa"/>
          </w:tcPr>
          <w:p w14:paraId="438EC40E" w14:textId="77777777" w:rsidR="000E71F3" w:rsidRDefault="000E71F3" w:rsidP="000E71F3">
            <w:pPr>
              <w:rPr>
                <w:rFonts w:ascii="Arial" w:hAnsi="Arial" w:cs="Arial"/>
                <w:b/>
                <w:bCs/>
                <w:sz w:val="24"/>
                <w:szCs w:val="24"/>
              </w:rPr>
            </w:pPr>
            <w:r w:rsidRPr="5EF360F5">
              <w:rPr>
                <w:rFonts w:ascii="Arial" w:hAnsi="Arial" w:cs="Arial"/>
                <w:b/>
                <w:bCs/>
                <w:sz w:val="24"/>
                <w:szCs w:val="24"/>
              </w:rPr>
              <w:t>2022-23</w:t>
            </w:r>
          </w:p>
        </w:tc>
        <w:tc>
          <w:tcPr>
            <w:tcW w:w="1298" w:type="dxa"/>
          </w:tcPr>
          <w:p w14:paraId="570432B0" w14:textId="77777777" w:rsidR="000E71F3" w:rsidRDefault="000E71F3" w:rsidP="000E71F3">
            <w:pPr>
              <w:rPr>
                <w:rFonts w:ascii="Arial" w:hAnsi="Arial" w:cs="Arial"/>
                <w:b/>
                <w:bCs/>
                <w:sz w:val="24"/>
                <w:szCs w:val="24"/>
              </w:rPr>
            </w:pPr>
            <w:r w:rsidRPr="5EF360F5">
              <w:rPr>
                <w:rFonts w:ascii="Arial" w:hAnsi="Arial" w:cs="Arial"/>
                <w:b/>
                <w:bCs/>
                <w:sz w:val="24"/>
                <w:szCs w:val="24"/>
              </w:rPr>
              <w:t>2021-22</w:t>
            </w:r>
          </w:p>
        </w:tc>
      </w:tr>
      <w:tr w:rsidR="000E71F3" w14:paraId="1BB63DB8" w14:textId="77777777" w:rsidTr="000E71F3">
        <w:trPr>
          <w:trHeight w:val="300"/>
        </w:trPr>
        <w:tc>
          <w:tcPr>
            <w:tcW w:w="4965" w:type="dxa"/>
          </w:tcPr>
          <w:p w14:paraId="05D606CB" w14:textId="77777777" w:rsidR="000E71F3" w:rsidRDefault="000E71F3" w:rsidP="000E71F3">
            <w:pPr>
              <w:rPr>
                <w:rFonts w:ascii="Arial" w:hAnsi="Arial" w:cs="Arial"/>
                <w:sz w:val="24"/>
                <w:szCs w:val="24"/>
              </w:rPr>
            </w:pPr>
            <w:r w:rsidRPr="5EF360F5">
              <w:rPr>
                <w:rFonts w:ascii="Arial" w:hAnsi="Arial" w:cs="Arial"/>
                <w:sz w:val="24"/>
                <w:szCs w:val="24"/>
              </w:rPr>
              <w:t>Tier 1</w:t>
            </w:r>
          </w:p>
        </w:tc>
        <w:tc>
          <w:tcPr>
            <w:tcW w:w="1335" w:type="dxa"/>
          </w:tcPr>
          <w:p w14:paraId="7ECF560F" w14:textId="77777777" w:rsidR="000E71F3" w:rsidRDefault="000E71F3" w:rsidP="000E71F3">
            <w:pPr>
              <w:rPr>
                <w:rFonts w:ascii="Arial" w:hAnsi="Arial" w:cs="Arial"/>
                <w:sz w:val="24"/>
                <w:szCs w:val="24"/>
              </w:rPr>
            </w:pPr>
            <w:r w:rsidRPr="5EF360F5">
              <w:rPr>
                <w:rFonts w:ascii="Arial" w:hAnsi="Arial" w:cs="Arial"/>
                <w:sz w:val="24"/>
                <w:szCs w:val="24"/>
              </w:rPr>
              <w:t>47%</w:t>
            </w:r>
          </w:p>
        </w:tc>
        <w:tc>
          <w:tcPr>
            <w:tcW w:w="1418" w:type="dxa"/>
          </w:tcPr>
          <w:p w14:paraId="7325861E" w14:textId="77777777" w:rsidR="000E71F3" w:rsidRDefault="000E71F3" w:rsidP="000E71F3">
            <w:pPr>
              <w:rPr>
                <w:rFonts w:ascii="Arial" w:hAnsi="Arial" w:cs="Arial"/>
                <w:sz w:val="24"/>
                <w:szCs w:val="24"/>
              </w:rPr>
            </w:pPr>
            <w:r w:rsidRPr="5EF360F5">
              <w:rPr>
                <w:rFonts w:ascii="Arial" w:hAnsi="Arial" w:cs="Arial"/>
                <w:sz w:val="24"/>
                <w:szCs w:val="24"/>
              </w:rPr>
              <w:t>50%</w:t>
            </w:r>
          </w:p>
        </w:tc>
        <w:tc>
          <w:tcPr>
            <w:tcW w:w="1298" w:type="dxa"/>
          </w:tcPr>
          <w:p w14:paraId="019712BB" w14:textId="77777777" w:rsidR="000E71F3" w:rsidRDefault="000E71F3" w:rsidP="000E71F3">
            <w:pPr>
              <w:rPr>
                <w:rFonts w:ascii="Arial" w:hAnsi="Arial" w:cs="Arial"/>
                <w:sz w:val="24"/>
                <w:szCs w:val="24"/>
              </w:rPr>
            </w:pPr>
            <w:r w:rsidRPr="472DB3C2">
              <w:rPr>
                <w:rFonts w:ascii="Arial" w:hAnsi="Arial" w:cs="Arial"/>
                <w:sz w:val="24"/>
                <w:szCs w:val="24"/>
              </w:rPr>
              <w:t>50%</w:t>
            </w:r>
          </w:p>
        </w:tc>
      </w:tr>
      <w:tr w:rsidR="000E71F3" w14:paraId="4C00E864" w14:textId="77777777" w:rsidTr="000E71F3">
        <w:trPr>
          <w:trHeight w:val="300"/>
        </w:trPr>
        <w:tc>
          <w:tcPr>
            <w:tcW w:w="4965" w:type="dxa"/>
          </w:tcPr>
          <w:p w14:paraId="396A6EA6" w14:textId="77777777" w:rsidR="000E71F3" w:rsidRDefault="000E71F3" w:rsidP="000E71F3">
            <w:pPr>
              <w:rPr>
                <w:rFonts w:ascii="Arial" w:hAnsi="Arial" w:cs="Arial"/>
                <w:sz w:val="24"/>
                <w:szCs w:val="24"/>
              </w:rPr>
            </w:pPr>
            <w:r w:rsidRPr="5EF360F5">
              <w:rPr>
                <w:rFonts w:ascii="Arial" w:hAnsi="Arial" w:cs="Arial"/>
                <w:sz w:val="24"/>
                <w:szCs w:val="24"/>
              </w:rPr>
              <w:t>Tier 2</w:t>
            </w:r>
          </w:p>
        </w:tc>
        <w:tc>
          <w:tcPr>
            <w:tcW w:w="1335" w:type="dxa"/>
          </w:tcPr>
          <w:p w14:paraId="43239B20" w14:textId="77777777" w:rsidR="000E71F3" w:rsidRDefault="000E71F3" w:rsidP="000E71F3">
            <w:pPr>
              <w:rPr>
                <w:rFonts w:ascii="Arial" w:hAnsi="Arial" w:cs="Arial"/>
                <w:sz w:val="24"/>
                <w:szCs w:val="24"/>
              </w:rPr>
            </w:pPr>
            <w:r w:rsidRPr="5EF360F5">
              <w:rPr>
                <w:rFonts w:ascii="Arial" w:hAnsi="Arial" w:cs="Arial"/>
                <w:sz w:val="24"/>
                <w:szCs w:val="24"/>
              </w:rPr>
              <w:t>19%</w:t>
            </w:r>
          </w:p>
        </w:tc>
        <w:tc>
          <w:tcPr>
            <w:tcW w:w="1418" w:type="dxa"/>
          </w:tcPr>
          <w:p w14:paraId="4803016D" w14:textId="77777777" w:rsidR="000E71F3" w:rsidRDefault="000E71F3" w:rsidP="000E71F3">
            <w:pPr>
              <w:rPr>
                <w:rFonts w:ascii="Arial" w:hAnsi="Arial" w:cs="Arial"/>
                <w:sz w:val="24"/>
                <w:szCs w:val="24"/>
              </w:rPr>
            </w:pPr>
            <w:r w:rsidRPr="5EF360F5">
              <w:rPr>
                <w:rFonts w:ascii="Arial" w:hAnsi="Arial" w:cs="Arial"/>
                <w:sz w:val="24"/>
                <w:szCs w:val="24"/>
              </w:rPr>
              <w:t>32%</w:t>
            </w:r>
          </w:p>
        </w:tc>
        <w:tc>
          <w:tcPr>
            <w:tcW w:w="1298" w:type="dxa"/>
          </w:tcPr>
          <w:p w14:paraId="365A9488" w14:textId="77777777" w:rsidR="000E71F3" w:rsidRDefault="000E71F3" w:rsidP="000E71F3">
            <w:pPr>
              <w:rPr>
                <w:rFonts w:ascii="Arial" w:hAnsi="Arial" w:cs="Arial"/>
                <w:sz w:val="24"/>
                <w:szCs w:val="24"/>
              </w:rPr>
            </w:pPr>
            <w:r w:rsidRPr="472DB3C2">
              <w:rPr>
                <w:rFonts w:ascii="Arial" w:hAnsi="Arial" w:cs="Arial"/>
                <w:sz w:val="24"/>
                <w:szCs w:val="24"/>
              </w:rPr>
              <w:t>20%</w:t>
            </w:r>
          </w:p>
        </w:tc>
      </w:tr>
      <w:tr w:rsidR="000E71F3" w14:paraId="2FB6CFDE" w14:textId="77777777" w:rsidTr="000E71F3">
        <w:trPr>
          <w:trHeight w:val="300"/>
        </w:trPr>
        <w:tc>
          <w:tcPr>
            <w:tcW w:w="4965" w:type="dxa"/>
          </w:tcPr>
          <w:p w14:paraId="59E02D00" w14:textId="77777777" w:rsidR="000E71F3" w:rsidRDefault="000E71F3" w:rsidP="000E71F3">
            <w:pPr>
              <w:rPr>
                <w:rFonts w:ascii="Arial" w:hAnsi="Arial" w:cs="Arial"/>
                <w:sz w:val="24"/>
                <w:szCs w:val="24"/>
              </w:rPr>
            </w:pPr>
            <w:r w:rsidRPr="5EF360F5">
              <w:rPr>
                <w:rFonts w:ascii="Arial" w:hAnsi="Arial" w:cs="Arial"/>
                <w:sz w:val="24"/>
                <w:szCs w:val="24"/>
              </w:rPr>
              <w:t>Tier 3</w:t>
            </w:r>
          </w:p>
        </w:tc>
        <w:tc>
          <w:tcPr>
            <w:tcW w:w="1335" w:type="dxa"/>
          </w:tcPr>
          <w:p w14:paraId="082B4FB1" w14:textId="77777777" w:rsidR="000E71F3" w:rsidRDefault="000E71F3" w:rsidP="000E71F3">
            <w:pPr>
              <w:rPr>
                <w:rFonts w:ascii="Arial" w:hAnsi="Arial" w:cs="Arial"/>
                <w:sz w:val="24"/>
                <w:szCs w:val="24"/>
              </w:rPr>
            </w:pPr>
            <w:r w:rsidRPr="472DB3C2">
              <w:rPr>
                <w:rFonts w:ascii="Arial" w:hAnsi="Arial" w:cs="Arial"/>
                <w:sz w:val="24"/>
                <w:szCs w:val="24"/>
              </w:rPr>
              <w:t>5% *</w:t>
            </w:r>
          </w:p>
        </w:tc>
        <w:tc>
          <w:tcPr>
            <w:tcW w:w="1418" w:type="dxa"/>
          </w:tcPr>
          <w:p w14:paraId="009CE1FE" w14:textId="77777777" w:rsidR="000E71F3" w:rsidRDefault="000E71F3" w:rsidP="000E71F3">
            <w:pPr>
              <w:rPr>
                <w:rFonts w:ascii="Arial" w:hAnsi="Arial" w:cs="Arial"/>
                <w:sz w:val="24"/>
                <w:szCs w:val="24"/>
              </w:rPr>
            </w:pPr>
            <w:r w:rsidRPr="5EF360F5">
              <w:rPr>
                <w:rFonts w:ascii="Arial" w:hAnsi="Arial" w:cs="Arial"/>
                <w:sz w:val="24"/>
                <w:szCs w:val="24"/>
              </w:rPr>
              <w:t>0%</w:t>
            </w:r>
          </w:p>
        </w:tc>
        <w:tc>
          <w:tcPr>
            <w:tcW w:w="1298" w:type="dxa"/>
          </w:tcPr>
          <w:p w14:paraId="1D967297" w14:textId="77777777" w:rsidR="000E71F3" w:rsidRDefault="000E71F3" w:rsidP="000E71F3">
            <w:pPr>
              <w:rPr>
                <w:rFonts w:ascii="Arial" w:hAnsi="Arial" w:cs="Arial"/>
                <w:sz w:val="24"/>
                <w:szCs w:val="24"/>
              </w:rPr>
            </w:pPr>
            <w:r w:rsidRPr="472DB3C2">
              <w:rPr>
                <w:rFonts w:ascii="Arial" w:hAnsi="Arial" w:cs="Arial"/>
                <w:sz w:val="24"/>
                <w:szCs w:val="24"/>
              </w:rPr>
              <w:t>6%**</w:t>
            </w:r>
          </w:p>
        </w:tc>
      </w:tr>
      <w:tr w:rsidR="000E71F3" w14:paraId="087A28EE" w14:textId="77777777" w:rsidTr="000E71F3">
        <w:trPr>
          <w:trHeight w:val="300"/>
        </w:trPr>
        <w:tc>
          <w:tcPr>
            <w:tcW w:w="9016" w:type="dxa"/>
            <w:gridSpan w:val="4"/>
          </w:tcPr>
          <w:p w14:paraId="135141CB" w14:textId="77777777" w:rsidR="000E71F3" w:rsidRDefault="000E71F3" w:rsidP="000E71F3">
            <w:pPr>
              <w:rPr>
                <w:rFonts w:ascii="Arial" w:hAnsi="Arial" w:cs="Arial"/>
                <w:sz w:val="20"/>
                <w:szCs w:val="20"/>
              </w:rPr>
            </w:pPr>
            <w:r w:rsidRPr="472DB3C2">
              <w:rPr>
                <w:rFonts w:ascii="Arial" w:hAnsi="Arial" w:cs="Arial"/>
                <w:sz w:val="20"/>
                <w:szCs w:val="20"/>
              </w:rPr>
              <w:t>*Involves 1 case which following the introduction of a new element of complaint had that new element partially upheld</w:t>
            </w:r>
          </w:p>
          <w:p w14:paraId="2F55C52D" w14:textId="77777777" w:rsidR="000E71F3" w:rsidRDefault="000E71F3" w:rsidP="000E71F3">
            <w:pPr>
              <w:rPr>
                <w:rFonts w:ascii="Arial" w:hAnsi="Arial" w:cs="Arial"/>
                <w:sz w:val="20"/>
                <w:szCs w:val="20"/>
              </w:rPr>
            </w:pPr>
            <w:r w:rsidRPr="472DB3C2">
              <w:rPr>
                <w:rFonts w:ascii="Arial" w:hAnsi="Arial" w:cs="Arial"/>
                <w:sz w:val="20"/>
                <w:szCs w:val="20"/>
              </w:rPr>
              <w:t>** Involves 1 case where decision unchanged but ex gratia discretionary payment was increased</w:t>
            </w:r>
          </w:p>
        </w:tc>
      </w:tr>
    </w:tbl>
    <w:p w14:paraId="74DED34A" w14:textId="446D1C58" w:rsidR="00AB6523" w:rsidRDefault="00AB6523"/>
    <w:p w14:paraId="00E022AB" w14:textId="77777777" w:rsidR="008D1905" w:rsidRDefault="008D1905" w:rsidP="000B21BD"/>
    <w:p w14:paraId="4F207888" w14:textId="3A9FC004" w:rsidR="00F22CCA" w:rsidRPr="000B21BD" w:rsidRDefault="00F22CCA" w:rsidP="000B21BD">
      <w:r w:rsidRPr="5EF360F5">
        <w:rPr>
          <w:rFonts w:ascii="Arial" w:eastAsia="Arial" w:hAnsi="Arial" w:cs="Arial"/>
          <w:sz w:val="24"/>
          <w:szCs w:val="24"/>
        </w:rPr>
        <w:lastRenderedPageBreak/>
        <w:t xml:space="preserve">We </w:t>
      </w:r>
      <w:r w:rsidR="08C2A9D0" w:rsidRPr="5EF360F5">
        <w:rPr>
          <w:rFonts w:ascii="Arial" w:eastAsia="Arial" w:hAnsi="Arial" w:cs="Arial"/>
          <w:sz w:val="24"/>
          <w:szCs w:val="24"/>
        </w:rPr>
        <w:t>receive</w:t>
      </w:r>
      <w:r w:rsidR="00F6262D">
        <w:rPr>
          <w:rFonts w:ascii="Arial" w:eastAsia="Arial" w:hAnsi="Arial" w:cs="Arial"/>
          <w:sz w:val="24"/>
          <w:szCs w:val="24"/>
        </w:rPr>
        <w:t>d</w:t>
      </w:r>
      <w:r w:rsidR="08C2A9D0" w:rsidRPr="5EF360F5">
        <w:rPr>
          <w:rFonts w:ascii="Arial" w:eastAsia="Arial" w:hAnsi="Arial" w:cs="Arial"/>
          <w:sz w:val="24"/>
          <w:szCs w:val="24"/>
        </w:rPr>
        <w:t xml:space="preserve"> a low proportion of complaints compared to the volume of cases and claims we deal</w:t>
      </w:r>
      <w:r w:rsidR="00FD5A02">
        <w:rPr>
          <w:rFonts w:ascii="Arial" w:eastAsia="Arial" w:hAnsi="Arial" w:cs="Arial"/>
          <w:sz w:val="24"/>
          <w:szCs w:val="24"/>
        </w:rPr>
        <w:t>t</w:t>
      </w:r>
      <w:r w:rsidR="08C2A9D0" w:rsidRPr="5EF360F5">
        <w:rPr>
          <w:rFonts w:ascii="Arial" w:eastAsia="Arial" w:hAnsi="Arial" w:cs="Arial"/>
          <w:sz w:val="24"/>
          <w:szCs w:val="24"/>
        </w:rPr>
        <w:t xml:space="preserve"> with </w:t>
      </w:r>
      <w:r w:rsidR="00FD5A02">
        <w:rPr>
          <w:rFonts w:ascii="Arial" w:eastAsia="Arial" w:hAnsi="Arial" w:cs="Arial"/>
          <w:sz w:val="24"/>
          <w:szCs w:val="24"/>
        </w:rPr>
        <w:t>this</w:t>
      </w:r>
      <w:r w:rsidR="08C2A9D0" w:rsidRPr="5EF360F5">
        <w:rPr>
          <w:rFonts w:ascii="Arial" w:eastAsia="Arial" w:hAnsi="Arial" w:cs="Arial"/>
          <w:sz w:val="24"/>
          <w:szCs w:val="24"/>
        </w:rPr>
        <w:t xml:space="preserve"> year. Of those contacts we c</w:t>
      </w:r>
      <w:r w:rsidR="00E103BA">
        <w:rPr>
          <w:rFonts w:ascii="Arial" w:eastAsia="Arial" w:hAnsi="Arial" w:cs="Arial"/>
          <w:sz w:val="24"/>
          <w:szCs w:val="24"/>
        </w:rPr>
        <w:t>ould</w:t>
      </w:r>
      <w:r w:rsidR="08C2A9D0" w:rsidRPr="5EF360F5">
        <w:rPr>
          <w:rFonts w:ascii="Arial" w:eastAsia="Arial" w:hAnsi="Arial" w:cs="Arial"/>
          <w:sz w:val="24"/>
          <w:szCs w:val="24"/>
        </w:rPr>
        <w:t xml:space="preserve"> reliably measure</w:t>
      </w:r>
      <w:r w:rsidR="5884E468" w:rsidRPr="7CBA0FA6">
        <w:rPr>
          <w:rFonts w:ascii="Arial" w:eastAsia="Arial" w:hAnsi="Arial" w:cs="Arial"/>
          <w:sz w:val="24"/>
          <w:szCs w:val="24"/>
        </w:rPr>
        <w:t>,</w:t>
      </w:r>
      <w:r w:rsidR="2C0DA21B" w:rsidRPr="7CBA0FA6">
        <w:rPr>
          <w:rFonts w:ascii="Arial" w:eastAsia="Arial" w:hAnsi="Arial" w:cs="Arial"/>
          <w:sz w:val="24"/>
          <w:szCs w:val="24"/>
        </w:rPr>
        <w:t xml:space="preserve"> </w:t>
      </w:r>
      <w:r w:rsidR="2CBC8F7F" w:rsidRPr="7CBA0FA6">
        <w:rPr>
          <w:rFonts w:ascii="Arial" w:eastAsia="Arial" w:hAnsi="Arial" w:cs="Arial"/>
          <w:sz w:val="24"/>
          <w:szCs w:val="24"/>
        </w:rPr>
        <w:t>230,664</w:t>
      </w:r>
      <w:r w:rsidR="08C2A9D0" w:rsidRPr="5EF360F5">
        <w:rPr>
          <w:rFonts w:ascii="Arial" w:eastAsia="Arial" w:hAnsi="Arial" w:cs="Arial"/>
          <w:sz w:val="24"/>
          <w:szCs w:val="24"/>
        </w:rPr>
        <w:t xml:space="preserve"> in </w:t>
      </w:r>
      <w:r w:rsidR="2C0DA21B" w:rsidRPr="7CBA0FA6">
        <w:rPr>
          <w:rFonts w:ascii="Arial" w:eastAsia="Arial" w:hAnsi="Arial" w:cs="Arial"/>
          <w:sz w:val="24"/>
          <w:szCs w:val="24"/>
        </w:rPr>
        <w:t>202</w:t>
      </w:r>
      <w:r w:rsidR="0787A7BD" w:rsidRPr="7CBA0FA6">
        <w:rPr>
          <w:rFonts w:ascii="Arial" w:eastAsia="Arial" w:hAnsi="Arial" w:cs="Arial"/>
          <w:sz w:val="24"/>
          <w:szCs w:val="24"/>
        </w:rPr>
        <w:t>3</w:t>
      </w:r>
      <w:r w:rsidR="2C0DA21B" w:rsidRPr="7CBA0FA6">
        <w:rPr>
          <w:rFonts w:ascii="Arial" w:eastAsia="Arial" w:hAnsi="Arial" w:cs="Arial"/>
          <w:sz w:val="24"/>
          <w:szCs w:val="24"/>
        </w:rPr>
        <w:t>-2</w:t>
      </w:r>
      <w:r w:rsidR="72F56928" w:rsidRPr="7CBA0FA6">
        <w:rPr>
          <w:rFonts w:ascii="Arial" w:eastAsia="Arial" w:hAnsi="Arial" w:cs="Arial"/>
          <w:sz w:val="24"/>
          <w:szCs w:val="24"/>
        </w:rPr>
        <w:t>4,</w:t>
      </w:r>
      <w:r w:rsidR="08C2A9D0" w:rsidRPr="5EF360F5">
        <w:rPr>
          <w:rFonts w:ascii="Arial" w:eastAsia="Arial" w:hAnsi="Arial" w:cs="Arial"/>
          <w:sz w:val="24"/>
          <w:szCs w:val="24"/>
        </w:rPr>
        <w:t xml:space="preserve"> </w:t>
      </w:r>
      <w:r w:rsidR="007E5E91">
        <w:rPr>
          <w:rFonts w:ascii="Arial" w:eastAsia="Arial" w:hAnsi="Arial" w:cs="Arial"/>
          <w:sz w:val="24"/>
          <w:szCs w:val="24"/>
        </w:rPr>
        <w:t>it</w:t>
      </w:r>
      <w:r w:rsidR="08C2A9D0" w:rsidRPr="5EF360F5">
        <w:rPr>
          <w:rFonts w:ascii="Arial" w:eastAsia="Arial" w:hAnsi="Arial" w:cs="Arial"/>
          <w:sz w:val="24"/>
          <w:szCs w:val="24"/>
        </w:rPr>
        <w:t xml:space="preserve"> equate</w:t>
      </w:r>
      <w:r w:rsidR="008F1792">
        <w:rPr>
          <w:rFonts w:ascii="Arial" w:eastAsia="Arial" w:hAnsi="Arial" w:cs="Arial"/>
          <w:sz w:val="24"/>
          <w:szCs w:val="24"/>
        </w:rPr>
        <w:t>d</w:t>
      </w:r>
      <w:r w:rsidR="08C2A9D0" w:rsidRPr="5EF360F5">
        <w:rPr>
          <w:rFonts w:ascii="Arial" w:eastAsia="Arial" w:hAnsi="Arial" w:cs="Arial"/>
          <w:sz w:val="24"/>
          <w:szCs w:val="24"/>
        </w:rPr>
        <w:t xml:space="preserve"> to Tier 1</w:t>
      </w:r>
      <w:r w:rsidR="0020673D">
        <w:rPr>
          <w:rStyle w:val="FootnoteReference"/>
          <w:rFonts w:ascii="Arial" w:eastAsia="Arial" w:hAnsi="Arial" w:cs="Arial"/>
          <w:sz w:val="24"/>
          <w:szCs w:val="24"/>
        </w:rPr>
        <w:footnoteReference w:id="5"/>
      </w:r>
      <w:r w:rsidR="08C2A9D0" w:rsidRPr="5EF360F5">
        <w:rPr>
          <w:rFonts w:ascii="Arial" w:eastAsia="Arial" w:hAnsi="Arial" w:cs="Arial"/>
          <w:sz w:val="24"/>
          <w:szCs w:val="24"/>
        </w:rPr>
        <w:t xml:space="preserve"> complaints being approx. 0.</w:t>
      </w:r>
      <w:r w:rsidR="2C0DA21B" w:rsidRPr="7CBA0FA6">
        <w:rPr>
          <w:rFonts w:ascii="Arial" w:eastAsia="Arial" w:hAnsi="Arial" w:cs="Arial"/>
          <w:sz w:val="24"/>
          <w:szCs w:val="24"/>
        </w:rPr>
        <w:t>1</w:t>
      </w:r>
      <w:r w:rsidR="4A6AF346" w:rsidRPr="7CBA0FA6">
        <w:rPr>
          <w:rFonts w:ascii="Arial" w:eastAsia="Arial" w:hAnsi="Arial" w:cs="Arial"/>
          <w:sz w:val="24"/>
          <w:szCs w:val="24"/>
        </w:rPr>
        <w:t>0</w:t>
      </w:r>
      <w:r w:rsidR="08C2A9D0" w:rsidRPr="5EF360F5">
        <w:rPr>
          <w:rFonts w:ascii="Arial" w:eastAsia="Arial" w:hAnsi="Arial" w:cs="Arial"/>
          <w:sz w:val="24"/>
          <w:szCs w:val="24"/>
        </w:rPr>
        <w:t>% of measured customer contacts. T</w:t>
      </w:r>
      <w:r w:rsidR="005F71DD">
        <w:rPr>
          <w:rFonts w:ascii="Arial" w:eastAsia="Arial" w:hAnsi="Arial" w:cs="Arial"/>
          <w:sz w:val="24"/>
          <w:szCs w:val="24"/>
        </w:rPr>
        <w:t xml:space="preserve">ier </w:t>
      </w:r>
      <w:r w:rsidR="08C2A9D0" w:rsidRPr="5EF360F5">
        <w:rPr>
          <w:rFonts w:ascii="Arial" w:eastAsia="Arial" w:hAnsi="Arial" w:cs="Arial"/>
          <w:sz w:val="24"/>
          <w:szCs w:val="24"/>
        </w:rPr>
        <w:t>3 cases equate</w:t>
      </w:r>
      <w:r w:rsidR="0002618A">
        <w:rPr>
          <w:rFonts w:ascii="Arial" w:eastAsia="Arial" w:hAnsi="Arial" w:cs="Arial"/>
          <w:sz w:val="24"/>
          <w:szCs w:val="24"/>
        </w:rPr>
        <w:t>d</w:t>
      </w:r>
      <w:r w:rsidR="08C2A9D0" w:rsidRPr="5EF360F5">
        <w:rPr>
          <w:rFonts w:ascii="Arial" w:eastAsia="Arial" w:hAnsi="Arial" w:cs="Arial"/>
          <w:sz w:val="24"/>
          <w:szCs w:val="24"/>
        </w:rPr>
        <w:t xml:space="preserve"> to approx. 0.</w:t>
      </w:r>
      <w:r w:rsidR="2C0DA21B" w:rsidRPr="7CBA0FA6">
        <w:rPr>
          <w:rFonts w:ascii="Arial" w:eastAsia="Arial" w:hAnsi="Arial" w:cs="Arial"/>
          <w:sz w:val="24"/>
          <w:szCs w:val="24"/>
        </w:rPr>
        <w:t>0</w:t>
      </w:r>
      <w:r w:rsidR="1B3AC9A7" w:rsidRPr="7CBA0FA6">
        <w:rPr>
          <w:rFonts w:ascii="Arial" w:eastAsia="Arial" w:hAnsi="Arial" w:cs="Arial"/>
          <w:sz w:val="24"/>
          <w:szCs w:val="24"/>
        </w:rPr>
        <w:t>06</w:t>
      </w:r>
      <w:r w:rsidR="08C2A9D0" w:rsidRPr="5EF360F5">
        <w:rPr>
          <w:rFonts w:ascii="Arial" w:eastAsia="Arial" w:hAnsi="Arial" w:cs="Arial"/>
          <w:sz w:val="24"/>
          <w:szCs w:val="24"/>
        </w:rPr>
        <w:t>% of our measured customer contacts.</w:t>
      </w:r>
      <w:r w:rsidR="08C2A9D0" w:rsidRPr="5EF360F5">
        <w:rPr>
          <w:rFonts w:ascii="Arial" w:hAnsi="Arial" w:cs="Arial"/>
          <w:sz w:val="24"/>
          <w:szCs w:val="24"/>
        </w:rPr>
        <w:t xml:space="preserve"> </w:t>
      </w:r>
      <w:r w:rsidR="2EC2A641" w:rsidRPr="5EF360F5">
        <w:rPr>
          <w:rFonts w:ascii="Arial" w:hAnsi="Arial" w:cs="Arial"/>
          <w:sz w:val="24"/>
          <w:szCs w:val="24"/>
        </w:rPr>
        <w:t>Our overall complaint numbers in 2023-24 decreased by 18%.</w:t>
      </w:r>
    </w:p>
    <w:p w14:paraId="2CA30A69" w14:textId="693DB0D8" w:rsidR="00F22CCA" w:rsidRDefault="366C1DC4" w:rsidP="00C6460B">
      <w:pPr>
        <w:rPr>
          <w:rFonts w:ascii="Arial" w:hAnsi="Arial" w:cs="Arial"/>
          <w:sz w:val="24"/>
          <w:szCs w:val="24"/>
        </w:rPr>
      </w:pPr>
      <w:r w:rsidRPr="5EF360F5">
        <w:rPr>
          <w:rFonts w:ascii="Arial" w:hAnsi="Arial" w:cs="Arial"/>
          <w:sz w:val="24"/>
          <w:szCs w:val="24"/>
        </w:rPr>
        <w:t>Our targets for complaint responses are stretching</w:t>
      </w:r>
      <w:r w:rsidR="7147560A" w:rsidRPr="5EF360F5">
        <w:rPr>
          <w:rFonts w:ascii="Arial" w:hAnsi="Arial" w:cs="Arial"/>
          <w:sz w:val="24"/>
          <w:szCs w:val="24"/>
        </w:rPr>
        <w:t xml:space="preserve"> </w:t>
      </w:r>
      <w:r w:rsidR="475B4C69" w:rsidRPr="5EF360F5">
        <w:rPr>
          <w:rFonts w:ascii="Arial" w:hAnsi="Arial" w:cs="Arial"/>
          <w:sz w:val="24"/>
          <w:szCs w:val="24"/>
        </w:rPr>
        <w:t>when compared to other Gover</w:t>
      </w:r>
      <w:r w:rsidR="79EBD73D" w:rsidRPr="5EF360F5">
        <w:rPr>
          <w:rFonts w:ascii="Arial" w:hAnsi="Arial" w:cs="Arial"/>
          <w:sz w:val="24"/>
          <w:szCs w:val="24"/>
        </w:rPr>
        <w:t>n</w:t>
      </w:r>
      <w:r w:rsidR="475B4C69" w:rsidRPr="5EF360F5">
        <w:rPr>
          <w:rFonts w:ascii="Arial" w:hAnsi="Arial" w:cs="Arial"/>
          <w:sz w:val="24"/>
          <w:szCs w:val="24"/>
        </w:rPr>
        <w:t>ment organisations</w:t>
      </w:r>
      <w:r w:rsidRPr="5EF360F5">
        <w:rPr>
          <w:rFonts w:ascii="Arial" w:hAnsi="Arial" w:cs="Arial"/>
          <w:sz w:val="24"/>
          <w:szCs w:val="24"/>
        </w:rPr>
        <w:t xml:space="preserve"> both in terms of the</w:t>
      </w:r>
      <w:r w:rsidR="2360FC92" w:rsidRPr="5EF360F5">
        <w:rPr>
          <w:rFonts w:ascii="Arial" w:hAnsi="Arial" w:cs="Arial"/>
          <w:sz w:val="24"/>
          <w:szCs w:val="24"/>
        </w:rPr>
        <w:t xml:space="preserve"> target response</w:t>
      </w:r>
      <w:r w:rsidRPr="5EF360F5">
        <w:rPr>
          <w:rFonts w:ascii="Arial" w:hAnsi="Arial" w:cs="Arial"/>
          <w:sz w:val="24"/>
          <w:szCs w:val="24"/>
        </w:rPr>
        <w:t xml:space="preserve"> time and in the</w:t>
      </w:r>
      <w:r w:rsidR="61FF13D5" w:rsidRPr="5EF360F5">
        <w:rPr>
          <w:rFonts w:ascii="Arial" w:hAnsi="Arial" w:cs="Arial"/>
          <w:sz w:val="24"/>
          <w:szCs w:val="24"/>
        </w:rPr>
        <w:t xml:space="preserve"> achievem</w:t>
      </w:r>
      <w:r w:rsidR="706EA629" w:rsidRPr="5EF360F5">
        <w:rPr>
          <w:rFonts w:ascii="Arial" w:hAnsi="Arial" w:cs="Arial"/>
          <w:sz w:val="24"/>
          <w:szCs w:val="24"/>
        </w:rPr>
        <w:t>e</w:t>
      </w:r>
      <w:r w:rsidR="61FF13D5" w:rsidRPr="5EF360F5">
        <w:rPr>
          <w:rFonts w:ascii="Arial" w:hAnsi="Arial" w:cs="Arial"/>
          <w:sz w:val="24"/>
          <w:szCs w:val="24"/>
        </w:rPr>
        <w:t xml:space="preserve">nt target. </w:t>
      </w:r>
      <w:r w:rsidR="04BC103A" w:rsidRPr="5EF360F5">
        <w:rPr>
          <w:rFonts w:ascii="Arial" w:hAnsi="Arial" w:cs="Arial"/>
          <w:sz w:val="24"/>
          <w:szCs w:val="24"/>
        </w:rPr>
        <w:t xml:space="preserve">We </w:t>
      </w:r>
      <w:r w:rsidR="00F22CCA">
        <w:rPr>
          <w:rFonts w:ascii="Arial" w:hAnsi="Arial" w:cs="Arial"/>
          <w:sz w:val="24"/>
          <w:szCs w:val="24"/>
        </w:rPr>
        <w:t xml:space="preserve">responded to </w:t>
      </w:r>
      <w:r w:rsidR="008D77A3">
        <w:rPr>
          <w:rFonts w:ascii="Arial" w:hAnsi="Arial" w:cs="Arial"/>
          <w:sz w:val="24"/>
          <w:szCs w:val="24"/>
        </w:rPr>
        <w:t xml:space="preserve">89% of complaints within 10 working days </w:t>
      </w:r>
      <w:r w:rsidR="07C755C8" w:rsidRPr="5EF360F5">
        <w:rPr>
          <w:rFonts w:ascii="Arial" w:hAnsi="Arial" w:cs="Arial"/>
          <w:sz w:val="24"/>
          <w:szCs w:val="24"/>
        </w:rPr>
        <w:t>(against a target of 90%)</w:t>
      </w:r>
      <w:r w:rsidR="0926D026" w:rsidRPr="5EF360F5">
        <w:rPr>
          <w:rFonts w:ascii="Arial" w:hAnsi="Arial" w:cs="Arial"/>
          <w:sz w:val="24"/>
          <w:szCs w:val="24"/>
        </w:rPr>
        <w:t xml:space="preserve"> </w:t>
      </w:r>
      <w:r w:rsidR="008D77A3">
        <w:rPr>
          <w:rFonts w:ascii="Arial" w:hAnsi="Arial" w:cs="Arial"/>
          <w:sz w:val="24"/>
          <w:szCs w:val="24"/>
        </w:rPr>
        <w:t xml:space="preserve">and 98% within 20 </w:t>
      </w:r>
      <w:r w:rsidR="00A539D3">
        <w:rPr>
          <w:rFonts w:ascii="Arial" w:hAnsi="Arial" w:cs="Arial"/>
          <w:sz w:val="24"/>
          <w:szCs w:val="24"/>
        </w:rPr>
        <w:t>working days</w:t>
      </w:r>
      <w:r w:rsidR="39572138" w:rsidRPr="5EF360F5">
        <w:rPr>
          <w:rFonts w:ascii="Arial" w:hAnsi="Arial" w:cs="Arial"/>
          <w:sz w:val="24"/>
          <w:szCs w:val="24"/>
        </w:rPr>
        <w:t xml:space="preserve"> </w:t>
      </w:r>
      <w:r w:rsidR="46D94DF7" w:rsidRPr="5EF360F5">
        <w:rPr>
          <w:rFonts w:ascii="Arial" w:hAnsi="Arial" w:cs="Arial"/>
          <w:sz w:val="24"/>
          <w:szCs w:val="24"/>
        </w:rPr>
        <w:t>(against a target of 95%)</w:t>
      </w:r>
      <w:r w:rsidR="5C182D11" w:rsidRPr="5EF360F5">
        <w:rPr>
          <w:rFonts w:ascii="Arial" w:hAnsi="Arial" w:cs="Arial"/>
          <w:sz w:val="24"/>
          <w:szCs w:val="24"/>
        </w:rPr>
        <w:t xml:space="preserve">. </w:t>
      </w:r>
      <w:r w:rsidR="69061DA4" w:rsidRPr="5EF360F5">
        <w:rPr>
          <w:rFonts w:ascii="Arial" w:hAnsi="Arial" w:cs="Arial"/>
          <w:sz w:val="24"/>
          <w:szCs w:val="24"/>
        </w:rPr>
        <w:t xml:space="preserve">Whilst this is a </w:t>
      </w:r>
      <w:r w:rsidR="0060265B">
        <w:rPr>
          <w:rFonts w:ascii="Arial" w:hAnsi="Arial" w:cs="Arial"/>
          <w:sz w:val="24"/>
          <w:szCs w:val="24"/>
        </w:rPr>
        <w:t xml:space="preserve">small </w:t>
      </w:r>
      <w:r w:rsidR="69061DA4" w:rsidRPr="5EF360F5">
        <w:rPr>
          <w:rFonts w:ascii="Arial" w:hAnsi="Arial" w:cs="Arial"/>
          <w:sz w:val="24"/>
          <w:szCs w:val="24"/>
        </w:rPr>
        <w:t>decrease over last year</w:t>
      </w:r>
      <w:r w:rsidR="009C1447">
        <w:rPr>
          <w:rFonts w:ascii="Arial" w:hAnsi="Arial" w:cs="Arial"/>
          <w:sz w:val="24"/>
          <w:szCs w:val="24"/>
        </w:rPr>
        <w:t>’</w:t>
      </w:r>
      <w:r w:rsidR="69061DA4" w:rsidRPr="5EF360F5">
        <w:rPr>
          <w:rFonts w:ascii="Arial" w:hAnsi="Arial" w:cs="Arial"/>
          <w:sz w:val="24"/>
          <w:szCs w:val="24"/>
        </w:rPr>
        <w:t>s performance</w:t>
      </w:r>
      <w:r w:rsidR="1E1A375D" w:rsidRPr="5EF360F5">
        <w:rPr>
          <w:rFonts w:ascii="Arial" w:hAnsi="Arial" w:cs="Arial"/>
          <w:sz w:val="24"/>
          <w:szCs w:val="24"/>
        </w:rPr>
        <w:t xml:space="preserve"> the </w:t>
      </w:r>
      <w:r w:rsidR="001C18C0">
        <w:rPr>
          <w:rFonts w:ascii="Arial" w:hAnsi="Arial" w:cs="Arial"/>
          <w:sz w:val="24"/>
          <w:szCs w:val="24"/>
        </w:rPr>
        <w:t>overall reduction</w:t>
      </w:r>
      <w:r w:rsidR="1E1A375D" w:rsidRPr="5EF360F5">
        <w:rPr>
          <w:rFonts w:ascii="Arial" w:hAnsi="Arial" w:cs="Arial"/>
          <w:sz w:val="24"/>
          <w:szCs w:val="24"/>
        </w:rPr>
        <w:t xml:space="preserve"> in complaint numbers</w:t>
      </w:r>
      <w:r w:rsidR="1ADC502D" w:rsidRPr="5EF360F5">
        <w:rPr>
          <w:rFonts w:ascii="Arial" w:hAnsi="Arial" w:cs="Arial"/>
          <w:sz w:val="24"/>
          <w:szCs w:val="24"/>
        </w:rPr>
        <w:t xml:space="preserve"> means </w:t>
      </w:r>
      <w:r w:rsidR="588609AB" w:rsidRPr="5EF360F5">
        <w:rPr>
          <w:rFonts w:ascii="Arial" w:hAnsi="Arial" w:cs="Arial"/>
          <w:sz w:val="24"/>
          <w:szCs w:val="24"/>
        </w:rPr>
        <w:t>a corresponding larger impact on st</w:t>
      </w:r>
      <w:r w:rsidR="2948EC3E" w:rsidRPr="5EF360F5">
        <w:rPr>
          <w:rFonts w:ascii="Arial" w:hAnsi="Arial" w:cs="Arial"/>
          <w:sz w:val="24"/>
          <w:szCs w:val="24"/>
        </w:rPr>
        <w:t xml:space="preserve">atistical data </w:t>
      </w:r>
      <w:r w:rsidR="7189CF72" w:rsidRPr="5EF360F5">
        <w:rPr>
          <w:rFonts w:ascii="Arial" w:hAnsi="Arial" w:cs="Arial"/>
          <w:sz w:val="24"/>
          <w:szCs w:val="24"/>
        </w:rPr>
        <w:t>when a target is missed</w:t>
      </w:r>
      <w:r w:rsidR="588609AB" w:rsidRPr="5EF360F5">
        <w:rPr>
          <w:rFonts w:ascii="Arial" w:hAnsi="Arial" w:cs="Arial"/>
          <w:sz w:val="24"/>
          <w:szCs w:val="24"/>
        </w:rPr>
        <w:t xml:space="preserve">. </w:t>
      </w:r>
    </w:p>
    <w:p w14:paraId="52B585CB" w14:textId="67C53ACF" w:rsidR="00C6460B" w:rsidRDefault="2C34F532" w:rsidP="00C6460B">
      <w:pPr>
        <w:spacing w:after="0" w:line="276" w:lineRule="auto"/>
        <w:rPr>
          <w:rFonts w:ascii="Arial" w:eastAsia="Arial" w:hAnsi="Arial" w:cs="Arial"/>
          <w:sz w:val="24"/>
          <w:szCs w:val="24"/>
        </w:rPr>
      </w:pPr>
      <w:r w:rsidRPr="5EF360F5">
        <w:rPr>
          <w:rFonts w:ascii="Arial" w:eastAsia="Arial" w:hAnsi="Arial" w:cs="Arial"/>
          <w:sz w:val="24"/>
          <w:szCs w:val="24"/>
        </w:rPr>
        <w:t xml:space="preserve">Our escalation rates show that </w:t>
      </w:r>
      <w:r w:rsidR="004D6F80" w:rsidRPr="5EF360F5">
        <w:rPr>
          <w:rFonts w:ascii="Arial" w:eastAsia="Arial" w:hAnsi="Arial" w:cs="Arial"/>
          <w:sz w:val="24"/>
          <w:szCs w:val="24"/>
        </w:rPr>
        <w:t>most</w:t>
      </w:r>
      <w:r w:rsidRPr="5EF360F5">
        <w:rPr>
          <w:rFonts w:ascii="Arial" w:eastAsia="Arial" w:hAnsi="Arial" w:cs="Arial"/>
          <w:sz w:val="24"/>
          <w:szCs w:val="24"/>
        </w:rPr>
        <w:t xml:space="preserve"> complaints are resolved at Tier 1 with</w:t>
      </w:r>
      <w:r w:rsidR="007C65F1">
        <w:rPr>
          <w:rFonts w:ascii="Arial" w:eastAsia="Arial" w:hAnsi="Arial" w:cs="Arial"/>
          <w:sz w:val="24"/>
          <w:szCs w:val="24"/>
        </w:rPr>
        <w:t xml:space="preserve"> only</w:t>
      </w:r>
      <w:r w:rsidR="500EB13E" w:rsidRPr="5EF360F5">
        <w:rPr>
          <w:rFonts w:ascii="Arial" w:eastAsia="Arial" w:hAnsi="Arial" w:cs="Arial"/>
          <w:sz w:val="24"/>
          <w:szCs w:val="24"/>
        </w:rPr>
        <w:t xml:space="preserve"> </w:t>
      </w:r>
      <w:r w:rsidRPr="5EF360F5">
        <w:rPr>
          <w:rFonts w:ascii="Arial" w:eastAsia="Arial" w:hAnsi="Arial" w:cs="Arial"/>
          <w:sz w:val="24"/>
          <w:szCs w:val="24"/>
        </w:rPr>
        <w:t xml:space="preserve">30% moving to further escalation. The last 5 years have seen no cases, which have gone to Tier 3, </w:t>
      </w:r>
      <w:r w:rsidR="00F70C2D">
        <w:rPr>
          <w:rFonts w:ascii="Arial" w:eastAsia="Arial" w:hAnsi="Arial" w:cs="Arial"/>
          <w:sz w:val="24"/>
          <w:szCs w:val="24"/>
        </w:rPr>
        <w:t xml:space="preserve">being </w:t>
      </w:r>
      <w:r w:rsidRPr="5EF360F5">
        <w:rPr>
          <w:rFonts w:ascii="Arial" w:eastAsia="Arial" w:hAnsi="Arial" w:cs="Arial"/>
          <w:sz w:val="24"/>
          <w:szCs w:val="24"/>
        </w:rPr>
        <w:t>overturned following CEO review.</w:t>
      </w:r>
      <w:r w:rsidRPr="5EF360F5">
        <w:rPr>
          <w:rFonts w:ascii="Arial" w:hAnsi="Arial" w:cs="Arial"/>
          <w:sz w:val="24"/>
          <w:szCs w:val="24"/>
        </w:rPr>
        <w:t xml:space="preserve"> </w:t>
      </w:r>
      <w:r w:rsidR="00ED4BE2">
        <w:rPr>
          <w:rFonts w:ascii="Arial" w:hAnsi="Arial" w:cs="Arial"/>
          <w:sz w:val="24"/>
          <w:szCs w:val="24"/>
        </w:rPr>
        <w:t xml:space="preserve">We continue to focus on </w:t>
      </w:r>
      <w:r w:rsidR="00214FC4">
        <w:rPr>
          <w:rFonts w:ascii="Arial" w:hAnsi="Arial" w:cs="Arial"/>
          <w:sz w:val="24"/>
          <w:szCs w:val="24"/>
        </w:rPr>
        <w:t xml:space="preserve">learning lessons from complaints and </w:t>
      </w:r>
      <w:r w:rsidR="00806427">
        <w:rPr>
          <w:rFonts w:ascii="Arial" w:hAnsi="Arial" w:cs="Arial"/>
          <w:sz w:val="24"/>
          <w:szCs w:val="24"/>
        </w:rPr>
        <w:t>as a result</w:t>
      </w:r>
      <w:r w:rsidR="00214FC4">
        <w:rPr>
          <w:rFonts w:ascii="Arial" w:hAnsi="Arial" w:cs="Arial"/>
          <w:sz w:val="24"/>
          <w:szCs w:val="24"/>
        </w:rPr>
        <w:t xml:space="preserve"> </w:t>
      </w:r>
      <w:r w:rsidR="000E1893" w:rsidRPr="5EF360F5">
        <w:rPr>
          <w:rFonts w:ascii="Arial" w:hAnsi="Arial" w:cs="Arial"/>
          <w:sz w:val="24"/>
          <w:szCs w:val="24"/>
        </w:rPr>
        <w:t>several</w:t>
      </w:r>
      <w:r w:rsidR="00214FC4">
        <w:rPr>
          <w:rFonts w:ascii="Arial" w:hAnsi="Arial" w:cs="Arial"/>
          <w:sz w:val="24"/>
          <w:szCs w:val="24"/>
        </w:rPr>
        <w:t xml:space="preserve"> required improvements have been implemented.</w:t>
      </w:r>
      <w:r w:rsidR="00E04787">
        <w:rPr>
          <w:rFonts w:ascii="Arial" w:eastAsia="Arial" w:hAnsi="Arial" w:cs="Arial"/>
          <w:sz w:val="24"/>
          <w:szCs w:val="24"/>
        </w:rPr>
        <w:t xml:space="preserve"> </w:t>
      </w:r>
      <w:r w:rsidR="4E092054" w:rsidRPr="7CBA0FA6">
        <w:rPr>
          <w:rFonts w:ascii="Arial" w:hAnsi="Arial" w:cs="Arial"/>
          <w:sz w:val="24"/>
          <w:szCs w:val="24"/>
        </w:rPr>
        <w:t>These include</w:t>
      </w:r>
      <w:r w:rsidR="00245FC1">
        <w:rPr>
          <w:rFonts w:ascii="Arial" w:hAnsi="Arial" w:cs="Arial"/>
          <w:sz w:val="24"/>
          <w:szCs w:val="24"/>
        </w:rPr>
        <w:t xml:space="preserve"> </w:t>
      </w:r>
      <w:r w:rsidR="00EB382C">
        <w:rPr>
          <w:rFonts w:ascii="Arial" w:hAnsi="Arial" w:cs="Arial"/>
          <w:sz w:val="24"/>
          <w:szCs w:val="24"/>
        </w:rPr>
        <w:t>updated</w:t>
      </w:r>
      <w:r w:rsidR="00676B61">
        <w:rPr>
          <w:rFonts w:ascii="Arial" w:hAnsi="Arial" w:cs="Arial"/>
          <w:sz w:val="24"/>
          <w:szCs w:val="24"/>
        </w:rPr>
        <w:t xml:space="preserve"> g</w:t>
      </w:r>
      <w:r w:rsidR="00D00DA3">
        <w:rPr>
          <w:rFonts w:ascii="Arial" w:hAnsi="Arial" w:cs="Arial"/>
          <w:sz w:val="24"/>
          <w:szCs w:val="24"/>
        </w:rPr>
        <w:t>u</w:t>
      </w:r>
      <w:r w:rsidR="00676B61">
        <w:rPr>
          <w:rFonts w:ascii="Arial" w:hAnsi="Arial" w:cs="Arial"/>
          <w:sz w:val="24"/>
          <w:szCs w:val="24"/>
        </w:rPr>
        <w:t xml:space="preserve">idance </w:t>
      </w:r>
      <w:r w:rsidR="00D53719">
        <w:rPr>
          <w:rFonts w:ascii="Arial" w:hAnsi="Arial" w:cs="Arial"/>
          <w:sz w:val="24"/>
          <w:szCs w:val="24"/>
        </w:rPr>
        <w:t xml:space="preserve">on </w:t>
      </w:r>
      <w:r w:rsidR="00477DA6">
        <w:rPr>
          <w:rFonts w:ascii="Arial" w:hAnsi="Arial" w:cs="Arial"/>
          <w:sz w:val="24"/>
          <w:szCs w:val="24"/>
        </w:rPr>
        <w:t xml:space="preserve">the treatment of </w:t>
      </w:r>
      <w:r w:rsidR="00D53719">
        <w:rPr>
          <w:rFonts w:ascii="Arial" w:hAnsi="Arial" w:cs="Arial"/>
          <w:sz w:val="24"/>
          <w:szCs w:val="24"/>
        </w:rPr>
        <w:t>residential leasehold properties</w:t>
      </w:r>
      <w:r w:rsidR="0087339A">
        <w:rPr>
          <w:rFonts w:ascii="Arial" w:hAnsi="Arial" w:cs="Arial"/>
          <w:sz w:val="24"/>
          <w:szCs w:val="24"/>
        </w:rPr>
        <w:t xml:space="preserve"> </w:t>
      </w:r>
      <w:r w:rsidR="00784B44">
        <w:rPr>
          <w:rFonts w:ascii="Arial" w:hAnsi="Arial" w:cs="Arial"/>
          <w:sz w:val="24"/>
          <w:szCs w:val="24"/>
        </w:rPr>
        <w:t xml:space="preserve">and delivery of associated training, </w:t>
      </w:r>
      <w:r w:rsidR="00C03985">
        <w:rPr>
          <w:rFonts w:ascii="Arial" w:hAnsi="Arial" w:cs="Arial"/>
          <w:sz w:val="24"/>
          <w:szCs w:val="24"/>
        </w:rPr>
        <w:t xml:space="preserve">the identification and correction of an error </w:t>
      </w:r>
      <w:r w:rsidR="00433FB1">
        <w:rPr>
          <w:rFonts w:ascii="Arial" w:hAnsi="Arial" w:cs="Arial"/>
          <w:sz w:val="24"/>
          <w:szCs w:val="24"/>
        </w:rPr>
        <w:t>in our Redundancy Payment</w:t>
      </w:r>
      <w:r w:rsidR="0027502D">
        <w:rPr>
          <w:rFonts w:ascii="Arial" w:hAnsi="Arial" w:cs="Arial"/>
          <w:sz w:val="24"/>
          <w:szCs w:val="24"/>
        </w:rPr>
        <w:t xml:space="preserve"> RTI reporting system</w:t>
      </w:r>
      <w:r w:rsidR="003C31F1">
        <w:rPr>
          <w:rFonts w:ascii="Arial" w:hAnsi="Arial" w:cs="Arial"/>
          <w:sz w:val="24"/>
          <w:szCs w:val="24"/>
        </w:rPr>
        <w:t xml:space="preserve"> that had resulted in individuals being </w:t>
      </w:r>
      <w:r w:rsidR="00360291">
        <w:rPr>
          <w:rFonts w:ascii="Arial" w:hAnsi="Arial" w:cs="Arial"/>
          <w:sz w:val="24"/>
          <w:szCs w:val="24"/>
        </w:rPr>
        <w:t xml:space="preserve">pursued for tax they did not owe and </w:t>
      </w:r>
      <w:r w:rsidR="00D70D3E">
        <w:rPr>
          <w:rFonts w:ascii="Arial" w:hAnsi="Arial" w:cs="Arial"/>
          <w:sz w:val="24"/>
          <w:szCs w:val="24"/>
        </w:rPr>
        <w:t xml:space="preserve">improvement to our </w:t>
      </w:r>
      <w:r w:rsidR="001203BC">
        <w:rPr>
          <w:rFonts w:ascii="Arial" w:hAnsi="Arial" w:cs="Arial"/>
          <w:sz w:val="24"/>
          <w:szCs w:val="24"/>
        </w:rPr>
        <w:t>RPS processes</w:t>
      </w:r>
      <w:r w:rsidR="003659D5">
        <w:rPr>
          <w:rFonts w:ascii="Arial" w:hAnsi="Arial" w:cs="Arial"/>
          <w:sz w:val="24"/>
          <w:szCs w:val="24"/>
        </w:rPr>
        <w:t xml:space="preserve"> </w:t>
      </w:r>
      <w:r w:rsidR="00727AAD">
        <w:rPr>
          <w:rFonts w:ascii="Arial" w:hAnsi="Arial" w:cs="Arial"/>
          <w:sz w:val="24"/>
          <w:szCs w:val="24"/>
        </w:rPr>
        <w:t xml:space="preserve">to minimise </w:t>
      </w:r>
      <w:r w:rsidR="00B53FE7">
        <w:rPr>
          <w:rFonts w:ascii="Arial" w:hAnsi="Arial" w:cs="Arial"/>
          <w:sz w:val="24"/>
          <w:szCs w:val="24"/>
        </w:rPr>
        <w:t>the number of incorrectly rejected claims.</w:t>
      </w:r>
    </w:p>
    <w:p w14:paraId="77308BBA" w14:textId="77777777" w:rsidR="00AB6523" w:rsidRDefault="00AB6523" w:rsidP="00C6460B">
      <w:pPr>
        <w:spacing w:after="0" w:line="276" w:lineRule="auto"/>
        <w:rPr>
          <w:rFonts w:ascii="Arial" w:hAnsi="Arial" w:cs="Arial"/>
          <w:sz w:val="24"/>
          <w:szCs w:val="24"/>
        </w:rPr>
      </w:pPr>
    </w:p>
    <w:p w14:paraId="7E81BCBB" w14:textId="6A5C6F8E" w:rsidR="00D319ED" w:rsidRPr="00C6460B" w:rsidRDefault="00D319ED" w:rsidP="00C6460B">
      <w:pPr>
        <w:spacing w:after="0" w:line="276" w:lineRule="auto"/>
        <w:rPr>
          <w:rFonts w:ascii="Arial" w:eastAsia="Arial" w:hAnsi="Arial" w:cs="Arial"/>
          <w:sz w:val="24"/>
          <w:szCs w:val="24"/>
        </w:rPr>
      </w:pPr>
      <w:r>
        <w:rPr>
          <w:rFonts w:ascii="Arial" w:hAnsi="Arial" w:cs="Arial"/>
          <w:sz w:val="24"/>
          <w:szCs w:val="24"/>
        </w:rPr>
        <w:t xml:space="preserve">The Parliamentary and Health Service Ombudsman </w:t>
      </w:r>
      <w:r w:rsidR="796B5169" w:rsidRPr="5EF360F5">
        <w:rPr>
          <w:rFonts w:ascii="Arial" w:hAnsi="Arial" w:cs="Arial"/>
          <w:sz w:val="24"/>
          <w:szCs w:val="24"/>
        </w:rPr>
        <w:t>(PHSO), our oversight regulator</w:t>
      </w:r>
      <w:r w:rsidR="146F8BBF" w:rsidRPr="5EF360F5">
        <w:rPr>
          <w:rFonts w:ascii="Arial" w:hAnsi="Arial" w:cs="Arial"/>
          <w:sz w:val="24"/>
          <w:szCs w:val="24"/>
        </w:rPr>
        <w:t xml:space="preserve">, has launched a set of </w:t>
      </w:r>
      <w:hyperlink r:id="rId30">
        <w:r w:rsidR="146F8BBF" w:rsidRPr="5EF360F5">
          <w:rPr>
            <w:rStyle w:val="Hyperlink"/>
            <w:rFonts w:ascii="Arial" w:hAnsi="Arial" w:cs="Arial"/>
            <w:sz w:val="24"/>
            <w:szCs w:val="24"/>
          </w:rPr>
          <w:t>UK Central Government Complaint Standards</w:t>
        </w:r>
      </w:hyperlink>
      <w:r w:rsidR="3DD37247" w:rsidRPr="5EF360F5">
        <w:rPr>
          <w:rFonts w:ascii="Arial" w:hAnsi="Arial" w:cs="Arial"/>
          <w:sz w:val="24"/>
          <w:szCs w:val="24"/>
        </w:rPr>
        <w:t xml:space="preserve"> which have been rolled out across Government. </w:t>
      </w:r>
      <w:r w:rsidR="005842F7">
        <w:rPr>
          <w:rFonts w:ascii="Arial" w:hAnsi="Arial" w:cs="Arial"/>
          <w:sz w:val="24"/>
          <w:szCs w:val="24"/>
        </w:rPr>
        <w:t>The standards provide a unified approach</w:t>
      </w:r>
      <w:r w:rsidR="00CE3AA3">
        <w:rPr>
          <w:rFonts w:ascii="Arial" w:hAnsi="Arial" w:cs="Arial"/>
          <w:sz w:val="24"/>
          <w:szCs w:val="24"/>
        </w:rPr>
        <w:t xml:space="preserve"> to complaint handling across all government departments</w:t>
      </w:r>
      <w:r w:rsidR="005E0876">
        <w:rPr>
          <w:rFonts w:ascii="Arial" w:hAnsi="Arial" w:cs="Arial"/>
          <w:sz w:val="24"/>
          <w:szCs w:val="24"/>
        </w:rPr>
        <w:t xml:space="preserve"> and support better communication </w:t>
      </w:r>
      <w:r w:rsidR="00247188">
        <w:rPr>
          <w:rFonts w:ascii="Arial" w:hAnsi="Arial" w:cs="Arial"/>
          <w:sz w:val="24"/>
          <w:szCs w:val="24"/>
        </w:rPr>
        <w:t>between providers and the public, leading to improved, more efficient public services.</w:t>
      </w:r>
      <w:r w:rsidR="006B5730">
        <w:rPr>
          <w:rFonts w:ascii="Arial" w:hAnsi="Arial" w:cs="Arial"/>
          <w:sz w:val="24"/>
          <w:szCs w:val="24"/>
        </w:rPr>
        <w:t xml:space="preserve"> We will be implementing </w:t>
      </w:r>
      <w:r w:rsidR="000E1893">
        <w:rPr>
          <w:rFonts w:ascii="Arial" w:hAnsi="Arial" w:cs="Arial"/>
          <w:sz w:val="24"/>
          <w:szCs w:val="24"/>
        </w:rPr>
        <w:t>several</w:t>
      </w:r>
      <w:r w:rsidR="006B5730">
        <w:rPr>
          <w:rFonts w:ascii="Arial" w:hAnsi="Arial" w:cs="Arial"/>
          <w:sz w:val="24"/>
          <w:szCs w:val="24"/>
        </w:rPr>
        <w:t xml:space="preserve"> changes to ensure we align with the new standards.</w:t>
      </w:r>
    </w:p>
    <w:p w14:paraId="560105DC" w14:textId="210985D4" w:rsidR="5EF360F5" w:rsidRDefault="5EF360F5" w:rsidP="5EF360F5">
      <w:pPr>
        <w:spacing w:after="0" w:line="276" w:lineRule="auto"/>
        <w:jc w:val="both"/>
        <w:rPr>
          <w:rFonts w:ascii="Arial" w:eastAsia="Arial" w:hAnsi="Arial" w:cs="Arial"/>
          <w:sz w:val="24"/>
          <w:szCs w:val="24"/>
        </w:rPr>
      </w:pPr>
    </w:p>
    <w:p w14:paraId="6A1F7A8E" w14:textId="77777777" w:rsidR="00FE1991" w:rsidRDefault="00FE1991">
      <w:pPr>
        <w:rPr>
          <w:rFonts w:ascii="Arial" w:hAnsi="Arial" w:cs="Arial"/>
          <w:b/>
          <w:bCs/>
          <w:color w:val="4472C4" w:themeColor="accent1"/>
          <w:sz w:val="32"/>
          <w:szCs w:val="32"/>
        </w:rPr>
      </w:pPr>
      <w:r>
        <w:rPr>
          <w:rFonts w:ascii="Arial" w:hAnsi="Arial" w:cs="Arial"/>
          <w:b/>
          <w:bCs/>
          <w:color w:val="4472C4" w:themeColor="accent1"/>
          <w:sz w:val="32"/>
          <w:szCs w:val="32"/>
        </w:rPr>
        <w:br w:type="page"/>
      </w:r>
    </w:p>
    <w:p w14:paraId="4421F725" w14:textId="319EA7C1" w:rsidR="00177C82" w:rsidRPr="0005574B" w:rsidRDefault="00623C73" w:rsidP="004919D3">
      <w:pPr>
        <w:pStyle w:val="Heading4"/>
        <w:rPr>
          <w:rFonts w:cs="Arial"/>
          <w:b w:val="0"/>
          <w:color w:val="4472C4" w:themeColor="accent1"/>
          <w:sz w:val="32"/>
          <w:szCs w:val="32"/>
        </w:rPr>
      </w:pPr>
      <w:r w:rsidRPr="0005574B">
        <w:rPr>
          <w:sz w:val="32"/>
          <w:szCs w:val="32"/>
        </w:rPr>
        <w:lastRenderedPageBreak/>
        <w:t xml:space="preserve">Shape a new approach </w:t>
      </w:r>
      <w:r w:rsidR="00761001" w:rsidRPr="0005574B">
        <w:rPr>
          <w:sz w:val="32"/>
          <w:szCs w:val="32"/>
        </w:rPr>
        <w:t>to prevent insolvency and</w:t>
      </w:r>
      <w:r w:rsidR="008D1905" w:rsidRPr="0005574B">
        <w:rPr>
          <w:sz w:val="32"/>
          <w:szCs w:val="32"/>
        </w:rPr>
        <w:t xml:space="preserve"> </w:t>
      </w:r>
      <w:r w:rsidR="00761001" w:rsidRPr="0005574B">
        <w:rPr>
          <w:sz w:val="32"/>
          <w:szCs w:val="32"/>
        </w:rPr>
        <w:t>rehabilitate through education and guidance</w:t>
      </w:r>
    </w:p>
    <w:p w14:paraId="2225953D" w14:textId="04281D97" w:rsidR="00FE1991" w:rsidRPr="00DC28DA" w:rsidRDefault="00974154" w:rsidP="005B08C3">
      <w:pPr>
        <w:rPr>
          <w:rFonts w:ascii="Arial" w:hAnsi="Arial" w:cs="Arial"/>
          <w:b/>
          <w:bCs/>
          <w:color w:val="4472C4" w:themeColor="accent1"/>
          <w:sz w:val="32"/>
          <w:szCs w:val="32"/>
        </w:rPr>
      </w:pPr>
      <w:r>
        <w:rPr>
          <w:rFonts w:ascii="Arial" w:hAnsi="Arial" w:cs="Arial"/>
          <w:b/>
          <w:bCs/>
          <w:noProof/>
          <w:color w:val="4472C4" w:themeColor="accent1"/>
          <w:sz w:val="32"/>
          <w:szCs w:val="32"/>
        </w:rPr>
        <w:drawing>
          <wp:inline distT="0" distB="0" distL="0" distR="0" wp14:anchorId="40DDE887" wp14:editId="63998D19">
            <wp:extent cx="5722620" cy="3815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22620" cy="381508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256"/>
        <w:gridCol w:w="1417"/>
        <w:gridCol w:w="4343"/>
      </w:tblGrid>
      <w:tr w:rsidR="00ED63FA" w14:paraId="7587697A" w14:textId="77777777">
        <w:tc>
          <w:tcPr>
            <w:tcW w:w="3256" w:type="dxa"/>
          </w:tcPr>
          <w:p w14:paraId="256A068E" w14:textId="77777777" w:rsidR="00ED63FA" w:rsidRDefault="00ED63FA">
            <w:pPr>
              <w:rPr>
                <w:rFonts w:ascii="Arial" w:hAnsi="Arial" w:cs="Arial"/>
                <w:color w:val="4472C4" w:themeColor="accent1"/>
                <w:sz w:val="24"/>
                <w:szCs w:val="24"/>
              </w:rPr>
            </w:pPr>
            <w:r>
              <w:rPr>
                <w:rFonts w:ascii="Arial" w:hAnsi="Arial" w:cs="Arial"/>
                <w:color w:val="4472C4" w:themeColor="accent1"/>
                <w:sz w:val="24"/>
                <w:szCs w:val="24"/>
              </w:rPr>
              <w:t>Objective</w:t>
            </w:r>
          </w:p>
        </w:tc>
        <w:tc>
          <w:tcPr>
            <w:tcW w:w="1417" w:type="dxa"/>
          </w:tcPr>
          <w:p w14:paraId="6F8A4263" w14:textId="77777777" w:rsidR="00ED63FA" w:rsidRDefault="00ED63FA">
            <w:pPr>
              <w:rPr>
                <w:rFonts w:ascii="Arial" w:hAnsi="Arial" w:cs="Arial"/>
                <w:color w:val="4472C4" w:themeColor="accent1"/>
                <w:sz w:val="24"/>
                <w:szCs w:val="24"/>
              </w:rPr>
            </w:pPr>
            <w:r>
              <w:rPr>
                <w:rFonts w:ascii="Arial" w:hAnsi="Arial" w:cs="Arial"/>
                <w:color w:val="4472C4" w:themeColor="accent1"/>
                <w:sz w:val="24"/>
                <w:szCs w:val="24"/>
              </w:rPr>
              <w:t>Status</w:t>
            </w:r>
          </w:p>
        </w:tc>
        <w:tc>
          <w:tcPr>
            <w:tcW w:w="4343" w:type="dxa"/>
          </w:tcPr>
          <w:p w14:paraId="2621B0C6" w14:textId="77777777" w:rsidR="00ED63FA" w:rsidRDefault="00ED63FA">
            <w:pPr>
              <w:rPr>
                <w:rFonts w:ascii="Arial" w:hAnsi="Arial" w:cs="Arial"/>
                <w:color w:val="4472C4" w:themeColor="accent1"/>
                <w:sz w:val="24"/>
                <w:szCs w:val="24"/>
              </w:rPr>
            </w:pPr>
            <w:r>
              <w:rPr>
                <w:rFonts w:ascii="Arial" w:hAnsi="Arial" w:cs="Arial"/>
                <w:color w:val="4472C4" w:themeColor="accent1"/>
                <w:sz w:val="24"/>
                <w:szCs w:val="24"/>
              </w:rPr>
              <w:t>Commentary</w:t>
            </w:r>
          </w:p>
        </w:tc>
      </w:tr>
      <w:tr w:rsidR="00ED63FA" w14:paraId="44F092CC" w14:textId="77777777">
        <w:tc>
          <w:tcPr>
            <w:tcW w:w="3256" w:type="dxa"/>
          </w:tcPr>
          <w:p w14:paraId="66E66D72" w14:textId="37A931AB" w:rsidR="00ED63FA" w:rsidRPr="00625870" w:rsidRDefault="00ED63FA">
            <w:pPr>
              <w:rPr>
                <w:rFonts w:ascii="Arial" w:hAnsi="Arial" w:cs="Arial"/>
                <w:sz w:val="24"/>
                <w:szCs w:val="24"/>
              </w:rPr>
            </w:pPr>
            <w:r>
              <w:rPr>
                <w:rFonts w:ascii="Arial" w:hAnsi="Arial" w:cs="Arial"/>
                <w:sz w:val="24"/>
                <w:szCs w:val="24"/>
              </w:rPr>
              <w:t xml:space="preserve">Provide </w:t>
            </w:r>
            <w:r w:rsidR="00483B7A">
              <w:rPr>
                <w:rFonts w:ascii="Arial" w:hAnsi="Arial" w:cs="Arial"/>
                <w:sz w:val="24"/>
                <w:szCs w:val="24"/>
              </w:rPr>
              <w:t xml:space="preserve">new guidance and support to help directors make informed decisions </w:t>
            </w:r>
            <w:r w:rsidR="00E715DD">
              <w:rPr>
                <w:rFonts w:ascii="Arial" w:hAnsi="Arial" w:cs="Arial"/>
                <w:sz w:val="24"/>
                <w:szCs w:val="24"/>
              </w:rPr>
              <w:t>about the financial health of their business</w:t>
            </w:r>
          </w:p>
        </w:tc>
        <w:tc>
          <w:tcPr>
            <w:tcW w:w="1417" w:type="dxa"/>
          </w:tcPr>
          <w:p w14:paraId="31019FA2" w14:textId="34056BF3" w:rsidR="00ED63FA" w:rsidRPr="00625870" w:rsidRDefault="00E715DD">
            <w:pPr>
              <w:rPr>
                <w:rFonts w:ascii="Arial" w:hAnsi="Arial" w:cs="Arial"/>
                <w:sz w:val="24"/>
                <w:szCs w:val="24"/>
              </w:rPr>
            </w:pPr>
            <w:r>
              <w:rPr>
                <w:rFonts w:ascii="Arial" w:hAnsi="Arial" w:cs="Arial"/>
                <w:sz w:val="24"/>
                <w:szCs w:val="24"/>
              </w:rPr>
              <w:t>Achieved</w:t>
            </w:r>
          </w:p>
        </w:tc>
        <w:tc>
          <w:tcPr>
            <w:tcW w:w="4343" w:type="dxa"/>
          </w:tcPr>
          <w:p w14:paraId="2655CEF0" w14:textId="14BDAF70" w:rsidR="00ED63FA" w:rsidRPr="00625870" w:rsidRDefault="00E715DD">
            <w:pPr>
              <w:rPr>
                <w:rFonts w:ascii="Arial" w:hAnsi="Arial" w:cs="Arial"/>
                <w:sz w:val="24"/>
                <w:szCs w:val="24"/>
              </w:rPr>
            </w:pPr>
            <w:r>
              <w:rPr>
                <w:rFonts w:ascii="Arial" w:hAnsi="Arial" w:cs="Arial"/>
                <w:sz w:val="24"/>
                <w:szCs w:val="24"/>
              </w:rPr>
              <w:t xml:space="preserve">We </w:t>
            </w:r>
            <w:r w:rsidR="00712740">
              <w:rPr>
                <w:rFonts w:ascii="Arial" w:hAnsi="Arial" w:cs="Arial"/>
                <w:sz w:val="24"/>
                <w:szCs w:val="24"/>
              </w:rPr>
              <w:t xml:space="preserve">launched our new Director Information Hub </w:t>
            </w:r>
            <w:r w:rsidR="008E4CBD">
              <w:rPr>
                <w:rFonts w:ascii="Arial" w:hAnsi="Arial" w:cs="Arial"/>
                <w:sz w:val="24"/>
                <w:szCs w:val="24"/>
              </w:rPr>
              <w:t>in July 2023</w:t>
            </w:r>
            <w:r w:rsidR="00D74790">
              <w:rPr>
                <w:rFonts w:ascii="Arial" w:hAnsi="Arial" w:cs="Arial"/>
                <w:sz w:val="24"/>
                <w:szCs w:val="24"/>
              </w:rPr>
              <w:t>. This</w:t>
            </w:r>
            <w:r w:rsidR="004161CC">
              <w:rPr>
                <w:rFonts w:ascii="Arial" w:hAnsi="Arial" w:cs="Arial"/>
                <w:sz w:val="24"/>
                <w:szCs w:val="24"/>
              </w:rPr>
              <w:t xml:space="preserve"> gives</w:t>
            </w:r>
            <w:r w:rsidR="008E4CBD">
              <w:rPr>
                <w:rFonts w:ascii="Arial" w:hAnsi="Arial" w:cs="Arial"/>
                <w:sz w:val="24"/>
                <w:szCs w:val="24"/>
              </w:rPr>
              <w:t xml:space="preserve"> directors of companies access to concise, bitesize inf</w:t>
            </w:r>
            <w:r w:rsidR="00D135CA">
              <w:rPr>
                <w:rFonts w:ascii="Arial" w:hAnsi="Arial" w:cs="Arial"/>
                <w:sz w:val="24"/>
                <w:szCs w:val="24"/>
              </w:rPr>
              <w:t xml:space="preserve">ormation and animations to guide them through the lifecycle of a company and help them to make the </w:t>
            </w:r>
            <w:r w:rsidR="00B14E68">
              <w:rPr>
                <w:rFonts w:ascii="Arial" w:hAnsi="Arial" w:cs="Arial"/>
                <w:sz w:val="24"/>
                <w:szCs w:val="24"/>
              </w:rPr>
              <w:t>right decision at the right times.</w:t>
            </w:r>
          </w:p>
        </w:tc>
      </w:tr>
    </w:tbl>
    <w:p w14:paraId="6081A96A" w14:textId="77777777" w:rsidR="00761001" w:rsidRDefault="00761001" w:rsidP="005B08C3">
      <w:pPr>
        <w:rPr>
          <w:rFonts w:ascii="Arial" w:hAnsi="Arial" w:cs="Arial"/>
          <w:sz w:val="24"/>
          <w:szCs w:val="24"/>
        </w:rPr>
      </w:pPr>
    </w:p>
    <w:p w14:paraId="5717A96D" w14:textId="1C581CA4" w:rsidR="00970877" w:rsidRPr="00970877" w:rsidRDefault="00970877" w:rsidP="004919D3">
      <w:pPr>
        <w:pStyle w:val="Heading4"/>
        <w:rPr>
          <w:rFonts w:cs="Arial"/>
          <w:b w:val="0"/>
          <w:sz w:val="24"/>
          <w:szCs w:val="24"/>
        </w:rPr>
      </w:pPr>
      <w:r w:rsidRPr="00970877">
        <w:t>How we performed</w:t>
      </w:r>
    </w:p>
    <w:tbl>
      <w:tblPr>
        <w:tblStyle w:val="TableGrid"/>
        <w:tblW w:w="0" w:type="auto"/>
        <w:tblLook w:val="04A0" w:firstRow="1" w:lastRow="0" w:firstColumn="1" w:lastColumn="0" w:noHBand="0" w:noVBand="1"/>
      </w:tblPr>
      <w:tblGrid>
        <w:gridCol w:w="4957"/>
        <w:gridCol w:w="1353"/>
        <w:gridCol w:w="1353"/>
        <w:gridCol w:w="1353"/>
      </w:tblGrid>
      <w:tr w:rsidR="008374BB" w14:paraId="5CAFAF30" w14:textId="77777777">
        <w:tc>
          <w:tcPr>
            <w:tcW w:w="9016" w:type="dxa"/>
            <w:gridSpan w:val="4"/>
            <w:shd w:val="clear" w:color="auto" w:fill="5B9BD5" w:themeFill="accent5"/>
          </w:tcPr>
          <w:p w14:paraId="7ABA6B34" w14:textId="77777777" w:rsidR="008374BB" w:rsidRPr="00904E2D" w:rsidRDefault="008374BB">
            <w:pPr>
              <w:rPr>
                <w:rFonts w:ascii="Arial" w:hAnsi="Arial" w:cs="Arial"/>
                <w:b/>
                <w:bCs/>
                <w:sz w:val="24"/>
                <w:szCs w:val="24"/>
              </w:rPr>
            </w:pPr>
            <w:r w:rsidRPr="00336CE9">
              <w:rPr>
                <w:rFonts w:ascii="Arial" w:hAnsi="Arial" w:cs="Arial"/>
                <w:b/>
                <w:bCs/>
                <w:color w:val="FFFFFF" w:themeColor="background1"/>
                <w:sz w:val="24"/>
                <w:szCs w:val="24"/>
              </w:rPr>
              <w:t>Performance measures</w:t>
            </w:r>
          </w:p>
        </w:tc>
      </w:tr>
      <w:tr w:rsidR="008374BB" w14:paraId="23038A1B" w14:textId="77777777">
        <w:tc>
          <w:tcPr>
            <w:tcW w:w="4957" w:type="dxa"/>
          </w:tcPr>
          <w:p w14:paraId="5AE0A3AC" w14:textId="77777777" w:rsidR="008374BB" w:rsidRDefault="008374BB">
            <w:pPr>
              <w:rPr>
                <w:rFonts w:ascii="Arial" w:hAnsi="Arial" w:cs="Arial"/>
                <w:sz w:val="24"/>
                <w:szCs w:val="24"/>
              </w:rPr>
            </w:pPr>
          </w:p>
        </w:tc>
        <w:tc>
          <w:tcPr>
            <w:tcW w:w="1353" w:type="dxa"/>
          </w:tcPr>
          <w:p w14:paraId="76F3D226" w14:textId="77777777" w:rsidR="008374BB" w:rsidRPr="00F01C1E" w:rsidRDefault="008374BB">
            <w:pPr>
              <w:jc w:val="center"/>
              <w:rPr>
                <w:rFonts w:ascii="Arial" w:hAnsi="Arial" w:cs="Arial"/>
                <w:b/>
                <w:bCs/>
                <w:sz w:val="24"/>
                <w:szCs w:val="24"/>
              </w:rPr>
            </w:pPr>
            <w:r w:rsidRPr="00F01C1E">
              <w:rPr>
                <w:rFonts w:ascii="Arial" w:hAnsi="Arial" w:cs="Arial"/>
                <w:b/>
                <w:bCs/>
                <w:sz w:val="24"/>
                <w:szCs w:val="24"/>
              </w:rPr>
              <w:t>2023-24</w:t>
            </w:r>
          </w:p>
        </w:tc>
        <w:tc>
          <w:tcPr>
            <w:tcW w:w="1353" w:type="dxa"/>
          </w:tcPr>
          <w:p w14:paraId="02D205C0" w14:textId="77777777" w:rsidR="008374BB" w:rsidRPr="00F01C1E" w:rsidRDefault="008374BB">
            <w:pPr>
              <w:jc w:val="center"/>
              <w:rPr>
                <w:rFonts w:ascii="Arial" w:hAnsi="Arial" w:cs="Arial"/>
                <w:b/>
                <w:bCs/>
                <w:sz w:val="24"/>
                <w:szCs w:val="24"/>
              </w:rPr>
            </w:pPr>
            <w:r w:rsidRPr="00F01C1E">
              <w:rPr>
                <w:rFonts w:ascii="Arial" w:hAnsi="Arial" w:cs="Arial"/>
                <w:b/>
                <w:bCs/>
                <w:sz w:val="24"/>
                <w:szCs w:val="24"/>
              </w:rPr>
              <w:t>2022-23</w:t>
            </w:r>
          </w:p>
        </w:tc>
        <w:tc>
          <w:tcPr>
            <w:tcW w:w="1353" w:type="dxa"/>
          </w:tcPr>
          <w:p w14:paraId="4E3359A9" w14:textId="77777777" w:rsidR="008374BB" w:rsidRPr="00F01C1E" w:rsidRDefault="008374BB">
            <w:pPr>
              <w:jc w:val="center"/>
              <w:rPr>
                <w:rFonts w:ascii="Arial" w:hAnsi="Arial" w:cs="Arial"/>
                <w:b/>
                <w:bCs/>
                <w:sz w:val="24"/>
                <w:szCs w:val="24"/>
              </w:rPr>
            </w:pPr>
            <w:r w:rsidRPr="00F01C1E">
              <w:rPr>
                <w:rFonts w:ascii="Arial" w:hAnsi="Arial" w:cs="Arial"/>
                <w:b/>
                <w:bCs/>
                <w:sz w:val="24"/>
                <w:szCs w:val="24"/>
              </w:rPr>
              <w:t>2021-22</w:t>
            </w:r>
          </w:p>
        </w:tc>
      </w:tr>
      <w:tr w:rsidR="008374BB" w14:paraId="40DB4E03" w14:textId="77777777">
        <w:tc>
          <w:tcPr>
            <w:tcW w:w="4957" w:type="dxa"/>
          </w:tcPr>
          <w:p w14:paraId="59D5F2E4" w14:textId="7A156656" w:rsidR="008374BB" w:rsidRDefault="008374BB">
            <w:pPr>
              <w:rPr>
                <w:rFonts w:ascii="Arial" w:hAnsi="Arial" w:cs="Arial"/>
                <w:sz w:val="24"/>
                <w:szCs w:val="24"/>
              </w:rPr>
            </w:pPr>
            <w:r>
              <w:rPr>
                <w:rFonts w:ascii="Arial" w:hAnsi="Arial" w:cs="Arial"/>
                <w:sz w:val="24"/>
                <w:szCs w:val="24"/>
              </w:rPr>
              <w:t>Satisfaction with content</w:t>
            </w:r>
          </w:p>
        </w:tc>
        <w:tc>
          <w:tcPr>
            <w:tcW w:w="1353" w:type="dxa"/>
            <w:vAlign w:val="center"/>
          </w:tcPr>
          <w:p w14:paraId="7FD400CC" w14:textId="2203F93D" w:rsidR="008374BB" w:rsidRDefault="008374BB">
            <w:pPr>
              <w:jc w:val="center"/>
              <w:rPr>
                <w:rFonts w:ascii="Arial" w:hAnsi="Arial" w:cs="Arial"/>
                <w:sz w:val="24"/>
                <w:szCs w:val="24"/>
              </w:rPr>
            </w:pPr>
            <w:r>
              <w:rPr>
                <w:rFonts w:ascii="Arial" w:hAnsi="Arial" w:cs="Arial"/>
                <w:sz w:val="24"/>
                <w:szCs w:val="24"/>
              </w:rPr>
              <w:t>-</w:t>
            </w:r>
          </w:p>
        </w:tc>
        <w:tc>
          <w:tcPr>
            <w:tcW w:w="1353" w:type="dxa"/>
            <w:vAlign w:val="center"/>
          </w:tcPr>
          <w:p w14:paraId="032F8880" w14:textId="0D7D66B7" w:rsidR="008374BB" w:rsidRDefault="008374BB">
            <w:pPr>
              <w:jc w:val="center"/>
              <w:rPr>
                <w:rFonts w:ascii="Arial" w:hAnsi="Arial" w:cs="Arial"/>
                <w:sz w:val="24"/>
                <w:szCs w:val="24"/>
              </w:rPr>
            </w:pPr>
            <w:r>
              <w:rPr>
                <w:rFonts w:ascii="Arial" w:hAnsi="Arial" w:cs="Arial"/>
                <w:sz w:val="24"/>
                <w:szCs w:val="24"/>
              </w:rPr>
              <w:t>-</w:t>
            </w:r>
          </w:p>
        </w:tc>
        <w:tc>
          <w:tcPr>
            <w:tcW w:w="1353" w:type="dxa"/>
            <w:vAlign w:val="center"/>
          </w:tcPr>
          <w:p w14:paraId="519449AD" w14:textId="1EDA2DE2" w:rsidR="008374BB" w:rsidRDefault="008374BB">
            <w:pPr>
              <w:jc w:val="center"/>
              <w:rPr>
                <w:rFonts w:ascii="Arial" w:hAnsi="Arial" w:cs="Arial"/>
                <w:sz w:val="24"/>
                <w:szCs w:val="24"/>
              </w:rPr>
            </w:pPr>
            <w:r>
              <w:rPr>
                <w:rFonts w:ascii="Arial" w:hAnsi="Arial" w:cs="Arial"/>
                <w:sz w:val="24"/>
                <w:szCs w:val="24"/>
              </w:rPr>
              <w:t>-</w:t>
            </w:r>
          </w:p>
        </w:tc>
      </w:tr>
      <w:tr w:rsidR="008374BB" w14:paraId="4CE06710" w14:textId="77777777">
        <w:tc>
          <w:tcPr>
            <w:tcW w:w="4957" w:type="dxa"/>
          </w:tcPr>
          <w:p w14:paraId="384CA39B" w14:textId="5E250A55" w:rsidR="008374BB" w:rsidRDefault="008374BB">
            <w:pPr>
              <w:rPr>
                <w:rFonts w:ascii="Arial" w:hAnsi="Arial" w:cs="Arial"/>
                <w:sz w:val="24"/>
                <w:szCs w:val="24"/>
              </w:rPr>
            </w:pPr>
            <w:r>
              <w:rPr>
                <w:rFonts w:ascii="Arial" w:hAnsi="Arial" w:cs="Arial"/>
                <w:sz w:val="24"/>
                <w:szCs w:val="24"/>
              </w:rPr>
              <w:t>Number of people accessing the hub</w:t>
            </w:r>
          </w:p>
        </w:tc>
        <w:tc>
          <w:tcPr>
            <w:tcW w:w="1353" w:type="dxa"/>
            <w:vAlign w:val="center"/>
          </w:tcPr>
          <w:p w14:paraId="6F2D34F7" w14:textId="37E54F39" w:rsidR="008374BB" w:rsidRDefault="00AE5F9A">
            <w:pPr>
              <w:jc w:val="center"/>
              <w:rPr>
                <w:rFonts w:ascii="Arial" w:hAnsi="Arial" w:cs="Arial"/>
                <w:sz w:val="24"/>
                <w:szCs w:val="24"/>
              </w:rPr>
            </w:pPr>
            <w:r>
              <w:rPr>
                <w:rFonts w:ascii="Arial" w:hAnsi="Arial" w:cs="Arial"/>
                <w:sz w:val="24"/>
                <w:szCs w:val="24"/>
              </w:rPr>
              <w:t>19,430</w:t>
            </w:r>
          </w:p>
        </w:tc>
        <w:tc>
          <w:tcPr>
            <w:tcW w:w="1353" w:type="dxa"/>
            <w:vAlign w:val="center"/>
          </w:tcPr>
          <w:p w14:paraId="3455E8C2" w14:textId="731D081C" w:rsidR="008374BB" w:rsidRDefault="00AE5F9A">
            <w:pPr>
              <w:jc w:val="center"/>
              <w:rPr>
                <w:rFonts w:ascii="Arial" w:hAnsi="Arial" w:cs="Arial"/>
                <w:sz w:val="24"/>
                <w:szCs w:val="24"/>
              </w:rPr>
            </w:pPr>
            <w:r>
              <w:rPr>
                <w:rFonts w:ascii="Arial" w:hAnsi="Arial" w:cs="Arial"/>
                <w:sz w:val="24"/>
                <w:szCs w:val="24"/>
              </w:rPr>
              <w:t>-</w:t>
            </w:r>
          </w:p>
        </w:tc>
        <w:tc>
          <w:tcPr>
            <w:tcW w:w="1353" w:type="dxa"/>
            <w:vAlign w:val="center"/>
          </w:tcPr>
          <w:p w14:paraId="5ECF2C39" w14:textId="3BCD022C" w:rsidR="008374BB" w:rsidRDefault="00AE5F9A">
            <w:pPr>
              <w:jc w:val="center"/>
              <w:rPr>
                <w:rFonts w:ascii="Arial" w:hAnsi="Arial" w:cs="Arial"/>
                <w:sz w:val="24"/>
                <w:szCs w:val="24"/>
              </w:rPr>
            </w:pPr>
            <w:r>
              <w:rPr>
                <w:rFonts w:ascii="Arial" w:hAnsi="Arial" w:cs="Arial"/>
                <w:sz w:val="24"/>
                <w:szCs w:val="24"/>
              </w:rPr>
              <w:t>-</w:t>
            </w:r>
          </w:p>
        </w:tc>
      </w:tr>
    </w:tbl>
    <w:p w14:paraId="3F3661B8" w14:textId="77777777" w:rsidR="008374BB" w:rsidRDefault="008374BB" w:rsidP="005B08C3">
      <w:pPr>
        <w:rPr>
          <w:rFonts w:ascii="Arial" w:hAnsi="Arial" w:cs="Arial"/>
          <w:sz w:val="24"/>
          <w:szCs w:val="24"/>
        </w:rPr>
      </w:pPr>
    </w:p>
    <w:p w14:paraId="51D2B908" w14:textId="77777777" w:rsidR="004B4BB2" w:rsidRDefault="004B4BB2">
      <w:pPr>
        <w:rPr>
          <w:rFonts w:ascii="Arial" w:eastAsiaTheme="majorEastAsia" w:hAnsi="Arial" w:cstheme="majorBidi"/>
          <w:b/>
          <w:iCs/>
          <w:color w:val="1F3864" w:themeColor="accent1" w:themeShade="80"/>
          <w:kern w:val="0"/>
          <w:sz w:val="28"/>
          <w14:ligatures w14:val="none"/>
        </w:rPr>
      </w:pPr>
      <w:r>
        <w:br w:type="page"/>
      </w:r>
    </w:p>
    <w:p w14:paraId="211F8791" w14:textId="73DF1FC5" w:rsidR="00AE5F9A" w:rsidRPr="00FA2F21" w:rsidRDefault="00AE5F9A" w:rsidP="004B4BB2">
      <w:pPr>
        <w:pStyle w:val="Heading4"/>
      </w:pPr>
      <w:r w:rsidRPr="00FA2F21">
        <w:lastRenderedPageBreak/>
        <w:t>Performance analysis</w:t>
      </w:r>
    </w:p>
    <w:p w14:paraId="1484C8AF" w14:textId="2771D5D0" w:rsidR="00AE5F9A" w:rsidRDefault="008006B7" w:rsidP="005B08C3">
      <w:pPr>
        <w:rPr>
          <w:rFonts w:ascii="Arial" w:hAnsi="Arial" w:cs="Arial"/>
          <w:sz w:val="24"/>
          <w:szCs w:val="24"/>
        </w:rPr>
      </w:pPr>
      <w:r>
        <w:rPr>
          <w:rFonts w:ascii="Arial" w:hAnsi="Arial" w:cs="Arial"/>
          <w:sz w:val="24"/>
          <w:szCs w:val="24"/>
        </w:rPr>
        <w:t xml:space="preserve">In July 2023 we launched our new </w:t>
      </w:r>
      <w:hyperlink r:id="rId32" w:history="1">
        <w:r w:rsidRPr="00D4002A">
          <w:rPr>
            <w:rStyle w:val="Hyperlink"/>
            <w:rFonts w:ascii="Arial" w:hAnsi="Arial" w:cs="Arial"/>
            <w:sz w:val="24"/>
            <w:szCs w:val="24"/>
          </w:rPr>
          <w:t>Director Information Hub</w:t>
        </w:r>
      </w:hyperlink>
      <w:r>
        <w:rPr>
          <w:rFonts w:ascii="Arial" w:hAnsi="Arial" w:cs="Arial"/>
          <w:sz w:val="24"/>
          <w:szCs w:val="24"/>
        </w:rPr>
        <w:t xml:space="preserve"> (</w:t>
      </w:r>
      <w:r w:rsidR="00D4002A">
        <w:rPr>
          <w:rFonts w:ascii="Arial" w:hAnsi="Arial" w:cs="Arial"/>
          <w:sz w:val="24"/>
          <w:szCs w:val="24"/>
        </w:rPr>
        <w:t>‘</w:t>
      </w:r>
      <w:r>
        <w:rPr>
          <w:rFonts w:ascii="Arial" w:hAnsi="Arial" w:cs="Arial"/>
          <w:sz w:val="24"/>
          <w:szCs w:val="24"/>
        </w:rPr>
        <w:t>the Hub</w:t>
      </w:r>
      <w:r w:rsidR="00D4002A">
        <w:rPr>
          <w:rFonts w:ascii="Arial" w:hAnsi="Arial" w:cs="Arial"/>
          <w:sz w:val="24"/>
          <w:szCs w:val="24"/>
        </w:rPr>
        <w:t>’</w:t>
      </w:r>
      <w:r>
        <w:rPr>
          <w:rFonts w:ascii="Arial" w:hAnsi="Arial" w:cs="Arial"/>
          <w:sz w:val="24"/>
          <w:szCs w:val="24"/>
        </w:rPr>
        <w:t>)</w:t>
      </w:r>
      <w:r w:rsidR="00D4002A">
        <w:rPr>
          <w:rFonts w:ascii="Arial" w:hAnsi="Arial" w:cs="Arial"/>
          <w:sz w:val="24"/>
          <w:szCs w:val="24"/>
        </w:rPr>
        <w:t xml:space="preserve"> on gov.uk. It brings </w:t>
      </w:r>
      <w:r w:rsidR="005244E2">
        <w:rPr>
          <w:rFonts w:ascii="Arial" w:hAnsi="Arial" w:cs="Arial"/>
          <w:sz w:val="24"/>
          <w:szCs w:val="24"/>
        </w:rPr>
        <w:t xml:space="preserve">together guidance and information on a range of themes covering all aspects of running a company. The Hub is designed </w:t>
      </w:r>
      <w:r w:rsidR="00E46A96">
        <w:rPr>
          <w:rFonts w:ascii="Arial" w:hAnsi="Arial" w:cs="Arial"/>
          <w:sz w:val="24"/>
          <w:szCs w:val="24"/>
        </w:rPr>
        <w:t>to help inform company directors and assist them to make the right decisions at the right time.</w:t>
      </w:r>
    </w:p>
    <w:p w14:paraId="6CCA7982" w14:textId="7EE88F81" w:rsidR="00E46A96" w:rsidRDefault="00E46A96" w:rsidP="005B08C3">
      <w:pPr>
        <w:rPr>
          <w:rFonts w:ascii="Arial" w:hAnsi="Arial" w:cs="Arial"/>
          <w:sz w:val="24"/>
          <w:szCs w:val="24"/>
        </w:rPr>
      </w:pPr>
      <w:r>
        <w:rPr>
          <w:rFonts w:ascii="Arial" w:hAnsi="Arial" w:cs="Arial"/>
          <w:sz w:val="24"/>
          <w:szCs w:val="24"/>
        </w:rPr>
        <w:t>The Hub is a dynamic product and since its launch we have published several additional content pages</w:t>
      </w:r>
      <w:r w:rsidR="00E07F7D">
        <w:rPr>
          <w:rFonts w:ascii="Arial" w:hAnsi="Arial" w:cs="Arial"/>
          <w:sz w:val="24"/>
          <w:szCs w:val="24"/>
        </w:rPr>
        <w:t>, supported by animation, which include:</w:t>
      </w:r>
    </w:p>
    <w:p w14:paraId="4689A919" w14:textId="744180F4" w:rsidR="00E07F7D" w:rsidRDefault="00E07F7D" w:rsidP="00E07F7D">
      <w:pPr>
        <w:pStyle w:val="ListParagraph"/>
        <w:numPr>
          <w:ilvl w:val="0"/>
          <w:numId w:val="6"/>
        </w:numPr>
        <w:rPr>
          <w:rFonts w:ascii="Arial" w:hAnsi="Arial" w:cs="Arial"/>
          <w:sz w:val="24"/>
          <w:szCs w:val="24"/>
        </w:rPr>
      </w:pPr>
      <w:r>
        <w:rPr>
          <w:rFonts w:ascii="Arial" w:hAnsi="Arial" w:cs="Arial"/>
          <w:sz w:val="24"/>
          <w:szCs w:val="24"/>
        </w:rPr>
        <w:t>Director loan accounts</w:t>
      </w:r>
    </w:p>
    <w:p w14:paraId="77EC9DB3" w14:textId="2531CDD8" w:rsidR="00E07F7D" w:rsidRDefault="00E07F7D" w:rsidP="00E07F7D">
      <w:pPr>
        <w:pStyle w:val="ListParagraph"/>
        <w:numPr>
          <w:ilvl w:val="0"/>
          <w:numId w:val="6"/>
        </w:numPr>
        <w:rPr>
          <w:rFonts w:ascii="Arial" w:hAnsi="Arial" w:cs="Arial"/>
          <w:sz w:val="24"/>
          <w:szCs w:val="24"/>
        </w:rPr>
      </w:pPr>
      <w:r>
        <w:rPr>
          <w:rFonts w:ascii="Arial" w:hAnsi="Arial" w:cs="Arial"/>
          <w:sz w:val="24"/>
          <w:szCs w:val="24"/>
        </w:rPr>
        <w:t>Company liquidations</w:t>
      </w:r>
    </w:p>
    <w:p w14:paraId="5D919C28" w14:textId="13358395" w:rsidR="000D0E96" w:rsidRDefault="000D0E96" w:rsidP="00E07F7D">
      <w:pPr>
        <w:pStyle w:val="ListParagraph"/>
        <w:numPr>
          <w:ilvl w:val="0"/>
          <w:numId w:val="6"/>
        </w:numPr>
        <w:rPr>
          <w:rFonts w:ascii="Arial" w:hAnsi="Arial" w:cs="Arial"/>
          <w:sz w:val="24"/>
          <w:szCs w:val="24"/>
        </w:rPr>
      </w:pPr>
      <w:r>
        <w:rPr>
          <w:rFonts w:ascii="Arial" w:hAnsi="Arial" w:cs="Arial"/>
          <w:sz w:val="24"/>
          <w:szCs w:val="24"/>
        </w:rPr>
        <w:t>Director duties</w:t>
      </w:r>
    </w:p>
    <w:p w14:paraId="7EE1839F" w14:textId="24B91CA4" w:rsidR="000D0E96" w:rsidRDefault="00CB320F" w:rsidP="000D0E96">
      <w:pPr>
        <w:rPr>
          <w:rFonts w:ascii="Arial" w:hAnsi="Arial" w:cs="Arial"/>
          <w:sz w:val="24"/>
          <w:szCs w:val="24"/>
        </w:rPr>
      </w:pPr>
      <w:r>
        <w:rPr>
          <w:rFonts w:ascii="Arial" w:hAnsi="Arial" w:cs="Arial"/>
          <w:sz w:val="24"/>
          <w:szCs w:val="24"/>
        </w:rPr>
        <w:t xml:space="preserve">We continue </w:t>
      </w:r>
      <w:r w:rsidR="009E0357">
        <w:rPr>
          <w:rFonts w:ascii="Arial" w:hAnsi="Arial" w:cs="Arial"/>
          <w:sz w:val="24"/>
          <w:szCs w:val="24"/>
        </w:rPr>
        <w:t>to work with directors and stakeholders</w:t>
      </w:r>
      <w:r w:rsidR="00F86B68">
        <w:rPr>
          <w:rFonts w:ascii="Arial" w:hAnsi="Arial" w:cs="Arial"/>
          <w:sz w:val="24"/>
          <w:szCs w:val="24"/>
        </w:rPr>
        <w:t>, including Companies House, HMRC, the Institute for Turnaround</w:t>
      </w:r>
      <w:r w:rsidR="00287679">
        <w:rPr>
          <w:rFonts w:ascii="Arial" w:hAnsi="Arial" w:cs="Arial"/>
          <w:sz w:val="24"/>
          <w:szCs w:val="24"/>
        </w:rPr>
        <w:t xml:space="preserve"> and UK Finance to ensure that regular new content is added to the Hub.</w:t>
      </w:r>
    </w:p>
    <w:p w14:paraId="63E1895A" w14:textId="4AD73F6D" w:rsidR="00287679" w:rsidRDefault="00287679" w:rsidP="000D0E96">
      <w:pPr>
        <w:rPr>
          <w:rFonts w:ascii="Arial" w:hAnsi="Arial" w:cs="Arial"/>
          <w:sz w:val="24"/>
          <w:szCs w:val="24"/>
        </w:rPr>
      </w:pPr>
      <w:r>
        <w:rPr>
          <w:rFonts w:ascii="Arial" w:hAnsi="Arial" w:cs="Arial"/>
          <w:sz w:val="24"/>
          <w:szCs w:val="24"/>
        </w:rPr>
        <w:t>We are also</w:t>
      </w:r>
      <w:r w:rsidR="00FA240C">
        <w:rPr>
          <w:rFonts w:ascii="Arial" w:hAnsi="Arial" w:cs="Arial"/>
          <w:sz w:val="24"/>
          <w:szCs w:val="24"/>
        </w:rPr>
        <w:t xml:space="preserve"> working with external stakeholders to identify opportunities to add links to the Hub with existing director touchpoints</w:t>
      </w:r>
      <w:r w:rsidR="007B321B">
        <w:rPr>
          <w:rFonts w:ascii="Arial" w:hAnsi="Arial" w:cs="Arial"/>
          <w:sz w:val="24"/>
          <w:szCs w:val="24"/>
        </w:rPr>
        <w:t xml:space="preserve">. This will raise awareness and use </w:t>
      </w:r>
      <w:r w:rsidR="007D3D6C">
        <w:rPr>
          <w:rFonts w:ascii="Arial" w:hAnsi="Arial" w:cs="Arial"/>
          <w:sz w:val="24"/>
          <w:szCs w:val="24"/>
        </w:rPr>
        <w:t>of</w:t>
      </w:r>
      <w:r w:rsidR="007B321B">
        <w:rPr>
          <w:rFonts w:ascii="Arial" w:hAnsi="Arial" w:cs="Arial"/>
          <w:sz w:val="24"/>
          <w:szCs w:val="24"/>
        </w:rPr>
        <w:t xml:space="preserve"> the Hub and signpost directors to relevant content across gov.uk</w:t>
      </w:r>
      <w:r w:rsidR="007D3D6C">
        <w:rPr>
          <w:rFonts w:ascii="Arial" w:hAnsi="Arial" w:cs="Arial"/>
          <w:sz w:val="24"/>
          <w:szCs w:val="24"/>
        </w:rPr>
        <w:t>.</w:t>
      </w:r>
    </w:p>
    <w:p w14:paraId="75F052F8" w14:textId="18EF7321" w:rsidR="007D3D6C" w:rsidRDefault="007D3D6C" w:rsidP="000D0E96">
      <w:pPr>
        <w:rPr>
          <w:rFonts w:ascii="Arial" w:hAnsi="Arial" w:cs="Arial"/>
          <w:sz w:val="24"/>
          <w:szCs w:val="24"/>
        </w:rPr>
      </w:pPr>
      <w:r>
        <w:rPr>
          <w:rFonts w:ascii="Arial" w:hAnsi="Arial" w:cs="Arial"/>
          <w:sz w:val="24"/>
          <w:szCs w:val="24"/>
        </w:rPr>
        <w:t xml:space="preserve">Over the next year we will increase our use of data analytics to better understand </w:t>
      </w:r>
      <w:r w:rsidR="003E373F">
        <w:rPr>
          <w:rFonts w:ascii="Arial" w:hAnsi="Arial" w:cs="Arial"/>
          <w:sz w:val="24"/>
          <w:szCs w:val="24"/>
        </w:rPr>
        <w:t xml:space="preserve">the user journey, including their route both into and from the Hub and this insight will help us to identify further opportunities </w:t>
      </w:r>
      <w:r w:rsidR="00E167A6">
        <w:rPr>
          <w:rFonts w:ascii="Arial" w:hAnsi="Arial" w:cs="Arial"/>
          <w:sz w:val="24"/>
          <w:szCs w:val="24"/>
        </w:rPr>
        <w:t xml:space="preserve">to raise awareness of it. </w:t>
      </w:r>
      <w:r w:rsidR="00D75798">
        <w:rPr>
          <w:rFonts w:ascii="Arial" w:hAnsi="Arial" w:cs="Arial"/>
          <w:sz w:val="24"/>
          <w:szCs w:val="24"/>
        </w:rPr>
        <w:t xml:space="preserve">Although the content continues to attract many views, </w:t>
      </w:r>
      <w:r w:rsidR="001876B4">
        <w:rPr>
          <w:rFonts w:ascii="Arial" w:hAnsi="Arial" w:cs="Arial"/>
          <w:sz w:val="24"/>
          <w:szCs w:val="24"/>
        </w:rPr>
        <w:t>visitors have not</w:t>
      </w:r>
      <w:r w:rsidR="004F2D4F">
        <w:rPr>
          <w:rFonts w:ascii="Arial" w:hAnsi="Arial" w:cs="Arial"/>
          <w:sz w:val="24"/>
          <w:szCs w:val="24"/>
        </w:rPr>
        <w:t xml:space="preserve"> b</w:t>
      </w:r>
      <w:r w:rsidR="00B42986">
        <w:rPr>
          <w:rFonts w:ascii="Arial" w:hAnsi="Arial" w:cs="Arial"/>
          <w:sz w:val="24"/>
          <w:szCs w:val="24"/>
        </w:rPr>
        <w:t>een</w:t>
      </w:r>
      <w:r w:rsidR="00D75798">
        <w:rPr>
          <w:rFonts w:ascii="Arial" w:hAnsi="Arial" w:cs="Arial"/>
          <w:sz w:val="24"/>
          <w:szCs w:val="24"/>
        </w:rPr>
        <w:t xml:space="preserve"> complet</w:t>
      </w:r>
      <w:r w:rsidR="00D73FF9">
        <w:rPr>
          <w:rFonts w:ascii="Arial" w:hAnsi="Arial" w:cs="Arial"/>
          <w:sz w:val="24"/>
          <w:szCs w:val="24"/>
        </w:rPr>
        <w:t>ing</w:t>
      </w:r>
      <w:r w:rsidR="00D75798">
        <w:rPr>
          <w:rFonts w:ascii="Arial" w:hAnsi="Arial" w:cs="Arial"/>
          <w:sz w:val="24"/>
          <w:szCs w:val="24"/>
        </w:rPr>
        <w:t xml:space="preserve"> </w:t>
      </w:r>
      <w:r w:rsidR="00FC3A0F">
        <w:rPr>
          <w:rFonts w:ascii="Arial" w:hAnsi="Arial" w:cs="Arial"/>
          <w:sz w:val="24"/>
          <w:szCs w:val="24"/>
        </w:rPr>
        <w:t>our</w:t>
      </w:r>
      <w:r w:rsidR="00D75798">
        <w:rPr>
          <w:rFonts w:ascii="Arial" w:hAnsi="Arial" w:cs="Arial"/>
          <w:sz w:val="24"/>
          <w:szCs w:val="24"/>
        </w:rPr>
        <w:t xml:space="preserve"> </w:t>
      </w:r>
      <w:r w:rsidR="00FC3A0F">
        <w:rPr>
          <w:rFonts w:ascii="Arial" w:hAnsi="Arial" w:cs="Arial"/>
          <w:sz w:val="24"/>
          <w:szCs w:val="24"/>
        </w:rPr>
        <w:t xml:space="preserve">gov.uk </w:t>
      </w:r>
      <w:r w:rsidR="00D75798">
        <w:rPr>
          <w:rFonts w:ascii="Arial" w:hAnsi="Arial" w:cs="Arial"/>
          <w:sz w:val="24"/>
          <w:szCs w:val="24"/>
        </w:rPr>
        <w:t>satisfaction survey</w:t>
      </w:r>
      <w:r w:rsidR="00FC3A0F">
        <w:rPr>
          <w:rFonts w:ascii="Arial" w:hAnsi="Arial" w:cs="Arial"/>
          <w:sz w:val="24"/>
          <w:szCs w:val="24"/>
        </w:rPr>
        <w:t xml:space="preserve"> and we are exploring new ways </w:t>
      </w:r>
      <w:r w:rsidR="00484F7E">
        <w:rPr>
          <w:rFonts w:ascii="Arial" w:hAnsi="Arial" w:cs="Arial"/>
          <w:sz w:val="24"/>
          <w:szCs w:val="24"/>
        </w:rPr>
        <w:t>to measure a user’s satisfaction and encourage completion of the survey.</w:t>
      </w:r>
    </w:p>
    <w:p w14:paraId="7698200A" w14:textId="77777777" w:rsidR="00EF6181" w:rsidRDefault="00EF6181" w:rsidP="000D0E96">
      <w:pPr>
        <w:rPr>
          <w:rFonts w:ascii="Arial" w:hAnsi="Arial" w:cs="Arial"/>
          <w:sz w:val="24"/>
          <w:szCs w:val="24"/>
        </w:rPr>
      </w:pPr>
    </w:p>
    <w:p w14:paraId="5FDEA99D" w14:textId="77777777" w:rsidR="00875B3A" w:rsidRDefault="00875B3A">
      <w:pPr>
        <w:rPr>
          <w:rFonts w:ascii="Arial" w:hAnsi="Arial" w:cs="Arial"/>
          <w:b/>
          <w:bCs/>
          <w:color w:val="4472C4" w:themeColor="accent1"/>
          <w:sz w:val="32"/>
          <w:szCs w:val="32"/>
        </w:rPr>
      </w:pPr>
      <w:r>
        <w:rPr>
          <w:rFonts w:ascii="Arial" w:hAnsi="Arial" w:cs="Arial"/>
          <w:b/>
          <w:bCs/>
          <w:color w:val="4472C4" w:themeColor="accent1"/>
          <w:sz w:val="32"/>
          <w:szCs w:val="32"/>
        </w:rPr>
        <w:br w:type="page"/>
      </w:r>
    </w:p>
    <w:p w14:paraId="0C7BACF8" w14:textId="5E2C2D9C" w:rsidR="00B779D8" w:rsidRPr="0005574B" w:rsidRDefault="00B779D8" w:rsidP="004919D3">
      <w:pPr>
        <w:pStyle w:val="Heading4"/>
        <w:rPr>
          <w:rFonts w:cs="Arial"/>
          <w:b w:val="0"/>
          <w:color w:val="4472C4" w:themeColor="accent1"/>
          <w:sz w:val="32"/>
          <w:szCs w:val="32"/>
        </w:rPr>
      </w:pPr>
      <w:r w:rsidRPr="0005574B">
        <w:rPr>
          <w:sz w:val="32"/>
          <w:szCs w:val="32"/>
        </w:rPr>
        <w:lastRenderedPageBreak/>
        <w:t>Shape and modernise our technology and infrastructure</w:t>
      </w:r>
    </w:p>
    <w:p w14:paraId="1F5F1B7A" w14:textId="5BBD8A3F" w:rsidR="00875B3A" w:rsidRPr="007E6C34" w:rsidRDefault="00C6415A" w:rsidP="00B779D8">
      <w:pPr>
        <w:rPr>
          <w:rFonts w:ascii="Arial" w:hAnsi="Arial" w:cs="Arial"/>
          <w:b/>
          <w:bCs/>
          <w:color w:val="4472C4" w:themeColor="accent1"/>
          <w:sz w:val="32"/>
          <w:szCs w:val="32"/>
        </w:rPr>
      </w:pPr>
      <w:r>
        <w:rPr>
          <w:rFonts w:ascii="Arial" w:hAnsi="Arial" w:cs="Arial"/>
          <w:b/>
          <w:bCs/>
          <w:noProof/>
          <w:color w:val="4472C4" w:themeColor="accent1"/>
          <w:sz w:val="32"/>
          <w:szCs w:val="32"/>
        </w:rPr>
        <w:drawing>
          <wp:inline distT="0" distB="0" distL="0" distR="0" wp14:anchorId="284653A5" wp14:editId="6B48C00B">
            <wp:extent cx="5545394" cy="376053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574" t="11891" r="12451" b="21013"/>
                    <a:stretch/>
                  </pic:blipFill>
                  <pic:spPr bwMode="auto">
                    <a:xfrm>
                      <a:off x="0" y="0"/>
                      <a:ext cx="5545394" cy="376053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209" w:type="dxa"/>
        <w:tblLook w:val="04A0" w:firstRow="1" w:lastRow="0" w:firstColumn="1" w:lastColumn="0" w:noHBand="0" w:noVBand="1"/>
      </w:tblPr>
      <w:tblGrid>
        <w:gridCol w:w="3256"/>
        <w:gridCol w:w="1417"/>
        <w:gridCol w:w="4536"/>
      </w:tblGrid>
      <w:tr w:rsidR="00DA5FA7" w14:paraId="461DCA32" w14:textId="77777777" w:rsidTr="00C526B4">
        <w:tc>
          <w:tcPr>
            <w:tcW w:w="3256" w:type="dxa"/>
          </w:tcPr>
          <w:p w14:paraId="64E881F7" w14:textId="77777777" w:rsidR="00DA5FA7" w:rsidRDefault="00DA5FA7">
            <w:pPr>
              <w:rPr>
                <w:rFonts w:ascii="Arial" w:hAnsi="Arial" w:cs="Arial"/>
                <w:color w:val="4472C4" w:themeColor="accent1"/>
                <w:sz w:val="24"/>
                <w:szCs w:val="24"/>
              </w:rPr>
            </w:pPr>
            <w:r>
              <w:rPr>
                <w:rFonts w:ascii="Arial" w:hAnsi="Arial" w:cs="Arial"/>
                <w:color w:val="4472C4" w:themeColor="accent1"/>
                <w:sz w:val="24"/>
                <w:szCs w:val="24"/>
              </w:rPr>
              <w:t>Objective</w:t>
            </w:r>
          </w:p>
        </w:tc>
        <w:tc>
          <w:tcPr>
            <w:tcW w:w="1417" w:type="dxa"/>
          </w:tcPr>
          <w:p w14:paraId="46CEBB78" w14:textId="77777777" w:rsidR="00DA5FA7" w:rsidRDefault="00DA5FA7">
            <w:pPr>
              <w:rPr>
                <w:rFonts w:ascii="Arial" w:hAnsi="Arial" w:cs="Arial"/>
                <w:color w:val="4472C4" w:themeColor="accent1"/>
                <w:sz w:val="24"/>
                <w:szCs w:val="24"/>
              </w:rPr>
            </w:pPr>
            <w:r>
              <w:rPr>
                <w:rFonts w:ascii="Arial" w:hAnsi="Arial" w:cs="Arial"/>
                <w:color w:val="4472C4" w:themeColor="accent1"/>
                <w:sz w:val="24"/>
                <w:szCs w:val="24"/>
              </w:rPr>
              <w:t>Status</w:t>
            </w:r>
          </w:p>
        </w:tc>
        <w:tc>
          <w:tcPr>
            <w:tcW w:w="4536" w:type="dxa"/>
          </w:tcPr>
          <w:p w14:paraId="03FAC32A" w14:textId="77777777" w:rsidR="00DA5FA7" w:rsidRDefault="00DA5FA7">
            <w:pPr>
              <w:rPr>
                <w:rFonts w:ascii="Arial" w:hAnsi="Arial" w:cs="Arial"/>
                <w:color w:val="4472C4" w:themeColor="accent1"/>
                <w:sz w:val="24"/>
                <w:szCs w:val="24"/>
              </w:rPr>
            </w:pPr>
            <w:r>
              <w:rPr>
                <w:rFonts w:ascii="Arial" w:hAnsi="Arial" w:cs="Arial"/>
                <w:color w:val="4472C4" w:themeColor="accent1"/>
                <w:sz w:val="24"/>
                <w:szCs w:val="24"/>
              </w:rPr>
              <w:t>Commentary</w:t>
            </w:r>
          </w:p>
        </w:tc>
      </w:tr>
      <w:tr w:rsidR="00DA5FA7" w14:paraId="127B0E5B" w14:textId="77777777" w:rsidTr="00C526B4">
        <w:tc>
          <w:tcPr>
            <w:tcW w:w="3256" w:type="dxa"/>
          </w:tcPr>
          <w:p w14:paraId="7FE2B2E2" w14:textId="4DC500BB" w:rsidR="00DA5FA7" w:rsidRPr="00625870" w:rsidRDefault="007B44F0">
            <w:pPr>
              <w:rPr>
                <w:rFonts w:ascii="Arial" w:hAnsi="Arial" w:cs="Arial"/>
                <w:sz w:val="24"/>
                <w:szCs w:val="24"/>
              </w:rPr>
            </w:pPr>
            <w:r>
              <w:rPr>
                <w:rFonts w:ascii="Arial" w:hAnsi="Arial" w:cs="Arial"/>
                <w:sz w:val="24"/>
                <w:szCs w:val="24"/>
              </w:rPr>
              <w:t>Digit</w:t>
            </w:r>
            <w:r w:rsidR="00D47C39">
              <w:rPr>
                <w:rFonts w:ascii="Arial" w:hAnsi="Arial" w:cs="Arial"/>
                <w:sz w:val="24"/>
                <w:szCs w:val="24"/>
              </w:rPr>
              <w:t>i</w:t>
            </w:r>
            <w:r>
              <w:rPr>
                <w:rFonts w:ascii="Arial" w:hAnsi="Arial" w:cs="Arial"/>
                <w:sz w:val="24"/>
                <w:szCs w:val="24"/>
              </w:rPr>
              <w:t>se our services to make them easier to use, automating</w:t>
            </w:r>
            <w:r w:rsidR="00010252">
              <w:rPr>
                <w:rFonts w:ascii="Arial" w:hAnsi="Arial" w:cs="Arial"/>
                <w:sz w:val="24"/>
                <w:szCs w:val="24"/>
              </w:rPr>
              <w:t xml:space="preserve"> </w:t>
            </w:r>
            <w:r w:rsidR="00833BD0">
              <w:rPr>
                <w:rFonts w:ascii="Arial" w:hAnsi="Arial" w:cs="Arial"/>
                <w:sz w:val="24"/>
                <w:szCs w:val="24"/>
              </w:rPr>
              <w:t xml:space="preserve">up to </w:t>
            </w:r>
            <w:r w:rsidR="00010252">
              <w:rPr>
                <w:rFonts w:ascii="Arial" w:hAnsi="Arial" w:cs="Arial"/>
                <w:sz w:val="24"/>
                <w:szCs w:val="24"/>
              </w:rPr>
              <w:t>250,000 more customer transactions per year by 2024, and making customer forms more accessible and secure.</w:t>
            </w:r>
          </w:p>
        </w:tc>
        <w:tc>
          <w:tcPr>
            <w:tcW w:w="1417" w:type="dxa"/>
          </w:tcPr>
          <w:p w14:paraId="36F57652" w14:textId="303B2E44" w:rsidR="00DA5FA7" w:rsidRPr="00625870" w:rsidRDefault="003E60C6">
            <w:pPr>
              <w:rPr>
                <w:rFonts w:ascii="Arial" w:hAnsi="Arial" w:cs="Arial"/>
                <w:sz w:val="24"/>
                <w:szCs w:val="24"/>
              </w:rPr>
            </w:pPr>
            <w:r>
              <w:rPr>
                <w:rFonts w:ascii="Arial" w:hAnsi="Arial" w:cs="Arial"/>
                <w:sz w:val="24"/>
                <w:szCs w:val="24"/>
              </w:rPr>
              <w:t>In progress</w:t>
            </w:r>
          </w:p>
        </w:tc>
        <w:tc>
          <w:tcPr>
            <w:tcW w:w="4536" w:type="dxa"/>
          </w:tcPr>
          <w:p w14:paraId="186FC23B" w14:textId="434AF174" w:rsidR="00DA5FA7" w:rsidRPr="00625870" w:rsidRDefault="00ED2651">
            <w:pPr>
              <w:rPr>
                <w:rFonts w:ascii="Arial" w:hAnsi="Arial" w:cs="Arial"/>
                <w:sz w:val="24"/>
                <w:szCs w:val="24"/>
              </w:rPr>
            </w:pPr>
            <w:r>
              <w:rPr>
                <w:rFonts w:ascii="Arial" w:hAnsi="Arial" w:cs="Arial"/>
                <w:sz w:val="24"/>
                <w:szCs w:val="24"/>
              </w:rPr>
              <w:t xml:space="preserve">A decision was made to integrate the new </w:t>
            </w:r>
            <w:r w:rsidR="008313A7">
              <w:rPr>
                <w:rFonts w:ascii="Arial" w:hAnsi="Arial" w:cs="Arial"/>
                <w:sz w:val="24"/>
                <w:szCs w:val="24"/>
              </w:rPr>
              <w:t>digital</w:t>
            </w:r>
            <w:r>
              <w:rPr>
                <w:rFonts w:ascii="Arial" w:hAnsi="Arial" w:cs="Arial"/>
                <w:sz w:val="24"/>
                <w:szCs w:val="24"/>
              </w:rPr>
              <w:t xml:space="preserve"> service</w:t>
            </w:r>
            <w:r w:rsidR="003D597A">
              <w:rPr>
                <w:rFonts w:ascii="Arial" w:hAnsi="Arial" w:cs="Arial"/>
                <w:sz w:val="24"/>
                <w:szCs w:val="24"/>
              </w:rPr>
              <w:t>s</w:t>
            </w:r>
            <w:r>
              <w:rPr>
                <w:rFonts w:ascii="Arial" w:hAnsi="Arial" w:cs="Arial"/>
                <w:sz w:val="24"/>
                <w:szCs w:val="24"/>
              </w:rPr>
              <w:t xml:space="preserve"> </w:t>
            </w:r>
            <w:r w:rsidR="008313A7">
              <w:rPr>
                <w:rFonts w:ascii="Arial" w:hAnsi="Arial" w:cs="Arial"/>
                <w:sz w:val="24"/>
                <w:szCs w:val="24"/>
              </w:rPr>
              <w:t>with our new case management system, INS</w:t>
            </w:r>
            <w:r w:rsidR="006874FC">
              <w:rPr>
                <w:rFonts w:ascii="Arial" w:hAnsi="Arial" w:cs="Arial"/>
                <w:sz w:val="24"/>
                <w:szCs w:val="24"/>
              </w:rPr>
              <w:t>S</w:t>
            </w:r>
            <w:r w:rsidR="008313A7">
              <w:rPr>
                <w:rFonts w:ascii="Arial" w:hAnsi="Arial" w:cs="Arial"/>
                <w:sz w:val="24"/>
                <w:szCs w:val="24"/>
              </w:rPr>
              <w:t>ight</w:t>
            </w:r>
            <w:r w:rsidR="003D597A">
              <w:rPr>
                <w:rFonts w:ascii="Arial" w:hAnsi="Arial" w:cs="Arial"/>
                <w:sz w:val="24"/>
                <w:szCs w:val="24"/>
              </w:rPr>
              <w:t>, which means that the</w:t>
            </w:r>
            <w:r w:rsidR="009E716A">
              <w:rPr>
                <w:rFonts w:ascii="Arial" w:hAnsi="Arial" w:cs="Arial"/>
                <w:sz w:val="24"/>
                <w:szCs w:val="24"/>
              </w:rPr>
              <w:t xml:space="preserve">y will now </w:t>
            </w:r>
            <w:r w:rsidR="00F2230F">
              <w:rPr>
                <w:rFonts w:ascii="Arial" w:hAnsi="Arial" w:cs="Arial"/>
                <w:sz w:val="24"/>
                <w:szCs w:val="24"/>
              </w:rPr>
              <w:t>be implemented</w:t>
            </w:r>
            <w:r w:rsidR="009E716A">
              <w:rPr>
                <w:rFonts w:ascii="Arial" w:hAnsi="Arial" w:cs="Arial"/>
                <w:sz w:val="24"/>
                <w:szCs w:val="24"/>
              </w:rPr>
              <w:t xml:space="preserve"> in </w:t>
            </w:r>
            <w:r w:rsidR="007F255F">
              <w:rPr>
                <w:rFonts w:ascii="Arial" w:hAnsi="Arial" w:cs="Arial"/>
                <w:sz w:val="24"/>
                <w:szCs w:val="24"/>
              </w:rPr>
              <w:t>2025</w:t>
            </w:r>
            <w:r w:rsidR="00833BD0">
              <w:rPr>
                <w:rFonts w:ascii="Arial" w:hAnsi="Arial" w:cs="Arial"/>
                <w:sz w:val="24"/>
                <w:szCs w:val="24"/>
              </w:rPr>
              <w:t>.</w:t>
            </w:r>
          </w:p>
        </w:tc>
      </w:tr>
      <w:tr w:rsidR="00DA5FA7" w14:paraId="656FD134" w14:textId="77777777" w:rsidTr="00C526B4">
        <w:tc>
          <w:tcPr>
            <w:tcW w:w="3256" w:type="dxa"/>
          </w:tcPr>
          <w:p w14:paraId="15E27707" w14:textId="1648A209" w:rsidR="00DA5FA7" w:rsidRPr="00625870" w:rsidRDefault="00AA1595">
            <w:pPr>
              <w:rPr>
                <w:rFonts w:ascii="Arial" w:hAnsi="Arial" w:cs="Arial"/>
                <w:sz w:val="24"/>
                <w:szCs w:val="24"/>
              </w:rPr>
            </w:pPr>
            <w:r>
              <w:rPr>
                <w:rFonts w:ascii="Arial" w:hAnsi="Arial" w:cs="Arial"/>
                <w:sz w:val="24"/>
                <w:szCs w:val="24"/>
              </w:rPr>
              <w:t>Complete the development of our Future Case Management Capability ready for launch in Spring 2024.</w:t>
            </w:r>
          </w:p>
        </w:tc>
        <w:tc>
          <w:tcPr>
            <w:tcW w:w="1417" w:type="dxa"/>
          </w:tcPr>
          <w:p w14:paraId="2BFD0356" w14:textId="7F0D160E" w:rsidR="00DA5FA7" w:rsidRPr="00625870" w:rsidRDefault="00AA1595">
            <w:pPr>
              <w:rPr>
                <w:rFonts w:ascii="Arial" w:hAnsi="Arial" w:cs="Arial"/>
                <w:sz w:val="24"/>
                <w:szCs w:val="24"/>
              </w:rPr>
            </w:pPr>
            <w:r>
              <w:rPr>
                <w:rFonts w:ascii="Arial" w:hAnsi="Arial" w:cs="Arial"/>
                <w:sz w:val="24"/>
                <w:szCs w:val="24"/>
              </w:rPr>
              <w:t>In progress</w:t>
            </w:r>
          </w:p>
        </w:tc>
        <w:tc>
          <w:tcPr>
            <w:tcW w:w="4536" w:type="dxa"/>
          </w:tcPr>
          <w:p w14:paraId="570B3EAA" w14:textId="341C34A0" w:rsidR="00DA5FA7" w:rsidRPr="00625870" w:rsidRDefault="00110380">
            <w:pPr>
              <w:rPr>
                <w:rFonts w:ascii="Arial" w:hAnsi="Arial" w:cs="Arial"/>
                <w:sz w:val="24"/>
                <w:szCs w:val="24"/>
              </w:rPr>
            </w:pPr>
            <w:r w:rsidRPr="00110380">
              <w:rPr>
                <w:rFonts w:ascii="Arial" w:hAnsi="Arial" w:cs="Arial"/>
                <w:sz w:val="24"/>
                <w:szCs w:val="24"/>
              </w:rPr>
              <w:t>During the year we have continued the development of our new case management system which is now due to be implemented during 2024-25.</w:t>
            </w:r>
          </w:p>
        </w:tc>
      </w:tr>
      <w:tr w:rsidR="00DA5FA7" w14:paraId="7BF57E20" w14:textId="77777777" w:rsidTr="00C526B4">
        <w:tc>
          <w:tcPr>
            <w:tcW w:w="3256" w:type="dxa"/>
          </w:tcPr>
          <w:p w14:paraId="25A50740" w14:textId="4D2A06A3" w:rsidR="00DA5FA7" w:rsidRPr="00625870" w:rsidRDefault="00037C5A">
            <w:pPr>
              <w:rPr>
                <w:rFonts w:ascii="Arial" w:hAnsi="Arial" w:cs="Arial"/>
                <w:sz w:val="24"/>
                <w:szCs w:val="24"/>
              </w:rPr>
            </w:pPr>
            <w:r>
              <w:rPr>
                <w:rFonts w:ascii="Arial" w:hAnsi="Arial" w:cs="Arial"/>
                <w:sz w:val="24"/>
                <w:szCs w:val="24"/>
              </w:rPr>
              <w:t>Modernise our IT provision by delivering a programme to equip our people with new devices</w:t>
            </w:r>
            <w:r w:rsidR="00751DCA">
              <w:rPr>
                <w:rFonts w:ascii="Arial" w:hAnsi="Arial" w:cs="Arial"/>
                <w:sz w:val="24"/>
                <w:szCs w:val="24"/>
              </w:rPr>
              <w:t xml:space="preserve">, increasing productivity and </w:t>
            </w:r>
            <w:r w:rsidR="00461E40">
              <w:rPr>
                <w:rFonts w:ascii="Arial" w:hAnsi="Arial" w:cs="Arial"/>
                <w:sz w:val="24"/>
                <w:szCs w:val="24"/>
              </w:rPr>
              <w:t>reliability.</w:t>
            </w:r>
          </w:p>
        </w:tc>
        <w:tc>
          <w:tcPr>
            <w:tcW w:w="1417" w:type="dxa"/>
          </w:tcPr>
          <w:p w14:paraId="4713ECE1" w14:textId="28392402" w:rsidR="00DA5FA7" w:rsidRPr="00625870" w:rsidRDefault="00000CCB">
            <w:pPr>
              <w:rPr>
                <w:rFonts w:ascii="Arial" w:hAnsi="Arial" w:cs="Arial"/>
                <w:sz w:val="24"/>
                <w:szCs w:val="24"/>
              </w:rPr>
            </w:pPr>
            <w:r>
              <w:rPr>
                <w:rFonts w:ascii="Arial" w:hAnsi="Arial" w:cs="Arial"/>
                <w:sz w:val="24"/>
                <w:szCs w:val="24"/>
              </w:rPr>
              <w:t>In progress</w:t>
            </w:r>
          </w:p>
        </w:tc>
        <w:tc>
          <w:tcPr>
            <w:tcW w:w="4536" w:type="dxa"/>
          </w:tcPr>
          <w:p w14:paraId="62734A47" w14:textId="1181B5F8" w:rsidR="00DA5FA7" w:rsidRPr="00625870" w:rsidRDefault="00C6562B">
            <w:pPr>
              <w:rPr>
                <w:rFonts w:ascii="Arial" w:hAnsi="Arial" w:cs="Arial"/>
                <w:sz w:val="24"/>
                <w:szCs w:val="24"/>
              </w:rPr>
            </w:pPr>
            <w:r>
              <w:rPr>
                <w:rFonts w:ascii="Arial" w:hAnsi="Arial" w:cs="Arial"/>
                <w:sz w:val="24"/>
                <w:szCs w:val="24"/>
              </w:rPr>
              <w:t xml:space="preserve">This year we have focused on providing the foundations </w:t>
            </w:r>
            <w:r w:rsidR="00F30776">
              <w:rPr>
                <w:rFonts w:ascii="Arial" w:hAnsi="Arial" w:cs="Arial"/>
                <w:sz w:val="24"/>
                <w:szCs w:val="24"/>
              </w:rPr>
              <w:t>for new technical and secure infrastructure</w:t>
            </w:r>
            <w:r w:rsidR="00365C34">
              <w:rPr>
                <w:rFonts w:ascii="Arial" w:hAnsi="Arial" w:cs="Arial"/>
                <w:sz w:val="24"/>
                <w:szCs w:val="24"/>
              </w:rPr>
              <w:t xml:space="preserve"> and establishing </w:t>
            </w:r>
            <w:r w:rsidR="00AD30D2">
              <w:rPr>
                <w:rFonts w:ascii="Arial" w:hAnsi="Arial" w:cs="Arial"/>
                <w:sz w:val="24"/>
                <w:szCs w:val="24"/>
              </w:rPr>
              <w:t xml:space="preserve">the contracts </w:t>
            </w:r>
            <w:r w:rsidR="00F0493F">
              <w:rPr>
                <w:rFonts w:ascii="Arial" w:hAnsi="Arial" w:cs="Arial"/>
                <w:sz w:val="24"/>
                <w:szCs w:val="24"/>
              </w:rPr>
              <w:t xml:space="preserve">to </w:t>
            </w:r>
            <w:r w:rsidR="007864AD">
              <w:rPr>
                <w:rFonts w:ascii="Arial" w:hAnsi="Arial" w:cs="Arial"/>
                <w:sz w:val="24"/>
                <w:szCs w:val="24"/>
              </w:rPr>
              <w:t>successfully deliver</w:t>
            </w:r>
            <w:r w:rsidR="003159A9">
              <w:rPr>
                <w:rFonts w:ascii="Arial" w:hAnsi="Arial" w:cs="Arial"/>
                <w:sz w:val="24"/>
                <w:szCs w:val="24"/>
              </w:rPr>
              <w:t xml:space="preserve"> our new devices in a </w:t>
            </w:r>
            <w:r w:rsidR="00FA0C43">
              <w:rPr>
                <w:rFonts w:ascii="Arial" w:hAnsi="Arial" w:cs="Arial"/>
                <w:sz w:val="24"/>
                <w:szCs w:val="24"/>
              </w:rPr>
              <w:t>managed and secure way.</w:t>
            </w:r>
            <w:r w:rsidR="004A7CE0">
              <w:rPr>
                <w:rFonts w:ascii="Arial" w:hAnsi="Arial" w:cs="Arial"/>
                <w:sz w:val="24"/>
                <w:szCs w:val="24"/>
              </w:rPr>
              <w:t xml:space="preserve"> All devices </w:t>
            </w:r>
            <w:r w:rsidR="003E6412">
              <w:rPr>
                <w:rFonts w:ascii="Arial" w:hAnsi="Arial" w:cs="Arial"/>
                <w:sz w:val="24"/>
                <w:szCs w:val="24"/>
              </w:rPr>
              <w:t xml:space="preserve">are now </w:t>
            </w:r>
            <w:r w:rsidR="003C6D01">
              <w:rPr>
                <w:rFonts w:ascii="Arial" w:hAnsi="Arial" w:cs="Arial"/>
                <w:sz w:val="24"/>
                <w:szCs w:val="24"/>
              </w:rPr>
              <w:t>purchased and being prepared for roll out.</w:t>
            </w:r>
          </w:p>
        </w:tc>
      </w:tr>
      <w:tr w:rsidR="00DA5FA7" w14:paraId="11BD251C" w14:textId="77777777" w:rsidTr="00C526B4">
        <w:tc>
          <w:tcPr>
            <w:tcW w:w="3256" w:type="dxa"/>
          </w:tcPr>
          <w:p w14:paraId="13F486E4" w14:textId="64DE09E4" w:rsidR="00DA5FA7" w:rsidRPr="00625870" w:rsidRDefault="00C210E2">
            <w:pPr>
              <w:rPr>
                <w:rFonts w:ascii="Arial" w:hAnsi="Arial" w:cs="Arial"/>
                <w:sz w:val="24"/>
                <w:szCs w:val="24"/>
              </w:rPr>
            </w:pPr>
            <w:r>
              <w:rPr>
                <w:rFonts w:ascii="Arial" w:hAnsi="Arial" w:cs="Arial"/>
                <w:sz w:val="24"/>
                <w:szCs w:val="24"/>
              </w:rPr>
              <w:t xml:space="preserve">Introduce new technology to drive improved </w:t>
            </w:r>
            <w:r w:rsidR="00CE6440">
              <w:rPr>
                <w:rFonts w:ascii="Arial" w:hAnsi="Arial" w:cs="Arial"/>
                <w:sz w:val="24"/>
                <w:szCs w:val="24"/>
              </w:rPr>
              <w:t>business outcomes</w:t>
            </w:r>
            <w:r w:rsidR="000E3BFF">
              <w:rPr>
                <w:rFonts w:ascii="Arial" w:hAnsi="Arial" w:cs="Arial"/>
                <w:sz w:val="24"/>
                <w:szCs w:val="24"/>
              </w:rPr>
              <w:t xml:space="preserve"> through better use of data</w:t>
            </w:r>
          </w:p>
        </w:tc>
        <w:tc>
          <w:tcPr>
            <w:tcW w:w="1417" w:type="dxa"/>
          </w:tcPr>
          <w:p w14:paraId="26E796A5" w14:textId="630C6E10" w:rsidR="00DA5FA7" w:rsidRPr="00625870" w:rsidRDefault="00056550">
            <w:pPr>
              <w:rPr>
                <w:rFonts w:ascii="Arial" w:hAnsi="Arial" w:cs="Arial"/>
                <w:sz w:val="24"/>
                <w:szCs w:val="24"/>
              </w:rPr>
            </w:pPr>
            <w:r>
              <w:rPr>
                <w:rFonts w:ascii="Arial" w:hAnsi="Arial" w:cs="Arial"/>
                <w:sz w:val="24"/>
                <w:szCs w:val="24"/>
              </w:rPr>
              <w:t>Achieved</w:t>
            </w:r>
          </w:p>
        </w:tc>
        <w:tc>
          <w:tcPr>
            <w:tcW w:w="4536" w:type="dxa"/>
          </w:tcPr>
          <w:p w14:paraId="7A5E6106" w14:textId="7258F443" w:rsidR="00DA5FA7" w:rsidRPr="00625870" w:rsidRDefault="001C26F2">
            <w:pPr>
              <w:rPr>
                <w:rFonts w:ascii="Arial" w:hAnsi="Arial" w:cs="Arial"/>
                <w:sz w:val="24"/>
                <w:szCs w:val="24"/>
              </w:rPr>
            </w:pPr>
            <w:r>
              <w:rPr>
                <w:rFonts w:ascii="Arial" w:hAnsi="Arial" w:cs="Arial"/>
                <w:sz w:val="24"/>
                <w:szCs w:val="24"/>
              </w:rPr>
              <w:t xml:space="preserve">Aging </w:t>
            </w:r>
            <w:r w:rsidR="00D91A8A">
              <w:rPr>
                <w:rFonts w:ascii="Arial" w:hAnsi="Arial" w:cs="Arial"/>
                <w:sz w:val="24"/>
                <w:szCs w:val="24"/>
              </w:rPr>
              <w:t>and unsuppo</w:t>
            </w:r>
            <w:r w:rsidR="002C42E8">
              <w:rPr>
                <w:rFonts w:ascii="Arial" w:hAnsi="Arial" w:cs="Arial"/>
                <w:sz w:val="24"/>
                <w:szCs w:val="24"/>
              </w:rPr>
              <w:t xml:space="preserve">rted </w:t>
            </w:r>
            <w:r>
              <w:rPr>
                <w:rFonts w:ascii="Arial" w:hAnsi="Arial" w:cs="Arial"/>
                <w:sz w:val="24"/>
                <w:szCs w:val="24"/>
              </w:rPr>
              <w:t>c</w:t>
            </w:r>
            <w:r w:rsidR="00F07BD3">
              <w:rPr>
                <w:rFonts w:ascii="Arial" w:hAnsi="Arial" w:cs="Arial"/>
                <w:sz w:val="24"/>
                <w:szCs w:val="24"/>
              </w:rPr>
              <w:t xml:space="preserve">orporate </w:t>
            </w:r>
            <w:r>
              <w:rPr>
                <w:rFonts w:ascii="Arial" w:hAnsi="Arial" w:cs="Arial"/>
                <w:sz w:val="24"/>
                <w:szCs w:val="24"/>
              </w:rPr>
              <w:t>r</w:t>
            </w:r>
            <w:r w:rsidR="00F07BD3">
              <w:rPr>
                <w:rFonts w:ascii="Arial" w:hAnsi="Arial" w:cs="Arial"/>
                <w:sz w:val="24"/>
                <w:szCs w:val="24"/>
              </w:rPr>
              <w:t>eporting tools</w:t>
            </w:r>
            <w:r w:rsidR="004C7CC3">
              <w:rPr>
                <w:rFonts w:ascii="Arial" w:hAnsi="Arial" w:cs="Arial"/>
                <w:sz w:val="24"/>
                <w:szCs w:val="24"/>
              </w:rPr>
              <w:t xml:space="preserve"> have been replaced </w:t>
            </w:r>
            <w:r w:rsidR="002E261E">
              <w:rPr>
                <w:rFonts w:ascii="Arial" w:hAnsi="Arial" w:cs="Arial"/>
                <w:sz w:val="24"/>
                <w:szCs w:val="24"/>
              </w:rPr>
              <w:t>and our</w:t>
            </w:r>
            <w:r w:rsidR="002E261E" w:rsidRPr="002E261E">
              <w:rPr>
                <w:rFonts w:ascii="Arial" w:hAnsi="Arial" w:cs="Arial"/>
                <w:sz w:val="24"/>
                <w:szCs w:val="24"/>
              </w:rPr>
              <w:t xml:space="preserve"> data strategy </w:t>
            </w:r>
            <w:r w:rsidR="002E261E">
              <w:rPr>
                <w:rFonts w:ascii="Arial" w:hAnsi="Arial" w:cs="Arial"/>
                <w:sz w:val="24"/>
                <w:szCs w:val="24"/>
              </w:rPr>
              <w:t xml:space="preserve">implementation </w:t>
            </w:r>
            <w:r w:rsidR="002E261E" w:rsidRPr="002E261E">
              <w:rPr>
                <w:rFonts w:ascii="Arial" w:hAnsi="Arial" w:cs="Arial"/>
                <w:sz w:val="24"/>
                <w:szCs w:val="24"/>
              </w:rPr>
              <w:t>is continuing</w:t>
            </w:r>
            <w:r w:rsidR="002E261E">
              <w:rPr>
                <w:rFonts w:ascii="Arial" w:hAnsi="Arial" w:cs="Arial"/>
                <w:sz w:val="24"/>
                <w:szCs w:val="24"/>
              </w:rPr>
              <w:t>.</w:t>
            </w:r>
          </w:p>
        </w:tc>
      </w:tr>
    </w:tbl>
    <w:p w14:paraId="1E8BA495" w14:textId="77777777" w:rsidR="00C526B4" w:rsidRDefault="00C526B4">
      <w:r>
        <w:br w:type="page"/>
      </w:r>
    </w:p>
    <w:tbl>
      <w:tblPr>
        <w:tblStyle w:val="TableGrid"/>
        <w:tblW w:w="9209" w:type="dxa"/>
        <w:tblLook w:val="04A0" w:firstRow="1" w:lastRow="0" w:firstColumn="1" w:lastColumn="0" w:noHBand="0" w:noVBand="1"/>
      </w:tblPr>
      <w:tblGrid>
        <w:gridCol w:w="3256"/>
        <w:gridCol w:w="1417"/>
        <w:gridCol w:w="4536"/>
      </w:tblGrid>
      <w:tr w:rsidR="00012F59" w14:paraId="2F96C981" w14:textId="77777777" w:rsidTr="00C526B4">
        <w:tc>
          <w:tcPr>
            <w:tcW w:w="3256" w:type="dxa"/>
          </w:tcPr>
          <w:p w14:paraId="5DBDC308" w14:textId="03924C74" w:rsidR="00012F59" w:rsidRDefault="00FD5BA8" w:rsidP="00012F59">
            <w:pPr>
              <w:rPr>
                <w:rFonts w:ascii="Arial" w:hAnsi="Arial" w:cs="Arial"/>
                <w:sz w:val="24"/>
                <w:szCs w:val="24"/>
              </w:rPr>
            </w:pPr>
            <w:r>
              <w:lastRenderedPageBreak/>
              <w:br w:type="page"/>
            </w:r>
            <w:r w:rsidR="00012F59">
              <w:rPr>
                <w:rFonts w:ascii="Arial" w:hAnsi="Arial" w:cs="Arial"/>
                <w:color w:val="4472C4" w:themeColor="accent1"/>
                <w:sz w:val="24"/>
                <w:szCs w:val="24"/>
              </w:rPr>
              <w:t>Objective</w:t>
            </w:r>
          </w:p>
        </w:tc>
        <w:tc>
          <w:tcPr>
            <w:tcW w:w="1417" w:type="dxa"/>
          </w:tcPr>
          <w:p w14:paraId="53EFF67A" w14:textId="39319127" w:rsidR="00012F59" w:rsidRDefault="00012F59" w:rsidP="00012F59">
            <w:pPr>
              <w:rPr>
                <w:rFonts w:ascii="Arial" w:hAnsi="Arial" w:cs="Arial"/>
                <w:sz w:val="24"/>
                <w:szCs w:val="24"/>
              </w:rPr>
            </w:pPr>
            <w:r>
              <w:rPr>
                <w:rFonts w:ascii="Arial" w:hAnsi="Arial" w:cs="Arial"/>
                <w:color w:val="4472C4" w:themeColor="accent1"/>
                <w:sz w:val="24"/>
                <w:szCs w:val="24"/>
              </w:rPr>
              <w:t>Status</w:t>
            </w:r>
          </w:p>
        </w:tc>
        <w:tc>
          <w:tcPr>
            <w:tcW w:w="4536" w:type="dxa"/>
          </w:tcPr>
          <w:p w14:paraId="37CF87BA" w14:textId="3D9A5F88" w:rsidR="00012F59" w:rsidRDefault="00012F59" w:rsidP="00012F59">
            <w:pPr>
              <w:rPr>
                <w:rFonts w:ascii="Arial" w:hAnsi="Arial" w:cs="Arial"/>
                <w:sz w:val="24"/>
                <w:szCs w:val="24"/>
              </w:rPr>
            </w:pPr>
            <w:r>
              <w:rPr>
                <w:rFonts w:ascii="Arial" w:hAnsi="Arial" w:cs="Arial"/>
                <w:color w:val="4472C4" w:themeColor="accent1"/>
                <w:sz w:val="24"/>
                <w:szCs w:val="24"/>
              </w:rPr>
              <w:t>Commentary</w:t>
            </w:r>
          </w:p>
        </w:tc>
      </w:tr>
      <w:tr w:rsidR="00012F59" w14:paraId="2C7F6052" w14:textId="77777777" w:rsidTr="00C526B4">
        <w:tc>
          <w:tcPr>
            <w:tcW w:w="3256" w:type="dxa"/>
          </w:tcPr>
          <w:p w14:paraId="20455573" w14:textId="2277D7E9" w:rsidR="00012F59" w:rsidRPr="00625870" w:rsidRDefault="00012F59" w:rsidP="00012F59">
            <w:pPr>
              <w:rPr>
                <w:rFonts w:ascii="Arial" w:hAnsi="Arial" w:cs="Arial"/>
                <w:sz w:val="24"/>
                <w:szCs w:val="24"/>
              </w:rPr>
            </w:pPr>
            <w:r>
              <w:rPr>
                <w:rFonts w:ascii="Arial" w:hAnsi="Arial" w:cs="Arial"/>
                <w:sz w:val="24"/>
                <w:szCs w:val="24"/>
              </w:rPr>
              <w:t>Develop new digital document production services to put end-users in control of document content and layout</w:t>
            </w:r>
          </w:p>
        </w:tc>
        <w:tc>
          <w:tcPr>
            <w:tcW w:w="1417" w:type="dxa"/>
          </w:tcPr>
          <w:p w14:paraId="1EEBF20C" w14:textId="703496D4" w:rsidR="00012F59" w:rsidRPr="00625870" w:rsidRDefault="00012F59" w:rsidP="00012F59">
            <w:pPr>
              <w:rPr>
                <w:rFonts w:ascii="Arial" w:hAnsi="Arial" w:cs="Arial"/>
                <w:sz w:val="24"/>
                <w:szCs w:val="24"/>
              </w:rPr>
            </w:pPr>
            <w:r>
              <w:rPr>
                <w:rFonts w:ascii="Arial" w:hAnsi="Arial" w:cs="Arial"/>
                <w:sz w:val="24"/>
                <w:szCs w:val="24"/>
              </w:rPr>
              <w:t>In progress</w:t>
            </w:r>
          </w:p>
        </w:tc>
        <w:tc>
          <w:tcPr>
            <w:tcW w:w="4536" w:type="dxa"/>
          </w:tcPr>
          <w:p w14:paraId="2146999A" w14:textId="4CAFD0D6" w:rsidR="00012F59" w:rsidRPr="00625870" w:rsidRDefault="00012F59" w:rsidP="00012F59">
            <w:pPr>
              <w:rPr>
                <w:rFonts w:ascii="Arial" w:hAnsi="Arial" w:cs="Arial"/>
                <w:sz w:val="24"/>
                <w:szCs w:val="24"/>
              </w:rPr>
            </w:pPr>
            <w:r>
              <w:rPr>
                <w:rFonts w:ascii="Arial" w:hAnsi="Arial" w:cs="Arial"/>
                <w:sz w:val="24"/>
                <w:szCs w:val="24"/>
              </w:rPr>
              <w:t>The discovery phase was completed in July 2023 and significant progress has been made on supporting document creation in readiness for the launch of INSSight. RPS document production service will go live in June 2024 with the ISCIS service scheduled to follow the launch of INSSight in October 2024.</w:t>
            </w:r>
          </w:p>
        </w:tc>
      </w:tr>
      <w:tr w:rsidR="00012F59" w14:paraId="3452B113" w14:textId="77777777" w:rsidTr="00C526B4">
        <w:tc>
          <w:tcPr>
            <w:tcW w:w="3256" w:type="dxa"/>
          </w:tcPr>
          <w:p w14:paraId="5A094BC4" w14:textId="4E26F066" w:rsidR="00012F59" w:rsidRPr="00625870" w:rsidRDefault="00012F59" w:rsidP="00012F59">
            <w:pPr>
              <w:rPr>
                <w:rFonts w:ascii="Arial" w:hAnsi="Arial" w:cs="Arial"/>
                <w:sz w:val="24"/>
                <w:szCs w:val="24"/>
              </w:rPr>
            </w:pPr>
            <w:r>
              <w:rPr>
                <w:rFonts w:ascii="Arial" w:hAnsi="Arial" w:cs="Arial"/>
                <w:sz w:val="24"/>
                <w:szCs w:val="24"/>
              </w:rPr>
              <w:t>Introduce new collaboration tools enabling our people to work together effectively wherever they are.</w:t>
            </w:r>
          </w:p>
        </w:tc>
        <w:tc>
          <w:tcPr>
            <w:tcW w:w="1417" w:type="dxa"/>
          </w:tcPr>
          <w:p w14:paraId="31AC9471" w14:textId="60B4F66C" w:rsidR="00012F59" w:rsidRPr="00625870" w:rsidRDefault="00012F59" w:rsidP="00012F59">
            <w:pPr>
              <w:rPr>
                <w:rFonts w:ascii="Arial" w:hAnsi="Arial" w:cs="Arial"/>
                <w:sz w:val="24"/>
                <w:szCs w:val="24"/>
              </w:rPr>
            </w:pPr>
            <w:r>
              <w:rPr>
                <w:rFonts w:ascii="Arial" w:hAnsi="Arial" w:cs="Arial"/>
                <w:sz w:val="24"/>
                <w:szCs w:val="24"/>
              </w:rPr>
              <w:t>Achieved</w:t>
            </w:r>
          </w:p>
        </w:tc>
        <w:tc>
          <w:tcPr>
            <w:tcW w:w="4536" w:type="dxa"/>
          </w:tcPr>
          <w:p w14:paraId="44C77EA7" w14:textId="79277825" w:rsidR="00012F59" w:rsidRPr="00625870" w:rsidRDefault="00012F59" w:rsidP="00012F59">
            <w:pPr>
              <w:rPr>
                <w:rFonts w:ascii="Arial" w:hAnsi="Arial" w:cs="Arial"/>
                <w:sz w:val="24"/>
                <w:szCs w:val="24"/>
              </w:rPr>
            </w:pPr>
            <w:r>
              <w:rPr>
                <w:rFonts w:ascii="Arial" w:hAnsi="Arial" w:cs="Arial"/>
                <w:sz w:val="24"/>
                <w:szCs w:val="24"/>
              </w:rPr>
              <w:t>We have delivered several new IT tools including Miro online and Verto365 enabling colleagues to deliver business outcomes more efficiently and collaboratively.</w:t>
            </w:r>
          </w:p>
        </w:tc>
      </w:tr>
      <w:tr w:rsidR="00012F59" w14:paraId="14088DEF" w14:textId="77777777" w:rsidTr="00C526B4">
        <w:tc>
          <w:tcPr>
            <w:tcW w:w="3256" w:type="dxa"/>
          </w:tcPr>
          <w:p w14:paraId="00A32BF0" w14:textId="0653D266" w:rsidR="00012F59" w:rsidRPr="00625870" w:rsidRDefault="00012F59" w:rsidP="00012F59">
            <w:pPr>
              <w:rPr>
                <w:rFonts w:ascii="Arial" w:hAnsi="Arial" w:cs="Arial"/>
                <w:sz w:val="24"/>
                <w:szCs w:val="24"/>
              </w:rPr>
            </w:pPr>
            <w:r>
              <w:rPr>
                <w:rFonts w:ascii="Arial" w:hAnsi="Arial" w:cs="Arial"/>
                <w:sz w:val="24"/>
                <w:szCs w:val="24"/>
              </w:rPr>
              <w:t>Continue our programme to reduce our estate footprint from 19 offices to create 11 regional centres fit for the future and our customer base.</w:t>
            </w:r>
          </w:p>
        </w:tc>
        <w:tc>
          <w:tcPr>
            <w:tcW w:w="1417" w:type="dxa"/>
          </w:tcPr>
          <w:p w14:paraId="0ED94D0A" w14:textId="56EA37B5" w:rsidR="00012F59" w:rsidRPr="00625870" w:rsidRDefault="00012F59" w:rsidP="00012F59">
            <w:pPr>
              <w:rPr>
                <w:rFonts w:ascii="Arial" w:hAnsi="Arial" w:cs="Arial"/>
                <w:sz w:val="24"/>
                <w:szCs w:val="24"/>
              </w:rPr>
            </w:pPr>
            <w:r>
              <w:rPr>
                <w:rFonts w:ascii="Arial" w:hAnsi="Arial" w:cs="Arial"/>
                <w:sz w:val="24"/>
                <w:szCs w:val="24"/>
              </w:rPr>
              <w:t>In progress</w:t>
            </w:r>
          </w:p>
        </w:tc>
        <w:tc>
          <w:tcPr>
            <w:tcW w:w="4536" w:type="dxa"/>
          </w:tcPr>
          <w:p w14:paraId="416D2A9D" w14:textId="76628F02" w:rsidR="00012F59" w:rsidRPr="00625870" w:rsidRDefault="00012F59" w:rsidP="00012F59">
            <w:pPr>
              <w:rPr>
                <w:rFonts w:ascii="Arial" w:hAnsi="Arial" w:cs="Arial"/>
                <w:sz w:val="24"/>
                <w:szCs w:val="24"/>
              </w:rPr>
            </w:pPr>
            <w:r>
              <w:rPr>
                <w:rFonts w:ascii="Arial" w:hAnsi="Arial" w:cs="Arial"/>
                <w:sz w:val="24"/>
                <w:szCs w:val="24"/>
              </w:rPr>
              <w:t>Our office closure and relocation programme has continued during the year with the closure of our Reading, Blackpool and Birkenhead offices and colleagues relocated to regional centres.</w:t>
            </w:r>
          </w:p>
        </w:tc>
      </w:tr>
    </w:tbl>
    <w:p w14:paraId="5A1DD6CD" w14:textId="77777777" w:rsidR="00B02514" w:rsidRDefault="00B02514" w:rsidP="00B779D8">
      <w:pPr>
        <w:rPr>
          <w:rFonts w:ascii="Arial" w:hAnsi="Arial" w:cs="Arial"/>
          <w:b/>
          <w:bCs/>
          <w:color w:val="4472C4" w:themeColor="accent1"/>
          <w:sz w:val="24"/>
          <w:szCs w:val="24"/>
        </w:rPr>
      </w:pPr>
    </w:p>
    <w:p w14:paraId="7C13539D" w14:textId="450E0972" w:rsidR="00B779D8" w:rsidRDefault="003B7F71" w:rsidP="004919D3">
      <w:pPr>
        <w:pStyle w:val="Heading4"/>
        <w:rPr>
          <w:rFonts w:cs="Arial"/>
          <w:b w:val="0"/>
          <w:sz w:val="24"/>
          <w:szCs w:val="24"/>
        </w:rPr>
      </w:pPr>
      <w:r>
        <w:t>How we performed</w:t>
      </w:r>
    </w:p>
    <w:tbl>
      <w:tblPr>
        <w:tblStyle w:val="TableGrid"/>
        <w:tblW w:w="0" w:type="auto"/>
        <w:tblLook w:val="04A0" w:firstRow="1" w:lastRow="0" w:firstColumn="1" w:lastColumn="0" w:noHBand="0" w:noVBand="1"/>
      </w:tblPr>
      <w:tblGrid>
        <w:gridCol w:w="4411"/>
        <w:gridCol w:w="1056"/>
        <w:gridCol w:w="1183"/>
        <w:gridCol w:w="1183"/>
        <w:gridCol w:w="1183"/>
      </w:tblGrid>
      <w:tr w:rsidR="00962469" w14:paraId="5803B83D" w14:textId="77777777" w:rsidTr="00962469">
        <w:tc>
          <w:tcPr>
            <w:tcW w:w="9016" w:type="dxa"/>
            <w:gridSpan w:val="5"/>
            <w:shd w:val="clear" w:color="auto" w:fill="5B9BD5" w:themeFill="accent5"/>
          </w:tcPr>
          <w:p w14:paraId="6B024748" w14:textId="1EDBE529" w:rsidR="00962469" w:rsidRDefault="00962469">
            <w:pPr>
              <w:rPr>
                <w:rFonts w:ascii="Arial" w:hAnsi="Arial" w:cs="Arial"/>
                <w:b/>
                <w:bCs/>
                <w:color w:val="FFFFFF" w:themeColor="background1"/>
                <w:sz w:val="24"/>
                <w:szCs w:val="24"/>
              </w:rPr>
            </w:pPr>
            <w:r>
              <w:rPr>
                <w:rFonts w:ascii="Arial" w:hAnsi="Arial" w:cs="Arial"/>
                <w:b/>
                <w:bCs/>
                <w:color w:val="FFFFFF" w:themeColor="background1"/>
                <w:sz w:val="24"/>
                <w:szCs w:val="24"/>
              </w:rPr>
              <w:t>Performance measures</w:t>
            </w:r>
          </w:p>
        </w:tc>
      </w:tr>
      <w:tr w:rsidR="00091D37" w14:paraId="05EB0D6C" w14:textId="77777777" w:rsidTr="00962469">
        <w:tc>
          <w:tcPr>
            <w:tcW w:w="4411" w:type="dxa"/>
          </w:tcPr>
          <w:p w14:paraId="21BFE151" w14:textId="77777777" w:rsidR="00091D37" w:rsidRDefault="00091D37">
            <w:pPr>
              <w:rPr>
                <w:rFonts w:ascii="Arial" w:hAnsi="Arial" w:cs="Arial"/>
                <w:sz w:val="24"/>
                <w:szCs w:val="24"/>
              </w:rPr>
            </w:pPr>
          </w:p>
        </w:tc>
        <w:tc>
          <w:tcPr>
            <w:tcW w:w="1056" w:type="dxa"/>
          </w:tcPr>
          <w:p w14:paraId="4EBF501C" w14:textId="77777777" w:rsidR="00091D37" w:rsidRPr="00F01C1E" w:rsidRDefault="00091D37">
            <w:pPr>
              <w:jc w:val="center"/>
              <w:rPr>
                <w:rFonts w:ascii="Arial" w:hAnsi="Arial" w:cs="Arial"/>
                <w:b/>
                <w:bCs/>
                <w:sz w:val="24"/>
                <w:szCs w:val="24"/>
              </w:rPr>
            </w:pPr>
          </w:p>
        </w:tc>
        <w:tc>
          <w:tcPr>
            <w:tcW w:w="1183" w:type="dxa"/>
          </w:tcPr>
          <w:p w14:paraId="59339C24" w14:textId="7B88EB7F" w:rsidR="00091D37" w:rsidRPr="00F01C1E" w:rsidRDefault="00091D37">
            <w:pPr>
              <w:jc w:val="center"/>
              <w:rPr>
                <w:rFonts w:ascii="Arial" w:hAnsi="Arial" w:cs="Arial"/>
                <w:b/>
                <w:bCs/>
                <w:sz w:val="24"/>
                <w:szCs w:val="24"/>
              </w:rPr>
            </w:pPr>
            <w:r w:rsidRPr="00F01C1E">
              <w:rPr>
                <w:rFonts w:ascii="Arial" w:hAnsi="Arial" w:cs="Arial"/>
                <w:b/>
                <w:bCs/>
                <w:sz w:val="24"/>
                <w:szCs w:val="24"/>
              </w:rPr>
              <w:t>2023-24</w:t>
            </w:r>
          </w:p>
        </w:tc>
        <w:tc>
          <w:tcPr>
            <w:tcW w:w="1183" w:type="dxa"/>
          </w:tcPr>
          <w:p w14:paraId="2BFA085E" w14:textId="77777777" w:rsidR="00091D37" w:rsidRPr="00F01C1E" w:rsidRDefault="00091D37">
            <w:pPr>
              <w:jc w:val="center"/>
              <w:rPr>
                <w:rFonts w:ascii="Arial" w:hAnsi="Arial" w:cs="Arial"/>
                <w:b/>
                <w:bCs/>
                <w:sz w:val="24"/>
                <w:szCs w:val="24"/>
              </w:rPr>
            </w:pPr>
            <w:r w:rsidRPr="00F01C1E">
              <w:rPr>
                <w:rFonts w:ascii="Arial" w:hAnsi="Arial" w:cs="Arial"/>
                <w:b/>
                <w:bCs/>
                <w:sz w:val="24"/>
                <w:szCs w:val="24"/>
              </w:rPr>
              <w:t>2022-23</w:t>
            </w:r>
          </w:p>
        </w:tc>
        <w:tc>
          <w:tcPr>
            <w:tcW w:w="1183" w:type="dxa"/>
          </w:tcPr>
          <w:p w14:paraId="321FB838" w14:textId="77777777" w:rsidR="00091D37" w:rsidRPr="00F01C1E" w:rsidRDefault="00091D37">
            <w:pPr>
              <w:jc w:val="center"/>
              <w:rPr>
                <w:rFonts w:ascii="Arial" w:hAnsi="Arial" w:cs="Arial"/>
                <w:b/>
                <w:bCs/>
                <w:sz w:val="24"/>
                <w:szCs w:val="24"/>
              </w:rPr>
            </w:pPr>
            <w:r w:rsidRPr="00F01C1E">
              <w:rPr>
                <w:rFonts w:ascii="Arial" w:hAnsi="Arial" w:cs="Arial"/>
                <w:b/>
                <w:bCs/>
                <w:sz w:val="24"/>
                <w:szCs w:val="24"/>
              </w:rPr>
              <w:t>2021-22</w:t>
            </w:r>
          </w:p>
        </w:tc>
      </w:tr>
      <w:tr w:rsidR="00091D37" w14:paraId="687F6E76" w14:textId="77777777" w:rsidTr="00962469">
        <w:trPr>
          <w:trHeight w:val="547"/>
        </w:trPr>
        <w:tc>
          <w:tcPr>
            <w:tcW w:w="4411" w:type="dxa"/>
            <w:vMerge w:val="restart"/>
            <w:vAlign w:val="center"/>
          </w:tcPr>
          <w:p w14:paraId="256E89E1" w14:textId="3937170A" w:rsidR="00091D37" w:rsidRDefault="00091D37" w:rsidP="0002349B">
            <w:pPr>
              <w:rPr>
                <w:rFonts w:ascii="Arial" w:hAnsi="Arial" w:cs="Arial"/>
                <w:sz w:val="24"/>
                <w:szCs w:val="24"/>
              </w:rPr>
            </w:pPr>
            <w:r>
              <w:rPr>
                <w:rFonts w:ascii="Arial" w:hAnsi="Arial" w:cs="Arial"/>
                <w:sz w:val="24"/>
                <w:szCs w:val="24"/>
              </w:rPr>
              <w:t>Customer service – net easy score ‘Overall how easy was it to complete your application/submit your information today’</w:t>
            </w:r>
          </w:p>
        </w:tc>
        <w:tc>
          <w:tcPr>
            <w:tcW w:w="1056" w:type="dxa"/>
            <w:vAlign w:val="center"/>
          </w:tcPr>
          <w:p w14:paraId="2813318B" w14:textId="6E585733" w:rsidR="00091D37" w:rsidRDefault="00534D7A" w:rsidP="005C0B1C">
            <w:pPr>
              <w:rPr>
                <w:rFonts w:ascii="Arial" w:hAnsi="Arial" w:cs="Arial"/>
                <w:sz w:val="24"/>
                <w:szCs w:val="24"/>
              </w:rPr>
            </w:pPr>
            <w:r>
              <w:rPr>
                <w:rFonts w:ascii="Arial" w:hAnsi="Arial" w:cs="Arial"/>
                <w:sz w:val="24"/>
                <w:szCs w:val="24"/>
              </w:rPr>
              <w:t>Target</w:t>
            </w:r>
          </w:p>
        </w:tc>
        <w:tc>
          <w:tcPr>
            <w:tcW w:w="1183" w:type="dxa"/>
            <w:vAlign w:val="center"/>
          </w:tcPr>
          <w:p w14:paraId="1CAC4592" w14:textId="19388356" w:rsidR="00091D37" w:rsidRDefault="00091D37" w:rsidP="00534D7A">
            <w:pPr>
              <w:jc w:val="center"/>
              <w:rPr>
                <w:rFonts w:ascii="Arial" w:hAnsi="Arial" w:cs="Arial"/>
                <w:sz w:val="24"/>
                <w:szCs w:val="24"/>
              </w:rPr>
            </w:pPr>
            <w:r>
              <w:rPr>
                <w:rFonts w:ascii="Arial" w:hAnsi="Arial" w:cs="Arial"/>
                <w:sz w:val="24"/>
                <w:szCs w:val="24"/>
              </w:rPr>
              <w:t>83%</w:t>
            </w:r>
          </w:p>
        </w:tc>
        <w:tc>
          <w:tcPr>
            <w:tcW w:w="1183" w:type="dxa"/>
            <w:vAlign w:val="center"/>
          </w:tcPr>
          <w:p w14:paraId="17F5BACC" w14:textId="28E403D0" w:rsidR="00091D37" w:rsidRDefault="00091D37" w:rsidP="00534D7A">
            <w:pPr>
              <w:jc w:val="center"/>
              <w:rPr>
                <w:rFonts w:ascii="Arial" w:hAnsi="Arial" w:cs="Arial"/>
                <w:sz w:val="24"/>
                <w:szCs w:val="24"/>
              </w:rPr>
            </w:pPr>
            <w:r>
              <w:rPr>
                <w:rFonts w:ascii="Arial" w:hAnsi="Arial" w:cs="Arial"/>
                <w:sz w:val="24"/>
                <w:szCs w:val="24"/>
              </w:rPr>
              <w:t>8</w:t>
            </w:r>
            <w:r w:rsidR="00843E63">
              <w:rPr>
                <w:rFonts w:ascii="Arial" w:hAnsi="Arial" w:cs="Arial"/>
                <w:sz w:val="24"/>
                <w:szCs w:val="24"/>
              </w:rPr>
              <w:t>3</w:t>
            </w:r>
            <w:r>
              <w:rPr>
                <w:rFonts w:ascii="Arial" w:hAnsi="Arial" w:cs="Arial"/>
                <w:sz w:val="24"/>
                <w:szCs w:val="24"/>
              </w:rPr>
              <w:t>%</w:t>
            </w:r>
          </w:p>
        </w:tc>
        <w:tc>
          <w:tcPr>
            <w:tcW w:w="1183" w:type="dxa"/>
            <w:vAlign w:val="center"/>
          </w:tcPr>
          <w:p w14:paraId="490BE5E5" w14:textId="1DB0AC9D" w:rsidR="00091D37" w:rsidRDefault="007F6FE3" w:rsidP="00534D7A">
            <w:pPr>
              <w:jc w:val="center"/>
              <w:rPr>
                <w:rFonts w:ascii="Arial" w:hAnsi="Arial" w:cs="Arial"/>
                <w:sz w:val="24"/>
                <w:szCs w:val="24"/>
              </w:rPr>
            </w:pPr>
            <w:r>
              <w:rPr>
                <w:rFonts w:ascii="Arial" w:hAnsi="Arial" w:cs="Arial"/>
                <w:sz w:val="24"/>
                <w:szCs w:val="24"/>
              </w:rPr>
              <w:t>-</w:t>
            </w:r>
          </w:p>
        </w:tc>
      </w:tr>
      <w:tr w:rsidR="00091D37" w14:paraId="18075931" w14:textId="77777777" w:rsidTr="00962469">
        <w:trPr>
          <w:trHeight w:val="547"/>
        </w:trPr>
        <w:tc>
          <w:tcPr>
            <w:tcW w:w="4411" w:type="dxa"/>
            <w:vMerge/>
            <w:vAlign w:val="center"/>
          </w:tcPr>
          <w:p w14:paraId="07E34AD9" w14:textId="77777777" w:rsidR="00091D37" w:rsidRDefault="00091D37" w:rsidP="0002349B">
            <w:pPr>
              <w:rPr>
                <w:rFonts w:ascii="Arial" w:hAnsi="Arial" w:cs="Arial"/>
                <w:sz w:val="24"/>
                <w:szCs w:val="24"/>
              </w:rPr>
            </w:pPr>
          </w:p>
        </w:tc>
        <w:tc>
          <w:tcPr>
            <w:tcW w:w="1056" w:type="dxa"/>
            <w:vAlign w:val="center"/>
          </w:tcPr>
          <w:p w14:paraId="346C91BD" w14:textId="67BA7AD4" w:rsidR="00091D37" w:rsidRDefault="00534D7A" w:rsidP="005C0B1C">
            <w:pPr>
              <w:rPr>
                <w:rFonts w:ascii="Arial" w:hAnsi="Arial" w:cs="Arial"/>
                <w:sz w:val="24"/>
                <w:szCs w:val="24"/>
              </w:rPr>
            </w:pPr>
            <w:r>
              <w:rPr>
                <w:rFonts w:ascii="Arial" w:hAnsi="Arial" w:cs="Arial"/>
                <w:sz w:val="24"/>
                <w:szCs w:val="24"/>
              </w:rPr>
              <w:t>Actual</w:t>
            </w:r>
          </w:p>
        </w:tc>
        <w:tc>
          <w:tcPr>
            <w:tcW w:w="1183" w:type="dxa"/>
            <w:vAlign w:val="center"/>
          </w:tcPr>
          <w:p w14:paraId="35BB20FA" w14:textId="1120DA8A" w:rsidR="00091D37" w:rsidRDefault="00091D37" w:rsidP="00534D7A">
            <w:pPr>
              <w:jc w:val="center"/>
              <w:rPr>
                <w:rFonts w:ascii="Arial" w:hAnsi="Arial" w:cs="Arial"/>
                <w:sz w:val="24"/>
                <w:szCs w:val="24"/>
              </w:rPr>
            </w:pPr>
            <w:r>
              <w:rPr>
                <w:rFonts w:ascii="Arial" w:hAnsi="Arial" w:cs="Arial"/>
                <w:sz w:val="24"/>
                <w:szCs w:val="24"/>
              </w:rPr>
              <w:t>83%</w:t>
            </w:r>
          </w:p>
        </w:tc>
        <w:tc>
          <w:tcPr>
            <w:tcW w:w="1183" w:type="dxa"/>
            <w:vAlign w:val="center"/>
          </w:tcPr>
          <w:p w14:paraId="66ECEEDC" w14:textId="143DED24" w:rsidR="00091D37" w:rsidRDefault="00091D37" w:rsidP="00534D7A">
            <w:pPr>
              <w:jc w:val="center"/>
              <w:rPr>
                <w:rFonts w:ascii="Arial" w:hAnsi="Arial" w:cs="Arial"/>
                <w:sz w:val="24"/>
                <w:szCs w:val="24"/>
              </w:rPr>
            </w:pPr>
            <w:r>
              <w:rPr>
                <w:rFonts w:ascii="Arial" w:hAnsi="Arial" w:cs="Arial"/>
                <w:sz w:val="24"/>
                <w:szCs w:val="24"/>
              </w:rPr>
              <w:t>81%</w:t>
            </w:r>
          </w:p>
        </w:tc>
        <w:tc>
          <w:tcPr>
            <w:tcW w:w="1183" w:type="dxa"/>
            <w:vAlign w:val="center"/>
          </w:tcPr>
          <w:p w14:paraId="2A94582C" w14:textId="18A79953" w:rsidR="00091D37" w:rsidRDefault="00091D37" w:rsidP="00534D7A">
            <w:pPr>
              <w:jc w:val="center"/>
              <w:rPr>
                <w:rFonts w:ascii="Arial" w:hAnsi="Arial" w:cs="Arial"/>
                <w:sz w:val="24"/>
                <w:szCs w:val="24"/>
              </w:rPr>
            </w:pPr>
            <w:r>
              <w:rPr>
                <w:rFonts w:ascii="Arial" w:hAnsi="Arial" w:cs="Arial"/>
                <w:sz w:val="24"/>
                <w:szCs w:val="24"/>
              </w:rPr>
              <w:t>81%</w:t>
            </w:r>
          </w:p>
        </w:tc>
      </w:tr>
      <w:tr w:rsidR="00091D37" w14:paraId="38D4BD49" w14:textId="77777777" w:rsidTr="00962469">
        <w:trPr>
          <w:trHeight w:val="547"/>
        </w:trPr>
        <w:tc>
          <w:tcPr>
            <w:tcW w:w="4411" w:type="dxa"/>
            <w:vMerge w:val="restart"/>
            <w:vAlign w:val="center"/>
          </w:tcPr>
          <w:p w14:paraId="7BBD90C3" w14:textId="117FBB04" w:rsidR="00210233" w:rsidRDefault="00091D37" w:rsidP="0002349B">
            <w:pPr>
              <w:rPr>
                <w:rFonts w:ascii="Arial" w:hAnsi="Arial" w:cs="Arial"/>
                <w:sz w:val="24"/>
                <w:szCs w:val="24"/>
              </w:rPr>
            </w:pPr>
            <w:r>
              <w:rPr>
                <w:rFonts w:ascii="Arial" w:hAnsi="Arial" w:cs="Arial"/>
                <w:sz w:val="24"/>
                <w:szCs w:val="24"/>
              </w:rPr>
              <w:t>People survey response to how our user community feels about the tools to do their job</w:t>
            </w:r>
          </w:p>
        </w:tc>
        <w:tc>
          <w:tcPr>
            <w:tcW w:w="1056" w:type="dxa"/>
            <w:vAlign w:val="center"/>
          </w:tcPr>
          <w:p w14:paraId="58278CD5" w14:textId="20B7F80D" w:rsidR="00091D37" w:rsidRDefault="00534D7A" w:rsidP="00534D7A">
            <w:pPr>
              <w:rPr>
                <w:rFonts w:ascii="Arial" w:hAnsi="Arial" w:cs="Arial"/>
                <w:sz w:val="24"/>
                <w:szCs w:val="24"/>
              </w:rPr>
            </w:pPr>
            <w:r>
              <w:rPr>
                <w:rFonts w:ascii="Arial" w:hAnsi="Arial" w:cs="Arial"/>
                <w:sz w:val="24"/>
                <w:szCs w:val="24"/>
              </w:rPr>
              <w:t>Target</w:t>
            </w:r>
          </w:p>
        </w:tc>
        <w:tc>
          <w:tcPr>
            <w:tcW w:w="1183" w:type="dxa"/>
            <w:vAlign w:val="center"/>
          </w:tcPr>
          <w:p w14:paraId="32677842" w14:textId="367DDAD1" w:rsidR="00091D37" w:rsidRDefault="00572B65" w:rsidP="00FB31F7">
            <w:pPr>
              <w:jc w:val="center"/>
              <w:rPr>
                <w:rFonts w:ascii="Arial" w:hAnsi="Arial" w:cs="Arial"/>
                <w:sz w:val="24"/>
                <w:szCs w:val="24"/>
              </w:rPr>
            </w:pPr>
            <w:r>
              <w:rPr>
                <w:rFonts w:ascii="Arial" w:hAnsi="Arial" w:cs="Arial"/>
                <w:sz w:val="24"/>
                <w:szCs w:val="24"/>
              </w:rPr>
              <w:t>60</w:t>
            </w:r>
            <w:r w:rsidR="00091D37">
              <w:rPr>
                <w:rFonts w:ascii="Arial" w:hAnsi="Arial" w:cs="Arial"/>
                <w:sz w:val="24"/>
                <w:szCs w:val="24"/>
              </w:rPr>
              <w:t>%</w:t>
            </w:r>
          </w:p>
        </w:tc>
        <w:tc>
          <w:tcPr>
            <w:tcW w:w="1183" w:type="dxa"/>
            <w:vAlign w:val="center"/>
          </w:tcPr>
          <w:p w14:paraId="467D59B6" w14:textId="18100FFC" w:rsidR="00091D37" w:rsidRDefault="00091D37" w:rsidP="00FB31F7">
            <w:pPr>
              <w:jc w:val="center"/>
              <w:rPr>
                <w:rFonts w:ascii="Arial" w:hAnsi="Arial" w:cs="Arial"/>
                <w:sz w:val="24"/>
                <w:szCs w:val="24"/>
              </w:rPr>
            </w:pPr>
            <w:r>
              <w:rPr>
                <w:rFonts w:ascii="Arial" w:hAnsi="Arial" w:cs="Arial"/>
                <w:sz w:val="24"/>
                <w:szCs w:val="24"/>
              </w:rPr>
              <w:t>5</w:t>
            </w:r>
            <w:r w:rsidR="00C43882">
              <w:rPr>
                <w:rFonts w:ascii="Arial" w:hAnsi="Arial" w:cs="Arial"/>
                <w:sz w:val="24"/>
                <w:szCs w:val="24"/>
              </w:rPr>
              <w:t>7</w:t>
            </w:r>
            <w:r>
              <w:rPr>
                <w:rFonts w:ascii="Arial" w:hAnsi="Arial" w:cs="Arial"/>
                <w:sz w:val="24"/>
                <w:szCs w:val="24"/>
              </w:rPr>
              <w:t>%</w:t>
            </w:r>
          </w:p>
        </w:tc>
        <w:tc>
          <w:tcPr>
            <w:tcW w:w="1183" w:type="dxa"/>
            <w:vAlign w:val="center"/>
          </w:tcPr>
          <w:p w14:paraId="51E77DDF" w14:textId="3A10548D" w:rsidR="00091D37" w:rsidRDefault="00091D37" w:rsidP="00FB31F7">
            <w:pPr>
              <w:jc w:val="center"/>
              <w:rPr>
                <w:rFonts w:ascii="Arial" w:hAnsi="Arial" w:cs="Arial"/>
                <w:sz w:val="24"/>
                <w:szCs w:val="24"/>
              </w:rPr>
            </w:pPr>
            <w:r>
              <w:rPr>
                <w:rFonts w:ascii="Arial" w:hAnsi="Arial" w:cs="Arial"/>
                <w:sz w:val="24"/>
                <w:szCs w:val="24"/>
              </w:rPr>
              <w:t>5</w:t>
            </w:r>
            <w:r w:rsidR="00C43882">
              <w:rPr>
                <w:rFonts w:ascii="Arial" w:hAnsi="Arial" w:cs="Arial"/>
                <w:sz w:val="24"/>
                <w:szCs w:val="24"/>
              </w:rPr>
              <w:t>5</w:t>
            </w:r>
            <w:r>
              <w:rPr>
                <w:rFonts w:ascii="Arial" w:hAnsi="Arial" w:cs="Arial"/>
                <w:sz w:val="24"/>
                <w:szCs w:val="24"/>
              </w:rPr>
              <w:t>%</w:t>
            </w:r>
          </w:p>
        </w:tc>
      </w:tr>
      <w:tr w:rsidR="00091D37" w14:paraId="185F9731" w14:textId="77777777" w:rsidTr="00962469">
        <w:trPr>
          <w:trHeight w:val="547"/>
        </w:trPr>
        <w:tc>
          <w:tcPr>
            <w:tcW w:w="4411" w:type="dxa"/>
            <w:vMerge/>
          </w:tcPr>
          <w:p w14:paraId="33F24602" w14:textId="77777777" w:rsidR="00091D37" w:rsidRDefault="00091D37">
            <w:pPr>
              <w:rPr>
                <w:rFonts w:ascii="Arial" w:hAnsi="Arial" w:cs="Arial"/>
                <w:sz w:val="24"/>
                <w:szCs w:val="24"/>
              </w:rPr>
            </w:pPr>
          </w:p>
        </w:tc>
        <w:tc>
          <w:tcPr>
            <w:tcW w:w="1056" w:type="dxa"/>
            <w:vAlign w:val="center"/>
          </w:tcPr>
          <w:p w14:paraId="5708D70C" w14:textId="423A20F5" w:rsidR="00091D37" w:rsidRDefault="00534D7A" w:rsidP="00534D7A">
            <w:pPr>
              <w:rPr>
                <w:rFonts w:ascii="Arial" w:hAnsi="Arial" w:cs="Arial"/>
                <w:sz w:val="24"/>
                <w:szCs w:val="24"/>
              </w:rPr>
            </w:pPr>
            <w:r>
              <w:rPr>
                <w:rFonts w:ascii="Arial" w:hAnsi="Arial" w:cs="Arial"/>
                <w:sz w:val="24"/>
                <w:szCs w:val="24"/>
              </w:rPr>
              <w:t>Actual</w:t>
            </w:r>
          </w:p>
        </w:tc>
        <w:tc>
          <w:tcPr>
            <w:tcW w:w="1183" w:type="dxa"/>
            <w:vAlign w:val="center"/>
          </w:tcPr>
          <w:p w14:paraId="70747BC3" w14:textId="1DDD8A21" w:rsidR="00091D37" w:rsidRDefault="00091D37" w:rsidP="00FB31F7">
            <w:pPr>
              <w:jc w:val="center"/>
              <w:rPr>
                <w:rFonts w:ascii="Arial" w:hAnsi="Arial" w:cs="Arial"/>
                <w:sz w:val="24"/>
                <w:szCs w:val="24"/>
              </w:rPr>
            </w:pPr>
            <w:r>
              <w:rPr>
                <w:rFonts w:ascii="Arial" w:hAnsi="Arial" w:cs="Arial"/>
                <w:sz w:val="24"/>
                <w:szCs w:val="24"/>
              </w:rPr>
              <w:t>58%</w:t>
            </w:r>
          </w:p>
        </w:tc>
        <w:tc>
          <w:tcPr>
            <w:tcW w:w="1183" w:type="dxa"/>
            <w:vAlign w:val="center"/>
          </w:tcPr>
          <w:p w14:paraId="3FBCDB28" w14:textId="7E2A5F49" w:rsidR="00091D37" w:rsidRDefault="00091D37" w:rsidP="00FB31F7">
            <w:pPr>
              <w:jc w:val="center"/>
              <w:rPr>
                <w:rFonts w:ascii="Arial" w:hAnsi="Arial" w:cs="Arial"/>
                <w:sz w:val="24"/>
                <w:szCs w:val="24"/>
              </w:rPr>
            </w:pPr>
            <w:r>
              <w:rPr>
                <w:rFonts w:ascii="Arial" w:hAnsi="Arial" w:cs="Arial"/>
                <w:sz w:val="24"/>
                <w:szCs w:val="24"/>
              </w:rPr>
              <w:t>58%</w:t>
            </w:r>
          </w:p>
        </w:tc>
        <w:tc>
          <w:tcPr>
            <w:tcW w:w="1183" w:type="dxa"/>
            <w:vAlign w:val="center"/>
          </w:tcPr>
          <w:p w14:paraId="4B3055FD" w14:textId="1A784AAB" w:rsidR="00091D37" w:rsidRDefault="00091D37" w:rsidP="00FB31F7">
            <w:pPr>
              <w:jc w:val="center"/>
              <w:rPr>
                <w:rFonts w:ascii="Arial" w:hAnsi="Arial" w:cs="Arial"/>
                <w:sz w:val="24"/>
                <w:szCs w:val="24"/>
              </w:rPr>
            </w:pPr>
            <w:r>
              <w:rPr>
                <w:rFonts w:ascii="Arial" w:hAnsi="Arial" w:cs="Arial"/>
                <w:sz w:val="24"/>
                <w:szCs w:val="24"/>
              </w:rPr>
              <w:t>58%</w:t>
            </w:r>
          </w:p>
        </w:tc>
      </w:tr>
    </w:tbl>
    <w:p w14:paraId="317F3A45" w14:textId="77777777" w:rsidR="003B7F71" w:rsidRDefault="003B7F71" w:rsidP="000D0E96">
      <w:pPr>
        <w:rPr>
          <w:rFonts w:ascii="Arial" w:hAnsi="Arial" w:cs="Arial"/>
          <w:b/>
          <w:bCs/>
          <w:sz w:val="24"/>
          <w:szCs w:val="24"/>
        </w:rPr>
      </w:pPr>
    </w:p>
    <w:p w14:paraId="14B4BF72" w14:textId="2A3B4DCB" w:rsidR="00865FEA" w:rsidRDefault="00FA2F21" w:rsidP="004919D3">
      <w:pPr>
        <w:pStyle w:val="Heading4"/>
        <w:rPr>
          <w:rFonts w:cs="Arial"/>
          <w:color w:val="5B9BD5" w:themeColor="accent5"/>
          <w:sz w:val="24"/>
          <w:szCs w:val="24"/>
        </w:rPr>
      </w:pPr>
      <w:r>
        <w:t>Performance analysis</w:t>
      </w:r>
    </w:p>
    <w:p w14:paraId="78BAD465" w14:textId="1EB44680" w:rsidR="00BD0DDC" w:rsidRDefault="00646688" w:rsidP="000D0E96">
      <w:pPr>
        <w:rPr>
          <w:rFonts w:ascii="Arial" w:hAnsi="Arial" w:cs="Arial"/>
          <w:sz w:val="24"/>
          <w:szCs w:val="24"/>
        </w:rPr>
      </w:pPr>
      <w:r>
        <w:rPr>
          <w:rFonts w:ascii="Arial" w:hAnsi="Arial" w:cs="Arial"/>
          <w:sz w:val="24"/>
          <w:szCs w:val="24"/>
        </w:rPr>
        <w:t xml:space="preserve">We have maintained our focus on </w:t>
      </w:r>
      <w:r w:rsidR="00BD0DDC">
        <w:rPr>
          <w:rFonts w:ascii="Arial" w:hAnsi="Arial" w:cs="Arial"/>
          <w:sz w:val="24"/>
          <w:szCs w:val="24"/>
        </w:rPr>
        <w:t>improving services for our customers and our end users this year.</w:t>
      </w:r>
    </w:p>
    <w:p w14:paraId="1F884E6F" w14:textId="6C8F7701" w:rsidR="00BD0DDC" w:rsidRDefault="00372D54" w:rsidP="004919D3">
      <w:pPr>
        <w:pStyle w:val="Heading4"/>
        <w:rPr>
          <w:rFonts w:cs="Arial"/>
          <w:b w:val="0"/>
          <w:sz w:val="24"/>
          <w:szCs w:val="24"/>
        </w:rPr>
      </w:pPr>
      <w:r>
        <w:t>Our external customers</w:t>
      </w:r>
    </w:p>
    <w:p w14:paraId="43B0D09C" w14:textId="21F4C740" w:rsidR="00770131" w:rsidRDefault="000D41FB">
      <w:pPr>
        <w:rPr>
          <w:rFonts w:ascii="Arial" w:hAnsi="Arial" w:cs="Arial"/>
          <w:sz w:val="24"/>
          <w:szCs w:val="24"/>
        </w:rPr>
      </w:pPr>
      <w:r>
        <w:rPr>
          <w:rFonts w:ascii="Arial" w:hAnsi="Arial" w:cs="Arial"/>
          <w:sz w:val="24"/>
          <w:szCs w:val="24"/>
        </w:rPr>
        <w:t>We are on track to digitise more services for our customers</w:t>
      </w:r>
      <w:r w:rsidR="00E13566">
        <w:rPr>
          <w:rFonts w:ascii="Arial" w:hAnsi="Arial" w:cs="Arial"/>
          <w:sz w:val="24"/>
          <w:szCs w:val="24"/>
        </w:rPr>
        <w:t xml:space="preserve">, making </w:t>
      </w:r>
      <w:r w:rsidR="0068173C">
        <w:rPr>
          <w:rFonts w:ascii="Arial" w:hAnsi="Arial" w:cs="Arial"/>
          <w:sz w:val="24"/>
          <w:szCs w:val="24"/>
        </w:rPr>
        <w:t>them easier to use.</w:t>
      </w:r>
      <w:r w:rsidR="00104171">
        <w:rPr>
          <w:rFonts w:ascii="Arial" w:hAnsi="Arial" w:cs="Arial"/>
          <w:sz w:val="24"/>
          <w:szCs w:val="24"/>
        </w:rPr>
        <w:t xml:space="preserve"> During the year we have been</w:t>
      </w:r>
      <w:r w:rsidR="00B80439">
        <w:rPr>
          <w:rFonts w:ascii="Arial" w:hAnsi="Arial" w:cs="Arial"/>
          <w:sz w:val="24"/>
          <w:szCs w:val="24"/>
        </w:rPr>
        <w:t xml:space="preserve"> building </w:t>
      </w:r>
      <w:r w:rsidR="00B739AD">
        <w:rPr>
          <w:rFonts w:ascii="Arial" w:hAnsi="Arial" w:cs="Arial"/>
          <w:sz w:val="24"/>
          <w:szCs w:val="24"/>
        </w:rPr>
        <w:t>a digital service for creditors</w:t>
      </w:r>
      <w:r w:rsidR="00440BDA">
        <w:rPr>
          <w:rFonts w:ascii="Arial" w:hAnsi="Arial" w:cs="Arial"/>
          <w:sz w:val="24"/>
          <w:szCs w:val="24"/>
        </w:rPr>
        <w:t xml:space="preserve"> which will enable them </w:t>
      </w:r>
      <w:r w:rsidR="00672A35">
        <w:rPr>
          <w:rFonts w:ascii="Arial" w:hAnsi="Arial" w:cs="Arial"/>
          <w:sz w:val="24"/>
          <w:szCs w:val="24"/>
        </w:rPr>
        <w:t>to submit</w:t>
      </w:r>
      <w:r w:rsidR="007B0E91">
        <w:rPr>
          <w:rFonts w:ascii="Arial" w:hAnsi="Arial" w:cs="Arial"/>
          <w:sz w:val="24"/>
          <w:szCs w:val="24"/>
        </w:rPr>
        <w:t xml:space="preserve"> and receive information</w:t>
      </w:r>
      <w:r w:rsidR="00C26AFD">
        <w:rPr>
          <w:rFonts w:ascii="Arial" w:hAnsi="Arial" w:cs="Arial"/>
          <w:sz w:val="24"/>
          <w:szCs w:val="24"/>
        </w:rPr>
        <w:t xml:space="preserve"> online. We aimed to introduce this </w:t>
      </w:r>
      <w:r w:rsidR="00E71187">
        <w:rPr>
          <w:rFonts w:ascii="Arial" w:hAnsi="Arial" w:cs="Arial"/>
          <w:sz w:val="24"/>
          <w:szCs w:val="24"/>
        </w:rPr>
        <w:t xml:space="preserve">service in early </w:t>
      </w:r>
      <w:r w:rsidR="005A5AAD">
        <w:rPr>
          <w:rFonts w:ascii="Arial" w:hAnsi="Arial" w:cs="Arial"/>
          <w:sz w:val="24"/>
          <w:szCs w:val="24"/>
        </w:rPr>
        <w:t>2024</w:t>
      </w:r>
      <w:r w:rsidR="005C4524">
        <w:rPr>
          <w:rFonts w:ascii="Arial" w:hAnsi="Arial" w:cs="Arial"/>
          <w:sz w:val="24"/>
          <w:szCs w:val="24"/>
        </w:rPr>
        <w:t xml:space="preserve">, however we took the decision </w:t>
      </w:r>
      <w:r w:rsidR="008815B2">
        <w:rPr>
          <w:rFonts w:ascii="Arial" w:hAnsi="Arial" w:cs="Arial"/>
          <w:sz w:val="24"/>
          <w:szCs w:val="24"/>
        </w:rPr>
        <w:t xml:space="preserve">during the year to integrate </w:t>
      </w:r>
      <w:r w:rsidR="00082009">
        <w:rPr>
          <w:rFonts w:ascii="Arial" w:hAnsi="Arial" w:cs="Arial"/>
          <w:sz w:val="24"/>
          <w:szCs w:val="24"/>
        </w:rPr>
        <w:t xml:space="preserve">it with our new Case Management </w:t>
      </w:r>
      <w:r w:rsidR="00DB43C1">
        <w:rPr>
          <w:rFonts w:ascii="Arial" w:hAnsi="Arial" w:cs="Arial"/>
          <w:sz w:val="24"/>
          <w:szCs w:val="24"/>
        </w:rPr>
        <w:t>system, INSSight</w:t>
      </w:r>
      <w:r w:rsidR="00C512F1">
        <w:rPr>
          <w:rFonts w:ascii="Arial" w:hAnsi="Arial" w:cs="Arial"/>
          <w:sz w:val="24"/>
          <w:szCs w:val="24"/>
        </w:rPr>
        <w:t xml:space="preserve">, which goes live in autumn 2024. </w:t>
      </w:r>
      <w:r w:rsidR="002C07B9">
        <w:rPr>
          <w:rFonts w:ascii="Arial" w:hAnsi="Arial" w:cs="Arial"/>
          <w:sz w:val="24"/>
          <w:szCs w:val="24"/>
        </w:rPr>
        <w:t xml:space="preserve">We remain committed to introducing </w:t>
      </w:r>
      <w:r w:rsidR="00FA55FB">
        <w:rPr>
          <w:rFonts w:ascii="Arial" w:hAnsi="Arial" w:cs="Arial"/>
          <w:sz w:val="24"/>
          <w:szCs w:val="24"/>
        </w:rPr>
        <w:t xml:space="preserve">the digital service for </w:t>
      </w:r>
      <w:r w:rsidR="00D63F5D">
        <w:rPr>
          <w:rFonts w:ascii="Arial" w:hAnsi="Arial" w:cs="Arial"/>
          <w:sz w:val="24"/>
          <w:szCs w:val="24"/>
        </w:rPr>
        <w:t>creditors;</w:t>
      </w:r>
      <w:r w:rsidR="00FA55FB">
        <w:rPr>
          <w:rFonts w:ascii="Arial" w:hAnsi="Arial" w:cs="Arial"/>
          <w:sz w:val="24"/>
          <w:szCs w:val="24"/>
        </w:rPr>
        <w:t xml:space="preserve"> however, this is now likely to be in 2025-26.</w:t>
      </w:r>
      <w:r w:rsidR="00770131">
        <w:rPr>
          <w:rFonts w:ascii="Arial" w:hAnsi="Arial" w:cs="Arial"/>
          <w:sz w:val="24"/>
          <w:szCs w:val="24"/>
        </w:rPr>
        <w:br w:type="page"/>
      </w:r>
    </w:p>
    <w:p w14:paraId="339B4358" w14:textId="186DB476" w:rsidR="00372D54" w:rsidRDefault="0035618E" w:rsidP="000D0E96">
      <w:pPr>
        <w:rPr>
          <w:rFonts w:ascii="Arial" w:hAnsi="Arial" w:cs="Arial"/>
          <w:sz w:val="24"/>
          <w:szCs w:val="24"/>
        </w:rPr>
      </w:pPr>
      <w:r>
        <w:rPr>
          <w:rFonts w:ascii="Arial" w:hAnsi="Arial" w:cs="Arial"/>
          <w:sz w:val="24"/>
          <w:szCs w:val="24"/>
        </w:rPr>
        <w:lastRenderedPageBreak/>
        <w:t>During the year</w:t>
      </w:r>
      <w:r w:rsidR="00CB72E3">
        <w:rPr>
          <w:rFonts w:ascii="Arial" w:hAnsi="Arial" w:cs="Arial"/>
          <w:sz w:val="24"/>
          <w:szCs w:val="24"/>
        </w:rPr>
        <w:t xml:space="preserve"> we </w:t>
      </w:r>
      <w:r w:rsidR="009A4E63">
        <w:rPr>
          <w:rFonts w:ascii="Arial" w:hAnsi="Arial" w:cs="Arial"/>
          <w:sz w:val="24"/>
          <w:szCs w:val="24"/>
        </w:rPr>
        <w:t xml:space="preserve">continued to make use </w:t>
      </w:r>
      <w:r w:rsidR="00E54C9F">
        <w:rPr>
          <w:rFonts w:ascii="Arial" w:hAnsi="Arial" w:cs="Arial"/>
          <w:sz w:val="24"/>
          <w:szCs w:val="24"/>
        </w:rPr>
        <w:t xml:space="preserve">of </w:t>
      </w:r>
      <w:r w:rsidR="00763D9D">
        <w:rPr>
          <w:rFonts w:ascii="Arial" w:hAnsi="Arial" w:cs="Arial"/>
          <w:sz w:val="24"/>
          <w:szCs w:val="24"/>
        </w:rPr>
        <w:t xml:space="preserve">the Government Digital Service’s </w:t>
      </w:r>
      <w:r w:rsidR="003B369F">
        <w:rPr>
          <w:rFonts w:ascii="Arial" w:hAnsi="Arial" w:cs="Arial"/>
          <w:sz w:val="24"/>
          <w:szCs w:val="24"/>
        </w:rPr>
        <w:t>developing Forms</w:t>
      </w:r>
      <w:r w:rsidR="0067303F">
        <w:rPr>
          <w:rFonts w:ascii="Arial" w:hAnsi="Arial" w:cs="Arial"/>
          <w:sz w:val="24"/>
          <w:szCs w:val="24"/>
        </w:rPr>
        <w:t xml:space="preserve"> platform</w:t>
      </w:r>
      <w:r w:rsidR="00C27921">
        <w:rPr>
          <w:rFonts w:ascii="Arial" w:hAnsi="Arial" w:cs="Arial"/>
          <w:sz w:val="24"/>
          <w:szCs w:val="24"/>
        </w:rPr>
        <w:t xml:space="preserve"> to digitise our paper</w:t>
      </w:r>
      <w:r w:rsidR="004B4367">
        <w:rPr>
          <w:rFonts w:ascii="Arial" w:hAnsi="Arial" w:cs="Arial"/>
          <w:sz w:val="24"/>
          <w:szCs w:val="24"/>
        </w:rPr>
        <w:t xml:space="preserve"> forms. We completed </w:t>
      </w:r>
      <w:r w:rsidR="00AC15EA">
        <w:rPr>
          <w:rFonts w:ascii="Arial" w:hAnsi="Arial" w:cs="Arial"/>
          <w:sz w:val="24"/>
          <w:szCs w:val="24"/>
        </w:rPr>
        <w:t>the digitisation of all Redundancy Payments Service</w:t>
      </w:r>
      <w:r w:rsidR="00871B0E">
        <w:rPr>
          <w:rFonts w:ascii="Arial" w:hAnsi="Arial" w:cs="Arial"/>
          <w:sz w:val="24"/>
          <w:szCs w:val="24"/>
        </w:rPr>
        <w:t>s’ amendment forms</w:t>
      </w:r>
      <w:r w:rsidR="005408F5">
        <w:rPr>
          <w:rFonts w:ascii="Arial" w:hAnsi="Arial" w:cs="Arial"/>
          <w:sz w:val="24"/>
          <w:szCs w:val="24"/>
        </w:rPr>
        <w:t>, delivered a new form for our Companies House Reform work and re-designed several other forms.</w:t>
      </w:r>
      <w:r w:rsidR="00E40B89">
        <w:rPr>
          <w:rFonts w:ascii="Arial" w:hAnsi="Arial" w:cs="Arial"/>
          <w:sz w:val="24"/>
          <w:szCs w:val="24"/>
        </w:rPr>
        <w:t xml:space="preserve"> Th</w:t>
      </w:r>
      <w:r w:rsidR="005B0F41">
        <w:rPr>
          <w:rFonts w:ascii="Arial" w:hAnsi="Arial" w:cs="Arial"/>
          <w:sz w:val="24"/>
          <w:szCs w:val="24"/>
        </w:rPr>
        <w:t xml:space="preserve">ese improvements </w:t>
      </w:r>
      <w:r w:rsidR="00B96A9E">
        <w:rPr>
          <w:rFonts w:ascii="Arial" w:hAnsi="Arial" w:cs="Arial"/>
          <w:sz w:val="24"/>
          <w:szCs w:val="24"/>
        </w:rPr>
        <w:t xml:space="preserve">make it easier for our customers to provide the right information </w:t>
      </w:r>
      <w:r w:rsidR="000B6B9B">
        <w:rPr>
          <w:rFonts w:ascii="Arial" w:hAnsi="Arial" w:cs="Arial"/>
          <w:sz w:val="24"/>
          <w:szCs w:val="24"/>
        </w:rPr>
        <w:t>first tim</w:t>
      </w:r>
      <w:r w:rsidR="00164A77">
        <w:rPr>
          <w:rFonts w:ascii="Arial" w:hAnsi="Arial" w:cs="Arial"/>
          <w:sz w:val="24"/>
          <w:szCs w:val="24"/>
        </w:rPr>
        <w:t xml:space="preserve">e in an easily accessible format and </w:t>
      </w:r>
      <w:r w:rsidR="00867E1C">
        <w:rPr>
          <w:rFonts w:ascii="Arial" w:hAnsi="Arial" w:cs="Arial"/>
          <w:sz w:val="24"/>
          <w:szCs w:val="24"/>
        </w:rPr>
        <w:t>enables us to provide a more efficient service to them.</w:t>
      </w:r>
    </w:p>
    <w:p w14:paraId="4D140B72" w14:textId="29370AA3" w:rsidR="00FA2820" w:rsidRDefault="00B8325C" w:rsidP="004919D3">
      <w:pPr>
        <w:pStyle w:val="Heading4"/>
        <w:rPr>
          <w:rFonts w:cs="Arial"/>
          <w:b w:val="0"/>
          <w:sz w:val="24"/>
          <w:szCs w:val="24"/>
        </w:rPr>
      </w:pPr>
      <w:r>
        <w:t>Our internal customers</w:t>
      </w:r>
    </w:p>
    <w:p w14:paraId="20005AEE" w14:textId="0E661540" w:rsidR="0012126E" w:rsidRDefault="00B8325C" w:rsidP="000D0E96">
      <w:pPr>
        <w:rPr>
          <w:rFonts w:ascii="Arial" w:hAnsi="Arial" w:cs="Arial"/>
          <w:sz w:val="24"/>
          <w:szCs w:val="24"/>
        </w:rPr>
      </w:pPr>
      <w:r>
        <w:rPr>
          <w:rFonts w:ascii="Arial" w:hAnsi="Arial" w:cs="Arial"/>
          <w:sz w:val="24"/>
          <w:szCs w:val="24"/>
        </w:rPr>
        <w:t xml:space="preserve">We have continued working on replacing </w:t>
      </w:r>
      <w:r w:rsidR="00E720D7">
        <w:rPr>
          <w:rFonts w:ascii="Arial" w:hAnsi="Arial" w:cs="Arial"/>
          <w:sz w:val="24"/>
          <w:szCs w:val="24"/>
        </w:rPr>
        <w:t xml:space="preserve">our aged case management </w:t>
      </w:r>
      <w:r w:rsidR="00C13BA7">
        <w:rPr>
          <w:rFonts w:ascii="Arial" w:hAnsi="Arial" w:cs="Arial"/>
          <w:sz w:val="24"/>
          <w:szCs w:val="24"/>
        </w:rPr>
        <w:t xml:space="preserve">system with a modern and more efficient </w:t>
      </w:r>
      <w:r w:rsidR="004D5E01">
        <w:rPr>
          <w:rFonts w:ascii="Arial" w:hAnsi="Arial" w:cs="Arial"/>
          <w:sz w:val="24"/>
          <w:szCs w:val="24"/>
        </w:rPr>
        <w:t xml:space="preserve">system for our internal users. The new system is going live in autumn 2024 and will drive several </w:t>
      </w:r>
      <w:r w:rsidR="0012126E">
        <w:rPr>
          <w:rFonts w:ascii="Arial" w:hAnsi="Arial" w:cs="Arial"/>
          <w:sz w:val="24"/>
          <w:szCs w:val="24"/>
        </w:rPr>
        <w:t xml:space="preserve">efficiencies. </w:t>
      </w:r>
      <w:r w:rsidR="00874BB1">
        <w:rPr>
          <w:rFonts w:ascii="Arial" w:hAnsi="Arial" w:cs="Arial"/>
          <w:sz w:val="24"/>
          <w:szCs w:val="24"/>
        </w:rPr>
        <w:t xml:space="preserve">It is being built on </w:t>
      </w:r>
      <w:r w:rsidR="005E4B36">
        <w:rPr>
          <w:rFonts w:ascii="Arial" w:hAnsi="Arial" w:cs="Arial"/>
          <w:sz w:val="24"/>
          <w:szCs w:val="24"/>
        </w:rPr>
        <w:t>a modern, flexible platform</w:t>
      </w:r>
      <w:r w:rsidR="00836315">
        <w:rPr>
          <w:rFonts w:ascii="Arial" w:hAnsi="Arial" w:cs="Arial"/>
          <w:sz w:val="24"/>
          <w:szCs w:val="24"/>
        </w:rPr>
        <w:t xml:space="preserve"> that will enable team working</w:t>
      </w:r>
      <w:r w:rsidR="00053407">
        <w:rPr>
          <w:rFonts w:ascii="Arial" w:hAnsi="Arial" w:cs="Arial"/>
          <w:sz w:val="24"/>
          <w:szCs w:val="24"/>
        </w:rPr>
        <w:t xml:space="preserve"> </w:t>
      </w:r>
      <w:r w:rsidR="00E9403A">
        <w:rPr>
          <w:rFonts w:ascii="Arial" w:hAnsi="Arial" w:cs="Arial"/>
          <w:sz w:val="24"/>
          <w:szCs w:val="24"/>
        </w:rPr>
        <w:t xml:space="preserve">and is </w:t>
      </w:r>
      <w:r w:rsidR="002C2E91">
        <w:rPr>
          <w:rFonts w:ascii="Arial" w:hAnsi="Arial" w:cs="Arial"/>
          <w:sz w:val="24"/>
          <w:szCs w:val="24"/>
        </w:rPr>
        <w:t>more user-friendly, flexible and intuitive for our people to use.</w:t>
      </w:r>
      <w:r w:rsidR="00D21683">
        <w:rPr>
          <w:rFonts w:ascii="Arial" w:hAnsi="Arial" w:cs="Arial"/>
          <w:sz w:val="24"/>
          <w:szCs w:val="24"/>
        </w:rPr>
        <w:t xml:space="preserve"> </w:t>
      </w:r>
      <w:r w:rsidR="00D337E3">
        <w:rPr>
          <w:rFonts w:ascii="Arial" w:hAnsi="Arial" w:cs="Arial"/>
          <w:sz w:val="24"/>
          <w:szCs w:val="24"/>
        </w:rPr>
        <w:t>Its</w:t>
      </w:r>
      <w:r w:rsidR="00F9751E">
        <w:rPr>
          <w:rFonts w:ascii="Arial" w:hAnsi="Arial" w:cs="Arial"/>
          <w:sz w:val="24"/>
          <w:szCs w:val="24"/>
        </w:rPr>
        <w:t xml:space="preserve"> introduction </w:t>
      </w:r>
      <w:r w:rsidR="00D21683" w:rsidRPr="00D21683">
        <w:rPr>
          <w:rFonts w:ascii="Arial" w:hAnsi="Arial" w:cs="Arial"/>
          <w:sz w:val="24"/>
          <w:szCs w:val="24"/>
        </w:rPr>
        <w:t>will</w:t>
      </w:r>
      <w:r w:rsidR="00F9751E">
        <w:rPr>
          <w:rFonts w:ascii="Arial" w:hAnsi="Arial" w:cs="Arial"/>
          <w:sz w:val="24"/>
          <w:szCs w:val="24"/>
        </w:rPr>
        <w:t xml:space="preserve"> also</w:t>
      </w:r>
      <w:r w:rsidR="00D21683" w:rsidRPr="00D21683">
        <w:rPr>
          <w:rFonts w:ascii="Arial" w:hAnsi="Arial" w:cs="Arial"/>
          <w:sz w:val="24"/>
          <w:szCs w:val="24"/>
        </w:rPr>
        <w:t xml:space="preserve"> generate </w:t>
      </w:r>
      <w:r w:rsidR="00F9751E">
        <w:rPr>
          <w:rFonts w:ascii="Arial" w:hAnsi="Arial" w:cs="Arial"/>
          <w:sz w:val="24"/>
          <w:szCs w:val="24"/>
        </w:rPr>
        <w:t>efficiency savings</w:t>
      </w:r>
      <w:r w:rsidR="00D21683" w:rsidRPr="00D21683">
        <w:rPr>
          <w:rFonts w:ascii="Arial" w:hAnsi="Arial" w:cs="Arial"/>
          <w:sz w:val="24"/>
          <w:szCs w:val="24"/>
        </w:rPr>
        <w:t xml:space="preserve"> for ORS which we expect to amount to costs savings of £3.1m pa from 2025-26.</w:t>
      </w:r>
    </w:p>
    <w:p w14:paraId="73861DB9" w14:textId="51478D09" w:rsidR="00B8325C" w:rsidRDefault="0012126E" w:rsidP="000D0E96">
      <w:pPr>
        <w:rPr>
          <w:rFonts w:ascii="Arial" w:hAnsi="Arial" w:cs="Arial"/>
          <w:sz w:val="24"/>
          <w:szCs w:val="24"/>
        </w:rPr>
      </w:pPr>
      <w:r>
        <w:rPr>
          <w:rFonts w:ascii="Arial" w:hAnsi="Arial" w:cs="Arial"/>
          <w:sz w:val="24"/>
          <w:szCs w:val="24"/>
        </w:rPr>
        <w:t xml:space="preserve">We have also sought to modernise our technology provision </w:t>
      </w:r>
      <w:r w:rsidR="00024750">
        <w:rPr>
          <w:rFonts w:ascii="Arial" w:hAnsi="Arial" w:cs="Arial"/>
          <w:sz w:val="24"/>
          <w:szCs w:val="24"/>
        </w:rPr>
        <w:t xml:space="preserve">by delivering </w:t>
      </w:r>
      <w:r w:rsidR="000912FA">
        <w:rPr>
          <w:rFonts w:ascii="Arial" w:hAnsi="Arial" w:cs="Arial"/>
          <w:sz w:val="24"/>
          <w:szCs w:val="24"/>
        </w:rPr>
        <w:t>a programme to equip our people with new devices (laptops and mobile phones)</w:t>
      </w:r>
      <w:r w:rsidR="00781062">
        <w:rPr>
          <w:rFonts w:ascii="Arial" w:hAnsi="Arial" w:cs="Arial"/>
          <w:sz w:val="24"/>
          <w:szCs w:val="24"/>
        </w:rPr>
        <w:t xml:space="preserve">, increasing productivity and reliability. This has taken longer than anticipated so we are now </w:t>
      </w:r>
      <w:r w:rsidR="00DF0A6A">
        <w:rPr>
          <w:rFonts w:ascii="Arial" w:hAnsi="Arial" w:cs="Arial"/>
          <w:sz w:val="24"/>
          <w:szCs w:val="24"/>
        </w:rPr>
        <w:t xml:space="preserve">looking at a summer 2024 roll out. </w:t>
      </w:r>
    </w:p>
    <w:p w14:paraId="59993612" w14:textId="32AF8D51" w:rsidR="00394681" w:rsidRDefault="00394681" w:rsidP="000D0E96">
      <w:pPr>
        <w:rPr>
          <w:rFonts w:ascii="Arial" w:hAnsi="Arial" w:cs="Arial"/>
          <w:sz w:val="24"/>
          <w:szCs w:val="24"/>
        </w:rPr>
      </w:pPr>
      <w:r>
        <w:rPr>
          <w:rFonts w:ascii="Arial" w:hAnsi="Arial" w:cs="Arial"/>
          <w:sz w:val="24"/>
          <w:szCs w:val="24"/>
        </w:rPr>
        <w:t xml:space="preserve">During the year we have also introduced a range of collaboration tools to enable our people </w:t>
      </w:r>
      <w:r w:rsidR="00BD2EDF">
        <w:rPr>
          <w:rFonts w:ascii="Arial" w:hAnsi="Arial" w:cs="Arial"/>
          <w:sz w:val="24"/>
          <w:szCs w:val="24"/>
        </w:rPr>
        <w:t>to work together more effectively wherever they are.</w:t>
      </w:r>
    </w:p>
    <w:p w14:paraId="6DCE281A" w14:textId="542FEB5B" w:rsidR="00396AD9" w:rsidRDefault="00396AD9" w:rsidP="000D0E96">
      <w:pPr>
        <w:rPr>
          <w:rFonts w:ascii="Arial" w:hAnsi="Arial" w:cs="Arial"/>
          <w:sz w:val="24"/>
          <w:szCs w:val="24"/>
        </w:rPr>
      </w:pPr>
      <w:r w:rsidRPr="00396AD9">
        <w:rPr>
          <w:rFonts w:ascii="Arial" w:hAnsi="Arial" w:cs="Arial"/>
          <w:sz w:val="24"/>
          <w:szCs w:val="24"/>
        </w:rPr>
        <w:t>We have enhanced our Forensic Computing provision, strengthened security and business continuity arrangements and introduced an Intelligent Client Function (ICF) which enables our investigators to deliver services more effectively with a combination of in-house and external provisioning, maximising value for money.</w:t>
      </w:r>
    </w:p>
    <w:p w14:paraId="3F2C8877" w14:textId="10D1068E" w:rsidR="00BD2EDF" w:rsidRDefault="00D775CE" w:rsidP="004919D3">
      <w:pPr>
        <w:pStyle w:val="Heading4"/>
        <w:rPr>
          <w:rFonts w:cs="Arial"/>
          <w:b w:val="0"/>
          <w:sz w:val="24"/>
          <w:szCs w:val="24"/>
        </w:rPr>
      </w:pPr>
      <w:r>
        <w:t>Our data strategy</w:t>
      </w:r>
    </w:p>
    <w:p w14:paraId="041D9AFE" w14:textId="19847D70" w:rsidR="00D775CE" w:rsidRDefault="00450C67" w:rsidP="000D0E96">
      <w:pPr>
        <w:rPr>
          <w:rFonts w:ascii="Arial" w:hAnsi="Arial" w:cs="Arial"/>
          <w:sz w:val="24"/>
          <w:szCs w:val="24"/>
        </w:rPr>
      </w:pPr>
      <w:r>
        <w:rPr>
          <w:rFonts w:ascii="Arial" w:hAnsi="Arial" w:cs="Arial"/>
          <w:sz w:val="24"/>
          <w:szCs w:val="24"/>
        </w:rPr>
        <w:t>For our systems</w:t>
      </w:r>
      <w:r w:rsidR="001C59E2">
        <w:rPr>
          <w:rFonts w:ascii="Arial" w:hAnsi="Arial" w:cs="Arial"/>
          <w:sz w:val="24"/>
          <w:szCs w:val="24"/>
        </w:rPr>
        <w:t xml:space="preserve">, we introduced new technologies to drive improved </w:t>
      </w:r>
      <w:r w:rsidR="00F65E07">
        <w:rPr>
          <w:rFonts w:ascii="Arial" w:hAnsi="Arial" w:cs="Arial"/>
          <w:sz w:val="24"/>
          <w:szCs w:val="24"/>
        </w:rPr>
        <w:t>business outcomes with a real focus on better use of data</w:t>
      </w:r>
      <w:r w:rsidR="009D116C">
        <w:rPr>
          <w:rFonts w:ascii="Arial" w:hAnsi="Arial" w:cs="Arial"/>
          <w:sz w:val="24"/>
          <w:szCs w:val="24"/>
        </w:rPr>
        <w:t xml:space="preserve"> and putting end users in control of document content and layout</w:t>
      </w:r>
      <w:r w:rsidR="006E03E1">
        <w:rPr>
          <w:rFonts w:ascii="Arial" w:hAnsi="Arial" w:cs="Arial"/>
          <w:sz w:val="24"/>
          <w:szCs w:val="24"/>
        </w:rPr>
        <w:t>. We embraced the Civil Service</w:t>
      </w:r>
      <w:r w:rsidR="0060714E">
        <w:rPr>
          <w:rFonts w:ascii="Arial" w:hAnsi="Arial" w:cs="Arial"/>
          <w:sz w:val="24"/>
          <w:szCs w:val="24"/>
        </w:rPr>
        <w:t>’s One Big Thing initiative</w:t>
      </w:r>
      <w:r w:rsidR="0045615F">
        <w:rPr>
          <w:rFonts w:ascii="Arial" w:hAnsi="Arial" w:cs="Arial"/>
          <w:sz w:val="24"/>
          <w:szCs w:val="24"/>
        </w:rPr>
        <w:t xml:space="preserve">, with over three quarters of our people taking part </w:t>
      </w:r>
      <w:r w:rsidR="00FF2615">
        <w:rPr>
          <w:rFonts w:ascii="Arial" w:hAnsi="Arial" w:cs="Arial"/>
          <w:sz w:val="24"/>
          <w:szCs w:val="24"/>
        </w:rPr>
        <w:t xml:space="preserve">in learning to improve their confidence </w:t>
      </w:r>
      <w:r w:rsidR="00E26820">
        <w:rPr>
          <w:rFonts w:ascii="Arial" w:hAnsi="Arial" w:cs="Arial"/>
          <w:sz w:val="24"/>
          <w:szCs w:val="24"/>
        </w:rPr>
        <w:t>and capability</w:t>
      </w:r>
      <w:r w:rsidR="003D70DA">
        <w:rPr>
          <w:rFonts w:ascii="Arial" w:hAnsi="Arial" w:cs="Arial"/>
          <w:sz w:val="24"/>
          <w:szCs w:val="24"/>
        </w:rPr>
        <w:t xml:space="preserve"> with using data.</w:t>
      </w:r>
    </w:p>
    <w:p w14:paraId="2EE0D615" w14:textId="32193B55" w:rsidR="00FC2D99" w:rsidRDefault="004162ED" w:rsidP="000D0E96">
      <w:pPr>
        <w:rPr>
          <w:rFonts w:ascii="Arial" w:hAnsi="Arial" w:cs="Arial"/>
          <w:sz w:val="24"/>
          <w:szCs w:val="24"/>
        </w:rPr>
      </w:pPr>
      <w:r>
        <w:rPr>
          <w:rFonts w:ascii="Arial" w:hAnsi="Arial" w:cs="Arial"/>
          <w:sz w:val="24"/>
          <w:szCs w:val="24"/>
        </w:rPr>
        <w:t>We have brought</w:t>
      </w:r>
      <w:r w:rsidR="00A748A6">
        <w:rPr>
          <w:rFonts w:ascii="Arial" w:hAnsi="Arial" w:cs="Arial"/>
          <w:sz w:val="24"/>
          <w:szCs w:val="24"/>
        </w:rPr>
        <w:t xml:space="preserve"> aging </w:t>
      </w:r>
      <w:r w:rsidR="00C238BD">
        <w:rPr>
          <w:rFonts w:ascii="Arial" w:hAnsi="Arial" w:cs="Arial"/>
          <w:sz w:val="24"/>
          <w:szCs w:val="24"/>
        </w:rPr>
        <w:t xml:space="preserve">tooling around our corporate reporting </w:t>
      </w:r>
      <w:r w:rsidR="009C0978">
        <w:rPr>
          <w:rFonts w:ascii="Arial" w:hAnsi="Arial" w:cs="Arial"/>
          <w:sz w:val="24"/>
          <w:szCs w:val="24"/>
        </w:rPr>
        <w:t>systems up to date</w:t>
      </w:r>
      <w:r w:rsidR="00A966EA">
        <w:rPr>
          <w:rFonts w:ascii="Arial" w:hAnsi="Arial" w:cs="Arial"/>
          <w:sz w:val="24"/>
          <w:szCs w:val="24"/>
        </w:rPr>
        <w:t xml:space="preserve"> and continued </w:t>
      </w:r>
      <w:r w:rsidR="004F492B">
        <w:rPr>
          <w:rFonts w:ascii="Arial" w:hAnsi="Arial" w:cs="Arial"/>
          <w:sz w:val="24"/>
          <w:szCs w:val="24"/>
        </w:rPr>
        <w:t>with the implementation of our data strategy</w:t>
      </w:r>
      <w:r w:rsidR="00CA250F">
        <w:rPr>
          <w:rFonts w:ascii="Arial" w:hAnsi="Arial" w:cs="Arial"/>
          <w:sz w:val="24"/>
          <w:szCs w:val="24"/>
        </w:rPr>
        <w:t xml:space="preserve">. </w:t>
      </w:r>
      <w:r w:rsidR="004409C0">
        <w:rPr>
          <w:rFonts w:ascii="Arial" w:hAnsi="Arial" w:cs="Arial"/>
          <w:sz w:val="24"/>
          <w:szCs w:val="24"/>
        </w:rPr>
        <w:t>In that, w</w:t>
      </w:r>
      <w:r w:rsidR="00CA250F">
        <w:rPr>
          <w:rFonts w:ascii="Arial" w:hAnsi="Arial" w:cs="Arial"/>
          <w:sz w:val="24"/>
          <w:szCs w:val="24"/>
        </w:rPr>
        <w:t>e have initially focused on data governance</w:t>
      </w:r>
      <w:r w:rsidR="004409C0">
        <w:rPr>
          <w:rFonts w:ascii="Arial" w:hAnsi="Arial" w:cs="Arial"/>
          <w:sz w:val="24"/>
          <w:szCs w:val="24"/>
        </w:rPr>
        <w:t xml:space="preserve"> </w:t>
      </w:r>
      <w:r w:rsidR="007B2BD1">
        <w:rPr>
          <w:rFonts w:ascii="Arial" w:hAnsi="Arial" w:cs="Arial"/>
          <w:sz w:val="24"/>
          <w:szCs w:val="24"/>
        </w:rPr>
        <w:t>and developing a roadmap</w:t>
      </w:r>
      <w:r w:rsidR="00910965">
        <w:rPr>
          <w:rFonts w:ascii="Arial" w:hAnsi="Arial" w:cs="Arial"/>
          <w:sz w:val="24"/>
          <w:szCs w:val="24"/>
        </w:rPr>
        <w:t xml:space="preserve"> to implementation for 2024-25. We have continued work</w:t>
      </w:r>
      <w:r w:rsidR="00785A61">
        <w:rPr>
          <w:rFonts w:ascii="Arial" w:hAnsi="Arial" w:cs="Arial"/>
          <w:sz w:val="24"/>
          <w:szCs w:val="24"/>
        </w:rPr>
        <w:t xml:space="preserve"> </w:t>
      </w:r>
      <w:r w:rsidR="009A29C8">
        <w:rPr>
          <w:rFonts w:ascii="Arial" w:hAnsi="Arial" w:cs="Arial"/>
          <w:sz w:val="24"/>
          <w:szCs w:val="24"/>
        </w:rPr>
        <w:t>on replacing our</w:t>
      </w:r>
      <w:r w:rsidR="000B47EF">
        <w:rPr>
          <w:rFonts w:ascii="Arial" w:hAnsi="Arial" w:cs="Arial"/>
          <w:sz w:val="24"/>
          <w:szCs w:val="24"/>
        </w:rPr>
        <w:t xml:space="preserve"> current </w:t>
      </w:r>
      <w:r w:rsidR="00475EE8">
        <w:rPr>
          <w:rFonts w:ascii="Arial" w:hAnsi="Arial" w:cs="Arial"/>
          <w:sz w:val="24"/>
          <w:szCs w:val="24"/>
        </w:rPr>
        <w:t xml:space="preserve">Document Production service which will be </w:t>
      </w:r>
      <w:r w:rsidR="00A10F7E">
        <w:rPr>
          <w:rFonts w:ascii="Arial" w:hAnsi="Arial" w:cs="Arial"/>
          <w:sz w:val="24"/>
          <w:szCs w:val="24"/>
        </w:rPr>
        <w:t xml:space="preserve">aligned to </w:t>
      </w:r>
      <w:r w:rsidR="004D712D">
        <w:rPr>
          <w:rFonts w:ascii="Arial" w:hAnsi="Arial" w:cs="Arial"/>
          <w:sz w:val="24"/>
          <w:szCs w:val="24"/>
        </w:rPr>
        <w:t xml:space="preserve">the introduction </w:t>
      </w:r>
      <w:r w:rsidR="00AB5B5B">
        <w:rPr>
          <w:rFonts w:ascii="Arial" w:hAnsi="Arial" w:cs="Arial"/>
          <w:sz w:val="24"/>
          <w:szCs w:val="24"/>
        </w:rPr>
        <w:t>of INSSight</w:t>
      </w:r>
      <w:r w:rsidR="00E96DD0">
        <w:rPr>
          <w:rFonts w:ascii="Arial" w:hAnsi="Arial" w:cs="Arial"/>
          <w:sz w:val="24"/>
          <w:szCs w:val="24"/>
        </w:rPr>
        <w:t xml:space="preserve"> </w:t>
      </w:r>
      <w:r w:rsidR="002A0F42">
        <w:rPr>
          <w:rFonts w:ascii="Arial" w:hAnsi="Arial" w:cs="Arial"/>
          <w:sz w:val="24"/>
          <w:szCs w:val="24"/>
        </w:rPr>
        <w:t xml:space="preserve">for </w:t>
      </w:r>
      <w:r w:rsidR="003B216F">
        <w:rPr>
          <w:rFonts w:ascii="Arial" w:hAnsi="Arial" w:cs="Arial"/>
          <w:sz w:val="24"/>
          <w:szCs w:val="24"/>
        </w:rPr>
        <w:t xml:space="preserve">Official Receiver Services </w:t>
      </w:r>
      <w:r w:rsidR="00E96DD0">
        <w:rPr>
          <w:rFonts w:ascii="Arial" w:hAnsi="Arial" w:cs="Arial"/>
          <w:sz w:val="24"/>
          <w:szCs w:val="24"/>
        </w:rPr>
        <w:t>and with other services</w:t>
      </w:r>
      <w:r w:rsidR="00472CF8">
        <w:rPr>
          <w:rFonts w:ascii="Arial" w:hAnsi="Arial" w:cs="Arial"/>
          <w:sz w:val="24"/>
          <w:szCs w:val="24"/>
        </w:rPr>
        <w:t>, for example</w:t>
      </w:r>
      <w:r w:rsidR="00230A79">
        <w:rPr>
          <w:rFonts w:ascii="Arial" w:hAnsi="Arial" w:cs="Arial"/>
          <w:sz w:val="24"/>
          <w:szCs w:val="24"/>
        </w:rPr>
        <w:t xml:space="preserve"> Redundancy payments.</w:t>
      </w:r>
      <w:r w:rsidR="00B93500">
        <w:rPr>
          <w:rFonts w:ascii="Arial" w:hAnsi="Arial" w:cs="Arial"/>
          <w:sz w:val="24"/>
          <w:szCs w:val="24"/>
        </w:rPr>
        <w:t xml:space="preserve"> </w:t>
      </w:r>
    </w:p>
    <w:p w14:paraId="506EAF0E" w14:textId="77777777" w:rsidR="006A38E5" w:rsidRDefault="006A38E5">
      <w:pPr>
        <w:rPr>
          <w:rFonts w:ascii="Arial" w:hAnsi="Arial" w:cs="Arial"/>
          <w:b/>
          <w:bCs/>
          <w:sz w:val="24"/>
          <w:szCs w:val="24"/>
        </w:rPr>
      </w:pPr>
      <w:r>
        <w:rPr>
          <w:rFonts w:ascii="Arial" w:hAnsi="Arial" w:cs="Arial"/>
          <w:b/>
          <w:bCs/>
          <w:sz w:val="24"/>
          <w:szCs w:val="24"/>
        </w:rPr>
        <w:br w:type="page"/>
      </w:r>
    </w:p>
    <w:p w14:paraId="7400CA30" w14:textId="2B5E0190" w:rsidR="00A77C38" w:rsidRPr="00C13A09" w:rsidRDefault="00A77C38" w:rsidP="004919D3">
      <w:pPr>
        <w:pStyle w:val="Heading4"/>
      </w:pPr>
      <w:r>
        <w:lastRenderedPageBreak/>
        <w:t>Transforming workplaces</w:t>
      </w:r>
      <w:r w:rsidR="00566EA6" w:rsidRPr="00C13A09">
        <w:t xml:space="preserve"> (TW)</w:t>
      </w:r>
    </w:p>
    <w:p w14:paraId="1F010DB4" w14:textId="2345E843" w:rsidR="00353EF1" w:rsidRDefault="00566EA6" w:rsidP="000D0E96">
      <w:pPr>
        <w:rPr>
          <w:rFonts w:ascii="Arial" w:hAnsi="Arial" w:cs="Arial"/>
          <w:sz w:val="24"/>
          <w:szCs w:val="24"/>
        </w:rPr>
      </w:pPr>
      <w:r>
        <w:rPr>
          <w:rFonts w:ascii="Arial" w:hAnsi="Arial" w:cs="Arial"/>
          <w:sz w:val="24"/>
          <w:szCs w:val="24"/>
        </w:rPr>
        <w:t>Our TW</w:t>
      </w:r>
      <w:r w:rsidR="009E1A4D">
        <w:rPr>
          <w:rFonts w:ascii="Arial" w:hAnsi="Arial" w:cs="Arial"/>
          <w:sz w:val="24"/>
          <w:szCs w:val="24"/>
        </w:rPr>
        <w:t xml:space="preserve"> programme </w:t>
      </w:r>
      <w:r w:rsidR="00C72D49">
        <w:rPr>
          <w:rFonts w:ascii="Arial" w:hAnsi="Arial" w:cs="Arial"/>
          <w:sz w:val="24"/>
          <w:szCs w:val="24"/>
        </w:rPr>
        <w:t xml:space="preserve">is aimed at reducing </w:t>
      </w:r>
      <w:r w:rsidR="00097145">
        <w:rPr>
          <w:rFonts w:ascii="Arial" w:hAnsi="Arial" w:cs="Arial"/>
          <w:sz w:val="24"/>
          <w:szCs w:val="24"/>
        </w:rPr>
        <w:t xml:space="preserve">our estate </w:t>
      </w:r>
      <w:r w:rsidR="00B03C9A">
        <w:rPr>
          <w:rFonts w:ascii="Arial" w:hAnsi="Arial" w:cs="Arial"/>
          <w:sz w:val="24"/>
          <w:szCs w:val="24"/>
        </w:rPr>
        <w:t>footprint</w:t>
      </w:r>
      <w:r w:rsidR="004150F6">
        <w:rPr>
          <w:rFonts w:ascii="Arial" w:hAnsi="Arial" w:cs="Arial"/>
          <w:sz w:val="24"/>
          <w:szCs w:val="24"/>
        </w:rPr>
        <w:t xml:space="preserve"> to 11 Regional Centres</w:t>
      </w:r>
      <w:r w:rsidR="00A27903">
        <w:rPr>
          <w:rFonts w:ascii="Arial" w:hAnsi="Arial" w:cs="Arial"/>
          <w:sz w:val="24"/>
          <w:szCs w:val="24"/>
        </w:rPr>
        <w:t xml:space="preserve"> over a four-year period.</w:t>
      </w:r>
      <w:r w:rsidR="00894E1D">
        <w:rPr>
          <w:rFonts w:ascii="Arial" w:hAnsi="Arial" w:cs="Arial"/>
          <w:sz w:val="24"/>
          <w:szCs w:val="24"/>
        </w:rPr>
        <w:t xml:space="preserve"> We closed our Watford </w:t>
      </w:r>
      <w:r w:rsidR="003C3826">
        <w:rPr>
          <w:rFonts w:ascii="Arial" w:hAnsi="Arial" w:cs="Arial"/>
          <w:sz w:val="24"/>
          <w:szCs w:val="24"/>
        </w:rPr>
        <w:t xml:space="preserve">and Cambridge offices in 2022-23 and </w:t>
      </w:r>
      <w:r w:rsidR="0035668F">
        <w:rPr>
          <w:rFonts w:ascii="Arial" w:hAnsi="Arial" w:cs="Arial"/>
          <w:sz w:val="24"/>
          <w:szCs w:val="24"/>
        </w:rPr>
        <w:t xml:space="preserve">in 2023-24 we have closed </w:t>
      </w:r>
      <w:r w:rsidR="00CF4DD9">
        <w:rPr>
          <w:rFonts w:ascii="Arial" w:hAnsi="Arial" w:cs="Arial"/>
          <w:sz w:val="24"/>
          <w:szCs w:val="24"/>
        </w:rPr>
        <w:t>our Reading</w:t>
      </w:r>
      <w:r w:rsidR="00DC0A4D">
        <w:rPr>
          <w:rFonts w:ascii="Arial" w:hAnsi="Arial" w:cs="Arial"/>
          <w:sz w:val="24"/>
          <w:szCs w:val="24"/>
        </w:rPr>
        <w:t xml:space="preserve">, </w:t>
      </w:r>
      <w:r w:rsidR="000A5C05">
        <w:rPr>
          <w:rFonts w:ascii="Arial" w:hAnsi="Arial" w:cs="Arial"/>
          <w:sz w:val="24"/>
          <w:szCs w:val="24"/>
        </w:rPr>
        <w:t>Blackpool</w:t>
      </w:r>
      <w:r w:rsidR="00DC0A4D">
        <w:rPr>
          <w:rFonts w:ascii="Arial" w:hAnsi="Arial" w:cs="Arial"/>
          <w:sz w:val="24"/>
          <w:szCs w:val="24"/>
        </w:rPr>
        <w:t xml:space="preserve"> and Birkenhead </w:t>
      </w:r>
      <w:r w:rsidR="000A5C05">
        <w:rPr>
          <w:rFonts w:ascii="Arial" w:hAnsi="Arial" w:cs="Arial"/>
          <w:sz w:val="24"/>
          <w:szCs w:val="24"/>
        </w:rPr>
        <w:t>offices.</w:t>
      </w:r>
    </w:p>
    <w:p w14:paraId="70C31E2F" w14:textId="52FCDC67" w:rsidR="000A1D24" w:rsidRDefault="000A1D24" w:rsidP="000D0E96">
      <w:pPr>
        <w:rPr>
          <w:rFonts w:ascii="Arial" w:hAnsi="Arial" w:cs="Arial"/>
          <w:sz w:val="24"/>
          <w:szCs w:val="24"/>
        </w:rPr>
      </w:pPr>
      <w:r w:rsidRPr="000A1D24">
        <w:rPr>
          <w:rFonts w:ascii="Arial" w:hAnsi="Arial" w:cs="Arial"/>
          <w:sz w:val="24"/>
          <w:szCs w:val="24"/>
        </w:rPr>
        <w:t>In 2023</w:t>
      </w:r>
      <w:r w:rsidR="004D4493">
        <w:rPr>
          <w:rFonts w:ascii="Arial" w:hAnsi="Arial" w:cs="Arial"/>
          <w:sz w:val="24"/>
          <w:szCs w:val="24"/>
        </w:rPr>
        <w:t>-24</w:t>
      </w:r>
      <w:r w:rsidRPr="000A1D24">
        <w:rPr>
          <w:rFonts w:ascii="Arial" w:hAnsi="Arial" w:cs="Arial"/>
          <w:sz w:val="24"/>
          <w:szCs w:val="24"/>
        </w:rPr>
        <w:t xml:space="preserve"> we moved</w:t>
      </w:r>
      <w:r w:rsidR="00003D93">
        <w:rPr>
          <w:rFonts w:ascii="Arial" w:hAnsi="Arial" w:cs="Arial"/>
          <w:sz w:val="24"/>
          <w:szCs w:val="24"/>
        </w:rPr>
        <w:t xml:space="preserve"> our Edinburgh and Croydon</w:t>
      </w:r>
      <w:r w:rsidR="00DB7DF9">
        <w:rPr>
          <w:rFonts w:ascii="Arial" w:hAnsi="Arial" w:cs="Arial"/>
          <w:sz w:val="24"/>
          <w:szCs w:val="24"/>
        </w:rPr>
        <w:t xml:space="preserve"> based people into</w:t>
      </w:r>
      <w:r w:rsidRPr="000A1D24">
        <w:rPr>
          <w:rFonts w:ascii="Arial" w:hAnsi="Arial" w:cs="Arial"/>
          <w:sz w:val="24"/>
          <w:szCs w:val="24"/>
        </w:rPr>
        <w:t xml:space="preserve"> new office</w:t>
      </w:r>
      <w:r w:rsidR="004B04F4">
        <w:rPr>
          <w:rFonts w:ascii="Arial" w:hAnsi="Arial" w:cs="Arial"/>
          <w:sz w:val="24"/>
          <w:szCs w:val="24"/>
        </w:rPr>
        <w:t>s</w:t>
      </w:r>
      <w:r w:rsidRPr="000A1D24">
        <w:rPr>
          <w:rFonts w:ascii="Arial" w:hAnsi="Arial" w:cs="Arial"/>
          <w:sz w:val="24"/>
          <w:szCs w:val="24"/>
        </w:rPr>
        <w:t xml:space="preserve"> These moves have improved the working conditions for our people, offering vibrant spaces that are fit for the future.</w:t>
      </w:r>
      <w:r w:rsidR="00D56BBA">
        <w:rPr>
          <w:rFonts w:ascii="Arial" w:hAnsi="Arial" w:cs="Arial"/>
          <w:sz w:val="24"/>
          <w:szCs w:val="24"/>
        </w:rPr>
        <w:t xml:space="preserve"> We have also undertaken </w:t>
      </w:r>
      <w:r w:rsidR="00CD4CCA">
        <w:rPr>
          <w:rFonts w:ascii="Arial" w:hAnsi="Arial" w:cs="Arial"/>
          <w:sz w:val="24"/>
          <w:szCs w:val="24"/>
        </w:rPr>
        <w:t>a major refit of our Manchester office.</w:t>
      </w:r>
      <w:r w:rsidR="00B56B76">
        <w:rPr>
          <w:rFonts w:ascii="Arial" w:hAnsi="Arial" w:cs="Arial"/>
          <w:sz w:val="24"/>
          <w:szCs w:val="24"/>
        </w:rPr>
        <w:t xml:space="preserve"> </w:t>
      </w:r>
      <w:r w:rsidR="003840D8">
        <w:rPr>
          <w:rFonts w:ascii="Arial" w:hAnsi="Arial" w:cs="Arial"/>
          <w:sz w:val="24"/>
          <w:szCs w:val="24"/>
        </w:rPr>
        <w:t>The TW programme</w:t>
      </w:r>
      <w:r w:rsidR="00320255">
        <w:rPr>
          <w:rFonts w:ascii="Arial" w:hAnsi="Arial" w:cs="Arial"/>
          <w:sz w:val="24"/>
          <w:szCs w:val="24"/>
        </w:rPr>
        <w:t xml:space="preserve"> has also been underpinned </w:t>
      </w:r>
      <w:r w:rsidR="00AA1E8E">
        <w:rPr>
          <w:rFonts w:ascii="Arial" w:hAnsi="Arial" w:cs="Arial"/>
          <w:sz w:val="24"/>
          <w:szCs w:val="24"/>
        </w:rPr>
        <w:t>by a rigorous analysis of our customers</w:t>
      </w:r>
      <w:r w:rsidR="00F346EF">
        <w:rPr>
          <w:rFonts w:ascii="Arial" w:hAnsi="Arial" w:cs="Arial"/>
          <w:sz w:val="24"/>
          <w:szCs w:val="24"/>
        </w:rPr>
        <w:t xml:space="preserve"> </w:t>
      </w:r>
      <w:r w:rsidR="00E06479">
        <w:rPr>
          <w:rFonts w:ascii="Arial" w:hAnsi="Arial" w:cs="Arial"/>
          <w:sz w:val="24"/>
          <w:szCs w:val="24"/>
        </w:rPr>
        <w:t xml:space="preserve">to ensure they could </w:t>
      </w:r>
      <w:r w:rsidR="002C1EFB">
        <w:rPr>
          <w:rFonts w:ascii="Arial" w:hAnsi="Arial" w:cs="Arial"/>
          <w:sz w:val="24"/>
          <w:szCs w:val="24"/>
        </w:rPr>
        <w:t>reasonably access our offices</w:t>
      </w:r>
      <w:r w:rsidR="00D4536A">
        <w:rPr>
          <w:rFonts w:ascii="Arial" w:hAnsi="Arial" w:cs="Arial"/>
          <w:sz w:val="24"/>
          <w:szCs w:val="24"/>
        </w:rPr>
        <w:t xml:space="preserve"> and </w:t>
      </w:r>
      <w:r w:rsidR="00B446E1">
        <w:rPr>
          <w:rFonts w:ascii="Arial" w:hAnsi="Arial" w:cs="Arial"/>
          <w:sz w:val="24"/>
          <w:szCs w:val="24"/>
        </w:rPr>
        <w:t>to enable optimal delivery of our operational functions</w:t>
      </w:r>
      <w:r w:rsidR="002132CE">
        <w:rPr>
          <w:rFonts w:ascii="Arial" w:hAnsi="Arial" w:cs="Arial"/>
          <w:sz w:val="24"/>
          <w:szCs w:val="24"/>
        </w:rPr>
        <w:t xml:space="preserve"> such as court attendance</w:t>
      </w:r>
      <w:r w:rsidR="00C30728">
        <w:rPr>
          <w:rFonts w:ascii="Arial" w:hAnsi="Arial" w:cs="Arial"/>
          <w:sz w:val="24"/>
          <w:szCs w:val="24"/>
        </w:rPr>
        <w:t xml:space="preserve">, site visits and </w:t>
      </w:r>
      <w:r w:rsidR="00BD64AF">
        <w:rPr>
          <w:rFonts w:ascii="Arial" w:hAnsi="Arial" w:cs="Arial"/>
          <w:sz w:val="24"/>
          <w:szCs w:val="24"/>
        </w:rPr>
        <w:t>investigations</w:t>
      </w:r>
      <w:r w:rsidR="00A65C86">
        <w:rPr>
          <w:rFonts w:ascii="Arial" w:hAnsi="Arial" w:cs="Arial"/>
          <w:sz w:val="24"/>
          <w:szCs w:val="24"/>
        </w:rPr>
        <w:t>.</w:t>
      </w:r>
      <w:r w:rsidR="003840D8">
        <w:rPr>
          <w:rFonts w:ascii="Arial" w:hAnsi="Arial" w:cs="Arial"/>
          <w:sz w:val="24"/>
          <w:szCs w:val="24"/>
        </w:rPr>
        <w:t xml:space="preserve"> </w:t>
      </w:r>
    </w:p>
    <w:p w14:paraId="192C32A7" w14:textId="77777777" w:rsidR="00C8522D" w:rsidRDefault="00C8522D" w:rsidP="000D0E96">
      <w:pPr>
        <w:rPr>
          <w:rFonts w:ascii="Arial" w:hAnsi="Arial" w:cs="Arial"/>
          <w:sz w:val="24"/>
          <w:szCs w:val="24"/>
        </w:rPr>
      </w:pPr>
    </w:p>
    <w:p w14:paraId="1E410B4A" w14:textId="77777777" w:rsidR="001E7304" w:rsidRDefault="001E7304">
      <w:pPr>
        <w:rPr>
          <w:rFonts w:ascii="Arial" w:hAnsi="Arial" w:cs="Arial"/>
          <w:b/>
          <w:bCs/>
          <w:color w:val="4472C4" w:themeColor="accent1"/>
          <w:sz w:val="32"/>
          <w:szCs w:val="32"/>
        </w:rPr>
      </w:pPr>
      <w:r>
        <w:rPr>
          <w:rFonts w:ascii="Arial" w:hAnsi="Arial" w:cs="Arial"/>
          <w:b/>
          <w:bCs/>
          <w:color w:val="4472C4" w:themeColor="accent1"/>
          <w:sz w:val="32"/>
          <w:szCs w:val="32"/>
        </w:rPr>
        <w:br w:type="page"/>
      </w:r>
    </w:p>
    <w:p w14:paraId="7553B45F" w14:textId="5697EB61" w:rsidR="00C8522D" w:rsidRPr="0005574B" w:rsidRDefault="00C8522D" w:rsidP="004919D3">
      <w:pPr>
        <w:pStyle w:val="Heading4"/>
        <w:rPr>
          <w:rFonts w:cs="Arial"/>
          <w:b w:val="0"/>
          <w:color w:val="4472C4" w:themeColor="accent1"/>
          <w:sz w:val="32"/>
          <w:szCs w:val="32"/>
        </w:rPr>
      </w:pPr>
      <w:r w:rsidRPr="272D4469">
        <w:rPr>
          <w:sz w:val="32"/>
          <w:szCs w:val="32"/>
        </w:rPr>
        <w:lastRenderedPageBreak/>
        <w:t xml:space="preserve">Shape </w:t>
      </w:r>
      <w:r w:rsidR="000F388E" w:rsidRPr="272D4469">
        <w:rPr>
          <w:sz w:val="32"/>
          <w:szCs w:val="32"/>
        </w:rPr>
        <w:t xml:space="preserve">the </w:t>
      </w:r>
      <w:r w:rsidR="4CA1913C" w:rsidRPr="272D4469">
        <w:rPr>
          <w:sz w:val="32"/>
          <w:szCs w:val="32"/>
        </w:rPr>
        <w:t>A</w:t>
      </w:r>
      <w:r w:rsidR="000F388E" w:rsidRPr="272D4469">
        <w:rPr>
          <w:sz w:val="32"/>
          <w:szCs w:val="32"/>
        </w:rPr>
        <w:t>gency as a great place to work</w:t>
      </w:r>
    </w:p>
    <w:p w14:paraId="3BD37EC2" w14:textId="7286BB40" w:rsidR="003904A0" w:rsidRPr="007E6C34" w:rsidRDefault="00D72A4A" w:rsidP="00C8522D">
      <w:pPr>
        <w:rPr>
          <w:rFonts w:ascii="Arial" w:hAnsi="Arial" w:cs="Arial"/>
          <w:b/>
          <w:bCs/>
          <w:color w:val="4472C4" w:themeColor="accent1"/>
          <w:sz w:val="32"/>
          <w:szCs w:val="32"/>
        </w:rPr>
      </w:pPr>
      <w:r>
        <w:rPr>
          <w:rFonts w:ascii="Arial" w:hAnsi="Arial" w:cs="Arial"/>
          <w:b/>
          <w:bCs/>
          <w:noProof/>
          <w:color w:val="4472C4" w:themeColor="accent1"/>
          <w:sz w:val="32"/>
          <w:szCs w:val="32"/>
        </w:rPr>
        <w:drawing>
          <wp:inline distT="0" distB="0" distL="0" distR="0" wp14:anchorId="0B8F78A0" wp14:editId="576E8099">
            <wp:extent cx="5722620" cy="304038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903" t="22872" r="8770" b="11456"/>
                    <a:stretch/>
                  </pic:blipFill>
                  <pic:spPr bwMode="auto">
                    <a:xfrm>
                      <a:off x="0" y="0"/>
                      <a:ext cx="5722620" cy="304038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256"/>
        <w:gridCol w:w="1417"/>
        <w:gridCol w:w="4343"/>
      </w:tblGrid>
      <w:tr w:rsidR="00C8522D" w14:paraId="4E9B1682" w14:textId="77777777" w:rsidTr="272D4469">
        <w:tc>
          <w:tcPr>
            <w:tcW w:w="3256" w:type="dxa"/>
          </w:tcPr>
          <w:p w14:paraId="5BA5ECF8" w14:textId="77777777" w:rsidR="00C8522D" w:rsidRDefault="00C8522D">
            <w:pPr>
              <w:rPr>
                <w:rFonts w:ascii="Arial" w:hAnsi="Arial" w:cs="Arial"/>
                <w:color w:val="4472C4" w:themeColor="accent1"/>
                <w:sz w:val="24"/>
                <w:szCs w:val="24"/>
              </w:rPr>
            </w:pPr>
            <w:r>
              <w:rPr>
                <w:rFonts w:ascii="Arial" w:hAnsi="Arial" w:cs="Arial"/>
                <w:color w:val="4472C4" w:themeColor="accent1"/>
                <w:sz w:val="24"/>
                <w:szCs w:val="24"/>
              </w:rPr>
              <w:t>Objective</w:t>
            </w:r>
          </w:p>
        </w:tc>
        <w:tc>
          <w:tcPr>
            <w:tcW w:w="1417" w:type="dxa"/>
          </w:tcPr>
          <w:p w14:paraId="0780DB5C" w14:textId="77777777" w:rsidR="00C8522D" w:rsidRDefault="00C8522D">
            <w:pPr>
              <w:rPr>
                <w:rFonts w:ascii="Arial" w:hAnsi="Arial" w:cs="Arial"/>
                <w:color w:val="4472C4" w:themeColor="accent1"/>
                <w:sz w:val="24"/>
                <w:szCs w:val="24"/>
              </w:rPr>
            </w:pPr>
            <w:r>
              <w:rPr>
                <w:rFonts w:ascii="Arial" w:hAnsi="Arial" w:cs="Arial"/>
                <w:color w:val="4472C4" w:themeColor="accent1"/>
                <w:sz w:val="24"/>
                <w:szCs w:val="24"/>
              </w:rPr>
              <w:t>Status</w:t>
            </w:r>
          </w:p>
        </w:tc>
        <w:tc>
          <w:tcPr>
            <w:tcW w:w="4343" w:type="dxa"/>
          </w:tcPr>
          <w:p w14:paraId="756C1629" w14:textId="77777777" w:rsidR="00C8522D" w:rsidRDefault="00C8522D">
            <w:pPr>
              <w:rPr>
                <w:rFonts w:ascii="Arial" w:hAnsi="Arial" w:cs="Arial"/>
                <w:color w:val="4472C4" w:themeColor="accent1"/>
                <w:sz w:val="24"/>
                <w:szCs w:val="24"/>
              </w:rPr>
            </w:pPr>
            <w:r>
              <w:rPr>
                <w:rFonts w:ascii="Arial" w:hAnsi="Arial" w:cs="Arial"/>
                <w:color w:val="4472C4" w:themeColor="accent1"/>
                <w:sz w:val="24"/>
                <w:szCs w:val="24"/>
              </w:rPr>
              <w:t>Commentary</w:t>
            </w:r>
          </w:p>
        </w:tc>
      </w:tr>
      <w:tr w:rsidR="00C8522D" w14:paraId="2979FF52" w14:textId="77777777" w:rsidTr="272D4469">
        <w:tc>
          <w:tcPr>
            <w:tcW w:w="3256" w:type="dxa"/>
          </w:tcPr>
          <w:p w14:paraId="2EBB5D8F" w14:textId="25F84B5E" w:rsidR="00C8522D" w:rsidRPr="00625870" w:rsidRDefault="5AF94A2B">
            <w:pPr>
              <w:rPr>
                <w:rFonts w:ascii="Arial" w:hAnsi="Arial" w:cs="Arial"/>
                <w:sz w:val="24"/>
                <w:szCs w:val="24"/>
              </w:rPr>
            </w:pPr>
            <w:r w:rsidRPr="272D4469">
              <w:rPr>
                <w:rFonts w:ascii="Arial" w:hAnsi="Arial" w:cs="Arial"/>
                <w:sz w:val="24"/>
                <w:szCs w:val="24"/>
              </w:rPr>
              <w:t xml:space="preserve">Introduce a new programme aimed at building leadership capability across the </w:t>
            </w:r>
            <w:r w:rsidR="6AE1F8C4" w:rsidRPr="272D4469">
              <w:rPr>
                <w:rFonts w:ascii="Arial" w:hAnsi="Arial" w:cs="Arial"/>
                <w:sz w:val="24"/>
                <w:szCs w:val="24"/>
              </w:rPr>
              <w:t>A</w:t>
            </w:r>
            <w:r w:rsidRPr="272D4469">
              <w:rPr>
                <w:rFonts w:ascii="Arial" w:hAnsi="Arial" w:cs="Arial"/>
                <w:sz w:val="24"/>
                <w:szCs w:val="24"/>
              </w:rPr>
              <w:t>gency for the future.</w:t>
            </w:r>
          </w:p>
        </w:tc>
        <w:tc>
          <w:tcPr>
            <w:tcW w:w="1417" w:type="dxa"/>
          </w:tcPr>
          <w:p w14:paraId="6500F2BD" w14:textId="5029BCFF" w:rsidR="00C8522D" w:rsidRPr="00625870" w:rsidRDefault="00322DA5">
            <w:pPr>
              <w:rPr>
                <w:rFonts w:ascii="Arial" w:hAnsi="Arial" w:cs="Arial"/>
                <w:sz w:val="24"/>
                <w:szCs w:val="24"/>
              </w:rPr>
            </w:pPr>
            <w:r>
              <w:rPr>
                <w:rFonts w:ascii="Arial" w:hAnsi="Arial" w:cs="Arial"/>
                <w:sz w:val="24"/>
                <w:szCs w:val="24"/>
              </w:rPr>
              <w:t>A</w:t>
            </w:r>
            <w:r w:rsidR="004C749A">
              <w:rPr>
                <w:rFonts w:ascii="Arial" w:hAnsi="Arial" w:cs="Arial"/>
                <w:sz w:val="24"/>
                <w:szCs w:val="24"/>
              </w:rPr>
              <w:t>chieved</w:t>
            </w:r>
          </w:p>
        </w:tc>
        <w:tc>
          <w:tcPr>
            <w:tcW w:w="4343" w:type="dxa"/>
          </w:tcPr>
          <w:p w14:paraId="706D3AE9" w14:textId="42842606" w:rsidR="00C8522D" w:rsidRPr="00625870" w:rsidRDefault="00AC5B42">
            <w:pPr>
              <w:rPr>
                <w:rFonts w:ascii="Arial" w:hAnsi="Arial" w:cs="Arial"/>
                <w:sz w:val="24"/>
                <w:szCs w:val="24"/>
              </w:rPr>
            </w:pPr>
            <w:r>
              <w:rPr>
                <w:rFonts w:ascii="Arial" w:hAnsi="Arial" w:cs="Arial"/>
                <w:sz w:val="24"/>
                <w:szCs w:val="24"/>
              </w:rPr>
              <w:t xml:space="preserve">We have delivered the Brilliant Leadership </w:t>
            </w:r>
            <w:r w:rsidR="006116DC">
              <w:rPr>
                <w:rFonts w:ascii="Arial" w:hAnsi="Arial" w:cs="Arial"/>
                <w:sz w:val="24"/>
                <w:szCs w:val="24"/>
              </w:rPr>
              <w:t>programme to 170 senior grade leaders</w:t>
            </w:r>
            <w:r w:rsidR="00F55A0D">
              <w:rPr>
                <w:rFonts w:ascii="Arial" w:hAnsi="Arial" w:cs="Arial"/>
                <w:sz w:val="24"/>
                <w:szCs w:val="24"/>
              </w:rPr>
              <w:t xml:space="preserve"> with plans to extend the programme to a further 300 </w:t>
            </w:r>
            <w:r w:rsidR="00F71F82">
              <w:rPr>
                <w:rFonts w:ascii="Arial" w:hAnsi="Arial" w:cs="Arial"/>
                <w:sz w:val="24"/>
                <w:szCs w:val="24"/>
              </w:rPr>
              <w:t xml:space="preserve">managers </w:t>
            </w:r>
            <w:r w:rsidR="00413483">
              <w:rPr>
                <w:rFonts w:ascii="Arial" w:hAnsi="Arial" w:cs="Arial"/>
                <w:sz w:val="24"/>
                <w:szCs w:val="24"/>
              </w:rPr>
              <w:t>in 2024-25.</w:t>
            </w:r>
          </w:p>
        </w:tc>
      </w:tr>
      <w:tr w:rsidR="00C8522D" w14:paraId="4C02CE09" w14:textId="77777777" w:rsidTr="272D4469">
        <w:tc>
          <w:tcPr>
            <w:tcW w:w="3256" w:type="dxa"/>
          </w:tcPr>
          <w:p w14:paraId="4844BE3C" w14:textId="06A826E5" w:rsidR="00C8522D" w:rsidRPr="00625870" w:rsidRDefault="00EB0E77">
            <w:pPr>
              <w:rPr>
                <w:rFonts w:ascii="Arial" w:hAnsi="Arial" w:cs="Arial"/>
                <w:sz w:val="24"/>
                <w:szCs w:val="24"/>
              </w:rPr>
            </w:pPr>
            <w:r>
              <w:rPr>
                <w:rFonts w:ascii="Arial" w:hAnsi="Arial" w:cs="Arial"/>
                <w:sz w:val="24"/>
                <w:szCs w:val="24"/>
              </w:rPr>
              <w:t>Build our regional centres, creating offices that support</w:t>
            </w:r>
            <w:r w:rsidR="00A56B13">
              <w:rPr>
                <w:rFonts w:ascii="Arial" w:hAnsi="Arial" w:cs="Arial"/>
                <w:sz w:val="24"/>
                <w:szCs w:val="24"/>
              </w:rPr>
              <w:t xml:space="preserve"> collaborative working </w:t>
            </w:r>
            <w:r w:rsidR="0003214A">
              <w:rPr>
                <w:rFonts w:ascii="Arial" w:hAnsi="Arial" w:cs="Arial"/>
                <w:sz w:val="24"/>
                <w:szCs w:val="24"/>
              </w:rPr>
              <w:t>with modern accessible facilities for our people and our customers.</w:t>
            </w:r>
          </w:p>
        </w:tc>
        <w:tc>
          <w:tcPr>
            <w:tcW w:w="1417" w:type="dxa"/>
          </w:tcPr>
          <w:p w14:paraId="1042EEA6" w14:textId="72239A8F" w:rsidR="00C8522D" w:rsidRPr="00625870" w:rsidRDefault="00B437FE">
            <w:pPr>
              <w:rPr>
                <w:rFonts w:ascii="Arial" w:hAnsi="Arial" w:cs="Arial"/>
                <w:sz w:val="24"/>
                <w:szCs w:val="24"/>
              </w:rPr>
            </w:pPr>
            <w:r>
              <w:rPr>
                <w:rFonts w:ascii="Arial" w:hAnsi="Arial" w:cs="Arial"/>
                <w:sz w:val="24"/>
                <w:szCs w:val="24"/>
              </w:rPr>
              <w:t>Achieved</w:t>
            </w:r>
          </w:p>
        </w:tc>
        <w:tc>
          <w:tcPr>
            <w:tcW w:w="4343" w:type="dxa"/>
          </w:tcPr>
          <w:p w14:paraId="72CA0A87" w14:textId="1A2A5A78" w:rsidR="00C8522D" w:rsidRPr="00625870" w:rsidRDefault="00B06F52">
            <w:pPr>
              <w:rPr>
                <w:rFonts w:ascii="Arial" w:hAnsi="Arial" w:cs="Arial"/>
                <w:sz w:val="24"/>
                <w:szCs w:val="24"/>
              </w:rPr>
            </w:pPr>
            <w:r>
              <w:rPr>
                <w:rFonts w:ascii="Arial" w:hAnsi="Arial" w:cs="Arial"/>
                <w:sz w:val="24"/>
                <w:szCs w:val="24"/>
              </w:rPr>
              <w:t xml:space="preserve">We have moved </w:t>
            </w:r>
            <w:r w:rsidR="002764BE">
              <w:rPr>
                <w:rFonts w:ascii="Arial" w:hAnsi="Arial" w:cs="Arial"/>
                <w:sz w:val="24"/>
                <w:szCs w:val="24"/>
              </w:rPr>
              <w:t xml:space="preserve">to </w:t>
            </w:r>
            <w:r w:rsidR="00AA26EE">
              <w:rPr>
                <w:rFonts w:ascii="Arial" w:hAnsi="Arial" w:cs="Arial"/>
                <w:sz w:val="24"/>
                <w:szCs w:val="24"/>
              </w:rPr>
              <w:t>modern regional ‘hub</w:t>
            </w:r>
            <w:r w:rsidR="006124C9">
              <w:rPr>
                <w:rFonts w:ascii="Arial" w:hAnsi="Arial" w:cs="Arial"/>
                <w:sz w:val="24"/>
                <w:szCs w:val="24"/>
              </w:rPr>
              <w:t xml:space="preserve">’ offices in </w:t>
            </w:r>
            <w:r w:rsidR="00C21523">
              <w:rPr>
                <w:rFonts w:ascii="Arial" w:hAnsi="Arial" w:cs="Arial"/>
                <w:sz w:val="24"/>
                <w:szCs w:val="24"/>
              </w:rPr>
              <w:t>Edinburgh and Croydon</w:t>
            </w:r>
            <w:r w:rsidR="00037A92">
              <w:rPr>
                <w:rFonts w:ascii="Arial" w:hAnsi="Arial" w:cs="Arial"/>
                <w:sz w:val="24"/>
                <w:szCs w:val="24"/>
              </w:rPr>
              <w:t xml:space="preserve"> and relocated colleagues to our regional centre </w:t>
            </w:r>
            <w:r w:rsidR="00A3505E">
              <w:rPr>
                <w:rFonts w:ascii="Arial" w:hAnsi="Arial" w:cs="Arial"/>
                <w:sz w:val="24"/>
                <w:szCs w:val="24"/>
              </w:rPr>
              <w:t>in Manchester.</w:t>
            </w:r>
          </w:p>
        </w:tc>
      </w:tr>
      <w:tr w:rsidR="00C8522D" w14:paraId="4384804D" w14:textId="77777777" w:rsidTr="272D4469">
        <w:tc>
          <w:tcPr>
            <w:tcW w:w="3256" w:type="dxa"/>
          </w:tcPr>
          <w:p w14:paraId="22A705D0" w14:textId="0B07BD82" w:rsidR="00C8522D" w:rsidRPr="00625870" w:rsidRDefault="009A6389">
            <w:pPr>
              <w:rPr>
                <w:rFonts w:ascii="Arial" w:hAnsi="Arial" w:cs="Arial"/>
                <w:sz w:val="24"/>
                <w:szCs w:val="24"/>
              </w:rPr>
            </w:pPr>
            <w:r>
              <w:rPr>
                <w:rFonts w:ascii="Arial" w:hAnsi="Arial" w:cs="Arial"/>
                <w:sz w:val="24"/>
                <w:szCs w:val="24"/>
              </w:rPr>
              <w:t>Deliver our Inclusion First Strategy</w:t>
            </w:r>
            <w:r w:rsidR="006C3355">
              <w:rPr>
                <w:rFonts w:ascii="Arial" w:hAnsi="Arial" w:cs="Arial"/>
                <w:sz w:val="24"/>
                <w:szCs w:val="24"/>
              </w:rPr>
              <w:t xml:space="preserve"> to continue to build an inclusive culture as well as developing our outreach </w:t>
            </w:r>
            <w:r w:rsidR="00935C6F">
              <w:rPr>
                <w:rFonts w:ascii="Arial" w:hAnsi="Arial" w:cs="Arial"/>
                <w:sz w:val="24"/>
                <w:szCs w:val="24"/>
              </w:rPr>
              <w:t>strategy</w:t>
            </w:r>
            <w:r w:rsidR="00147D72">
              <w:rPr>
                <w:rFonts w:ascii="Arial" w:hAnsi="Arial" w:cs="Arial"/>
                <w:sz w:val="24"/>
                <w:szCs w:val="24"/>
              </w:rPr>
              <w:t xml:space="preserve"> to improve diversity within our organisation</w:t>
            </w:r>
            <w:r w:rsidR="006271FD">
              <w:rPr>
                <w:rFonts w:ascii="Arial" w:hAnsi="Arial" w:cs="Arial"/>
                <w:sz w:val="24"/>
                <w:szCs w:val="24"/>
              </w:rPr>
              <w:t xml:space="preserve"> and the wider industry</w:t>
            </w:r>
            <w:r w:rsidR="00EE2513">
              <w:rPr>
                <w:rFonts w:ascii="Arial" w:hAnsi="Arial" w:cs="Arial"/>
                <w:sz w:val="24"/>
                <w:szCs w:val="24"/>
              </w:rPr>
              <w:t>.</w:t>
            </w:r>
          </w:p>
        </w:tc>
        <w:tc>
          <w:tcPr>
            <w:tcW w:w="1417" w:type="dxa"/>
          </w:tcPr>
          <w:p w14:paraId="7C96CE88" w14:textId="3EF5BE5E" w:rsidR="00C8522D" w:rsidRPr="00625870" w:rsidRDefault="00EB6965">
            <w:pPr>
              <w:rPr>
                <w:rFonts w:ascii="Arial" w:hAnsi="Arial" w:cs="Arial"/>
                <w:sz w:val="24"/>
                <w:szCs w:val="24"/>
              </w:rPr>
            </w:pPr>
            <w:r>
              <w:rPr>
                <w:rFonts w:ascii="Arial" w:hAnsi="Arial" w:cs="Arial"/>
                <w:sz w:val="24"/>
                <w:szCs w:val="24"/>
              </w:rPr>
              <w:t>Achieved</w:t>
            </w:r>
          </w:p>
        </w:tc>
        <w:tc>
          <w:tcPr>
            <w:tcW w:w="4343" w:type="dxa"/>
          </w:tcPr>
          <w:p w14:paraId="407E2CAB" w14:textId="653A81A7" w:rsidR="00C8522D" w:rsidRPr="00625870" w:rsidRDefault="006813B0">
            <w:pPr>
              <w:rPr>
                <w:rFonts w:ascii="Arial" w:hAnsi="Arial" w:cs="Arial"/>
                <w:sz w:val="24"/>
                <w:szCs w:val="24"/>
              </w:rPr>
            </w:pPr>
            <w:r>
              <w:rPr>
                <w:rFonts w:ascii="Arial" w:hAnsi="Arial" w:cs="Arial"/>
                <w:sz w:val="24"/>
                <w:szCs w:val="24"/>
              </w:rPr>
              <w:t xml:space="preserve">The </w:t>
            </w:r>
            <w:r w:rsidR="00B41DEE">
              <w:rPr>
                <w:rFonts w:ascii="Arial" w:hAnsi="Arial" w:cs="Arial"/>
                <w:sz w:val="24"/>
                <w:szCs w:val="24"/>
              </w:rPr>
              <w:t xml:space="preserve">strategy has delivered meaningful change to key </w:t>
            </w:r>
            <w:r w:rsidR="00451648">
              <w:rPr>
                <w:rFonts w:ascii="Arial" w:hAnsi="Arial" w:cs="Arial"/>
                <w:sz w:val="24"/>
                <w:szCs w:val="24"/>
              </w:rPr>
              <w:t>me</w:t>
            </w:r>
            <w:r w:rsidR="00C358F1">
              <w:rPr>
                <w:rFonts w:ascii="Arial" w:hAnsi="Arial" w:cs="Arial"/>
                <w:sz w:val="24"/>
                <w:szCs w:val="24"/>
              </w:rPr>
              <w:t>asures</w:t>
            </w:r>
            <w:r w:rsidR="00C6522F">
              <w:rPr>
                <w:rFonts w:ascii="Arial" w:hAnsi="Arial" w:cs="Arial"/>
                <w:sz w:val="24"/>
                <w:szCs w:val="24"/>
              </w:rPr>
              <w:t xml:space="preserve"> such as a reduction in our gender pay gap</w:t>
            </w:r>
            <w:r w:rsidR="00C80CD0">
              <w:rPr>
                <w:rFonts w:ascii="Arial" w:hAnsi="Arial" w:cs="Arial"/>
                <w:sz w:val="24"/>
                <w:szCs w:val="24"/>
              </w:rPr>
              <w:t xml:space="preserve"> and an increase in</w:t>
            </w:r>
            <w:r w:rsidR="00C6522F">
              <w:rPr>
                <w:rFonts w:ascii="Arial" w:hAnsi="Arial" w:cs="Arial"/>
                <w:sz w:val="24"/>
                <w:szCs w:val="24"/>
              </w:rPr>
              <w:t xml:space="preserve"> </w:t>
            </w:r>
            <w:r w:rsidR="00DF0D1F">
              <w:rPr>
                <w:rFonts w:ascii="Arial" w:hAnsi="Arial" w:cs="Arial"/>
                <w:sz w:val="24"/>
                <w:szCs w:val="24"/>
              </w:rPr>
              <w:t>the number of women</w:t>
            </w:r>
            <w:r w:rsidR="008F05DA">
              <w:rPr>
                <w:rFonts w:ascii="Arial" w:hAnsi="Arial" w:cs="Arial"/>
                <w:sz w:val="24"/>
                <w:szCs w:val="24"/>
              </w:rPr>
              <w:t>,</w:t>
            </w:r>
            <w:r w:rsidR="003C14FE">
              <w:rPr>
                <w:rFonts w:ascii="Arial" w:hAnsi="Arial" w:cs="Arial"/>
                <w:sz w:val="24"/>
                <w:szCs w:val="24"/>
              </w:rPr>
              <w:t xml:space="preserve"> disabled</w:t>
            </w:r>
            <w:r w:rsidR="00DF0D1F">
              <w:rPr>
                <w:rFonts w:ascii="Arial" w:hAnsi="Arial" w:cs="Arial"/>
                <w:sz w:val="24"/>
                <w:szCs w:val="24"/>
              </w:rPr>
              <w:t xml:space="preserve"> </w:t>
            </w:r>
            <w:r w:rsidR="001C693C">
              <w:rPr>
                <w:rFonts w:ascii="Arial" w:hAnsi="Arial" w:cs="Arial"/>
                <w:sz w:val="24"/>
                <w:szCs w:val="24"/>
              </w:rPr>
              <w:t xml:space="preserve">and ethnic minorities </w:t>
            </w:r>
            <w:r w:rsidR="00C80CD0">
              <w:rPr>
                <w:rFonts w:ascii="Arial" w:hAnsi="Arial" w:cs="Arial"/>
                <w:sz w:val="24"/>
                <w:szCs w:val="24"/>
              </w:rPr>
              <w:t>employees.</w:t>
            </w:r>
            <w:r w:rsidR="00D178F0">
              <w:rPr>
                <w:rFonts w:ascii="Arial" w:hAnsi="Arial" w:cs="Arial"/>
                <w:sz w:val="24"/>
                <w:szCs w:val="24"/>
              </w:rPr>
              <w:t xml:space="preserve"> We have </w:t>
            </w:r>
            <w:r w:rsidR="004E3896">
              <w:rPr>
                <w:rFonts w:ascii="Arial" w:hAnsi="Arial" w:cs="Arial"/>
                <w:sz w:val="24"/>
                <w:szCs w:val="24"/>
              </w:rPr>
              <w:t xml:space="preserve">received </w:t>
            </w:r>
            <w:r w:rsidR="0012167D">
              <w:rPr>
                <w:rFonts w:ascii="Arial" w:hAnsi="Arial" w:cs="Arial"/>
                <w:sz w:val="24"/>
                <w:szCs w:val="24"/>
              </w:rPr>
              <w:t>Di</w:t>
            </w:r>
            <w:r w:rsidR="006F0F18">
              <w:rPr>
                <w:rFonts w:ascii="Arial" w:hAnsi="Arial" w:cs="Arial"/>
                <w:sz w:val="24"/>
                <w:szCs w:val="24"/>
              </w:rPr>
              <w:t xml:space="preserve">sability Confident Leadership </w:t>
            </w:r>
            <w:r w:rsidR="00BD6E7B">
              <w:rPr>
                <w:rFonts w:ascii="Arial" w:hAnsi="Arial" w:cs="Arial"/>
                <w:sz w:val="24"/>
                <w:szCs w:val="24"/>
              </w:rPr>
              <w:t>certification</w:t>
            </w:r>
            <w:r w:rsidR="006D0AED">
              <w:rPr>
                <w:rFonts w:ascii="Arial" w:hAnsi="Arial" w:cs="Arial"/>
                <w:sz w:val="24"/>
                <w:szCs w:val="24"/>
              </w:rPr>
              <w:t xml:space="preserve"> and completed the Race at Work Charter.</w:t>
            </w:r>
          </w:p>
        </w:tc>
      </w:tr>
    </w:tbl>
    <w:p w14:paraId="364769B9" w14:textId="77777777" w:rsidR="00E17805" w:rsidRDefault="00E17805">
      <w:r>
        <w:br w:type="page"/>
      </w:r>
    </w:p>
    <w:tbl>
      <w:tblPr>
        <w:tblStyle w:val="TableGrid"/>
        <w:tblW w:w="0" w:type="auto"/>
        <w:tblLook w:val="04A0" w:firstRow="1" w:lastRow="0" w:firstColumn="1" w:lastColumn="0" w:noHBand="0" w:noVBand="1"/>
      </w:tblPr>
      <w:tblGrid>
        <w:gridCol w:w="3256"/>
        <w:gridCol w:w="1417"/>
        <w:gridCol w:w="4343"/>
      </w:tblGrid>
      <w:tr w:rsidR="00D62761" w14:paraId="07C3DC59" w14:textId="77777777" w:rsidTr="3F087844">
        <w:tc>
          <w:tcPr>
            <w:tcW w:w="3256" w:type="dxa"/>
          </w:tcPr>
          <w:p w14:paraId="753C81A7" w14:textId="34EB0DD9" w:rsidR="00D62761" w:rsidRDefault="00D62761" w:rsidP="00D62761">
            <w:pPr>
              <w:rPr>
                <w:rFonts w:ascii="Arial" w:hAnsi="Arial" w:cs="Arial"/>
                <w:sz w:val="24"/>
                <w:szCs w:val="24"/>
              </w:rPr>
            </w:pPr>
            <w:r>
              <w:rPr>
                <w:rFonts w:ascii="Arial" w:hAnsi="Arial" w:cs="Arial"/>
                <w:color w:val="4472C4" w:themeColor="accent1"/>
                <w:sz w:val="24"/>
                <w:szCs w:val="24"/>
              </w:rPr>
              <w:lastRenderedPageBreak/>
              <w:t>Objective</w:t>
            </w:r>
          </w:p>
        </w:tc>
        <w:tc>
          <w:tcPr>
            <w:tcW w:w="1417" w:type="dxa"/>
          </w:tcPr>
          <w:p w14:paraId="2D46D32A" w14:textId="387F0EC1" w:rsidR="00D62761" w:rsidRDefault="00D62761" w:rsidP="00D62761">
            <w:pPr>
              <w:rPr>
                <w:rFonts w:ascii="Arial" w:hAnsi="Arial" w:cs="Arial"/>
                <w:sz w:val="24"/>
                <w:szCs w:val="24"/>
              </w:rPr>
            </w:pPr>
            <w:r>
              <w:rPr>
                <w:rFonts w:ascii="Arial" w:hAnsi="Arial" w:cs="Arial"/>
                <w:color w:val="4472C4" w:themeColor="accent1"/>
                <w:sz w:val="24"/>
                <w:szCs w:val="24"/>
              </w:rPr>
              <w:t>Status</w:t>
            </w:r>
          </w:p>
        </w:tc>
        <w:tc>
          <w:tcPr>
            <w:tcW w:w="4343" w:type="dxa"/>
          </w:tcPr>
          <w:p w14:paraId="111FB087" w14:textId="7D65E28B" w:rsidR="00D62761" w:rsidRDefault="00D62761" w:rsidP="00D62761">
            <w:pPr>
              <w:rPr>
                <w:rFonts w:ascii="Arial" w:hAnsi="Arial" w:cs="Arial"/>
                <w:sz w:val="24"/>
                <w:szCs w:val="24"/>
              </w:rPr>
            </w:pPr>
            <w:r>
              <w:rPr>
                <w:rFonts w:ascii="Arial" w:hAnsi="Arial" w:cs="Arial"/>
                <w:color w:val="4472C4" w:themeColor="accent1"/>
                <w:sz w:val="24"/>
                <w:szCs w:val="24"/>
              </w:rPr>
              <w:t>Commentary</w:t>
            </w:r>
          </w:p>
        </w:tc>
      </w:tr>
      <w:tr w:rsidR="00D62761" w14:paraId="6762AF74" w14:textId="77777777" w:rsidTr="3F087844">
        <w:tc>
          <w:tcPr>
            <w:tcW w:w="3256" w:type="dxa"/>
          </w:tcPr>
          <w:p w14:paraId="4D3ADE31" w14:textId="46193443" w:rsidR="00D62761" w:rsidRPr="00625870" w:rsidRDefault="5B09E7F6" w:rsidP="00D62761">
            <w:pPr>
              <w:rPr>
                <w:rFonts w:ascii="Arial" w:hAnsi="Arial" w:cs="Arial"/>
                <w:sz w:val="24"/>
                <w:szCs w:val="24"/>
              </w:rPr>
            </w:pPr>
            <w:r w:rsidRPr="3F087844">
              <w:rPr>
                <w:rFonts w:ascii="Arial" w:hAnsi="Arial" w:cs="Arial"/>
                <w:sz w:val="24"/>
                <w:szCs w:val="24"/>
              </w:rPr>
              <w:t xml:space="preserve">Continue to develop the Insolvency Service as a great place to work, embedding our new </w:t>
            </w:r>
            <w:r w:rsidR="5A691F80" w:rsidRPr="3F087844">
              <w:rPr>
                <w:rFonts w:ascii="Arial" w:hAnsi="Arial" w:cs="Arial"/>
                <w:sz w:val="24"/>
                <w:szCs w:val="24"/>
              </w:rPr>
              <w:t>Agency</w:t>
            </w:r>
            <w:r w:rsidRPr="3F087844">
              <w:rPr>
                <w:rFonts w:ascii="Arial" w:hAnsi="Arial" w:cs="Arial"/>
                <w:sz w:val="24"/>
                <w:szCs w:val="24"/>
              </w:rPr>
              <w:t xml:space="preserve"> values both within our organisation and working with our stakeholders.</w:t>
            </w:r>
          </w:p>
        </w:tc>
        <w:tc>
          <w:tcPr>
            <w:tcW w:w="1417" w:type="dxa"/>
          </w:tcPr>
          <w:p w14:paraId="666ADDEF" w14:textId="43546706" w:rsidR="00D62761" w:rsidRPr="00625870" w:rsidRDefault="00D62761" w:rsidP="00D62761">
            <w:pPr>
              <w:rPr>
                <w:rFonts w:ascii="Arial" w:hAnsi="Arial" w:cs="Arial"/>
                <w:sz w:val="24"/>
                <w:szCs w:val="24"/>
              </w:rPr>
            </w:pPr>
            <w:r>
              <w:rPr>
                <w:rFonts w:ascii="Arial" w:hAnsi="Arial" w:cs="Arial"/>
                <w:sz w:val="24"/>
                <w:szCs w:val="24"/>
              </w:rPr>
              <w:t>Achieved</w:t>
            </w:r>
          </w:p>
        </w:tc>
        <w:tc>
          <w:tcPr>
            <w:tcW w:w="4343" w:type="dxa"/>
          </w:tcPr>
          <w:p w14:paraId="2CD0F563" w14:textId="73655E82" w:rsidR="00D62761" w:rsidRPr="00625870" w:rsidRDefault="00D62761" w:rsidP="00D62761">
            <w:pPr>
              <w:rPr>
                <w:rFonts w:ascii="Arial" w:hAnsi="Arial" w:cs="Arial"/>
                <w:sz w:val="24"/>
                <w:szCs w:val="24"/>
              </w:rPr>
            </w:pPr>
            <w:r>
              <w:rPr>
                <w:rFonts w:ascii="Arial" w:hAnsi="Arial" w:cs="Arial"/>
                <w:sz w:val="24"/>
                <w:szCs w:val="24"/>
              </w:rPr>
              <w:t>Our values have been embedded in our recruitment, induction and reward processes. We have shared them with key stakeholders and staff across the Agency who have shared how they will demonstrate the values. From April 2024 they will be part of our appraisal process and will be used to measure and analyse how we are demonstrating the values.</w:t>
            </w:r>
          </w:p>
        </w:tc>
      </w:tr>
      <w:tr w:rsidR="00D62761" w14:paraId="167A643D" w14:textId="77777777" w:rsidTr="3F087844">
        <w:tc>
          <w:tcPr>
            <w:tcW w:w="3256" w:type="dxa"/>
          </w:tcPr>
          <w:p w14:paraId="4FF1E2D6" w14:textId="65DD90D0" w:rsidR="00D62761" w:rsidRPr="00625870" w:rsidRDefault="00D62761" w:rsidP="00D62761">
            <w:pPr>
              <w:rPr>
                <w:rFonts w:ascii="Arial" w:hAnsi="Arial" w:cs="Arial"/>
                <w:sz w:val="24"/>
                <w:szCs w:val="24"/>
              </w:rPr>
            </w:pPr>
            <w:r>
              <w:rPr>
                <w:rFonts w:ascii="Arial" w:hAnsi="Arial" w:cs="Arial"/>
                <w:sz w:val="24"/>
                <w:szCs w:val="24"/>
              </w:rPr>
              <w:t>Introduce an enhanced strategic workforce plan to enable improved cross-agency working and future capability planning.</w:t>
            </w:r>
          </w:p>
        </w:tc>
        <w:tc>
          <w:tcPr>
            <w:tcW w:w="1417" w:type="dxa"/>
          </w:tcPr>
          <w:p w14:paraId="0D980296" w14:textId="68898DFC" w:rsidR="00D62761" w:rsidRPr="00625870" w:rsidRDefault="00D62761" w:rsidP="00D62761">
            <w:pPr>
              <w:rPr>
                <w:rFonts w:ascii="Arial" w:hAnsi="Arial" w:cs="Arial"/>
                <w:sz w:val="24"/>
                <w:szCs w:val="24"/>
              </w:rPr>
            </w:pPr>
            <w:r>
              <w:rPr>
                <w:rFonts w:ascii="Arial" w:hAnsi="Arial" w:cs="Arial"/>
                <w:sz w:val="24"/>
                <w:szCs w:val="24"/>
              </w:rPr>
              <w:t>Achieved</w:t>
            </w:r>
          </w:p>
        </w:tc>
        <w:tc>
          <w:tcPr>
            <w:tcW w:w="4343" w:type="dxa"/>
          </w:tcPr>
          <w:p w14:paraId="1BA7FBFA" w14:textId="54C3B366" w:rsidR="00D62761" w:rsidRPr="00625870" w:rsidRDefault="00D62761" w:rsidP="00D62761">
            <w:pPr>
              <w:rPr>
                <w:rFonts w:ascii="Arial" w:hAnsi="Arial" w:cs="Arial"/>
                <w:sz w:val="24"/>
                <w:szCs w:val="24"/>
              </w:rPr>
            </w:pPr>
            <w:r>
              <w:rPr>
                <w:rFonts w:ascii="Arial" w:hAnsi="Arial" w:cs="Arial"/>
                <w:sz w:val="24"/>
                <w:szCs w:val="24"/>
              </w:rPr>
              <w:t>Strategic workforce planning narratives are now reported to our Organisation Design Board where we can discuss common themes and identify upcoming challenges and opportunities.</w:t>
            </w:r>
          </w:p>
        </w:tc>
      </w:tr>
      <w:tr w:rsidR="00D62761" w14:paraId="6B627D7D" w14:textId="77777777" w:rsidTr="3F087844">
        <w:tc>
          <w:tcPr>
            <w:tcW w:w="3256" w:type="dxa"/>
          </w:tcPr>
          <w:p w14:paraId="70643766" w14:textId="38F5F684" w:rsidR="00D62761" w:rsidRPr="00625870" w:rsidRDefault="00D62761" w:rsidP="00D62761">
            <w:pPr>
              <w:rPr>
                <w:rFonts w:ascii="Arial" w:hAnsi="Arial" w:cs="Arial"/>
                <w:sz w:val="24"/>
                <w:szCs w:val="24"/>
              </w:rPr>
            </w:pPr>
            <w:r>
              <w:rPr>
                <w:rFonts w:ascii="Arial" w:hAnsi="Arial" w:cs="Arial"/>
                <w:sz w:val="24"/>
                <w:szCs w:val="24"/>
              </w:rPr>
              <w:t>Undertake a detailed analysis of attrition at the Agency to inform policy changes designed to improve staff retention.</w:t>
            </w:r>
          </w:p>
        </w:tc>
        <w:tc>
          <w:tcPr>
            <w:tcW w:w="1417" w:type="dxa"/>
          </w:tcPr>
          <w:p w14:paraId="4FAE2995" w14:textId="45267572" w:rsidR="00D62761" w:rsidRPr="00625870" w:rsidRDefault="00D62761" w:rsidP="00D62761">
            <w:pPr>
              <w:rPr>
                <w:rFonts w:ascii="Arial" w:hAnsi="Arial" w:cs="Arial"/>
                <w:sz w:val="24"/>
                <w:szCs w:val="24"/>
              </w:rPr>
            </w:pPr>
            <w:r>
              <w:rPr>
                <w:rFonts w:ascii="Arial" w:hAnsi="Arial" w:cs="Arial"/>
                <w:sz w:val="24"/>
                <w:szCs w:val="24"/>
              </w:rPr>
              <w:t>Achieved</w:t>
            </w:r>
          </w:p>
        </w:tc>
        <w:tc>
          <w:tcPr>
            <w:tcW w:w="4343" w:type="dxa"/>
          </w:tcPr>
          <w:p w14:paraId="677E17C3" w14:textId="72799090" w:rsidR="00D62761" w:rsidRPr="00625870" w:rsidRDefault="00D62761" w:rsidP="00D62761">
            <w:pPr>
              <w:rPr>
                <w:rFonts w:ascii="Arial" w:hAnsi="Arial" w:cs="Arial"/>
                <w:sz w:val="24"/>
                <w:szCs w:val="24"/>
              </w:rPr>
            </w:pPr>
            <w:r>
              <w:rPr>
                <w:rFonts w:ascii="Arial" w:hAnsi="Arial" w:cs="Arial"/>
                <w:sz w:val="24"/>
                <w:szCs w:val="24"/>
              </w:rPr>
              <w:t>Analysis of exit surveys showed pay and benefits as a major reason for people leaving as well as career progression. We have submitted a pay case to address this which is awaiting final approval from Treasury. We are also developing career pathways to help attract and retain colleagues.</w:t>
            </w:r>
          </w:p>
        </w:tc>
      </w:tr>
      <w:tr w:rsidR="00D62761" w14:paraId="2768C881" w14:textId="77777777" w:rsidTr="3F087844">
        <w:tc>
          <w:tcPr>
            <w:tcW w:w="3256" w:type="dxa"/>
          </w:tcPr>
          <w:p w14:paraId="3C750298" w14:textId="3B4A5626" w:rsidR="00D62761" w:rsidRPr="00625870" w:rsidRDefault="00D62761" w:rsidP="00D62761">
            <w:pPr>
              <w:rPr>
                <w:rFonts w:ascii="Arial" w:hAnsi="Arial" w:cs="Arial"/>
                <w:sz w:val="24"/>
                <w:szCs w:val="24"/>
              </w:rPr>
            </w:pPr>
            <w:r>
              <w:rPr>
                <w:rFonts w:ascii="Arial" w:hAnsi="Arial" w:cs="Arial"/>
                <w:sz w:val="24"/>
                <w:szCs w:val="24"/>
              </w:rPr>
              <w:t>Embed our sustainability strategy with the development of a new Carbon and Energy Management Plan, new waste procedures and a new Sustainable Procurement Policy.</w:t>
            </w:r>
          </w:p>
        </w:tc>
        <w:tc>
          <w:tcPr>
            <w:tcW w:w="1417" w:type="dxa"/>
          </w:tcPr>
          <w:p w14:paraId="6FF1677E" w14:textId="188063AB" w:rsidR="00D62761" w:rsidRPr="00625870" w:rsidRDefault="00D62761" w:rsidP="00D62761">
            <w:pPr>
              <w:rPr>
                <w:rFonts w:ascii="Arial" w:hAnsi="Arial" w:cs="Arial"/>
                <w:sz w:val="24"/>
                <w:szCs w:val="24"/>
              </w:rPr>
            </w:pPr>
            <w:r>
              <w:rPr>
                <w:rFonts w:ascii="Arial" w:hAnsi="Arial" w:cs="Arial"/>
                <w:sz w:val="24"/>
                <w:szCs w:val="24"/>
              </w:rPr>
              <w:t>In progress</w:t>
            </w:r>
          </w:p>
        </w:tc>
        <w:tc>
          <w:tcPr>
            <w:tcW w:w="4343" w:type="dxa"/>
          </w:tcPr>
          <w:p w14:paraId="1B1C4AA8" w14:textId="5EB9E7AD" w:rsidR="00D62761" w:rsidRPr="00625870" w:rsidRDefault="00D62761" w:rsidP="00D62761">
            <w:pPr>
              <w:rPr>
                <w:rFonts w:ascii="Arial" w:hAnsi="Arial" w:cs="Arial"/>
                <w:sz w:val="24"/>
                <w:szCs w:val="24"/>
              </w:rPr>
            </w:pPr>
            <w:r>
              <w:rPr>
                <w:rFonts w:ascii="Arial" w:hAnsi="Arial" w:cs="Arial"/>
                <w:sz w:val="24"/>
                <w:szCs w:val="24"/>
              </w:rPr>
              <w:t>Our</w:t>
            </w:r>
            <w:r w:rsidRPr="13B870A9">
              <w:rPr>
                <w:rFonts w:ascii="Arial" w:hAnsi="Arial" w:cs="Arial"/>
                <w:sz w:val="24"/>
                <w:szCs w:val="24"/>
              </w:rPr>
              <w:t xml:space="preserve"> Carbon and Energy Management Plan and </w:t>
            </w:r>
            <w:r>
              <w:rPr>
                <w:rFonts w:ascii="Arial" w:hAnsi="Arial" w:cs="Arial"/>
                <w:sz w:val="24"/>
                <w:szCs w:val="24"/>
              </w:rPr>
              <w:t xml:space="preserve">all our new waste procedures will be </w:t>
            </w:r>
            <w:r w:rsidRPr="13B870A9">
              <w:rPr>
                <w:rFonts w:ascii="Arial" w:hAnsi="Arial" w:cs="Arial"/>
                <w:sz w:val="24"/>
                <w:szCs w:val="24"/>
              </w:rPr>
              <w:t>in place by the end of 2024</w:t>
            </w:r>
            <w:r w:rsidR="00830EB7">
              <w:rPr>
                <w:rFonts w:ascii="Arial" w:hAnsi="Arial" w:cs="Arial"/>
                <w:sz w:val="24"/>
                <w:szCs w:val="24"/>
              </w:rPr>
              <w:t>-</w:t>
            </w:r>
            <w:r w:rsidRPr="13B870A9">
              <w:rPr>
                <w:rFonts w:ascii="Arial" w:hAnsi="Arial" w:cs="Arial"/>
                <w:sz w:val="24"/>
                <w:szCs w:val="24"/>
              </w:rPr>
              <w:t>25. We have</w:t>
            </w:r>
            <w:r>
              <w:rPr>
                <w:rFonts w:ascii="Arial" w:hAnsi="Arial" w:cs="Arial"/>
                <w:sz w:val="24"/>
                <w:szCs w:val="24"/>
              </w:rPr>
              <w:t xml:space="preserve"> delivered </w:t>
            </w:r>
            <w:r w:rsidRPr="13B870A9">
              <w:rPr>
                <w:rFonts w:ascii="Arial" w:hAnsi="Arial" w:cs="Arial"/>
                <w:sz w:val="24"/>
                <w:szCs w:val="24"/>
              </w:rPr>
              <w:t xml:space="preserve">training </w:t>
            </w:r>
            <w:r>
              <w:rPr>
                <w:rFonts w:ascii="Arial" w:hAnsi="Arial" w:cs="Arial"/>
                <w:sz w:val="24"/>
                <w:szCs w:val="24"/>
              </w:rPr>
              <w:t xml:space="preserve">to </w:t>
            </w:r>
            <w:r w:rsidRPr="13B870A9">
              <w:rPr>
                <w:rFonts w:ascii="Arial" w:hAnsi="Arial" w:cs="Arial"/>
                <w:sz w:val="24"/>
                <w:szCs w:val="24"/>
              </w:rPr>
              <w:t xml:space="preserve">Commercial </w:t>
            </w:r>
            <w:r>
              <w:rPr>
                <w:rFonts w:ascii="Arial" w:hAnsi="Arial" w:cs="Arial"/>
                <w:sz w:val="24"/>
                <w:szCs w:val="24"/>
              </w:rPr>
              <w:t xml:space="preserve">colleagues </w:t>
            </w:r>
            <w:r w:rsidRPr="13B870A9">
              <w:rPr>
                <w:rFonts w:ascii="Arial" w:hAnsi="Arial" w:cs="Arial"/>
                <w:sz w:val="24"/>
                <w:szCs w:val="24"/>
              </w:rPr>
              <w:t xml:space="preserve">and buyers </w:t>
            </w:r>
            <w:r>
              <w:rPr>
                <w:rFonts w:ascii="Arial" w:hAnsi="Arial" w:cs="Arial"/>
                <w:sz w:val="24"/>
                <w:szCs w:val="24"/>
              </w:rPr>
              <w:t xml:space="preserve">on how to embed </w:t>
            </w:r>
            <w:r w:rsidRPr="13B870A9">
              <w:rPr>
                <w:rFonts w:ascii="Arial" w:hAnsi="Arial" w:cs="Arial"/>
                <w:sz w:val="24"/>
                <w:szCs w:val="24"/>
              </w:rPr>
              <w:t>our new Sustainable Procurement Procedures for Social Value and Environmental Sustainability</w:t>
            </w:r>
            <w:r>
              <w:rPr>
                <w:rFonts w:ascii="Arial" w:hAnsi="Arial" w:cs="Arial"/>
                <w:sz w:val="24"/>
                <w:szCs w:val="24"/>
              </w:rPr>
              <w:t xml:space="preserve"> into </w:t>
            </w:r>
            <w:r w:rsidRPr="13B870A9">
              <w:rPr>
                <w:rFonts w:ascii="Arial" w:hAnsi="Arial" w:cs="Arial"/>
                <w:sz w:val="24"/>
                <w:szCs w:val="24"/>
              </w:rPr>
              <w:t>our purchasing</w:t>
            </w:r>
            <w:r>
              <w:rPr>
                <w:rFonts w:ascii="Arial" w:hAnsi="Arial" w:cs="Arial"/>
                <w:sz w:val="24"/>
                <w:szCs w:val="24"/>
              </w:rPr>
              <w:t xml:space="preserve"> activities</w:t>
            </w:r>
            <w:r w:rsidRPr="13B870A9">
              <w:rPr>
                <w:rFonts w:ascii="Arial" w:hAnsi="Arial" w:cs="Arial"/>
                <w:sz w:val="24"/>
                <w:szCs w:val="24"/>
              </w:rPr>
              <w:t xml:space="preserve">. </w:t>
            </w:r>
          </w:p>
        </w:tc>
      </w:tr>
      <w:tr w:rsidR="00D62761" w14:paraId="4B0BBD27" w14:textId="77777777" w:rsidTr="3F087844">
        <w:tc>
          <w:tcPr>
            <w:tcW w:w="3256" w:type="dxa"/>
          </w:tcPr>
          <w:p w14:paraId="33839384" w14:textId="1094DEE1" w:rsidR="00D62761" w:rsidRPr="00625870" w:rsidRDefault="00D62761" w:rsidP="00D62761">
            <w:pPr>
              <w:rPr>
                <w:rFonts w:ascii="Arial" w:hAnsi="Arial" w:cs="Arial"/>
                <w:sz w:val="24"/>
                <w:szCs w:val="24"/>
              </w:rPr>
            </w:pPr>
            <w:r>
              <w:rPr>
                <w:rFonts w:ascii="Arial" w:hAnsi="Arial" w:cs="Arial"/>
                <w:sz w:val="24"/>
                <w:szCs w:val="24"/>
              </w:rPr>
              <w:t>Progress a project to identify and prepare for implementation of a shared HR service with seven other organisations linked to DBT by Spring 2026.</w:t>
            </w:r>
          </w:p>
        </w:tc>
        <w:tc>
          <w:tcPr>
            <w:tcW w:w="1417" w:type="dxa"/>
          </w:tcPr>
          <w:p w14:paraId="59BF08DE" w14:textId="76733B60" w:rsidR="00D62761" w:rsidRPr="00625870" w:rsidRDefault="00D62761" w:rsidP="00D62761">
            <w:pPr>
              <w:rPr>
                <w:rFonts w:ascii="Arial" w:hAnsi="Arial" w:cs="Arial"/>
                <w:sz w:val="24"/>
                <w:szCs w:val="24"/>
              </w:rPr>
            </w:pPr>
            <w:r>
              <w:rPr>
                <w:rFonts w:ascii="Arial" w:hAnsi="Arial" w:cs="Arial"/>
                <w:sz w:val="24"/>
                <w:szCs w:val="24"/>
              </w:rPr>
              <w:t>In progress</w:t>
            </w:r>
          </w:p>
        </w:tc>
        <w:tc>
          <w:tcPr>
            <w:tcW w:w="4343" w:type="dxa"/>
          </w:tcPr>
          <w:p w14:paraId="10C4054B" w14:textId="5F2CE216" w:rsidR="00D62761" w:rsidRPr="00625870" w:rsidRDefault="00D62761" w:rsidP="00D62761">
            <w:pPr>
              <w:rPr>
                <w:rFonts w:ascii="Arial" w:hAnsi="Arial" w:cs="Arial"/>
                <w:sz w:val="24"/>
                <w:szCs w:val="24"/>
              </w:rPr>
            </w:pPr>
            <w:r>
              <w:rPr>
                <w:rFonts w:ascii="Arial" w:hAnsi="Arial" w:cs="Arial"/>
                <w:sz w:val="24"/>
                <w:szCs w:val="24"/>
              </w:rPr>
              <w:t>We are currently working closely with DBT on preparing the organisation and working with providers on our requirements.</w:t>
            </w:r>
          </w:p>
        </w:tc>
      </w:tr>
    </w:tbl>
    <w:p w14:paraId="478C883F" w14:textId="0E8CE205" w:rsidR="00C8522D" w:rsidRDefault="00C8522D" w:rsidP="000D0E96">
      <w:pPr>
        <w:rPr>
          <w:rFonts w:ascii="Arial" w:hAnsi="Arial" w:cs="Arial"/>
          <w:sz w:val="24"/>
          <w:szCs w:val="24"/>
        </w:rPr>
      </w:pPr>
    </w:p>
    <w:p w14:paraId="7E5E4667" w14:textId="77777777" w:rsidR="00E17805" w:rsidRDefault="00E17805">
      <w:pPr>
        <w:rPr>
          <w:rFonts w:ascii="Arial" w:hAnsi="Arial" w:cs="Arial"/>
          <w:b/>
          <w:bCs/>
          <w:sz w:val="24"/>
          <w:szCs w:val="24"/>
        </w:rPr>
      </w:pPr>
      <w:r>
        <w:rPr>
          <w:rFonts w:ascii="Arial" w:hAnsi="Arial" w:cs="Arial"/>
          <w:b/>
          <w:bCs/>
          <w:sz w:val="24"/>
          <w:szCs w:val="24"/>
        </w:rPr>
        <w:br w:type="page"/>
      </w:r>
    </w:p>
    <w:p w14:paraId="404BF997" w14:textId="4361148D" w:rsidR="00E236A0" w:rsidRDefault="00E236A0" w:rsidP="004919D3">
      <w:pPr>
        <w:pStyle w:val="Heading4"/>
        <w:rPr>
          <w:rFonts w:cs="Arial"/>
          <w:b w:val="0"/>
          <w:sz w:val="24"/>
          <w:szCs w:val="24"/>
        </w:rPr>
      </w:pPr>
      <w:r>
        <w:lastRenderedPageBreak/>
        <w:t>How we performed</w:t>
      </w:r>
    </w:p>
    <w:tbl>
      <w:tblPr>
        <w:tblStyle w:val="TableGrid"/>
        <w:tblW w:w="0" w:type="auto"/>
        <w:tblLook w:val="04A0" w:firstRow="1" w:lastRow="0" w:firstColumn="1" w:lastColumn="0" w:noHBand="0" w:noVBand="1"/>
      </w:tblPr>
      <w:tblGrid>
        <w:gridCol w:w="4957"/>
        <w:gridCol w:w="1353"/>
        <w:gridCol w:w="1353"/>
        <w:gridCol w:w="1353"/>
      </w:tblGrid>
      <w:tr w:rsidR="00E236A0" w14:paraId="161DC045" w14:textId="77777777">
        <w:tc>
          <w:tcPr>
            <w:tcW w:w="9016" w:type="dxa"/>
            <w:gridSpan w:val="4"/>
            <w:shd w:val="clear" w:color="auto" w:fill="5B9BD5" w:themeFill="accent5"/>
          </w:tcPr>
          <w:p w14:paraId="3DB2F996" w14:textId="77777777" w:rsidR="00E236A0" w:rsidRPr="00904E2D" w:rsidRDefault="00E236A0">
            <w:pPr>
              <w:rPr>
                <w:rFonts w:ascii="Arial" w:hAnsi="Arial" w:cs="Arial"/>
                <w:b/>
                <w:bCs/>
                <w:sz w:val="24"/>
                <w:szCs w:val="24"/>
              </w:rPr>
            </w:pPr>
            <w:r>
              <w:rPr>
                <w:rFonts w:ascii="Arial" w:hAnsi="Arial" w:cs="Arial"/>
                <w:b/>
                <w:bCs/>
                <w:color w:val="FFFFFF" w:themeColor="background1"/>
                <w:sz w:val="24"/>
                <w:szCs w:val="24"/>
              </w:rPr>
              <w:t>Performance measures</w:t>
            </w:r>
          </w:p>
        </w:tc>
      </w:tr>
      <w:tr w:rsidR="00E236A0" w14:paraId="6B3D04E3" w14:textId="77777777">
        <w:tc>
          <w:tcPr>
            <w:tcW w:w="4957" w:type="dxa"/>
          </w:tcPr>
          <w:p w14:paraId="0E65C334" w14:textId="77777777" w:rsidR="00E236A0" w:rsidRDefault="00E236A0">
            <w:pPr>
              <w:rPr>
                <w:rFonts w:ascii="Arial" w:hAnsi="Arial" w:cs="Arial"/>
                <w:sz w:val="24"/>
                <w:szCs w:val="24"/>
              </w:rPr>
            </w:pPr>
          </w:p>
        </w:tc>
        <w:tc>
          <w:tcPr>
            <w:tcW w:w="1353" w:type="dxa"/>
          </w:tcPr>
          <w:p w14:paraId="70FE54D7" w14:textId="77777777" w:rsidR="00E236A0" w:rsidRPr="00F01C1E" w:rsidRDefault="00E236A0">
            <w:pPr>
              <w:jc w:val="center"/>
              <w:rPr>
                <w:rFonts w:ascii="Arial" w:hAnsi="Arial" w:cs="Arial"/>
                <w:b/>
                <w:bCs/>
                <w:sz w:val="24"/>
                <w:szCs w:val="24"/>
              </w:rPr>
            </w:pPr>
            <w:r w:rsidRPr="00F01C1E">
              <w:rPr>
                <w:rFonts w:ascii="Arial" w:hAnsi="Arial" w:cs="Arial"/>
                <w:b/>
                <w:bCs/>
                <w:sz w:val="24"/>
                <w:szCs w:val="24"/>
              </w:rPr>
              <w:t>2023-24</w:t>
            </w:r>
          </w:p>
        </w:tc>
        <w:tc>
          <w:tcPr>
            <w:tcW w:w="1353" w:type="dxa"/>
          </w:tcPr>
          <w:p w14:paraId="6809A9B9" w14:textId="77777777" w:rsidR="00E236A0" w:rsidRPr="00F01C1E" w:rsidRDefault="00E236A0">
            <w:pPr>
              <w:jc w:val="center"/>
              <w:rPr>
                <w:rFonts w:ascii="Arial" w:hAnsi="Arial" w:cs="Arial"/>
                <w:b/>
                <w:bCs/>
                <w:sz w:val="24"/>
                <w:szCs w:val="24"/>
              </w:rPr>
            </w:pPr>
            <w:r w:rsidRPr="00F01C1E">
              <w:rPr>
                <w:rFonts w:ascii="Arial" w:hAnsi="Arial" w:cs="Arial"/>
                <w:b/>
                <w:bCs/>
                <w:sz w:val="24"/>
                <w:szCs w:val="24"/>
              </w:rPr>
              <w:t>2022-23</w:t>
            </w:r>
          </w:p>
        </w:tc>
        <w:tc>
          <w:tcPr>
            <w:tcW w:w="1353" w:type="dxa"/>
          </w:tcPr>
          <w:p w14:paraId="55C11485" w14:textId="77777777" w:rsidR="00E236A0" w:rsidRPr="00F01C1E" w:rsidRDefault="00E236A0">
            <w:pPr>
              <w:jc w:val="center"/>
              <w:rPr>
                <w:rFonts w:ascii="Arial" w:hAnsi="Arial" w:cs="Arial"/>
                <w:b/>
                <w:bCs/>
                <w:sz w:val="24"/>
                <w:szCs w:val="24"/>
              </w:rPr>
            </w:pPr>
            <w:r w:rsidRPr="00F01C1E">
              <w:rPr>
                <w:rFonts w:ascii="Arial" w:hAnsi="Arial" w:cs="Arial"/>
                <w:b/>
                <w:bCs/>
                <w:sz w:val="24"/>
                <w:szCs w:val="24"/>
              </w:rPr>
              <w:t>2021-22</w:t>
            </w:r>
          </w:p>
        </w:tc>
      </w:tr>
      <w:tr w:rsidR="00E236A0" w14:paraId="798A8C50" w14:textId="77777777">
        <w:tc>
          <w:tcPr>
            <w:tcW w:w="4957" w:type="dxa"/>
          </w:tcPr>
          <w:p w14:paraId="1EF158C0" w14:textId="00D67423" w:rsidR="00E236A0" w:rsidRDefault="00872397">
            <w:pPr>
              <w:rPr>
                <w:rFonts w:ascii="Arial" w:hAnsi="Arial" w:cs="Arial"/>
                <w:sz w:val="24"/>
                <w:szCs w:val="24"/>
              </w:rPr>
            </w:pPr>
            <w:r>
              <w:rPr>
                <w:rFonts w:ascii="Arial" w:hAnsi="Arial" w:cs="Arial"/>
                <w:sz w:val="24"/>
                <w:szCs w:val="24"/>
              </w:rPr>
              <w:t xml:space="preserve">Leadership and Managing Change </w:t>
            </w:r>
            <w:r w:rsidR="00C5735F">
              <w:rPr>
                <w:rFonts w:ascii="Arial" w:hAnsi="Arial" w:cs="Arial"/>
                <w:sz w:val="24"/>
                <w:szCs w:val="24"/>
              </w:rPr>
              <w:t>People Survey Score</w:t>
            </w:r>
          </w:p>
        </w:tc>
        <w:tc>
          <w:tcPr>
            <w:tcW w:w="1353" w:type="dxa"/>
            <w:vAlign w:val="center"/>
          </w:tcPr>
          <w:p w14:paraId="2BE680F6" w14:textId="7FB0E938" w:rsidR="00E236A0" w:rsidRDefault="00872397">
            <w:pPr>
              <w:jc w:val="center"/>
              <w:rPr>
                <w:rFonts w:ascii="Arial" w:hAnsi="Arial" w:cs="Arial"/>
                <w:sz w:val="24"/>
                <w:szCs w:val="24"/>
              </w:rPr>
            </w:pPr>
            <w:r>
              <w:rPr>
                <w:rFonts w:ascii="Arial" w:hAnsi="Arial" w:cs="Arial"/>
                <w:sz w:val="24"/>
                <w:szCs w:val="24"/>
              </w:rPr>
              <w:t>52%</w:t>
            </w:r>
          </w:p>
        </w:tc>
        <w:tc>
          <w:tcPr>
            <w:tcW w:w="1353" w:type="dxa"/>
            <w:vAlign w:val="center"/>
          </w:tcPr>
          <w:p w14:paraId="44EE3495" w14:textId="0EB1CEB9" w:rsidR="00E236A0" w:rsidRDefault="00872397">
            <w:pPr>
              <w:jc w:val="center"/>
              <w:rPr>
                <w:rFonts w:ascii="Arial" w:hAnsi="Arial" w:cs="Arial"/>
                <w:sz w:val="24"/>
                <w:szCs w:val="24"/>
              </w:rPr>
            </w:pPr>
            <w:r>
              <w:rPr>
                <w:rFonts w:ascii="Arial" w:hAnsi="Arial" w:cs="Arial"/>
                <w:sz w:val="24"/>
                <w:szCs w:val="24"/>
              </w:rPr>
              <w:t>52%</w:t>
            </w:r>
          </w:p>
        </w:tc>
        <w:tc>
          <w:tcPr>
            <w:tcW w:w="1353" w:type="dxa"/>
            <w:vAlign w:val="center"/>
          </w:tcPr>
          <w:p w14:paraId="01642275" w14:textId="00EE398F" w:rsidR="00E236A0" w:rsidRDefault="00872397">
            <w:pPr>
              <w:jc w:val="center"/>
              <w:rPr>
                <w:rFonts w:ascii="Arial" w:hAnsi="Arial" w:cs="Arial"/>
                <w:sz w:val="24"/>
                <w:szCs w:val="24"/>
              </w:rPr>
            </w:pPr>
            <w:r>
              <w:rPr>
                <w:rFonts w:ascii="Arial" w:hAnsi="Arial" w:cs="Arial"/>
                <w:sz w:val="24"/>
                <w:szCs w:val="24"/>
              </w:rPr>
              <w:t>56%</w:t>
            </w:r>
          </w:p>
        </w:tc>
      </w:tr>
      <w:tr w:rsidR="00E236A0" w14:paraId="5813FADF" w14:textId="77777777">
        <w:tc>
          <w:tcPr>
            <w:tcW w:w="4957" w:type="dxa"/>
          </w:tcPr>
          <w:p w14:paraId="5335C08A" w14:textId="2798D7D4" w:rsidR="00E236A0" w:rsidRDefault="008C06C9">
            <w:pPr>
              <w:rPr>
                <w:rFonts w:ascii="Arial" w:hAnsi="Arial" w:cs="Arial"/>
                <w:sz w:val="24"/>
                <w:szCs w:val="24"/>
              </w:rPr>
            </w:pPr>
            <w:r>
              <w:rPr>
                <w:rFonts w:ascii="Arial" w:hAnsi="Arial" w:cs="Arial"/>
                <w:sz w:val="24"/>
                <w:szCs w:val="24"/>
              </w:rPr>
              <w:t xml:space="preserve">My Manager </w:t>
            </w:r>
            <w:r w:rsidR="00C5735F">
              <w:rPr>
                <w:rFonts w:ascii="Arial" w:hAnsi="Arial" w:cs="Arial"/>
                <w:sz w:val="24"/>
                <w:szCs w:val="24"/>
              </w:rPr>
              <w:t>People Survey Score</w:t>
            </w:r>
          </w:p>
        </w:tc>
        <w:tc>
          <w:tcPr>
            <w:tcW w:w="1353" w:type="dxa"/>
            <w:vAlign w:val="center"/>
          </w:tcPr>
          <w:p w14:paraId="50284DAA" w14:textId="2BC5582B" w:rsidR="00E236A0" w:rsidRDefault="00C5735F">
            <w:pPr>
              <w:jc w:val="center"/>
              <w:rPr>
                <w:rFonts w:ascii="Arial" w:hAnsi="Arial" w:cs="Arial"/>
                <w:sz w:val="24"/>
                <w:szCs w:val="24"/>
              </w:rPr>
            </w:pPr>
            <w:r>
              <w:rPr>
                <w:rFonts w:ascii="Arial" w:hAnsi="Arial" w:cs="Arial"/>
                <w:sz w:val="24"/>
                <w:szCs w:val="24"/>
              </w:rPr>
              <w:t>83%</w:t>
            </w:r>
          </w:p>
        </w:tc>
        <w:tc>
          <w:tcPr>
            <w:tcW w:w="1353" w:type="dxa"/>
            <w:vAlign w:val="center"/>
          </w:tcPr>
          <w:p w14:paraId="3538634D" w14:textId="6C88F2ED" w:rsidR="00E236A0" w:rsidRDefault="00C5735F">
            <w:pPr>
              <w:jc w:val="center"/>
              <w:rPr>
                <w:rFonts w:ascii="Arial" w:hAnsi="Arial" w:cs="Arial"/>
                <w:sz w:val="24"/>
                <w:szCs w:val="24"/>
              </w:rPr>
            </w:pPr>
            <w:r>
              <w:rPr>
                <w:rFonts w:ascii="Arial" w:hAnsi="Arial" w:cs="Arial"/>
                <w:sz w:val="24"/>
                <w:szCs w:val="24"/>
              </w:rPr>
              <w:t>82%</w:t>
            </w:r>
          </w:p>
        </w:tc>
        <w:tc>
          <w:tcPr>
            <w:tcW w:w="1353" w:type="dxa"/>
            <w:vAlign w:val="center"/>
          </w:tcPr>
          <w:p w14:paraId="4F465411" w14:textId="51342155" w:rsidR="00E236A0" w:rsidRDefault="00C5735F">
            <w:pPr>
              <w:jc w:val="center"/>
              <w:rPr>
                <w:rFonts w:ascii="Arial" w:hAnsi="Arial" w:cs="Arial"/>
                <w:sz w:val="24"/>
                <w:szCs w:val="24"/>
              </w:rPr>
            </w:pPr>
            <w:r>
              <w:rPr>
                <w:rFonts w:ascii="Arial" w:hAnsi="Arial" w:cs="Arial"/>
                <w:sz w:val="24"/>
                <w:szCs w:val="24"/>
              </w:rPr>
              <w:t>82%</w:t>
            </w:r>
          </w:p>
        </w:tc>
      </w:tr>
      <w:tr w:rsidR="00872397" w14:paraId="1C86F2F7" w14:textId="77777777">
        <w:tc>
          <w:tcPr>
            <w:tcW w:w="4957" w:type="dxa"/>
          </w:tcPr>
          <w:p w14:paraId="2CE248A2" w14:textId="1DBBB64B" w:rsidR="00872397" w:rsidRDefault="00215677">
            <w:pPr>
              <w:rPr>
                <w:rFonts w:ascii="Arial" w:hAnsi="Arial" w:cs="Arial"/>
                <w:sz w:val="24"/>
                <w:szCs w:val="24"/>
              </w:rPr>
            </w:pPr>
            <w:r>
              <w:rPr>
                <w:rFonts w:ascii="Arial" w:hAnsi="Arial" w:cs="Arial"/>
                <w:sz w:val="24"/>
                <w:szCs w:val="24"/>
              </w:rPr>
              <w:t>Employee Engagement People Survey Score</w:t>
            </w:r>
          </w:p>
        </w:tc>
        <w:tc>
          <w:tcPr>
            <w:tcW w:w="1353" w:type="dxa"/>
            <w:vAlign w:val="center"/>
          </w:tcPr>
          <w:p w14:paraId="00092D6C" w14:textId="07521A85" w:rsidR="00872397" w:rsidRDefault="00215677">
            <w:pPr>
              <w:jc w:val="center"/>
              <w:rPr>
                <w:rFonts w:ascii="Arial" w:hAnsi="Arial" w:cs="Arial"/>
                <w:sz w:val="24"/>
                <w:szCs w:val="24"/>
              </w:rPr>
            </w:pPr>
            <w:r>
              <w:rPr>
                <w:rFonts w:ascii="Arial" w:hAnsi="Arial" w:cs="Arial"/>
                <w:sz w:val="24"/>
                <w:szCs w:val="24"/>
              </w:rPr>
              <w:t>60%</w:t>
            </w:r>
          </w:p>
        </w:tc>
        <w:tc>
          <w:tcPr>
            <w:tcW w:w="1353" w:type="dxa"/>
            <w:vAlign w:val="center"/>
          </w:tcPr>
          <w:p w14:paraId="7B202F0B" w14:textId="650D31AA" w:rsidR="00872397" w:rsidRDefault="00215677">
            <w:pPr>
              <w:jc w:val="center"/>
              <w:rPr>
                <w:rFonts w:ascii="Arial" w:hAnsi="Arial" w:cs="Arial"/>
                <w:sz w:val="24"/>
                <w:szCs w:val="24"/>
              </w:rPr>
            </w:pPr>
            <w:r>
              <w:rPr>
                <w:rFonts w:ascii="Arial" w:hAnsi="Arial" w:cs="Arial"/>
                <w:sz w:val="24"/>
                <w:szCs w:val="24"/>
              </w:rPr>
              <w:t>59%</w:t>
            </w:r>
          </w:p>
        </w:tc>
        <w:tc>
          <w:tcPr>
            <w:tcW w:w="1353" w:type="dxa"/>
            <w:vAlign w:val="center"/>
          </w:tcPr>
          <w:p w14:paraId="1CB9BCA6" w14:textId="262B9D70" w:rsidR="00872397" w:rsidRDefault="00215677">
            <w:pPr>
              <w:jc w:val="center"/>
              <w:rPr>
                <w:rFonts w:ascii="Arial" w:hAnsi="Arial" w:cs="Arial"/>
                <w:sz w:val="24"/>
                <w:szCs w:val="24"/>
              </w:rPr>
            </w:pPr>
            <w:r>
              <w:rPr>
                <w:rFonts w:ascii="Arial" w:hAnsi="Arial" w:cs="Arial"/>
                <w:sz w:val="24"/>
                <w:szCs w:val="24"/>
              </w:rPr>
              <w:t>62%</w:t>
            </w:r>
          </w:p>
        </w:tc>
      </w:tr>
      <w:tr w:rsidR="00872397" w14:paraId="5B8D6138" w14:textId="77777777">
        <w:tc>
          <w:tcPr>
            <w:tcW w:w="4957" w:type="dxa"/>
          </w:tcPr>
          <w:p w14:paraId="1CEAD062" w14:textId="4A3F4854" w:rsidR="00872397" w:rsidRDefault="000B2D8F">
            <w:pPr>
              <w:rPr>
                <w:rFonts w:ascii="Arial" w:hAnsi="Arial" w:cs="Arial"/>
                <w:sz w:val="24"/>
                <w:szCs w:val="24"/>
              </w:rPr>
            </w:pPr>
            <w:r>
              <w:rPr>
                <w:rFonts w:ascii="Arial" w:hAnsi="Arial" w:cs="Arial"/>
                <w:sz w:val="24"/>
                <w:szCs w:val="24"/>
              </w:rPr>
              <w:t xml:space="preserve">Percentage of roles filled against </w:t>
            </w:r>
            <w:r w:rsidR="006C4FE4">
              <w:rPr>
                <w:rFonts w:ascii="Arial" w:hAnsi="Arial" w:cs="Arial"/>
                <w:sz w:val="24"/>
                <w:szCs w:val="24"/>
              </w:rPr>
              <w:t>our resourcing profiles</w:t>
            </w:r>
          </w:p>
        </w:tc>
        <w:tc>
          <w:tcPr>
            <w:tcW w:w="1353" w:type="dxa"/>
            <w:vAlign w:val="center"/>
          </w:tcPr>
          <w:p w14:paraId="7748F579" w14:textId="28481D9E" w:rsidR="00872397" w:rsidRDefault="006C4FE4">
            <w:pPr>
              <w:jc w:val="center"/>
              <w:rPr>
                <w:rFonts w:ascii="Arial" w:hAnsi="Arial" w:cs="Arial"/>
                <w:sz w:val="24"/>
                <w:szCs w:val="24"/>
              </w:rPr>
            </w:pPr>
            <w:r>
              <w:rPr>
                <w:rFonts w:ascii="Arial" w:hAnsi="Arial" w:cs="Arial"/>
                <w:sz w:val="24"/>
                <w:szCs w:val="24"/>
              </w:rPr>
              <w:t>99%</w:t>
            </w:r>
          </w:p>
        </w:tc>
        <w:tc>
          <w:tcPr>
            <w:tcW w:w="1353" w:type="dxa"/>
            <w:vAlign w:val="center"/>
          </w:tcPr>
          <w:p w14:paraId="44FE13CD" w14:textId="61B0D203" w:rsidR="00872397" w:rsidRDefault="006C4FE4">
            <w:pPr>
              <w:jc w:val="center"/>
              <w:rPr>
                <w:rFonts w:ascii="Arial" w:hAnsi="Arial" w:cs="Arial"/>
                <w:sz w:val="24"/>
                <w:szCs w:val="24"/>
              </w:rPr>
            </w:pPr>
            <w:r>
              <w:rPr>
                <w:rFonts w:ascii="Arial" w:hAnsi="Arial" w:cs="Arial"/>
                <w:sz w:val="24"/>
                <w:szCs w:val="24"/>
              </w:rPr>
              <w:t>99%</w:t>
            </w:r>
          </w:p>
        </w:tc>
        <w:tc>
          <w:tcPr>
            <w:tcW w:w="1353" w:type="dxa"/>
            <w:vAlign w:val="center"/>
          </w:tcPr>
          <w:p w14:paraId="624A683A" w14:textId="71A504FF" w:rsidR="00872397" w:rsidRDefault="006C4FE4">
            <w:pPr>
              <w:jc w:val="center"/>
              <w:rPr>
                <w:rFonts w:ascii="Arial" w:hAnsi="Arial" w:cs="Arial"/>
                <w:sz w:val="24"/>
                <w:szCs w:val="24"/>
              </w:rPr>
            </w:pPr>
            <w:r>
              <w:rPr>
                <w:rFonts w:ascii="Arial" w:hAnsi="Arial" w:cs="Arial"/>
                <w:sz w:val="24"/>
                <w:szCs w:val="24"/>
              </w:rPr>
              <w:t>-</w:t>
            </w:r>
          </w:p>
        </w:tc>
      </w:tr>
      <w:tr w:rsidR="00872397" w14:paraId="2C1AB740" w14:textId="77777777">
        <w:tc>
          <w:tcPr>
            <w:tcW w:w="4957" w:type="dxa"/>
          </w:tcPr>
          <w:p w14:paraId="6FBEBDD7" w14:textId="73CC248F" w:rsidR="00872397" w:rsidRDefault="006C4FE4">
            <w:pPr>
              <w:rPr>
                <w:rFonts w:ascii="Arial" w:hAnsi="Arial" w:cs="Arial"/>
                <w:sz w:val="24"/>
                <w:szCs w:val="24"/>
              </w:rPr>
            </w:pPr>
            <w:r>
              <w:rPr>
                <w:rFonts w:ascii="Arial" w:hAnsi="Arial" w:cs="Arial"/>
                <w:sz w:val="24"/>
                <w:szCs w:val="24"/>
              </w:rPr>
              <w:t>Staff Attrition</w:t>
            </w:r>
          </w:p>
        </w:tc>
        <w:tc>
          <w:tcPr>
            <w:tcW w:w="1353" w:type="dxa"/>
            <w:vAlign w:val="center"/>
          </w:tcPr>
          <w:p w14:paraId="0385CE81" w14:textId="63B98A1C" w:rsidR="00872397" w:rsidRDefault="006C4FE4">
            <w:pPr>
              <w:jc w:val="center"/>
              <w:rPr>
                <w:rFonts w:ascii="Arial" w:hAnsi="Arial" w:cs="Arial"/>
                <w:sz w:val="24"/>
                <w:szCs w:val="24"/>
              </w:rPr>
            </w:pPr>
            <w:r>
              <w:rPr>
                <w:rFonts w:ascii="Arial" w:hAnsi="Arial" w:cs="Arial"/>
                <w:sz w:val="24"/>
                <w:szCs w:val="24"/>
              </w:rPr>
              <w:t>10.4%</w:t>
            </w:r>
          </w:p>
        </w:tc>
        <w:tc>
          <w:tcPr>
            <w:tcW w:w="1353" w:type="dxa"/>
            <w:vAlign w:val="center"/>
          </w:tcPr>
          <w:p w14:paraId="3F4FE5D5" w14:textId="6C6C7F90" w:rsidR="00872397" w:rsidRDefault="006C4FE4">
            <w:pPr>
              <w:jc w:val="center"/>
              <w:rPr>
                <w:rFonts w:ascii="Arial" w:hAnsi="Arial" w:cs="Arial"/>
                <w:sz w:val="24"/>
                <w:szCs w:val="24"/>
              </w:rPr>
            </w:pPr>
            <w:r>
              <w:rPr>
                <w:rFonts w:ascii="Arial" w:hAnsi="Arial" w:cs="Arial"/>
                <w:sz w:val="24"/>
                <w:szCs w:val="24"/>
              </w:rPr>
              <w:t>10.8%</w:t>
            </w:r>
          </w:p>
        </w:tc>
        <w:tc>
          <w:tcPr>
            <w:tcW w:w="1353" w:type="dxa"/>
            <w:vAlign w:val="center"/>
          </w:tcPr>
          <w:p w14:paraId="7730F457" w14:textId="5A911EC1" w:rsidR="00872397" w:rsidRDefault="006C4FE4">
            <w:pPr>
              <w:jc w:val="center"/>
              <w:rPr>
                <w:rFonts w:ascii="Arial" w:hAnsi="Arial" w:cs="Arial"/>
                <w:sz w:val="24"/>
                <w:szCs w:val="24"/>
              </w:rPr>
            </w:pPr>
            <w:r>
              <w:rPr>
                <w:rFonts w:ascii="Arial" w:hAnsi="Arial" w:cs="Arial"/>
                <w:sz w:val="24"/>
                <w:szCs w:val="24"/>
              </w:rPr>
              <w:t>10.6%</w:t>
            </w:r>
          </w:p>
        </w:tc>
      </w:tr>
      <w:tr w:rsidR="00872397" w14:paraId="3708A473" w14:textId="77777777">
        <w:tc>
          <w:tcPr>
            <w:tcW w:w="4957" w:type="dxa"/>
          </w:tcPr>
          <w:p w14:paraId="245AA739" w14:textId="7CA71746" w:rsidR="00872397" w:rsidRDefault="00C42679">
            <w:pPr>
              <w:rPr>
                <w:rFonts w:ascii="Arial" w:hAnsi="Arial" w:cs="Arial"/>
                <w:sz w:val="24"/>
                <w:szCs w:val="24"/>
              </w:rPr>
            </w:pPr>
            <w:r>
              <w:rPr>
                <w:rFonts w:ascii="Arial" w:hAnsi="Arial" w:cs="Arial"/>
                <w:sz w:val="24"/>
                <w:szCs w:val="24"/>
              </w:rPr>
              <w:t>100%</w:t>
            </w:r>
            <w:r w:rsidR="003C74AE">
              <w:rPr>
                <w:rFonts w:ascii="Arial" w:hAnsi="Arial" w:cs="Arial"/>
                <w:sz w:val="24"/>
                <w:szCs w:val="24"/>
              </w:rPr>
              <w:t xml:space="preserve"> of in</w:t>
            </w:r>
            <w:r w:rsidR="00230B34">
              <w:rPr>
                <w:rFonts w:ascii="Arial" w:hAnsi="Arial" w:cs="Arial"/>
                <w:sz w:val="24"/>
                <w:szCs w:val="24"/>
              </w:rPr>
              <w:t xml:space="preserve"> </w:t>
            </w:r>
            <w:r w:rsidR="003C74AE">
              <w:rPr>
                <w:rFonts w:ascii="Arial" w:hAnsi="Arial" w:cs="Arial"/>
                <w:sz w:val="24"/>
                <w:szCs w:val="24"/>
              </w:rPr>
              <w:t>scope procurement activities including Social Value and Environmental Sustainability criteria</w:t>
            </w:r>
            <w:r w:rsidR="00230B34">
              <w:rPr>
                <w:rFonts w:ascii="Arial" w:hAnsi="Arial" w:cs="Arial"/>
                <w:sz w:val="24"/>
                <w:szCs w:val="24"/>
              </w:rPr>
              <w:t xml:space="preserve"> at a minimum of 10% of actual score</w:t>
            </w:r>
          </w:p>
        </w:tc>
        <w:tc>
          <w:tcPr>
            <w:tcW w:w="1353" w:type="dxa"/>
            <w:vAlign w:val="center"/>
          </w:tcPr>
          <w:p w14:paraId="44CE07D4" w14:textId="68309D4A" w:rsidR="00872397" w:rsidRDefault="003C7B52">
            <w:pPr>
              <w:jc w:val="center"/>
              <w:rPr>
                <w:rFonts w:ascii="Arial" w:hAnsi="Arial" w:cs="Arial"/>
                <w:sz w:val="24"/>
                <w:szCs w:val="24"/>
              </w:rPr>
            </w:pPr>
            <w:r>
              <w:rPr>
                <w:rFonts w:ascii="Arial" w:hAnsi="Arial" w:cs="Arial"/>
                <w:sz w:val="24"/>
                <w:szCs w:val="24"/>
              </w:rPr>
              <w:t>100%</w:t>
            </w:r>
          </w:p>
        </w:tc>
        <w:tc>
          <w:tcPr>
            <w:tcW w:w="1353" w:type="dxa"/>
            <w:vAlign w:val="center"/>
          </w:tcPr>
          <w:p w14:paraId="2F0F2CDA" w14:textId="780A14DB" w:rsidR="00872397" w:rsidRDefault="003C7B52">
            <w:pPr>
              <w:jc w:val="center"/>
              <w:rPr>
                <w:rFonts w:ascii="Arial" w:hAnsi="Arial" w:cs="Arial"/>
                <w:sz w:val="24"/>
                <w:szCs w:val="24"/>
              </w:rPr>
            </w:pPr>
            <w:r>
              <w:rPr>
                <w:rFonts w:ascii="Arial" w:hAnsi="Arial" w:cs="Arial"/>
                <w:sz w:val="24"/>
                <w:szCs w:val="24"/>
              </w:rPr>
              <w:t>100%</w:t>
            </w:r>
          </w:p>
        </w:tc>
        <w:tc>
          <w:tcPr>
            <w:tcW w:w="1353" w:type="dxa"/>
            <w:vAlign w:val="center"/>
          </w:tcPr>
          <w:p w14:paraId="7438830E" w14:textId="35CF1024" w:rsidR="00872397" w:rsidRDefault="003C7B52">
            <w:pPr>
              <w:jc w:val="center"/>
              <w:rPr>
                <w:rFonts w:ascii="Arial" w:hAnsi="Arial" w:cs="Arial"/>
                <w:sz w:val="24"/>
                <w:szCs w:val="24"/>
              </w:rPr>
            </w:pPr>
            <w:r>
              <w:rPr>
                <w:rFonts w:ascii="Arial" w:hAnsi="Arial" w:cs="Arial"/>
                <w:sz w:val="24"/>
                <w:szCs w:val="24"/>
              </w:rPr>
              <w:t>-</w:t>
            </w:r>
          </w:p>
        </w:tc>
      </w:tr>
      <w:tr w:rsidR="00872397" w14:paraId="716DEB5C" w14:textId="77777777">
        <w:tc>
          <w:tcPr>
            <w:tcW w:w="4957" w:type="dxa"/>
          </w:tcPr>
          <w:p w14:paraId="25AD0DAA" w14:textId="229024EA" w:rsidR="00872397" w:rsidRDefault="003C7B52">
            <w:pPr>
              <w:rPr>
                <w:rFonts w:ascii="Arial" w:hAnsi="Arial" w:cs="Arial"/>
                <w:sz w:val="24"/>
                <w:szCs w:val="24"/>
              </w:rPr>
            </w:pPr>
            <w:r>
              <w:rPr>
                <w:rFonts w:ascii="Arial" w:hAnsi="Arial" w:cs="Arial"/>
                <w:sz w:val="24"/>
                <w:szCs w:val="24"/>
              </w:rPr>
              <w:t xml:space="preserve">Operational energy consumption and associated </w:t>
            </w:r>
            <w:r w:rsidR="005C47B8">
              <w:rPr>
                <w:rFonts w:ascii="Arial" w:hAnsi="Arial" w:cs="Arial"/>
                <w:sz w:val="24"/>
                <w:szCs w:val="24"/>
              </w:rPr>
              <w:t>carbon emissions</w:t>
            </w:r>
            <w:r w:rsidR="005376B2">
              <w:rPr>
                <w:rFonts w:ascii="Arial" w:hAnsi="Arial" w:cs="Arial"/>
                <w:sz w:val="24"/>
                <w:szCs w:val="24"/>
              </w:rPr>
              <w:t xml:space="preserve"> (baseline established this year)</w:t>
            </w:r>
          </w:p>
        </w:tc>
        <w:tc>
          <w:tcPr>
            <w:tcW w:w="1353" w:type="dxa"/>
            <w:vAlign w:val="center"/>
          </w:tcPr>
          <w:p w14:paraId="7AF209F9" w14:textId="5DBB6147" w:rsidR="00872397" w:rsidRDefault="504AB462">
            <w:pPr>
              <w:jc w:val="center"/>
            </w:pPr>
            <w:r w:rsidRPr="13B870A9">
              <w:rPr>
                <w:rFonts w:ascii="Arial" w:hAnsi="Arial" w:cs="Arial"/>
                <w:sz w:val="24"/>
                <w:szCs w:val="24"/>
              </w:rPr>
              <w:t>347.47 tonnes CO2e</w:t>
            </w:r>
          </w:p>
        </w:tc>
        <w:tc>
          <w:tcPr>
            <w:tcW w:w="1353" w:type="dxa"/>
            <w:vAlign w:val="center"/>
          </w:tcPr>
          <w:p w14:paraId="32757FC8" w14:textId="7C58C1D3" w:rsidR="00872397" w:rsidRDefault="005C47B8">
            <w:pPr>
              <w:jc w:val="center"/>
              <w:rPr>
                <w:rFonts w:ascii="Arial" w:hAnsi="Arial" w:cs="Arial"/>
                <w:sz w:val="24"/>
                <w:szCs w:val="24"/>
              </w:rPr>
            </w:pPr>
            <w:r>
              <w:rPr>
                <w:rFonts w:ascii="Arial" w:hAnsi="Arial" w:cs="Arial"/>
                <w:sz w:val="24"/>
                <w:szCs w:val="24"/>
              </w:rPr>
              <w:t>-</w:t>
            </w:r>
          </w:p>
        </w:tc>
        <w:tc>
          <w:tcPr>
            <w:tcW w:w="1353" w:type="dxa"/>
            <w:vAlign w:val="center"/>
          </w:tcPr>
          <w:p w14:paraId="60B3EBE7" w14:textId="7410A659" w:rsidR="00872397" w:rsidRDefault="005C47B8">
            <w:pPr>
              <w:jc w:val="center"/>
              <w:rPr>
                <w:rFonts w:ascii="Arial" w:hAnsi="Arial" w:cs="Arial"/>
                <w:sz w:val="24"/>
                <w:szCs w:val="24"/>
              </w:rPr>
            </w:pPr>
            <w:r>
              <w:rPr>
                <w:rFonts w:ascii="Arial" w:hAnsi="Arial" w:cs="Arial"/>
                <w:sz w:val="24"/>
                <w:szCs w:val="24"/>
              </w:rPr>
              <w:t>-</w:t>
            </w:r>
          </w:p>
        </w:tc>
      </w:tr>
    </w:tbl>
    <w:p w14:paraId="015F6487" w14:textId="77777777" w:rsidR="005376B2" w:rsidRDefault="005376B2" w:rsidP="000D0E96">
      <w:pPr>
        <w:rPr>
          <w:rFonts w:ascii="Arial" w:hAnsi="Arial" w:cs="Arial"/>
          <w:color w:val="4472C4" w:themeColor="accent1"/>
          <w:sz w:val="24"/>
          <w:szCs w:val="24"/>
        </w:rPr>
      </w:pPr>
    </w:p>
    <w:p w14:paraId="660DF3B9" w14:textId="0EE4FA34" w:rsidR="00E236A0" w:rsidRDefault="00256FC7" w:rsidP="004919D3">
      <w:pPr>
        <w:pStyle w:val="Heading4"/>
        <w:rPr>
          <w:rFonts w:cs="Arial"/>
          <w:color w:val="4472C4" w:themeColor="accent1"/>
          <w:sz w:val="24"/>
          <w:szCs w:val="24"/>
        </w:rPr>
      </w:pPr>
      <w:r>
        <w:t>Performance analysis</w:t>
      </w:r>
    </w:p>
    <w:p w14:paraId="530B03C6" w14:textId="67F3D134" w:rsidR="00256FC7" w:rsidRDefault="00256FC7" w:rsidP="004919D3">
      <w:pPr>
        <w:pStyle w:val="Heading4"/>
        <w:rPr>
          <w:rFonts w:cs="Arial"/>
          <w:b w:val="0"/>
          <w:sz w:val="24"/>
          <w:szCs w:val="24"/>
        </w:rPr>
      </w:pPr>
      <w:r>
        <w:t>People Survey</w:t>
      </w:r>
    </w:p>
    <w:p w14:paraId="162EA5E3" w14:textId="2A5C35DD" w:rsidR="00256FC7" w:rsidRDefault="003772E7" w:rsidP="000D0E96">
      <w:pPr>
        <w:rPr>
          <w:rFonts w:ascii="Arial" w:hAnsi="Arial" w:cs="Arial"/>
          <w:sz w:val="24"/>
          <w:szCs w:val="24"/>
        </w:rPr>
      </w:pPr>
      <w:r>
        <w:rPr>
          <w:rFonts w:ascii="Arial" w:hAnsi="Arial" w:cs="Arial"/>
          <w:sz w:val="24"/>
          <w:szCs w:val="24"/>
        </w:rPr>
        <w:t xml:space="preserve">The annual Civil Service People Survey looks at civil servants’ attitudes to, and experience of working in government departments. </w:t>
      </w:r>
      <w:r w:rsidR="00586A44">
        <w:rPr>
          <w:rFonts w:ascii="Arial" w:hAnsi="Arial" w:cs="Arial"/>
          <w:sz w:val="24"/>
          <w:szCs w:val="24"/>
        </w:rPr>
        <w:t>Our</w:t>
      </w:r>
      <w:r w:rsidR="00681E75">
        <w:rPr>
          <w:rFonts w:ascii="Arial" w:hAnsi="Arial" w:cs="Arial"/>
          <w:sz w:val="24"/>
          <w:szCs w:val="24"/>
        </w:rPr>
        <w:t xml:space="preserve"> response rate to the survey was 77% compared to 65% for the Civil Service as a whole.</w:t>
      </w:r>
      <w:r w:rsidR="00586A44">
        <w:rPr>
          <w:rFonts w:ascii="Arial" w:hAnsi="Arial" w:cs="Arial"/>
          <w:sz w:val="24"/>
          <w:szCs w:val="24"/>
        </w:rPr>
        <w:t xml:space="preserve"> Of the nine survey themes, we were equal</w:t>
      </w:r>
      <w:r w:rsidR="00D6278B">
        <w:rPr>
          <w:rFonts w:ascii="Arial" w:hAnsi="Arial" w:cs="Arial"/>
          <w:sz w:val="24"/>
          <w:szCs w:val="24"/>
        </w:rPr>
        <w:t xml:space="preserve"> to or above</w:t>
      </w:r>
      <w:r w:rsidR="006F744F">
        <w:rPr>
          <w:rFonts w:ascii="Arial" w:hAnsi="Arial" w:cs="Arial"/>
          <w:sz w:val="24"/>
          <w:szCs w:val="24"/>
        </w:rPr>
        <w:t xml:space="preserve"> the Civil Service benchmark in eight themes</w:t>
      </w:r>
      <w:r w:rsidR="0004757C">
        <w:rPr>
          <w:rFonts w:ascii="Arial" w:hAnsi="Arial" w:cs="Arial"/>
          <w:sz w:val="24"/>
          <w:szCs w:val="24"/>
        </w:rPr>
        <w:t xml:space="preserve"> and equal to or above in four of the High Scoring benchmarks.</w:t>
      </w:r>
      <w:r w:rsidR="00BF64CD">
        <w:rPr>
          <w:rFonts w:ascii="Arial" w:hAnsi="Arial" w:cs="Arial"/>
          <w:sz w:val="24"/>
          <w:szCs w:val="24"/>
        </w:rPr>
        <w:t xml:space="preserve"> </w:t>
      </w:r>
      <w:r w:rsidR="001115FD">
        <w:rPr>
          <w:rFonts w:ascii="Arial" w:hAnsi="Arial" w:cs="Arial"/>
          <w:sz w:val="24"/>
          <w:szCs w:val="24"/>
        </w:rPr>
        <w:t>W</w:t>
      </w:r>
      <w:r w:rsidR="00BF64CD">
        <w:rPr>
          <w:rFonts w:ascii="Arial" w:hAnsi="Arial" w:cs="Arial"/>
          <w:sz w:val="24"/>
          <w:szCs w:val="24"/>
        </w:rPr>
        <w:t>hen comparing the results with last year’s survey</w:t>
      </w:r>
      <w:r w:rsidR="00226A78">
        <w:rPr>
          <w:rFonts w:ascii="Arial" w:hAnsi="Arial" w:cs="Arial"/>
          <w:sz w:val="24"/>
          <w:szCs w:val="24"/>
        </w:rPr>
        <w:t xml:space="preserve">, we showed an increase in eight themes </w:t>
      </w:r>
      <w:r w:rsidR="001115FD">
        <w:rPr>
          <w:rFonts w:ascii="Arial" w:hAnsi="Arial" w:cs="Arial"/>
          <w:sz w:val="24"/>
          <w:szCs w:val="24"/>
        </w:rPr>
        <w:t>and there was one decrease</w:t>
      </w:r>
      <w:r w:rsidR="00D737CE">
        <w:rPr>
          <w:rFonts w:ascii="Arial" w:hAnsi="Arial" w:cs="Arial"/>
          <w:sz w:val="24"/>
          <w:szCs w:val="24"/>
        </w:rPr>
        <w:t xml:space="preserve"> </w:t>
      </w:r>
      <w:r w:rsidR="023B768B" w:rsidRPr="55E51C0E">
        <w:rPr>
          <w:rFonts w:ascii="Arial" w:hAnsi="Arial" w:cs="Arial"/>
          <w:sz w:val="24"/>
          <w:szCs w:val="24"/>
        </w:rPr>
        <w:t xml:space="preserve">in relation to </w:t>
      </w:r>
      <w:r w:rsidR="023B768B" w:rsidRPr="22690D18">
        <w:rPr>
          <w:rFonts w:ascii="Arial" w:hAnsi="Arial" w:cs="Arial"/>
          <w:sz w:val="24"/>
          <w:szCs w:val="24"/>
        </w:rPr>
        <w:t>‘resources and workload’</w:t>
      </w:r>
      <w:r w:rsidR="001115FD" w:rsidRPr="22690D18">
        <w:rPr>
          <w:rFonts w:ascii="Arial" w:hAnsi="Arial" w:cs="Arial"/>
          <w:sz w:val="24"/>
          <w:szCs w:val="24"/>
        </w:rPr>
        <w:t>.</w:t>
      </w:r>
    </w:p>
    <w:p w14:paraId="73F23DAB" w14:textId="18B97571" w:rsidR="00FB0666" w:rsidRDefault="00E17805" w:rsidP="00AB55C1">
      <w:pPr>
        <w:jc w:val="center"/>
        <w:rPr>
          <w:rFonts w:ascii="Arial" w:hAnsi="Arial" w:cs="Arial"/>
          <w:sz w:val="24"/>
          <w:szCs w:val="24"/>
        </w:rPr>
      </w:pPr>
      <w:r>
        <w:rPr>
          <w:noProof/>
        </w:rPr>
        <w:drawing>
          <wp:inline distT="0" distB="0" distL="0" distR="0" wp14:anchorId="7F191CFB" wp14:editId="1A1E9AC2">
            <wp:extent cx="5622925" cy="2800350"/>
            <wp:effectExtent l="0" t="0" r="15875" b="0"/>
            <wp:docPr id="24" name="Chart 24">
              <a:extLst xmlns:a="http://schemas.openxmlformats.org/drawingml/2006/main">
                <a:ext uri="{FF2B5EF4-FFF2-40B4-BE49-F238E27FC236}">
                  <a16:creationId xmlns:a16="http://schemas.microsoft.com/office/drawing/2014/main" id="{38F03006-6C1F-4E05-A29C-1F5E30B4B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3EC55A" w14:textId="1874BDD2" w:rsidR="00FB0666" w:rsidRPr="00FB0666" w:rsidRDefault="00A0307C" w:rsidP="000D0E96">
      <w:pPr>
        <w:rPr>
          <w:rFonts w:ascii="Arial" w:hAnsi="Arial" w:cs="Arial"/>
          <w:sz w:val="18"/>
          <w:szCs w:val="18"/>
        </w:rPr>
      </w:pPr>
      <w:r>
        <w:rPr>
          <w:rFonts w:ascii="Arial" w:hAnsi="Arial" w:cs="Arial"/>
          <w:sz w:val="18"/>
          <w:szCs w:val="18"/>
        </w:rPr>
        <w:t>The change in percentage of favourable responses between the 2022 and 2023 People Survey</w:t>
      </w:r>
      <w:r w:rsidR="00D2223F">
        <w:rPr>
          <w:rFonts w:ascii="Arial" w:hAnsi="Arial" w:cs="Arial"/>
          <w:sz w:val="18"/>
          <w:szCs w:val="18"/>
        </w:rPr>
        <w:t xml:space="preserve"> across the nine themes.</w:t>
      </w:r>
    </w:p>
    <w:p w14:paraId="010DB4E0" w14:textId="1DDB227B" w:rsidR="001115FD" w:rsidRDefault="001115FD" w:rsidP="000D0E96">
      <w:pPr>
        <w:rPr>
          <w:rFonts w:ascii="Arial" w:hAnsi="Arial" w:cs="Arial"/>
          <w:sz w:val="24"/>
          <w:szCs w:val="24"/>
        </w:rPr>
      </w:pPr>
      <w:r>
        <w:rPr>
          <w:rFonts w:ascii="Arial" w:hAnsi="Arial" w:cs="Arial"/>
          <w:sz w:val="24"/>
          <w:szCs w:val="24"/>
        </w:rPr>
        <w:lastRenderedPageBreak/>
        <w:t xml:space="preserve">The overall engagement score </w:t>
      </w:r>
      <w:r w:rsidR="00E26E13">
        <w:rPr>
          <w:rFonts w:ascii="Arial" w:hAnsi="Arial" w:cs="Arial"/>
          <w:sz w:val="24"/>
          <w:szCs w:val="24"/>
        </w:rPr>
        <w:t>increased from 2022 from 59% to 60% against a target of 65%.</w:t>
      </w:r>
      <w:r w:rsidR="00F76857">
        <w:rPr>
          <w:rFonts w:ascii="Arial" w:hAnsi="Arial" w:cs="Arial"/>
          <w:sz w:val="24"/>
          <w:szCs w:val="24"/>
        </w:rPr>
        <w:t xml:space="preserve"> The Civil Service overall score and benchmark was 64%.</w:t>
      </w:r>
    </w:p>
    <w:p w14:paraId="4E4975AF" w14:textId="30B48C70" w:rsidR="00A47858" w:rsidRDefault="00A47858" w:rsidP="000D0E96">
      <w:pPr>
        <w:rPr>
          <w:rFonts w:ascii="Arial" w:hAnsi="Arial" w:cs="Arial"/>
          <w:sz w:val="24"/>
          <w:szCs w:val="24"/>
        </w:rPr>
      </w:pPr>
      <w:r w:rsidRPr="272D4469">
        <w:rPr>
          <w:rFonts w:ascii="Arial" w:hAnsi="Arial" w:cs="Arial"/>
          <w:sz w:val="24"/>
          <w:szCs w:val="24"/>
        </w:rPr>
        <w:t xml:space="preserve">The </w:t>
      </w:r>
      <w:r w:rsidR="0BB3A22E" w:rsidRPr="272D4469">
        <w:rPr>
          <w:rFonts w:ascii="Arial" w:hAnsi="Arial" w:cs="Arial"/>
          <w:sz w:val="24"/>
          <w:szCs w:val="24"/>
        </w:rPr>
        <w:t>A</w:t>
      </w:r>
      <w:r w:rsidRPr="272D4469">
        <w:rPr>
          <w:rFonts w:ascii="Arial" w:hAnsi="Arial" w:cs="Arial"/>
          <w:sz w:val="24"/>
          <w:szCs w:val="24"/>
        </w:rPr>
        <w:t>gency performs well in areas associated with performance recognition</w:t>
      </w:r>
      <w:r w:rsidR="003E68CE" w:rsidRPr="272D4469">
        <w:rPr>
          <w:rFonts w:ascii="Arial" w:hAnsi="Arial" w:cs="Arial"/>
          <w:sz w:val="24"/>
          <w:szCs w:val="24"/>
        </w:rPr>
        <w:t xml:space="preserve">. </w:t>
      </w:r>
      <w:r w:rsidR="00ED6E1C" w:rsidRPr="272D4469">
        <w:rPr>
          <w:rFonts w:ascii="Arial" w:hAnsi="Arial" w:cs="Arial"/>
          <w:sz w:val="24"/>
          <w:szCs w:val="24"/>
        </w:rPr>
        <w:t xml:space="preserve">Our survey leadership ratings increased </w:t>
      </w:r>
      <w:r w:rsidR="0007703A" w:rsidRPr="272D4469">
        <w:rPr>
          <w:rFonts w:ascii="Arial" w:hAnsi="Arial" w:cs="Arial"/>
          <w:sz w:val="24"/>
          <w:szCs w:val="24"/>
        </w:rPr>
        <w:t>this year following our investment in leadership development</w:t>
      </w:r>
      <w:r w:rsidR="00FC6779" w:rsidRPr="272D4469">
        <w:rPr>
          <w:rFonts w:ascii="Arial" w:hAnsi="Arial" w:cs="Arial"/>
          <w:sz w:val="24"/>
          <w:szCs w:val="24"/>
        </w:rPr>
        <w:t xml:space="preserve"> and we expect further increases next year following the extension of our leadership programme to 300 more</w:t>
      </w:r>
      <w:r w:rsidR="007A5F94" w:rsidRPr="272D4469">
        <w:rPr>
          <w:rFonts w:ascii="Arial" w:hAnsi="Arial" w:cs="Arial"/>
          <w:sz w:val="24"/>
          <w:szCs w:val="24"/>
        </w:rPr>
        <w:t xml:space="preserve"> of our managers.</w:t>
      </w:r>
    </w:p>
    <w:p w14:paraId="65445B93" w14:textId="06CB2019" w:rsidR="00206C58" w:rsidRDefault="00206C58" w:rsidP="000D0E96">
      <w:pPr>
        <w:rPr>
          <w:rFonts w:ascii="Arial" w:hAnsi="Arial" w:cs="Arial"/>
          <w:sz w:val="24"/>
          <w:szCs w:val="24"/>
        </w:rPr>
      </w:pPr>
      <w:r w:rsidRPr="3F087844">
        <w:rPr>
          <w:rFonts w:ascii="Arial" w:hAnsi="Arial" w:cs="Arial"/>
          <w:sz w:val="24"/>
          <w:szCs w:val="24"/>
        </w:rPr>
        <w:t xml:space="preserve">We are developing an action plan to focus on improving key areas </w:t>
      </w:r>
      <w:r w:rsidR="00587875" w:rsidRPr="3F087844">
        <w:rPr>
          <w:rFonts w:ascii="Arial" w:hAnsi="Arial" w:cs="Arial"/>
          <w:sz w:val="24"/>
          <w:szCs w:val="24"/>
        </w:rPr>
        <w:t xml:space="preserve">that will be most impactful on both our performance and our people. </w:t>
      </w:r>
      <w:r w:rsidR="002B17C6" w:rsidRPr="3F087844">
        <w:rPr>
          <w:rFonts w:ascii="Arial" w:hAnsi="Arial" w:cs="Arial"/>
          <w:sz w:val="24"/>
          <w:szCs w:val="24"/>
        </w:rPr>
        <w:t>It</w:t>
      </w:r>
      <w:r w:rsidR="00610379" w:rsidRPr="3F087844">
        <w:rPr>
          <w:rFonts w:ascii="Arial" w:hAnsi="Arial" w:cs="Arial"/>
          <w:sz w:val="24"/>
          <w:szCs w:val="24"/>
        </w:rPr>
        <w:t xml:space="preserve"> include</w:t>
      </w:r>
      <w:r w:rsidR="002B17C6" w:rsidRPr="3F087844">
        <w:rPr>
          <w:rFonts w:ascii="Arial" w:hAnsi="Arial" w:cs="Arial"/>
          <w:sz w:val="24"/>
          <w:szCs w:val="24"/>
        </w:rPr>
        <w:t>s</w:t>
      </w:r>
      <w:r w:rsidR="00ED5BC6" w:rsidRPr="3F087844">
        <w:rPr>
          <w:rFonts w:ascii="Arial" w:hAnsi="Arial" w:cs="Arial"/>
          <w:sz w:val="24"/>
          <w:szCs w:val="24"/>
        </w:rPr>
        <w:t xml:space="preserve"> a variety of directorate specific actions and </w:t>
      </w:r>
      <w:r w:rsidR="00CC7FF2" w:rsidRPr="3F087844">
        <w:rPr>
          <w:rFonts w:ascii="Arial" w:hAnsi="Arial" w:cs="Arial"/>
          <w:sz w:val="24"/>
          <w:szCs w:val="24"/>
        </w:rPr>
        <w:t>three</w:t>
      </w:r>
      <w:r w:rsidR="00ED5BC6" w:rsidRPr="3F087844">
        <w:rPr>
          <w:rFonts w:ascii="Arial" w:hAnsi="Arial" w:cs="Arial"/>
          <w:sz w:val="24"/>
          <w:szCs w:val="24"/>
        </w:rPr>
        <w:t xml:space="preserve"> key areas for focus across the </w:t>
      </w:r>
      <w:r w:rsidR="06839242" w:rsidRPr="3F087844">
        <w:rPr>
          <w:rFonts w:ascii="Arial" w:hAnsi="Arial" w:cs="Arial"/>
          <w:sz w:val="24"/>
          <w:szCs w:val="24"/>
        </w:rPr>
        <w:t>Agency</w:t>
      </w:r>
      <w:r w:rsidR="00ED5BC6" w:rsidRPr="3F087844">
        <w:rPr>
          <w:rFonts w:ascii="Arial" w:hAnsi="Arial" w:cs="Arial"/>
          <w:sz w:val="24"/>
          <w:szCs w:val="24"/>
        </w:rPr>
        <w:t xml:space="preserve"> (Pay, Technology and Leadership and Managing Change). </w:t>
      </w:r>
      <w:r w:rsidR="00587875" w:rsidRPr="3F087844">
        <w:rPr>
          <w:rFonts w:ascii="Arial" w:hAnsi="Arial" w:cs="Arial"/>
          <w:sz w:val="24"/>
          <w:szCs w:val="24"/>
        </w:rPr>
        <w:t xml:space="preserve">Progress will be monitored </w:t>
      </w:r>
      <w:r w:rsidR="005C3CDA" w:rsidRPr="3F087844">
        <w:rPr>
          <w:rFonts w:ascii="Arial" w:hAnsi="Arial" w:cs="Arial"/>
          <w:sz w:val="24"/>
          <w:szCs w:val="24"/>
        </w:rPr>
        <w:t>by our People Committee throughout ne</w:t>
      </w:r>
      <w:r w:rsidR="00FE17CC" w:rsidRPr="3F087844">
        <w:rPr>
          <w:rFonts w:ascii="Arial" w:hAnsi="Arial" w:cs="Arial"/>
          <w:sz w:val="24"/>
          <w:szCs w:val="24"/>
        </w:rPr>
        <w:t>x</w:t>
      </w:r>
      <w:r w:rsidR="005C3CDA" w:rsidRPr="3F087844">
        <w:rPr>
          <w:rFonts w:ascii="Arial" w:hAnsi="Arial" w:cs="Arial"/>
          <w:sz w:val="24"/>
          <w:szCs w:val="24"/>
        </w:rPr>
        <w:t>t year.</w:t>
      </w:r>
    </w:p>
    <w:p w14:paraId="531029CA" w14:textId="3A574799" w:rsidR="00207834" w:rsidRDefault="00163F18" w:rsidP="000D0E96">
      <w:pPr>
        <w:rPr>
          <w:rFonts w:ascii="Arial" w:hAnsi="Arial" w:cs="Arial"/>
          <w:sz w:val="24"/>
          <w:szCs w:val="24"/>
        </w:rPr>
      </w:pPr>
      <w:r>
        <w:rPr>
          <w:rFonts w:ascii="Arial" w:hAnsi="Arial" w:cs="Arial"/>
          <w:sz w:val="24"/>
          <w:szCs w:val="24"/>
        </w:rPr>
        <w:t xml:space="preserve">The People Survey </w:t>
      </w:r>
      <w:r w:rsidR="009342CB">
        <w:rPr>
          <w:rFonts w:ascii="Arial" w:hAnsi="Arial" w:cs="Arial"/>
          <w:sz w:val="24"/>
          <w:szCs w:val="24"/>
        </w:rPr>
        <w:t>results h</w:t>
      </w:r>
      <w:r w:rsidR="00EA1D41">
        <w:rPr>
          <w:rFonts w:ascii="Arial" w:hAnsi="Arial" w:cs="Arial"/>
          <w:sz w:val="24"/>
          <w:szCs w:val="24"/>
        </w:rPr>
        <w:t>elp inform our thinking on employee engagement</w:t>
      </w:r>
      <w:r w:rsidR="001C7D5C">
        <w:rPr>
          <w:rFonts w:ascii="Arial" w:hAnsi="Arial" w:cs="Arial"/>
          <w:sz w:val="24"/>
          <w:szCs w:val="24"/>
        </w:rPr>
        <w:t xml:space="preserve"> and </w:t>
      </w:r>
      <w:r w:rsidR="00EE558C">
        <w:rPr>
          <w:rFonts w:ascii="Arial" w:hAnsi="Arial" w:cs="Arial"/>
          <w:sz w:val="24"/>
          <w:szCs w:val="24"/>
        </w:rPr>
        <w:t>the initi</w:t>
      </w:r>
      <w:r w:rsidR="00A1743E">
        <w:rPr>
          <w:rFonts w:ascii="Arial" w:hAnsi="Arial" w:cs="Arial"/>
          <w:sz w:val="24"/>
          <w:szCs w:val="24"/>
        </w:rPr>
        <w:t xml:space="preserve">atives we put in place are driven by our commitment </w:t>
      </w:r>
      <w:r w:rsidR="00D37F8C">
        <w:rPr>
          <w:rFonts w:ascii="Arial" w:hAnsi="Arial" w:cs="Arial"/>
          <w:sz w:val="24"/>
          <w:szCs w:val="24"/>
        </w:rPr>
        <w:t xml:space="preserve">to make the </w:t>
      </w:r>
      <w:r w:rsidR="00021B1A">
        <w:rPr>
          <w:rFonts w:ascii="Arial" w:hAnsi="Arial" w:cs="Arial"/>
          <w:sz w:val="24"/>
          <w:szCs w:val="24"/>
        </w:rPr>
        <w:t>Agency a great place to work.</w:t>
      </w:r>
      <w:r w:rsidR="00BC3060">
        <w:rPr>
          <w:rFonts w:ascii="Arial" w:hAnsi="Arial" w:cs="Arial"/>
          <w:sz w:val="24"/>
          <w:szCs w:val="24"/>
        </w:rPr>
        <w:t xml:space="preserve"> </w:t>
      </w:r>
      <w:r w:rsidR="004A184C">
        <w:rPr>
          <w:rFonts w:ascii="Arial" w:hAnsi="Arial" w:cs="Arial"/>
          <w:sz w:val="24"/>
          <w:szCs w:val="24"/>
        </w:rPr>
        <w:t xml:space="preserve">One of these initiatives </w:t>
      </w:r>
      <w:r w:rsidR="000D5628">
        <w:rPr>
          <w:rFonts w:ascii="Arial" w:hAnsi="Arial" w:cs="Arial"/>
          <w:sz w:val="24"/>
          <w:szCs w:val="24"/>
        </w:rPr>
        <w:t xml:space="preserve">was the introduction of Calling all </w:t>
      </w:r>
      <w:r w:rsidR="005F68DF">
        <w:rPr>
          <w:rFonts w:ascii="Arial" w:hAnsi="Arial" w:cs="Arial"/>
          <w:sz w:val="24"/>
          <w:szCs w:val="24"/>
        </w:rPr>
        <w:t xml:space="preserve">Colleagues sessions where all our people </w:t>
      </w:r>
      <w:r w:rsidR="0040471A">
        <w:rPr>
          <w:rFonts w:ascii="Arial" w:hAnsi="Arial" w:cs="Arial"/>
          <w:sz w:val="24"/>
          <w:szCs w:val="24"/>
        </w:rPr>
        <w:t xml:space="preserve">can tune in and hear updates </w:t>
      </w:r>
      <w:r w:rsidR="000C11EA">
        <w:rPr>
          <w:rFonts w:ascii="Arial" w:hAnsi="Arial" w:cs="Arial"/>
          <w:sz w:val="24"/>
          <w:szCs w:val="24"/>
        </w:rPr>
        <w:t xml:space="preserve">from our </w:t>
      </w:r>
      <w:r w:rsidR="00B952A8">
        <w:rPr>
          <w:rFonts w:ascii="Arial" w:hAnsi="Arial" w:cs="Arial"/>
          <w:sz w:val="24"/>
          <w:szCs w:val="24"/>
        </w:rPr>
        <w:t>Executive Leadership Team</w:t>
      </w:r>
      <w:r w:rsidR="00897EE6">
        <w:rPr>
          <w:rFonts w:ascii="Arial" w:hAnsi="Arial" w:cs="Arial"/>
          <w:sz w:val="24"/>
          <w:szCs w:val="24"/>
        </w:rPr>
        <w:t xml:space="preserve"> as well as subject matter experts</w:t>
      </w:r>
      <w:r w:rsidR="005B3978">
        <w:rPr>
          <w:rFonts w:ascii="Arial" w:hAnsi="Arial" w:cs="Arial"/>
          <w:sz w:val="24"/>
          <w:szCs w:val="24"/>
        </w:rPr>
        <w:t xml:space="preserve">. They also include a </w:t>
      </w:r>
      <w:r w:rsidR="00BB1CC9">
        <w:rPr>
          <w:rFonts w:ascii="Arial" w:hAnsi="Arial" w:cs="Arial"/>
          <w:sz w:val="24"/>
          <w:szCs w:val="24"/>
        </w:rPr>
        <w:t xml:space="preserve">live </w:t>
      </w:r>
      <w:r w:rsidR="00D43627">
        <w:rPr>
          <w:rFonts w:ascii="Arial" w:hAnsi="Arial" w:cs="Arial"/>
          <w:sz w:val="24"/>
          <w:szCs w:val="24"/>
        </w:rPr>
        <w:t>‘Q</w:t>
      </w:r>
      <w:r w:rsidR="005B3978">
        <w:rPr>
          <w:rFonts w:ascii="Arial" w:hAnsi="Arial" w:cs="Arial"/>
          <w:sz w:val="24"/>
          <w:szCs w:val="24"/>
        </w:rPr>
        <w:t xml:space="preserve">uestion and </w:t>
      </w:r>
      <w:r w:rsidR="00D43627">
        <w:rPr>
          <w:rFonts w:ascii="Arial" w:hAnsi="Arial" w:cs="Arial"/>
          <w:sz w:val="24"/>
          <w:szCs w:val="24"/>
        </w:rPr>
        <w:t>A</w:t>
      </w:r>
      <w:r w:rsidR="005B3978">
        <w:rPr>
          <w:rFonts w:ascii="Arial" w:hAnsi="Arial" w:cs="Arial"/>
          <w:sz w:val="24"/>
          <w:szCs w:val="24"/>
        </w:rPr>
        <w:t>nswer</w:t>
      </w:r>
      <w:r w:rsidR="00D43627">
        <w:rPr>
          <w:rFonts w:ascii="Arial" w:hAnsi="Arial" w:cs="Arial"/>
          <w:sz w:val="24"/>
          <w:szCs w:val="24"/>
        </w:rPr>
        <w:t>’</w:t>
      </w:r>
      <w:r w:rsidR="005B3978">
        <w:rPr>
          <w:rFonts w:ascii="Arial" w:hAnsi="Arial" w:cs="Arial"/>
          <w:sz w:val="24"/>
          <w:szCs w:val="24"/>
        </w:rPr>
        <w:t xml:space="preserve"> session</w:t>
      </w:r>
      <w:r w:rsidR="006D1430">
        <w:rPr>
          <w:rFonts w:ascii="Arial" w:hAnsi="Arial" w:cs="Arial"/>
          <w:sz w:val="24"/>
          <w:szCs w:val="24"/>
        </w:rPr>
        <w:t xml:space="preserve"> where </w:t>
      </w:r>
      <w:r w:rsidR="00275D24">
        <w:rPr>
          <w:rFonts w:ascii="Arial" w:hAnsi="Arial" w:cs="Arial"/>
          <w:sz w:val="24"/>
          <w:szCs w:val="24"/>
        </w:rPr>
        <w:t xml:space="preserve">people are encouraged to </w:t>
      </w:r>
      <w:r w:rsidR="00893241">
        <w:rPr>
          <w:rFonts w:ascii="Arial" w:hAnsi="Arial" w:cs="Arial"/>
          <w:sz w:val="24"/>
          <w:szCs w:val="24"/>
        </w:rPr>
        <w:t>ask questions on a range of subjects.</w:t>
      </w:r>
    </w:p>
    <w:p w14:paraId="46C82F35" w14:textId="40C9CEF6" w:rsidR="009C4B52" w:rsidRDefault="00644041" w:rsidP="004919D3">
      <w:pPr>
        <w:pStyle w:val="Heading4"/>
        <w:rPr>
          <w:rFonts w:cs="Arial"/>
          <w:b w:val="0"/>
          <w:sz w:val="24"/>
          <w:szCs w:val="24"/>
        </w:rPr>
      </w:pPr>
      <w:r>
        <w:t>Improving capability and professionalism</w:t>
      </w:r>
    </w:p>
    <w:p w14:paraId="2B94FD45" w14:textId="472D0823" w:rsidR="00644041" w:rsidRDefault="00134C20" w:rsidP="000D0E96">
      <w:pPr>
        <w:rPr>
          <w:rFonts w:ascii="Arial" w:hAnsi="Arial" w:cs="Arial"/>
          <w:sz w:val="24"/>
          <w:szCs w:val="24"/>
        </w:rPr>
      </w:pPr>
      <w:r>
        <w:rPr>
          <w:rFonts w:ascii="Arial" w:hAnsi="Arial" w:cs="Arial"/>
          <w:sz w:val="24"/>
          <w:szCs w:val="24"/>
        </w:rPr>
        <w:t xml:space="preserve">The skills tool has now been </w:t>
      </w:r>
      <w:r w:rsidR="00FB7137">
        <w:rPr>
          <w:rFonts w:ascii="Arial" w:hAnsi="Arial" w:cs="Arial"/>
          <w:sz w:val="24"/>
          <w:szCs w:val="24"/>
        </w:rPr>
        <w:t>in use since April 2023</w:t>
      </w:r>
      <w:r w:rsidR="00EB6218">
        <w:rPr>
          <w:rFonts w:ascii="Arial" w:hAnsi="Arial" w:cs="Arial"/>
          <w:sz w:val="24"/>
          <w:szCs w:val="24"/>
        </w:rPr>
        <w:t xml:space="preserve"> and is providing </w:t>
      </w:r>
      <w:r w:rsidR="005C588F">
        <w:rPr>
          <w:rFonts w:ascii="Arial" w:hAnsi="Arial" w:cs="Arial"/>
          <w:sz w:val="24"/>
          <w:szCs w:val="24"/>
        </w:rPr>
        <w:t>a rich source of data on individual</w:t>
      </w:r>
      <w:r w:rsidR="001C57BC">
        <w:rPr>
          <w:rFonts w:ascii="Arial" w:hAnsi="Arial" w:cs="Arial"/>
          <w:sz w:val="24"/>
          <w:szCs w:val="24"/>
        </w:rPr>
        <w:t>, team and directorate level capability</w:t>
      </w:r>
      <w:r w:rsidR="00EB2F54">
        <w:rPr>
          <w:rFonts w:ascii="Arial" w:hAnsi="Arial" w:cs="Arial"/>
          <w:sz w:val="24"/>
          <w:szCs w:val="24"/>
        </w:rPr>
        <w:t xml:space="preserve"> and development activities</w:t>
      </w:r>
      <w:r w:rsidR="00773DD2">
        <w:rPr>
          <w:rFonts w:ascii="Arial" w:hAnsi="Arial" w:cs="Arial"/>
          <w:sz w:val="24"/>
          <w:szCs w:val="24"/>
        </w:rPr>
        <w:t xml:space="preserve"> which feeds into </w:t>
      </w:r>
      <w:r w:rsidR="00A064BC">
        <w:rPr>
          <w:rFonts w:ascii="Arial" w:hAnsi="Arial" w:cs="Arial"/>
          <w:sz w:val="24"/>
          <w:szCs w:val="24"/>
        </w:rPr>
        <w:t>directorate capability and strategic workforce plans.</w:t>
      </w:r>
    </w:p>
    <w:p w14:paraId="38012AD9" w14:textId="4A9EA691" w:rsidR="00A064BC" w:rsidRDefault="0006469A" w:rsidP="000D0E96">
      <w:pPr>
        <w:rPr>
          <w:rFonts w:ascii="Arial" w:hAnsi="Arial" w:cs="Arial"/>
          <w:sz w:val="24"/>
          <w:szCs w:val="24"/>
        </w:rPr>
      </w:pPr>
      <w:r>
        <w:rPr>
          <w:rFonts w:ascii="Arial" w:hAnsi="Arial" w:cs="Arial"/>
          <w:sz w:val="24"/>
          <w:szCs w:val="24"/>
        </w:rPr>
        <w:t>The tool has given us centralised access to data previously unrecorded and the search functionality</w:t>
      </w:r>
      <w:r w:rsidR="000C1CD3">
        <w:rPr>
          <w:rFonts w:ascii="Arial" w:hAnsi="Arial" w:cs="Arial"/>
          <w:sz w:val="24"/>
          <w:szCs w:val="24"/>
        </w:rPr>
        <w:t xml:space="preserve"> has been successfully used to identify skilled individuals for lateral moves to support business priorities and increase the flexibility of the Agency.</w:t>
      </w:r>
    </w:p>
    <w:p w14:paraId="58C6B5FE" w14:textId="2346C2FF" w:rsidR="00957E67" w:rsidRDefault="00F12198" w:rsidP="000D0E96">
      <w:pPr>
        <w:rPr>
          <w:rFonts w:ascii="Arial" w:hAnsi="Arial" w:cs="Arial"/>
          <w:sz w:val="24"/>
          <w:szCs w:val="24"/>
        </w:rPr>
      </w:pPr>
      <w:r>
        <w:rPr>
          <w:rFonts w:ascii="Arial" w:hAnsi="Arial" w:cs="Arial"/>
          <w:noProof/>
          <w:color w:val="2B579A"/>
          <w:sz w:val="24"/>
          <w:szCs w:val="24"/>
          <w:shd w:val="clear" w:color="auto" w:fill="E6E6E6"/>
        </w:rPr>
        <mc:AlternateContent>
          <mc:Choice Requires="wps">
            <w:drawing>
              <wp:anchor distT="0" distB="0" distL="114300" distR="114300" simplePos="0" relativeHeight="251658246" behindDoc="0" locked="0" layoutInCell="1" allowOverlap="1" wp14:anchorId="0BFCE1E8" wp14:editId="7875C5B3">
                <wp:simplePos x="0" y="0"/>
                <wp:positionH relativeFrom="margin">
                  <wp:align>left</wp:align>
                </wp:positionH>
                <wp:positionV relativeFrom="paragraph">
                  <wp:posOffset>7831</wp:posOffset>
                </wp:positionV>
                <wp:extent cx="5981700" cy="17430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5981700" cy="1743075"/>
                        </a:xfrm>
                        <a:prstGeom prst="rect">
                          <a:avLst/>
                        </a:prstGeom>
                        <a:solidFill>
                          <a:srgbClr val="4472C4"/>
                        </a:solidFill>
                        <a:ln w="12700" cap="flat" cmpd="sng" algn="ctr">
                          <a:solidFill>
                            <a:srgbClr val="4472C4">
                              <a:shade val="15000"/>
                            </a:srgbClr>
                          </a:solidFill>
                          <a:prstDash val="solid"/>
                          <a:miter lim="800000"/>
                        </a:ln>
                        <a:effectLst/>
                      </wps:spPr>
                      <wps:txbx>
                        <w:txbxContent>
                          <w:p w14:paraId="0AAADBC1" w14:textId="64CD58A8" w:rsidR="0090477A" w:rsidRDefault="00055CB9" w:rsidP="0090477A">
                            <w:pPr>
                              <w:rPr>
                                <w:rFonts w:ascii="Arial" w:hAnsi="Arial" w:cs="Arial"/>
                                <w:b/>
                                <w:bCs/>
                                <w:color w:val="FFFFFF" w:themeColor="background1"/>
                                <w:sz w:val="24"/>
                                <w:szCs w:val="24"/>
                              </w:rPr>
                            </w:pPr>
                            <w:r>
                              <w:rPr>
                                <w:rFonts w:ascii="Arial" w:hAnsi="Arial" w:cs="Arial"/>
                                <w:b/>
                                <w:bCs/>
                                <w:color w:val="FFFFFF" w:themeColor="background1"/>
                                <w:sz w:val="24"/>
                                <w:szCs w:val="24"/>
                              </w:rPr>
                              <w:t>Our skills tool in action</w:t>
                            </w:r>
                          </w:p>
                          <w:p w14:paraId="777216F0" w14:textId="3005D224" w:rsidR="00C756BD" w:rsidRPr="00C756BD" w:rsidRDefault="00C756BD" w:rsidP="0090477A">
                            <w:pPr>
                              <w:rPr>
                                <w:rFonts w:ascii="Arial" w:hAnsi="Arial" w:cs="Arial"/>
                                <w:color w:val="FFFFFF" w:themeColor="background1"/>
                                <w:sz w:val="24"/>
                                <w:szCs w:val="24"/>
                              </w:rPr>
                            </w:pPr>
                            <w:r>
                              <w:rPr>
                                <w:rFonts w:ascii="Arial" w:hAnsi="Arial" w:cs="Arial"/>
                                <w:color w:val="FFFFFF" w:themeColor="background1"/>
                                <w:sz w:val="24"/>
                                <w:szCs w:val="24"/>
                              </w:rPr>
                              <w:t xml:space="preserve">We used the tool </w:t>
                            </w:r>
                            <w:r w:rsidR="00D16188">
                              <w:rPr>
                                <w:rFonts w:ascii="Arial" w:hAnsi="Arial" w:cs="Arial"/>
                                <w:color w:val="FFFFFF" w:themeColor="background1"/>
                                <w:sz w:val="24"/>
                                <w:szCs w:val="24"/>
                              </w:rPr>
                              <w:t xml:space="preserve">to identify people in our </w:t>
                            </w:r>
                            <w:r w:rsidR="00A4238E">
                              <w:rPr>
                                <w:rFonts w:ascii="Arial" w:hAnsi="Arial" w:cs="Arial"/>
                                <w:color w:val="FFFFFF" w:themeColor="background1"/>
                                <w:sz w:val="24"/>
                                <w:szCs w:val="24"/>
                              </w:rPr>
                              <w:t>I</w:t>
                            </w:r>
                            <w:r w:rsidR="00D16188">
                              <w:rPr>
                                <w:rFonts w:ascii="Arial" w:hAnsi="Arial" w:cs="Arial"/>
                                <w:color w:val="FFFFFF" w:themeColor="background1"/>
                                <w:sz w:val="24"/>
                                <w:szCs w:val="24"/>
                              </w:rPr>
                              <w:t xml:space="preserve">nvestigation and </w:t>
                            </w:r>
                            <w:r w:rsidR="00A4238E">
                              <w:rPr>
                                <w:rFonts w:ascii="Arial" w:hAnsi="Arial" w:cs="Arial"/>
                                <w:color w:val="FFFFFF" w:themeColor="background1"/>
                                <w:sz w:val="24"/>
                                <w:szCs w:val="24"/>
                              </w:rPr>
                              <w:t>E</w:t>
                            </w:r>
                            <w:r w:rsidR="00D16188">
                              <w:rPr>
                                <w:rFonts w:ascii="Arial" w:hAnsi="Arial" w:cs="Arial"/>
                                <w:color w:val="FFFFFF" w:themeColor="background1"/>
                                <w:sz w:val="24"/>
                                <w:szCs w:val="24"/>
                              </w:rPr>
                              <w:t xml:space="preserve">nforcement </w:t>
                            </w:r>
                            <w:r w:rsidR="00A4238E">
                              <w:rPr>
                                <w:rFonts w:ascii="Arial" w:hAnsi="Arial" w:cs="Arial"/>
                                <w:color w:val="FFFFFF" w:themeColor="background1"/>
                                <w:sz w:val="24"/>
                                <w:szCs w:val="24"/>
                              </w:rPr>
                              <w:t>t</w:t>
                            </w:r>
                            <w:r w:rsidR="00D16188">
                              <w:rPr>
                                <w:rFonts w:ascii="Arial" w:hAnsi="Arial" w:cs="Arial"/>
                                <w:color w:val="FFFFFF" w:themeColor="background1"/>
                                <w:sz w:val="24"/>
                                <w:szCs w:val="24"/>
                              </w:rPr>
                              <w:t xml:space="preserve">eams who had previously qualified as </w:t>
                            </w:r>
                            <w:r w:rsidR="00D67C89">
                              <w:rPr>
                                <w:rFonts w:ascii="Arial" w:hAnsi="Arial" w:cs="Arial"/>
                                <w:color w:val="FFFFFF" w:themeColor="background1"/>
                                <w:sz w:val="24"/>
                                <w:szCs w:val="24"/>
                              </w:rPr>
                              <w:t>insolvency examiners</w:t>
                            </w:r>
                            <w:r w:rsidR="003E1B60">
                              <w:rPr>
                                <w:rFonts w:ascii="Arial" w:hAnsi="Arial" w:cs="Arial"/>
                                <w:color w:val="FFFFFF" w:themeColor="background1"/>
                                <w:sz w:val="24"/>
                                <w:szCs w:val="24"/>
                              </w:rPr>
                              <w:t xml:space="preserve"> and who could be redeployed at short notice</w:t>
                            </w:r>
                            <w:r w:rsidR="006421DD">
                              <w:rPr>
                                <w:rFonts w:ascii="Arial" w:hAnsi="Arial" w:cs="Arial"/>
                                <w:color w:val="FFFFFF" w:themeColor="background1"/>
                                <w:sz w:val="24"/>
                                <w:szCs w:val="24"/>
                              </w:rPr>
                              <w:t xml:space="preserve"> to help de</w:t>
                            </w:r>
                            <w:r w:rsidR="00836E40">
                              <w:rPr>
                                <w:rFonts w:ascii="Arial" w:hAnsi="Arial" w:cs="Arial"/>
                                <w:color w:val="FFFFFF" w:themeColor="background1"/>
                                <w:sz w:val="24"/>
                                <w:szCs w:val="24"/>
                              </w:rPr>
                              <w:t>a</w:t>
                            </w:r>
                            <w:r w:rsidR="006421DD">
                              <w:rPr>
                                <w:rFonts w:ascii="Arial" w:hAnsi="Arial" w:cs="Arial"/>
                                <w:color w:val="FFFFFF" w:themeColor="background1"/>
                                <w:sz w:val="24"/>
                                <w:szCs w:val="24"/>
                              </w:rPr>
                              <w:t>l with a peak in casework in our Official Receiver</w:t>
                            </w:r>
                            <w:r w:rsidR="00F27B39">
                              <w:rPr>
                                <w:rFonts w:ascii="Arial" w:hAnsi="Arial" w:cs="Arial"/>
                                <w:color w:val="FFFFFF" w:themeColor="background1"/>
                                <w:sz w:val="24"/>
                                <w:szCs w:val="24"/>
                              </w:rPr>
                              <w:t xml:space="preserve"> Services.</w:t>
                            </w:r>
                            <w:r w:rsidR="008070BF">
                              <w:rPr>
                                <w:rFonts w:ascii="Arial" w:hAnsi="Arial" w:cs="Arial"/>
                                <w:color w:val="FFFFFF" w:themeColor="background1"/>
                                <w:sz w:val="24"/>
                                <w:szCs w:val="24"/>
                              </w:rPr>
                              <w:t xml:space="preserve"> The data held enabled </w:t>
                            </w:r>
                            <w:r w:rsidR="002341C1">
                              <w:rPr>
                                <w:rFonts w:ascii="Arial" w:hAnsi="Arial" w:cs="Arial"/>
                                <w:color w:val="FFFFFF" w:themeColor="background1"/>
                                <w:sz w:val="24"/>
                                <w:szCs w:val="24"/>
                              </w:rPr>
                              <w:t>us to understand who was in scope, their current grade, team and location</w:t>
                            </w:r>
                            <w:r w:rsidR="00AE478B">
                              <w:rPr>
                                <w:rFonts w:ascii="Arial" w:hAnsi="Arial" w:cs="Arial"/>
                                <w:color w:val="FFFFFF" w:themeColor="background1"/>
                                <w:sz w:val="24"/>
                                <w:szCs w:val="24"/>
                              </w:rPr>
                              <w:t xml:space="preserve">. We identified 20 people </w:t>
                            </w:r>
                            <w:r w:rsidR="00D95E7A">
                              <w:rPr>
                                <w:rFonts w:ascii="Arial" w:hAnsi="Arial" w:cs="Arial"/>
                                <w:color w:val="FFFFFF" w:themeColor="background1"/>
                                <w:sz w:val="24"/>
                                <w:szCs w:val="24"/>
                              </w:rPr>
                              <w:t>who could be released whilst minimising the impact on</w:t>
                            </w:r>
                            <w:r w:rsidR="00343F43">
                              <w:rPr>
                                <w:rFonts w:ascii="Arial" w:hAnsi="Arial" w:cs="Arial"/>
                                <w:color w:val="FFFFFF" w:themeColor="background1"/>
                                <w:sz w:val="24"/>
                                <w:szCs w:val="24"/>
                              </w:rPr>
                              <w:t xml:space="preserve"> our </w:t>
                            </w:r>
                            <w:r w:rsidR="004F0228">
                              <w:rPr>
                                <w:rFonts w:ascii="Arial" w:hAnsi="Arial" w:cs="Arial"/>
                                <w:color w:val="FFFFFF" w:themeColor="background1"/>
                                <w:sz w:val="24"/>
                                <w:szCs w:val="24"/>
                              </w:rPr>
                              <w:t xml:space="preserve">investigation </w:t>
                            </w:r>
                            <w:r w:rsidR="006A1AF9">
                              <w:rPr>
                                <w:rFonts w:ascii="Arial" w:hAnsi="Arial" w:cs="Arial"/>
                                <w:color w:val="FFFFFF" w:themeColor="background1"/>
                                <w:sz w:val="24"/>
                                <w:szCs w:val="24"/>
                              </w:rPr>
                              <w:t>teams’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FCE1E8" id="Rectangle 11" o:spid="_x0000_s1036" style="position:absolute;margin-left:0;margin-top:.6pt;width:471pt;height:137.25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" fillcolor="#4472c4" strokecolor="#172c51" strokeweight="1pt">
                <v:textbox>
                  <w:txbxContent>
                    <w:p w14:paraId="0AAADBC1" w14:textId="64CD58A8" w:rsidR="0090477A" w:rsidRDefault="00055CB9" w:rsidP="0090477A">
                      <w:pPr>
                        <w:rPr>
                          <w:rFonts w:ascii="Arial" w:hAnsi="Arial" w:cs="Arial"/>
                          <w:b/>
                          <w:bCs/>
                          <w:color w:val="FFFFFF" w:themeColor="background1"/>
                          <w:sz w:val="24"/>
                          <w:szCs w:val="24"/>
                        </w:rPr>
                      </w:pPr>
                      <w:r>
                        <w:rPr>
                          <w:rFonts w:ascii="Arial" w:hAnsi="Arial" w:cs="Arial"/>
                          <w:b/>
                          <w:bCs/>
                          <w:color w:val="FFFFFF" w:themeColor="background1"/>
                          <w:sz w:val="24"/>
                          <w:szCs w:val="24"/>
                        </w:rPr>
                        <w:t>Our skills tool in action</w:t>
                      </w:r>
                    </w:p>
                    <w:p w14:paraId="777216F0" w14:textId="3005D224" w:rsidR="00C756BD" w:rsidRPr="00C756BD" w:rsidRDefault="00C756BD" w:rsidP="0090477A">
                      <w:pPr>
                        <w:rPr>
                          <w:rFonts w:ascii="Arial" w:hAnsi="Arial" w:cs="Arial"/>
                          <w:color w:val="FFFFFF" w:themeColor="background1"/>
                          <w:sz w:val="24"/>
                          <w:szCs w:val="24"/>
                        </w:rPr>
                      </w:pPr>
                      <w:r>
                        <w:rPr>
                          <w:rFonts w:ascii="Arial" w:hAnsi="Arial" w:cs="Arial"/>
                          <w:color w:val="FFFFFF" w:themeColor="background1"/>
                          <w:sz w:val="24"/>
                          <w:szCs w:val="24"/>
                        </w:rPr>
                        <w:t xml:space="preserve">We used the tool </w:t>
                      </w:r>
                      <w:r w:rsidR="00D16188">
                        <w:rPr>
                          <w:rFonts w:ascii="Arial" w:hAnsi="Arial" w:cs="Arial"/>
                          <w:color w:val="FFFFFF" w:themeColor="background1"/>
                          <w:sz w:val="24"/>
                          <w:szCs w:val="24"/>
                        </w:rPr>
                        <w:t xml:space="preserve">to identify people in our </w:t>
                      </w:r>
                      <w:r w:rsidR="00A4238E">
                        <w:rPr>
                          <w:rFonts w:ascii="Arial" w:hAnsi="Arial" w:cs="Arial"/>
                          <w:color w:val="FFFFFF" w:themeColor="background1"/>
                          <w:sz w:val="24"/>
                          <w:szCs w:val="24"/>
                        </w:rPr>
                        <w:t>I</w:t>
                      </w:r>
                      <w:r w:rsidR="00D16188">
                        <w:rPr>
                          <w:rFonts w:ascii="Arial" w:hAnsi="Arial" w:cs="Arial"/>
                          <w:color w:val="FFFFFF" w:themeColor="background1"/>
                          <w:sz w:val="24"/>
                          <w:szCs w:val="24"/>
                        </w:rPr>
                        <w:t xml:space="preserve">nvestigation and </w:t>
                      </w:r>
                      <w:r w:rsidR="00A4238E">
                        <w:rPr>
                          <w:rFonts w:ascii="Arial" w:hAnsi="Arial" w:cs="Arial"/>
                          <w:color w:val="FFFFFF" w:themeColor="background1"/>
                          <w:sz w:val="24"/>
                          <w:szCs w:val="24"/>
                        </w:rPr>
                        <w:t>E</w:t>
                      </w:r>
                      <w:r w:rsidR="00D16188">
                        <w:rPr>
                          <w:rFonts w:ascii="Arial" w:hAnsi="Arial" w:cs="Arial"/>
                          <w:color w:val="FFFFFF" w:themeColor="background1"/>
                          <w:sz w:val="24"/>
                          <w:szCs w:val="24"/>
                        </w:rPr>
                        <w:t xml:space="preserve">nforcement </w:t>
                      </w:r>
                      <w:r w:rsidR="00A4238E">
                        <w:rPr>
                          <w:rFonts w:ascii="Arial" w:hAnsi="Arial" w:cs="Arial"/>
                          <w:color w:val="FFFFFF" w:themeColor="background1"/>
                          <w:sz w:val="24"/>
                          <w:szCs w:val="24"/>
                        </w:rPr>
                        <w:t>t</w:t>
                      </w:r>
                      <w:r w:rsidR="00D16188">
                        <w:rPr>
                          <w:rFonts w:ascii="Arial" w:hAnsi="Arial" w:cs="Arial"/>
                          <w:color w:val="FFFFFF" w:themeColor="background1"/>
                          <w:sz w:val="24"/>
                          <w:szCs w:val="24"/>
                        </w:rPr>
                        <w:t xml:space="preserve">eams who had previously qualified as </w:t>
                      </w:r>
                      <w:r w:rsidR="00D67C89">
                        <w:rPr>
                          <w:rFonts w:ascii="Arial" w:hAnsi="Arial" w:cs="Arial"/>
                          <w:color w:val="FFFFFF" w:themeColor="background1"/>
                          <w:sz w:val="24"/>
                          <w:szCs w:val="24"/>
                        </w:rPr>
                        <w:t>insolvency examiners</w:t>
                      </w:r>
                      <w:r w:rsidR="003E1B60">
                        <w:rPr>
                          <w:rFonts w:ascii="Arial" w:hAnsi="Arial" w:cs="Arial"/>
                          <w:color w:val="FFFFFF" w:themeColor="background1"/>
                          <w:sz w:val="24"/>
                          <w:szCs w:val="24"/>
                        </w:rPr>
                        <w:t xml:space="preserve"> and who could be redeployed at short notice</w:t>
                      </w:r>
                      <w:r w:rsidR="006421DD">
                        <w:rPr>
                          <w:rFonts w:ascii="Arial" w:hAnsi="Arial" w:cs="Arial"/>
                          <w:color w:val="FFFFFF" w:themeColor="background1"/>
                          <w:sz w:val="24"/>
                          <w:szCs w:val="24"/>
                        </w:rPr>
                        <w:t xml:space="preserve"> to help de</w:t>
                      </w:r>
                      <w:r w:rsidR="00836E40">
                        <w:rPr>
                          <w:rFonts w:ascii="Arial" w:hAnsi="Arial" w:cs="Arial"/>
                          <w:color w:val="FFFFFF" w:themeColor="background1"/>
                          <w:sz w:val="24"/>
                          <w:szCs w:val="24"/>
                        </w:rPr>
                        <w:t>a</w:t>
                      </w:r>
                      <w:r w:rsidR="006421DD">
                        <w:rPr>
                          <w:rFonts w:ascii="Arial" w:hAnsi="Arial" w:cs="Arial"/>
                          <w:color w:val="FFFFFF" w:themeColor="background1"/>
                          <w:sz w:val="24"/>
                          <w:szCs w:val="24"/>
                        </w:rPr>
                        <w:t>l with a peak in casework in our Official Receiver</w:t>
                      </w:r>
                      <w:r w:rsidR="00F27B39">
                        <w:rPr>
                          <w:rFonts w:ascii="Arial" w:hAnsi="Arial" w:cs="Arial"/>
                          <w:color w:val="FFFFFF" w:themeColor="background1"/>
                          <w:sz w:val="24"/>
                          <w:szCs w:val="24"/>
                        </w:rPr>
                        <w:t xml:space="preserve"> Services.</w:t>
                      </w:r>
                      <w:r w:rsidR="008070BF">
                        <w:rPr>
                          <w:rFonts w:ascii="Arial" w:hAnsi="Arial" w:cs="Arial"/>
                          <w:color w:val="FFFFFF" w:themeColor="background1"/>
                          <w:sz w:val="24"/>
                          <w:szCs w:val="24"/>
                        </w:rPr>
                        <w:t xml:space="preserve"> The data held enabled </w:t>
                      </w:r>
                      <w:r w:rsidR="002341C1">
                        <w:rPr>
                          <w:rFonts w:ascii="Arial" w:hAnsi="Arial" w:cs="Arial"/>
                          <w:color w:val="FFFFFF" w:themeColor="background1"/>
                          <w:sz w:val="24"/>
                          <w:szCs w:val="24"/>
                        </w:rPr>
                        <w:t>us to understand who was in scope, their current grade, team and location</w:t>
                      </w:r>
                      <w:r w:rsidR="00AE478B">
                        <w:rPr>
                          <w:rFonts w:ascii="Arial" w:hAnsi="Arial" w:cs="Arial"/>
                          <w:color w:val="FFFFFF" w:themeColor="background1"/>
                          <w:sz w:val="24"/>
                          <w:szCs w:val="24"/>
                        </w:rPr>
                        <w:t xml:space="preserve">. We identified 20 people </w:t>
                      </w:r>
                      <w:r w:rsidR="00D95E7A">
                        <w:rPr>
                          <w:rFonts w:ascii="Arial" w:hAnsi="Arial" w:cs="Arial"/>
                          <w:color w:val="FFFFFF" w:themeColor="background1"/>
                          <w:sz w:val="24"/>
                          <w:szCs w:val="24"/>
                        </w:rPr>
                        <w:t>who could be released whilst minimising the impact on</w:t>
                      </w:r>
                      <w:r w:rsidR="00343F43">
                        <w:rPr>
                          <w:rFonts w:ascii="Arial" w:hAnsi="Arial" w:cs="Arial"/>
                          <w:color w:val="FFFFFF" w:themeColor="background1"/>
                          <w:sz w:val="24"/>
                          <w:szCs w:val="24"/>
                        </w:rPr>
                        <w:t xml:space="preserve"> our </w:t>
                      </w:r>
                      <w:r w:rsidR="004F0228">
                        <w:rPr>
                          <w:rFonts w:ascii="Arial" w:hAnsi="Arial" w:cs="Arial"/>
                          <w:color w:val="FFFFFF" w:themeColor="background1"/>
                          <w:sz w:val="24"/>
                          <w:szCs w:val="24"/>
                        </w:rPr>
                        <w:t xml:space="preserve">investigation </w:t>
                      </w:r>
                      <w:r w:rsidR="006A1AF9">
                        <w:rPr>
                          <w:rFonts w:ascii="Arial" w:hAnsi="Arial" w:cs="Arial"/>
                          <w:color w:val="FFFFFF" w:themeColor="background1"/>
                          <w:sz w:val="24"/>
                          <w:szCs w:val="24"/>
                        </w:rPr>
                        <w:t>teams’ performance.</w:t>
                      </w:r>
                    </w:p>
                  </w:txbxContent>
                </v:textbox>
                <w10:wrap anchorx="margin"/>
              </v:rect>
            </w:pict>
          </mc:Fallback>
        </mc:AlternateContent>
      </w:r>
    </w:p>
    <w:p w14:paraId="04CB1366" w14:textId="249B9DC2" w:rsidR="0090477A" w:rsidRDefault="0090477A" w:rsidP="000D0E96">
      <w:pPr>
        <w:rPr>
          <w:rFonts w:ascii="Arial" w:hAnsi="Arial" w:cs="Arial"/>
          <w:sz w:val="24"/>
          <w:szCs w:val="24"/>
        </w:rPr>
      </w:pPr>
    </w:p>
    <w:p w14:paraId="7969075C" w14:textId="21A041AC" w:rsidR="0090477A" w:rsidRDefault="0090477A" w:rsidP="000D0E96">
      <w:pPr>
        <w:rPr>
          <w:rFonts w:ascii="Arial" w:hAnsi="Arial" w:cs="Arial"/>
          <w:sz w:val="24"/>
          <w:szCs w:val="24"/>
        </w:rPr>
      </w:pPr>
    </w:p>
    <w:p w14:paraId="02D06177" w14:textId="32AC9E6E" w:rsidR="0090477A" w:rsidRDefault="0090477A" w:rsidP="000D0E96">
      <w:pPr>
        <w:rPr>
          <w:rFonts w:ascii="Arial" w:hAnsi="Arial" w:cs="Arial"/>
          <w:sz w:val="24"/>
          <w:szCs w:val="24"/>
        </w:rPr>
      </w:pPr>
    </w:p>
    <w:p w14:paraId="7AD6501E" w14:textId="77777777" w:rsidR="00281AAB" w:rsidRDefault="00281AAB" w:rsidP="000D0E96">
      <w:pPr>
        <w:rPr>
          <w:rFonts w:ascii="Arial" w:hAnsi="Arial" w:cs="Arial"/>
          <w:sz w:val="24"/>
          <w:szCs w:val="24"/>
        </w:rPr>
      </w:pPr>
    </w:p>
    <w:p w14:paraId="60FFF3C7" w14:textId="77777777" w:rsidR="00281AAB" w:rsidRDefault="00281AAB" w:rsidP="000D0E96">
      <w:pPr>
        <w:rPr>
          <w:rFonts w:ascii="Arial" w:hAnsi="Arial" w:cs="Arial"/>
          <w:sz w:val="24"/>
          <w:szCs w:val="24"/>
        </w:rPr>
      </w:pPr>
    </w:p>
    <w:p w14:paraId="404299CD" w14:textId="4E4DEAAC" w:rsidR="00281AAB" w:rsidRDefault="00281AAB" w:rsidP="000D0E96">
      <w:pPr>
        <w:rPr>
          <w:rFonts w:ascii="Arial" w:hAnsi="Arial" w:cs="Arial"/>
          <w:sz w:val="24"/>
          <w:szCs w:val="24"/>
        </w:rPr>
      </w:pPr>
    </w:p>
    <w:p w14:paraId="6863B10A" w14:textId="2CDCB5AE" w:rsidR="0090477A" w:rsidRDefault="0090477A" w:rsidP="000D0E96">
      <w:pPr>
        <w:rPr>
          <w:rFonts w:ascii="Arial" w:hAnsi="Arial" w:cs="Arial"/>
          <w:sz w:val="24"/>
          <w:szCs w:val="24"/>
        </w:rPr>
      </w:pPr>
    </w:p>
    <w:p w14:paraId="33AB9185" w14:textId="4C819581" w:rsidR="0090477A" w:rsidRDefault="0090477A" w:rsidP="000D0E96">
      <w:pPr>
        <w:rPr>
          <w:rFonts w:ascii="Arial" w:hAnsi="Arial" w:cs="Arial"/>
          <w:sz w:val="24"/>
          <w:szCs w:val="24"/>
        </w:rPr>
      </w:pPr>
    </w:p>
    <w:p w14:paraId="63566C51" w14:textId="7174FE6A" w:rsidR="00E97284" w:rsidRDefault="00E97284" w:rsidP="000D0E96">
      <w:pPr>
        <w:rPr>
          <w:rFonts w:ascii="Arial" w:hAnsi="Arial" w:cs="Arial"/>
          <w:sz w:val="24"/>
          <w:szCs w:val="24"/>
        </w:rPr>
      </w:pPr>
    </w:p>
    <w:p w14:paraId="137320AE" w14:textId="43C3F91C" w:rsidR="00001BD4" w:rsidRDefault="00001BD4" w:rsidP="000D0E96">
      <w:pPr>
        <w:rPr>
          <w:rFonts w:ascii="Arial" w:hAnsi="Arial" w:cs="Arial"/>
          <w:sz w:val="24"/>
          <w:szCs w:val="24"/>
        </w:rPr>
      </w:pPr>
    </w:p>
    <w:p w14:paraId="5F5FEBB1" w14:textId="28FFC435" w:rsidR="00001BD4" w:rsidRDefault="00001BD4" w:rsidP="000D0E96">
      <w:pPr>
        <w:rPr>
          <w:rFonts w:ascii="Arial" w:hAnsi="Arial" w:cs="Arial"/>
          <w:sz w:val="24"/>
          <w:szCs w:val="24"/>
        </w:rPr>
      </w:pPr>
    </w:p>
    <w:p w14:paraId="5AFDFC43" w14:textId="2251600A" w:rsidR="00001BD4" w:rsidRDefault="00001BD4" w:rsidP="000D0E96">
      <w:pPr>
        <w:rPr>
          <w:rFonts w:ascii="Arial" w:hAnsi="Arial" w:cs="Arial"/>
          <w:sz w:val="24"/>
          <w:szCs w:val="24"/>
        </w:rPr>
      </w:pPr>
      <w:r>
        <w:rPr>
          <w:rFonts w:ascii="Arial" w:hAnsi="Arial" w:cs="Arial"/>
          <w:noProof/>
          <w:color w:val="2B579A"/>
          <w:sz w:val="24"/>
          <w:szCs w:val="24"/>
          <w:shd w:val="clear" w:color="auto" w:fill="E6E6E6"/>
        </w:rPr>
        <w:lastRenderedPageBreak/>
        <mc:AlternateContent>
          <mc:Choice Requires="wps">
            <w:drawing>
              <wp:anchor distT="0" distB="0" distL="114300" distR="114300" simplePos="0" relativeHeight="251658247" behindDoc="0" locked="0" layoutInCell="1" allowOverlap="1" wp14:anchorId="20B159EF" wp14:editId="1B981515">
                <wp:simplePos x="0" y="0"/>
                <wp:positionH relativeFrom="margin">
                  <wp:posOffset>-11642</wp:posOffset>
                </wp:positionH>
                <wp:positionV relativeFrom="paragraph">
                  <wp:posOffset>0</wp:posOffset>
                </wp:positionV>
                <wp:extent cx="5981700" cy="17430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5981700" cy="1743075"/>
                        </a:xfrm>
                        <a:prstGeom prst="rect">
                          <a:avLst/>
                        </a:prstGeom>
                        <a:solidFill>
                          <a:srgbClr val="4472C4"/>
                        </a:solidFill>
                        <a:ln w="12700" cap="flat" cmpd="sng" algn="ctr">
                          <a:solidFill>
                            <a:srgbClr val="4472C4">
                              <a:shade val="15000"/>
                            </a:srgbClr>
                          </a:solidFill>
                          <a:prstDash val="solid"/>
                          <a:miter lim="800000"/>
                        </a:ln>
                        <a:effectLst/>
                      </wps:spPr>
                      <wps:txbx>
                        <w:txbxContent>
                          <w:p w14:paraId="7881E5D5" w14:textId="77777777" w:rsidR="008353C7" w:rsidRDefault="008353C7" w:rsidP="008353C7">
                            <w:pPr>
                              <w:rPr>
                                <w:rFonts w:ascii="Arial" w:hAnsi="Arial" w:cs="Arial"/>
                                <w:b/>
                                <w:bCs/>
                                <w:color w:val="FFFFFF" w:themeColor="background1"/>
                                <w:sz w:val="24"/>
                                <w:szCs w:val="24"/>
                              </w:rPr>
                            </w:pPr>
                            <w:r>
                              <w:rPr>
                                <w:rFonts w:ascii="Arial" w:hAnsi="Arial" w:cs="Arial"/>
                                <w:b/>
                                <w:bCs/>
                                <w:color w:val="FFFFFF" w:themeColor="background1"/>
                                <w:sz w:val="24"/>
                                <w:szCs w:val="24"/>
                              </w:rPr>
                              <w:t>Our skills tool in action</w:t>
                            </w:r>
                          </w:p>
                          <w:p w14:paraId="2A5B0FD8" w14:textId="009D8161" w:rsidR="008353C7" w:rsidRPr="00C756BD" w:rsidRDefault="00DA67CD" w:rsidP="008353C7">
                            <w:pPr>
                              <w:rPr>
                                <w:rFonts w:ascii="Arial" w:hAnsi="Arial" w:cs="Arial"/>
                                <w:color w:val="FFFFFF" w:themeColor="background1"/>
                                <w:sz w:val="24"/>
                                <w:szCs w:val="24"/>
                              </w:rPr>
                            </w:pPr>
                            <w:r>
                              <w:rPr>
                                <w:rFonts w:ascii="Arial" w:hAnsi="Arial" w:cs="Arial"/>
                                <w:color w:val="FFFFFF" w:themeColor="background1"/>
                                <w:sz w:val="24"/>
                                <w:szCs w:val="24"/>
                              </w:rPr>
                              <w:t>Following difficulties recruiting</w:t>
                            </w:r>
                            <w:r w:rsidR="00FB1D45">
                              <w:rPr>
                                <w:rFonts w:ascii="Arial" w:hAnsi="Arial" w:cs="Arial"/>
                                <w:color w:val="FFFFFF" w:themeColor="background1"/>
                                <w:sz w:val="24"/>
                                <w:szCs w:val="24"/>
                              </w:rPr>
                              <w:t xml:space="preserve"> and during peak demand for procurement activity, the </w:t>
                            </w:r>
                            <w:r w:rsidR="002129F7">
                              <w:rPr>
                                <w:rFonts w:ascii="Arial" w:hAnsi="Arial" w:cs="Arial"/>
                                <w:color w:val="FFFFFF" w:themeColor="background1"/>
                                <w:sz w:val="24"/>
                                <w:szCs w:val="24"/>
                              </w:rPr>
                              <w:t>Commercial</w:t>
                            </w:r>
                            <w:r w:rsidR="00FB1D45">
                              <w:rPr>
                                <w:rFonts w:ascii="Arial" w:hAnsi="Arial" w:cs="Arial"/>
                                <w:color w:val="FFFFFF" w:themeColor="background1"/>
                                <w:sz w:val="24"/>
                                <w:szCs w:val="24"/>
                              </w:rPr>
                              <w:t xml:space="preserve"> </w:t>
                            </w:r>
                            <w:r w:rsidR="00A4238E">
                              <w:rPr>
                                <w:rFonts w:ascii="Arial" w:hAnsi="Arial" w:cs="Arial"/>
                                <w:color w:val="FFFFFF" w:themeColor="background1"/>
                                <w:sz w:val="24"/>
                                <w:szCs w:val="24"/>
                              </w:rPr>
                              <w:t>T</w:t>
                            </w:r>
                            <w:r w:rsidR="00FB1D45">
                              <w:rPr>
                                <w:rFonts w:ascii="Arial" w:hAnsi="Arial" w:cs="Arial"/>
                                <w:color w:val="FFFFFF" w:themeColor="background1"/>
                                <w:sz w:val="24"/>
                                <w:szCs w:val="24"/>
                              </w:rPr>
                              <w:t>eam</w:t>
                            </w:r>
                            <w:r w:rsidR="00487BBF">
                              <w:rPr>
                                <w:rFonts w:ascii="Arial" w:hAnsi="Arial" w:cs="Arial"/>
                                <w:color w:val="FFFFFF" w:themeColor="background1"/>
                                <w:sz w:val="24"/>
                                <w:szCs w:val="24"/>
                              </w:rPr>
                              <w:t xml:space="preserve"> submitted a search request</w:t>
                            </w:r>
                            <w:r w:rsidR="008C36C8">
                              <w:rPr>
                                <w:rFonts w:ascii="Arial" w:hAnsi="Arial" w:cs="Arial"/>
                                <w:color w:val="FFFFFF" w:themeColor="background1"/>
                                <w:sz w:val="24"/>
                                <w:szCs w:val="24"/>
                              </w:rPr>
                              <w:t xml:space="preserve"> to identify people across </w:t>
                            </w:r>
                            <w:r w:rsidR="00E96B63">
                              <w:rPr>
                                <w:rFonts w:ascii="Arial" w:hAnsi="Arial" w:cs="Arial"/>
                                <w:color w:val="FFFFFF" w:themeColor="background1"/>
                                <w:sz w:val="24"/>
                                <w:szCs w:val="24"/>
                              </w:rPr>
                              <w:t xml:space="preserve">the Agency who could </w:t>
                            </w:r>
                            <w:r w:rsidR="004641C5">
                              <w:rPr>
                                <w:rFonts w:ascii="Arial" w:hAnsi="Arial" w:cs="Arial"/>
                                <w:color w:val="FFFFFF" w:themeColor="background1"/>
                                <w:sz w:val="24"/>
                                <w:szCs w:val="24"/>
                              </w:rPr>
                              <w:t>assist with delivery of several critical procurements</w:t>
                            </w:r>
                            <w:r w:rsidR="00921EC6">
                              <w:rPr>
                                <w:rFonts w:ascii="Arial" w:hAnsi="Arial" w:cs="Arial"/>
                                <w:color w:val="FFFFFF" w:themeColor="background1"/>
                                <w:sz w:val="24"/>
                                <w:szCs w:val="24"/>
                              </w:rPr>
                              <w:t xml:space="preserve"> before y</w:t>
                            </w:r>
                            <w:r w:rsidR="001521C7">
                              <w:rPr>
                                <w:rFonts w:ascii="Arial" w:hAnsi="Arial" w:cs="Arial"/>
                                <w:color w:val="FFFFFF" w:themeColor="background1"/>
                                <w:sz w:val="24"/>
                                <w:szCs w:val="24"/>
                              </w:rPr>
                              <w:t>ear end</w:t>
                            </w:r>
                            <w:r w:rsidR="00F13FB4">
                              <w:rPr>
                                <w:rFonts w:ascii="Arial" w:hAnsi="Arial" w:cs="Arial"/>
                                <w:color w:val="FFFFFF" w:themeColor="background1"/>
                                <w:sz w:val="24"/>
                                <w:szCs w:val="24"/>
                              </w:rPr>
                              <w:t>.</w:t>
                            </w:r>
                            <w:r w:rsidR="002129F7">
                              <w:rPr>
                                <w:rFonts w:ascii="Arial" w:hAnsi="Arial" w:cs="Arial"/>
                                <w:color w:val="FFFFFF" w:themeColor="background1"/>
                                <w:sz w:val="24"/>
                                <w:szCs w:val="24"/>
                              </w:rPr>
                              <w:t xml:space="preserve"> A cross-agency search </w:t>
                            </w:r>
                            <w:r w:rsidR="00C22143">
                              <w:rPr>
                                <w:rFonts w:ascii="Arial" w:hAnsi="Arial" w:cs="Arial"/>
                                <w:color w:val="FFFFFF" w:themeColor="background1"/>
                                <w:sz w:val="24"/>
                                <w:szCs w:val="24"/>
                              </w:rPr>
                              <w:t xml:space="preserve">on relevant skills, previous job roles and qualifications identified </w:t>
                            </w:r>
                            <w:r w:rsidR="004B188F">
                              <w:rPr>
                                <w:rFonts w:ascii="Arial" w:hAnsi="Arial" w:cs="Arial"/>
                                <w:color w:val="FFFFFF" w:themeColor="background1"/>
                                <w:sz w:val="24"/>
                                <w:szCs w:val="24"/>
                              </w:rPr>
                              <w:t xml:space="preserve">36 people </w:t>
                            </w:r>
                            <w:r w:rsidR="00F44389">
                              <w:rPr>
                                <w:rFonts w:ascii="Arial" w:hAnsi="Arial" w:cs="Arial"/>
                                <w:color w:val="FFFFFF" w:themeColor="background1"/>
                                <w:sz w:val="24"/>
                                <w:szCs w:val="24"/>
                              </w:rPr>
                              <w:t>with potential</w:t>
                            </w:r>
                            <w:r w:rsidR="00506394">
                              <w:rPr>
                                <w:rFonts w:ascii="Arial" w:hAnsi="Arial" w:cs="Arial"/>
                                <w:color w:val="FFFFFF" w:themeColor="background1"/>
                                <w:sz w:val="24"/>
                                <w:szCs w:val="24"/>
                              </w:rPr>
                              <w:t xml:space="preserve">. This was narrowed </w:t>
                            </w:r>
                            <w:r w:rsidR="00693620">
                              <w:rPr>
                                <w:rFonts w:ascii="Arial" w:hAnsi="Arial" w:cs="Arial"/>
                                <w:color w:val="FFFFFF" w:themeColor="background1"/>
                                <w:sz w:val="24"/>
                                <w:szCs w:val="24"/>
                              </w:rPr>
                              <w:t xml:space="preserve">by checking who </w:t>
                            </w:r>
                            <w:r w:rsidR="00F331C2">
                              <w:rPr>
                                <w:rFonts w:ascii="Arial" w:hAnsi="Arial" w:cs="Arial"/>
                                <w:color w:val="FFFFFF" w:themeColor="background1"/>
                                <w:sz w:val="24"/>
                                <w:szCs w:val="24"/>
                              </w:rPr>
                              <w:t>had a MCIP</w:t>
                            </w:r>
                            <w:r w:rsidR="00627D19">
                              <w:rPr>
                                <w:rFonts w:ascii="Arial" w:hAnsi="Arial" w:cs="Arial"/>
                                <w:color w:val="FFFFFF" w:themeColor="background1"/>
                                <w:sz w:val="24"/>
                                <w:szCs w:val="24"/>
                              </w:rPr>
                              <w:t>S</w:t>
                            </w:r>
                            <w:r w:rsidR="006C5360">
                              <w:rPr>
                                <w:rFonts w:ascii="Arial" w:hAnsi="Arial" w:cs="Arial"/>
                                <w:color w:val="FFFFFF" w:themeColor="background1"/>
                                <w:sz w:val="24"/>
                                <w:szCs w:val="24"/>
                              </w:rPr>
                              <w:t xml:space="preserve"> qualification and </w:t>
                            </w:r>
                            <w:r w:rsidR="00F24611">
                              <w:rPr>
                                <w:rFonts w:ascii="Arial" w:hAnsi="Arial" w:cs="Arial"/>
                                <w:color w:val="FFFFFF" w:themeColor="background1"/>
                                <w:sz w:val="24"/>
                                <w:szCs w:val="24"/>
                              </w:rPr>
                              <w:t>the most suitable candidate, from our People and Capability directorate</w:t>
                            </w:r>
                            <w:r w:rsidR="00627D19">
                              <w:rPr>
                                <w:rFonts w:ascii="Arial" w:hAnsi="Arial" w:cs="Arial"/>
                                <w:color w:val="FFFFFF" w:themeColor="background1"/>
                                <w:sz w:val="24"/>
                                <w:szCs w:val="24"/>
                              </w:rPr>
                              <w:t>,</w:t>
                            </w:r>
                            <w:r w:rsidR="00E97284">
                              <w:rPr>
                                <w:rFonts w:ascii="Arial" w:hAnsi="Arial" w:cs="Arial"/>
                                <w:color w:val="FFFFFF" w:themeColor="background1"/>
                                <w:sz w:val="24"/>
                                <w:szCs w:val="24"/>
                              </w:rPr>
                              <w:t xml:space="preserve"> helped the procurement team successfully deliver against their targets.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B159EF" id="Rectangle 12" o:spid="_x0000_s1037" style="position:absolute;margin-left:-.9pt;margin-top:0;width:471pt;height:137.2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" fillcolor="#4472c4" strokecolor="#172c51" strokeweight="1pt">
                <v:textbox>
                  <w:txbxContent>
                    <w:p w14:paraId="7881E5D5" w14:textId="77777777" w:rsidR="008353C7" w:rsidRDefault="008353C7" w:rsidP="008353C7">
                      <w:pPr>
                        <w:rPr>
                          <w:rFonts w:ascii="Arial" w:hAnsi="Arial" w:cs="Arial"/>
                          <w:b/>
                          <w:bCs/>
                          <w:color w:val="FFFFFF" w:themeColor="background1"/>
                          <w:sz w:val="24"/>
                          <w:szCs w:val="24"/>
                        </w:rPr>
                      </w:pPr>
                      <w:r>
                        <w:rPr>
                          <w:rFonts w:ascii="Arial" w:hAnsi="Arial" w:cs="Arial"/>
                          <w:b/>
                          <w:bCs/>
                          <w:color w:val="FFFFFF" w:themeColor="background1"/>
                          <w:sz w:val="24"/>
                          <w:szCs w:val="24"/>
                        </w:rPr>
                        <w:t>Our skills tool in action</w:t>
                      </w:r>
                    </w:p>
                    <w:p w14:paraId="2A5B0FD8" w14:textId="009D8161" w:rsidR="008353C7" w:rsidRPr="00C756BD" w:rsidRDefault="00DA67CD" w:rsidP="008353C7">
                      <w:pPr>
                        <w:rPr>
                          <w:rFonts w:ascii="Arial" w:hAnsi="Arial" w:cs="Arial"/>
                          <w:color w:val="FFFFFF" w:themeColor="background1"/>
                          <w:sz w:val="24"/>
                          <w:szCs w:val="24"/>
                        </w:rPr>
                      </w:pPr>
                      <w:r>
                        <w:rPr>
                          <w:rFonts w:ascii="Arial" w:hAnsi="Arial" w:cs="Arial"/>
                          <w:color w:val="FFFFFF" w:themeColor="background1"/>
                          <w:sz w:val="24"/>
                          <w:szCs w:val="24"/>
                        </w:rPr>
                        <w:t>Following difficulties recruiting</w:t>
                      </w:r>
                      <w:r w:rsidR="00FB1D45">
                        <w:rPr>
                          <w:rFonts w:ascii="Arial" w:hAnsi="Arial" w:cs="Arial"/>
                          <w:color w:val="FFFFFF" w:themeColor="background1"/>
                          <w:sz w:val="24"/>
                          <w:szCs w:val="24"/>
                        </w:rPr>
                        <w:t xml:space="preserve"> and during peak demand for procurement activity, the </w:t>
                      </w:r>
                      <w:r w:rsidR="002129F7">
                        <w:rPr>
                          <w:rFonts w:ascii="Arial" w:hAnsi="Arial" w:cs="Arial"/>
                          <w:color w:val="FFFFFF" w:themeColor="background1"/>
                          <w:sz w:val="24"/>
                          <w:szCs w:val="24"/>
                        </w:rPr>
                        <w:t>Commercial</w:t>
                      </w:r>
                      <w:r w:rsidR="00FB1D45">
                        <w:rPr>
                          <w:rFonts w:ascii="Arial" w:hAnsi="Arial" w:cs="Arial"/>
                          <w:color w:val="FFFFFF" w:themeColor="background1"/>
                          <w:sz w:val="24"/>
                          <w:szCs w:val="24"/>
                        </w:rPr>
                        <w:t xml:space="preserve"> </w:t>
                      </w:r>
                      <w:r w:rsidR="00A4238E">
                        <w:rPr>
                          <w:rFonts w:ascii="Arial" w:hAnsi="Arial" w:cs="Arial"/>
                          <w:color w:val="FFFFFF" w:themeColor="background1"/>
                          <w:sz w:val="24"/>
                          <w:szCs w:val="24"/>
                        </w:rPr>
                        <w:t>T</w:t>
                      </w:r>
                      <w:r w:rsidR="00FB1D45">
                        <w:rPr>
                          <w:rFonts w:ascii="Arial" w:hAnsi="Arial" w:cs="Arial"/>
                          <w:color w:val="FFFFFF" w:themeColor="background1"/>
                          <w:sz w:val="24"/>
                          <w:szCs w:val="24"/>
                        </w:rPr>
                        <w:t>eam</w:t>
                      </w:r>
                      <w:r w:rsidR="00487BBF">
                        <w:rPr>
                          <w:rFonts w:ascii="Arial" w:hAnsi="Arial" w:cs="Arial"/>
                          <w:color w:val="FFFFFF" w:themeColor="background1"/>
                          <w:sz w:val="24"/>
                          <w:szCs w:val="24"/>
                        </w:rPr>
                        <w:t xml:space="preserve"> submitted a search request</w:t>
                      </w:r>
                      <w:r w:rsidR="008C36C8">
                        <w:rPr>
                          <w:rFonts w:ascii="Arial" w:hAnsi="Arial" w:cs="Arial"/>
                          <w:color w:val="FFFFFF" w:themeColor="background1"/>
                          <w:sz w:val="24"/>
                          <w:szCs w:val="24"/>
                        </w:rPr>
                        <w:t xml:space="preserve"> to identify people across </w:t>
                      </w:r>
                      <w:r w:rsidR="00E96B63">
                        <w:rPr>
                          <w:rFonts w:ascii="Arial" w:hAnsi="Arial" w:cs="Arial"/>
                          <w:color w:val="FFFFFF" w:themeColor="background1"/>
                          <w:sz w:val="24"/>
                          <w:szCs w:val="24"/>
                        </w:rPr>
                        <w:t xml:space="preserve">the Agency who could </w:t>
                      </w:r>
                      <w:r w:rsidR="004641C5">
                        <w:rPr>
                          <w:rFonts w:ascii="Arial" w:hAnsi="Arial" w:cs="Arial"/>
                          <w:color w:val="FFFFFF" w:themeColor="background1"/>
                          <w:sz w:val="24"/>
                          <w:szCs w:val="24"/>
                        </w:rPr>
                        <w:t>assist with delivery of several critical procurements</w:t>
                      </w:r>
                      <w:r w:rsidR="00921EC6">
                        <w:rPr>
                          <w:rFonts w:ascii="Arial" w:hAnsi="Arial" w:cs="Arial"/>
                          <w:color w:val="FFFFFF" w:themeColor="background1"/>
                          <w:sz w:val="24"/>
                          <w:szCs w:val="24"/>
                        </w:rPr>
                        <w:t xml:space="preserve"> before y</w:t>
                      </w:r>
                      <w:r w:rsidR="001521C7">
                        <w:rPr>
                          <w:rFonts w:ascii="Arial" w:hAnsi="Arial" w:cs="Arial"/>
                          <w:color w:val="FFFFFF" w:themeColor="background1"/>
                          <w:sz w:val="24"/>
                          <w:szCs w:val="24"/>
                        </w:rPr>
                        <w:t>ear end</w:t>
                      </w:r>
                      <w:r w:rsidR="00F13FB4">
                        <w:rPr>
                          <w:rFonts w:ascii="Arial" w:hAnsi="Arial" w:cs="Arial"/>
                          <w:color w:val="FFFFFF" w:themeColor="background1"/>
                          <w:sz w:val="24"/>
                          <w:szCs w:val="24"/>
                        </w:rPr>
                        <w:t>.</w:t>
                      </w:r>
                      <w:r w:rsidR="002129F7">
                        <w:rPr>
                          <w:rFonts w:ascii="Arial" w:hAnsi="Arial" w:cs="Arial"/>
                          <w:color w:val="FFFFFF" w:themeColor="background1"/>
                          <w:sz w:val="24"/>
                          <w:szCs w:val="24"/>
                        </w:rPr>
                        <w:t xml:space="preserve"> A cross-agency search </w:t>
                      </w:r>
                      <w:r w:rsidR="00C22143">
                        <w:rPr>
                          <w:rFonts w:ascii="Arial" w:hAnsi="Arial" w:cs="Arial"/>
                          <w:color w:val="FFFFFF" w:themeColor="background1"/>
                          <w:sz w:val="24"/>
                          <w:szCs w:val="24"/>
                        </w:rPr>
                        <w:t xml:space="preserve">on relevant skills, previous job roles and qualifications identified </w:t>
                      </w:r>
                      <w:r w:rsidR="004B188F">
                        <w:rPr>
                          <w:rFonts w:ascii="Arial" w:hAnsi="Arial" w:cs="Arial"/>
                          <w:color w:val="FFFFFF" w:themeColor="background1"/>
                          <w:sz w:val="24"/>
                          <w:szCs w:val="24"/>
                        </w:rPr>
                        <w:t xml:space="preserve">36 people </w:t>
                      </w:r>
                      <w:r w:rsidR="00F44389">
                        <w:rPr>
                          <w:rFonts w:ascii="Arial" w:hAnsi="Arial" w:cs="Arial"/>
                          <w:color w:val="FFFFFF" w:themeColor="background1"/>
                          <w:sz w:val="24"/>
                          <w:szCs w:val="24"/>
                        </w:rPr>
                        <w:t>with potential</w:t>
                      </w:r>
                      <w:r w:rsidR="00506394">
                        <w:rPr>
                          <w:rFonts w:ascii="Arial" w:hAnsi="Arial" w:cs="Arial"/>
                          <w:color w:val="FFFFFF" w:themeColor="background1"/>
                          <w:sz w:val="24"/>
                          <w:szCs w:val="24"/>
                        </w:rPr>
                        <w:t xml:space="preserve">. This was narrowed </w:t>
                      </w:r>
                      <w:r w:rsidR="00693620">
                        <w:rPr>
                          <w:rFonts w:ascii="Arial" w:hAnsi="Arial" w:cs="Arial"/>
                          <w:color w:val="FFFFFF" w:themeColor="background1"/>
                          <w:sz w:val="24"/>
                          <w:szCs w:val="24"/>
                        </w:rPr>
                        <w:t xml:space="preserve">by checking who </w:t>
                      </w:r>
                      <w:r w:rsidR="00F331C2">
                        <w:rPr>
                          <w:rFonts w:ascii="Arial" w:hAnsi="Arial" w:cs="Arial"/>
                          <w:color w:val="FFFFFF" w:themeColor="background1"/>
                          <w:sz w:val="24"/>
                          <w:szCs w:val="24"/>
                        </w:rPr>
                        <w:t>had a MCIP</w:t>
                      </w:r>
                      <w:r w:rsidR="00627D19">
                        <w:rPr>
                          <w:rFonts w:ascii="Arial" w:hAnsi="Arial" w:cs="Arial"/>
                          <w:color w:val="FFFFFF" w:themeColor="background1"/>
                          <w:sz w:val="24"/>
                          <w:szCs w:val="24"/>
                        </w:rPr>
                        <w:t>S</w:t>
                      </w:r>
                      <w:r w:rsidR="006C5360">
                        <w:rPr>
                          <w:rFonts w:ascii="Arial" w:hAnsi="Arial" w:cs="Arial"/>
                          <w:color w:val="FFFFFF" w:themeColor="background1"/>
                          <w:sz w:val="24"/>
                          <w:szCs w:val="24"/>
                        </w:rPr>
                        <w:t xml:space="preserve"> qualification and </w:t>
                      </w:r>
                      <w:r w:rsidR="00F24611">
                        <w:rPr>
                          <w:rFonts w:ascii="Arial" w:hAnsi="Arial" w:cs="Arial"/>
                          <w:color w:val="FFFFFF" w:themeColor="background1"/>
                          <w:sz w:val="24"/>
                          <w:szCs w:val="24"/>
                        </w:rPr>
                        <w:t>the most suitable candidate, from our People and Capability directorate</w:t>
                      </w:r>
                      <w:r w:rsidR="00627D19">
                        <w:rPr>
                          <w:rFonts w:ascii="Arial" w:hAnsi="Arial" w:cs="Arial"/>
                          <w:color w:val="FFFFFF" w:themeColor="background1"/>
                          <w:sz w:val="24"/>
                          <w:szCs w:val="24"/>
                        </w:rPr>
                        <w:t>,</w:t>
                      </w:r>
                      <w:r w:rsidR="00E97284">
                        <w:rPr>
                          <w:rFonts w:ascii="Arial" w:hAnsi="Arial" w:cs="Arial"/>
                          <w:color w:val="FFFFFF" w:themeColor="background1"/>
                          <w:sz w:val="24"/>
                          <w:szCs w:val="24"/>
                        </w:rPr>
                        <w:t xml:space="preserve"> helped the procurement team successfully deliver against their targets.</w:t>
                      </w:r>
                    </w:p>
                  </w:txbxContent>
                </v:textbox>
                <w10:wrap anchorx="margin"/>
              </v:rect>
            </w:pict>
          </mc:Fallback>
        </mc:AlternateContent>
      </w:r>
    </w:p>
    <w:p w14:paraId="53934546" w14:textId="77777777" w:rsidR="00001BD4" w:rsidRDefault="00001BD4" w:rsidP="000D0E96">
      <w:pPr>
        <w:rPr>
          <w:rFonts w:ascii="Arial" w:hAnsi="Arial" w:cs="Arial"/>
          <w:sz w:val="24"/>
          <w:szCs w:val="24"/>
        </w:rPr>
      </w:pPr>
    </w:p>
    <w:p w14:paraId="3FDC9068" w14:textId="77777777" w:rsidR="00001BD4" w:rsidRDefault="00001BD4" w:rsidP="000D0E96">
      <w:pPr>
        <w:rPr>
          <w:rFonts w:ascii="Arial" w:hAnsi="Arial" w:cs="Arial"/>
          <w:sz w:val="24"/>
          <w:szCs w:val="24"/>
        </w:rPr>
      </w:pPr>
    </w:p>
    <w:p w14:paraId="18337FA4" w14:textId="77777777" w:rsidR="00001BD4" w:rsidRDefault="00001BD4" w:rsidP="000D0E96">
      <w:pPr>
        <w:rPr>
          <w:rFonts w:ascii="Arial" w:hAnsi="Arial" w:cs="Arial"/>
          <w:sz w:val="24"/>
          <w:szCs w:val="24"/>
        </w:rPr>
      </w:pPr>
    </w:p>
    <w:p w14:paraId="32C6315E" w14:textId="77777777" w:rsidR="00001BD4" w:rsidRDefault="00001BD4" w:rsidP="000D0E96">
      <w:pPr>
        <w:rPr>
          <w:rFonts w:ascii="Arial" w:hAnsi="Arial" w:cs="Arial"/>
          <w:sz w:val="24"/>
          <w:szCs w:val="24"/>
        </w:rPr>
      </w:pPr>
    </w:p>
    <w:p w14:paraId="313F3318" w14:textId="77777777" w:rsidR="00001BD4" w:rsidRDefault="00001BD4" w:rsidP="000D0E96">
      <w:pPr>
        <w:rPr>
          <w:rFonts w:ascii="Arial" w:hAnsi="Arial" w:cs="Arial"/>
          <w:sz w:val="24"/>
          <w:szCs w:val="24"/>
        </w:rPr>
      </w:pPr>
    </w:p>
    <w:p w14:paraId="3EB8925E" w14:textId="77777777" w:rsidR="00001BD4" w:rsidRDefault="00001BD4" w:rsidP="000D0E96">
      <w:pPr>
        <w:rPr>
          <w:rFonts w:ascii="Arial" w:hAnsi="Arial" w:cs="Arial"/>
          <w:sz w:val="24"/>
          <w:szCs w:val="24"/>
        </w:rPr>
      </w:pPr>
    </w:p>
    <w:p w14:paraId="12D35FED" w14:textId="3F1D9D66" w:rsidR="00E97284" w:rsidRDefault="007F480A" w:rsidP="000D0E96">
      <w:pPr>
        <w:rPr>
          <w:rFonts w:ascii="Arial" w:hAnsi="Arial" w:cs="Arial"/>
          <w:sz w:val="24"/>
          <w:szCs w:val="24"/>
        </w:rPr>
      </w:pPr>
      <w:r>
        <w:rPr>
          <w:rFonts w:ascii="Arial" w:hAnsi="Arial" w:cs="Arial"/>
          <w:sz w:val="24"/>
          <w:szCs w:val="24"/>
        </w:rPr>
        <w:t xml:space="preserve">We have been unable to meet the Civil Service </w:t>
      </w:r>
      <w:r w:rsidR="00AB0DCD">
        <w:rPr>
          <w:rFonts w:ascii="Arial" w:hAnsi="Arial" w:cs="Arial"/>
          <w:sz w:val="24"/>
          <w:szCs w:val="24"/>
        </w:rPr>
        <w:t>target</w:t>
      </w:r>
      <w:r w:rsidR="003239D1">
        <w:rPr>
          <w:rFonts w:ascii="Arial" w:hAnsi="Arial" w:cs="Arial"/>
          <w:sz w:val="24"/>
          <w:szCs w:val="24"/>
        </w:rPr>
        <w:t xml:space="preserve"> for apprenticeships </w:t>
      </w:r>
      <w:r w:rsidR="71E3A308" w:rsidRPr="6CBBF85D">
        <w:rPr>
          <w:rFonts w:ascii="Arial" w:hAnsi="Arial" w:cs="Arial"/>
          <w:sz w:val="24"/>
          <w:szCs w:val="24"/>
        </w:rPr>
        <w:t xml:space="preserve">of 5% </w:t>
      </w:r>
      <w:r w:rsidR="71E3A308" w:rsidRPr="2C6823FA">
        <w:rPr>
          <w:rFonts w:ascii="Arial" w:hAnsi="Arial" w:cs="Arial"/>
          <w:sz w:val="24"/>
          <w:szCs w:val="24"/>
        </w:rPr>
        <w:t>of</w:t>
      </w:r>
      <w:r w:rsidR="71E3A308" w:rsidRPr="6CBBF85D">
        <w:rPr>
          <w:rFonts w:ascii="Arial" w:hAnsi="Arial" w:cs="Arial"/>
          <w:sz w:val="24"/>
          <w:szCs w:val="24"/>
        </w:rPr>
        <w:t xml:space="preserve"> </w:t>
      </w:r>
      <w:r w:rsidR="71E3A308" w:rsidRPr="0481D243">
        <w:rPr>
          <w:rFonts w:ascii="Arial" w:hAnsi="Arial" w:cs="Arial"/>
          <w:sz w:val="24"/>
          <w:szCs w:val="24"/>
        </w:rPr>
        <w:t xml:space="preserve">our </w:t>
      </w:r>
      <w:r w:rsidR="71E3A308" w:rsidRPr="6CBBF85D">
        <w:rPr>
          <w:rFonts w:ascii="Arial" w:hAnsi="Arial" w:cs="Arial"/>
          <w:sz w:val="24"/>
          <w:szCs w:val="24"/>
        </w:rPr>
        <w:t xml:space="preserve">headcount </w:t>
      </w:r>
      <w:r w:rsidR="003239D1">
        <w:rPr>
          <w:rFonts w:ascii="Arial" w:hAnsi="Arial" w:cs="Arial"/>
          <w:sz w:val="24"/>
          <w:szCs w:val="24"/>
        </w:rPr>
        <w:t xml:space="preserve">this </w:t>
      </w:r>
      <w:r w:rsidR="008E343D">
        <w:rPr>
          <w:rFonts w:ascii="Arial" w:hAnsi="Arial" w:cs="Arial"/>
          <w:sz w:val="24"/>
          <w:szCs w:val="24"/>
        </w:rPr>
        <w:t>year,</w:t>
      </w:r>
      <w:r w:rsidR="003239D1">
        <w:rPr>
          <w:rFonts w:ascii="Arial" w:hAnsi="Arial" w:cs="Arial"/>
          <w:sz w:val="24"/>
          <w:szCs w:val="24"/>
        </w:rPr>
        <w:t xml:space="preserve"> </w:t>
      </w:r>
      <w:r w:rsidR="007B67EC">
        <w:rPr>
          <w:rFonts w:ascii="Arial" w:hAnsi="Arial" w:cs="Arial"/>
          <w:sz w:val="24"/>
          <w:szCs w:val="24"/>
        </w:rPr>
        <w:t>but our apprenticeship</w:t>
      </w:r>
      <w:r w:rsidR="00F671CA">
        <w:rPr>
          <w:rFonts w:ascii="Arial" w:hAnsi="Arial" w:cs="Arial"/>
          <w:sz w:val="24"/>
          <w:szCs w:val="24"/>
        </w:rPr>
        <w:t xml:space="preserve"> levels </w:t>
      </w:r>
      <w:r w:rsidR="003264D1">
        <w:rPr>
          <w:rFonts w:ascii="Arial" w:hAnsi="Arial" w:cs="Arial"/>
          <w:sz w:val="24"/>
          <w:szCs w:val="24"/>
        </w:rPr>
        <w:t>remain steady</w:t>
      </w:r>
      <w:r w:rsidR="008D4A6C">
        <w:rPr>
          <w:rFonts w:ascii="Arial" w:hAnsi="Arial" w:cs="Arial"/>
          <w:sz w:val="24"/>
          <w:szCs w:val="24"/>
        </w:rPr>
        <w:t xml:space="preserve"> at 3% of our headcount</w:t>
      </w:r>
      <w:r w:rsidR="001F7DCF">
        <w:rPr>
          <w:rFonts w:ascii="Arial" w:hAnsi="Arial" w:cs="Arial"/>
          <w:sz w:val="24"/>
          <w:szCs w:val="24"/>
        </w:rPr>
        <w:t xml:space="preserve"> and our completion rate this year is 79% which is significantly over the national average.</w:t>
      </w:r>
      <w:r w:rsidR="008E343D">
        <w:rPr>
          <w:rFonts w:ascii="Arial" w:hAnsi="Arial" w:cs="Arial"/>
          <w:sz w:val="24"/>
          <w:szCs w:val="24"/>
        </w:rPr>
        <w:t xml:space="preserve"> We have </w:t>
      </w:r>
      <w:r w:rsidR="00D4371D">
        <w:rPr>
          <w:rFonts w:ascii="Arial" w:hAnsi="Arial" w:cs="Arial"/>
          <w:sz w:val="24"/>
          <w:szCs w:val="24"/>
        </w:rPr>
        <w:t xml:space="preserve">continued to expand the </w:t>
      </w:r>
      <w:r w:rsidR="0076044F">
        <w:rPr>
          <w:rFonts w:ascii="Arial" w:hAnsi="Arial" w:cs="Arial"/>
          <w:sz w:val="24"/>
          <w:szCs w:val="24"/>
        </w:rPr>
        <w:t xml:space="preserve">range of </w:t>
      </w:r>
      <w:r w:rsidR="00625381">
        <w:rPr>
          <w:rFonts w:ascii="Arial" w:hAnsi="Arial" w:cs="Arial"/>
          <w:sz w:val="24"/>
          <w:szCs w:val="24"/>
        </w:rPr>
        <w:t>apprenticeships</w:t>
      </w:r>
      <w:r w:rsidR="00F85111">
        <w:rPr>
          <w:rFonts w:ascii="Arial" w:hAnsi="Arial" w:cs="Arial"/>
          <w:sz w:val="24"/>
          <w:szCs w:val="24"/>
        </w:rPr>
        <w:t xml:space="preserve"> available</w:t>
      </w:r>
      <w:r w:rsidR="00625381">
        <w:rPr>
          <w:rFonts w:ascii="Arial" w:hAnsi="Arial" w:cs="Arial"/>
          <w:sz w:val="24"/>
          <w:szCs w:val="24"/>
        </w:rPr>
        <w:t xml:space="preserve">, and now have several apprentices </w:t>
      </w:r>
      <w:r w:rsidR="00584413">
        <w:rPr>
          <w:rFonts w:ascii="Arial" w:hAnsi="Arial" w:cs="Arial"/>
          <w:sz w:val="24"/>
          <w:szCs w:val="24"/>
        </w:rPr>
        <w:t>undertaking specialist</w:t>
      </w:r>
      <w:r w:rsidR="00CC4E2B">
        <w:rPr>
          <w:rFonts w:ascii="Arial" w:hAnsi="Arial" w:cs="Arial"/>
          <w:sz w:val="24"/>
          <w:szCs w:val="24"/>
        </w:rPr>
        <w:t xml:space="preserve"> programmes at Levels 5, 6 and 7 across the professions</w:t>
      </w:r>
      <w:r w:rsidR="00350D9F">
        <w:rPr>
          <w:rFonts w:ascii="Arial" w:hAnsi="Arial" w:cs="Arial"/>
          <w:sz w:val="24"/>
          <w:szCs w:val="24"/>
        </w:rPr>
        <w:t xml:space="preserve"> with further expansion planned for 2024-25.</w:t>
      </w:r>
    </w:p>
    <w:p w14:paraId="157F4D80" w14:textId="213F97A3" w:rsidR="00350D9F" w:rsidRDefault="008E151C" w:rsidP="000D0E96">
      <w:pPr>
        <w:rPr>
          <w:rFonts w:ascii="Arial" w:hAnsi="Arial" w:cs="Arial"/>
          <w:sz w:val="24"/>
          <w:szCs w:val="24"/>
        </w:rPr>
      </w:pPr>
      <w:r>
        <w:rPr>
          <w:rFonts w:ascii="Arial" w:hAnsi="Arial" w:cs="Arial"/>
          <w:sz w:val="24"/>
          <w:szCs w:val="24"/>
        </w:rPr>
        <w:t>We successfully support</w:t>
      </w:r>
      <w:r w:rsidR="00743A28">
        <w:rPr>
          <w:rFonts w:ascii="Arial" w:hAnsi="Arial" w:cs="Arial"/>
          <w:sz w:val="24"/>
          <w:szCs w:val="24"/>
        </w:rPr>
        <w:t>ed</w:t>
      </w:r>
      <w:r>
        <w:rPr>
          <w:rFonts w:ascii="Arial" w:hAnsi="Arial" w:cs="Arial"/>
          <w:sz w:val="24"/>
          <w:szCs w:val="24"/>
        </w:rPr>
        <w:t xml:space="preserve"> our people </w:t>
      </w:r>
      <w:r w:rsidR="00C3609D">
        <w:rPr>
          <w:rFonts w:ascii="Arial" w:hAnsi="Arial" w:cs="Arial"/>
          <w:sz w:val="24"/>
          <w:szCs w:val="24"/>
        </w:rPr>
        <w:t>to gain additional skills and legal qualifications and our first candidate to participate in our CILEX programme</w:t>
      </w:r>
      <w:r w:rsidR="00C96498">
        <w:rPr>
          <w:rFonts w:ascii="Arial" w:hAnsi="Arial" w:cs="Arial"/>
          <w:sz w:val="24"/>
          <w:szCs w:val="24"/>
        </w:rPr>
        <w:t xml:space="preserve"> fully qualified as a lawyer in October 2023</w:t>
      </w:r>
      <w:r w:rsidR="00AD5AC2">
        <w:rPr>
          <w:rFonts w:ascii="Arial" w:hAnsi="Arial" w:cs="Arial"/>
          <w:sz w:val="24"/>
          <w:szCs w:val="24"/>
        </w:rPr>
        <w:t>, with a further five students still participating in the scheme.</w:t>
      </w:r>
    </w:p>
    <w:p w14:paraId="27068E9B" w14:textId="7AD34DF7" w:rsidR="00C15C6D" w:rsidRDefault="00C15C6D" w:rsidP="00C15C6D">
      <w:pPr>
        <w:jc w:val="center"/>
        <w:rPr>
          <w:rFonts w:ascii="Arial" w:hAnsi="Arial" w:cs="Arial"/>
          <w:sz w:val="24"/>
          <w:szCs w:val="24"/>
        </w:rPr>
      </w:pPr>
      <w:r>
        <w:rPr>
          <w:rFonts w:ascii="Arial" w:hAnsi="Arial" w:cs="Arial"/>
          <w:noProof/>
          <w:sz w:val="24"/>
          <w:szCs w:val="24"/>
        </w:rPr>
        <w:drawing>
          <wp:inline distT="0" distB="0" distL="0" distR="0" wp14:anchorId="1762FEBC" wp14:editId="228D0BA0">
            <wp:extent cx="5189382" cy="26854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2284" t="15431" r="1992" b="9558"/>
                    <a:stretch/>
                  </pic:blipFill>
                  <pic:spPr bwMode="auto">
                    <a:xfrm>
                      <a:off x="0" y="0"/>
                      <a:ext cx="5206856" cy="2694458"/>
                    </a:xfrm>
                    <a:prstGeom prst="rect">
                      <a:avLst/>
                    </a:prstGeom>
                    <a:noFill/>
                    <a:ln>
                      <a:noFill/>
                    </a:ln>
                    <a:extLst>
                      <a:ext uri="{53640926-AAD7-44D8-BBD7-CCE9431645EC}">
                        <a14:shadowObscured xmlns:a14="http://schemas.microsoft.com/office/drawing/2010/main"/>
                      </a:ext>
                    </a:extLst>
                  </pic:spPr>
                </pic:pic>
              </a:graphicData>
            </a:graphic>
          </wp:inline>
        </w:drawing>
      </w:r>
    </w:p>
    <w:p w14:paraId="63DB5542" w14:textId="03EF4ED9" w:rsidR="00787EF0" w:rsidRPr="00787EF0" w:rsidRDefault="00787EF0" w:rsidP="00787EF0">
      <w:pPr>
        <w:rPr>
          <w:rFonts w:ascii="Arial" w:hAnsi="Arial" w:cs="Arial"/>
          <w:sz w:val="20"/>
          <w:szCs w:val="20"/>
        </w:rPr>
      </w:pPr>
      <w:r w:rsidRPr="00787EF0">
        <w:rPr>
          <w:rFonts w:ascii="Arial" w:hAnsi="Arial" w:cs="Arial"/>
          <w:sz w:val="20"/>
          <w:szCs w:val="20"/>
        </w:rPr>
        <w:t>Our Brilliant Leadership Framework</w:t>
      </w:r>
    </w:p>
    <w:p w14:paraId="7D113CD6" w14:textId="7A975FBF" w:rsidR="00E002A7" w:rsidRDefault="008F2FD3" w:rsidP="00C15C6D">
      <w:pPr>
        <w:rPr>
          <w:rFonts w:ascii="Arial" w:hAnsi="Arial" w:cs="Arial"/>
          <w:sz w:val="24"/>
          <w:szCs w:val="24"/>
        </w:rPr>
      </w:pPr>
      <w:r>
        <w:rPr>
          <w:rFonts w:ascii="Arial" w:hAnsi="Arial" w:cs="Arial"/>
          <w:sz w:val="24"/>
          <w:szCs w:val="24"/>
        </w:rPr>
        <w:t xml:space="preserve">One of our core values </w:t>
      </w:r>
      <w:r w:rsidR="0015662E">
        <w:rPr>
          <w:rFonts w:ascii="Arial" w:hAnsi="Arial" w:cs="Arial"/>
          <w:sz w:val="24"/>
          <w:szCs w:val="24"/>
        </w:rPr>
        <w:t xml:space="preserve">and a key element </w:t>
      </w:r>
      <w:r w:rsidR="00F83040">
        <w:rPr>
          <w:rFonts w:ascii="Arial" w:hAnsi="Arial" w:cs="Arial"/>
          <w:sz w:val="24"/>
          <w:szCs w:val="24"/>
        </w:rPr>
        <w:t>of our People Strategy</w:t>
      </w:r>
      <w:r w:rsidR="00D030D5">
        <w:rPr>
          <w:rFonts w:ascii="Arial" w:hAnsi="Arial" w:cs="Arial"/>
          <w:sz w:val="24"/>
          <w:szCs w:val="24"/>
        </w:rPr>
        <w:t xml:space="preserve"> is Brillian</w:t>
      </w:r>
      <w:r w:rsidR="008B3A78">
        <w:rPr>
          <w:rFonts w:ascii="Arial" w:hAnsi="Arial" w:cs="Arial"/>
          <w:sz w:val="24"/>
          <w:szCs w:val="24"/>
        </w:rPr>
        <w:t>t Leadership</w:t>
      </w:r>
      <w:r w:rsidR="00110351">
        <w:rPr>
          <w:rFonts w:ascii="Arial" w:hAnsi="Arial" w:cs="Arial"/>
          <w:sz w:val="24"/>
          <w:szCs w:val="24"/>
        </w:rPr>
        <w:t xml:space="preserve"> which is closely linked </w:t>
      </w:r>
      <w:r w:rsidR="007F164A">
        <w:rPr>
          <w:rFonts w:ascii="Arial" w:hAnsi="Arial" w:cs="Arial"/>
          <w:sz w:val="24"/>
          <w:szCs w:val="24"/>
        </w:rPr>
        <w:t xml:space="preserve">to our People Survey metrics. To improve </w:t>
      </w:r>
      <w:r w:rsidR="00DF0757">
        <w:rPr>
          <w:rFonts w:ascii="Arial" w:hAnsi="Arial" w:cs="Arial"/>
          <w:sz w:val="24"/>
          <w:szCs w:val="24"/>
        </w:rPr>
        <w:t xml:space="preserve">organisational </w:t>
      </w:r>
      <w:r w:rsidR="003E3D8C">
        <w:rPr>
          <w:rFonts w:ascii="Arial" w:hAnsi="Arial" w:cs="Arial"/>
          <w:sz w:val="24"/>
          <w:szCs w:val="24"/>
        </w:rPr>
        <w:t>performance in this area</w:t>
      </w:r>
      <w:r w:rsidR="00414C30">
        <w:rPr>
          <w:rFonts w:ascii="Arial" w:hAnsi="Arial" w:cs="Arial"/>
          <w:sz w:val="24"/>
          <w:szCs w:val="24"/>
        </w:rPr>
        <w:t xml:space="preserve"> we partnered </w:t>
      </w:r>
      <w:r w:rsidR="00190AB1">
        <w:rPr>
          <w:rFonts w:ascii="Arial" w:hAnsi="Arial" w:cs="Arial"/>
          <w:sz w:val="24"/>
          <w:szCs w:val="24"/>
        </w:rPr>
        <w:t>with an external consultancy</w:t>
      </w:r>
      <w:r w:rsidR="00F17EE8">
        <w:rPr>
          <w:rFonts w:ascii="Arial" w:hAnsi="Arial" w:cs="Arial"/>
          <w:sz w:val="24"/>
          <w:szCs w:val="24"/>
        </w:rPr>
        <w:t xml:space="preserve"> to create </w:t>
      </w:r>
      <w:r w:rsidR="00D646D4">
        <w:rPr>
          <w:rFonts w:ascii="Arial" w:hAnsi="Arial" w:cs="Arial"/>
          <w:sz w:val="24"/>
          <w:szCs w:val="24"/>
        </w:rPr>
        <w:t xml:space="preserve">a Brilliant Leadership </w:t>
      </w:r>
      <w:r w:rsidR="00165F21">
        <w:rPr>
          <w:rFonts w:ascii="Arial" w:hAnsi="Arial" w:cs="Arial"/>
          <w:sz w:val="24"/>
          <w:szCs w:val="24"/>
        </w:rPr>
        <w:t>programme. The programme</w:t>
      </w:r>
      <w:r w:rsidR="00045C30">
        <w:rPr>
          <w:rFonts w:ascii="Arial" w:hAnsi="Arial" w:cs="Arial"/>
          <w:sz w:val="24"/>
          <w:szCs w:val="24"/>
        </w:rPr>
        <w:t xml:space="preserve">’s development was informed by </w:t>
      </w:r>
      <w:r w:rsidR="00B20048">
        <w:rPr>
          <w:rFonts w:ascii="Arial" w:hAnsi="Arial" w:cs="Arial"/>
          <w:sz w:val="24"/>
          <w:szCs w:val="24"/>
        </w:rPr>
        <w:t>relevant performance measures and survey results</w:t>
      </w:r>
      <w:r w:rsidR="00D660DC">
        <w:rPr>
          <w:rFonts w:ascii="Arial" w:hAnsi="Arial" w:cs="Arial"/>
          <w:sz w:val="24"/>
          <w:szCs w:val="24"/>
        </w:rPr>
        <w:t xml:space="preserve"> to ensure the content met our leadership needs</w:t>
      </w:r>
      <w:r w:rsidR="008B5F18">
        <w:rPr>
          <w:rFonts w:ascii="Arial" w:hAnsi="Arial" w:cs="Arial"/>
          <w:sz w:val="24"/>
          <w:szCs w:val="24"/>
        </w:rPr>
        <w:t xml:space="preserve">, and </w:t>
      </w:r>
      <w:r w:rsidR="00D02F50">
        <w:rPr>
          <w:rFonts w:ascii="Arial" w:hAnsi="Arial" w:cs="Arial"/>
          <w:sz w:val="24"/>
          <w:szCs w:val="24"/>
        </w:rPr>
        <w:t>included the behaviours and performance expected of our leaders.</w:t>
      </w:r>
    </w:p>
    <w:p w14:paraId="30C7B46A" w14:textId="77777777" w:rsidR="00001BD4" w:rsidRDefault="00001BD4">
      <w:pPr>
        <w:rPr>
          <w:rFonts w:ascii="Arial" w:hAnsi="Arial" w:cs="Arial"/>
          <w:sz w:val="24"/>
          <w:szCs w:val="24"/>
        </w:rPr>
      </w:pPr>
      <w:r>
        <w:rPr>
          <w:rFonts w:ascii="Arial" w:hAnsi="Arial" w:cs="Arial"/>
          <w:sz w:val="24"/>
          <w:szCs w:val="24"/>
        </w:rPr>
        <w:br w:type="page"/>
      </w:r>
    </w:p>
    <w:p w14:paraId="576EEDD6" w14:textId="6E2C33AF" w:rsidR="00332755" w:rsidRDefault="00332755" w:rsidP="00C15C6D">
      <w:pPr>
        <w:rPr>
          <w:rFonts w:ascii="Arial" w:hAnsi="Arial" w:cs="Arial"/>
          <w:sz w:val="24"/>
          <w:szCs w:val="24"/>
        </w:rPr>
      </w:pPr>
      <w:r>
        <w:rPr>
          <w:rFonts w:ascii="Arial" w:hAnsi="Arial" w:cs="Arial"/>
          <w:sz w:val="24"/>
          <w:szCs w:val="24"/>
        </w:rPr>
        <w:lastRenderedPageBreak/>
        <w:t>The programme</w:t>
      </w:r>
      <w:r w:rsidR="00D43D15">
        <w:rPr>
          <w:rFonts w:ascii="Arial" w:hAnsi="Arial" w:cs="Arial"/>
          <w:sz w:val="24"/>
          <w:szCs w:val="24"/>
        </w:rPr>
        <w:t xml:space="preserve"> has been delivered to 170 senior </w:t>
      </w:r>
      <w:r w:rsidR="00404DBC">
        <w:rPr>
          <w:rFonts w:ascii="Arial" w:hAnsi="Arial" w:cs="Arial"/>
          <w:sz w:val="24"/>
          <w:szCs w:val="24"/>
        </w:rPr>
        <w:t>grade leaders</w:t>
      </w:r>
      <w:r w:rsidR="00613A1B">
        <w:rPr>
          <w:rFonts w:ascii="Arial" w:hAnsi="Arial" w:cs="Arial"/>
          <w:sz w:val="24"/>
          <w:szCs w:val="24"/>
        </w:rPr>
        <w:t xml:space="preserve"> and </w:t>
      </w:r>
      <w:r w:rsidR="0066297C">
        <w:rPr>
          <w:rFonts w:ascii="Arial" w:hAnsi="Arial" w:cs="Arial"/>
          <w:sz w:val="24"/>
          <w:szCs w:val="24"/>
        </w:rPr>
        <w:t>in</w:t>
      </w:r>
      <w:r w:rsidR="00613A1B">
        <w:rPr>
          <w:rFonts w:ascii="Arial" w:hAnsi="Arial" w:cs="Arial"/>
          <w:sz w:val="24"/>
          <w:szCs w:val="24"/>
        </w:rPr>
        <w:t xml:space="preserve"> March 2024</w:t>
      </w:r>
      <w:r w:rsidR="0066297C">
        <w:rPr>
          <w:rFonts w:ascii="Arial" w:hAnsi="Arial" w:cs="Arial"/>
          <w:sz w:val="24"/>
          <w:szCs w:val="24"/>
        </w:rPr>
        <w:t xml:space="preserve"> we began </w:t>
      </w:r>
      <w:r w:rsidR="008A3EFD">
        <w:rPr>
          <w:rFonts w:ascii="Arial" w:hAnsi="Arial" w:cs="Arial"/>
          <w:sz w:val="24"/>
          <w:szCs w:val="24"/>
        </w:rPr>
        <w:t>rolling out the programme to another 300 middle managers</w:t>
      </w:r>
      <w:r w:rsidR="008A533C">
        <w:rPr>
          <w:rFonts w:ascii="Arial" w:hAnsi="Arial" w:cs="Arial"/>
          <w:sz w:val="24"/>
          <w:szCs w:val="24"/>
        </w:rPr>
        <w:t xml:space="preserve">. </w:t>
      </w:r>
      <w:r w:rsidR="00B73C55">
        <w:rPr>
          <w:rFonts w:ascii="Arial" w:hAnsi="Arial" w:cs="Arial"/>
          <w:sz w:val="24"/>
          <w:szCs w:val="24"/>
        </w:rPr>
        <w:t xml:space="preserve">We have </w:t>
      </w:r>
      <w:r w:rsidR="001C63A8">
        <w:rPr>
          <w:rFonts w:ascii="Arial" w:hAnsi="Arial" w:cs="Arial"/>
          <w:sz w:val="24"/>
          <w:szCs w:val="24"/>
        </w:rPr>
        <w:t xml:space="preserve">started </w:t>
      </w:r>
      <w:r w:rsidR="00CE4109">
        <w:rPr>
          <w:rFonts w:ascii="Arial" w:hAnsi="Arial" w:cs="Arial"/>
          <w:sz w:val="24"/>
          <w:szCs w:val="24"/>
        </w:rPr>
        <w:t>a</w:t>
      </w:r>
      <w:r w:rsidR="006C1AFF">
        <w:rPr>
          <w:rFonts w:ascii="Arial" w:hAnsi="Arial" w:cs="Arial"/>
          <w:sz w:val="24"/>
          <w:szCs w:val="24"/>
        </w:rPr>
        <w:t xml:space="preserve">n evaluation of the programme </w:t>
      </w:r>
      <w:r w:rsidR="00BF2A0D">
        <w:rPr>
          <w:rFonts w:ascii="Arial" w:hAnsi="Arial" w:cs="Arial"/>
          <w:sz w:val="24"/>
          <w:szCs w:val="24"/>
        </w:rPr>
        <w:t xml:space="preserve">which has </w:t>
      </w:r>
      <w:r w:rsidR="00E70F4A">
        <w:rPr>
          <w:rFonts w:ascii="Arial" w:hAnsi="Arial" w:cs="Arial"/>
          <w:sz w:val="24"/>
          <w:szCs w:val="24"/>
        </w:rPr>
        <w:t xml:space="preserve">yielded </w:t>
      </w:r>
      <w:r w:rsidR="00A85D15">
        <w:rPr>
          <w:rFonts w:ascii="Arial" w:hAnsi="Arial" w:cs="Arial"/>
          <w:sz w:val="24"/>
          <w:szCs w:val="24"/>
        </w:rPr>
        <w:t>positive responses</w:t>
      </w:r>
      <w:r w:rsidR="00A70F9D">
        <w:rPr>
          <w:rFonts w:ascii="Arial" w:hAnsi="Arial" w:cs="Arial"/>
          <w:sz w:val="24"/>
          <w:szCs w:val="24"/>
        </w:rPr>
        <w:t xml:space="preserve"> and more activity </w:t>
      </w:r>
      <w:r w:rsidR="00F5791F">
        <w:rPr>
          <w:rFonts w:ascii="Arial" w:hAnsi="Arial" w:cs="Arial"/>
          <w:sz w:val="24"/>
          <w:szCs w:val="24"/>
        </w:rPr>
        <w:t>is planned for next year.</w:t>
      </w:r>
    </w:p>
    <w:p w14:paraId="15A3FD42" w14:textId="58A7EB3E" w:rsidR="00A44854" w:rsidRDefault="00A44854" w:rsidP="004919D3">
      <w:pPr>
        <w:pStyle w:val="Heading4"/>
        <w:rPr>
          <w:rFonts w:cs="Arial"/>
          <w:b w:val="0"/>
          <w:sz w:val="24"/>
          <w:szCs w:val="24"/>
        </w:rPr>
      </w:pPr>
      <w:r>
        <w:t>Diversity, inclusion and wellbeing</w:t>
      </w:r>
    </w:p>
    <w:p w14:paraId="28804E2B" w14:textId="23720AED" w:rsidR="00A44854" w:rsidRDefault="00DA45F7" w:rsidP="00C15C6D">
      <w:pPr>
        <w:rPr>
          <w:rFonts w:ascii="Arial" w:hAnsi="Arial" w:cs="Arial"/>
          <w:sz w:val="24"/>
          <w:szCs w:val="24"/>
        </w:rPr>
      </w:pPr>
      <w:r>
        <w:rPr>
          <w:rFonts w:ascii="Arial" w:hAnsi="Arial" w:cs="Arial"/>
          <w:sz w:val="24"/>
          <w:szCs w:val="24"/>
        </w:rPr>
        <w:t>We have continued to make progress</w:t>
      </w:r>
      <w:r w:rsidR="00DF6629">
        <w:rPr>
          <w:rFonts w:ascii="Arial" w:hAnsi="Arial" w:cs="Arial"/>
          <w:sz w:val="24"/>
          <w:szCs w:val="24"/>
        </w:rPr>
        <w:t xml:space="preserve"> in the implementation of our Inclusion First strategy</w:t>
      </w:r>
      <w:r w:rsidR="003C5340">
        <w:rPr>
          <w:rFonts w:ascii="Arial" w:hAnsi="Arial" w:cs="Arial"/>
          <w:sz w:val="24"/>
          <w:szCs w:val="24"/>
        </w:rPr>
        <w:t xml:space="preserve">, which makes </w:t>
      </w:r>
      <w:r w:rsidR="001D5F2F">
        <w:rPr>
          <w:rFonts w:ascii="Arial" w:hAnsi="Arial" w:cs="Arial"/>
          <w:sz w:val="24"/>
          <w:szCs w:val="24"/>
        </w:rPr>
        <w:t xml:space="preserve">a significant </w:t>
      </w:r>
      <w:r w:rsidR="00FC23F1">
        <w:rPr>
          <w:rFonts w:ascii="Arial" w:hAnsi="Arial" w:cs="Arial"/>
          <w:sz w:val="24"/>
          <w:szCs w:val="24"/>
        </w:rPr>
        <w:t xml:space="preserve">contribution to making the </w:t>
      </w:r>
      <w:r w:rsidR="00DD7881">
        <w:rPr>
          <w:rFonts w:ascii="Arial" w:hAnsi="Arial" w:cs="Arial"/>
          <w:sz w:val="24"/>
          <w:szCs w:val="24"/>
        </w:rPr>
        <w:t xml:space="preserve">Agency a great place to work. </w:t>
      </w:r>
    </w:p>
    <w:p w14:paraId="19725C64" w14:textId="1ED4AA32" w:rsidR="001D3BBF" w:rsidRDefault="006C4A41" w:rsidP="00C15C6D">
      <w:pPr>
        <w:rPr>
          <w:rFonts w:ascii="Arial" w:hAnsi="Arial" w:cs="Arial"/>
          <w:sz w:val="24"/>
          <w:szCs w:val="24"/>
        </w:rPr>
      </w:pPr>
      <w:r>
        <w:rPr>
          <w:rFonts w:ascii="Arial" w:hAnsi="Arial" w:cs="Arial"/>
          <w:sz w:val="24"/>
          <w:szCs w:val="24"/>
        </w:rPr>
        <w:t xml:space="preserve">Our People Committee have </w:t>
      </w:r>
      <w:r w:rsidR="00D659AB">
        <w:rPr>
          <w:rFonts w:ascii="Arial" w:hAnsi="Arial" w:cs="Arial"/>
          <w:sz w:val="24"/>
          <w:szCs w:val="24"/>
        </w:rPr>
        <w:t xml:space="preserve">regularly considered this progress </w:t>
      </w:r>
      <w:r w:rsidR="002376F0">
        <w:rPr>
          <w:rFonts w:ascii="Arial" w:hAnsi="Arial" w:cs="Arial"/>
          <w:sz w:val="24"/>
          <w:szCs w:val="24"/>
        </w:rPr>
        <w:t>during the year</w:t>
      </w:r>
      <w:r w:rsidR="000F580A">
        <w:rPr>
          <w:rFonts w:ascii="Arial" w:hAnsi="Arial" w:cs="Arial"/>
          <w:sz w:val="24"/>
          <w:szCs w:val="24"/>
        </w:rPr>
        <w:t xml:space="preserve"> including</w:t>
      </w:r>
      <w:r w:rsidR="000D60AF">
        <w:rPr>
          <w:rFonts w:ascii="Arial" w:hAnsi="Arial" w:cs="Arial"/>
          <w:sz w:val="24"/>
          <w:szCs w:val="24"/>
        </w:rPr>
        <w:t>:</w:t>
      </w:r>
    </w:p>
    <w:p w14:paraId="482104D3" w14:textId="6757A67D" w:rsidR="000D60AF" w:rsidRDefault="006C22D8" w:rsidP="000D60AF">
      <w:pPr>
        <w:pStyle w:val="ListParagraph"/>
        <w:numPr>
          <w:ilvl w:val="0"/>
          <w:numId w:val="7"/>
        </w:numPr>
        <w:rPr>
          <w:rFonts w:ascii="Arial" w:hAnsi="Arial" w:cs="Arial"/>
          <w:sz w:val="24"/>
          <w:szCs w:val="24"/>
        </w:rPr>
      </w:pPr>
      <w:r>
        <w:rPr>
          <w:rFonts w:ascii="Arial" w:hAnsi="Arial" w:cs="Arial"/>
          <w:sz w:val="24"/>
          <w:szCs w:val="24"/>
        </w:rPr>
        <w:t xml:space="preserve">A reduction </w:t>
      </w:r>
      <w:r w:rsidR="00AA0A45">
        <w:rPr>
          <w:rFonts w:ascii="Arial" w:hAnsi="Arial" w:cs="Arial"/>
          <w:sz w:val="24"/>
          <w:szCs w:val="24"/>
        </w:rPr>
        <w:t xml:space="preserve">in </w:t>
      </w:r>
      <w:r w:rsidR="000F39BB">
        <w:rPr>
          <w:rFonts w:ascii="Arial" w:hAnsi="Arial" w:cs="Arial"/>
          <w:sz w:val="24"/>
          <w:szCs w:val="24"/>
        </w:rPr>
        <w:t xml:space="preserve">our </w:t>
      </w:r>
      <w:r w:rsidR="00ED3F94">
        <w:rPr>
          <w:rFonts w:ascii="Arial" w:hAnsi="Arial" w:cs="Arial"/>
          <w:sz w:val="24"/>
          <w:szCs w:val="24"/>
        </w:rPr>
        <w:t>gender pay gap</w:t>
      </w:r>
      <w:r w:rsidR="00FC2BFF">
        <w:rPr>
          <w:rFonts w:ascii="Arial" w:hAnsi="Arial" w:cs="Arial"/>
          <w:sz w:val="24"/>
          <w:szCs w:val="24"/>
        </w:rPr>
        <w:t xml:space="preserve"> with the mean gap </w:t>
      </w:r>
      <w:r w:rsidR="00F067F0">
        <w:rPr>
          <w:rFonts w:ascii="Arial" w:hAnsi="Arial" w:cs="Arial"/>
          <w:sz w:val="24"/>
          <w:szCs w:val="24"/>
        </w:rPr>
        <w:t>reducing to</w:t>
      </w:r>
      <w:r w:rsidR="00B64CE4">
        <w:rPr>
          <w:rFonts w:ascii="Arial" w:hAnsi="Arial" w:cs="Arial"/>
          <w:sz w:val="24"/>
          <w:szCs w:val="24"/>
        </w:rPr>
        <w:t xml:space="preserve"> </w:t>
      </w:r>
      <w:r w:rsidR="00F067F0">
        <w:rPr>
          <w:rFonts w:ascii="Arial" w:hAnsi="Arial" w:cs="Arial"/>
          <w:sz w:val="24"/>
          <w:szCs w:val="24"/>
        </w:rPr>
        <w:t>8.7%</w:t>
      </w:r>
      <w:r w:rsidR="007C10D5">
        <w:rPr>
          <w:rFonts w:ascii="Arial" w:hAnsi="Arial" w:cs="Arial"/>
          <w:sz w:val="24"/>
          <w:szCs w:val="24"/>
        </w:rPr>
        <w:t xml:space="preserve"> and the median from </w:t>
      </w:r>
      <w:r w:rsidR="00B64CE4">
        <w:rPr>
          <w:rFonts w:ascii="Arial" w:hAnsi="Arial" w:cs="Arial"/>
          <w:sz w:val="24"/>
          <w:szCs w:val="24"/>
        </w:rPr>
        <w:t>16.1% to 11.11%</w:t>
      </w:r>
    </w:p>
    <w:p w14:paraId="6DEA4C1E" w14:textId="31A4F8FA" w:rsidR="00C201C3" w:rsidRDefault="00C201C3" w:rsidP="000D60AF">
      <w:pPr>
        <w:pStyle w:val="ListParagraph"/>
        <w:numPr>
          <w:ilvl w:val="0"/>
          <w:numId w:val="7"/>
        </w:numPr>
        <w:rPr>
          <w:rFonts w:ascii="Arial" w:hAnsi="Arial" w:cs="Arial"/>
          <w:sz w:val="24"/>
          <w:szCs w:val="24"/>
        </w:rPr>
      </w:pPr>
      <w:r w:rsidRPr="4498379B">
        <w:rPr>
          <w:rFonts w:ascii="Arial" w:hAnsi="Arial" w:cs="Arial"/>
          <w:sz w:val="24"/>
          <w:szCs w:val="24"/>
        </w:rPr>
        <w:t xml:space="preserve">The </w:t>
      </w:r>
      <w:r w:rsidR="18AC30E1" w:rsidRPr="4498379B">
        <w:rPr>
          <w:rFonts w:ascii="Arial" w:hAnsi="Arial" w:cs="Arial"/>
          <w:sz w:val="24"/>
          <w:szCs w:val="24"/>
        </w:rPr>
        <w:t xml:space="preserve">percentage of female </w:t>
      </w:r>
      <w:r w:rsidR="18AC30E1" w:rsidRPr="35F2AD18">
        <w:rPr>
          <w:rFonts w:ascii="Arial" w:hAnsi="Arial" w:cs="Arial"/>
          <w:sz w:val="24"/>
          <w:szCs w:val="24"/>
        </w:rPr>
        <w:t>employees</w:t>
      </w:r>
      <w:r w:rsidR="00EE08E7" w:rsidRPr="4498379B">
        <w:rPr>
          <w:rFonts w:ascii="Arial" w:hAnsi="Arial" w:cs="Arial"/>
          <w:sz w:val="24"/>
          <w:szCs w:val="24"/>
        </w:rPr>
        <w:t xml:space="preserve"> </w:t>
      </w:r>
      <w:r w:rsidR="00EE08E7">
        <w:rPr>
          <w:rFonts w:ascii="Arial" w:hAnsi="Arial" w:cs="Arial"/>
          <w:sz w:val="24"/>
          <w:szCs w:val="24"/>
        </w:rPr>
        <w:t xml:space="preserve">in the Agency, </w:t>
      </w:r>
      <w:r w:rsidR="002874F8">
        <w:rPr>
          <w:rFonts w:ascii="Arial" w:hAnsi="Arial" w:cs="Arial"/>
          <w:sz w:val="24"/>
          <w:szCs w:val="24"/>
        </w:rPr>
        <w:t>57.6%</w:t>
      </w:r>
      <w:r w:rsidR="00CA71D0">
        <w:rPr>
          <w:rFonts w:ascii="Arial" w:hAnsi="Arial" w:cs="Arial"/>
          <w:sz w:val="24"/>
          <w:szCs w:val="24"/>
        </w:rPr>
        <w:t xml:space="preserve">, is higher than </w:t>
      </w:r>
      <w:r w:rsidR="001E4B32">
        <w:rPr>
          <w:rFonts w:ascii="Arial" w:hAnsi="Arial" w:cs="Arial"/>
          <w:sz w:val="24"/>
          <w:szCs w:val="24"/>
        </w:rPr>
        <w:t>the Civil Ser</w:t>
      </w:r>
      <w:r w:rsidR="00836B4C">
        <w:rPr>
          <w:rFonts w:ascii="Arial" w:hAnsi="Arial" w:cs="Arial"/>
          <w:sz w:val="24"/>
          <w:szCs w:val="24"/>
        </w:rPr>
        <w:t>vice</w:t>
      </w:r>
      <w:r w:rsidR="00970552">
        <w:rPr>
          <w:rFonts w:ascii="Arial" w:hAnsi="Arial" w:cs="Arial"/>
          <w:sz w:val="24"/>
          <w:szCs w:val="24"/>
        </w:rPr>
        <w:t xml:space="preserve"> figure</w:t>
      </w:r>
      <w:r w:rsidR="00270C45">
        <w:rPr>
          <w:rFonts w:ascii="Arial" w:hAnsi="Arial" w:cs="Arial"/>
          <w:sz w:val="24"/>
          <w:szCs w:val="24"/>
        </w:rPr>
        <w:t xml:space="preserve"> of </w:t>
      </w:r>
      <w:r w:rsidR="00970552">
        <w:rPr>
          <w:rFonts w:ascii="Arial" w:hAnsi="Arial" w:cs="Arial"/>
          <w:sz w:val="24"/>
          <w:szCs w:val="24"/>
        </w:rPr>
        <w:t>54.6%</w:t>
      </w:r>
    </w:p>
    <w:p w14:paraId="2FE1C3C8" w14:textId="2EE940A6" w:rsidR="00CB3483" w:rsidRDefault="00F87112" w:rsidP="000D60AF">
      <w:pPr>
        <w:pStyle w:val="ListParagraph"/>
        <w:numPr>
          <w:ilvl w:val="0"/>
          <w:numId w:val="7"/>
        </w:numPr>
        <w:rPr>
          <w:rFonts w:ascii="Arial" w:hAnsi="Arial" w:cs="Arial"/>
          <w:sz w:val="24"/>
          <w:szCs w:val="24"/>
        </w:rPr>
      </w:pPr>
      <w:r>
        <w:rPr>
          <w:rFonts w:ascii="Arial" w:hAnsi="Arial" w:cs="Arial"/>
          <w:sz w:val="24"/>
          <w:szCs w:val="24"/>
        </w:rPr>
        <w:t xml:space="preserve">Based on </w:t>
      </w:r>
      <w:r w:rsidR="00B80190">
        <w:rPr>
          <w:rFonts w:ascii="Arial" w:hAnsi="Arial" w:cs="Arial"/>
          <w:sz w:val="24"/>
          <w:szCs w:val="24"/>
        </w:rPr>
        <w:t xml:space="preserve">2023 </w:t>
      </w:r>
      <w:r>
        <w:rPr>
          <w:rFonts w:ascii="Arial" w:hAnsi="Arial" w:cs="Arial"/>
          <w:sz w:val="24"/>
          <w:szCs w:val="24"/>
        </w:rPr>
        <w:t>declarations</w:t>
      </w:r>
      <w:r w:rsidR="00D82E6D">
        <w:rPr>
          <w:rFonts w:ascii="Arial" w:hAnsi="Arial" w:cs="Arial"/>
          <w:sz w:val="24"/>
          <w:szCs w:val="24"/>
        </w:rPr>
        <w:t>,</w:t>
      </w:r>
      <w:r>
        <w:rPr>
          <w:rFonts w:ascii="Arial" w:hAnsi="Arial" w:cs="Arial"/>
          <w:sz w:val="24"/>
          <w:szCs w:val="24"/>
        </w:rPr>
        <w:t xml:space="preserve"> </w:t>
      </w:r>
      <w:r w:rsidR="00656C0B">
        <w:rPr>
          <w:rFonts w:ascii="Arial" w:hAnsi="Arial" w:cs="Arial"/>
          <w:sz w:val="24"/>
          <w:szCs w:val="24"/>
        </w:rPr>
        <w:t>we have 19.5% of employees from ethnic minority bac</w:t>
      </w:r>
      <w:r w:rsidR="007F71C6">
        <w:rPr>
          <w:rFonts w:ascii="Arial" w:hAnsi="Arial" w:cs="Arial"/>
          <w:sz w:val="24"/>
          <w:szCs w:val="24"/>
        </w:rPr>
        <w:t>k</w:t>
      </w:r>
      <w:r w:rsidR="00656C0B">
        <w:rPr>
          <w:rFonts w:ascii="Arial" w:hAnsi="Arial" w:cs="Arial"/>
          <w:sz w:val="24"/>
          <w:szCs w:val="24"/>
        </w:rPr>
        <w:t>grounds</w:t>
      </w:r>
      <w:r w:rsidR="007D7801">
        <w:rPr>
          <w:rFonts w:ascii="Arial" w:hAnsi="Arial" w:cs="Arial"/>
          <w:sz w:val="24"/>
          <w:szCs w:val="24"/>
        </w:rPr>
        <w:t xml:space="preserve"> increas</w:t>
      </w:r>
      <w:r w:rsidR="007F71C6">
        <w:rPr>
          <w:rFonts w:ascii="Arial" w:hAnsi="Arial" w:cs="Arial"/>
          <w:sz w:val="24"/>
          <w:szCs w:val="24"/>
        </w:rPr>
        <w:t xml:space="preserve">ing from 18.8% in </w:t>
      </w:r>
      <w:r w:rsidR="007F71C6" w:rsidRPr="00F92F79">
        <w:rPr>
          <w:rFonts w:ascii="Arial" w:hAnsi="Arial" w:cs="Arial"/>
          <w:sz w:val="24"/>
          <w:szCs w:val="24"/>
        </w:rPr>
        <w:t>2022</w:t>
      </w:r>
    </w:p>
    <w:p w14:paraId="1BB9E8B2" w14:textId="30CE0C79" w:rsidR="00D82E6D" w:rsidRDefault="00D82E6D" w:rsidP="000D60AF">
      <w:pPr>
        <w:pStyle w:val="ListParagraph"/>
        <w:numPr>
          <w:ilvl w:val="0"/>
          <w:numId w:val="7"/>
        </w:numPr>
        <w:rPr>
          <w:rFonts w:ascii="Arial" w:hAnsi="Arial" w:cs="Arial"/>
          <w:sz w:val="24"/>
          <w:szCs w:val="24"/>
        </w:rPr>
      </w:pPr>
      <w:r>
        <w:rPr>
          <w:rFonts w:ascii="Arial" w:hAnsi="Arial" w:cs="Arial"/>
          <w:sz w:val="24"/>
          <w:szCs w:val="24"/>
        </w:rPr>
        <w:t xml:space="preserve">The </w:t>
      </w:r>
      <w:r w:rsidR="005B09D4">
        <w:rPr>
          <w:rFonts w:ascii="Arial" w:hAnsi="Arial" w:cs="Arial"/>
          <w:sz w:val="24"/>
          <w:szCs w:val="24"/>
        </w:rPr>
        <w:t xml:space="preserve">percentage of </w:t>
      </w:r>
      <w:r w:rsidR="005634E0">
        <w:rPr>
          <w:rFonts w:ascii="Arial" w:hAnsi="Arial" w:cs="Arial"/>
          <w:sz w:val="24"/>
          <w:szCs w:val="24"/>
        </w:rPr>
        <w:t xml:space="preserve">disabled employees </w:t>
      </w:r>
      <w:r w:rsidR="00883836">
        <w:rPr>
          <w:rFonts w:ascii="Arial" w:hAnsi="Arial" w:cs="Arial"/>
          <w:sz w:val="24"/>
          <w:szCs w:val="24"/>
        </w:rPr>
        <w:t>has increased from 1</w:t>
      </w:r>
      <w:r w:rsidR="005E1C80">
        <w:rPr>
          <w:rFonts w:ascii="Arial" w:hAnsi="Arial" w:cs="Arial"/>
          <w:sz w:val="24"/>
          <w:szCs w:val="24"/>
        </w:rPr>
        <w:t xml:space="preserve">5.1% in </w:t>
      </w:r>
      <w:r w:rsidR="005E1C80" w:rsidRPr="00F92F79">
        <w:rPr>
          <w:rFonts w:ascii="Arial" w:hAnsi="Arial" w:cs="Arial"/>
          <w:sz w:val="24"/>
          <w:szCs w:val="24"/>
        </w:rPr>
        <w:t>2022</w:t>
      </w:r>
      <w:r w:rsidR="005E1C80">
        <w:rPr>
          <w:rFonts w:ascii="Arial" w:hAnsi="Arial" w:cs="Arial"/>
          <w:sz w:val="24"/>
          <w:szCs w:val="24"/>
        </w:rPr>
        <w:t xml:space="preserve"> to 16.6%</w:t>
      </w:r>
    </w:p>
    <w:p w14:paraId="692254A8" w14:textId="22CFD988" w:rsidR="00EC36DB" w:rsidRDefault="00EC36DB" w:rsidP="00EC36DB">
      <w:pPr>
        <w:rPr>
          <w:rFonts w:ascii="Arial" w:hAnsi="Arial" w:cs="Arial"/>
          <w:sz w:val="24"/>
          <w:szCs w:val="24"/>
        </w:rPr>
      </w:pPr>
      <w:r>
        <w:rPr>
          <w:rFonts w:ascii="Arial" w:hAnsi="Arial" w:cs="Arial"/>
          <w:sz w:val="24"/>
          <w:szCs w:val="24"/>
        </w:rPr>
        <w:t xml:space="preserve">We </w:t>
      </w:r>
      <w:r w:rsidR="003F1E2A">
        <w:rPr>
          <w:rFonts w:ascii="Arial" w:hAnsi="Arial" w:cs="Arial"/>
          <w:sz w:val="24"/>
          <w:szCs w:val="24"/>
        </w:rPr>
        <w:t xml:space="preserve">received </w:t>
      </w:r>
      <w:r w:rsidR="0025480F">
        <w:rPr>
          <w:rFonts w:ascii="Arial" w:hAnsi="Arial" w:cs="Arial"/>
          <w:sz w:val="24"/>
          <w:szCs w:val="24"/>
        </w:rPr>
        <w:t>Disability Confident Leadership (Level 3) certification</w:t>
      </w:r>
      <w:r w:rsidR="005F1741">
        <w:rPr>
          <w:rFonts w:ascii="Arial" w:hAnsi="Arial" w:cs="Arial"/>
          <w:sz w:val="24"/>
          <w:szCs w:val="24"/>
        </w:rPr>
        <w:t xml:space="preserve"> in December 2023</w:t>
      </w:r>
      <w:r w:rsidR="004739B1">
        <w:rPr>
          <w:rFonts w:ascii="Arial" w:hAnsi="Arial" w:cs="Arial"/>
          <w:sz w:val="24"/>
          <w:szCs w:val="24"/>
        </w:rPr>
        <w:t xml:space="preserve"> with feedback </w:t>
      </w:r>
      <w:r w:rsidR="00D57B07">
        <w:rPr>
          <w:rFonts w:ascii="Arial" w:hAnsi="Arial" w:cs="Arial"/>
          <w:sz w:val="24"/>
          <w:szCs w:val="24"/>
        </w:rPr>
        <w:t xml:space="preserve">confirming that we are ‘doing </w:t>
      </w:r>
      <w:r w:rsidR="00623184">
        <w:rPr>
          <w:rFonts w:ascii="Arial" w:hAnsi="Arial" w:cs="Arial"/>
          <w:sz w:val="24"/>
          <w:szCs w:val="24"/>
        </w:rPr>
        <w:t xml:space="preserve">a lot of great work and our commitment </w:t>
      </w:r>
      <w:r w:rsidR="00EB4005">
        <w:rPr>
          <w:rFonts w:ascii="Arial" w:hAnsi="Arial" w:cs="Arial"/>
          <w:sz w:val="24"/>
          <w:szCs w:val="24"/>
        </w:rPr>
        <w:t xml:space="preserve">to supportive </w:t>
      </w:r>
      <w:r w:rsidR="003D4253">
        <w:rPr>
          <w:rFonts w:ascii="Arial" w:hAnsi="Arial" w:cs="Arial"/>
          <w:sz w:val="24"/>
          <w:szCs w:val="24"/>
        </w:rPr>
        <w:t>and inclusive practice</w:t>
      </w:r>
      <w:r w:rsidR="003D4150">
        <w:rPr>
          <w:rFonts w:ascii="Arial" w:hAnsi="Arial" w:cs="Arial"/>
          <w:sz w:val="24"/>
          <w:szCs w:val="24"/>
        </w:rPr>
        <w:t xml:space="preserve"> was definitely evident</w:t>
      </w:r>
      <w:r w:rsidR="00692332">
        <w:rPr>
          <w:rFonts w:ascii="Arial" w:hAnsi="Arial" w:cs="Arial"/>
          <w:sz w:val="24"/>
          <w:szCs w:val="24"/>
        </w:rPr>
        <w:t xml:space="preserve"> in our submission</w:t>
      </w:r>
      <w:r w:rsidR="006C69DD">
        <w:rPr>
          <w:rFonts w:ascii="Arial" w:hAnsi="Arial" w:cs="Arial"/>
          <w:sz w:val="24"/>
          <w:szCs w:val="24"/>
        </w:rPr>
        <w:t>’</w:t>
      </w:r>
      <w:r w:rsidR="004F1D44">
        <w:rPr>
          <w:rFonts w:ascii="Arial" w:hAnsi="Arial" w:cs="Arial"/>
          <w:sz w:val="24"/>
          <w:szCs w:val="24"/>
        </w:rPr>
        <w:t>. We continuously monitor</w:t>
      </w:r>
      <w:r w:rsidR="00700332">
        <w:rPr>
          <w:rFonts w:ascii="Arial" w:hAnsi="Arial" w:cs="Arial"/>
          <w:sz w:val="24"/>
          <w:szCs w:val="24"/>
        </w:rPr>
        <w:t xml:space="preserve"> </w:t>
      </w:r>
      <w:r w:rsidR="009F0FB1">
        <w:rPr>
          <w:rFonts w:ascii="Arial" w:hAnsi="Arial" w:cs="Arial"/>
          <w:sz w:val="24"/>
          <w:szCs w:val="24"/>
        </w:rPr>
        <w:t xml:space="preserve">the diversity of candidates </w:t>
      </w:r>
      <w:r w:rsidR="00075170">
        <w:rPr>
          <w:rFonts w:ascii="Arial" w:hAnsi="Arial" w:cs="Arial"/>
          <w:sz w:val="24"/>
          <w:szCs w:val="24"/>
        </w:rPr>
        <w:t>through the recruitment process</w:t>
      </w:r>
      <w:r w:rsidR="00FF7A17">
        <w:rPr>
          <w:rFonts w:ascii="Arial" w:hAnsi="Arial" w:cs="Arial"/>
          <w:sz w:val="24"/>
          <w:szCs w:val="24"/>
        </w:rPr>
        <w:t xml:space="preserve"> to ensure fairness</w:t>
      </w:r>
      <w:r w:rsidR="004A0438">
        <w:rPr>
          <w:rFonts w:ascii="Arial" w:hAnsi="Arial" w:cs="Arial"/>
          <w:sz w:val="24"/>
          <w:szCs w:val="24"/>
        </w:rPr>
        <w:t xml:space="preserve"> and we compared favourabl</w:t>
      </w:r>
      <w:r w:rsidR="00A3243E">
        <w:rPr>
          <w:rFonts w:ascii="Arial" w:hAnsi="Arial" w:cs="Arial"/>
          <w:sz w:val="24"/>
          <w:szCs w:val="24"/>
        </w:rPr>
        <w:t xml:space="preserve">y </w:t>
      </w:r>
      <w:r w:rsidR="00E4699C">
        <w:rPr>
          <w:rFonts w:ascii="Arial" w:hAnsi="Arial" w:cs="Arial"/>
          <w:sz w:val="24"/>
          <w:szCs w:val="24"/>
        </w:rPr>
        <w:t>with the wider Civil Service</w:t>
      </w:r>
      <w:r w:rsidR="00CF7D14">
        <w:rPr>
          <w:rFonts w:ascii="Arial" w:hAnsi="Arial" w:cs="Arial"/>
          <w:sz w:val="24"/>
          <w:szCs w:val="24"/>
        </w:rPr>
        <w:t xml:space="preserve"> by exceeding </w:t>
      </w:r>
      <w:r w:rsidR="00B05D0E">
        <w:rPr>
          <w:rFonts w:ascii="Arial" w:hAnsi="Arial" w:cs="Arial"/>
          <w:sz w:val="24"/>
          <w:szCs w:val="24"/>
        </w:rPr>
        <w:t xml:space="preserve">the </w:t>
      </w:r>
      <w:r w:rsidR="48C54244" w:rsidRPr="021F3C71">
        <w:rPr>
          <w:rFonts w:ascii="Arial" w:hAnsi="Arial" w:cs="Arial"/>
          <w:sz w:val="24"/>
          <w:szCs w:val="24"/>
        </w:rPr>
        <w:t xml:space="preserve">proportion </w:t>
      </w:r>
      <w:r w:rsidR="00B8448E" w:rsidRPr="021F3C71">
        <w:rPr>
          <w:rFonts w:ascii="Arial" w:hAnsi="Arial" w:cs="Arial"/>
          <w:sz w:val="24"/>
          <w:szCs w:val="24"/>
        </w:rPr>
        <w:t>of</w:t>
      </w:r>
      <w:r w:rsidR="00B8448E">
        <w:rPr>
          <w:rFonts w:ascii="Arial" w:hAnsi="Arial" w:cs="Arial"/>
          <w:sz w:val="24"/>
          <w:szCs w:val="24"/>
        </w:rPr>
        <w:t xml:space="preserve"> application</w:t>
      </w:r>
      <w:r w:rsidR="00A41793">
        <w:rPr>
          <w:rFonts w:ascii="Arial" w:hAnsi="Arial" w:cs="Arial"/>
          <w:sz w:val="24"/>
          <w:szCs w:val="24"/>
        </w:rPr>
        <w:t xml:space="preserve">s received from </w:t>
      </w:r>
      <w:r w:rsidR="00351B7C">
        <w:rPr>
          <w:rFonts w:ascii="Arial" w:hAnsi="Arial" w:cs="Arial"/>
          <w:sz w:val="24"/>
          <w:szCs w:val="24"/>
        </w:rPr>
        <w:t>ethnic minority backgrounds.</w:t>
      </w:r>
    </w:p>
    <w:p w14:paraId="750D04C9" w14:textId="3B46E6BA" w:rsidR="00FD0072" w:rsidRDefault="0033638E" w:rsidP="00EC36DB">
      <w:pPr>
        <w:rPr>
          <w:rFonts w:ascii="Arial" w:hAnsi="Arial" w:cs="Arial"/>
          <w:sz w:val="24"/>
          <w:szCs w:val="24"/>
        </w:rPr>
      </w:pPr>
      <w:r>
        <w:rPr>
          <w:rFonts w:ascii="Arial" w:hAnsi="Arial" w:cs="Arial"/>
          <w:sz w:val="24"/>
          <w:szCs w:val="24"/>
        </w:rPr>
        <w:t>The Race at Work Charter was completed in June 2023</w:t>
      </w:r>
      <w:r w:rsidR="000C0E4A">
        <w:rPr>
          <w:rFonts w:ascii="Arial" w:hAnsi="Arial" w:cs="Arial"/>
          <w:sz w:val="24"/>
          <w:szCs w:val="24"/>
        </w:rPr>
        <w:t xml:space="preserve"> in collaboration with Black, Asian</w:t>
      </w:r>
      <w:r w:rsidR="007F1FD8">
        <w:rPr>
          <w:rFonts w:ascii="Arial" w:hAnsi="Arial" w:cs="Arial"/>
          <w:sz w:val="24"/>
          <w:szCs w:val="24"/>
        </w:rPr>
        <w:t xml:space="preserve"> and Minority </w:t>
      </w:r>
      <w:r w:rsidR="00832ACE">
        <w:rPr>
          <w:rFonts w:ascii="Arial" w:hAnsi="Arial" w:cs="Arial"/>
          <w:sz w:val="24"/>
          <w:szCs w:val="24"/>
        </w:rPr>
        <w:t xml:space="preserve">Ethnic colleagues and this demonstrated </w:t>
      </w:r>
      <w:r w:rsidR="008C2C0C">
        <w:rPr>
          <w:rFonts w:ascii="Arial" w:hAnsi="Arial" w:cs="Arial"/>
          <w:sz w:val="24"/>
          <w:szCs w:val="24"/>
        </w:rPr>
        <w:t xml:space="preserve">our commitment to improving </w:t>
      </w:r>
      <w:r w:rsidR="00320C55">
        <w:rPr>
          <w:rFonts w:ascii="Arial" w:hAnsi="Arial" w:cs="Arial"/>
          <w:sz w:val="24"/>
          <w:szCs w:val="24"/>
        </w:rPr>
        <w:t>equality of opportunity in the workplace</w:t>
      </w:r>
      <w:r w:rsidR="00A957A5">
        <w:rPr>
          <w:rFonts w:ascii="Arial" w:hAnsi="Arial" w:cs="Arial"/>
          <w:sz w:val="24"/>
          <w:szCs w:val="24"/>
        </w:rPr>
        <w:t>. We will be promoting the Charter through our recruitment process in 2024.</w:t>
      </w:r>
    </w:p>
    <w:p w14:paraId="0602F432" w14:textId="77777777" w:rsidR="00001BD4" w:rsidRDefault="00001BD4">
      <w:pPr>
        <w:rPr>
          <w:rFonts w:ascii="Arial" w:hAnsi="Arial" w:cs="Arial"/>
          <w:b/>
          <w:bCs/>
          <w:color w:val="4472C4" w:themeColor="accent1"/>
          <w:sz w:val="24"/>
          <w:szCs w:val="24"/>
        </w:rPr>
      </w:pPr>
      <w:r>
        <w:rPr>
          <w:rFonts w:ascii="Arial" w:hAnsi="Arial" w:cs="Arial"/>
          <w:b/>
          <w:bCs/>
          <w:color w:val="4472C4" w:themeColor="accent1"/>
          <w:sz w:val="24"/>
          <w:szCs w:val="24"/>
        </w:rPr>
        <w:br w:type="page"/>
      </w:r>
    </w:p>
    <w:p w14:paraId="4A0A81CC" w14:textId="374C526D" w:rsidR="00964847" w:rsidRPr="00770833" w:rsidRDefault="00EE3002" w:rsidP="004919D3">
      <w:pPr>
        <w:pStyle w:val="Heading4"/>
      </w:pPr>
      <w:r w:rsidRPr="00770833">
        <w:rPr>
          <w:noProof/>
        </w:rPr>
        <w:lastRenderedPageBreak/>
        <w:drawing>
          <wp:anchor distT="0" distB="0" distL="114300" distR="114300" simplePos="0" relativeHeight="251658251" behindDoc="0" locked="0" layoutInCell="1" allowOverlap="1" wp14:anchorId="6714B457" wp14:editId="354320A9">
            <wp:simplePos x="0" y="0"/>
            <wp:positionH relativeFrom="margin">
              <wp:align>left</wp:align>
            </wp:positionH>
            <wp:positionV relativeFrom="paragraph">
              <wp:posOffset>290830</wp:posOffset>
            </wp:positionV>
            <wp:extent cx="1874520" cy="2425065"/>
            <wp:effectExtent l="0" t="0" r="0" b="0"/>
            <wp:wrapThrough wrapText="bothSides">
              <wp:wrapPolygon edited="0">
                <wp:start x="0" y="0"/>
                <wp:lineTo x="0" y="21379"/>
                <wp:lineTo x="21293" y="21379"/>
                <wp:lineTo x="2129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4520" cy="242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481" w:rsidRPr="00770833">
        <w:t>Sustainability</w:t>
      </w:r>
    </w:p>
    <w:p w14:paraId="1598B695" w14:textId="7AFE5F89"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 xml:space="preserve">We are now into the second year of applying our </w:t>
      </w:r>
      <w:hyperlink r:id="rId38" w:history="1">
        <w:r w:rsidRPr="00D06C74">
          <w:rPr>
            <w:rFonts w:ascii="Arial" w:eastAsia="Times New Roman" w:hAnsi="Arial" w:cs="Arial"/>
            <w:color w:val="0000FF"/>
            <w:kern w:val="0"/>
            <w:sz w:val="24"/>
            <w:szCs w:val="24"/>
            <w:u w:val="single"/>
            <w:lang w:eastAsia="en-GB"/>
            <w14:ligatures w14:val="none"/>
          </w:rPr>
          <w:t>Sustainability Strategy.</w:t>
        </w:r>
      </w:hyperlink>
      <w:r w:rsidRPr="00D06C74">
        <w:rPr>
          <w:rFonts w:ascii="Arial" w:eastAsia="Times New Roman" w:hAnsi="Arial" w:cs="Arial"/>
          <w:kern w:val="0"/>
          <w:sz w:val="24"/>
          <w:szCs w:val="24"/>
          <w:lang w:eastAsia="en-GB"/>
          <w14:ligatures w14:val="none"/>
        </w:rPr>
        <w:t xml:space="preserve"> We have set our vision in this space to be ‘an </w:t>
      </w:r>
      <w:r w:rsidR="00BC2FF5">
        <w:rPr>
          <w:rFonts w:ascii="Arial" w:eastAsia="Times New Roman" w:hAnsi="Arial" w:cs="Arial"/>
          <w:kern w:val="0"/>
          <w:sz w:val="24"/>
          <w:szCs w:val="24"/>
          <w:lang w:eastAsia="en-GB"/>
          <w14:ligatures w14:val="none"/>
        </w:rPr>
        <w:t>A</w:t>
      </w:r>
      <w:r w:rsidRPr="00D06C74">
        <w:rPr>
          <w:rFonts w:ascii="Arial" w:eastAsia="Times New Roman" w:hAnsi="Arial" w:cs="Arial"/>
          <w:kern w:val="0"/>
          <w:sz w:val="24"/>
          <w:szCs w:val="24"/>
          <w:lang w:eastAsia="en-GB"/>
          <w14:ligatures w14:val="none"/>
        </w:rPr>
        <w:t xml:space="preserve">gency that is resilient and adapted to a changing climate’. Our </w:t>
      </w:r>
      <w:r w:rsidR="00AD77CF" w:rsidRPr="00AD77CF">
        <w:rPr>
          <w:rFonts w:ascii="Arial" w:eastAsia="Times New Roman" w:hAnsi="Arial" w:cs="Arial"/>
          <w:kern w:val="0"/>
          <w:sz w:val="24"/>
          <w:szCs w:val="24"/>
          <w:lang w:eastAsia="en-GB"/>
          <w14:ligatures w14:val="none"/>
        </w:rPr>
        <w:t xml:space="preserve">strategy </w:t>
      </w:r>
      <w:r w:rsidRPr="00D06C74">
        <w:rPr>
          <w:rFonts w:ascii="Arial" w:eastAsia="Times New Roman" w:hAnsi="Arial" w:cs="Arial"/>
          <w:kern w:val="0"/>
          <w:sz w:val="24"/>
          <w:szCs w:val="24"/>
          <w:lang w:eastAsia="en-GB"/>
          <w14:ligatures w14:val="none"/>
        </w:rPr>
        <w:t xml:space="preserve">is based around six main themes: carbon and energy management, waste and resource management, biodiversity and nature recovery, sustainable procurement, sustainable travel, and a sustainable workforce. </w:t>
      </w:r>
    </w:p>
    <w:p w14:paraId="1EA11CC4" w14:textId="307E926D"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hAnsi="Arial" w:cs="Arial"/>
          <w:kern w:val="0"/>
          <w:sz w:val="24"/>
          <w:szCs w:val="24"/>
          <w14:ligatures w14:val="none"/>
        </w:rPr>
        <w:t xml:space="preserve">Our Sustainability Team has grown in line with our commitment to the </w:t>
      </w:r>
      <w:r w:rsidR="00AD77CF">
        <w:rPr>
          <w:rFonts w:ascii="Arial" w:hAnsi="Arial" w:cs="Arial"/>
          <w:kern w:val="0"/>
          <w:sz w:val="24"/>
          <w:szCs w:val="24"/>
          <w14:ligatures w14:val="none"/>
        </w:rPr>
        <w:t>s</w:t>
      </w:r>
      <w:r w:rsidRPr="00D06C74">
        <w:rPr>
          <w:rFonts w:ascii="Arial" w:hAnsi="Arial" w:cs="Arial"/>
          <w:kern w:val="0"/>
          <w:sz w:val="24"/>
          <w:szCs w:val="24"/>
          <w14:ligatures w14:val="none"/>
        </w:rPr>
        <w:t xml:space="preserve">ustainability agenda. We now have a team that comprises of </w:t>
      </w:r>
      <w:r w:rsidR="0032457A">
        <w:rPr>
          <w:rFonts w:ascii="Arial" w:hAnsi="Arial" w:cs="Arial"/>
          <w:kern w:val="0"/>
          <w:sz w:val="24"/>
          <w:szCs w:val="24"/>
          <w14:ligatures w14:val="none"/>
        </w:rPr>
        <w:t>a</w:t>
      </w:r>
      <w:r w:rsidRPr="00D06C74">
        <w:rPr>
          <w:rFonts w:ascii="Arial" w:hAnsi="Arial" w:cs="Arial"/>
          <w:kern w:val="0"/>
          <w:sz w:val="24"/>
          <w:szCs w:val="24"/>
          <w14:ligatures w14:val="none"/>
        </w:rPr>
        <w:t xml:space="preserve"> Head of Sustainability, </w:t>
      </w:r>
      <w:r w:rsidR="0032457A">
        <w:rPr>
          <w:rFonts w:ascii="Arial" w:hAnsi="Arial" w:cs="Arial"/>
          <w:kern w:val="0"/>
          <w:sz w:val="24"/>
          <w:szCs w:val="24"/>
          <w14:ligatures w14:val="none"/>
        </w:rPr>
        <w:t xml:space="preserve">a </w:t>
      </w:r>
      <w:r w:rsidRPr="00D06C74">
        <w:rPr>
          <w:rFonts w:ascii="Arial" w:hAnsi="Arial" w:cs="Arial"/>
          <w:kern w:val="0"/>
          <w:sz w:val="24"/>
          <w:szCs w:val="24"/>
          <w14:ligatures w14:val="none"/>
        </w:rPr>
        <w:t xml:space="preserve">Sustainability Manager, </w:t>
      </w:r>
      <w:r w:rsidR="0032457A">
        <w:rPr>
          <w:rFonts w:ascii="Arial" w:hAnsi="Arial" w:cs="Arial"/>
          <w:kern w:val="0"/>
          <w:sz w:val="24"/>
          <w:szCs w:val="24"/>
          <w14:ligatures w14:val="none"/>
        </w:rPr>
        <w:t xml:space="preserve">a </w:t>
      </w:r>
      <w:r w:rsidRPr="00D06C74">
        <w:rPr>
          <w:rFonts w:ascii="Arial" w:hAnsi="Arial" w:cs="Arial"/>
          <w:kern w:val="0"/>
          <w:sz w:val="24"/>
          <w:szCs w:val="24"/>
          <w14:ligatures w14:val="none"/>
        </w:rPr>
        <w:t xml:space="preserve">Sustainable Operations Lead and </w:t>
      </w:r>
      <w:r w:rsidR="0032457A">
        <w:rPr>
          <w:rFonts w:ascii="Arial" w:hAnsi="Arial" w:cs="Arial"/>
          <w:kern w:val="0"/>
          <w:sz w:val="24"/>
          <w:szCs w:val="24"/>
          <w14:ligatures w14:val="none"/>
        </w:rPr>
        <w:t xml:space="preserve">a </w:t>
      </w:r>
      <w:r w:rsidRPr="00D06C74">
        <w:rPr>
          <w:rFonts w:ascii="Arial" w:hAnsi="Arial" w:cs="Arial"/>
          <w:kern w:val="0"/>
          <w:sz w:val="24"/>
          <w:szCs w:val="24"/>
          <w14:ligatures w14:val="none"/>
        </w:rPr>
        <w:t xml:space="preserve">Sustainable Supply Chain Lead. </w:t>
      </w:r>
    </w:p>
    <w:p w14:paraId="25D94C3E" w14:textId="62A4D5A8"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 xml:space="preserve">As a government </w:t>
      </w:r>
      <w:r w:rsidR="002E46D4">
        <w:rPr>
          <w:rFonts w:ascii="Arial" w:eastAsia="Times New Roman" w:hAnsi="Arial" w:cs="Arial"/>
          <w:kern w:val="0"/>
          <w:sz w:val="24"/>
          <w:szCs w:val="24"/>
          <w:lang w:eastAsia="en-GB"/>
          <w14:ligatures w14:val="none"/>
        </w:rPr>
        <w:t xml:space="preserve">executive </w:t>
      </w:r>
      <w:r w:rsidRPr="00D06C74">
        <w:rPr>
          <w:rFonts w:ascii="Arial" w:eastAsia="Times New Roman" w:hAnsi="Arial" w:cs="Arial"/>
          <w:kern w:val="0"/>
          <w:sz w:val="24"/>
          <w:szCs w:val="24"/>
          <w:lang w:eastAsia="en-GB"/>
          <w14:ligatures w14:val="none"/>
        </w:rPr>
        <w:t>agency, we have a responsibility to help to deliver the United Nations Sustainable Development Goals (SDGs). We incorporated the SDGs into the development of our Sustainability Strategy and framework, and we continue to take the SDGs into consideration when developing our new sustainability programmes and initiatives</w:t>
      </w:r>
      <w:r w:rsidR="00B8269A">
        <w:rPr>
          <w:rFonts w:ascii="Arial" w:eastAsia="Times New Roman" w:hAnsi="Arial" w:cs="Arial"/>
          <w:kern w:val="0"/>
          <w:sz w:val="24"/>
          <w:szCs w:val="24"/>
          <w:lang w:eastAsia="en-GB"/>
          <w14:ligatures w14:val="none"/>
        </w:rPr>
        <w:t>, for example,</w:t>
      </w:r>
      <w:r w:rsidRPr="00D06C74">
        <w:rPr>
          <w:rFonts w:ascii="Arial" w:eastAsia="Times New Roman" w:hAnsi="Arial" w:cs="Arial"/>
          <w:kern w:val="0"/>
          <w:sz w:val="24"/>
          <w:szCs w:val="24"/>
          <w:lang w:eastAsia="en-GB"/>
          <w14:ligatures w14:val="none"/>
        </w:rPr>
        <w:t xml:space="preserve"> our new Sustainable Travel Plan. </w:t>
      </w:r>
    </w:p>
    <w:p w14:paraId="1C4EB37A" w14:textId="77777777" w:rsidR="00D06C74" w:rsidRPr="00311A70" w:rsidRDefault="00D06C74" w:rsidP="004919D3">
      <w:pPr>
        <w:pStyle w:val="Heading4"/>
        <w:rPr>
          <w:rFonts w:eastAsia="Times New Roman" w:cs="Arial"/>
          <w:b w:val="0"/>
          <w:szCs w:val="28"/>
          <w:lang w:eastAsia="en-GB"/>
        </w:rPr>
      </w:pPr>
      <w:r w:rsidRPr="00311A70">
        <w:rPr>
          <w:szCs w:val="28"/>
          <w:lang w:eastAsia="en-GB"/>
        </w:rPr>
        <w:t xml:space="preserve">Taskforce on </w:t>
      </w:r>
      <w:r w:rsidRPr="00311A70">
        <w:rPr>
          <w:rFonts w:eastAsia="Times New Roman" w:cs="Arial"/>
          <w:szCs w:val="28"/>
          <w:lang w:eastAsia="en-GB"/>
        </w:rPr>
        <w:t>Climate-related Finance Disclosures (TCFD) – Phase 1 report.</w:t>
      </w:r>
    </w:p>
    <w:p w14:paraId="124817B4" w14:textId="77777777" w:rsidR="00D06C74" w:rsidRPr="00D06C74" w:rsidRDefault="00D06C74" w:rsidP="004919D3">
      <w:pPr>
        <w:pStyle w:val="Heading4"/>
        <w:rPr>
          <w:rFonts w:cs="Arial"/>
          <w:color w:val="4472C4" w:themeColor="accent1"/>
          <w:sz w:val="24"/>
          <w:szCs w:val="24"/>
        </w:rPr>
      </w:pPr>
      <w:r w:rsidRPr="00D06C74">
        <w:t>Compliance Statement</w:t>
      </w:r>
    </w:p>
    <w:p w14:paraId="72C219B2" w14:textId="4DBB382D" w:rsidR="00D06C74" w:rsidRPr="00D06C74" w:rsidRDefault="00CD370B" w:rsidP="00D06C74">
      <w:pPr>
        <w:spacing w:afterLines="120" w:after="288"/>
        <w:rPr>
          <w:rFonts w:ascii="Arial" w:hAnsi="Arial" w:cs="Arial"/>
          <w:kern w:val="0"/>
          <w:sz w:val="24"/>
          <w:szCs w:val="24"/>
          <w14:ligatures w14:val="none"/>
        </w:rPr>
      </w:pPr>
      <w:r>
        <w:rPr>
          <w:rFonts w:ascii="Arial" w:hAnsi="Arial" w:cs="Arial"/>
          <w:kern w:val="0"/>
          <w:sz w:val="24"/>
          <w:szCs w:val="24"/>
          <w14:ligatures w14:val="none"/>
        </w:rPr>
        <w:t>We</w:t>
      </w:r>
      <w:r w:rsidR="00D06C74" w:rsidRPr="00D06C74">
        <w:rPr>
          <w:rFonts w:ascii="Arial" w:hAnsi="Arial" w:cs="Arial"/>
          <w:kern w:val="0"/>
          <w:sz w:val="24"/>
          <w:szCs w:val="24"/>
          <w14:ligatures w14:val="none"/>
        </w:rPr>
        <w:t xml:space="preserve"> ha</w:t>
      </w:r>
      <w:r>
        <w:rPr>
          <w:rFonts w:ascii="Arial" w:hAnsi="Arial" w:cs="Arial"/>
          <w:kern w:val="0"/>
          <w:sz w:val="24"/>
          <w:szCs w:val="24"/>
          <w14:ligatures w14:val="none"/>
        </w:rPr>
        <w:t>ve</w:t>
      </w:r>
      <w:r w:rsidR="00D06C74" w:rsidRPr="00D06C74">
        <w:rPr>
          <w:rFonts w:ascii="Arial" w:hAnsi="Arial" w:cs="Arial"/>
          <w:kern w:val="0"/>
          <w:sz w:val="24"/>
          <w:szCs w:val="24"/>
          <w14:ligatures w14:val="none"/>
        </w:rPr>
        <w:t xml:space="preserve"> reported on climate-related financial disclosures consistent with HM Treasury’s TCFD-aligned disclosure application guidance which interprets and adapts the framework for the UK public sector. We have complied with the TCFD recommendations and disclosures around: </w:t>
      </w:r>
    </w:p>
    <w:p w14:paraId="1B60C28B" w14:textId="77777777" w:rsidR="00D06C74" w:rsidRPr="00D06C74" w:rsidRDefault="00D06C74" w:rsidP="00D06C74">
      <w:pPr>
        <w:numPr>
          <w:ilvl w:val="0"/>
          <w:numId w:val="13"/>
        </w:numPr>
        <w:spacing w:afterLines="120" w:after="288"/>
        <w:contextualSpacing/>
        <w:rPr>
          <w:rFonts w:ascii="Arial" w:hAnsi="Arial" w:cs="Arial"/>
          <w:kern w:val="0"/>
          <w:sz w:val="24"/>
          <w:szCs w:val="24"/>
          <w14:ligatures w14:val="none"/>
        </w:rPr>
      </w:pPr>
      <w:r w:rsidRPr="00D06C74">
        <w:rPr>
          <w:rFonts w:ascii="Arial" w:hAnsi="Arial" w:cs="Arial"/>
          <w:kern w:val="0"/>
          <w:sz w:val="24"/>
          <w:szCs w:val="24"/>
          <w14:ligatures w14:val="none"/>
        </w:rPr>
        <w:t xml:space="preserve">Governance (all recommended disclosures) </w:t>
      </w:r>
    </w:p>
    <w:p w14:paraId="6A141227" w14:textId="307F7A0E" w:rsidR="00D06C74" w:rsidRDefault="00D06C74" w:rsidP="00D06C74">
      <w:pPr>
        <w:numPr>
          <w:ilvl w:val="0"/>
          <w:numId w:val="13"/>
        </w:numPr>
        <w:spacing w:afterLines="120" w:after="288"/>
        <w:contextualSpacing/>
        <w:rPr>
          <w:rFonts w:ascii="Arial" w:hAnsi="Arial" w:cs="Arial"/>
          <w:kern w:val="0"/>
          <w:sz w:val="24"/>
          <w:szCs w:val="24"/>
          <w14:ligatures w14:val="none"/>
        </w:rPr>
      </w:pPr>
      <w:r w:rsidRPr="00D06C74">
        <w:rPr>
          <w:rFonts w:ascii="Arial" w:hAnsi="Arial" w:cs="Arial"/>
          <w:kern w:val="0"/>
          <w:sz w:val="24"/>
          <w:szCs w:val="24"/>
          <w14:ligatures w14:val="none"/>
        </w:rPr>
        <w:t>Metrics and targets (see existing disclosures below in respect to our Greening Government Commitment (GGC) reporting)</w:t>
      </w:r>
    </w:p>
    <w:p w14:paraId="5B4EF0D3" w14:textId="77777777" w:rsidR="001544F1" w:rsidRPr="00D06C74" w:rsidRDefault="001544F1" w:rsidP="001544F1">
      <w:pPr>
        <w:spacing w:afterLines="120" w:after="288"/>
        <w:ind w:left="720"/>
        <w:contextualSpacing/>
        <w:rPr>
          <w:rFonts w:ascii="Arial" w:hAnsi="Arial" w:cs="Arial"/>
          <w:kern w:val="0"/>
          <w:sz w:val="24"/>
          <w:szCs w:val="24"/>
          <w14:ligatures w14:val="none"/>
        </w:rPr>
      </w:pPr>
    </w:p>
    <w:p w14:paraId="1F096332" w14:textId="77A4A268" w:rsidR="00D06C74" w:rsidRPr="00D06C74" w:rsidRDefault="00D06C74" w:rsidP="00D06C74">
      <w:pPr>
        <w:spacing w:afterLines="120" w:after="288"/>
        <w:rPr>
          <w:rFonts w:ascii="Arial" w:hAnsi="Arial" w:cs="Arial"/>
          <w:kern w:val="0"/>
          <w:sz w:val="24"/>
          <w:szCs w:val="24"/>
          <w14:ligatures w14:val="none"/>
        </w:rPr>
      </w:pPr>
      <w:r w:rsidRPr="00D06C74">
        <w:rPr>
          <w:rFonts w:ascii="Arial" w:hAnsi="Arial" w:cs="Arial"/>
          <w:kern w:val="0"/>
          <w:sz w:val="24"/>
          <w:szCs w:val="24"/>
          <w14:ligatures w14:val="none"/>
        </w:rPr>
        <w:t xml:space="preserve">This is in line with the central government’s TCFD-aligned disclosure implementation timetable. </w:t>
      </w:r>
      <w:r w:rsidR="001544F1">
        <w:rPr>
          <w:rFonts w:ascii="Arial" w:hAnsi="Arial" w:cs="Arial"/>
          <w:kern w:val="0"/>
          <w:sz w:val="24"/>
          <w:szCs w:val="24"/>
          <w14:ligatures w14:val="none"/>
        </w:rPr>
        <w:t>We</w:t>
      </w:r>
      <w:r w:rsidRPr="00D06C74">
        <w:rPr>
          <w:rFonts w:ascii="Arial" w:hAnsi="Arial" w:cs="Arial"/>
          <w:kern w:val="0"/>
          <w:sz w:val="24"/>
          <w:szCs w:val="24"/>
          <w14:ligatures w14:val="none"/>
        </w:rPr>
        <w:t xml:space="preserve"> plan to make disclosures for Strategy, Risk Management and further Metrics and Targets disclosures (in addition to those above) in future reporting periods, in line with the central government implementation timetable.</w:t>
      </w:r>
    </w:p>
    <w:p w14:paraId="3E50900A" w14:textId="77777777" w:rsidR="00E14AED" w:rsidRDefault="00E14AED">
      <w:pPr>
        <w:rPr>
          <w:rFonts w:ascii="Arial" w:eastAsiaTheme="majorEastAsia" w:hAnsi="Arial" w:cstheme="majorBidi"/>
          <w:b/>
          <w:iCs/>
          <w:color w:val="1F3864" w:themeColor="accent1" w:themeShade="80"/>
          <w:kern w:val="0"/>
          <w:sz w:val="28"/>
          <w14:ligatures w14:val="none"/>
        </w:rPr>
      </w:pPr>
      <w:r>
        <w:br w:type="page"/>
      </w:r>
    </w:p>
    <w:p w14:paraId="462F46C3" w14:textId="642A1ABC" w:rsidR="00D06C74" w:rsidRPr="00D06C74" w:rsidRDefault="00D06C74" w:rsidP="004919D3">
      <w:pPr>
        <w:pStyle w:val="Heading4"/>
        <w:rPr>
          <w:rFonts w:cs="Arial"/>
          <w:color w:val="4472C4" w:themeColor="accent1"/>
          <w:sz w:val="24"/>
          <w:szCs w:val="24"/>
        </w:rPr>
      </w:pPr>
      <w:r w:rsidRPr="00D06C74">
        <w:lastRenderedPageBreak/>
        <w:t>Agency governance of climate-related issues and opportunities</w:t>
      </w:r>
    </w:p>
    <w:p w14:paraId="1EBA7943" w14:textId="17FB442E" w:rsidR="00D06C74" w:rsidRPr="00D06C74" w:rsidRDefault="00D06C74" w:rsidP="00D06C74">
      <w:pPr>
        <w:spacing w:afterLines="120" w:after="288" w:line="276" w:lineRule="auto"/>
        <w:rPr>
          <w:rFonts w:ascii="Arial" w:eastAsia="MS Mincho" w:hAnsi="Arial" w:cs="Arial"/>
          <w:color w:val="161718"/>
          <w:kern w:val="0"/>
          <w:sz w:val="24"/>
          <w:szCs w:val="24"/>
          <w14:ligatures w14:val="none"/>
        </w:rPr>
      </w:pPr>
      <w:r w:rsidRPr="00D06C74">
        <w:rPr>
          <w:rFonts w:ascii="Arial" w:eastAsia="MS Mincho" w:hAnsi="Arial" w:cs="Arial"/>
          <w:color w:val="161718"/>
          <w:kern w:val="0"/>
          <w:sz w:val="24"/>
          <w:szCs w:val="24"/>
          <w14:ligatures w14:val="none"/>
        </w:rPr>
        <w:t xml:space="preserve">Our sustainability aims and objectives are set and delivered through </w:t>
      </w:r>
      <w:r w:rsidR="00B8269A" w:rsidRPr="00D06C74">
        <w:rPr>
          <w:rFonts w:ascii="Arial" w:eastAsia="MS Mincho" w:hAnsi="Arial" w:cs="Arial"/>
          <w:color w:val="161718"/>
          <w:kern w:val="0"/>
          <w:sz w:val="24"/>
          <w:szCs w:val="24"/>
          <w14:ligatures w14:val="none"/>
        </w:rPr>
        <w:t>several</w:t>
      </w:r>
      <w:r w:rsidRPr="00D06C74">
        <w:rPr>
          <w:rFonts w:ascii="Arial" w:eastAsia="MS Mincho" w:hAnsi="Arial" w:cs="Arial"/>
          <w:color w:val="161718"/>
          <w:kern w:val="0"/>
          <w:sz w:val="24"/>
          <w:szCs w:val="24"/>
          <w14:ligatures w14:val="none"/>
        </w:rPr>
        <w:t xml:space="preserve"> strategic groups. Our Board, Executive Leadership Team, Environmental Strategy Group, Sustainable Procurement Working Group and (upcoming) Environmental Champion network; are responsible for the leadership, support, oversight and implementation of our climate-related risks and opportunities. However, we recognise that we need the support of </w:t>
      </w:r>
      <w:r w:rsidR="00B8269A" w:rsidRPr="00D06C74">
        <w:rPr>
          <w:rFonts w:ascii="Arial" w:eastAsia="MS Mincho" w:hAnsi="Arial" w:cs="Arial"/>
          <w:color w:val="161718"/>
          <w:kern w:val="0"/>
          <w:sz w:val="24"/>
          <w:szCs w:val="24"/>
          <w14:ligatures w14:val="none"/>
        </w:rPr>
        <w:t>all</w:t>
      </w:r>
      <w:r w:rsidRPr="00D06C74">
        <w:rPr>
          <w:rFonts w:ascii="Arial" w:eastAsia="MS Mincho" w:hAnsi="Arial" w:cs="Arial"/>
          <w:color w:val="161718"/>
          <w:kern w:val="0"/>
          <w:sz w:val="24"/>
          <w:szCs w:val="24"/>
          <w14:ligatures w14:val="none"/>
        </w:rPr>
        <w:t xml:space="preserve"> our </w:t>
      </w:r>
      <w:r w:rsidR="002A09CC">
        <w:rPr>
          <w:rFonts w:ascii="Arial" w:eastAsia="MS Mincho" w:hAnsi="Arial" w:cs="Arial"/>
          <w:color w:val="161718"/>
          <w:kern w:val="0"/>
          <w:sz w:val="24"/>
          <w:szCs w:val="24"/>
          <w14:ligatures w14:val="none"/>
        </w:rPr>
        <w:t xml:space="preserve">people </w:t>
      </w:r>
      <w:r w:rsidRPr="00D06C74">
        <w:rPr>
          <w:rFonts w:ascii="Arial" w:eastAsia="MS Mincho" w:hAnsi="Arial" w:cs="Arial"/>
          <w:color w:val="161718"/>
          <w:kern w:val="0"/>
          <w:sz w:val="24"/>
          <w:szCs w:val="24"/>
          <w14:ligatures w14:val="none"/>
        </w:rPr>
        <w:t>to achieve our objectives and targets</w:t>
      </w:r>
      <w:r w:rsidR="004C1C50">
        <w:rPr>
          <w:rFonts w:ascii="Arial" w:eastAsia="MS Mincho" w:hAnsi="Arial" w:cs="Arial"/>
          <w:color w:val="161718"/>
          <w:kern w:val="0"/>
          <w:sz w:val="24"/>
          <w:szCs w:val="24"/>
          <w14:ligatures w14:val="none"/>
        </w:rPr>
        <w:t>,</w:t>
      </w:r>
      <w:r w:rsidRPr="00D06C74">
        <w:rPr>
          <w:rFonts w:ascii="Arial" w:eastAsia="MS Mincho" w:hAnsi="Arial" w:cs="Arial"/>
          <w:color w:val="161718"/>
          <w:kern w:val="0"/>
          <w:sz w:val="24"/>
          <w:szCs w:val="24"/>
          <w14:ligatures w14:val="none"/>
        </w:rPr>
        <w:t xml:space="preserve"> and therefore we carry out surveys and consultations to seek input and feedback from across the </w:t>
      </w:r>
      <w:r w:rsidR="002A09CC">
        <w:rPr>
          <w:rFonts w:ascii="Arial" w:eastAsia="MS Mincho" w:hAnsi="Arial" w:cs="Arial"/>
          <w:color w:val="161718"/>
          <w:kern w:val="0"/>
          <w:sz w:val="24"/>
          <w:szCs w:val="24"/>
          <w14:ligatures w14:val="none"/>
        </w:rPr>
        <w:t>A</w:t>
      </w:r>
      <w:r w:rsidRPr="00D06C74">
        <w:rPr>
          <w:rFonts w:ascii="Arial" w:eastAsia="MS Mincho" w:hAnsi="Arial" w:cs="Arial"/>
          <w:color w:val="161718"/>
          <w:kern w:val="0"/>
          <w:sz w:val="24"/>
          <w:szCs w:val="24"/>
          <w14:ligatures w14:val="none"/>
        </w:rPr>
        <w:t>gency.</w:t>
      </w:r>
    </w:p>
    <w:p w14:paraId="69DB1850" w14:textId="73FCE19B" w:rsidR="00D06C74" w:rsidRPr="00D06C74" w:rsidRDefault="002A09CC" w:rsidP="00D06C74">
      <w:pPr>
        <w:spacing w:afterLines="120" w:after="288" w:line="276" w:lineRule="auto"/>
        <w:rPr>
          <w:rFonts w:ascii="Arial" w:eastAsia="MS Mincho" w:hAnsi="Arial" w:cs="Arial"/>
          <w:color w:val="161718"/>
          <w:kern w:val="0"/>
          <w:sz w:val="24"/>
          <w:szCs w:val="24"/>
          <w14:ligatures w14:val="none"/>
        </w:rPr>
      </w:pPr>
      <w:r>
        <w:rPr>
          <w:rFonts w:ascii="Arial" w:eastAsia="MS Mincho" w:hAnsi="Arial" w:cs="Arial"/>
          <w:color w:val="161718"/>
          <w:kern w:val="0"/>
          <w:sz w:val="24"/>
          <w:szCs w:val="24"/>
          <w14:ligatures w14:val="none"/>
        </w:rPr>
        <w:t>We are</w:t>
      </w:r>
      <w:r w:rsidR="00D06C74" w:rsidRPr="00D06C74">
        <w:rPr>
          <w:rFonts w:ascii="Arial" w:eastAsia="MS Mincho" w:hAnsi="Arial" w:cs="Arial"/>
          <w:color w:val="161718"/>
          <w:kern w:val="0"/>
          <w:sz w:val="24"/>
          <w:szCs w:val="24"/>
          <w14:ligatures w14:val="none"/>
        </w:rPr>
        <w:t xml:space="preserve"> in the process of establishing a new combined management system in line with ISO14001 (</w:t>
      </w:r>
      <w:r w:rsidR="00D50310">
        <w:rPr>
          <w:rFonts w:ascii="Arial" w:eastAsia="MS Mincho" w:hAnsi="Arial" w:cs="Arial"/>
          <w:color w:val="161718"/>
          <w:kern w:val="0"/>
          <w:sz w:val="24"/>
          <w:szCs w:val="24"/>
          <w14:ligatures w14:val="none"/>
        </w:rPr>
        <w:t>E</w:t>
      </w:r>
      <w:r w:rsidR="00D06C74" w:rsidRPr="00D06C74">
        <w:rPr>
          <w:rFonts w:ascii="Arial" w:eastAsia="MS Mincho" w:hAnsi="Arial" w:cs="Arial"/>
          <w:color w:val="161718"/>
          <w:kern w:val="0"/>
          <w:sz w:val="24"/>
          <w:szCs w:val="24"/>
          <w14:ligatures w14:val="none"/>
        </w:rPr>
        <w:t xml:space="preserve">nvironmental </w:t>
      </w:r>
      <w:r w:rsidR="00D50310">
        <w:rPr>
          <w:rFonts w:ascii="Arial" w:eastAsia="MS Mincho" w:hAnsi="Arial" w:cs="Arial"/>
          <w:color w:val="161718"/>
          <w:kern w:val="0"/>
          <w:sz w:val="24"/>
          <w:szCs w:val="24"/>
          <w14:ligatures w14:val="none"/>
        </w:rPr>
        <w:t>M</w:t>
      </w:r>
      <w:r w:rsidR="00D06C74" w:rsidRPr="00D06C74">
        <w:rPr>
          <w:rFonts w:ascii="Arial" w:eastAsia="MS Mincho" w:hAnsi="Arial" w:cs="Arial"/>
          <w:color w:val="161718"/>
          <w:kern w:val="0"/>
          <w:sz w:val="24"/>
          <w:szCs w:val="24"/>
          <w14:ligatures w14:val="none"/>
        </w:rPr>
        <w:t>anagement) and ISO45001 (</w:t>
      </w:r>
      <w:r w:rsidR="00D50310">
        <w:rPr>
          <w:rFonts w:ascii="Arial" w:eastAsia="MS Mincho" w:hAnsi="Arial" w:cs="Arial"/>
          <w:color w:val="161718"/>
          <w:kern w:val="0"/>
          <w:sz w:val="24"/>
          <w:szCs w:val="24"/>
          <w14:ligatures w14:val="none"/>
        </w:rPr>
        <w:t>H</w:t>
      </w:r>
      <w:r w:rsidR="00D06C74" w:rsidRPr="00D06C74">
        <w:rPr>
          <w:rFonts w:ascii="Arial" w:eastAsia="MS Mincho" w:hAnsi="Arial" w:cs="Arial"/>
          <w:color w:val="161718"/>
          <w:kern w:val="0"/>
          <w:sz w:val="24"/>
          <w:szCs w:val="24"/>
          <w14:ligatures w14:val="none"/>
        </w:rPr>
        <w:t xml:space="preserve">ealth and </w:t>
      </w:r>
      <w:r w:rsidR="00D50310">
        <w:rPr>
          <w:rFonts w:ascii="Arial" w:eastAsia="MS Mincho" w:hAnsi="Arial" w:cs="Arial"/>
          <w:color w:val="161718"/>
          <w:kern w:val="0"/>
          <w:sz w:val="24"/>
          <w:szCs w:val="24"/>
          <w14:ligatures w14:val="none"/>
        </w:rPr>
        <w:t>S</w:t>
      </w:r>
      <w:r w:rsidR="00D06C74" w:rsidRPr="00D06C74">
        <w:rPr>
          <w:rFonts w:ascii="Arial" w:eastAsia="MS Mincho" w:hAnsi="Arial" w:cs="Arial"/>
          <w:color w:val="161718"/>
          <w:kern w:val="0"/>
          <w:sz w:val="24"/>
          <w:szCs w:val="24"/>
          <w14:ligatures w14:val="none"/>
        </w:rPr>
        <w:t xml:space="preserve">afety). As part of this process our management review structure will be revisited to see where we can further improve </w:t>
      </w:r>
      <w:r w:rsidR="00BD0CB5">
        <w:rPr>
          <w:rFonts w:ascii="Arial" w:eastAsia="MS Mincho" w:hAnsi="Arial" w:cs="Arial"/>
          <w:color w:val="161718"/>
          <w:kern w:val="0"/>
          <w:sz w:val="24"/>
          <w:szCs w:val="24"/>
          <w14:ligatures w14:val="none"/>
        </w:rPr>
        <w:t>our</w:t>
      </w:r>
      <w:r w:rsidR="00D06C74" w:rsidRPr="00D06C74">
        <w:rPr>
          <w:rFonts w:ascii="Arial" w:eastAsia="MS Mincho" w:hAnsi="Arial" w:cs="Arial"/>
          <w:color w:val="161718"/>
          <w:kern w:val="0"/>
          <w:sz w:val="24"/>
          <w:szCs w:val="24"/>
          <w14:ligatures w14:val="none"/>
        </w:rPr>
        <w:t xml:space="preserve"> existing governance structure for climate related risks (Figure 1.). </w:t>
      </w:r>
      <w:r w:rsidR="00571A8B">
        <w:rPr>
          <w:rFonts w:ascii="Arial" w:eastAsia="MS Mincho" w:hAnsi="Arial" w:cs="Arial"/>
          <w:color w:val="161718"/>
          <w:kern w:val="0"/>
          <w:sz w:val="24"/>
          <w:szCs w:val="24"/>
          <w14:ligatures w14:val="none"/>
        </w:rPr>
        <w:t xml:space="preserve">We will also </w:t>
      </w:r>
      <w:r w:rsidR="00BD3EE0">
        <w:rPr>
          <w:rFonts w:ascii="Arial" w:eastAsia="MS Mincho" w:hAnsi="Arial" w:cs="Arial"/>
          <w:color w:val="161718"/>
          <w:kern w:val="0"/>
          <w:sz w:val="24"/>
          <w:szCs w:val="24"/>
          <w14:ligatures w14:val="none"/>
        </w:rPr>
        <w:t xml:space="preserve">be developing new procedures to identify future risks to the business </w:t>
      </w:r>
      <w:r w:rsidR="00D8523A">
        <w:rPr>
          <w:rFonts w:ascii="Arial" w:eastAsia="MS Mincho" w:hAnsi="Arial" w:cs="Arial"/>
          <w:color w:val="161718"/>
          <w:kern w:val="0"/>
          <w:sz w:val="24"/>
          <w:szCs w:val="24"/>
          <w14:ligatures w14:val="none"/>
        </w:rPr>
        <w:t>because of</w:t>
      </w:r>
      <w:r w:rsidR="00BD3EE0">
        <w:rPr>
          <w:rFonts w:ascii="Arial" w:eastAsia="MS Mincho" w:hAnsi="Arial" w:cs="Arial"/>
          <w:color w:val="161718"/>
          <w:kern w:val="0"/>
          <w:sz w:val="24"/>
          <w:szCs w:val="24"/>
          <w14:ligatures w14:val="none"/>
        </w:rPr>
        <w:t xml:space="preserve"> our changing climate and further reporting </w:t>
      </w:r>
      <w:r w:rsidR="00E06754">
        <w:rPr>
          <w:rFonts w:ascii="Arial" w:eastAsia="MS Mincho" w:hAnsi="Arial" w:cs="Arial"/>
          <w:color w:val="161718"/>
          <w:kern w:val="0"/>
          <w:sz w:val="24"/>
          <w:szCs w:val="24"/>
          <w14:ligatures w14:val="none"/>
        </w:rPr>
        <w:t>in line with Phase 2 and Phase 3 requirements of TCFD.</w:t>
      </w:r>
    </w:p>
    <w:p w14:paraId="1540AB14" w14:textId="77777777" w:rsidR="00D06C74" w:rsidRPr="00D06C74" w:rsidRDefault="00D06C74" w:rsidP="000774A2">
      <w:pPr>
        <w:spacing w:afterLines="120" w:after="288" w:line="276" w:lineRule="auto"/>
        <w:jc w:val="center"/>
        <w:rPr>
          <w:rFonts w:ascii="Arial" w:eastAsia="Times New Roman" w:hAnsi="Arial" w:cs="Arial"/>
          <w:b/>
          <w:bCs/>
          <w:i/>
          <w:iCs/>
          <w:kern w:val="0"/>
          <w:sz w:val="24"/>
          <w:szCs w:val="24"/>
          <w:lang w:eastAsia="en-GB"/>
          <w14:ligatures w14:val="none"/>
        </w:rPr>
      </w:pPr>
      <w:r w:rsidRPr="00D06C74">
        <w:rPr>
          <w:noProof/>
          <w:kern w:val="0"/>
          <w14:ligatures w14:val="none"/>
        </w:rPr>
        <w:drawing>
          <wp:inline distT="0" distB="0" distL="0" distR="0" wp14:anchorId="2B26074C" wp14:editId="06EFEC36">
            <wp:extent cx="5900059" cy="4316730"/>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9931" t="17590" r="10195" b="35404"/>
                    <a:stretch/>
                  </pic:blipFill>
                  <pic:spPr bwMode="auto">
                    <a:xfrm>
                      <a:off x="0" y="0"/>
                      <a:ext cx="5942622" cy="4347871"/>
                    </a:xfrm>
                    <a:prstGeom prst="rect">
                      <a:avLst/>
                    </a:prstGeom>
                    <a:ln>
                      <a:noFill/>
                    </a:ln>
                    <a:extLst>
                      <a:ext uri="{53640926-AAD7-44D8-BBD7-CCE9431645EC}">
                        <a14:shadowObscured xmlns:a14="http://schemas.microsoft.com/office/drawing/2010/main"/>
                      </a:ext>
                    </a:extLst>
                  </pic:spPr>
                </pic:pic>
              </a:graphicData>
            </a:graphic>
          </wp:inline>
        </w:drawing>
      </w:r>
      <w:r w:rsidRPr="00D06C74">
        <w:rPr>
          <w:kern w:val="0"/>
          <w14:ligatures w14:val="none"/>
        </w:rPr>
        <w:t xml:space="preserve">Figure </w:t>
      </w:r>
      <w:r w:rsidRPr="00D06C74">
        <w:rPr>
          <w:kern w:val="0"/>
          <w14:ligatures w14:val="none"/>
        </w:rPr>
        <w:fldChar w:fldCharType="begin"/>
      </w:r>
      <w:r w:rsidRPr="00D06C74">
        <w:rPr>
          <w:kern w:val="0"/>
          <w14:ligatures w14:val="none"/>
        </w:rPr>
        <w:instrText xml:space="preserve"> SEQ Figure \* ARABIC </w:instrText>
      </w:r>
      <w:r w:rsidRPr="00D06C74">
        <w:rPr>
          <w:kern w:val="0"/>
          <w14:ligatures w14:val="none"/>
        </w:rPr>
        <w:fldChar w:fldCharType="separate"/>
      </w:r>
      <w:r w:rsidRPr="00D06C74">
        <w:rPr>
          <w:noProof/>
          <w:kern w:val="0"/>
          <w14:ligatures w14:val="none"/>
        </w:rPr>
        <w:t>1</w:t>
      </w:r>
      <w:r w:rsidRPr="00D06C74">
        <w:rPr>
          <w:noProof/>
          <w:kern w:val="0"/>
          <w14:ligatures w14:val="none"/>
        </w:rPr>
        <w:fldChar w:fldCharType="end"/>
      </w:r>
      <w:r w:rsidRPr="00D06C74">
        <w:rPr>
          <w:kern w:val="0"/>
          <w14:ligatures w14:val="none"/>
        </w:rPr>
        <w:t>: INSS climate related risk governance structure.</w:t>
      </w:r>
    </w:p>
    <w:p w14:paraId="6CEFD4F6" w14:textId="3B7F0C63" w:rsidR="00D06C74" w:rsidRPr="00D06C74" w:rsidRDefault="00D06C74" w:rsidP="004919D3">
      <w:pPr>
        <w:pStyle w:val="Heading4"/>
        <w:rPr>
          <w:rFonts w:eastAsia="Times New Roman" w:cs="Arial"/>
          <w:color w:val="4472C4" w:themeColor="accent1"/>
          <w:sz w:val="24"/>
          <w:szCs w:val="24"/>
          <w:lang w:eastAsia="en-GB"/>
        </w:rPr>
      </w:pPr>
      <w:r w:rsidRPr="00D06C74">
        <w:rPr>
          <w:lang w:eastAsia="en-GB"/>
        </w:rPr>
        <w:lastRenderedPageBreak/>
        <w:t>Climate Change Adaptation</w:t>
      </w:r>
    </w:p>
    <w:p w14:paraId="47C9D222" w14:textId="7724A023" w:rsidR="00D06C74" w:rsidRPr="00D06C74" w:rsidRDefault="00442F47" w:rsidP="00D06C74">
      <w:pPr>
        <w:spacing w:afterLines="120" w:after="288" w:line="240" w:lineRule="auto"/>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We</w:t>
      </w:r>
      <w:r w:rsidR="00D06C74" w:rsidRPr="00D06C74">
        <w:rPr>
          <w:rFonts w:ascii="Arial" w:eastAsia="Times New Roman" w:hAnsi="Arial" w:cs="Arial"/>
          <w:kern w:val="0"/>
          <w:sz w:val="24"/>
          <w:szCs w:val="24"/>
          <w:lang w:eastAsia="en-GB"/>
          <w14:ligatures w14:val="none"/>
        </w:rPr>
        <w:t xml:space="preserve"> </w:t>
      </w:r>
      <w:r>
        <w:rPr>
          <w:rFonts w:ascii="Arial" w:eastAsia="Times New Roman" w:hAnsi="Arial" w:cs="Arial"/>
          <w:kern w:val="0"/>
          <w:sz w:val="24"/>
          <w:szCs w:val="24"/>
          <w:lang w:eastAsia="en-GB"/>
          <w14:ligatures w14:val="none"/>
        </w:rPr>
        <w:t xml:space="preserve">have </w:t>
      </w:r>
      <w:r w:rsidR="00D06C74" w:rsidRPr="00D06C74">
        <w:rPr>
          <w:rFonts w:ascii="Arial" w:eastAsia="Times New Roman" w:hAnsi="Arial" w:cs="Arial"/>
          <w:kern w:val="0"/>
          <w:sz w:val="24"/>
          <w:szCs w:val="24"/>
          <w:lang w:eastAsia="en-GB"/>
          <w14:ligatures w14:val="none"/>
        </w:rPr>
        <w:t>continue</w:t>
      </w:r>
      <w:r>
        <w:rPr>
          <w:rFonts w:ascii="Arial" w:eastAsia="Times New Roman" w:hAnsi="Arial" w:cs="Arial"/>
          <w:kern w:val="0"/>
          <w:sz w:val="24"/>
          <w:szCs w:val="24"/>
          <w:lang w:eastAsia="en-GB"/>
          <w14:ligatures w14:val="none"/>
        </w:rPr>
        <w:t>d</w:t>
      </w:r>
      <w:r w:rsidR="00D06C74" w:rsidRPr="00D06C74">
        <w:rPr>
          <w:rFonts w:ascii="Arial" w:eastAsia="Times New Roman" w:hAnsi="Arial" w:cs="Arial"/>
          <w:kern w:val="0"/>
          <w:sz w:val="24"/>
          <w:szCs w:val="24"/>
          <w:lang w:eastAsia="en-GB"/>
          <w14:ligatures w14:val="none"/>
        </w:rPr>
        <w:t xml:space="preserve"> to make progress on </w:t>
      </w:r>
      <w:r>
        <w:rPr>
          <w:rFonts w:ascii="Arial" w:eastAsia="Times New Roman" w:hAnsi="Arial" w:cs="Arial"/>
          <w:kern w:val="0"/>
          <w:sz w:val="24"/>
          <w:szCs w:val="24"/>
          <w:lang w:eastAsia="en-GB"/>
          <w14:ligatures w14:val="none"/>
        </w:rPr>
        <w:t>our</w:t>
      </w:r>
      <w:r w:rsidR="00D06C74" w:rsidRPr="00D06C74">
        <w:rPr>
          <w:rFonts w:ascii="Arial" w:eastAsia="Times New Roman" w:hAnsi="Arial" w:cs="Arial"/>
          <w:kern w:val="0"/>
          <w:sz w:val="24"/>
          <w:szCs w:val="24"/>
          <w:lang w:eastAsia="en-GB"/>
          <w14:ligatures w14:val="none"/>
        </w:rPr>
        <w:t xml:space="preserve"> climate change adaptation plans. We have developed a new Thermal Comfort Policy that will help us to protect the health and wellbeing of our staff and visitors in times of extreme heat or cold. We have also developed a formal Sustainability Appraisal procedure to ensure that all large policies, programmes and plans </w:t>
      </w:r>
      <w:r w:rsidR="000774A2" w:rsidRPr="00D06C74">
        <w:rPr>
          <w:rFonts w:ascii="Arial" w:eastAsia="Times New Roman" w:hAnsi="Arial" w:cs="Arial"/>
          <w:kern w:val="0"/>
          <w:sz w:val="24"/>
          <w:szCs w:val="24"/>
          <w:lang w:eastAsia="en-GB"/>
          <w14:ligatures w14:val="none"/>
        </w:rPr>
        <w:t>consider</w:t>
      </w:r>
      <w:r w:rsidR="00D06C74" w:rsidRPr="00D06C74">
        <w:rPr>
          <w:rFonts w:ascii="Arial" w:eastAsia="Times New Roman" w:hAnsi="Arial" w:cs="Arial"/>
          <w:kern w:val="0"/>
          <w:sz w:val="24"/>
          <w:szCs w:val="24"/>
          <w:lang w:eastAsia="en-GB"/>
          <w14:ligatures w14:val="none"/>
        </w:rPr>
        <w:t xml:space="preserve"> any potential environmental, social or economic impacts and/or opportunities, </w:t>
      </w:r>
      <w:r w:rsidR="00F0670A" w:rsidRPr="00D06C74">
        <w:rPr>
          <w:rFonts w:ascii="Arial" w:eastAsia="Times New Roman" w:hAnsi="Arial" w:cs="Arial"/>
          <w:kern w:val="0"/>
          <w:sz w:val="24"/>
          <w:szCs w:val="24"/>
          <w:lang w:eastAsia="en-GB"/>
          <w14:ligatures w14:val="none"/>
        </w:rPr>
        <w:t>considering</w:t>
      </w:r>
      <w:r w:rsidR="00D06C74" w:rsidRPr="00D06C74">
        <w:rPr>
          <w:rFonts w:ascii="Arial" w:eastAsia="Times New Roman" w:hAnsi="Arial" w:cs="Arial"/>
          <w:kern w:val="0"/>
          <w:sz w:val="24"/>
          <w:szCs w:val="24"/>
          <w:lang w:eastAsia="en-GB"/>
          <w14:ligatures w14:val="none"/>
        </w:rPr>
        <w:t xml:space="preserve"> our changing climate and in accordance with the governments’ Environmental Principles Policy Statement. </w:t>
      </w:r>
      <w:r w:rsidR="001F53ED">
        <w:rPr>
          <w:rFonts w:ascii="Arial" w:eastAsia="Times New Roman" w:hAnsi="Arial" w:cs="Arial"/>
          <w:kern w:val="0"/>
          <w:sz w:val="24"/>
          <w:szCs w:val="24"/>
          <w:lang w:eastAsia="en-GB"/>
          <w14:ligatures w14:val="none"/>
        </w:rPr>
        <w:t>Our new Carbon and energy Management Plan will include further measures we can adopt to mitigate the impacts on the business from climatic event. This is an area that requires a considerable amount of resource, and we will continue to support development of our plans in this area.</w:t>
      </w:r>
    </w:p>
    <w:p w14:paraId="248F4A6E" w14:textId="77777777" w:rsidR="00D06C74" w:rsidRPr="00D06C74" w:rsidRDefault="00D06C74" w:rsidP="004919D3">
      <w:pPr>
        <w:pStyle w:val="Heading4"/>
        <w:rPr>
          <w:rFonts w:eastAsia="Times New Roman" w:cs="Arial"/>
          <w:color w:val="4472C4" w:themeColor="accent1"/>
          <w:sz w:val="24"/>
          <w:szCs w:val="24"/>
          <w:lang w:eastAsia="en-GB"/>
        </w:rPr>
      </w:pPr>
      <w:r w:rsidRPr="00D06C74">
        <w:rPr>
          <w:lang w:eastAsia="en-GB"/>
        </w:rPr>
        <w:t>Greening Government Commitments </w:t>
      </w:r>
    </w:p>
    <w:p w14:paraId="28271CE7" w14:textId="7758A77F" w:rsidR="00D06C74" w:rsidRPr="00D06C74" w:rsidRDefault="00D06C74" w:rsidP="00D06C74">
      <w:pPr>
        <w:spacing w:afterLines="120" w:after="288" w:line="240" w:lineRule="auto"/>
        <w:textAlignment w:val="baseline"/>
        <w:rPr>
          <w:rFonts w:ascii="Arial" w:eastAsia="Arial"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 xml:space="preserve">In line with the government’s target for all departments to reduce the environmental impact of their activities from 2021 to 2025, we continue to report on the Greening Government Commitments (GGCs). We have also undertaken a considerable amount of work to better understand our emissions and have agreed a new baseline year of 2022-23 with </w:t>
      </w:r>
      <w:r w:rsidR="0037786E" w:rsidRPr="0037786E">
        <w:rPr>
          <w:rFonts w:ascii="Arial" w:eastAsia="Times New Roman" w:hAnsi="Arial" w:cs="Arial"/>
          <w:kern w:val="0"/>
          <w:sz w:val="24"/>
          <w:szCs w:val="24"/>
          <w:lang w:eastAsia="en-GB"/>
          <w14:ligatures w14:val="none"/>
        </w:rPr>
        <w:t>Department for Environment Food &amp; Rural Affairs</w:t>
      </w:r>
      <w:r w:rsidRPr="00D06C74">
        <w:rPr>
          <w:rFonts w:ascii="Arial" w:eastAsia="Times New Roman" w:hAnsi="Arial" w:cs="Arial"/>
          <w:kern w:val="0"/>
          <w:sz w:val="24"/>
          <w:szCs w:val="24"/>
          <w:lang w:eastAsia="en-GB"/>
          <w14:ligatures w14:val="none"/>
        </w:rPr>
        <w:t xml:space="preserve"> and the Department for Business and Trade (DBT) to underpin our Net Zero work. This was mainly due to last year’s Machinery of Government Change involving the </w:t>
      </w:r>
      <w:r w:rsidRPr="00D06C74">
        <w:rPr>
          <w:rFonts w:ascii="Arial" w:hAnsi="Arial" w:cs="Arial"/>
          <w:color w:val="0B0C0C"/>
          <w:kern w:val="0"/>
          <w:sz w:val="24"/>
          <w:szCs w:val="24"/>
          <w:shd w:val="clear" w:color="auto" w:fill="FFFFFF"/>
          <w14:ligatures w14:val="none"/>
        </w:rPr>
        <w:t>Department for Business, Energy &amp; Industrial Strategy (</w:t>
      </w:r>
      <w:r w:rsidRPr="00D06C74">
        <w:rPr>
          <w:rFonts w:ascii="Arial" w:eastAsia="Times New Roman" w:hAnsi="Arial" w:cs="Arial"/>
          <w:kern w:val="0"/>
          <w:sz w:val="24"/>
          <w:szCs w:val="24"/>
          <w:lang w:eastAsia="en-GB"/>
          <w14:ligatures w14:val="none"/>
        </w:rPr>
        <w:t xml:space="preserve">BEIS) which resulted in the </w:t>
      </w:r>
      <w:r w:rsidR="038E55C5" w:rsidRPr="00D06C74">
        <w:rPr>
          <w:rFonts w:ascii="Arial" w:eastAsia="Times New Roman" w:hAnsi="Arial" w:cs="Arial"/>
          <w:kern w:val="0"/>
          <w:sz w:val="24"/>
          <w:szCs w:val="24"/>
          <w:lang w:eastAsia="en-GB"/>
          <w14:ligatures w14:val="none"/>
        </w:rPr>
        <w:t>A</w:t>
      </w:r>
      <w:r w:rsidRPr="00D06C74">
        <w:rPr>
          <w:rFonts w:ascii="Arial" w:eastAsia="Times New Roman" w:hAnsi="Arial" w:cs="Arial"/>
          <w:kern w:val="0"/>
          <w:sz w:val="24"/>
          <w:szCs w:val="24"/>
          <w:lang w:eastAsia="en-GB"/>
          <w14:ligatures w14:val="none"/>
        </w:rPr>
        <w:t xml:space="preserve">gency joining DBT. </w:t>
      </w:r>
      <w:r w:rsidRPr="00D06C74">
        <w:rPr>
          <w:rFonts w:ascii="Arial" w:eastAsia="Arial" w:hAnsi="Arial" w:cs="Arial"/>
          <w:kern w:val="0"/>
          <w:sz w:val="24"/>
          <w:szCs w:val="24"/>
          <w14:ligatures w14:val="none"/>
        </w:rPr>
        <w:t>The Insolvency Service’s newly agreed baseline (2022</w:t>
      </w:r>
      <w:r w:rsidR="00ED545D">
        <w:rPr>
          <w:rFonts w:ascii="Arial" w:eastAsia="Arial" w:hAnsi="Arial" w:cs="Arial"/>
          <w:kern w:val="0"/>
          <w:sz w:val="24"/>
          <w:szCs w:val="24"/>
          <w14:ligatures w14:val="none"/>
        </w:rPr>
        <w:t>-</w:t>
      </w:r>
      <w:r w:rsidRPr="00D06C74">
        <w:rPr>
          <w:rFonts w:ascii="Arial" w:eastAsia="Arial" w:hAnsi="Arial" w:cs="Arial"/>
          <w:kern w:val="0"/>
          <w:sz w:val="24"/>
          <w:szCs w:val="24"/>
          <w14:ligatures w14:val="none"/>
        </w:rPr>
        <w:t>23) carbon emissions are 374.47 tonnes CO</w:t>
      </w:r>
      <w:r w:rsidRPr="00D06C74">
        <w:rPr>
          <w:rFonts w:ascii="Arial" w:eastAsia="Arial" w:hAnsi="Arial" w:cs="Arial"/>
          <w:kern w:val="0"/>
          <w:sz w:val="24"/>
          <w:szCs w:val="24"/>
          <w:vertAlign w:val="subscript"/>
          <w14:ligatures w14:val="none"/>
        </w:rPr>
        <w:t>2</w:t>
      </w:r>
      <w:r w:rsidRPr="00D06C74">
        <w:rPr>
          <w:rFonts w:ascii="Arial" w:eastAsia="Arial" w:hAnsi="Arial" w:cs="Arial"/>
          <w:kern w:val="0"/>
          <w:sz w:val="24"/>
          <w:szCs w:val="24"/>
          <w14:ligatures w14:val="none"/>
        </w:rPr>
        <w:t xml:space="preserve">e, of which 71.22 tonnes are from scope 1 emissions; 138.82 tonnes are from scope 2 emissions; and 164.43 tonnes are from scope 3 emissions. </w:t>
      </w:r>
    </w:p>
    <w:p w14:paraId="668FAA79" w14:textId="77777777" w:rsidR="00E14AED" w:rsidRDefault="00E14AED">
      <w:pPr>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br w:type="page"/>
      </w:r>
    </w:p>
    <w:p w14:paraId="7F8C9392" w14:textId="33B29F22"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lastRenderedPageBreak/>
        <w:t>Our reported summary GGC data is as follows: </w:t>
      </w:r>
    </w:p>
    <w:tbl>
      <w:tblPr>
        <w:tblW w:w="8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3"/>
        <w:gridCol w:w="2352"/>
        <w:gridCol w:w="2353"/>
        <w:gridCol w:w="2353"/>
      </w:tblGrid>
      <w:tr w:rsidR="003D10F7" w:rsidRPr="00D06C74" w14:paraId="3AFE344C" w14:textId="05CFD675" w:rsidTr="003D10F7">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hideMark/>
          </w:tcPr>
          <w:p w14:paraId="4F063715" w14:textId="77777777" w:rsidR="003D10F7" w:rsidRPr="00D06C74" w:rsidRDefault="003D10F7" w:rsidP="003D10F7">
            <w:pPr>
              <w:spacing w:after="0"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 </w:t>
            </w:r>
          </w:p>
        </w:tc>
        <w:tc>
          <w:tcPr>
            <w:tcW w:w="2352" w:type="dxa"/>
            <w:tcBorders>
              <w:top w:val="single" w:sz="6" w:space="0" w:color="auto"/>
              <w:left w:val="single" w:sz="6" w:space="0" w:color="auto"/>
              <w:bottom w:val="single" w:sz="6" w:space="0" w:color="auto"/>
              <w:right w:val="single" w:sz="6" w:space="0" w:color="auto"/>
            </w:tcBorders>
          </w:tcPr>
          <w:p w14:paraId="26202A29" w14:textId="77777777" w:rsidR="003D10F7" w:rsidRPr="00D06C74" w:rsidRDefault="003D10F7" w:rsidP="003D10F7">
            <w:pPr>
              <w:spacing w:after="0" w:line="240" w:lineRule="auto"/>
              <w:jc w:val="right"/>
              <w:textAlignment w:val="baseline"/>
              <w:rPr>
                <w:rFonts w:ascii="Arial" w:eastAsia="Times New Roman" w:hAnsi="Arial" w:cs="Arial"/>
                <w:b/>
                <w:bCs/>
                <w:kern w:val="0"/>
                <w:sz w:val="24"/>
                <w:szCs w:val="24"/>
                <w:lang w:eastAsia="en-GB"/>
                <w14:ligatures w14:val="none"/>
              </w:rPr>
            </w:pPr>
            <w:r w:rsidRPr="00D06C74">
              <w:rPr>
                <w:rFonts w:ascii="Arial" w:eastAsia="Times New Roman" w:hAnsi="Arial" w:cs="Arial"/>
                <w:b/>
                <w:bCs/>
                <w:kern w:val="0"/>
                <w:sz w:val="24"/>
                <w:szCs w:val="24"/>
                <w:lang w:eastAsia="en-GB"/>
                <w14:ligatures w14:val="none"/>
              </w:rPr>
              <w:t>GGC reporting year 2023-24</w:t>
            </w:r>
            <w:r w:rsidRPr="00D06C74">
              <w:rPr>
                <w:rFonts w:ascii="Arial" w:eastAsia="Times New Roman" w:hAnsi="Arial" w:cs="Arial"/>
                <w:kern w:val="0"/>
                <w:sz w:val="24"/>
                <w:szCs w:val="24"/>
                <w:lang w:eastAsia="en-GB"/>
                <w14:ligatures w14:val="none"/>
              </w:rPr>
              <w:t> </w:t>
            </w:r>
          </w:p>
        </w:tc>
        <w:tc>
          <w:tcPr>
            <w:tcW w:w="2353" w:type="dxa"/>
            <w:tcBorders>
              <w:top w:val="single" w:sz="6" w:space="0" w:color="auto"/>
              <w:left w:val="single" w:sz="6" w:space="0" w:color="auto"/>
              <w:bottom w:val="single" w:sz="6" w:space="0" w:color="auto"/>
              <w:right w:val="single" w:sz="6" w:space="0" w:color="auto"/>
            </w:tcBorders>
          </w:tcPr>
          <w:p w14:paraId="276971BC" w14:textId="7E5D1CF1" w:rsidR="003D10F7" w:rsidRPr="00D06B1D" w:rsidRDefault="003D10F7" w:rsidP="003D10F7">
            <w:pPr>
              <w:spacing w:after="0" w:line="240" w:lineRule="auto"/>
              <w:jc w:val="right"/>
              <w:textAlignment w:val="baseline"/>
              <w:rPr>
                <w:rFonts w:ascii="Arial" w:eastAsia="Times New Roman" w:hAnsi="Arial" w:cs="Arial"/>
                <w:b/>
                <w:bCs/>
                <w:kern w:val="0"/>
                <w:sz w:val="24"/>
                <w:szCs w:val="24"/>
                <w:lang w:eastAsia="en-GB"/>
                <w14:ligatures w14:val="none"/>
              </w:rPr>
            </w:pPr>
            <w:r w:rsidRPr="00D06B1D">
              <w:rPr>
                <w:rFonts w:ascii="Arial" w:hAnsi="Arial" w:cs="Arial"/>
                <w:b/>
                <w:bCs/>
                <w:sz w:val="24"/>
                <w:szCs w:val="24"/>
              </w:rPr>
              <w:t xml:space="preserve">GGC reporting year 2022-23 </w:t>
            </w:r>
          </w:p>
        </w:tc>
        <w:tc>
          <w:tcPr>
            <w:tcW w:w="2353" w:type="dxa"/>
            <w:tcBorders>
              <w:top w:val="single" w:sz="6" w:space="0" w:color="auto"/>
              <w:left w:val="single" w:sz="6" w:space="0" w:color="auto"/>
              <w:bottom w:val="single" w:sz="6" w:space="0" w:color="auto"/>
              <w:right w:val="single" w:sz="6" w:space="0" w:color="auto"/>
            </w:tcBorders>
          </w:tcPr>
          <w:p w14:paraId="1162F051" w14:textId="2D46ECAF" w:rsidR="003D10F7" w:rsidRPr="00D06B1D" w:rsidRDefault="003D10F7" w:rsidP="003D10F7">
            <w:pPr>
              <w:spacing w:after="0" w:line="240" w:lineRule="auto"/>
              <w:jc w:val="right"/>
              <w:textAlignment w:val="baseline"/>
              <w:rPr>
                <w:rFonts w:ascii="Arial" w:eastAsia="Times New Roman" w:hAnsi="Arial" w:cs="Arial"/>
                <w:b/>
                <w:bCs/>
                <w:kern w:val="0"/>
                <w:sz w:val="24"/>
                <w:szCs w:val="24"/>
                <w:lang w:eastAsia="en-GB"/>
                <w14:ligatures w14:val="none"/>
              </w:rPr>
            </w:pPr>
            <w:r w:rsidRPr="00D06B1D">
              <w:rPr>
                <w:rFonts w:ascii="Arial" w:hAnsi="Arial" w:cs="Arial"/>
                <w:b/>
                <w:bCs/>
                <w:sz w:val="24"/>
                <w:szCs w:val="24"/>
              </w:rPr>
              <w:t xml:space="preserve">GGC reporting year 2021-22 </w:t>
            </w:r>
          </w:p>
        </w:tc>
      </w:tr>
      <w:tr w:rsidR="003D10F7" w:rsidRPr="00D06C74" w14:paraId="7BC09094" w14:textId="24D4CB59" w:rsidTr="00CA267C">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hideMark/>
          </w:tcPr>
          <w:p w14:paraId="45291370" w14:textId="77777777" w:rsidR="003D10F7" w:rsidRPr="00D06C74" w:rsidRDefault="003D10F7" w:rsidP="003D10F7">
            <w:pPr>
              <w:spacing w:after="0"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Energy (KWH) </w:t>
            </w:r>
          </w:p>
        </w:tc>
        <w:tc>
          <w:tcPr>
            <w:tcW w:w="2352" w:type="dxa"/>
            <w:tcBorders>
              <w:top w:val="single" w:sz="6" w:space="0" w:color="auto"/>
              <w:left w:val="single" w:sz="6" w:space="0" w:color="auto"/>
              <w:bottom w:val="single" w:sz="6" w:space="0" w:color="auto"/>
              <w:right w:val="single" w:sz="6" w:space="0" w:color="auto"/>
            </w:tcBorders>
            <w:vAlign w:val="center"/>
          </w:tcPr>
          <w:p w14:paraId="5F2724ED" w14:textId="77777777" w:rsidR="003D10F7" w:rsidRPr="00D06C74"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940,079 [1]</w:t>
            </w:r>
          </w:p>
        </w:tc>
        <w:tc>
          <w:tcPr>
            <w:tcW w:w="2353" w:type="dxa"/>
            <w:tcBorders>
              <w:top w:val="single" w:sz="6" w:space="0" w:color="auto"/>
              <w:left w:val="single" w:sz="6" w:space="0" w:color="auto"/>
              <w:bottom w:val="single" w:sz="6" w:space="0" w:color="auto"/>
              <w:right w:val="single" w:sz="6" w:space="0" w:color="auto"/>
            </w:tcBorders>
            <w:vAlign w:val="center"/>
          </w:tcPr>
          <w:p w14:paraId="5394DC80" w14:textId="552C3512" w:rsidR="003D10F7" w:rsidRPr="003D10F7"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3D10F7">
              <w:rPr>
                <w:rFonts w:ascii="Arial" w:hAnsi="Arial" w:cs="Arial"/>
                <w:sz w:val="24"/>
                <w:szCs w:val="24"/>
              </w:rPr>
              <w:t>554,176</w:t>
            </w:r>
          </w:p>
        </w:tc>
        <w:tc>
          <w:tcPr>
            <w:tcW w:w="2353" w:type="dxa"/>
            <w:tcBorders>
              <w:top w:val="single" w:sz="6" w:space="0" w:color="auto"/>
              <w:left w:val="single" w:sz="6" w:space="0" w:color="auto"/>
              <w:bottom w:val="single" w:sz="6" w:space="0" w:color="auto"/>
              <w:right w:val="single" w:sz="6" w:space="0" w:color="auto"/>
            </w:tcBorders>
            <w:vAlign w:val="center"/>
          </w:tcPr>
          <w:p w14:paraId="1289DB05" w14:textId="14F2D0C4" w:rsidR="003D10F7" w:rsidRPr="003D10F7"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3D10F7">
              <w:rPr>
                <w:rFonts w:ascii="Arial" w:hAnsi="Arial" w:cs="Arial"/>
                <w:sz w:val="24"/>
                <w:szCs w:val="24"/>
              </w:rPr>
              <w:t>438,398</w:t>
            </w:r>
          </w:p>
        </w:tc>
      </w:tr>
      <w:tr w:rsidR="003D10F7" w:rsidRPr="00D06C74" w14:paraId="5204A4DF" w14:textId="2FCD00EB" w:rsidTr="00CA267C">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hideMark/>
          </w:tcPr>
          <w:p w14:paraId="257780F8" w14:textId="77777777" w:rsidR="003D10F7" w:rsidRPr="00D06C74" w:rsidRDefault="003D10F7" w:rsidP="003D10F7">
            <w:pPr>
              <w:spacing w:after="0"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Water (m</w:t>
            </w:r>
            <w:r w:rsidRPr="00D06C74">
              <w:rPr>
                <w:rFonts w:ascii="Arial" w:eastAsia="Times New Roman" w:hAnsi="Arial" w:cs="Arial"/>
                <w:kern w:val="0"/>
                <w:sz w:val="24"/>
                <w:szCs w:val="24"/>
                <w:vertAlign w:val="superscript"/>
                <w:lang w:eastAsia="en-GB"/>
                <w14:ligatures w14:val="none"/>
              </w:rPr>
              <w:t>3</w:t>
            </w:r>
            <w:r w:rsidRPr="00D06C74">
              <w:rPr>
                <w:rFonts w:ascii="Arial" w:eastAsia="Times New Roman" w:hAnsi="Arial" w:cs="Arial"/>
                <w:kern w:val="0"/>
                <w:sz w:val="24"/>
                <w:szCs w:val="24"/>
                <w:lang w:eastAsia="en-GB"/>
                <w14:ligatures w14:val="none"/>
              </w:rPr>
              <w:t>) </w:t>
            </w:r>
          </w:p>
        </w:tc>
        <w:tc>
          <w:tcPr>
            <w:tcW w:w="2352" w:type="dxa"/>
            <w:tcBorders>
              <w:top w:val="single" w:sz="6" w:space="0" w:color="auto"/>
              <w:left w:val="single" w:sz="6" w:space="0" w:color="auto"/>
              <w:bottom w:val="single" w:sz="6" w:space="0" w:color="auto"/>
              <w:right w:val="single" w:sz="6" w:space="0" w:color="auto"/>
            </w:tcBorders>
            <w:vAlign w:val="center"/>
          </w:tcPr>
          <w:p w14:paraId="51876398" w14:textId="78BACA70" w:rsidR="003D10F7" w:rsidRPr="00D06C74" w:rsidRDefault="003D10F7" w:rsidP="00CA267C">
            <w:pPr>
              <w:tabs>
                <w:tab w:val="center" w:pos="1117"/>
                <w:tab w:val="right" w:pos="2235"/>
              </w:tabs>
              <w:spacing w:after="0" w:line="240" w:lineRule="auto"/>
              <w:jc w:val="center"/>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3,664</w:t>
            </w:r>
          </w:p>
        </w:tc>
        <w:tc>
          <w:tcPr>
            <w:tcW w:w="2353" w:type="dxa"/>
            <w:tcBorders>
              <w:top w:val="single" w:sz="6" w:space="0" w:color="auto"/>
              <w:left w:val="single" w:sz="6" w:space="0" w:color="auto"/>
              <w:bottom w:val="single" w:sz="6" w:space="0" w:color="auto"/>
              <w:right w:val="single" w:sz="6" w:space="0" w:color="auto"/>
            </w:tcBorders>
            <w:vAlign w:val="center"/>
          </w:tcPr>
          <w:p w14:paraId="67FA0F55" w14:textId="1BFCE68E" w:rsidR="003D10F7" w:rsidRPr="003D10F7" w:rsidRDefault="003D10F7" w:rsidP="00CA267C">
            <w:pPr>
              <w:tabs>
                <w:tab w:val="center" w:pos="1117"/>
                <w:tab w:val="right" w:pos="2235"/>
              </w:tabs>
              <w:spacing w:after="0" w:line="240" w:lineRule="auto"/>
              <w:jc w:val="center"/>
              <w:textAlignment w:val="baseline"/>
              <w:rPr>
                <w:rFonts w:ascii="Arial" w:eastAsia="Times New Roman" w:hAnsi="Arial" w:cs="Arial"/>
                <w:kern w:val="0"/>
                <w:sz w:val="24"/>
                <w:szCs w:val="24"/>
                <w:lang w:eastAsia="en-GB"/>
                <w14:ligatures w14:val="none"/>
              </w:rPr>
            </w:pPr>
            <w:r w:rsidRPr="003D10F7">
              <w:rPr>
                <w:rFonts w:ascii="Arial" w:hAnsi="Arial" w:cs="Arial"/>
                <w:sz w:val="24"/>
                <w:szCs w:val="24"/>
              </w:rPr>
              <w:t>4,176</w:t>
            </w:r>
          </w:p>
        </w:tc>
        <w:tc>
          <w:tcPr>
            <w:tcW w:w="2353" w:type="dxa"/>
            <w:tcBorders>
              <w:top w:val="single" w:sz="6" w:space="0" w:color="auto"/>
              <w:left w:val="single" w:sz="6" w:space="0" w:color="auto"/>
              <w:bottom w:val="single" w:sz="6" w:space="0" w:color="auto"/>
              <w:right w:val="single" w:sz="6" w:space="0" w:color="auto"/>
            </w:tcBorders>
            <w:vAlign w:val="center"/>
          </w:tcPr>
          <w:p w14:paraId="66A8F75C" w14:textId="423FA4DA" w:rsidR="003D10F7" w:rsidRPr="003D10F7" w:rsidRDefault="003D10F7" w:rsidP="00CA267C">
            <w:pPr>
              <w:tabs>
                <w:tab w:val="center" w:pos="1117"/>
                <w:tab w:val="right" w:pos="2235"/>
              </w:tabs>
              <w:spacing w:after="0" w:line="240" w:lineRule="auto"/>
              <w:jc w:val="center"/>
              <w:textAlignment w:val="baseline"/>
              <w:rPr>
                <w:rFonts w:ascii="Arial" w:eastAsia="Times New Roman" w:hAnsi="Arial" w:cs="Arial"/>
                <w:kern w:val="0"/>
                <w:sz w:val="24"/>
                <w:szCs w:val="24"/>
                <w:lang w:eastAsia="en-GB"/>
                <w14:ligatures w14:val="none"/>
              </w:rPr>
            </w:pPr>
            <w:r w:rsidRPr="003D10F7">
              <w:rPr>
                <w:rFonts w:ascii="Arial" w:hAnsi="Arial" w:cs="Arial"/>
                <w:sz w:val="24"/>
                <w:szCs w:val="24"/>
              </w:rPr>
              <w:t>4,242</w:t>
            </w:r>
          </w:p>
        </w:tc>
      </w:tr>
      <w:tr w:rsidR="003D10F7" w:rsidRPr="00D06C74" w14:paraId="30C86FE5" w14:textId="3296ABB4" w:rsidTr="00CA267C">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tcPr>
          <w:p w14:paraId="1735D302" w14:textId="77777777" w:rsidR="003D10F7" w:rsidRPr="00D06C74" w:rsidRDefault="003D10F7" w:rsidP="003D10F7">
            <w:pPr>
              <w:spacing w:after="0"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Travel (km)</w:t>
            </w:r>
          </w:p>
        </w:tc>
        <w:tc>
          <w:tcPr>
            <w:tcW w:w="2352" w:type="dxa"/>
            <w:tcBorders>
              <w:top w:val="single" w:sz="6" w:space="0" w:color="auto"/>
              <w:left w:val="single" w:sz="6" w:space="0" w:color="auto"/>
              <w:bottom w:val="single" w:sz="6" w:space="0" w:color="auto"/>
              <w:right w:val="single" w:sz="6" w:space="0" w:color="auto"/>
            </w:tcBorders>
            <w:vAlign w:val="center"/>
          </w:tcPr>
          <w:p w14:paraId="4E12580B" w14:textId="77777777" w:rsidR="003D10F7" w:rsidRPr="00D06C74"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2,552,064</w:t>
            </w:r>
          </w:p>
        </w:tc>
        <w:tc>
          <w:tcPr>
            <w:tcW w:w="2353" w:type="dxa"/>
            <w:tcBorders>
              <w:top w:val="single" w:sz="6" w:space="0" w:color="auto"/>
              <w:left w:val="single" w:sz="6" w:space="0" w:color="auto"/>
              <w:bottom w:val="single" w:sz="6" w:space="0" w:color="auto"/>
              <w:right w:val="single" w:sz="6" w:space="0" w:color="auto"/>
            </w:tcBorders>
            <w:vAlign w:val="center"/>
          </w:tcPr>
          <w:p w14:paraId="02D5B1B1" w14:textId="5025A875" w:rsidR="003D10F7" w:rsidRPr="003D10F7"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3D10F7">
              <w:rPr>
                <w:rFonts w:ascii="Arial" w:hAnsi="Arial" w:cs="Arial"/>
                <w:sz w:val="24"/>
                <w:szCs w:val="24"/>
              </w:rPr>
              <w:t>2,480,086</w:t>
            </w:r>
          </w:p>
        </w:tc>
        <w:tc>
          <w:tcPr>
            <w:tcW w:w="2353" w:type="dxa"/>
            <w:tcBorders>
              <w:top w:val="single" w:sz="6" w:space="0" w:color="auto"/>
              <w:left w:val="single" w:sz="6" w:space="0" w:color="auto"/>
              <w:bottom w:val="single" w:sz="6" w:space="0" w:color="auto"/>
              <w:right w:val="single" w:sz="6" w:space="0" w:color="auto"/>
            </w:tcBorders>
            <w:vAlign w:val="center"/>
          </w:tcPr>
          <w:p w14:paraId="5945D77B" w14:textId="1EA41B22" w:rsidR="003D10F7" w:rsidRPr="003D10F7"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3D10F7">
              <w:rPr>
                <w:rFonts w:ascii="Arial" w:hAnsi="Arial" w:cs="Arial"/>
                <w:sz w:val="24"/>
                <w:szCs w:val="24"/>
              </w:rPr>
              <w:t>780,132</w:t>
            </w:r>
          </w:p>
        </w:tc>
      </w:tr>
      <w:tr w:rsidR="003D10F7" w:rsidRPr="00D06C74" w14:paraId="0E105A0B" w14:textId="0AFE365E" w:rsidTr="00CA267C">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hideMark/>
          </w:tcPr>
          <w:p w14:paraId="14796C20" w14:textId="77777777" w:rsidR="003D10F7" w:rsidRPr="00D06C74" w:rsidRDefault="003D10F7" w:rsidP="003D10F7">
            <w:pPr>
              <w:spacing w:after="0"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Total waste (t) </w:t>
            </w:r>
          </w:p>
        </w:tc>
        <w:tc>
          <w:tcPr>
            <w:tcW w:w="2352" w:type="dxa"/>
            <w:tcBorders>
              <w:top w:val="single" w:sz="6" w:space="0" w:color="auto"/>
              <w:left w:val="single" w:sz="6" w:space="0" w:color="auto"/>
              <w:bottom w:val="single" w:sz="6" w:space="0" w:color="auto"/>
              <w:right w:val="single" w:sz="6" w:space="0" w:color="auto"/>
            </w:tcBorders>
            <w:vAlign w:val="center"/>
          </w:tcPr>
          <w:p w14:paraId="535C114B" w14:textId="77777777" w:rsidR="003D10F7" w:rsidRPr="00D06C74"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76.50 [3]</w:t>
            </w:r>
          </w:p>
        </w:tc>
        <w:tc>
          <w:tcPr>
            <w:tcW w:w="2353" w:type="dxa"/>
            <w:tcBorders>
              <w:top w:val="single" w:sz="6" w:space="0" w:color="auto"/>
              <w:left w:val="single" w:sz="6" w:space="0" w:color="auto"/>
              <w:bottom w:val="single" w:sz="6" w:space="0" w:color="auto"/>
              <w:right w:val="single" w:sz="6" w:space="0" w:color="auto"/>
            </w:tcBorders>
            <w:vAlign w:val="center"/>
          </w:tcPr>
          <w:p w14:paraId="5C5FBD90" w14:textId="4FBC664C" w:rsidR="003D10F7" w:rsidRPr="003D10F7"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3D10F7">
              <w:rPr>
                <w:rFonts w:ascii="Arial" w:hAnsi="Arial" w:cs="Arial"/>
                <w:sz w:val="24"/>
                <w:szCs w:val="24"/>
              </w:rPr>
              <w:t>55.92</w:t>
            </w:r>
          </w:p>
        </w:tc>
        <w:tc>
          <w:tcPr>
            <w:tcW w:w="2353" w:type="dxa"/>
            <w:tcBorders>
              <w:top w:val="single" w:sz="6" w:space="0" w:color="auto"/>
              <w:left w:val="single" w:sz="6" w:space="0" w:color="auto"/>
              <w:bottom w:val="single" w:sz="6" w:space="0" w:color="auto"/>
              <w:right w:val="single" w:sz="6" w:space="0" w:color="auto"/>
            </w:tcBorders>
            <w:vAlign w:val="center"/>
          </w:tcPr>
          <w:p w14:paraId="55787722" w14:textId="18B1BC53" w:rsidR="003D10F7" w:rsidRPr="003D10F7"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3D10F7">
              <w:rPr>
                <w:rFonts w:ascii="Arial" w:hAnsi="Arial" w:cs="Arial"/>
                <w:sz w:val="24"/>
                <w:szCs w:val="24"/>
              </w:rPr>
              <w:t>150.82 [2]</w:t>
            </w:r>
          </w:p>
        </w:tc>
      </w:tr>
      <w:tr w:rsidR="003D10F7" w:rsidRPr="00D06C74" w14:paraId="0E69B8F6" w14:textId="26111BB3" w:rsidTr="00CA267C">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hideMark/>
          </w:tcPr>
          <w:p w14:paraId="245B0BC6" w14:textId="77777777" w:rsidR="003D10F7" w:rsidRPr="00D06C74" w:rsidRDefault="003D10F7" w:rsidP="003D10F7">
            <w:pPr>
              <w:spacing w:after="0"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Total waste recycled (t) </w:t>
            </w:r>
          </w:p>
        </w:tc>
        <w:tc>
          <w:tcPr>
            <w:tcW w:w="2352" w:type="dxa"/>
            <w:tcBorders>
              <w:top w:val="single" w:sz="6" w:space="0" w:color="auto"/>
              <w:left w:val="single" w:sz="6" w:space="0" w:color="auto"/>
              <w:bottom w:val="single" w:sz="6" w:space="0" w:color="auto"/>
              <w:right w:val="single" w:sz="6" w:space="0" w:color="auto"/>
            </w:tcBorders>
            <w:vAlign w:val="center"/>
          </w:tcPr>
          <w:p w14:paraId="5AD73DC6" w14:textId="77777777" w:rsidR="003D10F7" w:rsidRPr="00D06C74"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53.96</w:t>
            </w:r>
          </w:p>
        </w:tc>
        <w:tc>
          <w:tcPr>
            <w:tcW w:w="2353" w:type="dxa"/>
            <w:tcBorders>
              <w:top w:val="single" w:sz="6" w:space="0" w:color="auto"/>
              <w:left w:val="single" w:sz="6" w:space="0" w:color="auto"/>
              <w:bottom w:val="single" w:sz="6" w:space="0" w:color="auto"/>
              <w:right w:val="single" w:sz="6" w:space="0" w:color="auto"/>
            </w:tcBorders>
            <w:vAlign w:val="center"/>
          </w:tcPr>
          <w:p w14:paraId="6DF4D728" w14:textId="09AD4AA1" w:rsidR="003D10F7" w:rsidRPr="003D10F7"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3D10F7">
              <w:rPr>
                <w:rFonts w:ascii="Arial" w:hAnsi="Arial" w:cs="Arial"/>
                <w:sz w:val="24"/>
                <w:szCs w:val="24"/>
              </w:rPr>
              <w:t>54.24</w:t>
            </w:r>
          </w:p>
        </w:tc>
        <w:tc>
          <w:tcPr>
            <w:tcW w:w="2353" w:type="dxa"/>
            <w:tcBorders>
              <w:top w:val="single" w:sz="6" w:space="0" w:color="auto"/>
              <w:left w:val="single" w:sz="6" w:space="0" w:color="auto"/>
              <w:bottom w:val="single" w:sz="6" w:space="0" w:color="auto"/>
              <w:right w:val="single" w:sz="6" w:space="0" w:color="auto"/>
            </w:tcBorders>
            <w:vAlign w:val="center"/>
          </w:tcPr>
          <w:p w14:paraId="79606DC7" w14:textId="75926EE0" w:rsidR="003D10F7" w:rsidRPr="003D10F7"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3D10F7">
              <w:rPr>
                <w:rFonts w:ascii="Arial" w:hAnsi="Arial" w:cs="Arial"/>
                <w:sz w:val="24"/>
                <w:szCs w:val="24"/>
              </w:rPr>
              <w:t>44.98</w:t>
            </w:r>
          </w:p>
        </w:tc>
      </w:tr>
      <w:tr w:rsidR="003D10F7" w:rsidRPr="00D06C74" w14:paraId="16C5070C" w14:textId="29C9F08F" w:rsidTr="00CA267C">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tcPr>
          <w:p w14:paraId="08E97BA7" w14:textId="77777777" w:rsidR="003D10F7" w:rsidRPr="00D06C74" w:rsidRDefault="003D10F7" w:rsidP="003D10F7">
            <w:pPr>
              <w:spacing w:after="0"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Paper usage (A4 reams equivalent)</w:t>
            </w:r>
          </w:p>
        </w:tc>
        <w:tc>
          <w:tcPr>
            <w:tcW w:w="2352" w:type="dxa"/>
            <w:tcBorders>
              <w:top w:val="single" w:sz="6" w:space="0" w:color="auto"/>
              <w:left w:val="single" w:sz="6" w:space="0" w:color="auto"/>
              <w:bottom w:val="single" w:sz="6" w:space="0" w:color="auto"/>
              <w:right w:val="single" w:sz="6" w:space="0" w:color="auto"/>
            </w:tcBorders>
            <w:vAlign w:val="center"/>
          </w:tcPr>
          <w:p w14:paraId="227FAAB8" w14:textId="77777777" w:rsidR="003D10F7" w:rsidRPr="00D06C74"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3,744</w:t>
            </w:r>
          </w:p>
        </w:tc>
        <w:tc>
          <w:tcPr>
            <w:tcW w:w="2353" w:type="dxa"/>
            <w:tcBorders>
              <w:top w:val="single" w:sz="6" w:space="0" w:color="auto"/>
              <w:left w:val="single" w:sz="6" w:space="0" w:color="auto"/>
              <w:bottom w:val="single" w:sz="6" w:space="0" w:color="auto"/>
              <w:right w:val="single" w:sz="6" w:space="0" w:color="auto"/>
            </w:tcBorders>
            <w:vAlign w:val="center"/>
          </w:tcPr>
          <w:p w14:paraId="417229C7" w14:textId="5814ADDF" w:rsidR="003D10F7" w:rsidRPr="003D10F7"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3D10F7">
              <w:rPr>
                <w:rFonts w:ascii="Arial" w:hAnsi="Arial" w:cs="Arial"/>
                <w:sz w:val="24"/>
                <w:szCs w:val="24"/>
              </w:rPr>
              <w:t>3,682</w:t>
            </w:r>
          </w:p>
        </w:tc>
        <w:tc>
          <w:tcPr>
            <w:tcW w:w="2353" w:type="dxa"/>
            <w:tcBorders>
              <w:top w:val="single" w:sz="6" w:space="0" w:color="auto"/>
              <w:left w:val="single" w:sz="6" w:space="0" w:color="auto"/>
              <w:bottom w:val="single" w:sz="6" w:space="0" w:color="auto"/>
              <w:right w:val="single" w:sz="6" w:space="0" w:color="auto"/>
            </w:tcBorders>
            <w:vAlign w:val="center"/>
          </w:tcPr>
          <w:p w14:paraId="431E6B5A" w14:textId="0DB48675" w:rsidR="003D10F7" w:rsidRPr="003D10F7" w:rsidRDefault="003D10F7" w:rsidP="00CA267C">
            <w:pPr>
              <w:spacing w:after="0" w:line="240" w:lineRule="auto"/>
              <w:jc w:val="center"/>
              <w:textAlignment w:val="baseline"/>
              <w:rPr>
                <w:rFonts w:ascii="Arial" w:eastAsia="Times New Roman" w:hAnsi="Arial" w:cs="Arial"/>
                <w:kern w:val="0"/>
                <w:sz w:val="24"/>
                <w:szCs w:val="24"/>
                <w:lang w:eastAsia="en-GB"/>
                <w14:ligatures w14:val="none"/>
              </w:rPr>
            </w:pPr>
            <w:r w:rsidRPr="003D10F7">
              <w:rPr>
                <w:rFonts w:ascii="Arial" w:hAnsi="Arial" w:cs="Arial"/>
                <w:sz w:val="24"/>
                <w:szCs w:val="24"/>
              </w:rPr>
              <w:t>2,228</w:t>
            </w:r>
          </w:p>
        </w:tc>
      </w:tr>
    </w:tbl>
    <w:p w14:paraId="1FAC25A9" w14:textId="2CA2D83D"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 Table 1: INSS GGC summary data 2023</w:t>
      </w:r>
      <w:r w:rsidR="00A01F7B">
        <w:rPr>
          <w:rFonts w:ascii="Arial" w:eastAsia="Times New Roman" w:hAnsi="Arial" w:cs="Arial"/>
          <w:kern w:val="0"/>
          <w:sz w:val="24"/>
          <w:szCs w:val="24"/>
          <w:lang w:eastAsia="en-GB"/>
          <w14:ligatures w14:val="none"/>
        </w:rPr>
        <w:t>-</w:t>
      </w:r>
      <w:r w:rsidRPr="00D06C74">
        <w:rPr>
          <w:rFonts w:ascii="Arial" w:eastAsia="Times New Roman" w:hAnsi="Arial" w:cs="Arial"/>
          <w:kern w:val="0"/>
          <w:sz w:val="24"/>
          <w:szCs w:val="24"/>
          <w:lang w:eastAsia="en-GB"/>
          <w14:ligatures w14:val="none"/>
        </w:rPr>
        <w:t>24</w:t>
      </w:r>
    </w:p>
    <w:p w14:paraId="2A2D971E" w14:textId="2268174E" w:rsidR="00D06C74" w:rsidRPr="00D06C74" w:rsidRDefault="00D06C74" w:rsidP="00D06C74">
      <w:pPr>
        <w:spacing w:afterLines="120" w:after="288" w:line="240" w:lineRule="auto"/>
        <w:textAlignment w:val="baseline"/>
        <w:rPr>
          <w:rFonts w:ascii="Arial" w:eastAsia="Times New Roman" w:hAnsi="Arial" w:cs="Arial"/>
          <w:i/>
          <w:iCs/>
          <w:kern w:val="0"/>
          <w:sz w:val="24"/>
          <w:szCs w:val="24"/>
          <w:lang w:eastAsia="en-GB"/>
          <w14:ligatures w14:val="none"/>
        </w:rPr>
      </w:pPr>
      <w:r w:rsidRPr="00D06C74">
        <w:rPr>
          <w:rFonts w:ascii="Arial" w:eastAsia="Times New Roman" w:hAnsi="Arial" w:cs="Arial"/>
          <w:i/>
          <w:iCs/>
          <w:kern w:val="0"/>
          <w:sz w:val="24"/>
          <w:szCs w:val="24"/>
          <w:lang w:eastAsia="en-GB"/>
          <w14:ligatures w14:val="none"/>
        </w:rPr>
        <w:t>Energy, water, and waste figures for 2023</w:t>
      </w:r>
      <w:r w:rsidR="00A01F7B">
        <w:rPr>
          <w:rFonts w:ascii="Arial" w:eastAsia="Times New Roman" w:hAnsi="Arial" w:cs="Arial"/>
          <w:i/>
          <w:iCs/>
          <w:kern w:val="0"/>
          <w:sz w:val="24"/>
          <w:szCs w:val="24"/>
          <w:lang w:eastAsia="en-GB"/>
          <w14:ligatures w14:val="none"/>
        </w:rPr>
        <w:t>-</w:t>
      </w:r>
      <w:r w:rsidRPr="00D06C74">
        <w:rPr>
          <w:rFonts w:ascii="Arial" w:eastAsia="Times New Roman" w:hAnsi="Arial" w:cs="Arial"/>
          <w:i/>
          <w:iCs/>
          <w:kern w:val="0"/>
          <w:sz w:val="24"/>
          <w:szCs w:val="24"/>
          <w:lang w:eastAsia="en-GB"/>
          <w14:ligatures w14:val="none"/>
        </w:rPr>
        <w:t xml:space="preserve">24 reflect 9 of our Regional Centre Offices, as those leased from other government departments are out of scope to prevent double counting, as per the </w:t>
      </w:r>
      <w:hyperlink r:id="rId40" w:anchor="reporting" w:history="1">
        <w:r w:rsidRPr="00D06C74">
          <w:rPr>
            <w:rFonts w:ascii="Arial" w:eastAsia="Times New Roman" w:hAnsi="Arial" w:cs="Arial"/>
            <w:i/>
            <w:iCs/>
            <w:color w:val="0000FF"/>
            <w:kern w:val="0"/>
            <w:sz w:val="24"/>
            <w:szCs w:val="24"/>
            <w:u w:val="single"/>
            <w:lang w:eastAsia="en-GB"/>
            <w14:ligatures w14:val="none"/>
          </w:rPr>
          <w:t>GGC guidance</w:t>
        </w:r>
      </w:hyperlink>
      <w:r w:rsidRPr="00D06C74">
        <w:rPr>
          <w:rFonts w:ascii="Arial" w:eastAsia="Times New Roman" w:hAnsi="Arial" w:cs="Arial"/>
          <w:i/>
          <w:iCs/>
          <w:kern w:val="0"/>
          <w:sz w:val="24"/>
          <w:szCs w:val="24"/>
          <w:lang w:eastAsia="en-GB"/>
          <w14:ligatures w14:val="none"/>
        </w:rPr>
        <w:t xml:space="preserve">.  </w:t>
      </w:r>
    </w:p>
    <w:p w14:paraId="320B21C1" w14:textId="368130C3"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[1] Where Q4 data is not yet available estimations have been made using 2022</w:t>
      </w:r>
      <w:r w:rsidR="00CA267C">
        <w:rPr>
          <w:rFonts w:ascii="Arial" w:eastAsia="Times New Roman" w:hAnsi="Arial" w:cs="Arial"/>
          <w:kern w:val="0"/>
          <w:sz w:val="24"/>
          <w:szCs w:val="24"/>
          <w:lang w:eastAsia="en-GB"/>
          <w14:ligatures w14:val="none"/>
        </w:rPr>
        <w:t>-</w:t>
      </w:r>
      <w:r w:rsidRPr="00D06C74">
        <w:rPr>
          <w:rFonts w:ascii="Arial" w:eastAsia="Times New Roman" w:hAnsi="Arial" w:cs="Arial"/>
          <w:kern w:val="0"/>
          <w:sz w:val="24"/>
          <w:szCs w:val="24"/>
          <w:lang w:eastAsia="en-GB"/>
          <w14:ligatures w14:val="none"/>
        </w:rPr>
        <w:t>23 data.</w:t>
      </w:r>
    </w:p>
    <w:p w14:paraId="701ACA5E" w14:textId="77777777"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[2] Estimated figure based on costs for 2021-22 as actual waste data was not available.</w:t>
      </w:r>
    </w:p>
    <w:p w14:paraId="4ED26F82" w14:textId="77777777"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[3] Includes waste reused externally from the Manchester Office refit.</w:t>
      </w:r>
    </w:p>
    <w:p w14:paraId="289BD1C5" w14:textId="77777777" w:rsidR="006A38E5" w:rsidRDefault="006A38E5">
      <w:pPr>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br w:type="page"/>
      </w:r>
    </w:p>
    <w:p w14:paraId="7A0CB5B3" w14:textId="02419272" w:rsidR="00D06C74" w:rsidRDefault="00D06C74" w:rsidP="004919D3">
      <w:pPr>
        <w:pStyle w:val="Heading4"/>
        <w:rPr>
          <w:rFonts w:eastAsia="Times New Roman" w:cs="Arial"/>
          <w:sz w:val="24"/>
          <w:szCs w:val="24"/>
          <w:lang w:eastAsia="en-GB"/>
        </w:rPr>
      </w:pPr>
      <w:r w:rsidRPr="007A7417">
        <w:rPr>
          <w:lang w:eastAsia="en-GB"/>
        </w:rPr>
        <w:lastRenderedPageBreak/>
        <w:t>Energy</w:t>
      </w:r>
    </w:p>
    <w:tbl>
      <w:tblPr>
        <w:tblStyle w:val="TableGrid1"/>
        <w:tblW w:w="0" w:type="auto"/>
        <w:tblLook w:val="04A0" w:firstRow="1" w:lastRow="0" w:firstColumn="1" w:lastColumn="0" w:noHBand="0" w:noVBand="1"/>
      </w:tblPr>
      <w:tblGrid>
        <w:gridCol w:w="2405"/>
        <w:gridCol w:w="1678"/>
        <w:gridCol w:w="1621"/>
        <w:gridCol w:w="1691"/>
        <w:gridCol w:w="1621"/>
      </w:tblGrid>
      <w:tr w:rsidR="0063315E" w:rsidRPr="00D06C74" w14:paraId="7DC9406F" w14:textId="77777777" w:rsidTr="00174415">
        <w:trPr>
          <w:trHeight w:val="536"/>
        </w:trPr>
        <w:tc>
          <w:tcPr>
            <w:tcW w:w="2405" w:type="dxa"/>
          </w:tcPr>
          <w:p w14:paraId="12B52B75" w14:textId="77777777" w:rsidR="0063315E" w:rsidRPr="00D06C74" w:rsidRDefault="0063315E">
            <w:pPr>
              <w:textAlignment w:val="baseline"/>
              <w:rPr>
                <w:rFonts w:ascii="Arial" w:eastAsia="Times New Roman" w:hAnsi="Arial" w:cs="Arial"/>
                <w:sz w:val="24"/>
                <w:szCs w:val="24"/>
                <w:lang w:eastAsia="en-GB"/>
              </w:rPr>
            </w:pPr>
          </w:p>
        </w:tc>
        <w:tc>
          <w:tcPr>
            <w:tcW w:w="3299" w:type="dxa"/>
            <w:gridSpan w:val="2"/>
          </w:tcPr>
          <w:p w14:paraId="4B50E64B" w14:textId="77777777" w:rsidR="0063315E" w:rsidRPr="00D06C74" w:rsidRDefault="0063315E">
            <w:pPr>
              <w:textAlignment w:val="baseline"/>
              <w:rPr>
                <w:rFonts w:ascii="Arial" w:eastAsia="Times New Roman" w:hAnsi="Arial" w:cs="Arial"/>
                <w:b/>
                <w:bCs/>
                <w:sz w:val="24"/>
                <w:szCs w:val="24"/>
                <w:lang w:eastAsia="en-GB"/>
              </w:rPr>
            </w:pPr>
            <w:r w:rsidRPr="00D06C74">
              <w:rPr>
                <w:rFonts w:ascii="Arial" w:eastAsia="Times New Roman" w:hAnsi="Arial" w:cs="Arial"/>
                <w:b/>
                <w:bCs/>
                <w:sz w:val="24"/>
                <w:szCs w:val="24"/>
                <w:lang w:eastAsia="en-GB"/>
              </w:rPr>
              <w:t xml:space="preserve">Mains Standard grid electricity </w:t>
            </w:r>
            <w:r w:rsidRPr="00D06C74">
              <w:rPr>
                <w:rFonts w:ascii="Arial" w:eastAsia="Times New Roman" w:hAnsi="Arial" w:cs="Arial"/>
                <w:sz w:val="24"/>
                <w:szCs w:val="24"/>
                <w:lang w:eastAsia="en-GB"/>
              </w:rPr>
              <w:t>[1]</w:t>
            </w:r>
          </w:p>
        </w:tc>
        <w:tc>
          <w:tcPr>
            <w:tcW w:w="3312" w:type="dxa"/>
            <w:gridSpan w:val="2"/>
          </w:tcPr>
          <w:p w14:paraId="799FAD53" w14:textId="77777777" w:rsidR="0063315E" w:rsidRPr="00D06C74" w:rsidRDefault="0063315E">
            <w:pPr>
              <w:textAlignment w:val="baseline"/>
              <w:rPr>
                <w:rFonts w:ascii="Arial" w:eastAsia="Times New Roman" w:hAnsi="Arial" w:cs="Arial"/>
                <w:b/>
                <w:bCs/>
                <w:sz w:val="24"/>
                <w:szCs w:val="24"/>
                <w:lang w:eastAsia="en-GB"/>
              </w:rPr>
            </w:pPr>
            <w:r w:rsidRPr="00D06C74">
              <w:rPr>
                <w:rFonts w:ascii="Arial" w:eastAsia="Times New Roman" w:hAnsi="Arial" w:cs="Arial"/>
                <w:b/>
                <w:bCs/>
                <w:sz w:val="24"/>
                <w:szCs w:val="24"/>
                <w:lang w:eastAsia="en-GB"/>
              </w:rPr>
              <w:t xml:space="preserve">Natural Gas </w:t>
            </w:r>
            <w:r w:rsidRPr="00D06C74">
              <w:rPr>
                <w:rFonts w:ascii="Arial" w:eastAsia="Times New Roman" w:hAnsi="Arial" w:cs="Arial"/>
                <w:sz w:val="24"/>
                <w:szCs w:val="24"/>
                <w:lang w:eastAsia="en-GB"/>
              </w:rPr>
              <w:t>[2]</w:t>
            </w:r>
          </w:p>
        </w:tc>
      </w:tr>
      <w:tr w:rsidR="0063315E" w:rsidRPr="00D06C74" w14:paraId="4CE47AE7" w14:textId="77777777" w:rsidTr="00174415">
        <w:trPr>
          <w:trHeight w:val="261"/>
        </w:trPr>
        <w:tc>
          <w:tcPr>
            <w:tcW w:w="2405" w:type="dxa"/>
          </w:tcPr>
          <w:p w14:paraId="2CB9E91F" w14:textId="77777777" w:rsidR="0063315E" w:rsidRPr="00D06C74" w:rsidRDefault="0063315E">
            <w:pPr>
              <w:textAlignment w:val="baseline"/>
              <w:rPr>
                <w:rFonts w:ascii="Arial" w:eastAsia="Times New Roman" w:hAnsi="Arial" w:cs="Arial"/>
                <w:sz w:val="24"/>
                <w:szCs w:val="24"/>
                <w:lang w:eastAsia="en-GB"/>
              </w:rPr>
            </w:pPr>
          </w:p>
        </w:tc>
        <w:tc>
          <w:tcPr>
            <w:tcW w:w="1678" w:type="dxa"/>
            <w:vAlign w:val="center"/>
          </w:tcPr>
          <w:p w14:paraId="73311B68" w14:textId="32EECAE9" w:rsidR="0063315E" w:rsidRPr="00D06C74" w:rsidRDefault="0046606D" w:rsidP="00174415">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2023</w:t>
            </w:r>
            <w:r w:rsidR="00CA267C">
              <w:rPr>
                <w:rFonts w:ascii="Arial" w:eastAsia="Times New Roman" w:hAnsi="Arial" w:cs="Arial"/>
                <w:sz w:val="24"/>
                <w:szCs w:val="24"/>
                <w:lang w:eastAsia="en-GB"/>
              </w:rPr>
              <w:t>-</w:t>
            </w:r>
            <w:r>
              <w:rPr>
                <w:rFonts w:ascii="Arial" w:eastAsia="Times New Roman" w:hAnsi="Arial" w:cs="Arial"/>
                <w:sz w:val="24"/>
                <w:szCs w:val="24"/>
                <w:lang w:eastAsia="en-GB"/>
              </w:rPr>
              <w:t>24</w:t>
            </w:r>
          </w:p>
        </w:tc>
        <w:tc>
          <w:tcPr>
            <w:tcW w:w="1621" w:type="dxa"/>
            <w:vAlign w:val="center"/>
          </w:tcPr>
          <w:p w14:paraId="3DF55A1F" w14:textId="11109625" w:rsidR="0063315E" w:rsidRPr="00D06C74" w:rsidRDefault="0063315E" w:rsidP="00174415">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202</w:t>
            </w:r>
            <w:r w:rsidR="0046606D">
              <w:rPr>
                <w:rFonts w:ascii="Arial" w:eastAsia="Times New Roman" w:hAnsi="Arial" w:cs="Arial"/>
                <w:sz w:val="24"/>
                <w:szCs w:val="24"/>
                <w:lang w:eastAsia="en-GB"/>
              </w:rPr>
              <w:t>2</w:t>
            </w:r>
            <w:r w:rsidR="00CA267C">
              <w:rPr>
                <w:rFonts w:ascii="Arial" w:eastAsia="Times New Roman" w:hAnsi="Arial" w:cs="Arial"/>
                <w:sz w:val="24"/>
                <w:szCs w:val="24"/>
                <w:lang w:eastAsia="en-GB"/>
              </w:rPr>
              <w:t>-</w:t>
            </w:r>
            <w:r w:rsidRPr="00D06C74">
              <w:rPr>
                <w:rFonts w:ascii="Arial" w:eastAsia="Times New Roman" w:hAnsi="Arial" w:cs="Arial"/>
                <w:sz w:val="24"/>
                <w:szCs w:val="24"/>
                <w:lang w:eastAsia="en-GB"/>
              </w:rPr>
              <w:t>2</w:t>
            </w:r>
            <w:r w:rsidR="0046606D">
              <w:rPr>
                <w:rFonts w:ascii="Arial" w:eastAsia="Times New Roman" w:hAnsi="Arial" w:cs="Arial"/>
                <w:sz w:val="24"/>
                <w:szCs w:val="24"/>
                <w:lang w:eastAsia="en-GB"/>
              </w:rPr>
              <w:t>3</w:t>
            </w:r>
          </w:p>
        </w:tc>
        <w:tc>
          <w:tcPr>
            <w:tcW w:w="1691" w:type="dxa"/>
            <w:vAlign w:val="center"/>
          </w:tcPr>
          <w:p w14:paraId="088F1C20" w14:textId="7834C5D4" w:rsidR="0063315E" w:rsidRPr="00D06C74" w:rsidRDefault="0063315E" w:rsidP="00174415">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202</w:t>
            </w:r>
            <w:r w:rsidR="0046606D">
              <w:rPr>
                <w:rFonts w:ascii="Arial" w:eastAsia="Times New Roman" w:hAnsi="Arial" w:cs="Arial"/>
                <w:sz w:val="24"/>
                <w:szCs w:val="24"/>
                <w:lang w:eastAsia="en-GB"/>
              </w:rPr>
              <w:t>3</w:t>
            </w:r>
            <w:r w:rsidR="00CA267C">
              <w:rPr>
                <w:rFonts w:ascii="Arial" w:eastAsia="Times New Roman" w:hAnsi="Arial" w:cs="Arial"/>
                <w:sz w:val="24"/>
                <w:szCs w:val="24"/>
                <w:lang w:eastAsia="en-GB"/>
              </w:rPr>
              <w:t>-</w:t>
            </w:r>
            <w:r w:rsidRPr="00D06C74">
              <w:rPr>
                <w:rFonts w:ascii="Arial" w:eastAsia="Times New Roman" w:hAnsi="Arial" w:cs="Arial"/>
                <w:sz w:val="24"/>
                <w:szCs w:val="24"/>
                <w:lang w:eastAsia="en-GB"/>
              </w:rPr>
              <w:t>2</w:t>
            </w:r>
            <w:r w:rsidR="0046606D">
              <w:rPr>
                <w:rFonts w:ascii="Arial" w:eastAsia="Times New Roman" w:hAnsi="Arial" w:cs="Arial"/>
                <w:sz w:val="24"/>
                <w:szCs w:val="24"/>
                <w:lang w:eastAsia="en-GB"/>
              </w:rPr>
              <w:t>4</w:t>
            </w:r>
          </w:p>
        </w:tc>
        <w:tc>
          <w:tcPr>
            <w:tcW w:w="1621" w:type="dxa"/>
            <w:vAlign w:val="center"/>
          </w:tcPr>
          <w:p w14:paraId="7536A853" w14:textId="6F710B5E" w:rsidR="0063315E" w:rsidRPr="00D06C74" w:rsidRDefault="0063315E" w:rsidP="00174415">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202</w:t>
            </w:r>
            <w:r w:rsidR="0046606D">
              <w:rPr>
                <w:rFonts w:ascii="Arial" w:eastAsia="Times New Roman" w:hAnsi="Arial" w:cs="Arial"/>
                <w:sz w:val="24"/>
                <w:szCs w:val="24"/>
                <w:lang w:eastAsia="en-GB"/>
              </w:rPr>
              <w:t>2</w:t>
            </w:r>
            <w:r w:rsidR="00CA267C">
              <w:rPr>
                <w:rFonts w:ascii="Arial" w:eastAsia="Times New Roman" w:hAnsi="Arial" w:cs="Arial"/>
                <w:sz w:val="24"/>
                <w:szCs w:val="24"/>
                <w:lang w:eastAsia="en-GB"/>
              </w:rPr>
              <w:t>-</w:t>
            </w:r>
            <w:r w:rsidRPr="00D06C74">
              <w:rPr>
                <w:rFonts w:ascii="Arial" w:eastAsia="Times New Roman" w:hAnsi="Arial" w:cs="Arial"/>
                <w:sz w:val="24"/>
                <w:szCs w:val="24"/>
                <w:lang w:eastAsia="en-GB"/>
              </w:rPr>
              <w:t>2</w:t>
            </w:r>
            <w:r w:rsidR="0046606D">
              <w:rPr>
                <w:rFonts w:ascii="Arial" w:eastAsia="Times New Roman" w:hAnsi="Arial" w:cs="Arial"/>
                <w:sz w:val="24"/>
                <w:szCs w:val="24"/>
                <w:lang w:eastAsia="en-GB"/>
              </w:rPr>
              <w:t>3</w:t>
            </w:r>
          </w:p>
        </w:tc>
      </w:tr>
      <w:tr w:rsidR="00EB11D5" w:rsidRPr="00D06C74" w14:paraId="7C5B815D" w14:textId="77777777" w:rsidTr="00174415">
        <w:trPr>
          <w:trHeight w:val="449"/>
        </w:trPr>
        <w:tc>
          <w:tcPr>
            <w:tcW w:w="2405" w:type="dxa"/>
          </w:tcPr>
          <w:p w14:paraId="744BC868" w14:textId="77777777" w:rsidR="00EB11D5" w:rsidRPr="00D06C74" w:rsidRDefault="00EB11D5">
            <w:pP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Usage (kwh)</w:t>
            </w:r>
          </w:p>
        </w:tc>
        <w:tc>
          <w:tcPr>
            <w:tcW w:w="1678" w:type="dxa"/>
            <w:vAlign w:val="center"/>
          </w:tcPr>
          <w:p w14:paraId="1A542B7B" w14:textId="4B62A755" w:rsidR="00EB11D5" w:rsidRPr="00D06C74" w:rsidRDefault="00EB11D5" w:rsidP="00174415">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609,543</w:t>
            </w:r>
          </w:p>
        </w:tc>
        <w:tc>
          <w:tcPr>
            <w:tcW w:w="1621" w:type="dxa"/>
            <w:vAlign w:val="center"/>
          </w:tcPr>
          <w:p w14:paraId="2A14BE2A" w14:textId="3879E370" w:rsidR="00EB11D5" w:rsidRPr="00D06C74" w:rsidRDefault="00EB11D5" w:rsidP="00174415">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554,176</w:t>
            </w:r>
          </w:p>
        </w:tc>
        <w:tc>
          <w:tcPr>
            <w:tcW w:w="1691" w:type="dxa"/>
            <w:vAlign w:val="center"/>
          </w:tcPr>
          <w:p w14:paraId="78D018BC" w14:textId="2EE36DB6" w:rsidR="00EB11D5" w:rsidRPr="00D06C74" w:rsidRDefault="00EB11D5" w:rsidP="00174415">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330,536</w:t>
            </w:r>
          </w:p>
        </w:tc>
        <w:tc>
          <w:tcPr>
            <w:tcW w:w="1621" w:type="dxa"/>
            <w:vMerge w:val="restart"/>
            <w:vAlign w:val="center"/>
          </w:tcPr>
          <w:p w14:paraId="6251EF70" w14:textId="456109EA" w:rsidR="00EB11D5" w:rsidRPr="00D06C74" w:rsidRDefault="00343ACA" w:rsidP="00174415">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w:t>
            </w:r>
          </w:p>
        </w:tc>
      </w:tr>
      <w:tr w:rsidR="00EB11D5" w:rsidRPr="00D06C74" w14:paraId="3A33AAB4" w14:textId="77777777" w:rsidTr="00174415">
        <w:trPr>
          <w:trHeight w:val="449"/>
        </w:trPr>
        <w:tc>
          <w:tcPr>
            <w:tcW w:w="2405" w:type="dxa"/>
          </w:tcPr>
          <w:p w14:paraId="5D7EB948" w14:textId="77777777" w:rsidR="00EB11D5" w:rsidRPr="00D06C74" w:rsidRDefault="00EB11D5">
            <w:pP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Emissions (CO</w:t>
            </w:r>
            <w:r w:rsidRPr="00D06C74">
              <w:rPr>
                <w:rFonts w:ascii="Arial" w:eastAsia="Times New Roman" w:hAnsi="Arial" w:cs="Arial"/>
                <w:sz w:val="24"/>
                <w:szCs w:val="24"/>
                <w:vertAlign w:val="subscript"/>
                <w:lang w:eastAsia="en-GB"/>
              </w:rPr>
              <w:t>2</w:t>
            </w:r>
            <w:r w:rsidRPr="00D06C74">
              <w:rPr>
                <w:rFonts w:ascii="Arial" w:eastAsia="Times New Roman" w:hAnsi="Arial" w:cs="Arial"/>
                <w:sz w:val="24"/>
                <w:szCs w:val="24"/>
                <w:lang w:eastAsia="en-GB"/>
              </w:rPr>
              <w:t>e t)</w:t>
            </w:r>
          </w:p>
        </w:tc>
        <w:tc>
          <w:tcPr>
            <w:tcW w:w="1678" w:type="dxa"/>
            <w:vAlign w:val="center"/>
          </w:tcPr>
          <w:p w14:paraId="6196D998" w14:textId="7A1960BA" w:rsidR="00EB11D5" w:rsidRPr="00D06C74" w:rsidRDefault="00670401" w:rsidP="00174415">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137.14</w:t>
            </w:r>
          </w:p>
        </w:tc>
        <w:tc>
          <w:tcPr>
            <w:tcW w:w="1621" w:type="dxa"/>
            <w:vAlign w:val="center"/>
          </w:tcPr>
          <w:p w14:paraId="73267F45" w14:textId="3AA0BB47" w:rsidR="00EB11D5" w:rsidRPr="00D06C74" w:rsidRDefault="00670401" w:rsidP="00174415">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116.97</w:t>
            </w:r>
          </w:p>
        </w:tc>
        <w:tc>
          <w:tcPr>
            <w:tcW w:w="1691" w:type="dxa"/>
            <w:vAlign w:val="center"/>
          </w:tcPr>
          <w:p w14:paraId="26ED7F37" w14:textId="6485ECB2" w:rsidR="00EB11D5" w:rsidRPr="00D06C74" w:rsidRDefault="00EB11D5" w:rsidP="00174415">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60.46</w:t>
            </w:r>
          </w:p>
        </w:tc>
        <w:tc>
          <w:tcPr>
            <w:tcW w:w="1621" w:type="dxa"/>
            <w:vMerge/>
            <w:vAlign w:val="center"/>
          </w:tcPr>
          <w:p w14:paraId="00363248" w14:textId="3A42F830" w:rsidR="00EB11D5" w:rsidRPr="00D06C74" w:rsidRDefault="00EB11D5" w:rsidP="00174415">
            <w:pPr>
              <w:jc w:val="center"/>
              <w:textAlignment w:val="baseline"/>
              <w:rPr>
                <w:rFonts w:ascii="Arial" w:eastAsia="Times New Roman" w:hAnsi="Arial" w:cs="Arial"/>
                <w:sz w:val="24"/>
                <w:szCs w:val="24"/>
                <w:lang w:eastAsia="en-GB"/>
              </w:rPr>
            </w:pPr>
          </w:p>
        </w:tc>
      </w:tr>
      <w:tr w:rsidR="0063315E" w:rsidRPr="00D06C74" w14:paraId="37C8F4A7" w14:textId="77777777" w:rsidTr="00174415">
        <w:trPr>
          <w:trHeight w:val="449"/>
        </w:trPr>
        <w:tc>
          <w:tcPr>
            <w:tcW w:w="2405" w:type="dxa"/>
          </w:tcPr>
          <w:p w14:paraId="6B289E38" w14:textId="77777777" w:rsidR="0063315E" w:rsidRPr="00D06C74" w:rsidRDefault="0063315E">
            <w:pP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Expenditure (£) [4]</w:t>
            </w:r>
          </w:p>
        </w:tc>
        <w:tc>
          <w:tcPr>
            <w:tcW w:w="1678" w:type="dxa"/>
            <w:vAlign w:val="center"/>
          </w:tcPr>
          <w:p w14:paraId="104AC8FA" w14:textId="3B8C3FCD" w:rsidR="0063315E" w:rsidRPr="00D06C74" w:rsidRDefault="00343ACA" w:rsidP="00174415">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159,792</w:t>
            </w:r>
          </w:p>
        </w:tc>
        <w:tc>
          <w:tcPr>
            <w:tcW w:w="1621" w:type="dxa"/>
            <w:vAlign w:val="center"/>
          </w:tcPr>
          <w:p w14:paraId="200CD166" w14:textId="1D1DEE92" w:rsidR="0063315E" w:rsidRPr="00D06C74" w:rsidRDefault="00343ACA" w:rsidP="00174415">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142,653</w:t>
            </w:r>
          </w:p>
        </w:tc>
        <w:tc>
          <w:tcPr>
            <w:tcW w:w="1691" w:type="dxa"/>
            <w:vAlign w:val="center"/>
          </w:tcPr>
          <w:p w14:paraId="26CA00D6" w14:textId="369BD3C6" w:rsidR="0063315E" w:rsidRPr="00D06C74" w:rsidRDefault="0063315E" w:rsidP="00174415">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9</w:t>
            </w:r>
            <w:r w:rsidR="00343ACA">
              <w:rPr>
                <w:rFonts w:ascii="Arial" w:eastAsia="Times New Roman" w:hAnsi="Arial" w:cs="Arial"/>
                <w:sz w:val="24"/>
                <w:szCs w:val="24"/>
                <w:lang w:eastAsia="en-GB"/>
              </w:rPr>
              <w:t>,356</w:t>
            </w:r>
          </w:p>
        </w:tc>
        <w:tc>
          <w:tcPr>
            <w:tcW w:w="1621" w:type="dxa"/>
            <w:vAlign w:val="center"/>
          </w:tcPr>
          <w:p w14:paraId="2E8ECFDC" w14:textId="0B3FDC53" w:rsidR="0063315E" w:rsidRPr="00D06C74" w:rsidRDefault="0063315E" w:rsidP="00174415">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9,</w:t>
            </w:r>
            <w:r w:rsidR="00174415">
              <w:rPr>
                <w:rFonts w:ascii="Arial" w:eastAsia="Times New Roman" w:hAnsi="Arial" w:cs="Arial"/>
                <w:sz w:val="24"/>
                <w:szCs w:val="24"/>
                <w:lang w:eastAsia="en-GB"/>
              </w:rPr>
              <w:t>040</w:t>
            </w:r>
          </w:p>
        </w:tc>
      </w:tr>
    </w:tbl>
    <w:p w14:paraId="44166DCB" w14:textId="203EB03D" w:rsidR="00D06C74" w:rsidRPr="00D06C74" w:rsidRDefault="00D06C74" w:rsidP="00D06C74">
      <w:pPr>
        <w:spacing w:afterLines="120" w:after="288" w:line="240" w:lineRule="auto"/>
        <w:textAlignment w:val="baseline"/>
        <w:rPr>
          <w:rFonts w:ascii="Arial" w:eastAsia="Times New Roman" w:hAnsi="Arial" w:cs="Arial"/>
          <w:kern w:val="0"/>
          <w:sz w:val="20"/>
          <w:szCs w:val="20"/>
          <w:lang w:eastAsia="en-GB"/>
          <w14:ligatures w14:val="none"/>
        </w:rPr>
      </w:pPr>
      <w:r w:rsidRPr="00D06C74">
        <w:rPr>
          <w:rFonts w:ascii="Arial" w:eastAsia="Times New Roman" w:hAnsi="Arial" w:cs="Arial"/>
          <w:kern w:val="0"/>
          <w:sz w:val="20"/>
          <w:szCs w:val="20"/>
          <w:lang w:eastAsia="en-GB"/>
          <w14:ligatures w14:val="none"/>
        </w:rPr>
        <w:t>Table 2: INSS energy use 2023</w:t>
      </w:r>
      <w:r w:rsidR="00CA267C">
        <w:rPr>
          <w:rFonts w:ascii="Arial" w:eastAsia="Times New Roman" w:hAnsi="Arial" w:cs="Arial"/>
          <w:kern w:val="0"/>
          <w:sz w:val="20"/>
          <w:szCs w:val="20"/>
          <w:lang w:eastAsia="en-GB"/>
          <w14:ligatures w14:val="none"/>
        </w:rPr>
        <w:t>-</w:t>
      </w:r>
      <w:r w:rsidRPr="00D06C74">
        <w:rPr>
          <w:rFonts w:ascii="Arial" w:eastAsia="Times New Roman" w:hAnsi="Arial" w:cs="Arial"/>
          <w:kern w:val="0"/>
          <w:sz w:val="20"/>
          <w:szCs w:val="20"/>
          <w:lang w:eastAsia="en-GB"/>
          <w14:ligatures w14:val="none"/>
        </w:rPr>
        <w:t>24.</w:t>
      </w:r>
    </w:p>
    <w:p w14:paraId="2B7EE0FC" w14:textId="575FF29A"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The overall electricity consumption in our offices has increased from last year. This is likely to be partly due to increased office attendance following the new mandatory minimum office attendance requirement of 60% for all staff (from January 2024)</w:t>
      </w:r>
      <w:r w:rsidR="00766A1E">
        <w:rPr>
          <w:rFonts w:ascii="Arial" w:eastAsia="Times New Roman" w:hAnsi="Arial" w:cs="Arial"/>
          <w:kern w:val="0"/>
          <w:sz w:val="24"/>
          <w:szCs w:val="24"/>
          <w:lang w:eastAsia="en-GB"/>
          <w14:ligatures w14:val="none"/>
        </w:rPr>
        <w:t>, ongoing improvements in our data collection processes</w:t>
      </w:r>
      <w:r w:rsidRPr="00D06C74">
        <w:rPr>
          <w:rFonts w:ascii="Arial" w:eastAsia="Times New Roman" w:hAnsi="Arial" w:cs="Arial"/>
          <w:kern w:val="0"/>
          <w:sz w:val="24"/>
          <w:szCs w:val="24"/>
          <w:lang w:eastAsia="en-GB"/>
          <w14:ligatures w14:val="none"/>
        </w:rPr>
        <w:t xml:space="preserve"> and the availability of gas data.</w:t>
      </w:r>
    </w:p>
    <w:p w14:paraId="3D89EE07" w14:textId="77777777"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[1] Some of our offices are on green electricity tariffs.  We are in the process of determining which offices these are, but in the meantime all electricity usage is included under “mains standard electricity”.</w:t>
      </w:r>
    </w:p>
    <w:p w14:paraId="6F7D4B25" w14:textId="77777777" w:rsidR="00D06C74" w:rsidRPr="00D06C74" w:rsidRDefault="00D06C74" w:rsidP="00D06C74">
      <w:pPr>
        <w:spacing w:afterLines="120" w:after="288" w:line="240" w:lineRule="auto"/>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[2] Natural gas is used at five of our offices. We are billed separately for one office with the others being included in the service charge.</w:t>
      </w:r>
    </w:p>
    <w:p w14:paraId="30514CF8" w14:textId="76A50EBB" w:rsidR="00D06C74" w:rsidRPr="00D06C74" w:rsidRDefault="00D06C74" w:rsidP="00D06C74">
      <w:pPr>
        <w:spacing w:afterLines="120" w:after="288" w:line="240" w:lineRule="auto"/>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[3] Gas meter readings were not available in 2022</w:t>
      </w:r>
      <w:r w:rsidR="004B1446">
        <w:rPr>
          <w:rFonts w:ascii="Arial" w:eastAsia="Times New Roman" w:hAnsi="Arial" w:cs="Arial"/>
          <w:kern w:val="0"/>
          <w:sz w:val="24"/>
          <w:szCs w:val="24"/>
          <w:lang w:eastAsia="en-GB"/>
          <w14:ligatures w14:val="none"/>
        </w:rPr>
        <w:t>-</w:t>
      </w:r>
      <w:r w:rsidRPr="00D06C74">
        <w:rPr>
          <w:rFonts w:ascii="Arial" w:eastAsia="Times New Roman" w:hAnsi="Arial" w:cs="Arial"/>
          <w:kern w:val="0"/>
          <w:sz w:val="24"/>
          <w:szCs w:val="24"/>
          <w:lang w:eastAsia="en-GB"/>
          <w14:ligatures w14:val="none"/>
        </w:rPr>
        <w:t>23.</w:t>
      </w:r>
    </w:p>
    <w:p w14:paraId="3A028AE1" w14:textId="77777777" w:rsidR="00D06C74" w:rsidRPr="00D06C74" w:rsidRDefault="00D06C74" w:rsidP="00D06C74">
      <w:pPr>
        <w:spacing w:afterLines="120" w:after="288" w:line="240" w:lineRule="auto"/>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[4] Where invoices were not yet available estimations have been made using previous costs.</w:t>
      </w:r>
    </w:p>
    <w:p w14:paraId="18DB5889" w14:textId="77777777" w:rsidR="006A38E5" w:rsidRDefault="006A38E5">
      <w:pPr>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br w:type="page"/>
      </w:r>
    </w:p>
    <w:p w14:paraId="0E96A9D7" w14:textId="7CCB2870" w:rsidR="00D06C74" w:rsidRDefault="00D06C74" w:rsidP="004919D3">
      <w:pPr>
        <w:pStyle w:val="Heading4"/>
        <w:rPr>
          <w:rFonts w:eastAsia="Times New Roman" w:cs="Arial"/>
          <w:sz w:val="24"/>
          <w:szCs w:val="24"/>
          <w:lang w:eastAsia="en-GB"/>
        </w:rPr>
      </w:pPr>
      <w:r w:rsidRPr="007A7417">
        <w:rPr>
          <w:lang w:eastAsia="en-GB"/>
        </w:rPr>
        <w:lastRenderedPageBreak/>
        <w:t>Transport</w:t>
      </w:r>
    </w:p>
    <w:tbl>
      <w:tblPr>
        <w:tblStyle w:val="TableGrid1"/>
        <w:tblW w:w="8926" w:type="dxa"/>
        <w:tblLook w:val="04A0" w:firstRow="1" w:lastRow="0" w:firstColumn="1" w:lastColumn="0" w:noHBand="0" w:noVBand="1"/>
      </w:tblPr>
      <w:tblGrid>
        <w:gridCol w:w="1494"/>
        <w:gridCol w:w="1371"/>
        <w:gridCol w:w="1372"/>
        <w:gridCol w:w="1145"/>
        <w:gridCol w:w="1134"/>
        <w:gridCol w:w="1134"/>
        <w:gridCol w:w="1276"/>
      </w:tblGrid>
      <w:tr w:rsidR="001F7D7A" w:rsidRPr="00D06C74" w14:paraId="2CD611C8" w14:textId="77777777" w:rsidTr="00E14AED">
        <w:trPr>
          <w:trHeight w:val="306"/>
        </w:trPr>
        <w:tc>
          <w:tcPr>
            <w:tcW w:w="1494" w:type="dxa"/>
          </w:tcPr>
          <w:p w14:paraId="0FBC0720" w14:textId="77777777" w:rsidR="001F7D7A" w:rsidRPr="00D06C74" w:rsidRDefault="001F7D7A">
            <w:pPr>
              <w:textAlignment w:val="baseline"/>
              <w:rPr>
                <w:rFonts w:ascii="Arial" w:eastAsia="Times New Roman" w:hAnsi="Arial" w:cs="Arial"/>
                <w:sz w:val="24"/>
                <w:szCs w:val="24"/>
                <w:lang w:eastAsia="en-GB"/>
              </w:rPr>
            </w:pPr>
          </w:p>
        </w:tc>
        <w:tc>
          <w:tcPr>
            <w:tcW w:w="2743" w:type="dxa"/>
            <w:gridSpan w:val="2"/>
          </w:tcPr>
          <w:p w14:paraId="3B6A230D" w14:textId="77777777" w:rsidR="001F7D7A" w:rsidRPr="00D06C74" w:rsidRDefault="001F7D7A">
            <w:pPr>
              <w:jc w:val="center"/>
              <w:textAlignment w:val="baseline"/>
              <w:rPr>
                <w:rFonts w:ascii="Arial" w:eastAsia="Times New Roman" w:hAnsi="Arial" w:cs="Arial"/>
                <w:b/>
                <w:bCs/>
                <w:sz w:val="24"/>
                <w:szCs w:val="24"/>
                <w:lang w:eastAsia="en-GB"/>
              </w:rPr>
            </w:pPr>
            <w:r w:rsidRPr="00D06C74">
              <w:rPr>
                <w:rFonts w:ascii="Arial" w:eastAsia="Times New Roman" w:hAnsi="Arial" w:cs="Arial"/>
                <w:b/>
                <w:bCs/>
                <w:sz w:val="24"/>
                <w:szCs w:val="24"/>
                <w:lang w:eastAsia="en-GB"/>
              </w:rPr>
              <w:t>Distance (km)</w:t>
            </w:r>
          </w:p>
        </w:tc>
        <w:tc>
          <w:tcPr>
            <w:tcW w:w="2279" w:type="dxa"/>
            <w:gridSpan w:val="2"/>
          </w:tcPr>
          <w:p w14:paraId="71CF8E0D" w14:textId="77777777" w:rsidR="001F7D7A" w:rsidRPr="00D06C74" w:rsidRDefault="001F7D7A">
            <w:pPr>
              <w:jc w:val="center"/>
              <w:textAlignment w:val="baseline"/>
              <w:rPr>
                <w:rFonts w:ascii="Arial" w:eastAsia="Times New Roman" w:hAnsi="Arial" w:cs="Arial"/>
                <w:b/>
                <w:bCs/>
                <w:sz w:val="24"/>
                <w:szCs w:val="24"/>
                <w:lang w:eastAsia="en-GB"/>
              </w:rPr>
            </w:pPr>
            <w:r w:rsidRPr="00D06C74">
              <w:rPr>
                <w:rFonts w:ascii="Arial" w:eastAsia="Times New Roman" w:hAnsi="Arial" w:cs="Arial"/>
                <w:b/>
                <w:bCs/>
                <w:sz w:val="24"/>
                <w:szCs w:val="24"/>
                <w:lang w:eastAsia="en-GB"/>
              </w:rPr>
              <w:t>CO</w:t>
            </w:r>
            <w:r w:rsidRPr="00D06C74">
              <w:rPr>
                <w:rFonts w:ascii="Arial" w:eastAsia="Times New Roman" w:hAnsi="Arial" w:cs="Arial"/>
                <w:b/>
                <w:bCs/>
                <w:sz w:val="24"/>
                <w:szCs w:val="24"/>
                <w:vertAlign w:val="subscript"/>
                <w:lang w:eastAsia="en-GB"/>
              </w:rPr>
              <w:t>2</w:t>
            </w:r>
            <w:r w:rsidRPr="00D06C74">
              <w:rPr>
                <w:rFonts w:ascii="Arial" w:eastAsia="Times New Roman" w:hAnsi="Arial" w:cs="Arial"/>
                <w:b/>
                <w:bCs/>
                <w:sz w:val="24"/>
                <w:szCs w:val="24"/>
                <w:lang w:eastAsia="en-GB"/>
              </w:rPr>
              <w:t>e (t)</w:t>
            </w:r>
          </w:p>
        </w:tc>
        <w:tc>
          <w:tcPr>
            <w:tcW w:w="2410" w:type="dxa"/>
            <w:gridSpan w:val="2"/>
          </w:tcPr>
          <w:p w14:paraId="42896AE1" w14:textId="77777777" w:rsidR="001F7D7A" w:rsidRPr="00D06C74" w:rsidRDefault="001F7D7A">
            <w:pPr>
              <w:jc w:val="center"/>
              <w:textAlignment w:val="baseline"/>
              <w:rPr>
                <w:rFonts w:ascii="Arial" w:eastAsia="Times New Roman" w:hAnsi="Arial" w:cs="Arial"/>
                <w:b/>
                <w:bCs/>
                <w:sz w:val="24"/>
                <w:szCs w:val="24"/>
                <w:lang w:eastAsia="en-GB"/>
              </w:rPr>
            </w:pPr>
            <w:r w:rsidRPr="00D06C74">
              <w:rPr>
                <w:rFonts w:ascii="Arial" w:eastAsia="Times New Roman" w:hAnsi="Arial" w:cs="Arial"/>
                <w:b/>
                <w:bCs/>
                <w:sz w:val="24"/>
                <w:szCs w:val="24"/>
                <w:lang w:eastAsia="en-GB"/>
              </w:rPr>
              <w:t>Expenditure (£)</w:t>
            </w:r>
          </w:p>
        </w:tc>
      </w:tr>
      <w:tr w:rsidR="004B1446" w:rsidRPr="00D06C74" w14:paraId="32F0695B" w14:textId="77777777" w:rsidTr="00E14AED">
        <w:trPr>
          <w:trHeight w:val="306"/>
        </w:trPr>
        <w:tc>
          <w:tcPr>
            <w:tcW w:w="1494" w:type="dxa"/>
          </w:tcPr>
          <w:p w14:paraId="2B74E98B" w14:textId="77777777" w:rsidR="001F7D7A" w:rsidRPr="00D06C74" w:rsidRDefault="001F7D7A">
            <w:pPr>
              <w:textAlignment w:val="baseline"/>
              <w:rPr>
                <w:rFonts w:ascii="Arial" w:eastAsia="Times New Roman" w:hAnsi="Arial" w:cs="Arial"/>
                <w:sz w:val="24"/>
                <w:szCs w:val="24"/>
                <w:lang w:eastAsia="en-GB"/>
              </w:rPr>
            </w:pPr>
          </w:p>
        </w:tc>
        <w:tc>
          <w:tcPr>
            <w:tcW w:w="1371" w:type="dxa"/>
          </w:tcPr>
          <w:p w14:paraId="3F3042B4" w14:textId="049D3E89" w:rsidR="001F7D7A" w:rsidRPr="00D06C74" w:rsidRDefault="001F7D7A">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202</w:t>
            </w:r>
            <w:r w:rsidR="00A771F2">
              <w:rPr>
                <w:rFonts w:ascii="Arial" w:eastAsia="Times New Roman" w:hAnsi="Arial" w:cs="Arial"/>
                <w:sz w:val="24"/>
                <w:szCs w:val="24"/>
                <w:lang w:eastAsia="en-GB"/>
              </w:rPr>
              <w:t>3</w:t>
            </w:r>
            <w:r w:rsidR="004B1446">
              <w:rPr>
                <w:rFonts w:ascii="Arial" w:eastAsia="Times New Roman" w:hAnsi="Arial" w:cs="Arial"/>
                <w:sz w:val="24"/>
                <w:szCs w:val="24"/>
                <w:lang w:eastAsia="en-GB"/>
              </w:rPr>
              <w:t>-</w:t>
            </w:r>
            <w:r w:rsidRPr="00D06C74">
              <w:rPr>
                <w:rFonts w:ascii="Arial" w:eastAsia="Times New Roman" w:hAnsi="Arial" w:cs="Arial"/>
                <w:sz w:val="24"/>
                <w:szCs w:val="24"/>
                <w:lang w:eastAsia="en-GB"/>
              </w:rPr>
              <w:t>2</w:t>
            </w:r>
            <w:r w:rsidR="00A771F2">
              <w:rPr>
                <w:rFonts w:ascii="Arial" w:eastAsia="Times New Roman" w:hAnsi="Arial" w:cs="Arial"/>
                <w:sz w:val="24"/>
                <w:szCs w:val="24"/>
                <w:lang w:eastAsia="en-GB"/>
              </w:rPr>
              <w:t>4</w:t>
            </w:r>
          </w:p>
        </w:tc>
        <w:tc>
          <w:tcPr>
            <w:tcW w:w="1372" w:type="dxa"/>
          </w:tcPr>
          <w:p w14:paraId="397BB8A0" w14:textId="5C8286EE" w:rsidR="001F7D7A" w:rsidRPr="00D06C74" w:rsidRDefault="001F7D7A">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202</w:t>
            </w:r>
            <w:r w:rsidR="00A771F2">
              <w:rPr>
                <w:rFonts w:ascii="Arial" w:eastAsia="Times New Roman" w:hAnsi="Arial" w:cs="Arial"/>
                <w:sz w:val="24"/>
                <w:szCs w:val="24"/>
                <w:lang w:eastAsia="en-GB"/>
              </w:rPr>
              <w:t>2</w:t>
            </w:r>
            <w:r w:rsidR="004B1446">
              <w:rPr>
                <w:rFonts w:ascii="Arial" w:eastAsia="Times New Roman" w:hAnsi="Arial" w:cs="Arial"/>
                <w:sz w:val="24"/>
                <w:szCs w:val="24"/>
                <w:lang w:eastAsia="en-GB"/>
              </w:rPr>
              <w:t>-</w:t>
            </w:r>
            <w:r w:rsidRPr="00D06C74">
              <w:rPr>
                <w:rFonts w:ascii="Arial" w:eastAsia="Times New Roman" w:hAnsi="Arial" w:cs="Arial"/>
                <w:sz w:val="24"/>
                <w:szCs w:val="24"/>
                <w:lang w:eastAsia="en-GB"/>
              </w:rPr>
              <w:t>2</w:t>
            </w:r>
            <w:r w:rsidR="00A771F2">
              <w:rPr>
                <w:rFonts w:ascii="Arial" w:eastAsia="Times New Roman" w:hAnsi="Arial" w:cs="Arial"/>
                <w:sz w:val="24"/>
                <w:szCs w:val="24"/>
                <w:lang w:eastAsia="en-GB"/>
              </w:rPr>
              <w:t>3</w:t>
            </w:r>
          </w:p>
        </w:tc>
        <w:tc>
          <w:tcPr>
            <w:tcW w:w="1145" w:type="dxa"/>
          </w:tcPr>
          <w:p w14:paraId="5A66A5AB" w14:textId="736A3AA9" w:rsidR="001F7D7A" w:rsidRPr="00D06C74" w:rsidRDefault="001F7D7A">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202</w:t>
            </w:r>
            <w:r w:rsidR="00A771F2">
              <w:rPr>
                <w:rFonts w:ascii="Arial" w:eastAsia="Times New Roman" w:hAnsi="Arial" w:cs="Arial"/>
                <w:sz w:val="24"/>
                <w:szCs w:val="24"/>
                <w:lang w:eastAsia="en-GB"/>
              </w:rPr>
              <w:t>3</w:t>
            </w:r>
            <w:r w:rsidR="004B1446">
              <w:rPr>
                <w:rFonts w:ascii="Arial" w:eastAsia="Times New Roman" w:hAnsi="Arial" w:cs="Arial"/>
                <w:sz w:val="24"/>
                <w:szCs w:val="24"/>
                <w:lang w:eastAsia="en-GB"/>
              </w:rPr>
              <w:t>-</w:t>
            </w:r>
            <w:r w:rsidRPr="00D06C74">
              <w:rPr>
                <w:rFonts w:ascii="Arial" w:eastAsia="Times New Roman" w:hAnsi="Arial" w:cs="Arial"/>
                <w:sz w:val="24"/>
                <w:szCs w:val="24"/>
                <w:lang w:eastAsia="en-GB"/>
              </w:rPr>
              <w:t>2</w:t>
            </w:r>
            <w:r w:rsidR="00A771F2">
              <w:rPr>
                <w:rFonts w:ascii="Arial" w:eastAsia="Times New Roman" w:hAnsi="Arial" w:cs="Arial"/>
                <w:sz w:val="24"/>
                <w:szCs w:val="24"/>
                <w:lang w:eastAsia="en-GB"/>
              </w:rPr>
              <w:t>4</w:t>
            </w:r>
          </w:p>
        </w:tc>
        <w:tc>
          <w:tcPr>
            <w:tcW w:w="1134" w:type="dxa"/>
          </w:tcPr>
          <w:p w14:paraId="2EEE7F44" w14:textId="762BD7E6" w:rsidR="001F7D7A" w:rsidRPr="00D06C74" w:rsidRDefault="001F7D7A">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202</w:t>
            </w:r>
            <w:r w:rsidR="00A771F2">
              <w:rPr>
                <w:rFonts w:ascii="Arial" w:eastAsia="Times New Roman" w:hAnsi="Arial" w:cs="Arial"/>
                <w:sz w:val="24"/>
                <w:szCs w:val="24"/>
                <w:lang w:eastAsia="en-GB"/>
              </w:rPr>
              <w:t>2</w:t>
            </w:r>
            <w:r w:rsidR="004B1446">
              <w:rPr>
                <w:rFonts w:ascii="Arial" w:eastAsia="Times New Roman" w:hAnsi="Arial" w:cs="Arial"/>
                <w:sz w:val="24"/>
                <w:szCs w:val="24"/>
                <w:lang w:eastAsia="en-GB"/>
              </w:rPr>
              <w:t>-</w:t>
            </w:r>
            <w:r w:rsidRPr="00D06C74">
              <w:rPr>
                <w:rFonts w:ascii="Arial" w:eastAsia="Times New Roman" w:hAnsi="Arial" w:cs="Arial"/>
                <w:sz w:val="24"/>
                <w:szCs w:val="24"/>
                <w:lang w:eastAsia="en-GB"/>
              </w:rPr>
              <w:t>2</w:t>
            </w:r>
            <w:r w:rsidR="00A771F2">
              <w:rPr>
                <w:rFonts w:ascii="Arial" w:eastAsia="Times New Roman" w:hAnsi="Arial" w:cs="Arial"/>
                <w:sz w:val="24"/>
                <w:szCs w:val="24"/>
                <w:lang w:eastAsia="en-GB"/>
              </w:rPr>
              <w:t>3</w:t>
            </w:r>
          </w:p>
        </w:tc>
        <w:tc>
          <w:tcPr>
            <w:tcW w:w="1134" w:type="dxa"/>
          </w:tcPr>
          <w:p w14:paraId="0E952DFF" w14:textId="16754B6F" w:rsidR="001F7D7A" w:rsidRPr="00D06C74" w:rsidRDefault="001F7D7A">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202</w:t>
            </w:r>
            <w:r w:rsidR="00A771F2">
              <w:rPr>
                <w:rFonts w:ascii="Arial" w:eastAsia="Times New Roman" w:hAnsi="Arial" w:cs="Arial"/>
                <w:sz w:val="24"/>
                <w:szCs w:val="24"/>
                <w:lang w:eastAsia="en-GB"/>
              </w:rPr>
              <w:t>3</w:t>
            </w:r>
            <w:r w:rsidR="004B1446">
              <w:rPr>
                <w:rFonts w:ascii="Arial" w:eastAsia="Times New Roman" w:hAnsi="Arial" w:cs="Arial"/>
                <w:sz w:val="24"/>
                <w:szCs w:val="24"/>
                <w:lang w:eastAsia="en-GB"/>
              </w:rPr>
              <w:t>-</w:t>
            </w:r>
            <w:r w:rsidRPr="00D06C74">
              <w:rPr>
                <w:rFonts w:ascii="Arial" w:eastAsia="Times New Roman" w:hAnsi="Arial" w:cs="Arial"/>
                <w:sz w:val="24"/>
                <w:szCs w:val="24"/>
                <w:lang w:eastAsia="en-GB"/>
              </w:rPr>
              <w:t>2</w:t>
            </w:r>
            <w:r w:rsidR="00A771F2">
              <w:rPr>
                <w:rFonts w:ascii="Arial" w:eastAsia="Times New Roman" w:hAnsi="Arial" w:cs="Arial"/>
                <w:sz w:val="24"/>
                <w:szCs w:val="24"/>
                <w:lang w:eastAsia="en-GB"/>
              </w:rPr>
              <w:t>4</w:t>
            </w:r>
          </w:p>
        </w:tc>
        <w:tc>
          <w:tcPr>
            <w:tcW w:w="1276" w:type="dxa"/>
          </w:tcPr>
          <w:p w14:paraId="0C123E65" w14:textId="031E3DA7" w:rsidR="001F7D7A" w:rsidRPr="00D06C74" w:rsidRDefault="001F7D7A">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202</w:t>
            </w:r>
            <w:r w:rsidR="00A771F2">
              <w:rPr>
                <w:rFonts w:ascii="Arial" w:eastAsia="Times New Roman" w:hAnsi="Arial" w:cs="Arial"/>
                <w:sz w:val="24"/>
                <w:szCs w:val="24"/>
                <w:lang w:eastAsia="en-GB"/>
              </w:rPr>
              <w:t>2</w:t>
            </w:r>
            <w:r w:rsidR="004B1446">
              <w:rPr>
                <w:rFonts w:ascii="Arial" w:eastAsia="Times New Roman" w:hAnsi="Arial" w:cs="Arial"/>
                <w:sz w:val="24"/>
                <w:szCs w:val="24"/>
                <w:lang w:eastAsia="en-GB"/>
              </w:rPr>
              <w:t>-</w:t>
            </w:r>
            <w:r w:rsidRPr="00D06C74">
              <w:rPr>
                <w:rFonts w:ascii="Arial" w:eastAsia="Times New Roman" w:hAnsi="Arial" w:cs="Arial"/>
                <w:sz w:val="24"/>
                <w:szCs w:val="24"/>
                <w:lang w:eastAsia="en-GB"/>
              </w:rPr>
              <w:t>2</w:t>
            </w:r>
            <w:r w:rsidR="00A771F2">
              <w:rPr>
                <w:rFonts w:ascii="Arial" w:eastAsia="Times New Roman" w:hAnsi="Arial" w:cs="Arial"/>
                <w:sz w:val="24"/>
                <w:szCs w:val="24"/>
                <w:lang w:eastAsia="en-GB"/>
              </w:rPr>
              <w:t>3</w:t>
            </w:r>
          </w:p>
        </w:tc>
      </w:tr>
      <w:tr w:rsidR="004B1446" w:rsidRPr="00D06C74" w14:paraId="44C9FFE3" w14:textId="77777777" w:rsidTr="00E14AED">
        <w:trPr>
          <w:trHeight w:val="306"/>
        </w:trPr>
        <w:tc>
          <w:tcPr>
            <w:tcW w:w="1494" w:type="dxa"/>
          </w:tcPr>
          <w:p w14:paraId="4C069888" w14:textId="77777777" w:rsidR="001F7D7A" w:rsidRPr="00D06C74" w:rsidRDefault="001F7D7A">
            <w:pP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Non-fleet vehicles</w:t>
            </w:r>
          </w:p>
        </w:tc>
        <w:tc>
          <w:tcPr>
            <w:tcW w:w="1371" w:type="dxa"/>
            <w:vAlign w:val="center"/>
          </w:tcPr>
          <w:p w14:paraId="34167665" w14:textId="04660089" w:rsidR="001F7D7A" w:rsidRPr="00D06C74" w:rsidRDefault="005E237E">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308,977</w:t>
            </w:r>
          </w:p>
        </w:tc>
        <w:tc>
          <w:tcPr>
            <w:tcW w:w="1372" w:type="dxa"/>
            <w:vAlign w:val="center"/>
          </w:tcPr>
          <w:p w14:paraId="5CC8C420" w14:textId="020977BD" w:rsidR="001F7D7A" w:rsidRPr="00D06C74" w:rsidRDefault="001F7D7A">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3</w:t>
            </w:r>
            <w:r w:rsidR="005E237E">
              <w:rPr>
                <w:rFonts w:ascii="Arial" w:eastAsia="Times New Roman" w:hAnsi="Arial" w:cs="Arial"/>
                <w:sz w:val="24"/>
                <w:szCs w:val="24"/>
                <w:lang w:eastAsia="en-GB"/>
              </w:rPr>
              <w:t>70,454</w:t>
            </w:r>
          </w:p>
        </w:tc>
        <w:tc>
          <w:tcPr>
            <w:tcW w:w="1145" w:type="dxa"/>
            <w:vAlign w:val="center"/>
          </w:tcPr>
          <w:p w14:paraId="1D18EBC0" w14:textId="2B8CB9E8" w:rsidR="001F7D7A" w:rsidRPr="00D06C74" w:rsidRDefault="005E237E">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51.36</w:t>
            </w:r>
          </w:p>
        </w:tc>
        <w:tc>
          <w:tcPr>
            <w:tcW w:w="1134" w:type="dxa"/>
            <w:vAlign w:val="center"/>
          </w:tcPr>
          <w:p w14:paraId="6018DC58" w14:textId="546EF58C" w:rsidR="001F7D7A" w:rsidRPr="00D06C74" w:rsidRDefault="002939C3">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63.23</w:t>
            </w:r>
          </w:p>
        </w:tc>
        <w:tc>
          <w:tcPr>
            <w:tcW w:w="1134" w:type="dxa"/>
            <w:vAlign w:val="center"/>
          </w:tcPr>
          <w:p w14:paraId="34CA13A1" w14:textId="75FF40AA" w:rsidR="001F7D7A" w:rsidRPr="00D06C74" w:rsidRDefault="002939C3">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99,285</w:t>
            </w:r>
          </w:p>
        </w:tc>
        <w:tc>
          <w:tcPr>
            <w:tcW w:w="1276" w:type="dxa"/>
            <w:vAlign w:val="center"/>
          </w:tcPr>
          <w:p w14:paraId="475FE466" w14:textId="4F6DC048" w:rsidR="001F7D7A" w:rsidRPr="00D06C74" w:rsidRDefault="002939C3">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210,891</w:t>
            </w:r>
          </w:p>
        </w:tc>
      </w:tr>
      <w:tr w:rsidR="004B1446" w:rsidRPr="00D06C74" w14:paraId="7215CE1D" w14:textId="77777777" w:rsidTr="00E14AED">
        <w:trPr>
          <w:trHeight w:val="306"/>
        </w:trPr>
        <w:tc>
          <w:tcPr>
            <w:tcW w:w="1494" w:type="dxa"/>
          </w:tcPr>
          <w:p w14:paraId="146A7159" w14:textId="77777777" w:rsidR="001F7D7A" w:rsidRPr="00D06C74" w:rsidRDefault="001F7D7A">
            <w:pP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Rail</w:t>
            </w:r>
          </w:p>
        </w:tc>
        <w:tc>
          <w:tcPr>
            <w:tcW w:w="1371" w:type="dxa"/>
            <w:vAlign w:val="center"/>
          </w:tcPr>
          <w:p w14:paraId="528B1A8E" w14:textId="35878F8A" w:rsidR="001F7D7A" w:rsidRPr="00D06C74" w:rsidRDefault="002939C3">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2,182,850</w:t>
            </w:r>
          </w:p>
        </w:tc>
        <w:tc>
          <w:tcPr>
            <w:tcW w:w="1372" w:type="dxa"/>
            <w:vAlign w:val="center"/>
          </w:tcPr>
          <w:p w14:paraId="3D868E68" w14:textId="00D57A83" w:rsidR="001F7D7A" w:rsidRPr="00D06C74" w:rsidRDefault="000A5C55">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1,995,576</w:t>
            </w:r>
          </w:p>
        </w:tc>
        <w:tc>
          <w:tcPr>
            <w:tcW w:w="1145" w:type="dxa"/>
            <w:vAlign w:val="center"/>
          </w:tcPr>
          <w:p w14:paraId="6E11F6EF" w14:textId="0965E453" w:rsidR="001F7D7A" w:rsidRPr="00D06C74" w:rsidRDefault="001F7D7A">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7</w:t>
            </w:r>
            <w:r w:rsidR="000A5C55">
              <w:rPr>
                <w:rFonts w:ascii="Arial" w:eastAsia="Times New Roman" w:hAnsi="Arial" w:cs="Arial"/>
                <w:sz w:val="24"/>
                <w:szCs w:val="24"/>
                <w:lang w:eastAsia="en-GB"/>
              </w:rPr>
              <w:t>7.41</w:t>
            </w:r>
          </w:p>
        </w:tc>
        <w:tc>
          <w:tcPr>
            <w:tcW w:w="1134" w:type="dxa"/>
            <w:vAlign w:val="center"/>
          </w:tcPr>
          <w:p w14:paraId="423B0FC8" w14:textId="32E12EFA" w:rsidR="001F7D7A" w:rsidRPr="00D06C74" w:rsidRDefault="001F7D7A">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7</w:t>
            </w:r>
            <w:r w:rsidR="0004386F">
              <w:rPr>
                <w:rFonts w:ascii="Arial" w:eastAsia="Times New Roman" w:hAnsi="Arial" w:cs="Arial"/>
                <w:sz w:val="24"/>
                <w:szCs w:val="24"/>
                <w:lang w:eastAsia="en-GB"/>
              </w:rPr>
              <w:t>0.82</w:t>
            </w:r>
          </w:p>
        </w:tc>
        <w:tc>
          <w:tcPr>
            <w:tcW w:w="1134" w:type="dxa"/>
            <w:vAlign w:val="center"/>
          </w:tcPr>
          <w:p w14:paraId="6ED9474B" w14:textId="017B608A" w:rsidR="001F7D7A" w:rsidRPr="00D06C74" w:rsidRDefault="0004386F">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631,434</w:t>
            </w:r>
          </w:p>
        </w:tc>
        <w:tc>
          <w:tcPr>
            <w:tcW w:w="1276" w:type="dxa"/>
            <w:vAlign w:val="center"/>
          </w:tcPr>
          <w:p w14:paraId="2090E7B5" w14:textId="0911BC68" w:rsidR="001F7D7A" w:rsidRPr="00D06C74" w:rsidRDefault="0004386F">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562,240</w:t>
            </w:r>
          </w:p>
        </w:tc>
      </w:tr>
      <w:tr w:rsidR="004B1446" w:rsidRPr="00D06C74" w14:paraId="70D3FCFA" w14:textId="77777777" w:rsidTr="00E14AED">
        <w:trPr>
          <w:trHeight w:val="306"/>
        </w:trPr>
        <w:tc>
          <w:tcPr>
            <w:tcW w:w="1494" w:type="dxa"/>
            <w:tcBorders>
              <w:bottom w:val="single" w:sz="4" w:space="0" w:color="auto"/>
            </w:tcBorders>
          </w:tcPr>
          <w:p w14:paraId="499113B0" w14:textId="77777777" w:rsidR="001F7D7A" w:rsidRPr="00D06C74" w:rsidRDefault="001F7D7A">
            <w:pP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Taxi [1]</w:t>
            </w:r>
          </w:p>
        </w:tc>
        <w:tc>
          <w:tcPr>
            <w:tcW w:w="1371" w:type="dxa"/>
            <w:tcBorders>
              <w:bottom w:val="single" w:sz="4" w:space="0" w:color="auto"/>
            </w:tcBorders>
            <w:vAlign w:val="center"/>
          </w:tcPr>
          <w:p w14:paraId="5DAD292B" w14:textId="0B7DEBAC" w:rsidR="001F7D7A" w:rsidRPr="00D06C74" w:rsidRDefault="0004386F">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9,</w:t>
            </w:r>
            <w:r w:rsidR="0037095A">
              <w:rPr>
                <w:rFonts w:ascii="Arial" w:eastAsia="Times New Roman" w:hAnsi="Arial" w:cs="Arial"/>
                <w:sz w:val="24"/>
                <w:szCs w:val="24"/>
                <w:lang w:eastAsia="en-GB"/>
              </w:rPr>
              <w:t>232.26</w:t>
            </w:r>
          </w:p>
        </w:tc>
        <w:tc>
          <w:tcPr>
            <w:tcW w:w="1372" w:type="dxa"/>
            <w:tcBorders>
              <w:bottom w:val="single" w:sz="4" w:space="0" w:color="auto"/>
            </w:tcBorders>
            <w:vAlign w:val="center"/>
          </w:tcPr>
          <w:p w14:paraId="5711357B" w14:textId="41B80780" w:rsidR="001F7D7A" w:rsidRPr="00D06C74" w:rsidRDefault="0037095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1,860</w:t>
            </w:r>
          </w:p>
        </w:tc>
        <w:tc>
          <w:tcPr>
            <w:tcW w:w="1145" w:type="dxa"/>
            <w:tcBorders>
              <w:bottom w:val="single" w:sz="4" w:space="0" w:color="auto"/>
            </w:tcBorders>
            <w:vAlign w:val="center"/>
          </w:tcPr>
          <w:p w14:paraId="4A3D87E0" w14:textId="023549D9" w:rsidR="001F7D7A" w:rsidRPr="00D06C74" w:rsidRDefault="0037095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2.38</w:t>
            </w:r>
          </w:p>
        </w:tc>
        <w:tc>
          <w:tcPr>
            <w:tcW w:w="1134" w:type="dxa"/>
            <w:tcBorders>
              <w:bottom w:val="single" w:sz="4" w:space="0" w:color="auto"/>
            </w:tcBorders>
            <w:vAlign w:val="center"/>
          </w:tcPr>
          <w:p w14:paraId="35926E33" w14:textId="7FE131AC" w:rsidR="001F7D7A" w:rsidRPr="00D06C74" w:rsidRDefault="0037095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0.28</w:t>
            </w:r>
          </w:p>
        </w:tc>
        <w:tc>
          <w:tcPr>
            <w:tcW w:w="1134" w:type="dxa"/>
            <w:tcBorders>
              <w:bottom w:val="single" w:sz="4" w:space="0" w:color="auto"/>
            </w:tcBorders>
            <w:vAlign w:val="center"/>
          </w:tcPr>
          <w:p w14:paraId="4D9A5B7D" w14:textId="3D70BF6C" w:rsidR="001F7D7A" w:rsidRPr="00D06C74" w:rsidRDefault="0037095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15,418</w:t>
            </w:r>
          </w:p>
        </w:tc>
        <w:tc>
          <w:tcPr>
            <w:tcW w:w="1276" w:type="dxa"/>
            <w:tcBorders>
              <w:bottom w:val="single" w:sz="4" w:space="0" w:color="auto"/>
            </w:tcBorders>
            <w:vAlign w:val="center"/>
          </w:tcPr>
          <w:p w14:paraId="35B4B6C2" w14:textId="2A863A97" w:rsidR="001F7D7A" w:rsidRPr="00D06C74" w:rsidRDefault="00F646F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3,867</w:t>
            </w:r>
          </w:p>
        </w:tc>
      </w:tr>
      <w:tr w:rsidR="004B1446" w:rsidRPr="00D06C74" w14:paraId="40AAD15A" w14:textId="77777777" w:rsidTr="00E14AED">
        <w:trPr>
          <w:trHeight w:val="306"/>
        </w:trPr>
        <w:tc>
          <w:tcPr>
            <w:tcW w:w="1494" w:type="dxa"/>
            <w:tcBorders>
              <w:top w:val="single" w:sz="4" w:space="0" w:color="auto"/>
              <w:left w:val="single" w:sz="4" w:space="0" w:color="auto"/>
              <w:bottom w:val="single" w:sz="4" w:space="0" w:color="auto"/>
              <w:right w:val="single" w:sz="4" w:space="0" w:color="auto"/>
            </w:tcBorders>
          </w:tcPr>
          <w:p w14:paraId="0F9CEE1F" w14:textId="77777777" w:rsidR="001F7D7A" w:rsidRPr="00D06C74" w:rsidRDefault="001F7D7A">
            <w:pP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Domestic flight</w:t>
            </w:r>
          </w:p>
        </w:tc>
        <w:tc>
          <w:tcPr>
            <w:tcW w:w="1371" w:type="dxa"/>
            <w:tcBorders>
              <w:top w:val="single" w:sz="4" w:space="0" w:color="auto"/>
              <w:left w:val="single" w:sz="4" w:space="0" w:color="auto"/>
              <w:bottom w:val="single" w:sz="4" w:space="0" w:color="auto"/>
              <w:right w:val="single" w:sz="4" w:space="0" w:color="auto"/>
            </w:tcBorders>
            <w:vAlign w:val="center"/>
          </w:tcPr>
          <w:p w14:paraId="1267D2F0" w14:textId="04875F14" w:rsidR="001F7D7A" w:rsidRPr="00D06C74" w:rsidRDefault="00F646F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42,115</w:t>
            </w:r>
          </w:p>
        </w:tc>
        <w:tc>
          <w:tcPr>
            <w:tcW w:w="1372" w:type="dxa"/>
            <w:tcBorders>
              <w:top w:val="single" w:sz="4" w:space="0" w:color="auto"/>
              <w:left w:val="single" w:sz="4" w:space="0" w:color="auto"/>
              <w:bottom w:val="single" w:sz="4" w:space="0" w:color="auto"/>
              <w:right w:val="single" w:sz="4" w:space="0" w:color="auto"/>
            </w:tcBorders>
            <w:vAlign w:val="center"/>
          </w:tcPr>
          <w:p w14:paraId="3413F317" w14:textId="55394611" w:rsidR="001F7D7A" w:rsidRPr="00D06C74" w:rsidRDefault="00F646F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74,123</w:t>
            </w:r>
          </w:p>
        </w:tc>
        <w:tc>
          <w:tcPr>
            <w:tcW w:w="1145" w:type="dxa"/>
            <w:tcBorders>
              <w:top w:val="single" w:sz="4" w:space="0" w:color="auto"/>
              <w:left w:val="single" w:sz="4" w:space="0" w:color="auto"/>
              <w:bottom w:val="single" w:sz="4" w:space="0" w:color="auto"/>
              <w:right w:val="single" w:sz="4" w:space="0" w:color="auto"/>
            </w:tcBorders>
            <w:vAlign w:val="center"/>
          </w:tcPr>
          <w:p w14:paraId="7C619224" w14:textId="71925233" w:rsidR="001F7D7A" w:rsidRPr="00D06C74" w:rsidRDefault="00F646F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6.78</w:t>
            </w:r>
          </w:p>
        </w:tc>
        <w:tc>
          <w:tcPr>
            <w:tcW w:w="1134" w:type="dxa"/>
            <w:tcBorders>
              <w:top w:val="single" w:sz="4" w:space="0" w:color="auto"/>
              <w:left w:val="single" w:sz="4" w:space="0" w:color="auto"/>
              <w:bottom w:val="single" w:sz="4" w:space="0" w:color="auto"/>
              <w:right w:val="single" w:sz="4" w:space="0" w:color="auto"/>
            </w:tcBorders>
            <w:vAlign w:val="center"/>
          </w:tcPr>
          <w:p w14:paraId="463078A5" w14:textId="328EFABA" w:rsidR="001F7D7A" w:rsidRPr="00D06C74" w:rsidRDefault="00F646F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9.64</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C913EA9" w14:textId="7EDABFA7" w:rsidR="001F7D7A" w:rsidRPr="00D06C74" w:rsidRDefault="00F646F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9,513</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7B1DC8BC" w14:textId="65B54266" w:rsidR="001F7D7A" w:rsidRPr="00D06C74" w:rsidRDefault="00F646FA">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13,977</w:t>
            </w:r>
          </w:p>
        </w:tc>
      </w:tr>
      <w:tr w:rsidR="004B1446" w:rsidRPr="00D06C74" w14:paraId="69186256" w14:textId="77777777" w:rsidTr="00E14AED">
        <w:trPr>
          <w:trHeight w:val="306"/>
        </w:trPr>
        <w:tc>
          <w:tcPr>
            <w:tcW w:w="1494" w:type="dxa"/>
            <w:tcBorders>
              <w:top w:val="single" w:sz="4" w:space="0" w:color="auto"/>
              <w:left w:val="single" w:sz="4" w:space="0" w:color="auto"/>
              <w:bottom w:val="single" w:sz="4" w:space="0" w:color="auto"/>
              <w:right w:val="single" w:sz="4" w:space="0" w:color="auto"/>
            </w:tcBorders>
          </w:tcPr>
          <w:p w14:paraId="742E49AD" w14:textId="77777777" w:rsidR="001F7D7A" w:rsidRPr="00D06C74" w:rsidRDefault="001F7D7A">
            <w:pP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Other flights</w:t>
            </w:r>
          </w:p>
        </w:tc>
        <w:tc>
          <w:tcPr>
            <w:tcW w:w="1371" w:type="dxa"/>
            <w:tcBorders>
              <w:top w:val="single" w:sz="4" w:space="0" w:color="auto"/>
              <w:left w:val="single" w:sz="4" w:space="0" w:color="auto"/>
              <w:bottom w:val="single" w:sz="4" w:space="0" w:color="auto"/>
              <w:right w:val="single" w:sz="4" w:space="0" w:color="auto"/>
            </w:tcBorders>
            <w:vAlign w:val="center"/>
          </w:tcPr>
          <w:p w14:paraId="2ECD65D7" w14:textId="5A29DB5C" w:rsidR="001F7D7A" w:rsidRPr="00D06C74" w:rsidRDefault="002C5889">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26,848</w:t>
            </w:r>
          </w:p>
        </w:tc>
        <w:tc>
          <w:tcPr>
            <w:tcW w:w="1372" w:type="dxa"/>
            <w:tcBorders>
              <w:top w:val="single" w:sz="4" w:space="0" w:color="auto"/>
              <w:left w:val="single" w:sz="4" w:space="0" w:color="auto"/>
              <w:bottom w:val="single" w:sz="4" w:space="0" w:color="auto"/>
              <w:right w:val="single" w:sz="4" w:space="0" w:color="auto"/>
            </w:tcBorders>
            <w:vAlign w:val="center"/>
          </w:tcPr>
          <w:p w14:paraId="18C8A37A" w14:textId="59C55BE4" w:rsidR="001F7D7A" w:rsidRPr="00D06C74" w:rsidRDefault="002C5889">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38,073</w:t>
            </w:r>
          </w:p>
        </w:tc>
        <w:tc>
          <w:tcPr>
            <w:tcW w:w="1145" w:type="dxa"/>
            <w:tcBorders>
              <w:top w:val="single" w:sz="4" w:space="0" w:color="auto"/>
              <w:left w:val="single" w:sz="4" w:space="0" w:color="auto"/>
              <w:bottom w:val="single" w:sz="4" w:space="0" w:color="auto"/>
              <w:right w:val="single" w:sz="4" w:space="0" w:color="auto"/>
            </w:tcBorders>
            <w:vAlign w:val="center"/>
          </w:tcPr>
          <w:p w14:paraId="643445E7" w14:textId="5807BA0D" w:rsidR="001F7D7A" w:rsidRPr="00D06C74" w:rsidRDefault="001F7D7A">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3.</w:t>
            </w:r>
            <w:r w:rsidR="002C5889">
              <w:rPr>
                <w:rFonts w:ascii="Arial" w:eastAsia="Times New Roman" w:hAnsi="Arial" w:cs="Arial"/>
                <w:sz w:val="24"/>
                <w:szCs w:val="24"/>
                <w:lang w:eastAsia="en-GB"/>
              </w:rPr>
              <w:t>80</w:t>
            </w:r>
          </w:p>
        </w:tc>
        <w:tc>
          <w:tcPr>
            <w:tcW w:w="1134" w:type="dxa"/>
            <w:tcBorders>
              <w:top w:val="single" w:sz="4" w:space="0" w:color="auto"/>
              <w:left w:val="single" w:sz="4" w:space="0" w:color="auto"/>
              <w:bottom w:val="single" w:sz="4" w:space="0" w:color="auto"/>
              <w:right w:val="single" w:sz="4" w:space="0" w:color="auto"/>
            </w:tcBorders>
            <w:vAlign w:val="center"/>
          </w:tcPr>
          <w:p w14:paraId="446A8CCE" w14:textId="475F28AC" w:rsidR="001F7D7A" w:rsidRPr="00D06C74" w:rsidRDefault="001F7D7A">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3.</w:t>
            </w:r>
            <w:r w:rsidR="002C5889">
              <w:rPr>
                <w:rFonts w:ascii="Arial" w:eastAsia="Times New Roman" w:hAnsi="Arial" w:cs="Arial"/>
                <w:sz w:val="24"/>
                <w:szCs w:val="24"/>
                <w:lang w:eastAsia="en-GB"/>
              </w:rPr>
              <w:t>54</w:t>
            </w:r>
          </w:p>
        </w:tc>
        <w:tc>
          <w:tcPr>
            <w:tcW w:w="1134" w:type="dxa"/>
            <w:vMerge/>
            <w:vAlign w:val="center"/>
          </w:tcPr>
          <w:p w14:paraId="46A8852A" w14:textId="77777777" w:rsidR="001F7D7A" w:rsidRPr="00D06C74" w:rsidRDefault="001F7D7A">
            <w:pPr>
              <w:jc w:val="center"/>
              <w:textAlignment w:val="baseline"/>
              <w:rPr>
                <w:rFonts w:ascii="Arial" w:eastAsia="Times New Roman" w:hAnsi="Arial" w:cs="Arial"/>
                <w:sz w:val="24"/>
                <w:szCs w:val="24"/>
                <w:lang w:eastAsia="en-GB"/>
              </w:rPr>
            </w:pPr>
          </w:p>
        </w:tc>
        <w:tc>
          <w:tcPr>
            <w:tcW w:w="1276" w:type="dxa"/>
            <w:vMerge/>
            <w:vAlign w:val="center"/>
          </w:tcPr>
          <w:p w14:paraId="4A097D4A" w14:textId="77777777" w:rsidR="001F7D7A" w:rsidRPr="00D06C74" w:rsidRDefault="001F7D7A">
            <w:pPr>
              <w:jc w:val="center"/>
              <w:textAlignment w:val="baseline"/>
              <w:rPr>
                <w:rFonts w:ascii="Arial" w:eastAsia="Times New Roman" w:hAnsi="Arial" w:cs="Arial"/>
                <w:sz w:val="24"/>
                <w:szCs w:val="24"/>
                <w:lang w:eastAsia="en-GB"/>
              </w:rPr>
            </w:pPr>
          </w:p>
        </w:tc>
      </w:tr>
    </w:tbl>
    <w:p w14:paraId="1483A7B5" w14:textId="77777777" w:rsidR="00D06C74" w:rsidRPr="00D06C74" w:rsidRDefault="00D06C74" w:rsidP="00D06C74">
      <w:pPr>
        <w:spacing w:afterLines="120" w:after="288" w:line="240" w:lineRule="auto"/>
        <w:textAlignment w:val="baseline"/>
        <w:rPr>
          <w:rFonts w:ascii="Arial" w:eastAsia="Times New Roman" w:hAnsi="Arial" w:cs="Arial"/>
          <w:kern w:val="0"/>
          <w:sz w:val="20"/>
          <w:szCs w:val="20"/>
          <w:lang w:eastAsia="en-GB"/>
          <w14:ligatures w14:val="none"/>
        </w:rPr>
      </w:pPr>
      <w:r w:rsidRPr="00D06C74">
        <w:rPr>
          <w:rFonts w:ascii="Arial" w:eastAsia="Times New Roman" w:hAnsi="Arial" w:cs="Arial"/>
          <w:kern w:val="0"/>
          <w:sz w:val="20"/>
          <w:szCs w:val="20"/>
          <w:lang w:eastAsia="en-GB"/>
          <w14:ligatures w14:val="none"/>
        </w:rPr>
        <w:t>Table 3: INSS Travel data</w:t>
      </w:r>
    </w:p>
    <w:p w14:paraId="19C58E91" w14:textId="213C9534"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As with energy, our distance travelled increased in 2023</w:t>
      </w:r>
      <w:r w:rsidR="00115459">
        <w:rPr>
          <w:rFonts w:ascii="Arial" w:eastAsia="Times New Roman" w:hAnsi="Arial" w:cs="Arial"/>
          <w:kern w:val="0"/>
          <w:sz w:val="24"/>
          <w:szCs w:val="24"/>
          <w:lang w:eastAsia="en-GB"/>
          <w14:ligatures w14:val="none"/>
        </w:rPr>
        <w:t>-</w:t>
      </w:r>
      <w:r w:rsidRPr="00D06C74">
        <w:rPr>
          <w:rFonts w:ascii="Arial" w:eastAsia="Times New Roman" w:hAnsi="Arial" w:cs="Arial"/>
          <w:kern w:val="0"/>
          <w:sz w:val="24"/>
          <w:szCs w:val="24"/>
          <w:lang w:eastAsia="en-GB"/>
          <w14:ligatures w14:val="none"/>
        </w:rPr>
        <w:t xml:space="preserve">24 compared to </w:t>
      </w:r>
      <w:r w:rsidR="00820DB3">
        <w:rPr>
          <w:rFonts w:ascii="Arial" w:eastAsia="Times New Roman" w:hAnsi="Arial" w:cs="Arial"/>
          <w:kern w:val="0"/>
          <w:sz w:val="24"/>
          <w:szCs w:val="24"/>
          <w:lang w:eastAsia="en-GB"/>
          <w14:ligatures w14:val="none"/>
        </w:rPr>
        <w:t>last year</w:t>
      </w:r>
      <w:r w:rsidRPr="00D06C74">
        <w:rPr>
          <w:rFonts w:ascii="Arial" w:eastAsia="Times New Roman" w:hAnsi="Arial" w:cs="Arial"/>
          <w:kern w:val="0"/>
          <w:sz w:val="24"/>
          <w:szCs w:val="24"/>
          <w:lang w:eastAsia="en-GB"/>
          <w14:ligatures w14:val="none"/>
        </w:rPr>
        <w:t>.</w:t>
      </w:r>
      <w:r w:rsidR="00766A1E">
        <w:rPr>
          <w:rFonts w:ascii="Arial" w:eastAsia="Times New Roman" w:hAnsi="Arial" w:cs="Arial"/>
          <w:kern w:val="0"/>
          <w:sz w:val="24"/>
          <w:szCs w:val="24"/>
          <w:lang w:eastAsia="en-GB"/>
          <w14:ligatures w14:val="none"/>
        </w:rPr>
        <w:t xml:space="preserve"> This may be in part due to the 5% </w:t>
      </w:r>
      <w:r w:rsidR="00291343">
        <w:rPr>
          <w:rFonts w:ascii="Arial" w:eastAsia="Times New Roman" w:hAnsi="Arial" w:cs="Arial"/>
          <w:kern w:val="0"/>
          <w:sz w:val="24"/>
          <w:szCs w:val="24"/>
          <w:lang w:eastAsia="en-GB"/>
          <w14:ligatures w14:val="none"/>
        </w:rPr>
        <w:t xml:space="preserve">(74 additional FTE) </w:t>
      </w:r>
      <w:r w:rsidR="00766A1E">
        <w:rPr>
          <w:rFonts w:ascii="Arial" w:eastAsia="Times New Roman" w:hAnsi="Arial" w:cs="Arial"/>
          <w:kern w:val="0"/>
          <w:sz w:val="24"/>
          <w:szCs w:val="24"/>
          <w:lang w:eastAsia="en-GB"/>
          <w14:ligatures w14:val="none"/>
        </w:rPr>
        <w:t>increase</w:t>
      </w:r>
      <w:r w:rsidR="00291343">
        <w:rPr>
          <w:rFonts w:ascii="Arial" w:eastAsia="Times New Roman" w:hAnsi="Arial" w:cs="Arial"/>
          <w:kern w:val="0"/>
          <w:sz w:val="24"/>
          <w:szCs w:val="24"/>
          <w:lang w:eastAsia="en-GB"/>
          <w14:ligatures w14:val="none"/>
        </w:rPr>
        <w:t xml:space="preserve"> in headcount, especially in Directorates where staff are more likely required to travel for business needs </w:t>
      </w:r>
      <w:r w:rsidR="00A11DF8">
        <w:rPr>
          <w:rFonts w:ascii="Arial" w:eastAsia="Times New Roman" w:hAnsi="Arial" w:cs="Arial"/>
          <w:kern w:val="0"/>
          <w:sz w:val="24"/>
          <w:szCs w:val="24"/>
          <w:lang w:eastAsia="en-GB"/>
          <w14:ligatures w14:val="none"/>
        </w:rPr>
        <w:t>e.g.,</w:t>
      </w:r>
      <w:r w:rsidR="00291343">
        <w:rPr>
          <w:rFonts w:ascii="Arial" w:eastAsia="Times New Roman" w:hAnsi="Arial" w:cs="Arial"/>
          <w:kern w:val="0"/>
          <w:sz w:val="24"/>
          <w:szCs w:val="24"/>
          <w:lang w:eastAsia="en-GB"/>
          <w14:ligatures w14:val="none"/>
        </w:rPr>
        <w:t xml:space="preserve"> Investigation and Enforcement, Legal Services, and Official Receiver Services.</w:t>
      </w:r>
      <w:r w:rsidRPr="00D06C74">
        <w:rPr>
          <w:rFonts w:ascii="Arial" w:eastAsia="Times New Roman" w:hAnsi="Arial" w:cs="Arial"/>
          <w:kern w:val="0"/>
          <w:sz w:val="24"/>
          <w:szCs w:val="24"/>
          <w:lang w:eastAsia="en-GB"/>
          <w14:ligatures w14:val="none"/>
        </w:rPr>
        <w:t xml:space="preserve"> We have however seen reduction in the usage of private cars (non-fleet vehicles) and flights, and an increase in the use of rail travel.  This has seen a reduction in </w:t>
      </w:r>
      <w:r w:rsidRPr="00D06C74">
        <w:rPr>
          <w:rFonts w:ascii="Arial" w:eastAsia="Times New Roman" w:hAnsi="Arial" w:cs="Arial"/>
          <w:sz w:val="24"/>
          <w:szCs w:val="24"/>
          <w:lang w:eastAsia="en-GB"/>
        </w:rPr>
        <w:t>CO</w:t>
      </w:r>
      <w:r w:rsidRPr="00D06C74">
        <w:rPr>
          <w:rFonts w:ascii="Arial" w:eastAsia="Times New Roman" w:hAnsi="Arial" w:cs="Arial"/>
          <w:sz w:val="24"/>
          <w:szCs w:val="24"/>
          <w:vertAlign w:val="subscript"/>
          <w:lang w:eastAsia="en-GB"/>
        </w:rPr>
        <w:t>2</w:t>
      </w:r>
      <w:r w:rsidRPr="00D06C74">
        <w:rPr>
          <w:rFonts w:ascii="Arial" w:eastAsia="Times New Roman" w:hAnsi="Arial" w:cs="Arial"/>
          <w:sz w:val="24"/>
          <w:szCs w:val="24"/>
          <w:lang w:eastAsia="en-GB"/>
        </w:rPr>
        <w:t>e</w:t>
      </w:r>
      <w:r w:rsidRPr="00D06C74">
        <w:rPr>
          <w:rFonts w:ascii="Arial" w:eastAsia="Times New Roman" w:hAnsi="Arial" w:cs="Arial"/>
          <w:kern w:val="0"/>
          <w:sz w:val="24"/>
          <w:szCs w:val="24"/>
          <w:lang w:eastAsia="en-GB"/>
          <w14:ligatures w14:val="none"/>
        </w:rPr>
        <w:t xml:space="preserve"> of 5.78 tonnes and savings of £35</w:t>
      </w:r>
      <w:r w:rsidR="00291343">
        <w:rPr>
          <w:rFonts w:ascii="Arial" w:eastAsia="Times New Roman" w:hAnsi="Arial" w:cs="Arial"/>
          <w:kern w:val="0"/>
          <w:sz w:val="24"/>
          <w:szCs w:val="24"/>
          <w:lang w:eastAsia="en-GB"/>
          <w14:ligatures w14:val="none"/>
        </w:rPr>
        <w:t>k</w:t>
      </w:r>
      <w:r w:rsidRPr="00D06C74">
        <w:rPr>
          <w:rFonts w:ascii="Arial" w:eastAsia="Times New Roman" w:hAnsi="Arial" w:cs="Arial"/>
          <w:kern w:val="0"/>
          <w:sz w:val="24"/>
          <w:szCs w:val="24"/>
          <w:lang w:eastAsia="en-GB"/>
          <w14:ligatures w14:val="none"/>
        </w:rPr>
        <w:t xml:space="preserve">.    </w:t>
      </w:r>
    </w:p>
    <w:p w14:paraId="4AFB12E9" w14:textId="076AAEE9"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[1] An additional data source became available in 2023</w:t>
      </w:r>
      <w:r w:rsidR="00820DB3">
        <w:rPr>
          <w:rFonts w:ascii="Arial" w:eastAsia="Times New Roman" w:hAnsi="Arial" w:cs="Arial"/>
          <w:kern w:val="0"/>
          <w:sz w:val="24"/>
          <w:szCs w:val="24"/>
          <w:lang w:eastAsia="en-GB"/>
          <w14:ligatures w14:val="none"/>
        </w:rPr>
        <w:t>-</w:t>
      </w:r>
      <w:r w:rsidRPr="00D06C74">
        <w:rPr>
          <w:rFonts w:ascii="Arial" w:eastAsia="Times New Roman" w:hAnsi="Arial" w:cs="Arial"/>
          <w:kern w:val="0"/>
          <w:sz w:val="24"/>
          <w:szCs w:val="24"/>
          <w:lang w:eastAsia="en-GB"/>
          <w14:ligatures w14:val="none"/>
        </w:rPr>
        <w:t>24 to record travel by taxi.</w:t>
      </w:r>
    </w:p>
    <w:p w14:paraId="1D11645D" w14:textId="765200AD"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We have developed a new Sustainable Travel Plan and Business Travel Procedure to mitigate the impact of travel and to promote more sustainable modes of travel and working practices. These are due to be published in 2024</w:t>
      </w:r>
      <w:r w:rsidR="00820DB3">
        <w:rPr>
          <w:rFonts w:ascii="Arial" w:eastAsia="Times New Roman" w:hAnsi="Arial" w:cs="Arial"/>
          <w:kern w:val="0"/>
          <w:sz w:val="24"/>
          <w:szCs w:val="24"/>
          <w:lang w:eastAsia="en-GB"/>
          <w14:ligatures w14:val="none"/>
        </w:rPr>
        <w:t>-</w:t>
      </w:r>
      <w:r w:rsidRPr="00D06C74">
        <w:rPr>
          <w:rFonts w:ascii="Arial" w:eastAsia="Times New Roman" w:hAnsi="Arial" w:cs="Arial"/>
          <w:kern w:val="0"/>
          <w:sz w:val="24"/>
          <w:szCs w:val="24"/>
          <w:lang w:eastAsia="en-GB"/>
          <w14:ligatures w14:val="none"/>
        </w:rPr>
        <w:t xml:space="preserve">25. </w:t>
      </w:r>
    </w:p>
    <w:p w14:paraId="3F8EC16E" w14:textId="77777777" w:rsidR="00F8244B" w:rsidRDefault="00F8244B">
      <w:pPr>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br w:type="page"/>
      </w:r>
    </w:p>
    <w:p w14:paraId="3F4416F5" w14:textId="64843915" w:rsidR="00D06C74" w:rsidRDefault="00D06C74" w:rsidP="004919D3">
      <w:pPr>
        <w:pStyle w:val="Heading4"/>
        <w:rPr>
          <w:rFonts w:eastAsia="Times New Roman" w:cs="Arial"/>
          <w:sz w:val="24"/>
          <w:szCs w:val="24"/>
          <w:lang w:eastAsia="en-GB"/>
        </w:rPr>
      </w:pPr>
      <w:r w:rsidRPr="007A7417">
        <w:rPr>
          <w:lang w:eastAsia="en-GB"/>
        </w:rPr>
        <w:lastRenderedPageBreak/>
        <w:t>Waste</w:t>
      </w:r>
    </w:p>
    <w:tbl>
      <w:tblPr>
        <w:tblStyle w:val="TableGrid"/>
        <w:tblW w:w="0" w:type="auto"/>
        <w:tblLook w:val="04A0" w:firstRow="1" w:lastRow="0" w:firstColumn="1" w:lastColumn="0" w:noHBand="0" w:noVBand="1"/>
      </w:tblPr>
      <w:tblGrid>
        <w:gridCol w:w="3005"/>
        <w:gridCol w:w="3005"/>
        <w:gridCol w:w="3006"/>
      </w:tblGrid>
      <w:tr w:rsidR="00B2126E" w14:paraId="67D2E8C1" w14:textId="77777777">
        <w:tc>
          <w:tcPr>
            <w:tcW w:w="3005" w:type="dxa"/>
          </w:tcPr>
          <w:p w14:paraId="60DF7E58" w14:textId="77777777" w:rsidR="00B2126E" w:rsidRDefault="00B2126E" w:rsidP="00D06C74">
            <w:pPr>
              <w:spacing w:afterLines="120" w:after="288"/>
              <w:textAlignment w:val="baseline"/>
              <w:rPr>
                <w:rFonts w:ascii="Arial" w:eastAsia="Times New Roman" w:hAnsi="Arial" w:cs="Arial"/>
                <w:kern w:val="0"/>
                <w:sz w:val="24"/>
                <w:szCs w:val="24"/>
                <w:lang w:eastAsia="en-GB"/>
                <w14:ligatures w14:val="none"/>
              </w:rPr>
            </w:pPr>
          </w:p>
        </w:tc>
        <w:tc>
          <w:tcPr>
            <w:tcW w:w="6011" w:type="dxa"/>
            <w:gridSpan w:val="2"/>
          </w:tcPr>
          <w:p w14:paraId="656827FC" w14:textId="0BCA6C45" w:rsidR="00B2126E" w:rsidRPr="00A11DF8" w:rsidRDefault="00B2126E" w:rsidP="00A11DF8">
            <w:pPr>
              <w:spacing w:afterLines="120" w:after="288"/>
              <w:jc w:val="center"/>
              <w:textAlignment w:val="baseline"/>
              <w:rPr>
                <w:rFonts w:ascii="Arial" w:eastAsia="Times New Roman" w:hAnsi="Arial" w:cs="Arial"/>
                <w:b/>
                <w:bCs/>
                <w:kern w:val="0"/>
                <w:sz w:val="24"/>
                <w:szCs w:val="24"/>
                <w:lang w:eastAsia="en-GB"/>
                <w14:ligatures w14:val="none"/>
              </w:rPr>
            </w:pPr>
            <w:r>
              <w:rPr>
                <w:rFonts w:ascii="Arial" w:eastAsia="Times New Roman" w:hAnsi="Arial" w:cs="Arial"/>
                <w:b/>
                <w:bCs/>
                <w:kern w:val="0"/>
                <w:sz w:val="24"/>
                <w:szCs w:val="24"/>
                <w:lang w:eastAsia="en-GB"/>
                <w14:ligatures w14:val="none"/>
              </w:rPr>
              <w:t>Amount (t)</w:t>
            </w:r>
          </w:p>
        </w:tc>
      </w:tr>
      <w:tr w:rsidR="008B4F19" w14:paraId="67552BED" w14:textId="77777777" w:rsidTr="008B4F19">
        <w:tc>
          <w:tcPr>
            <w:tcW w:w="3005" w:type="dxa"/>
          </w:tcPr>
          <w:p w14:paraId="213817C5" w14:textId="77777777" w:rsidR="008B4F19" w:rsidRDefault="008B4F19" w:rsidP="00D06C74">
            <w:pPr>
              <w:spacing w:afterLines="120" w:after="288"/>
              <w:textAlignment w:val="baseline"/>
              <w:rPr>
                <w:rFonts w:ascii="Arial" w:eastAsia="Times New Roman" w:hAnsi="Arial" w:cs="Arial"/>
                <w:kern w:val="0"/>
                <w:sz w:val="24"/>
                <w:szCs w:val="24"/>
                <w:lang w:eastAsia="en-GB"/>
                <w14:ligatures w14:val="none"/>
              </w:rPr>
            </w:pPr>
          </w:p>
        </w:tc>
        <w:tc>
          <w:tcPr>
            <w:tcW w:w="3005" w:type="dxa"/>
          </w:tcPr>
          <w:p w14:paraId="7FF4AA5E" w14:textId="7778C333" w:rsidR="008B4F19" w:rsidRDefault="008D3917"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2023-24</w:t>
            </w:r>
          </w:p>
        </w:tc>
        <w:tc>
          <w:tcPr>
            <w:tcW w:w="3006" w:type="dxa"/>
          </w:tcPr>
          <w:p w14:paraId="6838D520" w14:textId="321C3028" w:rsidR="008B4F19" w:rsidRDefault="008D3917"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202</w:t>
            </w:r>
            <w:r w:rsidR="00C368AF">
              <w:rPr>
                <w:rFonts w:ascii="Arial" w:eastAsia="Times New Roman" w:hAnsi="Arial" w:cs="Arial"/>
                <w:kern w:val="0"/>
                <w:sz w:val="24"/>
                <w:szCs w:val="24"/>
                <w:lang w:eastAsia="en-GB"/>
                <w14:ligatures w14:val="none"/>
              </w:rPr>
              <w:t>2</w:t>
            </w:r>
            <w:r>
              <w:rPr>
                <w:rFonts w:ascii="Arial" w:eastAsia="Times New Roman" w:hAnsi="Arial" w:cs="Arial"/>
                <w:kern w:val="0"/>
                <w:sz w:val="24"/>
                <w:szCs w:val="24"/>
                <w:lang w:eastAsia="en-GB"/>
                <w14:ligatures w14:val="none"/>
              </w:rPr>
              <w:t>-2</w:t>
            </w:r>
            <w:r w:rsidR="00C368AF">
              <w:rPr>
                <w:rFonts w:ascii="Arial" w:eastAsia="Times New Roman" w:hAnsi="Arial" w:cs="Arial"/>
                <w:kern w:val="0"/>
                <w:sz w:val="24"/>
                <w:szCs w:val="24"/>
                <w:lang w:eastAsia="en-GB"/>
                <w14:ligatures w14:val="none"/>
              </w:rPr>
              <w:t>3</w:t>
            </w:r>
          </w:p>
        </w:tc>
      </w:tr>
      <w:tr w:rsidR="00A11809" w14:paraId="56DD1B59" w14:textId="77777777" w:rsidTr="00EE5EBD">
        <w:tc>
          <w:tcPr>
            <w:tcW w:w="3005" w:type="dxa"/>
            <w:shd w:val="clear" w:color="auto" w:fill="auto"/>
          </w:tcPr>
          <w:p w14:paraId="4983143D" w14:textId="3D7B4C7F" w:rsidR="00A11809" w:rsidRDefault="00A11809" w:rsidP="00A11809">
            <w:pPr>
              <w:spacing w:afterLines="120" w:after="288"/>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Waste recycled externally (excl. ICT waste [1])</w:t>
            </w:r>
          </w:p>
        </w:tc>
        <w:tc>
          <w:tcPr>
            <w:tcW w:w="3005" w:type="dxa"/>
            <w:shd w:val="clear" w:color="auto" w:fill="auto"/>
          </w:tcPr>
          <w:p w14:paraId="44AC4CA4" w14:textId="597776BF" w:rsidR="00A11809" w:rsidRDefault="00A11809"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5</w:t>
            </w:r>
            <w:r w:rsidR="00052360">
              <w:rPr>
                <w:rFonts w:ascii="Arial" w:eastAsia="Times New Roman" w:hAnsi="Arial" w:cs="Arial"/>
                <w:sz w:val="24"/>
                <w:szCs w:val="24"/>
                <w:lang w:eastAsia="en-GB"/>
              </w:rPr>
              <w:t>5</w:t>
            </w:r>
          </w:p>
        </w:tc>
        <w:tc>
          <w:tcPr>
            <w:tcW w:w="3006" w:type="dxa"/>
          </w:tcPr>
          <w:p w14:paraId="2104F94F" w14:textId="5D4F190C" w:rsidR="00A11809" w:rsidRDefault="00A11809"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54</w:t>
            </w:r>
          </w:p>
        </w:tc>
      </w:tr>
      <w:tr w:rsidR="00A11809" w14:paraId="65CAF01F" w14:textId="77777777" w:rsidTr="00EE5EBD">
        <w:tc>
          <w:tcPr>
            <w:tcW w:w="3005" w:type="dxa"/>
            <w:shd w:val="clear" w:color="auto" w:fill="auto"/>
          </w:tcPr>
          <w:p w14:paraId="7B6F0264" w14:textId="3E326DB7" w:rsidR="00A11809" w:rsidRDefault="00A11809" w:rsidP="00A11809">
            <w:pPr>
              <w:spacing w:afterLines="120" w:after="288"/>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Waste reused externally (excl. ICT waste)</w:t>
            </w:r>
          </w:p>
        </w:tc>
        <w:tc>
          <w:tcPr>
            <w:tcW w:w="3005" w:type="dxa"/>
            <w:shd w:val="clear" w:color="auto" w:fill="auto"/>
          </w:tcPr>
          <w:p w14:paraId="6CBBA718" w14:textId="0A811D2B" w:rsidR="00A11809" w:rsidRDefault="00A11809"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12</w:t>
            </w:r>
          </w:p>
        </w:tc>
        <w:tc>
          <w:tcPr>
            <w:tcW w:w="3006" w:type="dxa"/>
          </w:tcPr>
          <w:p w14:paraId="76062BCB" w14:textId="3E80D50D" w:rsidR="00A11809" w:rsidRDefault="00A11809"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0</w:t>
            </w:r>
          </w:p>
        </w:tc>
      </w:tr>
      <w:tr w:rsidR="00A11809" w14:paraId="4ABF2630" w14:textId="77777777" w:rsidTr="00EE5EBD">
        <w:tc>
          <w:tcPr>
            <w:tcW w:w="3005" w:type="dxa"/>
            <w:shd w:val="clear" w:color="auto" w:fill="auto"/>
          </w:tcPr>
          <w:p w14:paraId="356ACC53" w14:textId="2FA7ED8F" w:rsidR="00A11809" w:rsidRDefault="00A11809" w:rsidP="00A11809">
            <w:pPr>
              <w:spacing w:afterLines="120" w:after="288"/>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Composted or anaerobically digested</w:t>
            </w:r>
          </w:p>
        </w:tc>
        <w:tc>
          <w:tcPr>
            <w:tcW w:w="3005" w:type="dxa"/>
            <w:shd w:val="clear" w:color="auto" w:fill="auto"/>
          </w:tcPr>
          <w:p w14:paraId="5D2D57AE" w14:textId="1648BA17" w:rsidR="00A11809" w:rsidRDefault="00A11809"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1</w:t>
            </w:r>
          </w:p>
        </w:tc>
        <w:tc>
          <w:tcPr>
            <w:tcW w:w="3006" w:type="dxa"/>
          </w:tcPr>
          <w:p w14:paraId="2F898BA6" w14:textId="6F7A1894" w:rsidR="00A11809" w:rsidRDefault="00A11809"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0</w:t>
            </w:r>
          </w:p>
        </w:tc>
      </w:tr>
      <w:tr w:rsidR="00A11809" w14:paraId="389B008D" w14:textId="77777777" w:rsidTr="00EE5EBD">
        <w:tc>
          <w:tcPr>
            <w:tcW w:w="3005" w:type="dxa"/>
            <w:shd w:val="clear" w:color="auto" w:fill="auto"/>
          </w:tcPr>
          <w:p w14:paraId="2228D2D6" w14:textId="585145E3" w:rsidR="00A11809" w:rsidRDefault="00A11809" w:rsidP="00A11809">
            <w:pPr>
              <w:spacing w:afterLines="120" w:after="288"/>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Incinerated with energy recovery</w:t>
            </w:r>
          </w:p>
        </w:tc>
        <w:tc>
          <w:tcPr>
            <w:tcW w:w="3005" w:type="dxa"/>
            <w:shd w:val="clear" w:color="auto" w:fill="auto"/>
          </w:tcPr>
          <w:p w14:paraId="132D1597" w14:textId="5FC6B320" w:rsidR="00A11809" w:rsidRDefault="00A11809"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2</w:t>
            </w:r>
            <w:r w:rsidR="00944846">
              <w:rPr>
                <w:rFonts w:ascii="Arial" w:eastAsia="Times New Roman" w:hAnsi="Arial" w:cs="Arial"/>
                <w:sz w:val="24"/>
                <w:szCs w:val="24"/>
                <w:lang w:eastAsia="en-GB"/>
              </w:rPr>
              <w:t>5</w:t>
            </w:r>
          </w:p>
        </w:tc>
        <w:tc>
          <w:tcPr>
            <w:tcW w:w="3006" w:type="dxa"/>
          </w:tcPr>
          <w:p w14:paraId="43A1FE06" w14:textId="3A0DE332" w:rsidR="00A11809" w:rsidRDefault="00A11809"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2</w:t>
            </w:r>
          </w:p>
        </w:tc>
      </w:tr>
      <w:tr w:rsidR="00A11809" w14:paraId="0D92D1D9" w14:textId="77777777" w:rsidTr="00EE5EBD">
        <w:tc>
          <w:tcPr>
            <w:tcW w:w="3005" w:type="dxa"/>
            <w:shd w:val="clear" w:color="auto" w:fill="auto"/>
          </w:tcPr>
          <w:p w14:paraId="2D70E8EE" w14:textId="40F3057C" w:rsidR="00A11809" w:rsidRDefault="00A11809" w:rsidP="00A11809">
            <w:pPr>
              <w:spacing w:afterLines="120" w:after="288"/>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Total waste recycled</w:t>
            </w:r>
          </w:p>
        </w:tc>
        <w:tc>
          <w:tcPr>
            <w:tcW w:w="3005" w:type="dxa"/>
            <w:shd w:val="clear" w:color="auto" w:fill="auto"/>
          </w:tcPr>
          <w:p w14:paraId="5FA4C5C8" w14:textId="03798886" w:rsidR="00A11809" w:rsidRDefault="00A11809"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5</w:t>
            </w:r>
            <w:r w:rsidR="00944846">
              <w:rPr>
                <w:rFonts w:ascii="Arial" w:eastAsia="Times New Roman" w:hAnsi="Arial" w:cs="Arial"/>
                <w:sz w:val="24"/>
                <w:szCs w:val="24"/>
                <w:lang w:eastAsia="en-GB"/>
              </w:rPr>
              <w:t>6</w:t>
            </w:r>
          </w:p>
        </w:tc>
        <w:tc>
          <w:tcPr>
            <w:tcW w:w="3006" w:type="dxa"/>
          </w:tcPr>
          <w:p w14:paraId="4F4462E5" w14:textId="41D1D1B3" w:rsidR="00A11809" w:rsidRDefault="00A11809"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54</w:t>
            </w:r>
          </w:p>
        </w:tc>
      </w:tr>
      <w:tr w:rsidR="00A11809" w14:paraId="14DD3E55" w14:textId="77777777" w:rsidTr="00EE5EBD">
        <w:tc>
          <w:tcPr>
            <w:tcW w:w="3005" w:type="dxa"/>
            <w:shd w:val="clear" w:color="auto" w:fill="auto"/>
          </w:tcPr>
          <w:p w14:paraId="54891F76" w14:textId="46262EBA" w:rsidR="00A11809" w:rsidRDefault="00A11809" w:rsidP="00A11809">
            <w:pPr>
              <w:spacing w:afterLines="120" w:after="288"/>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Total waste diverted from landfill</w:t>
            </w:r>
          </w:p>
        </w:tc>
        <w:tc>
          <w:tcPr>
            <w:tcW w:w="3005" w:type="dxa"/>
            <w:shd w:val="clear" w:color="auto" w:fill="auto"/>
          </w:tcPr>
          <w:p w14:paraId="2B88E376" w14:textId="0C6C5417" w:rsidR="00A11809" w:rsidRDefault="00944846"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82</w:t>
            </w:r>
          </w:p>
        </w:tc>
        <w:tc>
          <w:tcPr>
            <w:tcW w:w="3006" w:type="dxa"/>
          </w:tcPr>
          <w:p w14:paraId="3D8AE76E" w14:textId="3D749839" w:rsidR="00A11809" w:rsidRDefault="00A11809" w:rsidP="00EE5EBD">
            <w:pPr>
              <w:spacing w:afterLines="120" w:after="288"/>
              <w:jc w:val="center"/>
              <w:textAlignment w:val="baseline"/>
              <w:rPr>
                <w:rFonts w:ascii="Arial" w:eastAsia="Times New Roman" w:hAnsi="Arial" w:cs="Arial"/>
                <w:kern w:val="0"/>
                <w:sz w:val="24"/>
                <w:szCs w:val="24"/>
                <w:lang w:eastAsia="en-GB"/>
                <w14:ligatures w14:val="none"/>
              </w:rPr>
            </w:pPr>
            <w:r>
              <w:rPr>
                <w:rFonts w:ascii="Arial" w:eastAsia="Times New Roman" w:hAnsi="Arial" w:cs="Arial"/>
                <w:sz w:val="24"/>
                <w:szCs w:val="24"/>
                <w:lang w:eastAsia="en-GB"/>
              </w:rPr>
              <w:t>5</w:t>
            </w:r>
            <w:r w:rsidR="00944846">
              <w:rPr>
                <w:rFonts w:ascii="Arial" w:eastAsia="Times New Roman" w:hAnsi="Arial" w:cs="Arial"/>
                <w:sz w:val="24"/>
                <w:szCs w:val="24"/>
                <w:lang w:eastAsia="en-GB"/>
              </w:rPr>
              <w:t>6</w:t>
            </w:r>
          </w:p>
        </w:tc>
      </w:tr>
    </w:tbl>
    <w:p w14:paraId="565284CC" w14:textId="5F8208F5" w:rsidR="00291343" w:rsidRPr="00EE5EBD" w:rsidRDefault="00A11809" w:rsidP="00D06C74">
      <w:pPr>
        <w:spacing w:afterLines="120" w:after="288" w:line="240" w:lineRule="auto"/>
        <w:textAlignment w:val="baseline"/>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 xml:space="preserve">Table 4: INSS </w:t>
      </w:r>
      <w:r w:rsidR="00004D30">
        <w:rPr>
          <w:rFonts w:ascii="Arial" w:eastAsia="Times New Roman" w:hAnsi="Arial" w:cs="Arial"/>
          <w:kern w:val="0"/>
          <w:sz w:val="20"/>
          <w:szCs w:val="20"/>
          <w:lang w:eastAsia="en-GB"/>
          <w14:ligatures w14:val="none"/>
        </w:rPr>
        <w:t xml:space="preserve">waste data </w:t>
      </w:r>
    </w:p>
    <w:p w14:paraId="6E513708" w14:textId="77777777" w:rsidR="00DF2212" w:rsidRPr="00DF2212" w:rsidRDefault="00DF2212" w:rsidP="00DF2212">
      <w:pPr>
        <w:spacing w:afterLines="120" w:after="288" w:line="240" w:lineRule="auto"/>
        <w:textAlignment w:val="baseline"/>
        <w:rPr>
          <w:rFonts w:ascii="Arial" w:eastAsia="Times New Roman" w:hAnsi="Arial" w:cs="Arial"/>
          <w:kern w:val="0"/>
          <w:sz w:val="24"/>
          <w:szCs w:val="24"/>
          <w:lang w:eastAsia="en-GB"/>
          <w14:ligatures w14:val="none"/>
        </w:rPr>
      </w:pPr>
      <w:r w:rsidRPr="00DF2212">
        <w:rPr>
          <w:rFonts w:ascii="Arial" w:eastAsia="Times New Roman" w:hAnsi="Arial" w:cs="Arial"/>
          <w:kern w:val="0"/>
          <w:sz w:val="24"/>
          <w:szCs w:val="24"/>
          <w:lang w:eastAsia="en-GB"/>
          <w14:ligatures w14:val="none"/>
        </w:rPr>
        <w:t xml:space="preserve">[1] excluding ICT waste as this is reported separately via our STAR return. </w:t>
      </w:r>
    </w:p>
    <w:p w14:paraId="63700348" w14:textId="3579152C" w:rsidR="008B4F19" w:rsidRPr="00D06C74" w:rsidRDefault="00DF2212" w:rsidP="00DF2212">
      <w:pPr>
        <w:spacing w:afterLines="120" w:after="288" w:line="240" w:lineRule="auto"/>
        <w:textAlignment w:val="baseline"/>
        <w:rPr>
          <w:rFonts w:ascii="Arial" w:eastAsia="Times New Roman" w:hAnsi="Arial" w:cs="Arial"/>
          <w:kern w:val="0"/>
          <w:sz w:val="24"/>
          <w:szCs w:val="24"/>
          <w:lang w:eastAsia="en-GB"/>
          <w14:ligatures w14:val="none"/>
        </w:rPr>
      </w:pPr>
      <w:r w:rsidRPr="00DF2212">
        <w:rPr>
          <w:rFonts w:ascii="Arial" w:eastAsia="Times New Roman" w:hAnsi="Arial" w:cs="Arial"/>
          <w:kern w:val="0"/>
          <w:sz w:val="24"/>
          <w:szCs w:val="24"/>
          <w:lang w:eastAsia="en-GB"/>
          <w14:ligatures w14:val="none"/>
        </w:rPr>
        <w:t xml:space="preserve">We do not currently record consumer single-use plastics (CSUPs) disposal as we do not have any catering facilities. We are in the process of improving the way that we measure and record </w:t>
      </w:r>
      <w:r w:rsidR="00071514" w:rsidRPr="00DF2212">
        <w:rPr>
          <w:rFonts w:ascii="Arial" w:eastAsia="Times New Roman" w:hAnsi="Arial" w:cs="Arial"/>
          <w:kern w:val="0"/>
          <w:sz w:val="24"/>
          <w:szCs w:val="24"/>
          <w:lang w:eastAsia="en-GB"/>
          <w14:ligatures w14:val="none"/>
        </w:rPr>
        <w:t>all</w:t>
      </w:r>
      <w:r w:rsidRPr="00DF2212">
        <w:rPr>
          <w:rFonts w:ascii="Arial" w:eastAsia="Times New Roman" w:hAnsi="Arial" w:cs="Arial"/>
          <w:kern w:val="0"/>
          <w:sz w:val="24"/>
          <w:szCs w:val="24"/>
          <w:lang w:eastAsia="en-GB"/>
          <w14:ligatures w14:val="none"/>
        </w:rPr>
        <w:t xml:space="preserve"> our waste at our locations, including the potential for identifying potential CSUPs from other areas of the business.</w:t>
      </w:r>
    </w:p>
    <w:tbl>
      <w:tblPr>
        <w:tblStyle w:val="TableGrid1"/>
        <w:tblW w:w="0" w:type="auto"/>
        <w:tblLook w:val="04A0" w:firstRow="1" w:lastRow="0" w:firstColumn="1" w:lastColumn="0" w:noHBand="0" w:noVBand="1"/>
      </w:tblPr>
      <w:tblGrid>
        <w:gridCol w:w="1081"/>
        <w:gridCol w:w="1907"/>
        <w:gridCol w:w="1941"/>
        <w:gridCol w:w="2095"/>
        <w:gridCol w:w="1992"/>
      </w:tblGrid>
      <w:tr w:rsidR="00D06C74" w:rsidRPr="00D06C74" w14:paraId="0C5F9F76" w14:textId="77777777" w:rsidTr="00A54305">
        <w:tc>
          <w:tcPr>
            <w:tcW w:w="1081" w:type="dxa"/>
          </w:tcPr>
          <w:p w14:paraId="3231804F" w14:textId="77777777" w:rsidR="00D06C74" w:rsidRPr="00D06C74" w:rsidRDefault="00D06C74" w:rsidP="00D06C74">
            <w:pPr>
              <w:textAlignment w:val="baseline"/>
              <w:rPr>
                <w:rFonts w:ascii="Arial" w:eastAsia="Times New Roman" w:hAnsi="Arial" w:cs="Arial"/>
                <w:sz w:val="24"/>
                <w:szCs w:val="24"/>
                <w:lang w:eastAsia="en-GB"/>
              </w:rPr>
            </w:pPr>
          </w:p>
        </w:tc>
        <w:tc>
          <w:tcPr>
            <w:tcW w:w="3848" w:type="dxa"/>
            <w:gridSpan w:val="2"/>
          </w:tcPr>
          <w:p w14:paraId="30141F3B" w14:textId="77777777" w:rsidR="00D06C74" w:rsidRPr="00D06C74" w:rsidRDefault="00D06C74" w:rsidP="00D06C74">
            <w:pPr>
              <w:jc w:val="center"/>
              <w:textAlignment w:val="baseline"/>
              <w:rPr>
                <w:rFonts w:ascii="Arial" w:eastAsia="Times New Roman" w:hAnsi="Arial" w:cs="Arial"/>
                <w:b/>
                <w:bCs/>
                <w:sz w:val="24"/>
                <w:szCs w:val="24"/>
                <w:lang w:eastAsia="en-GB"/>
              </w:rPr>
            </w:pPr>
            <w:r w:rsidRPr="00D06C74">
              <w:rPr>
                <w:rFonts w:ascii="Arial" w:eastAsia="Times New Roman" w:hAnsi="Arial" w:cs="Arial"/>
                <w:b/>
                <w:bCs/>
                <w:sz w:val="24"/>
                <w:szCs w:val="24"/>
                <w:lang w:eastAsia="en-GB"/>
              </w:rPr>
              <w:t>Amount (t/ A4 reams equivalent)</w:t>
            </w:r>
          </w:p>
          <w:p w14:paraId="0EFEEDAF" w14:textId="77777777" w:rsidR="00D06C74" w:rsidRPr="00D06C74" w:rsidRDefault="00D06C74" w:rsidP="00D06C74">
            <w:pPr>
              <w:textAlignment w:val="baseline"/>
              <w:rPr>
                <w:rFonts w:ascii="Arial" w:eastAsia="Times New Roman" w:hAnsi="Arial" w:cs="Arial"/>
                <w:b/>
                <w:bCs/>
                <w:sz w:val="24"/>
                <w:szCs w:val="24"/>
                <w:lang w:eastAsia="en-GB"/>
              </w:rPr>
            </w:pPr>
          </w:p>
        </w:tc>
        <w:tc>
          <w:tcPr>
            <w:tcW w:w="4087" w:type="dxa"/>
            <w:gridSpan w:val="2"/>
          </w:tcPr>
          <w:p w14:paraId="64F0FE7B" w14:textId="77777777" w:rsidR="00D06C74" w:rsidRPr="00D06C74" w:rsidRDefault="00D06C74" w:rsidP="00D06C74">
            <w:pPr>
              <w:jc w:val="center"/>
              <w:textAlignment w:val="baseline"/>
              <w:rPr>
                <w:rFonts w:ascii="Arial" w:eastAsia="Times New Roman" w:hAnsi="Arial" w:cs="Arial"/>
                <w:b/>
                <w:bCs/>
                <w:sz w:val="24"/>
                <w:szCs w:val="24"/>
                <w:lang w:eastAsia="en-GB"/>
              </w:rPr>
            </w:pPr>
            <w:r w:rsidRPr="00D06C74">
              <w:rPr>
                <w:rFonts w:ascii="Arial" w:eastAsia="Times New Roman" w:hAnsi="Arial" w:cs="Arial"/>
                <w:b/>
                <w:bCs/>
                <w:sz w:val="24"/>
                <w:szCs w:val="24"/>
                <w:lang w:eastAsia="en-GB"/>
              </w:rPr>
              <w:t>Expenditure (£)</w:t>
            </w:r>
          </w:p>
        </w:tc>
      </w:tr>
      <w:tr w:rsidR="00A54305" w:rsidRPr="00D06C74" w14:paraId="00E4763E" w14:textId="77777777" w:rsidTr="00A54305">
        <w:tc>
          <w:tcPr>
            <w:tcW w:w="1081" w:type="dxa"/>
          </w:tcPr>
          <w:p w14:paraId="4B751F20" w14:textId="77777777" w:rsidR="00D06C74" w:rsidRPr="00D06C74" w:rsidRDefault="00D06C74" w:rsidP="00D06C74">
            <w:pPr>
              <w:textAlignment w:val="baseline"/>
              <w:rPr>
                <w:rFonts w:ascii="Arial" w:eastAsia="Times New Roman" w:hAnsi="Arial" w:cs="Arial"/>
                <w:sz w:val="24"/>
                <w:szCs w:val="24"/>
                <w:lang w:eastAsia="en-GB"/>
              </w:rPr>
            </w:pPr>
          </w:p>
        </w:tc>
        <w:tc>
          <w:tcPr>
            <w:tcW w:w="1907" w:type="dxa"/>
          </w:tcPr>
          <w:p w14:paraId="6737DD5F" w14:textId="348BCDF7" w:rsidR="00D06C74" w:rsidRPr="00D06C74" w:rsidRDefault="00D06C74" w:rsidP="00D06C74">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202</w:t>
            </w:r>
            <w:r w:rsidR="00A54305">
              <w:rPr>
                <w:rFonts w:ascii="Arial" w:eastAsia="Times New Roman" w:hAnsi="Arial" w:cs="Arial"/>
                <w:sz w:val="24"/>
                <w:szCs w:val="24"/>
                <w:lang w:eastAsia="en-GB"/>
              </w:rPr>
              <w:t>3</w:t>
            </w:r>
            <w:r w:rsidR="00D84B08">
              <w:rPr>
                <w:rFonts w:ascii="Arial" w:eastAsia="Times New Roman" w:hAnsi="Arial" w:cs="Arial"/>
                <w:sz w:val="24"/>
                <w:szCs w:val="24"/>
                <w:lang w:eastAsia="en-GB"/>
              </w:rPr>
              <w:t>-</w:t>
            </w:r>
            <w:r w:rsidRPr="00D06C74">
              <w:rPr>
                <w:rFonts w:ascii="Arial" w:eastAsia="Times New Roman" w:hAnsi="Arial" w:cs="Arial"/>
                <w:sz w:val="24"/>
                <w:szCs w:val="24"/>
                <w:lang w:eastAsia="en-GB"/>
              </w:rPr>
              <w:t>2</w:t>
            </w:r>
            <w:r w:rsidR="00A54305">
              <w:rPr>
                <w:rFonts w:ascii="Arial" w:eastAsia="Times New Roman" w:hAnsi="Arial" w:cs="Arial"/>
                <w:sz w:val="24"/>
                <w:szCs w:val="24"/>
                <w:lang w:eastAsia="en-GB"/>
              </w:rPr>
              <w:t>4</w:t>
            </w:r>
          </w:p>
        </w:tc>
        <w:tc>
          <w:tcPr>
            <w:tcW w:w="1941" w:type="dxa"/>
          </w:tcPr>
          <w:p w14:paraId="6534820A" w14:textId="4A50FD12" w:rsidR="00D06C74" w:rsidRPr="00D06C74" w:rsidDel="008E48B5" w:rsidRDefault="00D06C74" w:rsidP="00D06C74">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202</w:t>
            </w:r>
            <w:r w:rsidR="00A54305">
              <w:rPr>
                <w:rFonts w:ascii="Arial" w:eastAsia="Times New Roman" w:hAnsi="Arial" w:cs="Arial"/>
                <w:sz w:val="24"/>
                <w:szCs w:val="24"/>
                <w:lang w:eastAsia="en-GB"/>
              </w:rPr>
              <w:t>2</w:t>
            </w:r>
            <w:r w:rsidR="00D84B08">
              <w:rPr>
                <w:rFonts w:ascii="Arial" w:eastAsia="Times New Roman" w:hAnsi="Arial" w:cs="Arial"/>
                <w:sz w:val="24"/>
                <w:szCs w:val="24"/>
                <w:lang w:eastAsia="en-GB"/>
              </w:rPr>
              <w:t>-</w:t>
            </w:r>
            <w:r w:rsidRPr="00D06C74">
              <w:rPr>
                <w:rFonts w:ascii="Arial" w:eastAsia="Times New Roman" w:hAnsi="Arial" w:cs="Arial"/>
                <w:sz w:val="24"/>
                <w:szCs w:val="24"/>
                <w:lang w:eastAsia="en-GB"/>
              </w:rPr>
              <w:t>2</w:t>
            </w:r>
            <w:r w:rsidR="00A54305">
              <w:rPr>
                <w:rFonts w:ascii="Arial" w:eastAsia="Times New Roman" w:hAnsi="Arial" w:cs="Arial"/>
                <w:sz w:val="24"/>
                <w:szCs w:val="24"/>
                <w:lang w:eastAsia="en-GB"/>
              </w:rPr>
              <w:t>3</w:t>
            </w:r>
          </w:p>
        </w:tc>
        <w:tc>
          <w:tcPr>
            <w:tcW w:w="2095" w:type="dxa"/>
          </w:tcPr>
          <w:p w14:paraId="2A6DB57E" w14:textId="24F766C7" w:rsidR="00D06C74" w:rsidRPr="00D06C74" w:rsidDel="00726669" w:rsidRDefault="00D06C74" w:rsidP="00D06C74">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202</w:t>
            </w:r>
            <w:r w:rsidR="00820DB3">
              <w:rPr>
                <w:rFonts w:ascii="Arial" w:eastAsia="Times New Roman" w:hAnsi="Arial" w:cs="Arial"/>
                <w:sz w:val="24"/>
                <w:szCs w:val="24"/>
                <w:lang w:eastAsia="en-GB"/>
              </w:rPr>
              <w:t>3</w:t>
            </w:r>
            <w:r w:rsidR="00D84B08">
              <w:rPr>
                <w:rFonts w:ascii="Arial" w:eastAsia="Times New Roman" w:hAnsi="Arial" w:cs="Arial"/>
                <w:sz w:val="24"/>
                <w:szCs w:val="24"/>
                <w:lang w:eastAsia="en-GB"/>
              </w:rPr>
              <w:t>-</w:t>
            </w:r>
            <w:r w:rsidRPr="00D06C74">
              <w:rPr>
                <w:rFonts w:ascii="Arial" w:eastAsia="Times New Roman" w:hAnsi="Arial" w:cs="Arial"/>
                <w:sz w:val="24"/>
                <w:szCs w:val="24"/>
                <w:lang w:eastAsia="en-GB"/>
              </w:rPr>
              <w:t>2</w:t>
            </w:r>
            <w:r w:rsidR="00820DB3">
              <w:rPr>
                <w:rFonts w:ascii="Arial" w:eastAsia="Times New Roman" w:hAnsi="Arial" w:cs="Arial"/>
                <w:sz w:val="24"/>
                <w:szCs w:val="24"/>
                <w:lang w:eastAsia="en-GB"/>
              </w:rPr>
              <w:t>4</w:t>
            </w:r>
          </w:p>
        </w:tc>
        <w:tc>
          <w:tcPr>
            <w:tcW w:w="1992" w:type="dxa"/>
          </w:tcPr>
          <w:p w14:paraId="4DD85FEA" w14:textId="0FF8FD77" w:rsidR="00D06C74" w:rsidRPr="00D06C74" w:rsidDel="00726669" w:rsidRDefault="00D06C74" w:rsidP="00D06C74">
            <w:pPr>
              <w:jc w:val="center"/>
              <w:textAlignment w:val="baseline"/>
              <w:rPr>
                <w:rFonts w:ascii="Arial" w:eastAsia="Times New Roman" w:hAnsi="Arial" w:cs="Arial"/>
                <w:sz w:val="24"/>
                <w:szCs w:val="24"/>
                <w:lang w:eastAsia="en-GB"/>
              </w:rPr>
            </w:pPr>
            <w:r w:rsidRPr="00D06C74">
              <w:rPr>
                <w:rFonts w:ascii="Arial" w:eastAsia="Times New Roman" w:hAnsi="Arial" w:cs="Arial"/>
                <w:sz w:val="24"/>
                <w:szCs w:val="24"/>
                <w:lang w:eastAsia="en-GB"/>
              </w:rPr>
              <w:t>202</w:t>
            </w:r>
            <w:r w:rsidR="00A54305">
              <w:rPr>
                <w:rFonts w:ascii="Arial" w:eastAsia="Times New Roman" w:hAnsi="Arial" w:cs="Arial"/>
                <w:sz w:val="24"/>
                <w:szCs w:val="24"/>
                <w:lang w:eastAsia="en-GB"/>
              </w:rPr>
              <w:t>2</w:t>
            </w:r>
            <w:r w:rsidR="00D84B08">
              <w:rPr>
                <w:rFonts w:ascii="Arial" w:eastAsia="Times New Roman" w:hAnsi="Arial" w:cs="Arial"/>
                <w:sz w:val="24"/>
                <w:szCs w:val="24"/>
                <w:lang w:eastAsia="en-GB"/>
              </w:rPr>
              <w:t>-</w:t>
            </w:r>
            <w:r w:rsidRPr="00D06C74">
              <w:rPr>
                <w:rFonts w:ascii="Arial" w:eastAsia="Times New Roman" w:hAnsi="Arial" w:cs="Arial"/>
                <w:sz w:val="24"/>
                <w:szCs w:val="24"/>
                <w:lang w:eastAsia="en-GB"/>
              </w:rPr>
              <w:t>2</w:t>
            </w:r>
            <w:r w:rsidR="00A54305">
              <w:rPr>
                <w:rFonts w:ascii="Arial" w:eastAsia="Times New Roman" w:hAnsi="Arial" w:cs="Arial"/>
                <w:sz w:val="24"/>
                <w:szCs w:val="24"/>
                <w:lang w:eastAsia="en-GB"/>
              </w:rPr>
              <w:t>3</w:t>
            </w:r>
          </w:p>
        </w:tc>
      </w:tr>
      <w:tr w:rsidR="00820DB3" w:rsidRPr="00D06C74" w14:paraId="49384219" w14:textId="77777777" w:rsidTr="00A54305">
        <w:tc>
          <w:tcPr>
            <w:tcW w:w="1081" w:type="dxa"/>
          </w:tcPr>
          <w:p w14:paraId="7D7C2435" w14:textId="3E09EEFB" w:rsidR="00820DB3" w:rsidRPr="00D06C74" w:rsidRDefault="00820DB3" w:rsidP="00D06C74">
            <w:pP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Paper usage</w:t>
            </w:r>
          </w:p>
        </w:tc>
        <w:tc>
          <w:tcPr>
            <w:tcW w:w="1907" w:type="dxa"/>
          </w:tcPr>
          <w:p w14:paraId="1E85F6C6" w14:textId="0A44F20E" w:rsidR="00820DB3" w:rsidRPr="00D06C74" w:rsidDel="00726669" w:rsidRDefault="00820DB3" w:rsidP="00D06C74">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3,744</w:t>
            </w:r>
          </w:p>
        </w:tc>
        <w:tc>
          <w:tcPr>
            <w:tcW w:w="1941" w:type="dxa"/>
          </w:tcPr>
          <w:p w14:paraId="1458C49A" w14:textId="4189D558" w:rsidR="00820DB3" w:rsidRPr="00D06C74" w:rsidRDefault="00820DB3" w:rsidP="00D06C74">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3,682</w:t>
            </w:r>
          </w:p>
        </w:tc>
        <w:tc>
          <w:tcPr>
            <w:tcW w:w="2095" w:type="dxa"/>
          </w:tcPr>
          <w:p w14:paraId="2C7B040A" w14:textId="61EBAE4F" w:rsidR="00820DB3" w:rsidRPr="00D06C74" w:rsidRDefault="00820DB3" w:rsidP="00D06C74">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21,218.80</w:t>
            </w:r>
          </w:p>
        </w:tc>
        <w:tc>
          <w:tcPr>
            <w:tcW w:w="1992" w:type="dxa"/>
          </w:tcPr>
          <w:p w14:paraId="0656C10A" w14:textId="275D7803" w:rsidR="00820DB3" w:rsidRPr="00D06C74" w:rsidRDefault="00820DB3" w:rsidP="00D06C74">
            <w:pPr>
              <w:jc w:val="center"/>
              <w:textAlignment w:val="baseline"/>
              <w:rPr>
                <w:rFonts w:ascii="Arial" w:eastAsia="Times New Roman" w:hAnsi="Arial" w:cs="Arial"/>
                <w:sz w:val="24"/>
                <w:szCs w:val="24"/>
                <w:lang w:eastAsia="en-GB"/>
              </w:rPr>
            </w:pPr>
            <w:r>
              <w:rPr>
                <w:rFonts w:ascii="Arial" w:eastAsia="Times New Roman" w:hAnsi="Arial" w:cs="Arial"/>
                <w:sz w:val="24"/>
                <w:szCs w:val="24"/>
                <w:lang w:eastAsia="en-GB"/>
              </w:rPr>
              <w:t>16,425.80</w:t>
            </w:r>
          </w:p>
        </w:tc>
      </w:tr>
    </w:tbl>
    <w:p w14:paraId="650F860C" w14:textId="0C05B06D" w:rsidR="00D06C74" w:rsidRPr="00D06C74" w:rsidRDefault="00D06C74" w:rsidP="00D06C74">
      <w:pPr>
        <w:spacing w:afterLines="120" w:after="288" w:line="240" w:lineRule="auto"/>
        <w:textAlignment w:val="baseline"/>
        <w:rPr>
          <w:rFonts w:ascii="Arial" w:eastAsia="Times New Roman" w:hAnsi="Arial" w:cs="Arial"/>
          <w:kern w:val="0"/>
          <w:sz w:val="20"/>
          <w:szCs w:val="20"/>
          <w:lang w:eastAsia="en-GB"/>
          <w14:ligatures w14:val="none"/>
        </w:rPr>
      </w:pPr>
      <w:r w:rsidRPr="00D06C74">
        <w:rPr>
          <w:rFonts w:ascii="Arial" w:eastAsia="Times New Roman" w:hAnsi="Arial" w:cs="Arial"/>
          <w:kern w:val="0"/>
          <w:sz w:val="20"/>
          <w:szCs w:val="20"/>
          <w:lang w:eastAsia="en-GB"/>
          <w14:ligatures w14:val="none"/>
        </w:rPr>
        <w:t xml:space="preserve">Table </w:t>
      </w:r>
      <w:r w:rsidR="00A11809">
        <w:rPr>
          <w:rFonts w:ascii="Arial" w:eastAsia="Times New Roman" w:hAnsi="Arial" w:cs="Arial"/>
          <w:kern w:val="0"/>
          <w:sz w:val="20"/>
          <w:szCs w:val="20"/>
          <w:lang w:eastAsia="en-GB"/>
          <w14:ligatures w14:val="none"/>
        </w:rPr>
        <w:t>5</w:t>
      </w:r>
      <w:r w:rsidRPr="00D06C74">
        <w:rPr>
          <w:rFonts w:ascii="Arial" w:eastAsia="Times New Roman" w:hAnsi="Arial" w:cs="Arial"/>
          <w:kern w:val="0"/>
          <w:sz w:val="20"/>
          <w:szCs w:val="20"/>
          <w:lang w:eastAsia="en-GB"/>
          <w14:ligatures w14:val="none"/>
        </w:rPr>
        <w:t>: INSS paper usage</w:t>
      </w:r>
    </w:p>
    <w:p w14:paraId="1F9677F1" w14:textId="5EFECA58"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 xml:space="preserve">There has been a slight increase in the amount of paper used this year, we are investigating ways to further reduce this, with an objective to move towards a paperless office environment in line with </w:t>
      </w:r>
      <w:r w:rsidR="00D84B08">
        <w:rPr>
          <w:rFonts w:ascii="Arial" w:eastAsia="Times New Roman" w:hAnsi="Arial" w:cs="Arial"/>
          <w:kern w:val="0"/>
          <w:sz w:val="24"/>
          <w:szCs w:val="24"/>
          <w:lang w:eastAsia="en-GB"/>
          <w14:ligatures w14:val="none"/>
        </w:rPr>
        <w:t>our</w:t>
      </w:r>
      <w:r w:rsidRPr="00D06C74">
        <w:rPr>
          <w:rFonts w:ascii="Arial" w:eastAsia="Times New Roman" w:hAnsi="Arial" w:cs="Arial"/>
          <w:kern w:val="0"/>
          <w:sz w:val="24"/>
          <w:szCs w:val="24"/>
          <w:lang w:eastAsia="en-GB"/>
          <w14:ligatures w14:val="none"/>
        </w:rPr>
        <w:t xml:space="preserve"> digital first principles.</w:t>
      </w:r>
    </w:p>
    <w:p w14:paraId="74237780" w14:textId="77777777" w:rsidR="00F8244B" w:rsidRDefault="00F8244B">
      <w:pPr>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br w:type="page"/>
      </w:r>
    </w:p>
    <w:p w14:paraId="6A841C82" w14:textId="2A6EB506" w:rsidR="00D06C74" w:rsidRPr="00D06C74" w:rsidRDefault="00D06C74" w:rsidP="004919D3">
      <w:pPr>
        <w:pStyle w:val="Heading4"/>
        <w:rPr>
          <w:rFonts w:eastAsia="Times New Roman" w:cs="Arial"/>
          <w:sz w:val="24"/>
          <w:szCs w:val="24"/>
          <w:lang w:eastAsia="en-GB"/>
        </w:rPr>
      </w:pPr>
      <w:r w:rsidRPr="007A7417">
        <w:rPr>
          <w:lang w:eastAsia="en-GB"/>
        </w:rPr>
        <w:lastRenderedPageBreak/>
        <w:t>Water</w:t>
      </w:r>
    </w:p>
    <w:p w14:paraId="69469DC3" w14:textId="629F7AE4"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We do not have water submetering at our sites, so our figures (Table 1) are estimated based on total floor area at in-scope sites. We have used CIRIA estimates for “good practice” as our office use is limited with no catering, external use of water, washing of fleet, or watering of plants. We are working with our landlords to install submeters so that we have a more accurate picture of water usage across our estate.</w:t>
      </w:r>
    </w:p>
    <w:p w14:paraId="551F2951" w14:textId="03439450"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Water figures for 2023</w:t>
      </w:r>
      <w:r w:rsidR="00380812" w:rsidRPr="00380812">
        <w:rPr>
          <w:rFonts w:ascii="Arial" w:eastAsia="Times New Roman" w:hAnsi="Arial" w:cs="Arial"/>
          <w:kern w:val="0"/>
          <w:sz w:val="24"/>
          <w:szCs w:val="24"/>
          <w:lang w:eastAsia="en-GB"/>
          <w14:ligatures w14:val="none"/>
        </w:rPr>
        <w:t>-</w:t>
      </w:r>
      <w:r w:rsidRPr="00D06C74">
        <w:rPr>
          <w:rFonts w:ascii="Arial" w:eastAsia="Times New Roman" w:hAnsi="Arial" w:cs="Arial"/>
          <w:kern w:val="0"/>
          <w:sz w:val="24"/>
          <w:szCs w:val="24"/>
          <w:lang w:eastAsia="en-GB"/>
          <w14:ligatures w14:val="none"/>
        </w:rPr>
        <w:t xml:space="preserve">24 reflect 9 of our Regional Centre Offices, as those leased from other government departments are out of scope to prevent double counting, as per the </w:t>
      </w:r>
      <w:hyperlink r:id="rId41" w:anchor="reporting" w:history="1">
        <w:r w:rsidRPr="00D06C74">
          <w:rPr>
            <w:rFonts w:ascii="Arial" w:eastAsia="Times New Roman" w:hAnsi="Arial" w:cs="Arial"/>
            <w:color w:val="0000FF"/>
            <w:kern w:val="0"/>
            <w:sz w:val="24"/>
            <w:szCs w:val="24"/>
            <w:u w:val="single"/>
            <w:lang w:eastAsia="en-GB"/>
            <w14:ligatures w14:val="none"/>
          </w:rPr>
          <w:t>GGC guidance</w:t>
        </w:r>
      </w:hyperlink>
      <w:r w:rsidRPr="00D06C74">
        <w:rPr>
          <w:rFonts w:ascii="Arial" w:eastAsia="Times New Roman" w:hAnsi="Arial" w:cs="Arial"/>
          <w:kern w:val="0"/>
          <w:sz w:val="24"/>
          <w:szCs w:val="24"/>
          <w:lang w:eastAsia="en-GB"/>
          <w14:ligatures w14:val="none"/>
        </w:rPr>
        <w:t xml:space="preserve">.  </w:t>
      </w:r>
    </w:p>
    <w:p w14:paraId="15920698" w14:textId="6D671E11" w:rsidR="00D06C74" w:rsidRPr="00D06C74" w:rsidRDefault="00F64C6B" w:rsidP="00D06C74">
      <w:pPr>
        <w:spacing w:afterLines="120" w:after="288" w:line="240" w:lineRule="auto"/>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We</w:t>
      </w:r>
      <w:r w:rsidR="00D06C74" w:rsidRPr="00D06C74">
        <w:rPr>
          <w:rFonts w:ascii="Arial" w:eastAsia="Times New Roman" w:hAnsi="Arial" w:cs="Arial"/>
          <w:kern w:val="0"/>
          <w:sz w:val="24"/>
          <w:szCs w:val="24"/>
          <w:lang w:eastAsia="en-GB"/>
          <w14:ligatures w14:val="none"/>
        </w:rPr>
        <w:t xml:space="preserve"> </w:t>
      </w:r>
      <w:r w:rsidR="00BD4052">
        <w:rPr>
          <w:rFonts w:ascii="Arial" w:eastAsia="Times New Roman" w:hAnsi="Arial" w:cs="Arial"/>
          <w:kern w:val="0"/>
          <w:sz w:val="24"/>
          <w:szCs w:val="24"/>
          <w:lang w:eastAsia="en-GB"/>
          <w14:ligatures w14:val="none"/>
        </w:rPr>
        <w:t xml:space="preserve">will </w:t>
      </w:r>
      <w:r w:rsidR="00D06C74" w:rsidRPr="00D06C74">
        <w:rPr>
          <w:rFonts w:ascii="Arial" w:eastAsia="Times New Roman" w:hAnsi="Arial" w:cs="Arial"/>
          <w:kern w:val="0"/>
          <w:sz w:val="24"/>
          <w:szCs w:val="24"/>
          <w:lang w:eastAsia="en-GB"/>
          <w14:ligatures w14:val="none"/>
        </w:rPr>
        <w:t xml:space="preserve">continue to make improvements to </w:t>
      </w:r>
      <w:r w:rsidR="008367D8">
        <w:rPr>
          <w:rFonts w:ascii="Arial" w:eastAsia="Times New Roman" w:hAnsi="Arial" w:cs="Arial"/>
          <w:kern w:val="0"/>
          <w:sz w:val="24"/>
          <w:szCs w:val="24"/>
          <w:lang w:eastAsia="en-GB"/>
          <w14:ligatures w14:val="none"/>
        </w:rPr>
        <w:t>our</w:t>
      </w:r>
      <w:r w:rsidR="00D06C74" w:rsidRPr="00D06C74">
        <w:rPr>
          <w:rFonts w:ascii="Arial" w:eastAsia="Times New Roman" w:hAnsi="Arial" w:cs="Arial"/>
          <w:kern w:val="0"/>
          <w:sz w:val="24"/>
          <w:szCs w:val="24"/>
          <w:lang w:eastAsia="en-GB"/>
          <w14:ligatures w14:val="none"/>
        </w:rPr>
        <w:t xml:space="preserve"> sustainability reporting </w:t>
      </w:r>
      <w:r w:rsidR="00A3101A" w:rsidRPr="00D06C74">
        <w:rPr>
          <w:rFonts w:ascii="Arial" w:eastAsia="Times New Roman" w:hAnsi="Arial" w:cs="Arial"/>
          <w:kern w:val="0"/>
          <w:sz w:val="24"/>
          <w:szCs w:val="24"/>
          <w:lang w:eastAsia="en-GB"/>
          <w14:ligatures w14:val="none"/>
        </w:rPr>
        <w:t>metrics,</w:t>
      </w:r>
      <w:r w:rsidR="00D06C74" w:rsidRPr="00D06C74">
        <w:rPr>
          <w:rFonts w:ascii="Arial" w:eastAsia="Times New Roman" w:hAnsi="Arial" w:cs="Arial"/>
          <w:kern w:val="0"/>
          <w:sz w:val="24"/>
          <w:szCs w:val="24"/>
          <w:lang w:eastAsia="en-GB"/>
          <w14:ligatures w14:val="none"/>
        </w:rPr>
        <w:t xml:space="preserve"> and these will include a new net zero trajectory as part of the development of </w:t>
      </w:r>
      <w:r w:rsidR="00BD4052">
        <w:rPr>
          <w:rFonts w:ascii="Arial" w:eastAsia="Times New Roman" w:hAnsi="Arial" w:cs="Arial"/>
          <w:kern w:val="0"/>
          <w:sz w:val="24"/>
          <w:szCs w:val="24"/>
          <w:lang w:eastAsia="en-GB"/>
          <w14:ligatures w14:val="none"/>
        </w:rPr>
        <w:t>our</w:t>
      </w:r>
      <w:r w:rsidR="00D06C74" w:rsidRPr="00D06C74">
        <w:rPr>
          <w:rFonts w:ascii="Arial" w:eastAsia="Times New Roman" w:hAnsi="Arial" w:cs="Arial"/>
          <w:kern w:val="0"/>
          <w:sz w:val="24"/>
          <w:szCs w:val="24"/>
          <w:lang w:eastAsia="en-GB"/>
          <w14:ligatures w14:val="none"/>
        </w:rPr>
        <w:t xml:space="preserve"> upcoming Carbon and Energy Management Plan.</w:t>
      </w:r>
    </w:p>
    <w:p w14:paraId="1E13BAE8" w14:textId="77777777" w:rsidR="00D06C74" w:rsidRPr="00D06C74" w:rsidRDefault="00D06C74" w:rsidP="004919D3">
      <w:pPr>
        <w:pStyle w:val="Heading4"/>
        <w:rPr>
          <w:rFonts w:eastAsia="Times New Roman" w:cs="Arial"/>
          <w:b w:val="0"/>
          <w:sz w:val="24"/>
          <w:szCs w:val="24"/>
          <w:lang w:eastAsia="en-GB"/>
        </w:rPr>
      </w:pPr>
      <w:r w:rsidRPr="00D06C74">
        <w:rPr>
          <w:lang w:eastAsia="en-GB"/>
        </w:rPr>
        <w:t>Sustainable Construction</w:t>
      </w:r>
    </w:p>
    <w:p w14:paraId="75F606E8" w14:textId="2B348923" w:rsidR="00D06C74" w:rsidRPr="00D06C74" w:rsidRDefault="00A3101A" w:rsidP="00D06C74">
      <w:pPr>
        <w:spacing w:afterLines="120" w:after="288" w:line="240" w:lineRule="auto"/>
        <w:textAlignment w:val="baseline"/>
        <w:rPr>
          <w:rFonts w:ascii="Arial" w:hAnsi="Arial" w:cs="Arial"/>
          <w:kern w:val="0"/>
          <w:sz w:val="24"/>
          <w:szCs w:val="24"/>
          <w14:ligatures w14:val="none"/>
        </w:rPr>
      </w:pPr>
      <w:r>
        <w:rPr>
          <w:rFonts w:ascii="Arial" w:hAnsi="Arial" w:cs="Arial"/>
          <w:kern w:val="0"/>
          <w:sz w:val="24"/>
          <w:szCs w:val="24"/>
          <w14:ligatures w14:val="none"/>
        </w:rPr>
        <w:t>We are</w:t>
      </w:r>
      <w:r w:rsidR="00D06C74" w:rsidRPr="00D06C74">
        <w:rPr>
          <w:rFonts w:ascii="Arial" w:hAnsi="Arial" w:cs="Arial"/>
          <w:kern w:val="0"/>
          <w:sz w:val="24"/>
          <w:szCs w:val="24"/>
          <w14:ligatures w14:val="none"/>
        </w:rPr>
        <w:t xml:space="preserve"> currently rationalising </w:t>
      </w:r>
      <w:r>
        <w:rPr>
          <w:rFonts w:ascii="Arial" w:hAnsi="Arial" w:cs="Arial"/>
          <w:kern w:val="0"/>
          <w:sz w:val="24"/>
          <w:szCs w:val="24"/>
          <w14:ligatures w14:val="none"/>
        </w:rPr>
        <w:t>our</w:t>
      </w:r>
      <w:r w:rsidR="00D06C74" w:rsidRPr="00D06C74">
        <w:rPr>
          <w:rFonts w:ascii="Arial" w:hAnsi="Arial" w:cs="Arial"/>
          <w:kern w:val="0"/>
          <w:sz w:val="24"/>
          <w:szCs w:val="24"/>
          <w14:ligatures w14:val="none"/>
        </w:rPr>
        <w:t xml:space="preserve"> estate and reducing the number of </w:t>
      </w:r>
      <w:r w:rsidR="00D833C7">
        <w:rPr>
          <w:rFonts w:ascii="Arial" w:hAnsi="Arial" w:cs="Arial"/>
          <w:kern w:val="0"/>
          <w:sz w:val="24"/>
          <w:szCs w:val="24"/>
          <w14:ligatures w14:val="none"/>
        </w:rPr>
        <w:t>our</w:t>
      </w:r>
      <w:r w:rsidR="00D06C74" w:rsidRPr="00D06C74">
        <w:rPr>
          <w:rFonts w:ascii="Arial" w:hAnsi="Arial" w:cs="Arial"/>
          <w:kern w:val="0"/>
          <w:sz w:val="24"/>
          <w:szCs w:val="24"/>
          <w14:ligatures w14:val="none"/>
        </w:rPr>
        <w:t xml:space="preserve"> offices (from 22 to 11). Part of this process has been to develop the Manchester office into a new Regional Centre for the North West. This has involved a major refurbishment of the existing Manchester office to accommodate staff from across the region. </w:t>
      </w:r>
    </w:p>
    <w:p w14:paraId="7A73EE0F" w14:textId="4F79BAA6"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hAnsi="Arial" w:cs="Arial"/>
          <w:kern w:val="0"/>
          <w:sz w:val="24"/>
          <w:szCs w:val="24"/>
          <w14:ligatures w14:val="none"/>
        </w:rPr>
        <w:t xml:space="preserve">Requirements were stipulated as part of the procurement process to ensure that our sustainable procurement objectives were met. This included a requirement to adhere </w:t>
      </w:r>
      <w:r w:rsidR="005E6783">
        <w:rPr>
          <w:rFonts w:ascii="Arial" w:hAnsi="Arial" w:cs="Arial"/>
          <w:kern w:val="0"/>
          <w:sz w:val="24"/>
          <w:szCs w:val="24"/>
          <w14:ligatures w14:val="none"/>
        </w:rPr>
        <w:t>to</w:t>
      </w:r>
      <w:r w:rsidRPr="00D06C74">
        <w:rPr>
          <w:rFonts w:ascii="Arial" w:hAnsi="Arial" w:cs="Arial"/>
          <w:kern w:val="0"/>
          <w:sz w:val="24"/>
          <w:szCs w:val="24"/>
          <w14:ligatures w14:val="none"/>
        </w:rPr>
        <w:t xml:space="preserve"> our Environmental Policy, for the refurbishments to be undertaken in line with Building Research Establishment Environmental Assessment Method (BREEAM) ‘Very Good’, and that 10% weighting was given for (each) Environmental Sustainability and Social Value when awarding the refurbishment contract(s). We also required that contractors recorded and reported on all waste that was produced as part of the works and that circular economy principles were applied</w:t>
      </w:r>
      <w:r w:rsidR="003D5718">
        <w:rPr>
          <w:rFonts w:ascii="Arial" w:hAnsi="Arial" w:cs="Arial"/>
          <w:kern w:val="0"/>
          <w:sz w:val="24"/>
          <w:szCs w:val="24"/>
          <w14:ligatures w14:val="none"/>
        </w:rPr>
        <w:t>, for example,</w:t>
      </w:r>
      <w:r w:rsidRPr="00D06C74">
        <w:rPr>
          <w:rFonts w:ascii="Arial" w:hAnsi="Arial" w:cs="Arial"/>
          <w:kern w:val="0"/>
          <w:sz w:val="24"/>
          <w:szCs w:val="24"/>
          <w14:ligatures w14:val="none"/>
        </w:rPr>
        <w:t xml:space="preserve"> reuse of existing equipment where appropriate. </w:t>
      </w:r>
    </w:p>
    <w:p w14:paraId="4C80B859" w14:textId="77777777" w:rsidR="00D06C74" w:rsidRPr="00D06C74" w:rsidRDefault="00D06C74" w:rsidP="004919D3">
      <w:pPr>
        <w:pStyle w:val="Heading4"/>
        <w:rPr>
          <w:rFonts w:eastAsia="Times New Roman" w:cs="Arial"/>
          <w:b w:val="0"/>
          <w:sz w:val="24"/>
          <w:szCs w:val="24"/>
          <w:lang w:eastAsia="en-GB"/>
        </w:rPr>
      </w:pPr>
      <w:r w:rsidRPr="00D06C74">
        <w:rPr>
          <w:lang w:eastAsia="en-GB"/>
        </w:rPr>
        <w:t>Procuring sustainable products and services</w:t>
      </w:r>
    </w:p>
    <w:p w14:paraId="012D14C3" w14:textId="3AA1F081" w:rsidR="00D06C74" w:rsidRPr="00D06C74"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Our Sustainable Procurement Working Group continue</w:t>
      </w:r>
      <w:r w:rsidR="00703B00">
        <w:rPr>
          <w:rFonts w:ascii="Arial" w:eastAsia="Times New Roman" w:hAnsi="Arial" w:cs="Arial"/>
          <w:kern w:val="0"/>
          <w:sz w:val="24"/>
          <w:szCs w:val="24"/>
          <w:lang w:eastAsia="en-GB"/>
          <w14:ligatures w14:val="none"/>
        </w:rPr>
        <w:t>s</w:t>
      </w:r>
      <w:r w:rsidRPr="00D06C74">
        <w:rPr>
          <w:rFonts w:ascii="Arial" w:eastAsia="Times New Roman" w:hAnsi="Arial" w:cs="Arial"/>
          <w:kern w:val="0"/>
          <w:sz w:val="24"/>
          <w:szCs w:val="24"/>
          <w:lang w:eastAsia="en-GB"/>
          <w14:ligatures w14:val="none"/>
        </w:rPr>
        <w:t xml:space="preserve"> to develop our sustainable procurement practices in line with Defra’s </w:t>
      </w:r>
      <w:hyperlink r:id="rId42" w:tgtFrame="_blank" w:history="1">
        <w:r w:rsidRPr="00D06C74">
          <w:rPr>
            <w:rFonts w:ascii="Arial" w:eastAsia="Times New Roman" w:hAnsi="Arial" w:cs="Arial"/>
            <w:kern w:val="0"/>
            <w:sz w:val="24"/>
            <w:szCs w:val="24"/>
            <w:lang w:eastAsia="en-GB"/>
            <w14:ligatures w14:val="none"/>
          </w:rPr>
          <w:t>Flexible Framework</w:t>
        </w:r>
      </w:hyperlink>
      <w:r w:rsidRPr="00D06C74">
        <w:rPr>
          <w:rFonts w:ascii="Arial" w:eastAsia="Times New Roman" w:hAnsi="Arial" w:cs="Arial"/>
          <w:kern w:val="0"/>
          <w:sz w:val="24"/>
          <w:szCs w:val="24"/>
          <w:lang w:eastAsia="en-GB"/>
          <w14:ligatures w14:val="none"/>
        </w:rPr>
        <w:t>. We have developed a new Sustainable Procurement Strategy, plus associated procedures to support the evaluation of Environmental Sustainability and Social Value in tender documentation. We have delivered training in sustainable procurement practices to Commercial Business Partners and purchasing officers. The Sustainability Team also provide</w:t>
      </w:r>
      <w:r w:rsidR="00707B77">
        <w:rPr>
          <w:rFonts w:ascii="Arial" w:eastAsia="Times New Roman" w:hAnsi="Arial" w:cs="Arial"/>
          <w:kern w:val="0"/>
          <w:sz w:val="24"/>
          <w:szCs w:val="24"/>
          <w:lang w:eastAsia="en-GB"/>
          <w14:ligatures w14:val="none"/>
        </w:rPr>
        <w:t>d</w:t>
      </w:r>
      <w:r w:rsidRPr="00D06C74">
        <w:rPr>
          <w:rFonts w:ascii="Arial" w:eastAsia="Times New Roman" w:hAnsi="Arial" w:cs="Arial"/>
          <w:kern w:val="0"/>
          <w:sz w:val="24"/>
          <w:szCs w:val="24"/>
          <w:lang w:eastAsia="en-GB"/>
          <w14:ligatures w14:val="none"/>
        </w:rPr>
        <w:t xml:space="preserve"> bespoke support to purchasing teams to ensure that </w:t>
      </w:r>
      <w:r w:rsidR="00707B77">
        <w:rPr>
          <w:rFonts w:ascii="Arial" w:eastAsia="Times New Roman" w:hAnsi="Arial" w:cs="Arial"/>
          <w:kern w:val="0"/>
          <w:sz w:val="24"/>
          <w:szCs w:val="24"/>
          <w:lang w:eastAsia="en-GB"/>
          <w14:ligatures w14:val="none"/>
        </w:rPr>
        <w:t>our</w:t>
      </w:r>
      <w:r w:rsidRPr="00D06C74">
        <w:rPr>
          <w:rFonts w:ascii="Arial" w:eastAsia="Times New Roman" w:hAnsi="Arial" w:cs="Arial"/>
          <w:kern w:val="0"/>
          <w:sz w:val="24"/>
          <w:szCs w:val="24"/>
          <w:lang w:eastAsia="en-GB"/>
          <w14:ligatures w14:val="none"/>
        </w:rPr>
        <w:t xml:space="preserve"> sustainability objectives are reflected in statements of requirements. </w:t>
      </w:r>
    </w:p>
    <w:p w14:paraId="03F131B9" w14:textId="77777777" w:rsidR="00F8244B" w:rsidRDefault="00F8244B">
      <w:pPr>
        <w:rPr>
          <w:rFonts w:ascii="Arial" w:eastAsia="Times New Roman" w:hAnsi="Arial" w:cs="Arial"/>
          <w:b/>
          <w:bCs/>
          <w:kern w:val="0"/>
          <w:sz w:val="24"/>
          <w:szCs w:val="24"/>
          <w:lang w:eastAsia="en-GB"/>
          <w14:ligatures w14:val="none"/>
        </w:rPr>
      </w:pPr>
      <w:r>
        <w:rPr>
          <w:rFonts w:ascii="Arial" w:eastAsia="Times New Roman" w:hAnsi="Arial" w:cs="Arial"/>
          <w:b/>
          <w:bCs/>
          <w:kern w:val="0"/>
          <w:sz w:val="24"/>
          <w:szCs w:val="24"/>
          <w:lang w:eastAsia="en-GB"/>
          <w14:ligatures w14:val="none"/>
        </w:rPr>
        <w:br w:type="page"/>
      </w:r>
    </w:p>
    <w:p w14:paraId="39823BEE" w14:textId="79D538CE" w:rsidR="00D06C74" w:rsidRPr="00E42B67" w:rsidRDefault="00D06C74" w:rsidP="00E42B67">
      <w:pPr>
        <w:pStyle w:val="Heading4"/>
      </w:pPr>
      <w:r w:rsidRPr="00D06C74">
        <w:rPr>
          <w:lang w:eastAsia="en-GB"/>
        </w:rPr>
        <w:lastRenderedPageBreak/>
        <w:t>I</w:t>
      </w:r>
      <w:r w:rsidR="00E17967" w:rsidRPr="00E42B67">
        <w:t>nformation</w:t>
      </w:r>
      <w:r w:rsidR="00630C64" w:rsidRPr="00E42B67">
        <w:t xml:space="preserve"> and </w:t>
      </w:r>
      <w:r w:rsidRPr="00E42B67">
        <w:t>C</w:t>
      </w:r>
      <w:r w:rsidR="00630C64" w:rsidRPr="00E42B67">
        <w:t xml:space="preserve">ommunication </w:t>
      </w:r>
      <w:r w:rsidRPr="00E42B67">
        <w:t>T</w:t>
      </w:r>
      <w:r w:rsidR="00630C64" w:rsidRPr="00E42B67">
        <w:t>echnology</w:t>
      </w:r>
      <w:r w:rsidRPr="00E42B67">
        <w:t xml:space="preserve"> </w:t>
      </w:r>
      <w:r w:rsidR="009C0650" w:rsidRPr="00E42B67">
        <w:t xml:space="preserve">(ICT) </w:t>
      </w:r>
      <w:r w:rsidRPr="00E42B67">
        <w:t>and Digital</w:t>
      </w:r>
    </w:p>
    <w:p w14:paraId="5441F10D" w14:textId="31A6F701" w:rsidR="00D06C74" w:rsidRPr="00D06C74" w:rsidRDefault="000C2E66" w:rsidP="00D06C74">
      <w:pPr>
        <w:spacing w:afterLines="120" w:after="288" w:line="240" w:lineRule="auto"/>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We</w:t>
      </w:r>
      <w:r w:rsidR="00D06C74" w:rsidRPr="00D06C74">
        <w:rPr>
          <w:rFonts w:ascii="Arial" w:eastAsia="Times New Roman" w:hAnsi="Arial" w:cs="Arial"/>
          <w:kern w:val="0"/>
          <w:sz w:val="24"/>
          <w:szCs w:val="24"/>
          <w:lang w:eastAsia="en-GB"/>
          <w14:ligatures w14:val="none"/>
        </w:rPr>
        <w:t xml:space="preserve"> have adopted the Greening Government: ICT &amp; Digital Services Strategy. As part of this, we report on our ICT emissions, waste, sustainability strategy statements, and policy results annually. Our recent high-volume tender activity ‘Modern Workplace Technology’ has been instrumental in the development of </w:t>
      </w:r>
      <w:r w:rsidR="0028171D">
        <w:rPr>
          <w:rFonts w:ascii="Arial" w:eastAsia="Times New Roman" w:hAnsi="Arial" w:cs="Arial"/>
          <w:kern w:val="0"/>
          <w:sz w:val="24"/>
          <w:szCs w:val="24"/>
          <w:lang w:eastAsia="en-GB"/>
          <w14:ligatures w14:val="none"/>
        </w:rPr>
        <w:t>our</w:t>
      </w:r>
      <w:r w:rsidR="00D06C74" w:rsidRPr="00D06C74">
        <w:rPr>
          <w:rFonts w:ascii="Arial" w:eastAsia="Times New Roman" w:hAnsi="Arial" w:cs="Arial"/>
          <w:kern w:val="0"/>
          <w:sz w:val="24"/>
          <w:szCs w:val="24"/>
          <w:lang w:eastAsia="en-GB"/>
          <w14:ligatures w14:val="none"/>
        </w:rPr>
        <w:t xml:space="preserve"> sustainable procurement practices, acting as a pilot for our new Social Value and Environmental Sustainability procedures and ensuring that the principles of sustainability (including circular economy principles) were embedded into our new ICT contracts. These contracts are now in place which will enable us to more closely monitor and report against our environmental sustainability and social values targets moving forward.</w:t>
      </w:r>
    </w:p>
    <w:p w14:paraId="00C971FE" w14:textId="33E0A0B5" w:rsidR="00D06C74" w:rsidRPr="00E42B67" w:rsidRDefault="00D06C74" w:rsidP="00E42B67">
      <w:pPr>
        <w:pStyle w:val="Heading4"/>
      </w:pPr>
      <w:r w:rsidRPr="00D06C74">
        <w:rPr>
          <w:lang w:eastAsia="en-GB"/>
        </w:rPr>
        <w:t xml:space="preserve">Biodiversity and Nature </w:t>
      </w:r>
      <w:r w:rsidRPr="00E42B67">
        <w:t>Recovery</w:t>
      </w:r>
    </w:p>
    <w:p w14:paraId="4B26D0D3" w14:textId="5EDF2AD6" w:rsidR="00D06C74" w:rsidRPr="00D06C74" w:rsidRDefault="00D06C74" w:rsidP="00D06C74">
      <w:pPr>
        <w:spacing w:afterLines="120" w:after="288"/>
        <w:rPr>
          <w:rFonts w:ascii="Arial" w:eastAsia="Times New Roman" w:hAnsi="Arial" w:cs="Arial"/>
          <w:kern w:val="0"/>
          <w:sz w:val="24"/>
          <w:szCs w:val="24"/>
          <w:lang w:eastAsia="en-GB"/>
          <w14:ligatures w14:val="none"/>
        </w:rPr>
      </w:pPr>
      <w:r w:rsidRPr="00D06C74">
        <w:rPr>
          <w:rFonts w:ascii="Arial" w:eastAsia="Times New Roman" w:hAnsi="Arial" w:cs="Arial"/>
          <w:kern w:val="0"/>
          <w:sz w:val="24"/>
          <w:szCs w:val="24"/>
          <w:lang w:eastAsia="en-GB"/>
          <w14:ligatures w14:val="none"/>
        </w:rPr>
        <w:t xml:space="preserve">We continue to develop biodiversity and nature plans tailored to our Regional Centres. Whilst the </w:t>
      </w:r>
      <w:r w:rsidR="511596EE" w:rsidRPr="00D06C74">
        <w:rPr>
          <w:rFonts w:ascii="Arial" w:eastAsia="Times New Roman" w:hAnsi="Arial" w:cs="Arial"/>
          <w:kern w:val="0"/>
          <w:sz w:val="24"/>
          <w:szCs w:val="24"/>
          <w:lang w:eastAsia="en-GB"/>
          <w14:ligatures w14:val="none"/>
        </w:rPr>
        <w:t>Agency</w:t>
      </w:r>
      <w:r w:rsidRPr="00D06C74">
        <w:rPr>
          <w:rFonts w:ascii="Arial" w:eastAsia="Times New Roman" w:hAnsi="Arial" w:cs="Arial"/>
          <w:kern w:val="0"/>
          <w:sz w:val="24"/>
          <w:szCs w:val="24"/>
          <w:lang w:eastAsia="en-GB"/>
          <w14:ligatures w14:val="none"/>
        </w:rPr>
        <w:t xml:space="preserve"> does not own any buildings or have any landholdings, we are keen to raise awareness and develop opportunities for nature recovery and improved biodiversity. This includes raising awareness of local green infrastructure to our staff in our Regional Centres as we recognise the benefits that access to nature has for our mental wellbeing and physical health. </w:t>
      </w:r>
    </w:p>
    <w:p w14:paraId="69B03108" w14:textId="77777777" w:rsidR="009C25B3" w:rsidRDefault="009C25B3">
      <w:pPr>
        <w:rPr>
          <w:rFonts w:ascii="Arial" w:hAnsi="Arial" w:cs="Arial"/>
          <w:b/>
          <w:bCs/>
          <w:color w:val="4472C4" w:themeColor="accent1"/>
          <w:sz w:val="32"/>
          <w:szCs w:val="32"/>
        </w:rPr>
      </w:pPr>
      <w:r>
        <w:rPr>
          <w:rFonts w:ascii="Arial" w:hAnsi="Arial" w:cs="Arial"/>
          <w:b/>
          <w:bCs/>
          <w:color w:val="4472C4" w:themeColor="accent1"/>
          <w:sz w:val="32"/>
          <w:szCs w:val="32"/>
        </w:rPr>
        <w:br w:type="page"/>
      </w:r>
    </w:p>
    <w:p w14:paraId="4D7960BB" w14:textId="0B5F7FA2" w:rsidR="006A0357" w:rsidRPr="00681BD5" w:rsidRDefault="005E4AD8" w:rsidP="004919D3">
      <w:pPr>
        <w:pStyle w:val="Heading4"/>
        <w:rPr>
          <w:rFonts w:cs="Arial"/>
          <w:b w:val="0"/>
          <w:color w:val="4472C4" w:themeColor="accent1"/>
          <w:sz w:val="32"/>
          <w:szCs w:val="32"/>
        </w:rPr>
      </w:pPr>
      <w:r w:rsidRPr="00681BD5">
        <w:rPr>
          <w:sz w:val="32"/>
          <w:szCs w:val="32"/>
        </w:rPr>
        <w:lastRenderedPageBreak/>
        <w:t>Sharpen our financial model</w:t>
      </w:r>
      <w:r w:rsidR="00B416E8" w:rsidRPr="00681BD5">
        <w:rPr>
          <w:rFonts w:cs="Arial"/>
          <w:color w:val="4472C4" w:themeColor="accent1"/>
          <w:sz w:val="32"/>
          <w:szCs w:val="32"/>
        </w:rPr>
        <w:t xml:space="preserve"> </w:t>
      </w:r>
      <w:r w:rsidR="00B416E8" w:rsidRPr="00681BD5">
        <w:rPr>
          <w:sz w:val="32"/>
          <w:szCs w:val="32"/>
        </w:rPr>
        <w:t>to ensure sustainability</w:t>
      </w:r>
    </w:p>
    <w:p w14:paraId="26C56113" w14:textId="41BDCD9C" w:rsidR="009C25B3" w:rsidRPr="00FB1FEE" w:rsidRDefault="006B28B4" w:rsidP="00EC36DB">
      <w:pPr>
        <w:rPr>
          <w:rFonts w:ascii="Arial" w:hAnsi="Arial" w:cs="Arial"/>
          <w:b/>
          <w:bCs/>
          <w:color w:val="4472C4" w:themeColor="accent1"/>
          <w:sz w:val="32"/>
          <w:szCs w:val="32"/>
        </w:rPr>
      </w:pPr>
      <w:r>
        <w:rPr>
          <w:rFonts w:ascii="Arial" w:hAnsi="Arial" w:cs="Arial"/>
          <w:b/>
          <w:bCs/>
          <w:noProof/>
          <w:color w:val="4472C4" w:themeColor="accent1"/>
          <w:sz w:val="32"/>
          <w:szCs w:val="32"/>
        </w:rPr>
        <w:drawing>
          <wp:inline distT="0" distB="0" distL="0" distR="0" wp14:anchorId="1B763758" wp14:editId="446143AC">
            <wp:extent cx="5722620" cy="38195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2620" cy="38195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256"/>
        <w:gridCol w:w="1417"/>
        <w:gridCol w:w="4343"/>
      </w:tblGrid>
      <w:tr w:rsidR="002D7446" w14:paraId="1C65BA6F" w14:textId="77777777">
        <w:tc>
          <w:tcPr>
            <w:tcW w:w="3256" w:type="dxa"/>
          </w:tcPr>
          <w:p w14:paraId="798EE52E" w14:textId="77777777" w:rsidR="002D7446" w:rsidRDefault="002D7446">
            <w:pPr>
              <w:rPr>
                <w:rFonts w:ascii="Arial" w:hAnsi="Arial" w:cs="Arial"/>
                <w:color w:val="4472C4" w:themeColor="accent1"/>
                <w:sz w:val="24"/>
                <w:szCs w:val="24"/>
              </w:rPr>
            </w:pPr>
            <w:r>
              <w:rPr>
                <w:rFonts w:ascii="Arial" w:hAnsi="Arial" w:cs="Arial"/>
                <w:color w:val="4472C4" w:themeColor="accent1"/>
                <w:sz w:val="24"/>
                <w:szCs w:val="24"/>
              </w:rPr>
              <w:t>Objective</w:t>
            </w:r>
          </w:p>
        </w:tc>
        <w:tc>
          <w:tcPr>
            <w:tcW w:w="1417" w:type="dxa"/>
          </w:tcPr>
          <w:p w14:paraId="79FB0234" w14:textId="77777777" w:rsidR="002D7446" w:rsidRDefault="002D7446">
            <w:pPr>
              <w:rPr>
                <w:rFonts w:ascii="Arial" w:hAnsi="Arial" w:cs="Arial"/>
                <w:color w:val="4472C4" w:themeColor="accent1"/>
                <w:sz w:val="24"/>
                <w:szCs w:val="24"/>
              </w:rPr>
            </w:pPr>
            <w:r>
              <w:rPr>
                <w:rFonts w:ascii="Arial" w:hAnsi="Arial" w:cs="Arial"/>
                <w:color w:val="4472C4" w:themeColor="accent1"/>
                <w:sz w:val="24"/>
                <w:szCs w:val="24"/>
              </w:rPr>
              <w:t>Status</w:t>
            </w:r>
          </w:p>
        </w:tc>
        <w:tc>
          <w:tcPr>
            <w:tcW w:w="4343" w:type="dxa"/>
          </w:tcPr>
          <w:p w14:paraId="2D9085B2" w14:textId="77777777" w:rsidR="002D7446" w:rsidRDefault="002D7446">
            <w:pPr>
              <w:rPr>
                <w:rFonts w:ascii="Arial" w:hAnsi="Arial" w:cs="Arial"/>
                <w:color w:val="4472C4" w:themeColor="accent1"/>
                <w:sz w:val="24"/>
                <w:szCs w:val="24"/>
              </w:rPr>
            </w:pPr>
            <w:r>
              <w:rPr>
                <w:rFonts w:ascii="Arial" w:hAnsi="Arial" w:cs="Arial"/>
                <w:color w:val="4472C4" w:themeColor="accent1"/>
                <w:sz w:val="24"/>
                <w:szCs w:val="24"/>
              </w:rPr>
              <w:t>Commentary</w:t>
            </w:r>
          </w:p>
        </w:tc>
      </w:tr>
      <w:tr w:rsidR="002D7446" w14:paraId="0607BAD9" w14:textId="77777777">
        <w:tc>
          <w:tcPr>
            <w:tcW w:w="3256" w:type="dxa"/>
          </w:tcPr>
          <w:p w14:paraId="05ADF3B8" w14:textId="2266EDB7" w:rsidR="002D7446" w:rsidRPr="00625870" w:rsidRDefault="007E70AB">
            <w:pPr>
              <w:rPr>
                <w:rFonts w:ascii="Arial" w:hAnsi="Arial" w:cs="Arial"/>
                <w:sz w:val="24"/>
                <w:szCs w:val="24"/>
              </w:rPr>
            </w:pPr>
            <w:r>
              <w:rPr>
                <w:rFonts w:ascii="Arial" w:hAnsi="Arial" w:cs="Arial"/>
                <w:sz w:val="24"/>
                <w:szCs w:val="24"/>
              </w:rPr>
              <w:t xml:space="preserve">Review of current fees </w:t>
            </w:r>
            <w:r w:rsidR="005D0AE3">
              <w:rPr>
                <w:rFonts w:ascii="Arial" w:hAnsi="Arial" w:cs="Arial"/>
                <w:sz w:val="24"/>
                <w:szCs w:val="24"/>
              </w:rPr>
              <w:t>and consider whether changes are necessary</w:t>
            </w:r>
            <w:r w:rsidR="006047BA">
              <w:rPr>
                <w:rFonts w:ascii="Arial" w:hAnsi="Arial" w:cs="Arial"/>
                <w:sz w:val="24"/>
                <w:szCs w:val="24"/>
              </w:rPr>
              <w:t>.</w:t>
            </w:r>
          </w:p>
        </w:tc>
        <w:tc>
          <w:tcPr>
            <w:tcW w:w="1417" w:type="dxa"/>
          </w:tcPr>
          <w:p w14:paraId="7D6B8094" w14:textId="2A7DF8D9" w:rsidR="002D7446" w:rsidRPr="00625870" w:rsidRDefault="006047BA">
            <w:pPr>
              <w:rPr>
                <w:rFonts w:ascii="Arial" w:hAnsi="Arial" w:cs="Arial"/>
                <w:sz w:val="24"/>
                <w:szCs w:val="24"/>
              </w:rPr>
            </w:pPr>
            <w:r>
              <w:rPr>
                <w:rFonts w:ascii="Arial" w:hAnsi="Arial" w:cs="Arial"/>
                <w:sz w:val="24"/>
                <w:szCs w:val="24"/>
              </w:rPr>
              <w:t>Achieved</w:t>
            </w:r>
          </w:p>
        </w:tc>
        <w:tc>
          <w:tcPr>
            <w:tcW w:w="4343" w:type="dxa"/>
          </w:tcPr>
          <w:p w14:paraId="2030AA73" w14:textId="6FDA7301" w:rsidR="002D7446" w:rsidRPr="00625870" w:rsidRDefault="00D05A82">
            <w:pPr>
              <w:rPr>
                <w:rFonts w:ascii="Arial" w:hAnsi="Arial" w:cs="Arial"/>
                <w:sz w:val="24"/>
                <w:szCs w:val="24"/>
              </w:rPr>
            </w:pPr>
            <w:r>
              <w:rPr>
                <w:rFonts w:ascii="Arial" w:hAnsi="Arial" w:cs="Arial"/>
                <w:sz w:val="24"/>
                <w:szCs w:val="24"/>
              </w:rPr>
              <w:t xml:space="preserve">We have secured agreement </w:t>
            </w:r>
            <w:r w:rsidR="00071B6D">
              <w:rPr>
                <w:rFonts w:ascii="Arial" w:hAnsi="Arial" w:cs="Arial"/>
                <w:sz w:val="24"/>
                <w:szCs w:val="24"/>
              </w:rPr>
              <w:t xml:space="preserve">to raise </w:t>
            </w:r>
            <w:r w:rsidR="00180BF5">
              <w:rPr>
                <w:rFonts w:ascii="Arial" w:hAnsi="Arial" w:cs="Arial"/>
                <w:sz w:val="24"/>
                <w:szCs w:val="24"/>
              </w:rPr>
              <w:t xml:space="preserve">some </w:t>
            </w:r>
            <w:r w:rsidR="00F96892">
              <w:rPr>
                <w:rFonts w:ascii="Arial" w:hAnsi="Arial" w:cs="Arial"/>
                <w:sz w:val="24"/>
                <w:szCs w:val="24"/>
              </w:rPr>
              <w:t>O</w:t>
            </w:r>
            <w:r w:rsidR="00180BF5">
              <w:rPr>
                <w:rFonts w:ascii="Arial" w:hAnsi="Arial" w:cs="Arial"/>
                <w:sz w:val="24"/>
                <w:szCs w:val="24"/>
              </w:rPr>
              <w:t xml:space="preserve">fficial </w:t>
            </w:r>
            <w:r w:rsidR="00F96892">
              <w:rPr>
                <w:rFonts w:ascii="Arial" w:hAnsi="Arial" w:cs="Arial"/>
                <w:sz w:val="24"/>
                <w:szCs w:val="24"/>
              </w:rPr>
              <w:t>R</w:t>
            </w:r>
            <w:r w:rsidR="00180BF5">
              <w:rPr>
                <w:rFonts w:ascii="Arial" w:hAnsi="Arial" w:cs="Arial"/>
                <w:sz w:val="24"/>
                <w:szCs w:val="24"/>
              </w:rPr>
              <w:t>eceiver</w:t>
            </w:r>
            <w:r w:rsidR="00071B6D">
              <w:rPr>
                <w:rFonts w:ascii="Arial" w:hAnsi="Arial" w:cs="Arial"/>
                <w:sz w:val="24"/>
                <w:szCs w:val="24"/>
              </w:rPr>
              <w:t xml:space="preserve"> fees in line with inflation.</w:t>
            </w:r>
          </w:p>
        </w:tc>
      </w:tr>
      <w:tr w:rsidR="002D7446" w14:paraId="55FBBADE" w14:textId="77777777">
        <w:tc>
          <w:tcPr>
            <w:tcW w:w="3256" w:type="dxa"/>
          </w:tcPr>
          <w:p w14:paraId="7197CBBB" w14:textId="49421858" w:rsidR="002D7446" w:rsidRPr="00625870" w:rsidRDefault="00F000CF">
            <w:pPr>
              <w:rPr>
                <w:rFonts w:ascii="Arial" w:hAnsi="Arial" w:cs="Arial"/>
                <w:sz w:val="24"/>
                <w:szCs w:val="24"/>
              </w:rPr>
            </w:pPr>
            <w:r>
              <w:rPr>
                <w:rFonts w:ascii="Arial" w:hAnsi="Arial" w:cs="Arial"/>
                <w:sz w:val="24"/>
                <w:szCs w:val="24"/>
              </w:rPr>
              <w:t>Identify opportunities for further effici</w:t>
            </w:r>
            <w:r w:rsidR="00B650B0">
              <w:rPr>
                <w:rFonts w:ascii="Arial" w:hAnsi="Arial" w:cs="Arial"/>
                <w:sz w:val="24"/>
                <w:szCs w:val="24"/>
              </w:rPr>
              <w:t>ency savings and put in place plans to realise them.</w:t>
            </w:r>
          </w:p>
        </w:tc>
        <w:tc>
          <w:tcPr>
            <w:tcW w:w="1417" w:type="dxa"/>
          </w:tcPr>
          <w:p w14:paraId="676FA7E9" w14:textId="0261FD0B" w:rsidR="002D7446" w:rsidRPr="00625870" w:rsidRDefault="004C48C8">
            <w:pPr>
              <w:rPr>
                <w:rFonts w:ascii="Arial" w:hAnsi="Arial" w:cs="Arial"/>
                <w:sz w:val="24"/>
                <w:szCs w:val="24"/>
              </w:rPr>
            </w:pPr>
            <w:r>
              <w:rPr>
                <w:rFonts w:ascii="Arial" w:hAnsi="Arial" w:cs="Arial"/>
                <w:sz w:val="24"/>
                <w:szCs w:val="24"/>
              </w:rPr>
              <w:t>Achieved</w:t>
            </w:r>
          </w:p>
        </w:tc>
        <w:tc>
          <w:tcPr>
            <w:tcW w:w="4343" w:type="dxa"/>
          </w:tcPr>
          <w:p w14:paraId="418993E6" w14:textId="6057C065" w:rsidR="002D7446" w:rsidRPr="00625870" w:rsidRDefault="008C2467">
            <w:pPr>
              <w:rPr>
                <w:rFonts w:ascii="Arial" w:hAnsi="Arial" w:cs="Arial"/>
                <w:sz w:val="24"/>
                <w:szCs w:val="24"/>
              </w:rPr>
            </w:pPr>
            <w:r>
              <w:rPr>
                <w:rFonts w:ascii="Arial" w:hAnsi="Arial" w:cs="Arial"/>
                <w:sz w:val="24"/>
                <w:szCs w:val="24"/>
              </w:rPr>
              <w:t xml:space="preserve">Three </w:t>
            </w:r>
            <w:r w:rsidR="00EE0392">
              <w:rPr>
                <w:rFonts w:ascii="Arial" w:hAnsi="Arial" w:cs="Arial"/>
                <w:sz w:val="24"/>
                <w:szCs w:val="24"/>
              </w:rPr>
              <w:t xml:space="preserve">projects </w:t>
            </w:r>
            <w:r w:rsidR="001D4891">
              <w:rPr>
                <w:rFonts w:ascii="Arial" w:hAnsi="Arial" w:cs="Arial"/>
                <w:sz w:val="24"/>
                <w:szCs w:val="24"/>
              </w:rPr>
              <w:t xml:space="preserve">have successfully </w:t>
            </w:r>
            <w:r w:rsidR="005B66DF">
              <w:rPr>
                <w:rFonts w:ascii="Arial" w:hAnsi="Arial" w:cs="Arial"/>
                <w:sz w:val="24"/>
                <w:szCs w:val="24"/>
              </w:rPr>
              <w:t xml:space="preserve">identified </w:t>
            </w:r>
            <w:r w:rsidR="00326450">
              <w:rPr>
                <w:rFonts w:ascii="Arial" w:hAnsi="Arial" w:cs="Arial"/>
                <w:sz w:val="24"/>
                <w:szCs w:val="24"/>
              </w:rPr>
              <w:t>efficiency savings</w:t>
            </w:r>
            <w:r w:rsidR="002D4015">
              <w:rPr>
                <w:rFonts w:ascii="Arial" w:hAnsi="Arial" w:cs="Arial"/>
                <w:sz w:val="24"/>
                <w:szCs w:val="24"/>
              </w:rPr>
              <w:t xml:space="preserve"> with full details in the performance analysis below.</w:t>
            </w:r>
          </w:p>
        </w:tc>
      </w:tr>
      <w:tr w:rsidR="002D7446" w14:paraId="2BE23F68" w14:textId="77777777">
        <w:tc>
          <w:tcPr>
            <w:tcW w:w="3256" w:type="dxa"/>
          </w:tcPr>
          <w:p w14:paraId="353CA819" w14:textId="32B72733" w:rsidR="002D7446" w:rsidRPr="00625870" w:rsidRDefault="00E54F0D">
            <w:pPr>
              <w:rPr>
                <w:rFonts w:ascii="Arial" w:hAnsi="Arial" w:cs="Arial"/>
                <w:sz w:val="24"/>
                <w:szCs w:val="24"/>
              </w:rPr>
            </w:pPr>
            <w:r>
              <w:rPr>
                <w:rFonts w:ascii="Arial" w:hAnsi="Arial" w:cs="Arial"/>
                <w:sz w:val="24"/>
                <w:szCs w:val="24"/>
              </w:rPr>
              <w:t>Assess opportunities</w:t>
            </w:r>
            <w:r w:rsidR="00197ED2">
              <w:rPr>
                <w:rFonts w:ascii="Arial" w:hAnsi="Arial" w:cs="Arial"/>
                <w:sz w:val="24"/>
                <w:szCs w:val="24"/>
              </w:rPr>
              <w:t xml:space="preserve"> to access other funding sources to reduce our funding deficit.</w:t>
            </w:r>
          </w:p>
        </w:tc>
        <w:tc>
          <w:tcPr>
            <w:tcW w:w="1417" w:type="dxa"/>
          </w:tcPr>
          <w:p w14:paraId="73098B90" w14:textId="1A645765" w:rsidR="002D7446" w:rsidRPr="00625870" w:rsidRDefault="00197ED2">
            <w:pPr>
              <w:rPr>
                <w:rFonts w:ascii="Arial" w:hAnsi="Arial" w:cs="Arial"/>
                <w:sz w:val="24"/>
                <w:szCs w:val="24"/>
              </w:rPr>
            </w:pPr>
            <w:r>
              <w:rPr>
                <w:rFonts w:ascii="Arial" w:hAnsi="Arial" w:cs="Arial"/>
                <w:sz w:val="24"/>
                <w:szCs w:val="24"/>
              </w:rPr>
              <w:t>Achieved</w:t>
            </w:r>
          </w:p>
        </w:tc>
        <w:tc>
          <w:tcPr>
            <w:tcW w:w="4343" w:type="dxa"/>
          </w:tcPr>
          <w:p w14:paraId="503C1443" w14:textId="4F4A45B2" w:rsidR="002D7446" w:rsidRPr="00625870" w:rsidRDefault="00A20430">
            <w:pPr>
              <w:rPr>
                <w:rFonts w:ascii="Arial" w:hAnsi="Arial" w:cs="Arial"/>
                <w:sz w:val="24"/>
                <w:szCs w:val="24"/>
              </w:rPr>
            </w:pPr>
            <w:r>
              <w:rPr>
                <w:rFonts w:ascii="Arial" w:hAnsi="Arial" w:cs="Arial"/>
                <w:sz w:val="24"/>
                <w:szCs w:val="24"/>
              </w:rPr>
              <w:t>Our</w:t>
            </w:r>
            <w:r w:rsidR="00197ED2">
              <w:rPr>
                <w:rFonts w:ascii="Arial" w:hAnsi="Arial" w:cs="Arial"/>
                <w:sz w:val="24"/>
                <w:szCs w:val="24"/>
              </w:rPr>
              <w:t xml:space="preserve"> Companies House Fee business case received </w:t>
            </w:r>
            <w:r>
              <w:rPr>
                <w:rFonts w:ascii="Arial" w:hAnsi="Arial" w:cs="Arial"/>
                <w:sz w:val="24"/>
                <w:szCs w:val="24"/>
              </w:rPr>
              <w:t xml:space="preserve">approval from HM Treasury and the regulations for the new fees have been laid. </w:t>
            </w:r>
          </w:p>
        </w:tc>
      </w:tr>
      <w:tr w:rsidR="002D7446" w14:paraId="65A66AA4" w14:textId="77777777">
        <w:tc>
          <w:tcPr>
            <w:tcW w:w="3256" w:type="dxa"/>
          </w:tcPr>
          <w:p w14:paraId="21A7564B" w14:textId="462D4A07" w:rsidR="002D7446" w:rsidRPr="00625870" w:rsidRDefault="00354DAE">
            <w:pPr>
              <w:rPr>
                <w:rFonts w:ascii="Arial" w:hAnsi="Arial" w:cs="Arial"/>
                <w:sz w:val="24"/>
                <w:szCs w:val="24"/>
              </w:rPr>
            </w:pPr>
            <w:r>
              <w:rPr>
                <w:rFonts w:ascii="Arial" w:hAnsi="Arial" w:cs="Arial"/>
                <w:sz w:val="24"/>
                <w:szCs w:val="24"/>
              </w:rPr>
              <w:t>Implement a consistent process to manage and report operational and corporate efficiencies</w:t>
            </w:r>
            <w:r w:rsidR="00A958F0">
              <w:rPr>
                <w:rFonts w:ascii="Arial" w:hAnsi="Arial" w:cs="Arial"/>
                <w:sz w:val="24"/>
                <w:szCs w:val="24"/>
              </w:rPr>
              <w:t>.</w:t>
            </w:r>
          </w:p>
        </w:tc>
        <w:tc>
          <w:tcPr>
            <w:tcW w:w="1417" w:type="dxa"/>
          </w:tcPr>
          <w:p w14:paraId="2BA64919" w14:textId="4378B77E" w:rsidR="002D7446" w:rsidRPr="00625870" w:rsidRDefault="00A958F0">
            <w:pPr>
              <w:rPr>
                <w:rFonts w:ascii="Arial" w:hAnsi="Arial" w:cs="Arial"/>
                <w:sz w:val="24"/>
                <w:szCs w:val="24"/>
              </w:rPr>
            </w:pPr>
            <w:r>
              <w:rPr>
                <w:rFonts w:ascii="Arial" w:hAnsi="Arial" w:cs="Arial"/>
                <w:sz w:val="24"/>
                <w:szCs w:val="24"/>
              </w:rPr>
              <w:t>Achieved</w:t>
            </w:r>
          </w:p>
        </w:tc>
        <w:tc>
          <w:tcPr>
            <w:tcW w:w="4343" w:type="dxa"/>
          </w:tcPr>
          <w:p w14:paraId="254F135C" w14:textId="60F32A2C" w:rsidR="002D7446" w:rsidRPr="00625870" w:rsidRDefault="00173E62">
            <w:pPr>
              <w:rPr>
                <w:rFonts w:ascii="Arial" w:hAnsi="Arial" w:cs="Arial"/>
                <w:sz w:val="24"/>
                <w:szCs w:val="24"/>
              </w:rPr>
            </w:pPr>
            <w:r>
              <w:rPr>
                <w:rFonts w:ascii="Arial" w:hAnsi="Arial" w:cs="Arial"/>
                <w:sz w:val="24"/>
                <w:szCs w:val="24"/>
              </w:rPr>
              <w:t xml:space="preserve">We have implemented </w:t>
            </w:r>
            <w:r w:rsidR="002E03FB">
              <w:rPr>
                <w:rFonts w:ascii="Arial" w:hAnsi="Arial" w:cs="Arial"/>
                <w:sz w:val="24"/>
                <w:szCs w:val="24"/>
              </w:rPr>
              <w:t>new processes and procedures for reporting both project and business-led efficiencies</w:t>
            </w:r>
            <w:r w:rsidR="00260E37">
              <w:rPr>
                <w:rFonts w:ascii="Arial" w:hAnsi="Arial" w:cs="Arial"/>
                <w:sz w:val="24"/>
                <w:szCs w:val="24"/>
              </w:rPr>
              <w:t xml:space="preserve"> with outputs aligned to senior management </w:t>
            </w:r>
            <w:r w:rsidR="004C0A98">
              <w:rPr>
                <w:rFonts w:ascii="Arial" w:hAnsi="Arial" w:cs="Arial"/>
                <w:sz w:val="24"/>
                <w:szCs w:val="24"/>
              </w:rPr>
              <w:t xml:space="preserve">requirements and the new Government </w:t>
            </w:r>
            <w:r w:rsidR="006D1AC0">
              <w:rPr>
                <w:rFonts w:ascii="Arial" w:hAnsi="Arial" w:cs="Arial"/>
                <w:sz w:val="24"/>
                <w:szCs w:val="24"/>
              </w:rPr>
              <w:t>Efficiency Framework.</w:t>
            </w:r>
          </w:p>
        </w:tc>
      </w:tr>
    </w:tbl>
    <w:p w14:paraId="0A4CEE5E" w14:textId="77777777" w:rsidR="006B28B4" w:rsidRDefault="006B28B4">
      <w:r>
        <w:br w:type="page"/>
      </w:r>
    </w:p>
    <w:tbl>
      <w:tblPr>
        <w:tblStyle w:val="TableGrid"/>
        <w:tblW w:w="0" w:type="auto"/>
        <w:tblLook w:val="04A0" w:firstRow="1" w:lastRow="0" w:firstColumn="1" w:lastColumn="0" w:noHBand="0" w:noVBand="1"/>
      </w:tblPr>
      <w:tblGrid>
        <w:gridCol w:w="3256"/>
        <w:gridCol w:w="1417"/>
        <w:gridCol w:w="4343"/>
      </w:tblGrid>
      <w:tr w:rsidR="00033DC0" w14:paraId="0F3BF897" w14:textId="77777777">
        <w:tc>
          <w:tcPr>
            <w:tcW w:w="3256" w:type="dxa"/>
          </w:tcPr>
          <w:p w14:paraId="5C2E7F96" w14:textId="2269BB00" w:rsidR="00033DC0" w:rsidRDefault="00033DC0" w:rsidP="00033DC0">
            <w:pPr>
              <w:rPr>
                <w:rFonts w:ascii="Arial" w:hAnsi="Arial" w:cs="Arial"/>
                <w:sz w:val="24"/>
                <w:szCs w:val="24"/>
              </w:rPr>
            </w:pPr>
            <w:r>
              <w:rPr>
                <w:rFonts w:ascii="Arial" w:hAnsi="Arial" w:cs="Arial"/>
                <w:color w:val="4472C4" w:themeColor="accent1"/>
                <w:sz w:val="24"/>
                <w:szCs w:val="24"/>
              </w:rPr>
              <w:lastRenderedPageBreak/>
              <w:t>Objective</w:t>
            </w:r>
          </w:p>
        </w:tc>
        <w:tc>
          <w:tcPr>
            <w:tcW w:w="1417" w:type="dxa"/>
          </w:tcPr>
          <w:p w14:paraId="7EE1845D" w14:textId="4D37B9B4" w:rsidR="00033DC0" w:rsidRDefault="00033DC0" w:rsidP="00033DC0">
            <w:pPr>
              <w:rPr>
                <w:rFonts w:ascii="Arial" w:hAnsi="Arial" w:cs="Arial"/>
                <w:sz w:val="24"/>
                <w:szCs w:val="24"/>
              </w:rPr>
            </w:pPr>
            <w:r>
              <w:rPr>
                <w:rFonts w:ascii="Arial" w:hAnsi="Arial" w:cs="Arial"/>
                <w:color w:val="4472C4" w:themeColor="accent1"/>
                <w:sz w:val="24"/>
                <w:szCs w:val="24"/>
              </w:rPr>
              <w:t>Status</w:t>
            </w:r>
          </w:p>
        </w:tc>
        <w:tc>
          <w:tcPr>
            <w:tcW w:w="4343" w:type="dxa"/>
          </w:tcPr>
          <w:p w14:paraId="2C9FF30D" w14:textId="6DDC0BE6" w:rsidR="00033DC0" w:rsidRDefault="00033DC0" w:rsidP="00033DC0">
            <w:pPr>
              <w:rPr>
                <w:rFonts w:ascii="Arial" w:hAnsi="Arial" w:cs="Arial"/>
                <w:sz w:val="24"/>
                <w:szCs w:val="24"/>
              </w:rPr>
            </w:pPr>
            <w:r>
              <w:rPr>
                <w:rFonts w:ascii="Arial" w:hAnsi="Arial" w:cs="Arial"/>
                <w:color w:val="4472C4" w:themeColor="accent1"/>
                <w:sz w:val="24"/>
                <w:szCs w:val="24"/>
              </w:rPr>
              <w:t>Commentary</w:t>
            </w:r>
          </w:p>
        </w:tc>
      </w:tr>
      <w:tr w:rsidR="002D7446" w14:paraId="6A0ADE83" w14:textId="77777777">
        <w:tc>
          <w:tcPr>
            <w:tcW w:w="3256" w:type="dxa"/>
          </w:tcPr>
          <w:p w14:paraId="3C55F496" w14:textId="2985BA68" w:rsidR="002D7446" w:rsidRPr="00625870" w:rsidRDefault="00B14CCB">
            <w:pPr>
              <w:rPr>
                <w:rFonts w:ascii="Arial" w:hAnsi="Arial" w:cs="Arial"/>
                <w:sz w:val="24"/>
                <w:szCs w:val="24"/>
              </w:rPr>
            </w:pPr>
            <w:r>
              <w:rPr>
                <w:rFonts w:ascii="Arial" w:hAnsi="Arial" w:cs="Arial"/>
                <w:sz w:val="24"/>
                <w:szCs w:val="24"/>
              </w:rPr>
              <w:t xml:space="preserve">Reduce the </w:t>
            </w:r>
            <w:r w:rsidR="00FB0EE8">
              <w:rPr>
                <w:rFonts w:ascii="Arial" w:hAnsi="Arial" w:cs="Arial"/>
                <w:sz w:val="24"/>
                <w:szCs w:val="24"/>
              </w:rPr>
              <w:t xml:space="preserve">structural financial deficit in our Official Receiver Services by increasing income where appropriate and reducing costs, reducing the need </w:t>
            </w:r>
            <w:r w:rsidR="00673DF0">
              <w:rPr>
                <w:rFonts w:ascii="Arial" w:hAnsi="Arial" w:cs="Arial"/>
                <w:sz w:val="24"/>
                <w:szCs w:val="24"/>
              </w:rPr>
              <w:t xml:space="preserve">for operational funding </w:t>
            </w:r>
            <w:r w:rsidR="00FE224C">
              <w:rPr>
                <w:rFonts w:ascii="Arial" w:hAnsi="Arial" w:cs="Arial"/>
                <w:sz w:val="24"/>
                <w:szCs w:val="24"/>
              </w:rPr>
              <w:t>from DBT above an agreed baseline, reflecting normal operational activity levels.</w:t>
            </w:r>
          </w:p>
        </w:tc>
        <w:tc>
          <w:tcPr>
            <w:tcW w:w="1417" w:type="dxa"/>
          </w:tcPr>
          <w:p w14:paraId="4895049F" w14:textId="43583E4A" w:rsidR="002D7446" w:rsidRPr="00625870" w:rsidRDefault="00FE224C">
            <w:pPr>
              <w:rPr>
                <w:rFonts w:ascii="Arial" w:hAnsi="Arial" w:cs="Arial"/>
                <w:sz w:val="24"/>
                <w:szCs w:val="24"/>
              </w:rPr>
            </w:pPr>
            <w:r>
              <w:rPr>
                <w:rFonts w:ascii="Arial" w:hAnsi="Arial" w:cs="Arial"/>
                <w:sz w:val="24"/>
                <w:szCs w:val="24"/>
              </w:rPr>
              <w:t>In progress</w:t>
            </w:r>
          </w:p>
        </w:tc>
        <w:tc>
          <w:tcPr>
            <w:tcW w:w="4343" w:type="dxa"/>
          </w:tcPr>
          <w:p w14:paraId="63A91EAE" w14:textId="0D2F8E9C" w:rsidR="002D7446" w:rsidRPr="00625870" w:rsidRDefault="00EE2426">
            <w:pPr>
              <w:rPr>
                <w:rFonts w:ascii="Arial" w:hAnsi="Arial" w:cs="Arial"/>
                <w:sz w:val="24"/>
                <w:szCs w:val="24"/>
              </w:rPr>
            </w:pPr>
            <w:r>
              <w:rPr>
                <w:rFonts w:ascii="Arial" w:hAnsi="Arial" w:cs="Arial"/>
                <w:sz w:val="24"/>
                <w:szCs w:val="24"/>
              </w:rPr>
              <w:t>Activity to develop income and cost reduction measures are continuin</w:t>
            </w:r>
            <w:r w:rsidR="00D32CB7">
              <w:rPr>
                <w:rFonts w:ascii="Arial" w:hAnsi="Arial" w:cs="Arial"/>
                <w:sz w:val="24"/>
                <w:szCs w:val="24"/>
              </w:rPr>
              <w:t xml:space="preserve">g </w:t>
            </w:r>
            <w:r w:rsidR="005E18C5">
              <w:rPr>
                <w:rFonts w:ascii="Arial" w:hAnsi="Arial" w:cs="Arial"/>
                <w:sz w:val="24"/>
                <w:szCs w:val="24"/>
              </w:rPr>
              <w:t xml:space="preserve">and </w:t>
            </w:r>
            <w:r w:rsidR="00926BDB">
              <w:rPr>
                <w:rFonts w:ascii="Arial" w:hAnsi="Arial" w:cs="Arial"/>
                <w:sz w:val="24"/>
                <w:szCs w:val="24"/>
              </w:rPr>
              <w:t xml:space="preserve">we are working with DBT and HMT </w:t>
            </w:r>
            <w:r w:rsidR="002A23D7">
              <w:rPr>
                <w:rFonts w:ascii="Arial" w:hAnsi="Arial" w:cs="Arial"/>
                <w:sz w:val="24"/>
                <w:szCs w:val="24"/>
              </w:rPr>
              <w:t xml:space="preserve">to develop a range of financial model options for </w:t>
            </w:r>
            <w:r w:rsidR="00DF1E01">
              <w:rPr>
                <w:rFonts w:ascii="Arial" w:hAnsi="Arial" w:cs="Arial"/>
                <w:sz w:val="24"/>
                <w:szCs w:val="24"/>
              </w:rPr>
              <w:t>ORS that are sustainable</w:t>
            </w:r>
            <w:r w:rsidR="00A36C8F">
              <w:rPr>
                <w:rFonts w:ascii="Arial" w:hAnsi="Arial" w:cs="Arial"/>
                <w:sz w:val="24"/>
                <w:szCs w:val="24"/>
              </w:rPr>
              <w:t xml:space="preserve"> over the long-term.</w:t>
            </w:r>
          </w:p>
        </w:tc>
      </w:tr>
      <w:tr w:rsidR="002D7446" w14:paraId="24558EC5" w14:textId="77777777">
        <w:tc>
          <w:tcPr>
            <w:tcW w:w="3256" w:type="dxa"/>
          </w:tcPr>
          <w:p w14:paraId="3E07379C" w14:textId="276C197D" w:rsidR="002D7446" w:rsidRPr="00625870" w:rsidRDefault="00A36C8F">
            <w:pPr>
              <w:rPr>
                <w:rFonts w:ascii="Arial" w:hAnsi="Arial" w:cs="Arial"/>
                <w:sz w:val="24"/>
                <w:szCs w:val="24"/>
              </w:rPr>
            </w:pPr>
            <w:r>
              <w:rPr>
                <w:rFonts w:ascii="Arial" w:hAnsi="Arial" w:cs="Arial"/>
                <w:sz w:val="24"/>
                <w:szCs w:val="24"/>
              </w:rPr>
              <w:t xml:space="preserve">Assess opportunities to introduce commercial models to flexibly manage surges </w:t>
            </w:r>
            <w:r w:rsidR="00694E44">
              <w:rPr>
                <w:rFonts w:ascii="Arial" w:hAnsi="Arial" w:cs="Arial"/>
                <w:sz w:val="24"/>
                <w:szCs w:val="24"/>
              </w:rPr>
              <w:t>in demand for our services.</w:t>
            </w:r>
          </w:p>
        </w:tc>
        <w:tc>
          <w:tcPr>
            <w:tcW w:w="1417" w:type="dxa"/>
          </w:tcPr>
          <w:p w14:paraId="35ED245A" w14:textId="45B44FEE" w:rsidR="002D7446" w:rsidRPr="00625870" w:rsidRDefault="00694E44">
            <w:pPr>
              <w:rPr>
                <w:rFonts w:ascii="Arial" w:hAnsi="Arial" w:cs="Arial"/>
                <w:sz w:val="24"/>
                <w:szCs w:val="24"/>
              </w:rPr>
            </w:pPr>
            <w:r>
              <w:rPr>
                <w:rFonts w:ascii="Arial" w:hAnsi="Arial" w:cs="Arial"/>
                <w:sz w:val="24"/>
                <w:szCs w:val="24"/>
              </w:rPr>
              <w:t>Achieved</w:t>
            </w:r>
          </w:p>
        </w:tc>
        <w:tc>
          <w:tcPr>
            <w:tcW w:w="4343" w:type="dxa"/>
          </w:tcPr>
          <w:p w14:paraId="659871E0" w14:textId="2A67E125" w:rsidR="002D7446" w:rsidRPr="00625870" w:rsidRDefault="00CA1278">
            <w:pPr>
              <w:rPr>
                <w:rFonts w:ascii="Arial" w:hAnsi="Arial" w:cs="Arial"/>
                <w:sz w:val="24"/>
                <w:szCs w:val="24"/>
              </w:rPr>
            </w:pPr>
            <w:r>
              <w:rPr>
                <w:rFonts w:ascii="Arial" w:hAnsi="Arial" w:cs="Arial"/>
                <w:sz w:val="24"/>
                <w:szCs w:val="24"/>
              </w:rPr>
              <w:t xml:space="preserve">As previously </w:t>
            </w:r>
            <w:r w:rsidR="0021094F">
              <w:rPr>
                <w:rFonts w:ascii="Arial" w:hAnsi="Arial" w:cs="Arial"/>
                <w:sz w:val="24"/>
                <w:szCs w:val="24"/>
              </w:rPr>
              <w:t>noted,</w:t>
            </w:r>
            <w:r>
              <w:rPr>
                <w:rFonts w:ascii="Arial" w:hAnsi="Arial" w:cs="Arial"/>
                <w:sz w:val="24"/>
                <w:szCs w:val="24"/>
              </w:rPr>
              <w:t xml:space="preserve"> long term case volume forecasts </w:t>
            </w:r>
            <w:r w:rsidR="0021094F">
              <w:rPr>
                <w:rFonts w:ascii="Arial" w:hAnsi="Arial" w:cs="Arial"/>
                <w:sz w:val="24"/>
                <w:szCs w:val="24"/>
              </w:rPr>
              <w:t xml:space="preserve">remain more than 30% lower than pre-pandemic levels. In response </w:t>
            </w:r>
            <w:r w:rsidR="002F2F62">
              <w:rPr>
                <w:rFonts w:ascii="Arial" w:hAnsi="Arial" w:cs="Arial"/>
                <w:sz w:val="24"/>
                <w:szCs w:val="24"/>
              </w:rPr>
              <w:t>to the reducing risk of a surge in demand the Intelligent Resourcing workstream</w:t>
            </w:r>
            <w:r w:rsidR="00D40C93">
              <w:rPr>
                <w:rFonts w:ascii="Arial" w:hAnsi="Arial" w:cs="Arial"/>
                <w:sz w:val="24"/>
                <w:szCs w:val="24"/>
              </w:rPr>
              <w:t xml:space="preserve"> has been removed from </w:t>
            </w:r>
            <w:r w:rsidR="0038375D">
              <w:rPr>
                <w:rFonts w:ascii="Arial" w:hAnsi="Arial" w:cs="Arial"/>
                <w:sz w:val="24"/>
                <w:szCs w:val="24"/>
              </w:rPr>
              <w:t>the Financial Sustainability project and returned to ORS business as usual activity.</w:t>
            </w:r>
            <w:r w:rsidR="00140F5E">
              <w:rPr>
                <w:rFonts w:ascii="Arial" w:hAnsi="Arial" w:cs="Arial"/>
                <w:sz w:val="24"/>
                <w:szCs w:val="24"/>
              </w:rPr>
              <w:t xml:space="preserve"> This will be kept under review.</w:t>
            </w:r>
          </w:p>
        </w:tc>
      </w:tr>
    </w:tbl>
    <w:p w14:paraId="6543F721" w14:textId="77777777" w:rsidR="00B416E8" w:rsidRDefault="00B416E8" w:rsidP="00EC36DB">
      <w:pPr>
        <w:rPr>
          <w:rFonts w:ascii="Arial" w:hAnsi="Arial" w:cs="Arial"/>
          <w:b/>
          <w:bCs/>
          <w:color w:val="4472C4" w:themeColor="accent1"/>
          <w:sz w:val="24"/>
          <w:szCs w:val="24"/>
        </w:rPr>
      </w:pPr>
    </w:p>
    <w:p w14:paraId="368DD582" w14:textId="77777777" w:rsidR="005C33DA" w:rsidRDefault="005C33DA" w:rsidP="004919D3">
      <w:pPr>
        <w:pStyle w:val="Heading4"/>
        <w:rPr>
          <w:rFonts w:cs="Arial"/>
          <w:b w:val="0"/>
          <w:sz w:val="24"/>
          <w:szCs w:val="24"/>
        </w:rPr>
      </w:pPr>
      <w:r>
        <w:t>How we performed</w:t>
      </w:r>
    </w:p>
    <w:tbl>
      <w:tblPr>
        <w:tblStyle w:val="TableGrid"/>
        <w:tblW w:w="0" w:type="auto"/>
        <w:tblLook w:val="04A0" w:firstRow="1" w:lastRow="0" w:firstColumn="1" w:lastColumn="0" w:noHBand="0" w:noVBand="1"/>
      </w:tblPr>
      <w:tblGrid>
        <w:gridCol w:w="4957"/>
        <w:gridCol w:w="1353"/>
        <w:gridCol w:w="1353"/>
        <w:gridCol w:w="1353"/>
      </w:tblGrid>
      <w:tr w:rsidR="005C33DA" w14:paraId="37E1692B" w14:textId="77777777">
        <w:tc>
          <w:tcPr>
            <w:tcW w:w="9016" w:type="dxa"/>
            <w:gridSpan w:val="4"/>
            <w:shd w:val="clear" w:color="auto" w:fill="5B9BD5" w:themeFill="accent5"/>
          </w:tcPr>
          <w:p w14:paraId="7A44AE58" w14:textId="77777777" w:rsidR="005C33DA" w:rsidRPr="00904E2D" w:rsidRDefault="005C33DA">
            <w:pPr>
              <w:rPr>
                <w:rFonts w:ascii="Arial" w:hAnsi="Arial" w:cs="Arial"/>
                <w:b/>
                <w:bCs/>
                <w:sz w:val="24"/>
                <w:szCs w:val="24"/>
              </w:rPr>
            </w:pPr>
            <w:r>
              <w:rPr>
                <w:rFonts w:ascii="Arial" w:hAnsi="Arial" w:cs="Arial"/>
                <w:b/>
                <w:bCs/>
                <w:color w:val="FFFFFF" w:themeColor="background1"/>
                <w:sz w:val="24"/>
                <w:szCs w:val="24"/>
              </w:rPr>
              <w:t>Performance measures</w:t>
            </w:r>
          </w:p>
        </w:tc>
      </w:tr>
      <w:tr w:rsidR="005C33DA" w14:paraId="1496073D" w14:textId="77777777">
        <w:tc>
          <w:tcPr>
            <w:tcW w:w="4957" w:type="dxa"/>
          </w:tcPr>
          <w:p w14:paraId="5D8C728E" w14:textId="77777777" w:rsidR="005C33DA" w:rsidRDefault="005C33DA">
            <w:pPr>
              <w:rPr>
                <w:rFonts w:ascii="Arial" w:hAnsi="Arial" w:cs="Arial"/>
                <w:sz w:val="24"/>
                <w:szCs w:val="24"/>
              </w:rPr>
            </w:pPr>
          </w:p>
        </w:tc>
        <w:tc>
          <w:tcPr>
            <w:tcW w:w="1353" w:type="dxa"/>
          </w:tcPr>
          <w:p w14:paraId="7013ACEA" w14:textId="77777777" w:rsidR="005C33DA" w:rsidRPr="00F01C1E" w:rsidRDefault="005C33DA">
            <w:pPr>
              <w:jc w:val="center"/>
              <w:rPr>
                <w:rFonts w:ascii="Arial" w:hAnsi="Arial" w:cs="Arial"/>
                <w:b/>
                <w:bCs/>
                <w:sz w:val="24"/>
                <w:szCs w:val="24"/>
              </w:rPr>
            </w:pPr>
            <w:r w:rsidRPr="00F01C1E">
              <w:rPr>
                <w:rFonts w:ascii="Arial" w:hAnsi="Arial" w:cs="Arial"/>
                <w:b/>
                <w:bCs/>
                <w:sz w:val="24"/>
                <w:szCs w:val="24"/>
              </w:rPr>
              <w:t>2023-24</w:t>
            </w:r>
          </w:p>
        </w:tc>
        <w:tc>
          <w:tcPr>
            <w:tcW w:w="1353" w:type="dxa"/>
          </w:tcPr>
          <w:p w14:paraId="3DDD8C76" w14:textId="77777777" w:rsidR="005C33DA" w:rsidRPr="00F01C1E" w:rsidRDefault="005C33DA">
            <w:pPr>
              <w:jc w:val="center"/>
              <w:rPr>
                <w:rFonts w:ascii="Arial" w:hAnsi="Arial" w:cs="Arial"/>
                <w:b/>
                <w:bCs/>
                <w:sz w:val="24"/>
                <w:szCs w:val="24"/>
              </w:rPr>
            </w:pPr>
            <w:r w:rsidRPr="00F01C1E">
              <w:rPr>
                <w:rFonts w:ascii="Arial" w:hAnsi="Arial" w:cs="Arial"/>
                <w:b/>
                <w:bCs/>
                <w:sz w:val="24"/>
                <w:szCs w:val="24"/>
              </w:rPr>
              <w:t>2022-23</w:t>
            </w:r>
          </w:p>
        </w:tc>
        <w:tc>
          <w:tcPr>
            <w:tcW w:w="1353" w:type="dxa"/>
          </w:tcPr>
          <w:p w14:paraId="776263A7" w14:textId="77777777" w:rsidR="005C33DA" w:rsidRPr="00F01C1E" w:rsidRDefault="005C33DA">
            <w:pPr>
              <w:jc w:val="center"/>
              <w:rPr>
                <w:rFonts w:ascii="Arial" w:hAnsi="Arial" w:cs="Arial"/>
                <w:b/>
                <w:bCs/>
                <w:sz w:val="24"/>
                <w:szCs w:val="24"/>
              </w:rPr>
            </w:pPr>
            <w:r w:rsidRPr="00F01C1E">
              <w:rPr>
                <w:rFonts w:ascii="Arial" w:hAnsi="Arial" w:cs="Arial"/>
                <w:b/>
                <w:bCs/>
                <w:sz w:val="24"/>
                <w:szCs w:val="24"/>
              </w:rPr>
              <w:t>2021-22</w:t>
            </w:r>
          </w:p>
        </w:tc>
      </w:tr>
      <w:tr w:rsidR="005C33DA" w14:paraId="19286BC3" w14:textId="77777777">
        <w:tc>
          <w:tcPr>
            <w:tcW w:w="4957" w:type="dxa"/>
          </w:tcPr>
          <w:p w14:paraId="5AA07584" w14:textId="133CEC3F" w:rsidR="005C33DA" w:rsidRDefault="006A5F93">
            <w:pPr>
              <w:rPr>
                <w:rFonts w:ascii="Arial" w:hAnsi="Arial" w:cs="Arial"/>
                <w:sz w:val="24"/>
                <w:szCs w:val="24"/>
              </w:rPr>
            </w:pPr>
            <w:r>
              <w:rPr>
                <w:rFonts w:ascii="Arial" w:hAnsi="Arial" w:cs="Arial"/>
                <w:sz w:val="24"/>
                <w:szCs w:val="24"/>
              </w:rPr>
              <w:t>Pay 80% of supplier invoices within 5 calendar days</w:t>
            </w:r>
          </w:p>
        </w:tc>
        <w:tc>
          <w:tcPr>
            <w:tcW w:w="1353" w:type="dxa"/>
            <w:vAlign w:val="center"/>
          </w:tcPr>
          <w:p w14:paraId="58C9384C" w14:textId="7E2FA943" w:rsidR="005C33DA" w:rsidRDefault="006A5F93">
            <w:pPr>
              <w:jc w:val="center"/>
              <w:rPr>
                <w:rFonts w:ascii="Arial" w:hAnsi="Arial" w:cs="Arial"/>
                <w:sz w:val="24"/>
                <w:szCs w:val="24"/>
              </w:rPr>
            </w:pPr>
            <w:r>
              <w:rPr>
                <w:rFonts w:ascii="Arial" w:hAnsi="Arial" w:cs="Arial"/>
                <w:sz w:val="24"/>
                <w:szCs w:val="24"/>
              </w:rPr>
              <w:t>98%</w:t>
            </w:r>
          </w:p>
        </w:tc>
        <w:tc>
          <w:tcPr>
            <w:tcW w:w="1353" w:type="dxa"/>
            <w:vAlign w:val="center"/>
          </w:tcPr>
          <w:p w14:paraId="3A81924D" w14:textId="7DB85326" w:rsidR="005C33DA" w:rsidRDefault="006A5F93">
            <w:pPr>
              <w:jc w:val="center"/>
              <w:rPr>
                <w:rFonts w:ascii="Arial" w:hAnsi="Arial" w:cs="Arial"/>
                <w:sz w:val="24"/>
                <w:szCs w:val="24"/>
              </w:rPr>
            </w:pPr>
            <w:r>
              <w:rPr>
                <w:rFonts w:ascii="Arial" w:hAnsi="Arial" w:cs="Arial"/>
                <w:sz w:val="24"/>
                <w:szCs w:val="24"/>
              </w:rPr>
              <w:t>97%</w:t>
            </w:r>
          </w:p>
        </w:tc>
        <w:tc>
          <w:tcPr>
            <w:tcW w:w="1353" w:type="dxa"/>
            <w:vAlign w:val="center"/>
          </w:tcPr>
          <w:p w14:paraId="17D673E2" w14:textId="504544AF" w:rsidR="005C33DA" w:rsidRDefault="006A5F93">
            <w:pPr>
              <w:jc w:val="center"/>
              <w:rPr>
                <w:rFonts w:ascii="Arial" w:hAnsi="Arial" w:cs="Arial"/>
                <w:sz w:val="24"/>
                <w:szCs w:val="24"/>
              </w:rPr>
            </w:pPr>
            <w:r>
              <w:rPr>
                <w:rFonts w:ascii="Arial" w:hAnsi="Arial" w:cs="Arial"/>
                <w:sz w:val="24"/>
                <w:szCs w:val="24"/>
              </w:rPr>
              <w:t>96%</w:t>
            </w:r>
          </w:p>
        </w:tc>
      </w:tr>
      <w:tr w:rsidR="005C33DA" w14:paraId="0449BBB2" w14:textId="77777777">
        <w:tc>
          <w:tcPr>
            <w:tcW w:w="4957" w:type="dxa"/>
          </w:tcPr>
          <w:p w14:paraId="3BB3392B" w14:textId="7DBF7187" w:rsidR="005C33DA" w:rsidRDefault="006A5F93">
            <w:pPr>
              <w:rPr>
                <w:rFonts w:ascii="Arial" w:hAnsi="Arial" w:cs="Arial"/>
                <w:sz w:val="24"/>
                <w:szCs w:val="24"/>
              </w:rPr>
            </w:pPr>
            <w:r>
              <w:rPr>
                <w:rFonts w:ascii="Arial" w:hAnsi="Arial" w:cs="Arial"/>
                <w:sz w:val="24"/>
                <w:szCs w:val="24"/>
              </w:rPr>
              <w:t>Pay 100% of supplier invoices within 30 working days</w:t>
            </w:r>
          </w:p>
        </w:tc>
        <w:tc>
          <w:tcPr>
            <w:tcW w:w="1353" w:type="dxa"/>
            <w:vAlign w:val="center"/>
          </w:tcPr>
          <w:p w14:paraId="65A5058E" w14:textId="0BEAF854" w:rsidR="005C33DA" w:rsidRDefault="005454F7">
            <w:pPr>
              <w:jc w:val="center"/>
              <w:rPr>
                <w:rFonts w:ascii="Arial" w:hAnsi="Arial" w:cs="Arial"/>
                <w:sz w:val="24"/>
                <w:szCs w:val="24"/>
              </w:rPr>
            </w:pPr>
            <w:r>
              <w:rPr>
                <w:rFonts w:ascii="Arial" w:hAnsi="Arial" w:cs="Arial"/>
                <w:sz w:val="24"/>
                <w:szCs w:val="24"/>
              </w:rPr>
              <w:t>100%</w:t>
            </w:r>
          </w:p>
        </w:tc>
        <w:tc>
          <w:tcPr>
            <w:tcW w:w="1353" w:type="dxa"/>
            <w:vAlign w:val="center"/>
          </w:tcPr>
          <w:p w14:paraId="06D2F7C0" w14:textId="66F7570E" w:rsidR="005C33DA" w:rsidRDefault="005454F7">
            <w:pPr>
              <w:jc w:val="center"/>
              <w:rPr>
                <w:rFonts w:ascii="Arial" w:hAnsi="Arial" w:cs="Arial"/>
                <w:sz w:val="24"/>
                <w:szCs w:val="24"/>
              </w:rPr>
            </w:pPr>
            <w:r>
              <w:rPr>
                <w:rFonts w:ascii="Arial" w:hAnsi="Arial" w:cs="Arial"/>
                <w:sz w:val="24"/>
                <w:szCs w:val="24"/>
              </w:rPr>
              <w:t>99%</w:t>
            </w:r>
          </w:p>
        </w:tc>
        <w:tc>
          <w:tcPr>
            <w:tcW w:w="1353" w:type="dxa"/>
            <w:vAlign w:val="center"/>
          </w:tcPr>
          <w:p w14:paraId="66772816" w14:textId="0C420B5A" w:rsidR="005C33DA" w:rsidRDefault="005454F7">
            <w:pPr>
              <w:jc w:val="center"/>
              <w:rPr>
                <w:rFonts w:ascii="Arial" w:hAnsi="Arial" w:cs="Arial"/>
                <w:sz w:val="24"/>
                <w:szCs w:val="24"/>
              </w:rPr>
            </w:pPr>
            <w:r>
              <w:rPr>
                <w:rFonts w:ascii="Arial" w:hAnsi="Arial" w:cs="Arial"/>
                <w:sz w:val="24"/>
                <w:szCs w:val="24"/>
              </w:rPr>
              <w:t>100%</w:t>
            </w:r>
          </w:p>
        </w:tc>
      </w:tr>
    </w:tbl>
    <w:p w14:paraId="2188E4A9" w14:textId="77777777" w:rsidR="00140F5E" w:rsidRDefault="00140F5E" w:rsidP="00EC36DB">
      <w:pPr>
        <w:rPr>
          <w:rFonts w:ascii="Arial" w:hAnsi="Arial" w:cs="Arial"/>
          <w:b/>
          <w:bCs/>
          <w:color w:val="4472C4" w:themeColor="accent1"/>
          <w:sz w:val="24"/>
          <w:szCs w:val="24"/>
        </w:rPr>
      </w:pPr>
    </w:p>
    <w:p w14:paraId="725177DE" w14:textId="735D700C" w:rsidR="00264769" w:rsidRDefault="00264769" w:rsidP="004919D3">
      <w:pPr>
        <w:pStyle w:val="Heading4"/>
        <w:rPr>
          <w:rFonts w:cs="Arial"/>
          <w:color w:val="4472C4" w:themeColor="accent1"/>
          <w:sz w:val="24"/>
          <w:szCs w:val="24"/>
        </w:rPr>
      </w:pPr>
      <w:r>
        <w:t>Performance analysis</w:t>
      </w:r>
    </w:p>
    <w:p w14:paraId="40A10007" w14:textId="7E9AF6B7" w:rsidR="00264769" w:rsidRDefault="00264769" w:rsidP="004919D3">
      <w:pPr>
        <w:pStyle w:val="Heading4"/>
        <w:rPr>
          <w:rFonts w:cs="Arial"/>
          <w:b w:val="0"/>
          <w:sz w:val="24"/>
          <w:szCs w:val="24"/>
        </w:rPr>
      </w:pPr>
      <w:r>
        <w:t xml:space="preserve">Improved </w:t>
      </w:r>
      <w:r w:rsidR="00EE1CFC">
        <w:rPr>
          <w:rFonts w:cs="Arial"/>
          <w:sz w:val="24"/>
          <w:szCs w:val="24"/>
        </w:rPr>
        <w:t>financial sustainability</w:t>
      </w:r>
    </w:p>
    <w:p w14:paraId="7A8823DD" w14:textId="79EDA12D" w:rsidR="00EE1CFC" w:rsidRDefault="00EE1CFC" w:rsidP="00EC36DB">
      <w:pPr>
        <w:rPr>
          <w:rFonts w:ascii="Arial" w:hAnsi="Arial" w:cs="Arial"/>
          <w:sz w:val="24"/>
          <w:szCs w:val="24"/>
        </w:rPr>
      </w:pPr>
      <w:r>
        <w:rPr>
          <w:rFonts w:ascii="Arial" w:hAnsi="Arial" w:cs="Arial"/>
          <w:sz w:val="24"/>
          <w:szCs w:val="24"/>
        </w:rPr>
        <w:t xml:space="preserve">The new operational processes </w:t>
      </w:r>
      <w:r w:rsidR="00261429">
        <w:rPr>
          <w:rFonts w:ascii="Arial" w:hAnsi="Arial" w:cs="Arial"/>
          <w:sz w:val="24"/>
          <w:szCs w:val="24"/>
        </w:rPr>
        <w:t>implemented in our Official Receiver Services</w:t>
      </w:r>
      <w:r w:rsidR="007B345F">
        <w:rPr>
          <w:rFonts w:ascii="Arial" w:hAnsi="Arial" w:cs="Arial"/>
          <w:sz w:val="24"/>
          <w:szCs w:val="24"/>
        </w:rPr>
        <w:t xml:space="preserve"> in early 2023 delivered annual savings in 2023-24 of £0.</w:t>
      </w:r>
      <w:r w:rsidR="28129301" w:rsidRPr="7EA44FB4">
        <w:rPr>
          <w:rFonts w:ascii="Arial" w:hAnsi="Arial" w:cs="Arial"/>
          <w:sz w:val="24"/>
          <w:szCs w:val="24"/>
        </w:rPr>
        <w:t>3</w:t>
      </w:r>
      <w:r w:rsidR="442E0C2B" w:rsidRPr="7EA44FB4">
        <w:rPr>
          <w:rFonts w:ascii="Arial" w:hAnsi="Arial" w:cs="Arial"/>
          <w:sz w:val="24"/>
          <w:szCs w:val="24"/>
        </w:rPr>
        <w:t>m</w:t>
      </w:r>
      <w:r w:rsidR="007B345F">
        <w:rPr>
          <w:rFonts w:ascii="Arial" w:hAnsi="Arial" w:cs="Arial"/>
          <w:sz w:val="24"/>
          <w:szCs w:val="24"/>
        </w:rPr>
        <w:t xml:space="preserve"> and the increase in deposi</w:t>
      </w:r>
      <w:r w:rsidR="00024EAF">
        <w:rPr>
          <w:rFonts w:ascii="Arial" w:hAnsi="Arial" w:cs="Arial"/>
          <w:sz w:val="24"/>
          <w:szCs w:val="24"/>
        </w:rPr>
        <w:t>ts provided £2.6m in increased income. In the last quarter of 2023-24</w:t>
      </w:r>
      <w:r w:rsidR="003662B1">
        <w:rPr>
          <w:rFonts w:ascii="Arial" w:hAnsi="Arial" w:cs="Arial"/>
          <w:sz w:val="24"/>
          <w:szCs w:val="24"/>
        </w:rPr>
        <w:t>, we secured agreement to raise ORS fees in line with inflation which is fo</w:t>
      </w:r>
      <w:r w:rsidR="008E07BE">
        <w:rPr>
          <w:rFonts w:ascii="Arial" w:hAnsi="Arial" w:cs="Arial"/>
          <w:sz w:val="24"/>
          <w:szCs w:val="24"/>
        </w:rPr>
        <w:t>r</w:t>
      </w:r>
      <w:r w:rsidR="003662B1">
        <w:rPr>
          <w:rFonts w:ascii="Arial" w:hAnsi="Arial" w:cs="Arial"/>
          <w:sz w:val="24"/>
          <w:szCs w:val="24"/>
        </w:rPr>
        <w:t xml:space="preserve">ecast to bring additional </w:t>
      </w:r>
      <w:r w:rsidR="008E07BE">
        <w:rPr>
          <w:rFonts w:ascii="Arial" w:hAnsi="Arial" w:cs="Arial"/>
          <w:sz w:val="24"/>
          <w:szCs w:val="24"/>
        </w:rPr>
        <w:t>income of £4.</w:t>
      </w:r>
      <w:r w:rsidR="27F68DBC" w:rsidRPr="7EA44FB4">
        <w:rPr>
          <w:rFonts w:ascii="Arial" w:hAnsi="Arial" w:cs="Arial"/>
          <w:sz w:val="24"/>
          <w:szCs w:val="24"/>
        </w:rPr>
        <w:t>7</w:t>
      </w:r>
      <w:r w:rsidR="6AD59D11" w:rsidRPr="7EA44FB4">
        <w:rPr>
          <w:rFonts w:ascii="Arial" w:hAnsi="Arial" w:cs="Arial"/>
          <w:sz w:val="24"/>
          <w:szCs w:val="24"/>
        </w:rPr>
        <w:t>m</w:t>
      </w:r>
      <w:r w:rsidR="008E07BE">
        <w:rPr>
          <w:rFonts w:ascii="Arial" w:hAnsi="Arial" w:cs="Arial"/>
          <w:sz w:val="24"/>
          <w:szCs w:val="24"/>
        </w:rPr>
        <w:t xml:space="preserve"> pa from 2025-26.</w:t>
      </w:r>
      <w:r w:rsidR="00A2109F">
        <w:rPr>
          <w:rFonts w:ascii="Arial" w:hAnsi="Arial" w:cs="Arial"/>
          <w:sz w:val="24"/>
          <w:szCs w:val="24"/>
        </w:rPr>
        <w:t xml:space="preserve"> </w:t>
      </w:r>
      <w:r w:rsidR="00CA6162">
        <w:rPr>
          <w:rFonts w:ascii="Arial" w:hAnsi="Arial" w:cs="Arial"/>
          <w:sz w:val="24"/>
          <w:szCs w:val="24"/>
        </w:rPr>
        <w:t xml:space="preserve">The introduction of our new case management </w:t>
      </w:r>
      <w:r w:rsidR="00823B9A">
        <w:rPr>
          <w:rFonts w:ascii="Arial" w:hAnsi="Arial" w:cs="Arial"/>
          <w:sz w:val="24"/>
          <w:szCs w:val="24"/>
        </w:rPr>
        <w:t xml:space="preserve">system, INSSight, will generate further operating efficiencies </w:t>
      </w:r>
      <w:r w:rsidR="00A2109F">
        <w:rPr>
          <w:rFonts w:ascii="Arial" w:hAnsi="Arial" w:cs="Arial"/>
          <w:sz w:val="24"/>
          <w:szCs w:val="24"/>
        </w:rPr>
        <w:t>which we expect to amount to costs savings of £</w:t>
      </w:r>
      <w:r w:rsidR="00BB6FA6" w:rsidRPr="7EA44FB4">
        <w:rPr>
          <w:rFonts w:ascii="Arial" w:hAnsi="Arial" w:cs="Arial"/>
          <w:sz w:val="24"/>
          <w:szCs w:val="24"/>
        </w:rPr>
        <w:t>2.6</w:t>
      </w:r>
      <w:r w:rsidR="7C0FAC3E" w:rsidRPr="7EA44FB4">
        <w:rPr>
          <w:rFonts w:ascii="Arial" w:hAnsi="Arial" w:cs="Arial"/>
          <w:sz w:val="24"/>
          <w:szCs w:val="24"/>
        </w:rPr>
        <w:t>m</w:t>
      </w:r>
      <w:r w:rsidR="00A2109F">
        <w:rPr>
          <w:rFonts w:ascii="Arial" w:hAnsi="Arial" w:cs="Arial"/>
          <w:sz w:val="24"/>
          <w:szCs w:val="24"/>
        </w:rPr>
        <w:t xml:space="preserve"> pa from 2025-26. Whilst</w:t>
      </w:r>
      <w:r w:rsidR="00BC768D">
        <w:rPr>
          <w:rFonts w:ascii="Arial" w:hAnsi="Arial" w:cs="Arial"/>
          <w:sz w:val="24"/>
          <w:szCs w:val="24"/>
        </w:rPr>
        <w:t xml:space="preserve"> our essential </w:t>
      </w:r>
      <w:r w:rsidR="00A5048D">
        <w:rPr>
          <w:rFonts w:ascii="Arial" w:hAnsi="Arial" w:cs="Arial"/>
          <w:sz w:val="24"/>
          <w:szCs w:val="24"/>
        </w:rPr>
        <w:t xml:space="preserve">corporate services remain subject to </w:t>
      </w:r>
      <w:r w:rsidR="003E29B1">
        <w:rPr>
          <w:rFonts w:ascii="Arial" w:hAnsi="Arial" w:cs="Arial"/>
          <w:sz w:val="24"/>
          <w:szCs w:val="24"/>
        </w:rPr>
        <w:t>higher-than-normal</w:t>
      </w:r>
      <w:r w:rsidR="00A5048D">
        <w:rPr>
          <w:rFonts w:ascii="Arial" w:hAnsi="Arial" w:cs="Arial"/>
          <w:sz w:val="24"/>
          <w:szCs w:val="24"/>
        </w:rPr>
        <w:t xml:space="preserve"> inflationary increases</w:t>
      </w:r>
      <w:r w:rsidR="00B67C36">
        <w:rPr>
          <w:rFonts w:ascii="Arial" w:hAnsi="Arial" w:cs="Arial"/>
          <w:sz w:val="24"/>
          <w:szCs w:val="24"/>
        </w:rPr>
        <w:t>, we have worked hard to reduce the extent by which indirect cost budgets will need to rise.</w:t>
      </w:r>
    </w:p>
    <w:p w14:paraId="03791A7C" w14:textId="77777777" w:rsidR="00CA6371" w:rsidRDefault="00CA6371">
      <w:pPr>
        <w:rPr>
          <w:rFonts w:ascii="Arial" w:hAnsi="Arial" w:cs="Arial"/>
          <w:sz w:val="24"/>
          <w:szCs w:val="24"/>
        </w:rPr>
      </w:pPr>
      <w:r>
        <w:rPr>
          <w:rFonts w:ascii="Arial" w:hAnsi="Arial" w:cs="Arial"/>
          <w:sz w:val="24"/>
          <w:szCs w:val="24"/>
        </w:rPr>
        <w:br w:type="page"/>
      </w:r>
    </w:p>
    <w:p w14:paraId="252164B6" w14:textId="479B6B42" w:rsidR="003E29B1" w:rsidRDefault="00D2056D" w:rsidP="00EC36DB">
      <w:pPr>
        <w:rPr>
          <w:rFonts w:ascii="Arial" w:hAnsi="Arial" w:cs="Arial"/>
          <w:sz w:val="24"/>
          <w:szCs w:val="24"/>
        </w:rPr>
      </w:pPr>
      <w:r>
        <w:rPr>
          <w:rFonts w:ascii="Arial" w:hAnsi="Arial" w:cs="Arial"/>
          <w:sz w:val="24"/>
          <w:szCs w:val="24"/>
        </w:rPr>
        <w:lastRenderedPageBreak/>
        <w:t>Our</w:t>
      </w:r>
      <w:r w:rsidR="003E29B1">
        <w:rPr>
          <w:rFonts w:ascii="Arial" w:hAnsi="Arial" w:cs="Arial"/>
          <w:sz w:val="24"/>
          <w:szCs w:val="24"/>
        </w:rPr>
        <w:t xml:space="preserve"> </w:t>
      </w:r>
      <w:r w:rsidR="00B45F28">
        <w:rPr>
          <w:rFonts w:ascii="Arial" w:hAnsi="Arial" w:cs="Arial"/>
          <w:sz w:val="24"/>
          <w:szCs w:val="24"/>
        </w:rPr>
        <w:t xml:space="preserve">Cost Transparency </w:t>
      </w:r>
      <w:r w:rsidR="00197DCC">
        <w:rPr>
          <w:rFonts w:ascii="Arial" w:hAnsi="Arial" w:cs="Arial"/>
          <w:sz w:val="24"/>
          <w:szCs w:val="24"/>
        </w:rPr>
        <w:t xml:space="preserve">project is seeking opportunities </w:t>
      </w:r>
      <w:r w:rsidR="004367D1">
        <w:rPr>
          <w:rFonts w:ascii="Arial" w:hAnsi="Arial" w:cs="Arial"/>
          <w:sz w:val="24"/>
          <w:szCs w:val="24"/>
        </w:rPr>
        <w:t xml:space="preserve">to reduce </w:t>
      </w:r>
      <w:r w:rsidR="00730C10">
        <w:rPr>
          <w:rFonts w:ascii="Arial" w:hAnsi="Arial" w:cs="Arial"/>
          <w:sz w:val="24"/>
          <w:szCs w:val="24"/>
        </w:rPr>
        <w:t xml:space="preserve">our IT cost base </w:t>
      </w:r>
      <w:r w:rsidR="005C5BA6">
        <w:rPr>
          <w:rFonts w:ascii="Arial" w:hAnsi="Arial" w:cs="Arial"/>
          <w:sz w:val="24"/>
          <w:szCs w:val="24"/>
        </w:rPr>
        <w:t xml:space="preserve">and has identified </w:t>
      </w:r>
      <w:r w:rsidR="738A99B5" w:rsidRPr="7EA44FB4">
        <w:rPr>
          <w:rFonts w:ascii="Arial" w:hAnsi="Arial" w:cs="Arial"/>
          <w:sz w:val="24"/>
          <w:szCs w:val="24"/>
        </w:rPr>
        <w:t xml:space="preserve">potential </w:t>
      </w:r>
      <w:r w:rsidR="00170F2D">
        <w:rPr>
          <w:rFonts w:ascii="Arial" w:hAnsi="Arial" w:cs="Arial"/>
          <w:sz w:val="24"/>
          <w:szCs w:val="24"/>
        </w:rPr>
        <w:t xml:space="preserve">savings of </w:t>
      </w:r>
      <w:r w:rsidR="45A65DD7" w:rsidRPr="7EA44FB4">
        <w:rPr>
          <w:rFonts w:ascii="Arial" w:hAnsi="Arial" w:cs="Arial"/>
          <w:sz w:val="24"/>
          <w:szCs w:val="24"/>
        </w:rPr>
        <w:t>c</w:t>
      </w:r>
      <w:r w:rsidR="56A7378A" w:rsidRPr="7EA44FB4">
        <w:rPr>
          <w:rFonts w:ascii="Arial" w:hAnsi="Arial" w:cs="Arial"/>
          <w:sz w:val="24"/>
          <w:szCs w:val="24"/>
        </w:rPr>
        <w:t>£</w:t>
      </w:r>
      <w:r w:rsidR="5F507162" w:rsidRPr="7EA44FB4">
        <w:rPr>
          <w:rFonts w:ascii="Arial" w:hAnsi="Arial" w:cs="Arial"/>
          <w:sz w:val="24"/>
          <w:szCs w:val="24"/>
        </w:rPr>
        <w:t>1</w:t>
      </w:r>
      <w:r w:rsidR="56A7378A" w:rsidRPr="7EA44FB4">
        <w:rPr>
          <w:rFonts w:ascii="Arial" w:hAnsi="Arial" w:cs="Arial"/>
          <w:sz w:val="24"/>
          <w:szCs w:val="24"/>
        </w:rPr>
        <w:t>m</w:t>
      </w:r>
      <w:r w:rsidR="002A5441">
        <w:rPr>
          <w:rFonts w:ascii="Arial" w:hAnsi="Arial" w:cs="Arial"/>
          <w:sz w:val="24"/>
          <w:szCs w:val="24"/>
        </w:rPr>
        <w:t xml:space="preserve"> pa</w:t>
      </w:r>
      <w:r w:rsidR="27BEB903" w:rsidRPr="7EA44FB4">
        <w:rPr>
          <w:rFonts w:ascii="Arial" w:hAnsi="Arial" w:cs="Arial"/>
          <w:sz w:val="24"/>
          <w:szCs w:val="24"/>
        </w:rPr>
        <w:t>. Cost Tran</w:t>
      </w:r>
      <w:r w:rsidR="6ECBF962" w:rsidRPr="7EA44FB4">
        <w:rPr>
          <w:rFonts w:ascii="Arial" w:hAnsi="Arial" w:cs="Arial"/>
          <w:sz w:val="24"/>
          <w:szCs w:val="24"/>
        </w:rPr>
        <w:t>s</w:t>
      </w:r>
      <w:r w:rsidR="27BEB903" w:rsidRPr="7EA44FB4">
        <w:rPr>
          <w:rFonts w:ascii="Arial" w:hAnsi="Arial" w:cs="Arial"/>
          <w:sz w:val="24"/>
          <w:szCs w:val="24"/>
        </w:rPr>
        <w:t>parency will also help determine</w:t>
      </w:r>
      <w:r w:rsidR="002A5441">
        <w:rPr>
          <w:rFonts w:ascii="Arial" w:hAnsi="Arial" w:cs="Arial"/>
          <w:sz w:val="24"/>
          <w:szCs w:val="24"/>
        </w:rPr>
        <w:t xml:space="preserve"> the </w:t>
      </w:r>
      <w:r w:rsidR="27BEB903" w:rsidRPr="7EA44FB4">
        <w:rPr>
          <w:rFonts w:ascii="Arial" w:hAnsi="Arial" w:cs="Arial"/>
          <w:sz w:val="24"/>
          <w:szCs w:val="24"/>
        </w:rPr>
        <w:t xml:space="preserve">scope </w:t>
      </w:r>
      <w:r w:rsidR="693FBF78" w:rsidRPr="7EA44FB4">
        <w:rPr>
          <w:rFonts w:ascii="Arial" w:hAnsi="Arial" w:cs="Arial"/>
          <w:sz w:val="24"/>
          <w:szCs w:val="24"/>
        </w:rPr>
        <w:t xml:space="preserve">and delivery plans </w:t>
      </w:r>
      <w:r w:rsidR="00315D35">
        <w:rPr>
          <w:rFonts w:ascii="Arial" w:hAnsi="Arial" w:cs="Arial"/>
          <w:sz w:val="24"/>
          <w:szCs w:val="24"/>
        </w:rPr>
        <w:t xml:space="preserve">for </w:t>
      </w:r>
      <w:r w:rsidR="693FBF78" w:rsidRPr="7EA44FB4">
        <w:rPr>
          <w:rFonts w:ascii="Arial" w:hAnsi="Arial" w:cs="Arial"/>
          <w:sz w:val="24"/>
          <w:szCs w:val="24"/>
        </w:rPr>
        <w:t>the next phase, IT Cost Optimisation, which is expected to deliver further cost savings.</w:t>
      </w:r>
      <w:r w:rsidR="006F5B8B">
        <w:rPr>
          <w:rFonts w:ascii="Arial" w:hAnsi="Arial" w:cs="Arial"/>
          <w:sz w:val="24"/>
          <w:szCs w:val="24"/>
        </w:rPr>
        <w:t xml:space="preserve"> Transforming Workplaces has helped </w:t>
      </w:r>
      <w:r w:rsidR="00F67750">
        <w:rPr>
          <w:rFonts w:ascii="Arial" w:hAnsi="Arial" w:cs="Arial"/>
          <w:sz w:val="24"/>
          <w:szCs w:val="24"/>
        </w:rPr>
        <w:t xml:space="preserve">us </w:t>
      </w:r>
      <w:r w:rsidR="009511AA">
        <w:rPr>
          <w:rFonts w:ascii="Arial" w:hAnsi="Arial" w:cs="Arial"/>
          <w:sz w:val="24"/>
          <w:szCs w:val="24"/>
        </w:rPr>
        <w:t xml:space="preserve">avoid the full impact </w:t>
      </w:r>
      <w:r w:rsidR="00E17255">
        <w:rPr>
          <w:rFonts w:ascii="Arial" w:hAnsi="Arial" w:cs="Arial"/>
          <w:sz w:val="24"/>
          <w:szCs w:val="24"/>
        </w:rPr>
        <w:t xml:space="preserve">of property cost inflation by limiting </w:t>
      </w:r>
      <w:r w:rsidR="00606136">
        <w:rPr>
          <w:rFonts w:ascii="Arial" w:hAnsi="Arial" w:cs="Arial"/>
          <w:sz w:val="24"/>
          <w:szCs w:val="24"/>
        </w:rPr>
        <w:t>our exposure to the steep increases in office rent</w:t>
      </w:r>
      <w:r w:rsidR="00456CF3">
        <w:rPr>
          <w:rFonts w:ascii="Arial" w:hAnsi="Arial" w:cs="Arial"/>
          <w:sz w:val="24"/>
          <w:szCs w:val="24"/>
        </w:rPr>
        <w:t xml:space="preserve"> and facilities charges.</w:t>
      </w:r>
    </w:p>
    <w:p w14:paraId="17491EF5" w14:textId="209AB566" w:rsidR="0030261F" w:rsidRDefault="00866AD8" w:rsidP="00EC36DB">
      <w:pPr>
        <w:rPr>
          <w:rFonts w:ascii="Arial" w:hAnsi="Arial" w:cs="Arial"/>
          <w:sz w:val="24"/>
          <w:szCs w:val="24"/>
        </w:rPr>
      </w:pPr>
      <w:r>
        <w:rPr>
          <w:rFonts w:ascii="Arial" w:hAnsi="Arial" w:cs="Arial"/>
          <w:sz w:val="24"/>
          <w:szCs w:val="24"/>
        </w:rPr>
        <w:t xml:space="preserve">During 2024-25, we will continue </w:t>
      </w:r>
      <w:r w:rsidR="0009533D">
        <w:rPr>
          <w:rFonts w:ascii="Arial" w:hAnsi="Arial" w:cs="Arial"/>
          <w:sz w:val="24"/>
          <w:szCs w:val="24"/>
        </w:rPr>
        <w:t xml:space="preserve">activity </w:t>
      </w:r>
      <w:r w:rsidR="00527591">
        <w:rPr>
          <w:rFonts w:ascii="Arial" w:hAnsi="Arial" w:cs="Arial"/>
          <w:sz w:val="24"/>
          <w:szCs w:val="24"/>
        </w:rPr>
        <w:t xml:space="preserve">to develop our income increasing </w:t>
      </w:r>
      <w:r w:rsidR="002C6FE2">
        <w:rPr>
          <w:rFonts w:ascii="Arial" w:hAnsi="Arial" w:cs="Arial"/>
          <w:sz w:val="24"/>
          <w:szCs w:val="24"/>
        </w:rPr>
        <w:t xml:space="preserve">and cost reduction measures. This is against </w:t>
      </w:r>
      <w:r w:rsidR="00FD0769">
        <w:rPr>
          <w:rFonts w:ascii="Arial" w:hAnsi="Arial" w:cs="Arial"/>
          <w:sz w:val="24"/>
          <w:szCs w:val="24"/>
        </w:rPr>
        <w:t xml:space="preserve">the backdrop </w:t>
      </w:r>
      <w:r w:rsidR="003E2BC5">
        <w:rPr>
          <w:rFonts w:ascii="Arial" w:hAnsi="Arial" w:cs="Arial"/>
          <w:sz w:val="24"/>
          <w:szCs w:val="24"/>
        </w:rPr>
        <w:t xml:space="preserve">of the latest forecasts </w:t>
      </w:r>
      <w:r w:rsidR="00476D50">
        <w:rPr>
          <w:rFonts w:ascii="Arial" w:hAnsi="Arial" w:cs="Arial"/>
          <w:sz w:val="24"/>
          <w:szCs w:val="24"/>
        </w:rPr>
        <w:t xml:space="preserve">which predict that case volumes will remain around 30% below pre-pandemic </w:t>
      </w:r>
      <w:r w:rsidR="000205FD">
        <w:rPr>
          <w:rFonts w:ascii="Arial" w:hAnsi="Arial" w:cs="Arial"/>
          <w:sz w:val="24"/>
          <w:szCs w:val="24"/>
        </w:rPr>
        <w:t>levels in the mid-term at least</w:t>
      </w:r>
      <w:r w:rsidR="002C13A7">
        <w:rPr>
          <w:rFonts w:ascii="Arial" w:hAnsi="Arial" w:cs="Arial"/>
          <w:sz w:val="24"/>
          <w:szCs w:val="24"/>
        </w:rPr>
        <w:t xml:space="preserve"> and asset val</w:t>
      </w:r>
      <w:r w:rsidR="007C7643">
        <w:rPr>
          <w:rFonts w:ascii="Arial" w:hAnsi="Arial" w:cs="Arial"/>
          <w:sz w:val="24"/>
          <w:szCs w:val="24"/>
        </w:rPr>
        <w:t xml:space="preserve">ues </w:t>
      </w:r>
      <w:r w:rsidR="0097568A">
        <w:rPr>
          <w:rFonts w:ascii="Arial" w:hAnsi="Arial" w:cs="Arial"/>
          <w:sz w:val="24"/>
          <w:szCs w:val="24"/>
        </w:rPr>
        <w:t xml:space="preserve">continuing to fall away. It looks increasingly unlikely that break even can be achieved with the current </w:t>
      </w:r>
      <w:r w:rsidR="00A83B9B">
        <w:rPr>
          <w:rFonts w:ascii="Arial" w:hAnsi="Arial" w:cs="Arial"/>
          <w:sz w:val="24"/>
          <w:szCs w:val="24"/>
        </w:rPr>
        <w:t xml:space="preserve">fee regime. We </w:t>
      </w:r>
      <w:r w:rsidR="00234DA6">
        <w:rPr>
          <w:rFonts w:ascii="Arial" w:hAnsi="Arial" w:cs="Arial"/>
          <w:sz w:val="24"/>
          <w:szCs w:val="24"/>
        </w:rPr>
        <w:t>are working</w:t>
      </w:r>
      <w:r w:rsidR="00A83B9B">
        <w:rPr>
          <w:rFonts w:ascii="Arial" w:hAnsi="Arial" w:cs="Arial"/>
          <w:sz w:val="24"/>
          <w:szCs w:val="24"/>
        </w:rPr>
        <w:t xml:space="preserve"> with DBT and HM Treasury</w:t>
      </w:r>
      <w:r w:rsidR="00232900">
        <w:rPr>
          <w:rFonts w:ascii="Arial" w:hAnsi="Arial" w:cs="Arial"/>
          <w:sz w:val="24"/>
          <w:szCs w:val="24"/>
        </w:rPr>
        <w:t xml:space="preserve"> to develop a range of </w:t>
      </w:r>
      <w:r w:rsidR="00EB69A5">
        <w:rPr>
          <w:rFonts w:ascii="Arial" w:hAnsi="Arial" w:cs="Arial"/>
          <w:sz w:val="24"/>
          <w:szCs w:val="24"/>
        </w:rPr>
        <w:t xml:space="preserve">financial model options for ORS that are sustainable </w:t>
      </w:r>
      <w:r w:rsidR="00206C39">
        <w:rPr>
          <w:rFonts w:ascii="Arial" w:hAnsi="Arial" w:cs="Arial"/>
          <w:sz w:val="24"/>
          <w:szCs w:val="24"/>
        </w:rPr>
        <w:t>over the long-term.</w:t>
      </w:r>
    </w:p>
    <w:p w14:paraId="1F6A32DA" w14:textId="46DA0908" w:rsidR="0030261F" w:rsidRPr="00FB1FEE" w:rsidRDefault="00EC761A" w:rsidP="004919D3">
      <w:pPr>
        <w:pStyle w:val="Heading3"/>
        <w:rPr>
          <w:rFonts w:cs="Arial"/>
          <w:b w:val="0"/>
          <w:color w:val="4472C4" w:themeColor="accent1"/>
          <w:szCs w:val="32"/>
        </w:rPr>
      </w:pPr>
      <w:r w:rsidRPr="00FB1FEE">
        <w:t>Financing</w:t>
      </w:r>
    </w:p>
    <w:p w14:paraId="789BEDE1" w14:textId="4DF075D7" w:rsidR="00EC761A" w:rsidRDefault="00F70F72" w:rsidP="00EC36DB">
      <w:pPr>
        <w:rPr>
          <w:rFonts w:ascii="Arial" w:hAnsi="Arial" w:cs="Arial"/>
          <w:sz w:val="24"/>
          <w:szCs w:val="24"/>
        </w:rPr>
      </w:pPr>
      <w:r>
        <w:rPr>
          <w:rFonts w:ascii="Arial" w:hAnsi="Arial" w:cs="Arial"/>
          <w:sz w:val="24"/>
          <w:szCs w:val="24"/>
        </w:rPr>
        <w:t xml:space="preserve">We are financed </w:t>
      </w:r>
      <w:r w:rsidR="00A22910">
        <w:rPr>
          <w:rFonts w:ascii="Arial" w:hAnsi="Arial" w:cs="Arial"/>
          <w:sz w:val="24"/>
          <w:szCs w:val="24"/>
        </w:rPr>
        <w:t>through a combination of funding and income from three sources:</w:t>
      </w:r>
    </w:p>
    <w:p w14:paraId="2D37DA00" w14:textId="4AFA0EF5" w:rsidR="00A22910" w:rsidRDefault="00A22910" w:rsidP="00A22910">
      <w:pPr>
        <w:pStyle w:val="ListParagraph"/>
        <w:numPr>
          <w:ilvl w:val="0"/>
          <w:numId w:val="20"/>
        </w:numPr>
        <w:rPr>
          <w:rFonts w:ascii="Arial" w:hAnsi="Arial" w:cs="Arial"/>
          <w:sz w:val="24"/>
          <w:szCs w:val="24"/>
        </w:rPr>
      </w:pPr>
      <w:r>
        <w:rPr>
          <w:rFonts w:ascii="Arial" w:hAnsi="Arial" w:cs="Arial"/>
          <w:sz w:val="24"/>
          <w:szCs w:val="24"/>
        </w:rPr>
        <w:t xml:space="preserve">Funding from our sponsor </w:t>
      </w:r>
      <w:r w:rsidR="00012D63">
        <w:rPr>
          <w:rFonts w:ascii="Arial" w:hAnsi="Arial" w:cs="Arial"/>
          <w:sz w:val="24"/>
          <w:szCs w:val="24"/>
        </w:rPr>
        <w:t>d</w:t>
      </w:r>
      <w:r>
        <w:rPr>
          <w:rFonts w:ascii="Arial" w:hAnsi="Arial" w:cs="Arial"/>
          <w:sz w:val="24"/>
          <w:szCs w:val="24"/>
        </w:rPr>
        <w:t>epartment</w:t>
      </w:r>
      <w:r w:rsidR="005D4AA6">
        <w:rPr>
          <w:rFonts w:ascii="Arial" w:hAnsi="Arial" w:cs="Arial"/>
          <w:sz w:val="24"/>
          <w:szCs w:val="24"/>
        </w:rPr>
        <w:t>, the Department for Business and Trade (DBT). During 2023-24 this amounted to £80.2m (2022-23</w:t>
      </w:r>
      <w:r w:rsidR="00FB4190">
        <w:rPr>
          <w:rFonts w:ascii="Arial" w:hAnsi="Arial" w:cs="Arial"/>
          <w:sz w:val="24"/>
          <w:szCs w:val="24"/>
        </w:rPr>
        <w:t>: £68.1m)</w:t>
      </w:r>
      <w:r w:rsidR="009044A1">
        <w:rPr>
          <w:rFonts w:ascii="Arial" w:hAnsi="Arial" w:cs="Arial"/>
          <w:sz w:val="24"/>
          <w:szCs w:val="24"/>
        </w:rPr>
        <w:t xml:space="preserve"> of wh</w:t>
      </w:r>
      <w:r w:rsidR="00EA05CA">
        <w:rPr>
          <w:rFonts w:ascii="Arial" w:hAnsi="Arial" w:cs="Arial"/>
          <w:sz w:val="24"/>
          <w:szCs w:val="24"/>
        </w:rPr>
        <w:t>ich £2.1m was for capital (2022-23: £0.0m)</w:t>
      </w:r>
      <w:r w:rsidR="00833433">
        <w:rPr>
          <w:rFonts w:ascii="Arial" w:hAnsi="Arial" w:cs="Arial"/>
          <w:sz w:val="24"/>
          <w:szCs w:val="24"/>
        </w:rPr>
        <w:t xml:space="preserve"> (see Statement of Changes in Taxpayers Equity).</w:t>
      </w:r>
    </w:p>
    <w:p w14:paraId="284F61E2" w14:textId="3269D4F4" w:rsidR="00833433" w:rsidRDefault="00833433" w:rsidP="00A22910">
      <w:pPr>
        <w:pStyle w:val="ListParagraph"/>
        <w:numPr>
          <w:ilvl w:val="0"/>
          <w:numId w:val="20"/>
        </w:numPr>
        <w:rPr>
          <w:rFonts w:ascii="Arial" w:hAnsi="Arial" w:cs="Arial"/>
          <w:sz w:val="24"/>
          <w:szCs w:val="24"/>
        </w:rPr>
      </w:pPr>
      <w:r>
        <w:rPr>
          <w:rFonts w:ascii="Arial" w:hAnsi="Arial" w:cs="Arial"/>
          <w:sz w:val="24"/>
          <w:szCs w:val="24"/>
        </w:rPr>
        <w:t xml:space="preserve">Income </w:t>
      </w:r>
      <w:r w:rsidR="009B549D">
        <w:rPr>
          <w:rFonts w:ascii="Arial" w:hAnsi="Arial" w:cs="Arial"/>
          <w:sz w:val="24"/>
          <w:szCs w:val="24"/>
        </w:rPr>
        <w:t>from HMRC National Insurance Fund (NIF) to undertake</w:t>
      </w:r>
      <w:r w:rsidR="00F947E8">
        <w:rPr>
          <w:rFonts w:ascii="Arial" w:hAnsi="Arial" w:cs="Arial"/>
          <w:sz w:val="24"/>
          <w:szCs w:val="24"/>
        </w:rPr>
        <w:t xml:space="preserve"> administration of the Redundancy Payment Scheme. For 2023-24</w:t>
      </w:r>
      <w:r w:rsidR="0017664C">
        <w:rPr>
          <w:rFonts w:ascii="Arial" w:hAnsi="Arial" w:cs="Arial"/>
          <w:sz w:val="24"/>
          <w:szCs w:val="24"/>
        </w:rPr>
        <w:t>, this amounted to £9.5m (2022-23: £</w:t>
      </w:r>
      <w:r w:rsidR="000464C4">
        <w:rPr>
          <w:rFonts w:ascii="Arial" w:hAnsi="Arial" w:cs="Arial"/>
          <w:sz w:val="24"/>
          <w:szCs w:val="24"/>
        </w:rPr>
        <w:t xml:space="preserve">9.5m) (see Note 4). We also received funding </w:t>
      </w:r>
      <w:r w:rsidR="00FC455B">
        <w:rPr>
          <w:rFonts w:ascii="Arial" w:hAnsi="Arial" w:cs="Arial"/>
          <w:sz w:val="24"/>
          <w:szCs w:val="24"/>
        </w:rPr>
        <w:t xml:space="preserve">from HMRC NIF to make payments to individuals who have been made redundant where the employer cannot pay. The funding </w:t>
      </w:r>
      <w:r w:rsidR="00632825">
        <w:rPr>
          <w:rFonts w:ascii="Arial" w:hAnsi="Arial" w:cs="Arial"/>
          <w:sz w:val="24"/>
          <w:szCs w:val="24"/>
        </w:rPr>
        <w:t>for these payments</w:t>
      </w:r>
      <w:r w:rsidR="00CF7BEA">
        <w:rPr>
          <w:rFonts w:ascii="Arial" w:hAnsi="Arial" w:cs="Arial"/>
          <w:sz w:val="24"/>
          <w:szCs w:val="24"/>
        </w:rPr>
        <w:t xml:space="preserve"> for 2023-24 was £465.3m (2022-23: £274.9m) (see Statement of Changes in Taxpayers Equity)</w:t>
      </w:r>
      <w:r w:rsidR="0051492E">
        <w:rPr>
          <w:rFonts w:ascii="Arial" w:hAnsi="Arial" w:cs="Arial"/>
          <w:sz w:val="24"/>
          <w:szCs w:val="24"/>
        </w:rPr>
        <w:t>.</w:t>
      </w:r>
    </w:p>
    <w:p w14:paraId="32538E69" w14:textId="0C52ACA1" w:rsidR="0051492E" w:rsidRDefault="0051492E" w:rsidP="00A22910">
      <w:pPr>
        <w:pStyle w:val="ListParagraph"/>
        <w:numPr>
          <w:ilvl w:val="0"/>
          <w:numId w:val="20"/>
        </w:numPr>
        <w:rPr>
          <w:rFonts w:ascii="Arial" w:hAnsi="Arial" w:cs="Arial"/>
          <w:sz w:val="24"/>
          <w:szCs w:val="24"/>
        </w:rPr>
      </w:pPr>
      <w:r>
        <w:rPr>
          <w:rFonts w:ascii="Arial" w:hAnsi="Arial" w:cs="Arial"/>
          <w:sz w:val="24"/>
          <w:szCs w:val="24"/>
        </w:rPr>
        <w:t>Income generated from fees charged for our work</w:t>
      </w:r>
      <w:r w:rsidR="00005B7A">
        <w:rPr>
          <w:rFonts w:ascii="Arial" w:hAnsi="Arial" w:cs="Arial"/>
          <w:sz w:val="24"/>
          <w:szCs w:val="24"/>
        </w:rPr>
        <w:t xml:space="preserve"> carried out on Insolvency Case administration</w:t>
      </w:r>
      <w:r w:rsidR="002024F2">
        <w:rPr>
          <w:rFonts w:ascii="Arial" w:hAnsi="Arial" w:cs="Arial"/>
          <w:sz w:val="24"/>
          <w:szCs w:val="24"/>
        </w:rPr>
        <w:t xml:space="preserve"> by the Official Receivers Services (ORS). Income recognised in 2023-24 was £60.4m (2022-23: £109.7m)</w:t>
      </w:r>
      <w:r w:rsidR="00767C95">
        <w:rPr>
          <w:rFonts w:ascii="Arial" w:hAnsi="Arial" w:cs="Arial"/>
          <w:sz w:val="24"/>
          <w:szCs w:val="24"/>
        </w:rPr>
        <w:t xml:space="preserve"> (see Notes 1</w:t>
      </w:r>
      <w:r w:rsidR="000645B8">
        <w:rPr>
          <w:rFonts w:ascii="Arial" w:hAnsi="Arial" w:cs="Arial"/>
          <w:sz w:val="24"/>
          <w:szCs w:val="24"/>
        </w:rPr>
        <w:t xml:space="preserve">, </w:t>
      </w:r>
      <w:r w:rsidR="003E43D3">
        <w:rPr>
          <w:rFonts w:ascii="Arial" w:hAnsi="Arial" w:cs="Arial"/>
          <w:sz w:val="24"/>
          <w:szCs w:val="24"/>
        </w:rPr>
        <w:t>4</w:t>
      </w:r>
      <w:r w:rsidR="00767C95">
        <w:rPr>
          <w:rFonts w:ascii="Arial" w:hAnsi="Arial" w:cs="Arial"/>
          <w:sz w:val="24"/>
          <w:szCs w:val="24"/>
        </w:rPr>
        <w:t xml:space="preserve"> and 5 for more details). It should be noted these balances include the recognition of additional </w:t>
      </w:r>
      <w:r w:rsidR="00086260">
        <w:rPr>
          <w:rFonts w:ascii="Arial" w:hAnsi="Arial" w:cs="Arial"/>
          <w:sz w:val="24"/>
          <w:szCs w:val="24"/>
        </w:rPr>
        <w:t>excess income from Payment Protection Insurance receipts in respect of previous case years. Excluding these</w:t>
      </w:r>
      <w:r w:rsidR="00487429">
        <w:rPr>
          <w:rFonts w:ascii="Arial" w:hAnsi="Arial" w:cs="Arial"/>
          <w:sz w:val="24"/>
          <w:szCs w:val="24"/>
        </w:rPr>
        <w:t>, our fees recognised are £48.</w:t>
      </w:r>
      <w:r w:rsidR="001B68D3">
        <w:rPr>
          <w:rFonts w:ascii="Arial" w:hAnsi="Arial" w:cs="Arial"/>
          <w:sz w:val="24"/>
          <w:szCs w:val="24"/>
        </w:rPr>
        <w:t>0m (2022-23: £43.8m).</w:t>
      </w:r>
    </w:p>
    <w:p w14:paraId="242A64B2" w14:textId="77777777" w:rsidR="00CA6371" w:rsidRDefault="00CA6371">
      <w:pPr>
        <w:rPr>
          <w:rFonts w:ascii="Arial" w:hAnsi="Arial" w:cs="Arial"/>
          <w:b/>
          <w:bCs/>
          <w:sz w:val="24"/>
          <w:szCs w:val="24"/>
        </w:rPr>
      </w:pPr>
      <w:r>
        <w:rPr>
          <w:rFonts w:ascii="Arial" w:hAnsi="Arial" w:cs="Arial"/>
          <w:b/>
          <w:bCs/>
          <w:sz w:val="24"/>
          <w:szCs w:val="24"/>
        </w:rPr>
        <w:br w:type="page"/>
      </w:r>
    </w:p>
    <w:p w14:paraId="401FD444" w14:textId="57F9C5E9" w:rsidR="001B68D3" w:rsidRPr="00C9567B" w:rsidRDefault="001B68D3" w:rsidP="007348E4">
      <w:pPr>
        <w:pStyle w:val="Heading4"/>
        <w:rPr>
          <w:rFonts w:cs="Arial"/>
          <w:b w:val="0"/>
          <w:sz w:val="24"/>
          <w:szCs w:val="24"/>
        </w:rPr>
      </w:pPr>
      <w:r w:rsidRPr="00C9567B">
        <w:lastRenderedPageBreak/>
        <w:t>Financial results</w:t>
      </w:r>
    </w:p>
    <w:p w14:paraId="27527984" w14:textId="12BE8015" w:rsidR="001B68D3" w:rsidRDefault="00C9567B" w:rsidP="001B68D3">
      <w:pPr>
        <w:rPr>
          <w:rFonts w:ascii="Arial" w:hAnsi="Arial" w:cs="Arial"/>
          <w:sz w:val="24"/>
          <w:szCs w:val="24"/>
        </w:rPr>
      </w:pPr>
      <w:r>
        <w:rPr>
          <w:rFonts w:ascii="Arial" w:hAnsi="Arial" w:cs="Arial"/>
          <w:sz w:val="24"/>
          <w:szCs w:val="24"/>
        </w:rPr>
        <w:t>We are reporting a £7.9m surplus against our DBT budget allocation for the financial year 202</w:t>
      </w:r>
      <w:r w:rsidR="00B75D8C">
        <w:rPr>
          <w:rFonts w:ascii="Arial" w:hAnsi="Arial" w:cs="Arial"/>
          <w:sz w:val="24"/>
          <w:szCs w:val="24"/>
        </w:rPr>
        <w:t>3</w:t>
      </w:r>
      <w:r>
        <w:rPr>
          <w:rFonts w:ascii="Arial" w:hAnsi="Arial" w:cs="Arial"/>
          <w:sz w:val="24"/>
          <w:szCs w:val="24"/>
        </w:rPr>
        <w:t>-2</w:t>
      </w:r>
      <w:r w:rsidR="00B75D8C">
        <w:rPr>
          <w:rFonts w:ascii="Arial" w:hAnsi="Arial" w:cs="Arial"/>
          <w:sz w:val="24"/>
          <w:szCs w:val="24"/>
        </w:rPr>
        <w:t>4</w:t>
      </w:r>
      <w:r>
        <w:rPr>
          <w:rFonts w:ascii="Arial" w:hAnsi="Arial" w:cs="Arial"/>
          <w:sz w:val="24"/>
          <w:szCs w:val="24"/>
        </w:rPr>
        <w:t>.</w:t>
      </w:r>
      <w:r w:rsidR="00951A3C">
        <w:rPr>
          <w:rFonts w:ascii="Arial" w:hAnsi="Arial" w:cs="Arial"/>
          <w:sz w:val="24"/>
          <w:szCs w:val="24"/>
        </w:rPr>
        <w:t xml:space="preserve"> This was mainly due to a combination of general underspends along with:</w:t>
      </w:r>
    </w:p>
    <w:p w14:paraId="6D41B9DA" w14:textId="53EDE7D8" w:rsidR="00951A3C" w:rsidRDefault="00951A3C" w:rsidP="00951A3C">
      <w:pPr>
        <w:pStyle w:val="ListParagraph"/>
        <w:numPr>
          <w:ilvl w:val="0"/>
          <w:numId w:val="21"/>
        </w:numPr>
        <w:rPr>
          <w:rFonts w:ascii="Arial" w:hAnsi="Arial" w:cs="Arial"/>
          <w:sz w:val="24"/>
          <w:szCs w:val="24"/>
        </w:rPr>
      </w:pPr>
      <w:r>
        <w:rPr>
          <w:rFonts w:ascii="Arial" w:hAnsi="Arial" w:cs="Arial"/>
          <w:sz w:val="24"/>
          <w:szCs w:val="24"/>
        </w:rPr>
        <w:t xml:space="preserve">Slippage </w:t>
      </w:r>
      <w:r w:rsidR="006D5388">
        <w:rPr>
          <w:rFonts w:ascii="Arial" w:hAnsi="Arial" w:cs="Arial"/>
          <w:sz w:val="24"/>
          <w:szCs w:val="24"/>
        </w:rPr>
        <w:t>on our investment/transformation activity</w:t>
      </w:r>
    </w:p>
    <w:p w14:paraId="11B8900F" w14:textId="78CD6632" w:rsidR="006D5388" w:rsidRDefault="006D5388" w:rsidP="00951A3C">
      <w:pPr>
        <w:pStyle w:val="ListParagraph"/>
        <w:numPr>
          <w:ilvl w:val="0"/>
          <w:numId w:val="21"/>
        </w:numPr>
        <w:rPr>
          <w:rFonts w:ascii="Arial" w:hAnsi="Arial" w:cs="Arial"/>
          <w:sz w:val="24"/>
          <w:szCs w:val="24"/>
        </w:rPr>
      </w:pPr>
      <w:r>
        <w:rPr>
          <w:rFonts w:ascii="Arial" w:hAnsi="Arial" w:cs="Arial"/>
          <w:sz w:val="24"/>
          <w:szCs w:val="24"/>
        </w:rPr>
        <w:t xml:space="preserve">Adverse cost settlements moving in to </w:t>
      </w:r>
      <w:r w:rsidR="009051AF">
        <w:rPr>
          <w:rFonts w:ascii="Arial" w:hAnsi="Arial" w:cs="Arial"/>
          <w:sz w:val="24"/>
          <w:szCs w:val="24"/>
        </w:rPr>
        <w:t>2024-25</w:t>
      </w:r>
    </w:p>
    <w:p w14:paraId="1266B43F" w14:textId="08E825CC" w:rsidR="009051AF" w:rsidRDefault="009051AF" w:rsidP="00951A3C">
      <w:pPr>
        <w:pStyle w:val="ListParagraph"/>
        <w:numPr>
          <w:ilvl w:val="0"/>
          <w:numId w:val="21"/>
        </w:numPr>
        <w:rPr>
          <w:rFonts w:ascii="Arial" w:hAnsi="Arial" w:cs="Arial"/>
          <w:sz w:val="24"/>
          <w:szCs w:val="24"/>
        </w:rPr>
      </w:pPr>
      <w:r>
        <w:rPr>
          <w:rFonts w:ascii="Arial" w:hAnsi="Arial" w:cs="Arial"/>
          <w:sz w:val="24"/>
          <w:szCs w:val="24"/>
        </w:rPr>
        <w:t xml:space="preserve">A lower than anticipated fee funded deficit due mainly to a range of </w:t>
      </w:r>
      <w:r w:rsidR="00A13754">
        <w:rPr>
          <w:rFonts w:ascii="Arial" w:hAnsi="Arial" w:cs="Arial"/>
          <w:sz w:val="24"/>
          <w:szCs w:val="24"/>
        </w:rPr>
        <w:t>non-recurring income factors, including higher than expected asset realisations in our ORS function</w:t>
      </w:r>
      <w:r w:rsidR="0089169C">
        <w:rPr>
          <w:rFonts w:ascii="Arial" w:hAnsi="Arial" w:cs="Arial"/>
          <w:sz w:val="24"/>
          <w:szCs w:val="24"/>
        </w:rPr>
        <w:t>. The deficit on our fee funded activity was £9.9m (see Note 5).</w:t>
      </w:r>
    </w:p>
    <w:p w14:paraId="268BB4D9" w14:textId="45FCCEFC" w:rsidR="00E16D6E" w:rsidRDefault="00E16D6E" w:rsidP="007348E4">
      <w:pPr>
        <w:pStyle w:val="Heading4"/>
        <w:rPr>
          <w:rFonts w:cs="Arial"/>
          <w:b w:val="0"/>
          <w:sz w:val="24"/>
          <w:szCs w:val="24"/>
        </w:rPr>
      </w:pPr>
      <w:r>
        <w:t>Expenditure</w:t>
      </w:r>
    </w:p>
    <w:p w14:paraId="472FE7DB" w14:textId="33CE9E9E" w:rsidR="00E16D6E" w:rsidRDefault="00AB7B79" w:rsidP="00E16D6E">
      <w:pPr>
        <w:rPr>
          <w:rFonts w:ascii="Arial" w:hAnsi="Arial" w:cs="Arial"/>
          <w:sz w:val="24"/>
          <w:szCs w:val="24"/>
        </w:rPr>
      </w:pPr>
      <w:r w:rsidRPr="00AB7B79">
        <w:rPr>
          <w:rFonts w:ascii="Arial" w:hAnsi="Arial" w:cs="Arial"/>
          <w:sz w:val="24"/>
          <w:szCs w:val="24"/>
        </w:rPr>
        <w:t>Our total</w:t>
      </w:r>
      <w:r>
        <w:rPr>
          <w:rFonts w:ascii="Arial" w:hAnsi="Arial" w:cs="Arial"/>
          <w:sz w:val="24"/>
          <w:szCs w:val="24"/>
        </w:rPr>
        <w:t xml:space="preserve"> operating expenditure compared to 202</w:t>
      </w:r>
      <w:r w:rsidR="00B75D8C">
        <w:rPr>
          <w:rFonts w:ascii="Arial" w:hAnsi="Arial" w:cs="Arial"/>
          <w:sz w:val="24"/>
          <w:szCs w:val="24"/>
        </w:rPr>
        <w:t>2</w:t>
      </w:r>
      <w:r>
        <w:rPr>
          <w:rFonts w:ascii="Arial" w:hAnsi="Arial" w:cs="Arial"/>
          <w:sz w:val="24"/>
          <w:szCs w:val="24"/>
        </w:rPr>
        <w:t>-2</w:t>
      </w:r>
      <w:r w:rsidR="00B75D8C">
        <w:rPr>
          <w:rFonts w:ascii="Arial" w:hAnsi="Arial" w:cs="Arial"/>
          <w:sz w:val="24"/>
          <w:szCs w:val="24"/>
        </w:rPr>
        <w:t>3</w:t>
      </w:r>
      <w:r w:rsidR="00F657A6">
        <w:rPr>
          <w:rFonts w:ascii="Arial" w:hAnsi="Arial" w:cs="Arial"/>
          <w:sz w:val="24"/>
          <w:szCs w:val="24"/>
        </w:rPr>
        <w:t xml:space="preserve"> has increased by £221</w:t>
      </w:r>
      <w:r w:rsidR="00C76095">
        <w:rPr>
          <w:rFonts w:ascii="Arial" w:hAnsi="Arial" w:cs="Arial"/>
          <w:sz w:val="24"/>
          <w:szCs w:val="24"/>
        </w:rPr>
        <w:t>.2</w:t>
      </w:r>
      <w:r w:rsidR="00F657A6">
        <w:rPr>
          <w:rFonts w:ascii="Arial" w:hAnsi="Arial" w:cs="Arial"/>
          <w:sz w:val="24"/>
          <w:szCs w:val="24"/>
        </w:rPr>
        <w:t>m to £661</w:t>
      </w:r>
      <w:r w:rsidR="00C76095">
        <w:rPr>
          <w:rFonts w:ascii="Arial" w:hAnsi="Arial" w:cs="Arial"/>
          <w:sz w:val="24"/>
          <w:szCs w:val="24"/>
        </w:rPr>
        <w:t>.9</w:t>
      </w:r>
      <w:r w:rsidR="00F657A6">
        <w:rPr>
          <w:rFonts w:ascii="Arial" w:hAnsi="Arial" w:cs="Arial"/>
          <w:sz w:val="24"/>
          <w:szCs w:val="24"/>
        </w:rPr>
        <w:t xml:space="preserve">m (see Statement of Comprehensive Net Expenditure). The increase </w:t>
      </w:r>
      <w:r w:rsidR="00031562">
        <w:rPr>
          <w:rFonts w:ascii="Arial" w:hAnsi="Arial" w:cs="Arial"/>
          <w:sz w:val="24"/>
          <w:szCs w:val="24"/>
        </w:rPr>
        <w:t xml:space="preserve">is driven by an increase </w:t>
      </w:r>
      <w:r w:rsidR="00F5097F">
        <w:rPr>
          <w:rFonts w:ascii="Arial" w:hAnsi="Arial" w:cs="Arial"/>
          <w:sz w:val="24"/>
          <w:szCs w:val="24"/>
        </w:rPr>
        <w:t>in Redundancy Payment S</w:t>
      </w:r>
      <w:r w:rsidR="00C667F4">
        <w:rPr>
          <w:rFonts w:ascii="Arial" w:hAnsi="Arial" w:cs="Arial"/>
          <w:sz w:val="24"/>
          <w:szCs w:val="24"/>
        </w:rPr>
        <w:t>cheme</w:t>
      </w:r>
      <w:r w:rsidR="00F5097F">
        <w:rPr>
          <w:rFonts w:ascii="Arial" w:hAnsi="Arial" w:cs="Arial"/>
          <w:sz w:val="24"/>
          <w:szCs w:val="24"/>
        </w:rPr>
        <w:t xml:space="preserve"> payments of £212</w:t>
      </w:r>
      <w:r w:rsidR="00C76095">
        <w:rPr>
          <w:rFonts w:ascii="Arial" w:hAnsi="Arial" w:cs="Arial"/>
          <w:sz w:val="24"/>
          <w:szCs w:val="24"/>
        </w:rPr>
        <w:t>.5</w:t>
      </w:r>
      <w:r w:rsidR="00F5097F">
        <w:rPr>
          <w:rFonts w:ascii="Arial" w:hAnsi="Arial" w:cs="Arial"/>
          <w:sz w:val="24"/>
          <w:szCs w:val="24"/>
        </w:rPr>
        <w:t>m due to a rise in the number of awards made compared to last year.</w:t>
      </w:r>
    </w:p>
    <w:p w14:paraId="52572008" w14:textId="27C4E1BF" w:rsidR="00F5097F" w:rsidRDefault="00F5097F" w:rsidP="007348E4">
      <w:pPr>
        <w:pStyle w:val="Heading4"/>
        <w:rPr>
          <w:rFonts w:cs="Arial"/>
          <w:b w:val="0"/>
          <w:sz w:val="24"/>
          <w:szCs w:val="24"/>
        </w:rPr>
      </w:pPr>
      <w:r>
        <w:t>Income</w:t>
      </w:r>
    </w:p>
    <w:p w14:paraId="11F0F637" w14:textId="194C450A" w:rsidR="00F5097F" w:rsidRDefault="0074042D" w:rsidP="00E16D6E">
      <w:pPr>
        <w:rPr>
          <w:rFonts w:ascii="Arial" w:hAnsi="Arial" w:cs="Arial"/>
          <w:sz w:val="24"/>
          <w:szCs w:val="24"/>
        </w:rPr>
      </w:pPr>
      <w:r>
        <w:rPr>
          <w:rFonts w:ascii="Arial" w:hAnsi="Arial" w:cs="Arial"/>
          <w:sz w:val="24"/>
          <w:szCs w:val="24"/>
        </w:rPr>
        <w:t xml:space="preserve">Note 4 shows that total operating income has decreased by £35.2m to £120.0m. This is due </w:t>
      </w:r>
      <w:r w:rsidR="00527593">
        <w:rPr>
          <w:rFonts w:ascii="Arial" w:hAnsi="Arial" w:cs="Arial"/>
          <w:sz w:val="24"/>
          <w:szCs w:val="24"/>
        </w:rPr>
        <w:t xml:space="preserve">to </w:t>
      </w:r>
      <w:r w:rsidR="00505790">
        <w:rPr>
          <w:rFonts w:ascii="Arial" w:hAnsi="Arial" w:cs="Arial"/>
          <w:sz w:val="24"/>
          <w:szCs w:val="24"/>
        </w:rPr>
        <w:t>us recognising</w:t>
      </w:r>
      <w:r w:rsidR="00527593">
        <w:rPr>
          <w:rFonts w:ascii="Arial" w:hAnsi="Arial" w:cs="Arial"/>
          <w:sz w:val="24"/>
          <w:szCs w:val="24"/>
        </w:rPr>
        <w:t xml:space="preserve"> PPI receipts in 2022-23 as income relating to historic cases, as well as </w:t>
      </w:r>
      <w:r w:rsidR="00AC5395">
        <w:rPr>
          <w:rFonts w:ascii="Arial" w:hAnsi="Arial" w:cs="Arial"/>
          <w:sz w:val="24"/>
          <w:szCs w:val="24"/>
        </w:rPr>
        <w:t>a</w:t>
      </w:r>
      <w:r w:rsidR="00C76095">
        <w:rPr>
          <w:rFonts w:ascii="Arial" w:hAnsi="Arial" w:cs="Arial"/>
          <w:sz w:val="24"/>
          <w:szCs w:val="24"/>
        </w:rPr>
        <w:t>n</w:t>
      </w:r>
      <w:r w:rsidR="00AC5395">
        <w:rPr>
          <w:rFonts w:ascii="Arial" w:hAnsi="Arial" w:cs="Arial"/>
          <w:sz w:val="24"/>
          <w:szCs w:val="24"/>
        </w:rPr>
        <w:t xml:space="preserve"> £11.3m increase in the Redundancy Payment Scheme expected </w:t>
      </w:r>
      <w:r w:rsidR="00C667F4">
        <w:rPr>
          <w:rFonts w:ascii="Arial" w:hAnsi="Arial" w:cs="Arial"/>
          <w:sz w:val="24"/>
          <w:szCs w:val="24"/>
        </w:rPr>
        <w:t>receipts.</w:t>
      </w:r>
    </w:p>
    <w:p w14:paraId="76E53DD5" w14:textId="39EE612C" w:rsidR="007C421E" w:rsidRPr="007C421E" w:rsidRDefault="007C421E" w:rsidP="007348E4">
      <w:pPr>
        <w:pStyle w:val="Heading4"/>
        <w:rPr>
          <w:rFonts w:cs="Arial"/>
          <w:b w:val="0"/>
          <w:sz w:val="24"/>
          <w:szCs w:val="24"/>
        </w:rPr>
      </w:pPr>
      <w:r w:rsidRPr="125D96AC">
        <w:t>Assets</w:t>
      </w:r>
    </w:p>
    <w:p w14:paraId="0BDA4C72" w14:textId="16F10ABC" w:rsidR="02F472FD" w:rsidRDefault="02F472FD" w:rsidP="125D96AC">
      <w:pPr>
        <w:rPr>
          <w:rFonts w:ascii="Arial" w:hAnsi="Arial" w:cs="Arial"/>
          <w:sz w:val="24"/>
          <w:szCs w:val="24"/>
        </w:rPr>
      </w:pPr>
      <w:r w:rsidRPr="125D96AC">
        <w:rPr>
          <w:rFonts w:ascii="Arial" w:hAnsi="Arial" w:cs="Arial"/>
          <w:sz w:val="24"/>
          <w:szCs w:val="24"/>
        </w:rPr>
        <w:t>As of 31 March 2024, we had assets of £365.1m. Our assets include property, plant and equipment, intangible assets, financial assets, trade receivables, cash and cash equivalents. £147.1m of this related to debt assets or receivables and £196.8m to cash and cash equivalents. Our assets have decreased by £136.0m from £501.1m last year, predominantly due to the CFER payment of £137.1m we made to HMT.</w:t>
      </w:r>
    </w:p>
    <w:p w14:paraId="7CC12138" w14:textId="11DD0D74" w:rsidR="00E03301" w:rsidRDefault="00E03301" w:rsidP="007348E4">
      <w:pPr>
        <w:pStyle w:val="Heading4"/>
        <w:rPr>
          <w:rFonts w:cs="Arial"/>
          <w:b w:val="0"/>
          <w:sz w:val="24"/>
          <w:szCs w:val="24"/>
        </w:rPr>
      </w:pPr>
      <w:r w:rsidRPr="125D96AC">
        <w:t>Liabiliti</w:t>
      </w:r>
      <w:r w:rsidR="00E34A31" w:rsidRPr="125D96AC">
        <w:rPr>
          <w:rFonts w:cs="Arial"/>
          <w:sz w:val="24"/>
          <w:szCs w:val="24"/>
        </w:rPr>
        <w:t>es</w:t>
      </w:r>
    </w:p>
    <w:p w14:paraId="144D42F1" w14:textId="05B3C599" w:rsidR="6E1A8C37" w:rsidRDefault="6E1A8C37" w:rsidP="125D96AC">
      <w:pPr>
        <w:rPr>
          <w:rFonts w:ascii="Arial" w:hAnsi="Arial" w:cs="Arial"/>
          <w:sz w:val="24"/>
          <w:szCs w:val="24"/>
        </w:rPr>
      </w:pPr>
      <w:r w:rsidRPr="125D96AC">
        <w:rPr>
          <w:rFonts w:ascii="Arial" w:hAnsi="Arial" w:cs="Arial"/>
          <w:sz w:val="24"/>
          <w:szCs w:val="24"/>
        </w:rPr>
        <w:t xml:space="preserve">As of 31 March 2024, we had liabilities of £60.1m of which £41.7m related to trade payables and provisions. Amounts Due to the Consolidated Fund now stand at £12.4m, which is a decrease </w:t>
      </w:r>
      <w:r w:rsidR="00727556" w:rsidRPr="00727556">
        <w:rPr>
          <w:rFonts w:ascii="Arial" w:hAnsi="Arial" w:cs="Arial"/>
          <w:sz w:val="24"/>
          <w:szCs w:val="24"/>
        </w:rPr>
        <w:t>of £124.7m compared to last year following the payment of £137.1m in 2022-23.</w:t>
      </w:r>
      <w:r w:rsidRPr="125D96AC">
        <w:rPr>
          <w:rFonts w:ascii="Arial" w:hAnsi="Arial" w:cs="Arial"/>
          <w:sz w:val="24"/>
          <w:szCs w:val="24"/>
        </w:rPr>
        <w:t xml:space="preserve"> Overall, our liabilities decreased this year by £123.7m from £183.8m last year.</w:t>
      </w:r>
    </w:p>
    <w:p w14:paraId="635187D1" w14:textId="7C601351" w:rsidR="6E1A8C37" w:rsidRDefault="6E1A8C37" w:rsidP="125D96AC">
      <w:r w:rsidRPr="125D96AC">
        <w:rPr>
          <w:rFonts w:ascii="Arial" w:hAnsi="Arial" w:cs="Arial"/>
          <w:sz w:val="24"/>
          <w:szCs w:val="24"/>
        </w:rPr>
        <w:t xml:space="preserve">The overall position of assets and liabilities held by us on 31 March 2024 was £305.0m (see Statement of Financial Position). Further details of which can be seen in the Notes to the </w:t>
      </w:r>
      <w:r w:rsidR="001C705B">
        <w:rPr>
          <w:rFonts w:ascii="Arial" w:hAnsi="Arial" w:cs="Arial"/>
          <w:sz w:val="24"/>
          <w:szCs w:val="24"/>
        </w:rPr>
        <w:t>A</w:t>
      </w:r>
      <w:r w:rsidRPr="125D96AC">
        <w:rPr>
          <w:rFonts w:ascii="Arial" w:hAnsi="Arial" w:cs="Arial"/>
          <w:sz w:val="24"/>
          <w:szCs w:val="24"/>
        </w:rPr>
        <w:t>gency’s accounts.</w:t>
      </w:r>
    </w:p>
    <w:p w14:paraId="02EC749D" w14:textId="77777777" w:rsidR="006A38E5" w:rsidRDefault="006A38E5">
      <w:pPr>
        <w:rPr>
          <w:rFonts w:ascii="Arial" w:hAnsi="Arial" w:cs="Arial"/>
          <w:b/>
          <w:bCs/>
          <w:sz w:val="24"/>
          <w:szCs w:val="24"/>
        </w:rPr>
      </w:pPr>
      <w:r>
        <w:rPr>
          <w:rFonts w:ascii="Arial" w:hAnsi="Arial" w:cs="Arial"/>
          <w:b/>
          <w:bCs/>
          <w:sz w:val="24"/>
          <w:szCs w:val="24"/>
        </w:rPr>
        <w:br w:type="page"/>
      </w:r>
    </w:p>
    <w:p w14:paraId="1B7AE654" w14:textId="31E03F63" w:rsidR="00F15C94" w:rsidRPr="00CE13F1" w:rsidRDefault="00F15C94" w:rsidP="0003527D">
      <w:pPr>
        <w:pStyle w:val="Heading4"/>
        <w:rPr>
          <w:rFonts w:cs="Arial"/>
          <w:b w:val="0"/>
          <w:sz w:val="24"/>
          <w:szCs w:val="24"/>
        </w:rPr>
      </w:pPr>
      <w:r w:rsidRPr="00CE13F1">
        <w:lastRenderedPageBreak/>
        <w:t>Capital</w:t>
      </w:r>
    </w:p>
    <w:p w14:paraId="15CB40C5" w14:textId="3C2958C6" w:rsidR="00F15C94" w:rsidRDefault="00F15C94" w:rsidP="00E16D6E">
      <w:pPr>
        <w:rPr>
          <w:rFonts w:ascii="Arial" w:hAnsi="Arial" w:cs="Arial"/>
          <w:sz w:val="24"/>
          <w:szCs w:val="24"/>
        </w:rPr>
      </w:pPr>
      <w:r>
        <w:rPr>
          <w:rFonts w:ascii="Arial" w:hAnsi="Arial" w:cs="Arial"/>
          <w:sz w:val="24"/>
          <w:szCs w:val="24"/>
        </w:rPr>
        <w:t>In 2023-24</w:t>
      </w:r>
      <w:r w:rsidR="00555ECA">
        <w:rPr>
          <w:rFonts w:ascii="Arial" w:hAnsi="Arial" w:cs="Arial"/>
          <w:sz w:val="24"/>
          <w:szCs w:val="24"/>
        </w:rPr>
        <w:t xml:space="preserve">, our capital expenditure was £5.7m (2022-23: £1.7m). Virtually all of this expenditure </w:t>
      </w:r>
      <w:r w:rsidR="00BD132D">
        <w:rPr>
          <w:rFonts w:ascii="Arial" w:hAnsi="Arial" w:cs="Arial"/>
          <w:sz w:val="24"/>
          <w:szCs w:val="24"/>
        </w:rPr>
        <w:t>related to the creation of additional right of use assets on office lease extensions</w:t>
      </w:r>
      <w:r w:rsidR="0075299C">
        <w:rPr>
          <w:rFonts w:ascii="Arial" w:hAnsi="Arial" w:cs="Arial"/>
          <w:sz w:val="24"/>
          <w:szCs w:val="24"/>
        </w:rPr>
        <w:t xml:space="preserve"> (£3.3m) as well as furniture and fittings as part of office refurbishments</w:t>
      </w:r>
      <w:r w:rsidR="002F3428">
        <w:rPr>
          <w:rFonts w:ascii="Arial" w:hAnsi="Arial" w:cs="Arial"/>
          <w:sz w:val="24"/>
          <w:szCs w:val="24"/>
        </w:rPr>
        <w:t xml:space="preserve"> (£1.9m) (See Note 6).</w:t>
      </w:r>
    </w:p>
    <w:p w14:paraId="3DEF7ABE" w14:textId="68B2A2A2" w:rsidR="00CE13F1" w:rsidRDefault="00CE13F1" w:rsidP="0003527D">
      <w:pPr>
        <w:pStyle w:val="Heading4"/>
        <w:rPr>
          <w:rFonts w:cs="Arial"/>
          <w:b w:val="0"/>
          <w:sz w:val="24"/>
          <w:szCs w:val="24"/>
        </w:rPr>
      </w:pPr>
      <w:r>
        <w:t>Where we spent our money</w:t>
      </w:r>
    </w:p>
    <w:p w14:paraId="609564A9" w14:textId="7AC7C6E1" w:rsidR="00E2690E" w:rsidRDefault="00371106" w:rsidP="00E16D6E">
      <w:pPr>
        <w:rPr>
          <w:rFonts w:ascii="Arial" w:hAnsi="Arial" w:cs="Arial"/>
          <w:sz w:val="24"/>
          <w:szCs w:val="24"/>
        </w:rPr>
      </w:pPr>
      <w:r w:rsidRPr="00DE5571">
        <w:rPr>
          <w:rFonts w:ascii="Arial" w:hAnsi="Arial" w:cs="Arial"/>
          <w:b/>
          <w:bCs/>
          <w:sz w:val="24"/>
          <w:szCs w:val="24"/>
        </w:rPr>
        <w:t>R</w:t>
      </w:r>
      <w:r w:rsidR="00BC7FED">
        <w:rPr>
          <w:rFonts w:ascii="Arial" w:hAnsi="Arial" w:cs="Arial"/>
          <w:b/>
          <w:bCs/>
          <w:sz w:val="24"/>
          <w:szCs w:val="24"/>
        </w:rPr>
        <w:t xml:space="preserve">edundancy </w:t>
      </w:r>
      <w:r w:rsidRPr="00DE5571">
        <w:rPr>
          <w:rFonts w:ascii="Arial" w:hAnsi="Arial" w:cs="Arial"/>
          <w:b/>
          <w:bCs/>
          <w:sz w:val="24"/>
          <w:szCs w:val="24"/>
        </w:rPr>
        <w:t>P</w:t>
      </w:r>
      <w:r w:rsidR="00BC7FED">
        <w:rPr>
          <w:rFonts w:ascii="Arial" w:hAnsi="Arial" w:cs="Arial"/>
          <w:b/>
          <w:bCs/>
          <w:sz w:val="24"/>
          <w:szCs w:val="24"/>
        </w:rPr>
        <w:t xml:space="preserve">ayment </w:t>
      </w:r>
      <w:r w:rsidRPr="00DE5571">
        <w:rPr>
          <w:rFonts w:ascii="Arial" w:hAnsi="Arial" w:cs="Arial"/>
          <w:b/>
          <w:bCs/>
          <w:sz w:val="24"/>
          <w:szCs w:val="24"/>
        </w:rPr>
        <w:t>S</w:t>
      </w:r>
      <w:r w:rsidR="00921742">
        <w:rPr>
          <w:rFonts w:ascii="Arial" w:hAnsi="Arial" w:cs="Arial"/>
          <w:b/>
          <w:bCs/>
          <w:sz w:val="24"/>
          <w:szCs w:val="24"/>
        </w:rPr>
        <w:t>cheme</w:t>
      </w:r>
      <w:r>
        <w:rPr>
          <w:rFonts w:ascii="Arial" w:hAnsi="Arial" w:cs="Arial"/>
          <w:sz w:val="24"/>
          <w:szCs w:val="24"/>
        </w:rPr>
        <w:t xml:space="preserve"> £504.8m (2022-23: £292.4m)</w:t>
      </w:r>
      <w:r w:rsidR="00DE5571">
        <w:rPr>
          <w:rFonts w:ascii="Arial" w:hAnsi="Arial" w:cs="Arial"/>
          <w:sz w:val="24"/>
          <w:szCs w:val="24"/>
        </w:rPr>
        <w:t xml:space="preserve">. </w:t>
      </w:r>
    </w:p>
    <w:p w14:paraId="66FBF394" w14:textId="18F7416B" w:rsidR="00CE13F1" w:rsidRDefault="00DE5571" w:rsidP="00E16D6E">
      <w:pPr>
        <w:rPr>
          <w:rFonts w:ascii="Arial" w:hAnsi="Arial" w:cs="Arial"/>
          <w:sz w:val="24"/>
          <w:szCs w:val="24"/>
        </w:rPr>
      </w:pPr>
      <w:r>
        <w:rPr>
          <w:rFonts w:ascii="Arial" w:hAnsi="Arial" w:cs="Arial"/>
          <w:sz w:val="24"/>
          <w:szCs w:val="24"/>
        </w:rPr>
        <w:t xml:space="preserve">We are responsible for making payments from the National Insurance Fund </w:t>
      </w:r>
      <w:r w:rsidR="002F713C">
        <w:rPr>
          <w:rFonts w:ascii="Arial" w:hAnsi="Arial" w:cs="Arial"/>
          <w:sz w:val="24"/>
          <w:szCs w:val="24"/>
        </w:rPr>
        <w:t>to employees who have been made redundant because of an insolvency, and/or where the employer has certain debts due to its employees other than redundancy</w:t>
      </w:r>
      <w:r w:rsidR="005C6422">
        <w:rPr>
          <w:rFonts w:ascii="Arial" w:hAnsi="Arial" w:cs="Arial"/>
          <w:sz w:val="24"/>
          <w:szCs w:val="24"/>
        </w:rPr>
        <w:t xml:space="preserve"> (e.g., unpaid wages, holiday pay</w:t>
      </w:r>
      <w:r w:rsidR="00865F0D">
        <w:rPr>
          <w:rFonts w:ascii="Arial" w:hAnsi="Arial" w:cs="Arial"/>
          <w:sz w:val="24"/>
          <w:szCs w:val="24"/>
        </w:rPr>
        <w:t xml:space="preserve"> and</w:t>
      </w:r>
      <w:r w:rsidR="005C6422">
        <w:rPr>
          <w:rFonts w:ascii="Arial" w:hAnsi="Arial" w:cs="Arial"/>
          <w:sz w:val="24"/>
          <w:szCs w:val="24"/>
        </w:rPr>
        <w:t xml:space="preserve"> notice pay)</w:t>
      </w:r>
      <w:r w:rsidR="00865F0D">
        <w:rPr>
          <w:rFonts w:ascii="Arial" w:hAnsi="Arial" w:cs="Arial"/>
          <w:sz w:val="24"/>
          <w:szCs w:val="24"/>
        </w:rPr>
        <w:t xml:space="preserve">. We then seek recovery of the amounts paid, either directly from a solvent employer or by lodging a claim in the insolvency case. This amount also includes </w:t>
      </w:r>
      <w:r w:rsidR="00427ED1">
        <w:rPr>
          <w:rFonts w:ascii="Arial" w:hAnsi="Arial" w:cs="Arial"/>
          <w:sz w:val="24"/>
          <w:szCs w:val="24"/>
        </w:rPr>
        <w:t>any National Insurance contributions payable by us to HMRC. The National Insurance Fund reimburses us daily for the claims paid out.</w:t>
      </w:r>
    </w:p>
    <w:p w14:paraId="5FFDDE3E" w14:textId="0834C3DB" w:rsidR="00E2690E" w:rsidRDefault="00D31EEA" w:rsidP="00E16D6E">
      <w:pPr>
        <w:rPr>
          <w:rFonts w:ascii="Arial" w:hAnsi="Arial" w:cs="Arial"/>
          <w:sz w:val="24"/>
          <w:szCs w:val="24"/>
        </w:rPr>
      </w:pPr>
      <w:r w:rsidRPr="169A080E">
        <w:rPr>
          <w:rFonts w:ascii="Arial" w:hAnsi="Arial" w:cs="Arial"/>
          <w:b/>
          <w:bCs/>
          <w:sz w:val="24"/>
          <w:szCs w:val="24"/>
        </w:rPr>
        <w:t>Permanent</w:t>
      </w:r>
      <w:r w:rsidR="00921742" w:rsidRPr="169A080E">
        <w:rPr>
          <w:rFonts w:ascii="Arial" w:hAnsi="Arial" w:cs="Arial"/>
          <w:b/>
          <w:bCs/>
          <w:sz w:val="24"/>
          <w:szCs w:val="24"/>
        </w:rPr>
        <w:t>ly employed</w:t>
      </w:r>
      <w:r w:rsidRPr="169A080E">
        <w:rPr>
          <w:rFonts w:ascii="Arial" w:hAnsi="Arial" w:cs="Arial"/>
          <w:b/>
          <w:bCs/>
          <w:sz w:val="24"/>
          <w:szCs w:val="24"/>
        </w:rPr>
        <w:t xml:space="preserve"> and </w:t>
      </w:r>
      <w:r w:rsidR="00921742" w:rsidRPr="169A080E">
        <w:rPr>
          <w:rFonts w:ascii="Arial" w:hAnsi="Arial" w:cs="Arial"/>
          <w:b/>
          <w:bCs/>
          <w:sz w:val="24"/>
          <w:szCs w:val="24"/>
        </w:rPr>
        <w:t>other</w:t>
      </w:r>
      <w:r w:rsidRPr="169A080E">
        <w:rPr>
          <w:rFonts w:ascii="Arial" w:hAnsi="Arial" w:cs="Arial"/>
          <w:b/>
          <w:bCs/>
          <w:sz w:val="24"/>
          <w:szCs w:val="24"/>
        </w:rPr>
        <w:t xml:space="preserve"> staffing</w:t>
      </w:r>
      <w:r w:rsidR="00921742" w:rsidRPr="169A080E">
        <w:rPr>
          <w:rFonts w:ascii="Arial" w:hAnsi="Arial" w:cs="Arial"/>
          <w:b/>
          <w:bCs/>
          <w:sz w:val="24"/>
          <w:szCs w:val="24"/>
        </w:rPr>
        <w:t xml:space="preserve"> costs</w:t>
      </w:r>
      <w:r w:rsidR="00E2690E" w:rsidRPr="169A080E">
        <w:rPr>
          <w:rFonts w:ascii="Arial" w:hAnsi="Arial" w:cs="Arial"/>
          <w:sz w:val="24"/>
          <w:szCs w:val="24"/>
        </w:rPr>
        <w:t xml:space="preserve"> £99.3m (2022-23: £87.8m). </w:t>
      </w:r>
    </w:p>
    <w:p w14:paraId="557317A9" w14:textId="3500341B" w:rsidR="00A1047D" w:rsidRDefault="00E2690E" w:rsidP="00E16D6E">
      <w:pPr>
        <w:rPr>
          <w:rFonts w:ascii="Arial" w:hAnsi="Arial" w:cs="Arial"/>
          <w:sz w:val="24"/>
          <w:szCs w:val="24"/>
        </w:rPr>
      </w:pPr>
      <w:r>
        <w:rPr>
          <w:rFonts w:ascii="Arial" w:hAnsi="Arial" w:cs="Arial"/>
          <w:sz w:val="24"/>
          <w:szCs w:val="24"/>
        </w:rPr>
        <w:t>This</w:t>
      </w:r>
      <w:r w:rsidR="009B2FC1">
        <w:rPr>
          <w:rFonts w:ascii="Arial" w:hAnsi="Arial" w:cs="Arial"/>
          <w:sz w:val="24"/>
          <w:szCs w:val="24"/>
        </w:rPr>
        <w:t xml:space="preserve"> represents payment for </w:t>
      </w:r>
      <w:r w:rsidR="00921742">
        <w:rPr>
          <w:rFonts w:ascii="Arial" w:hAnsi="Arial" w:cs="Arial"/>
          <w:sz w:val="24"/>
          <w:szCs w:val="24"/>
        </w:rPr>
        <w:t>wages and</w:t>
      </w:r>
      <w:r w:rsidR="00117DD9">
        <w:rPr>
          <w:rFonts w:ascii="Arial" w:hAnsi="Arial" w:cs="Arial"/>
          <w:sz w:val="24"/>
          <w:szCs w:val="24"/>
        </w:rPr>
        <w:t xml:space="preserve"> </w:t>
      </w:r>
      <w:r w:rsidR="009B2FC1">
        <w:rPr>
          <w:rFonts w:ascii="Arial" w:hAnsi="Arial" w:cs="Arial"/>
          <w:sz w:val="24"/>
          <w:szCs w:val="24"/>
        </w:rPr>
        <w:t>salaries inclusive of pension and National Insurance contributions and is net of recoveries relating to outw</w:t>
      </w:r>
      <w:r w:rsidR="00A1047D">
        <w:rPr>
          <w:rFonts w:ascii="Arial" w:hAnsi="Arial" w:cs="Arial"/>
          <w:sz w:val="24"/>
          <w:szCs w:val="24"/>
        </w:rPr>
        <w:t>ard secondees.</w:t>
      </w:r>
    </w:p>
    <w:p w14:paraId="163A437E" w14:textId="6FED29CE" w:rsidR="00D31EEA" w:rsidRDefault="00A1047D" w:rsidP="00E16D6E">
      <w:pPr>
        <w:rPr>
          <w:rFonts w:ascii="Arial" w:hAnsi="Arial" w:cs="Arial"/>
          <w:sz w:val="24"/>
          <w:szCs w:val="24"/>
        </w:rPr>
      </w:pPr>
      <w:r>
        <w:rPr>
          <w:rFonts w:ascii="Arial" w:hAnsi="Arial" w:cs="Arial"/>
          <w:b/>
          <w:bCs/>
          <w:sz w:val="24"/>
          <w:szCs w:val="24"/>
        </w:rPr>
        <w:t>IT Infras</w:t>
      </w:r>
      <w:r w:rsidR="00AB111D">
        <w:rPr>
          <w:rFonts w:ascii="Arial" w:hAnsi="Arial" w:cs="Arial"/>
          <w:b/>
          <w:bCs/>
          <w:sz w:val="24"/>
          <w:szCs w:val="24"/>
        </w:rPr>
        <w:t>t</w:t>
      </w:r>
      <w:r>
        <w:rPr>
          <w:rFonts w:ascii="Arial" w:hAnsi="Arial" w:cs="Arial"/>
          <w:b/>
          <w:bCs/>
          <w:sz w:val="24"/>
          <w:szCs w:val="24"/>
        </w:rPr>
        <w:t>ructure</w:t>
      </w:r>
      <w:r w:rsidR="00E2690E">
        <w:rPr>
          <w:rFonts w:ascii="Arial" w:hAnsi="Arial" w:cs="Arial"/>
          <w:sz w:val="24"/>
          <w:szCs w:val="24"/>
        </w:rPr>
        <w:t xml:space="preserve"> </w:t>
      </w:r>
      <w:r w:rsidR="00AB111D">
        <w:rPr>
          <w:rFonts w:ascii="Arial" w:hAnsi="Arial" w:cs="Arial"/>
          <w:sz w:val="24"/>
          <w:szCs w:val="24"/>
        </w:rPr>
        <w:t>£22.8m (2022-23: £25.7m)</w:t>
      </w:r>
    </w:p>
    <w:p w14:paraId="255D3810" w14:textId="3A17FF76" w:rsidR="00AB111D" w:rsidRDefault="00AB111D" w:rsidP="00E16D6E">
      <w:pPr>
        <w:rPr>
          <w:rFonts w:ascii="Arial" w:hAnsi="Arial" w:cs="Arial"/>
          <w:sz w:val="24"/>
          <w:szCs w:val="24"/>
        </w:rPr>
      </w:pPr>
      <w:r w:rsidRPr="00AB111D">
        <w:rPr>
          <w:rFonts w:ascii="Arial" w:hAnsi="Arial" w:cs="Arial"/>
          <w:sz w:val="24"/>
          <w:szCs w:val="24"/>
        </w:rPr>
        <w:t>We spent</w:t>
      </w:r>
      <w:r w:rsidR="001D01DB">
        <w:rPr>
          <w:rFonts w:ascii="Arial" w:hAnsi="Arial" w:cs="Arial"/>
          <w:sz w:val="24"/>
          <w:szCs w:val="24"/>
        </w:rPr>
        <w:t xml:space="preserve"> this to provide functions such as Service Governance, Cyber Security, Information Governance, Service Architecture, Business Relationship Management </w:t>
      </w:r>
      <w:r w:rsidR="00786064">
        <w:rPr>
          <w:rFonts w:ascii="Arial" w:hAnsi="Arial" w:cs="Arial"/>
          <w:sz w:val="24"/>
          <w:szCs w:val="24"/>
        </w:rPr>
        <w:t>and Application Services. In addition, we invested in the modernisation of the technology used by our customers and our people.</w:t>
      </w:r>
    </w:p>
    <w:p w14:paraId="0F7313FE" w14:textId="299D6BFE" w:rsidR="00786064" w:rsidRDefault="00E4003F" w:rsidP="00E16D6E">
      <w:pPr>
        <w:rPr>
          <w:rFonts w:ascii="Arial" w:hAnsi="Arial" w:cs="Arial"/>
          <w:sz w:val="24"/>
          <w:szCs w:val="24"/>
        </w:rPr>
      </w:pPr>
      <w:r>
        <w:rPr>
          <w:rFonts w:ascii="Arial" w:hAnsi="Arial" w:cs="Arial"/>
          <w:b/>
          <w:bCs/>
          <w:sz w:val="24"/>
          <w:szCs w:val="24"/>
        </w:rPr>
        <w:t xml:space="preserve">Investigations </w:t>
      </w:r>
      <w:r>
        <w:rPr>
          <w:rFonts w:ascii="Arial" w:hAnsi="Arial" w:cs="Arial"/>
          <w:sz w:val="24"/>
          <w:szCs w:val="24"/>
        </w:rPr>
        <w:t>£3.1m (2022-23: £3.0m)</w:t>
      </w:r>
    </w:p>
    <w:p w14:paraId="429129FA" w14:textId="7EF46AA1" w:rsidR="00E4003F" w:rsidRDefault="00BB4246" w:rsidP="00E16D6E">
      <w:pPr>
        <w:rPr>
          <w:rFonts w:ascii="Arial" w:hAnsi="Arial" w:cs="Arial"/>
          <w:sz w:val="24"/>
          <w:szCs w:val="24"/>
        </w:rPr>
      </w:pPr>
      <w:r>
        <w:rPr>
          <w:rFonts w:ascii="Arial" w:hAnsi="Arial" w:cs="Arial"/>
          <w:sz w:val="24"/>
          <w:szCs w:val="24"/>
        </w:rPr>
        <w:t xml:space="preserve">This is the amount that we spend </w:t>
      </w:r>
      <w:r w:rsidR="00B8742D">
        <w:rPr>
          <w:rFonts w:ascii="Arial" w:hAnsi="Arial" w:cs="Arial"/>
          <w:sz w:val="24"/>
          <w:szCs w:val="24"/>
        </w:rPr>
        <w:t>externally on investigations</w:t>
      </w:r>
      <w:r>
        <w:rPr>
          <w:rFonts w:ascii="Arial" w:hAnsi="Arial" w:cs="Arial"/>
          <w:sz w:val="24"/>
          <w:szCs w:val="24"/>
        </w:rPr>
        <w:t xml:space="preserve"> </w:t>
      </w:r>
      <w:r w:rsidR="00B8742D">
        <w:rPr>
          <w:rFonts w:ascii="Arial" w:hAnsi="Arial" w:cs="Arial"/>
          <w:sz w:val="24"/>
          <w:szCs w:val="24"/>
        </w:rPr>
        <w:t>and enforcement. This is to support National Interest Cases and o</w:t>
      </w:r>
      <w:r w:rsidR="001E6014">
        <w:rPr>
          <w:rFonts w:ascii="Arial" w:hAnsi="Arial" w:cs="Arial"/>
          <w:sz w:val="24"/>
          <w:szCs w:val="24"/>
        </w:rPr>
        <w:t xml:space="preserve">ther investigations, director and corporate behaviour and those who abuse the system. We undertook a range of </w:t>
      </w:r>
      <w:r w:rsidR="00C44BA7">
        <w:rPr>
          <w:rFonts w:ascii="Arial" w:hAnsi="Arial" w:cs="Arial"/>
          <w:sz w:val="24"/>
          <w:szCs w:val="24"/>
        </w:rPr>
        <w:t xml:space="preserve">investigation and enforcement activities which helped maintain confidence in the UK as a great place to do work and do business. We undertook investigations </w:t>
      </w:r>
      <w:r w:rsidR="00744562">
        <w:rPr>
          <w:rFonts w:ascii="Arial" w:hAnsi="Arial" w:cs="Arial"/>
          <w:sz w:val="24"/>
          <w:szCs w:val="24"/>
        </w:rPr>
        <w:t xml:space="preserve">into live companies and company directors’ conduct in relation to companies in formal insolvency. We also investigated </w:t>
      </w:r>
      <w:r w:rsidR="002A0E18">
        <w:rPr>
          <w:rFonts w:ascii="Arial" w:hAnsi="Arial" w:cs="Arial"/>
          <w:sz w:val="24"/>
          <w:szCs w:val="24"/>
        </w:rPr>
        <w:t xml:space="preserve">criminal misconduct in company and personal insolvency cases. The vast majority of our spend on investigations </w:t>
      </w:r>
      <w:r w:rsidR="003F615D">
        <w:rPr>
          <w:rFonts w:ascii="Arial" w:hAnsi="Arial" w:cs="Arial"/>
          <w:sz w:val="24"/>
          <w:szCs w:val="24"/>
        </w:rPr>
        <w:t>arose from staff costs.</w:t>
      </w:r>
    </w:p>
    <w:p w14:paraId="30B8502F" w14:textId="4ECC502C" w:rsidR="003F615D" w:rsidRDefault="003F615D" w:rsidP="00E16D6E">
      <w:pPr>
        <w:rPr>
          <w:rFonts w:ascii="Arial" w:hAnsi="Arial" w:cs="Arial"/>
          <w:sz w:val="24"/>
          <w:szCs w:val="24"/>
        </w:rPr>
      </w:pPr>
      <w:r>
        <w:rPr>
          <w:rFonts w:ascii="Arial" w:hAnsi="Arial" w:cs="Arial"/>
          <w:b/>
          <w:bCs/>
          <w:sz w:val="24"/>
          <w:szCs w:val="24"/>
        </w:rPr>
        <w:t xml:space="preserve">Civil and Criminal Legal costs </w:t>
      </w:r>
      <w:r>
        <w:rPr>
          <w:rFonts w:ascii="Arial" w:hAnsi="Arial" w:cs="Arial"/>
          <w:sz w:val="24"/>
          <w:szCs w:val="24"/>
        </w:rPr>
        <w:t>£5.6m (2022-23: £10.</w:t>
      </w:r>
      <w:r w:rsidR="00DE3DBF">
        <w:rPr>
          <w:rFonts w:ascii="Arial" w:hAnsi="Arial" w:cs="Arial"/>
          <w:sz w:val="24"/>
          <w:szCs w:val="24"/>
        </w:rPr>
        <w:t>8</w:t>
      </w:r>
      <w:r>
        <w:rPr>
          <w:rFonts w:ascii="Arial" w:hAnsi="Arial" w:cs="Arial"/>
          <w:sz w:val="24"/>
          <w:szCs w:val="24"/>
        </w:rPr>
        <w:t>m)</w:t>
      </w:r>
    </w:p>
    <w:p w14:paraId="424A4BF5" w14:textId="632F2C27" w:rsidR="00943F09" w:rsidRDefault="00B82EBA">
      <w:pPr>
        <w:rPr>
          <w:rFonts w:ascii="Arial" w:hAnsi="Arial" w:cs="Arial"/>
          <w:b/>
          <w:bCs/>
          <w:sz w:val="24"/>
          <w:szCs w:val="24"/>
        </w:rPr>
      </w:pPr>
      <w:r>
        <w:rPr>
          <w:rFonts w:ascii="Arial" w:hAnsi="Arial" w:cs="Arial"/>
          <w:sz w:val="24"/>
          <w:szCs w:val="24"/>
        </w:rPr>
        <w:t>These costs cover civil litigation work to disqualify company directors for misconduct</w:t>
      </w:r>
      <w:r w:rsidR="00B20CBA">
        <w:rPr>
          <w:rFonts w:ascii="Arial" w:hAnsi="Arial" w:cs="Arial"/>
          <w:sz w:val="24"/>
          <w:szCs w:val="24"/>
        </w:rPr>
        <w:t xml:space="preserve">, the winding up of companies acting contrary to the public interest and providing advice on the conduct of statutory enquiries and insolvent </w:t>
      </w:r>
      <w:r w:rsidR="00F558D3">
        <w:rPr>
          <w:rFonts w:ascii="Arial" w:hAnsi="Arial" w:cs="Arial"/>
          <w:sz w:val="24"/>
          <w:szCs w:val="24"/>
        </w:rPr>
        <w:t>investigations. These costs also include criminal enforcement activity</w:t>
      </w:r>
      <w:r w:rsidR="002110C6">
        <w:rPr>
          <w:rFonts w:ascii="Arial" w:hAnsi="Arial" w:cs="Arial"/>
          <w:sz w:val="24"/>
          <w:szCs w:val="24"/>
        </w:rPr>
        <w:t>, including the prosecution of a wide range of offences across England and Wales</w:t>
      </w:r>
      <w:r w:rsidR="00D834DD">
        <w:rPr>
          <w:rFonts w:ascii="Arial" w:hAnsi="Arial" w:cs="Arial"/>
          <w:sz w:val="24"/>
          <w:szCs w:val="24"/>
        </w:rPr>
        <w:t xml:space="preserve"> concerned with insolvency related crime and corporate misconduct, providing advice</w:t>
      </w:r>
      <w:r w:rsidR="00F3734A">
        <w:rPr>
          <w:rFonts w:ascii="Arial" w:hAnsi="Arial" w:cs="Arial"/>
          <w:sz w:val="24"/>
          <w:szCs w:val="24"/>
        </w:rPr>
        <w:t xml:space="preserve"> on drafting new criminal offences and enforcement strategies. As part of our criminal enforcement activity</w:t>
      </w:r>
      <w:r w:rsidR="009551ED">
        <w:rPr>
          <w:rFonts w:ascii="Arial" w:hAnsi="Arial" w:cs="Arial"/>
          <w:sz w:val="24"/>
          <w:szCs w:val="24"/>
        </w:rPr>
        <w:t>, we pursued confiscation orders to deprive criminals of the proceeds of crime.</w:t>
      </w:r>
      <w:r w:rsidR="00943F09">
        <w:rPr>
          <w:rFonts w:ascii="Arial" w:hAnsi="Arial" w:cs="Arial"/>
          <w:b/>
          <w:bCs/>
          <w:sz w:val="24"/>
          <w:szCs w:val="24"/>
        </w:rPr>
        <w:br w:type="page"/>
      </w:r>
    </w:p>
    <w:p w14:paraId="4A642324" w14:textId="782F1BCC" w:rsidR="004A1C05" w:rsidRDefault="004A1C05" w:rsidP="00E16D6E">
      <w:pPr>
        <w:rPr>
          <w:rFonts w:ascii="Arial" w:hAnsi="Arial" w:cs="Arial"/>
          <w:sz w:val="24"/>
          <w:szCs w:val="24"/>
        </w:rPr>
      </w:pPr>
      <w:r>
        <w:rPr>
          <w:rFonts w:ascii="Arial" w:hAnsi="Arial" w:cs="Arial"/>
          <w:b/>
          <w:bCs/>
          <w:sz w:val="24"/>
          <w:szCs w:val="24"/>
        </w:rPr>
        <w:lastRenderedPageBreak/>
        <w:t>Estates</w:t>
      </w:r>
      <w:r>
        <w:rPr>
          <w:rFonts w:ascii="Arial" w:hAnsi="Arial" w:cs="Arial"/>
          <w:sz w:val="24"/>
          <w:szCs w:val="24"/>
        </w:rPr>
        <w:t xml:space="preserve"> £5.0m (2022-23: £5.2m)</w:t>
      </w:r>
    </w:p>
    <w:p w14:paraId="51B680DA" w14:textId="77777777" w:rsidR="006A38E5" w:rsidRDefault="00D43F65" w:rsidP="00E16D6E">
      <w:pPr>
        <w:rPr>
          <w:rFonts w:ascii="Arial" w:hAnsi="Arial" w:cs="Arial"/>
          <w:sz w:val="24"/>
          <w:szCs w:val="24"/>
        </w:rPr>
      </w:pPr>
      <w:r>
        <w:rPr>
          <w:rFonts w:ascii="Arial" w:hAnsi="Arial" w:cs="Arial"/>
          <w:sz w:val="24"/>
          <w:szCs w:val="24"/>
        </w:rPr>
        <w:t>We spent this on accommodation costs, including operating leases.</w:t>
      </w:r>
    </w:p>
    <w:p w14:paraId="66585E5E" w14:textId="617A1990" w:rsidR="00D43F65" w:rsidRPr="001F0871" w:rsidRDefault="00155F55" w:rsidP="00E16D6E">
      <w:pPr>
        <w:rPr>
          <w:rFonts w:ascii="Arial" w:hAnsi="Arial" w:cs="Arial"/>
          <w:b/>
          <w:bCs/>
          <w:sz w:val="24"/>
          <w:szCs w:val="24"/>
        </w:rPr>
      </w:pPr>
      <w:r>
        <w:rPr>
          <w:rFonts w:ascii="Arial" w:hAnsi="Arial" w:cs="Arial"/>
          <w:b/>
          <w:bCs/>
          <w:sz w:val="24"/>
          <w:szCs w:val="24"/>
        </w:rPr>
        <w:t xml:space="preserve">Non-cash items </w:t>
      </w:r>
      <w:r>
        <w:rPr>
          <w:rFonts w:ascii="Arial" w:hAnsi="Arial" w:cs="Arial"/>
          <w:sz w:val="24"/>
          <w:szCs w:val="24"/>
        </w:rPr>
        <w:t>£11.</w:t>
      </w:r>
      <w:r w:rsidR="00DE3DBF">
        <w:rPr>
          <w:rFonts w:ascii="Arial" w:hAnsi="Arial" w:cs="Arial"/>
          <w:sz w:val="24"/>
          <w:szCs w:val="24"/>
        </w:rPr>
        <w:t>4</w:t>
      </w:r>
      <w:r>
        <w:rPr>
          <w:rFonts w:ascii="Arial" w:hAnsi="Arial" w:cs="Arial"/>
          <w:sz w:val="24"/>
          <w:szCs w:val="24"/>
        </w:rPr>
        <w:t>m (2022-23: £9.1m)</w:t>
      </w:r>
    </w:p>
    <w:p w14:paraId="691BE867" w14:textId="0403BB74" w:rsidR="00155F55" w:rsidRDefault="00B97606" w:rsidP="00E16D6E">
      <w:pPr>
        <w:rPr>
          <w:rFonts w:ascii="Arial" w:hAnsi="Arial" w:cs="Arial"/>
          <w:sz w:val="24"/>
          <w:szCs w:val="24"/>
        </w:rPr>
      </w:pPr>
      <w:r>
        <w:rPr>
          <w:rFonts w:ascii="Arial" w:hAnsi="Arial" w:cs="Arial"/>
          <w:sz w:val="24"/>
          <w:szCs w:val="24"/>
        </w:rPr>
        <w:t xml:space="preserve">We spent this on non-cash items including depreciation and amortisation (which represents </w:t>
      </w:r>
      <w:r w:rsidR="001D47C0">
        <w:rPr>
          <w:rFonts w:ascii="Arial" w:hAnsi="Arial" w:cs="Arial"/>
          <w:sz w:val="24"/>
          <w:szCs w:val="24"/>
        </w:rPr>
        <w:t>the reduction in value of tangible and intangible assets over time), expected losses</w:t>
      </w:r>
      <w:r w:rsidR="00D52314">
        <w:rPr>
          <w:rFonts w:ascii="Arial" w:hAnsi="Arial" w:cs="Arial"/>
          <w:sz w:val="24"/>
          <w:szCs w:val="24"/>
        </w:rPr>
        <w:t>, provisions for obligations payable in the future, accounting adjustments for the time value of money (discounting) and audit fees.</w:t>
      </w:r>
    </w:p>
    <w:p w14:paraId="613F095E" w14:textId="08AA1B5E" w:rsidR="00CD781C" w:rsidRDefault="00CD781C" w:rsidP="00E16D6E">
      <w:pPr>
        <w:rPr>
          <w:rFonts w:ascii="Arial" w:hAnsi="Arial" w:cs="Arial"/>
          <w:sz w:val="24"/>
          <w:szCs w:val="24"/>
        </w:rPr>
      </w:pPr>
      <w:r>
        <w:rPr>
          <w:rFonts w:ascii="Arial" w:hAnsi="Arial" w:cs="Arial"/>
          <w:b/>
          <w:bCs/>
          <w:sz w:val="24"/>
          <w:szCs w:val="24"/>
        </w:rPr>
        <w:t>Other costs and general administration</w:t>
      </w:r>
      <w:r>
        <w:rPr>
          <w:rFonts w:ascii="Arial" w:hAnsi="Arial" w:cs="Arial"/>
          <w:sz w:val="24"/>
          <w:szCs w:val="24"/>
        </w:rPr>
        <w:t xml:space="preserve"> £</w:t>
      </w:r>
      <w:r w:rsidR="00FE2ACC">
        <w:rPr>
          <w:rFonts w:ascii="Arial" w:hAnsi="Arial" w:cs="Arial"/>
          <w:sz w:val="24"/>
          <w:szCs w:val="24"/>
        </w:rPr>
        <w:t>9.9</w:t>
      </w:r>
      <w:r>
        <w:rPr>
          <w:rFonts w:ascii="Arial" w:hAnsi="Arial" w:cs="Arial"/>
          <w:sz w:val="24"/>
          <w:szCs w:val="24"/>
        </w:rPr>
        <w:t>m (2022-23: £6.</w:t>
      </w:r>
      <w:r w:rsidR="00FE2ACC">
        <w:rPr>
          <w:rFonts w:ascii="Arial" w:hAnsi="Arial" w:cs="Arial"/>
          <w:sz w:val="24"/>
          <w:szCs w:val="24"/>
        </w:rPr>
        <w:t>8</w:t>
      </w:r>
      <w:r>
        <w:rPr>
          <w:rFonts w:ascii="Arial" w:hAnsi="Arial" w:cs="Arial"/>
          <w:sz w:val="24"/>
          <w:szCs w:val="24"/>
        </w:rPr>
        <w:t>m)</w:t>
      </w:r>
    </w:p>
    <w:p w14:paraId="41D35753" w14:textId="0095D7CD" w:rsidR="00CD781C" w:rsidRDefault="0064347C" w:rsidP="00E16D6E">
      <w:pPr>
        <w:rPr>
          <w:rFonts w:ascii="Arial" w:hAnsi="Arial" w:cs="Arial"/>
          <w:sz w:val="24"/>
          <w:szCs w:val="24"/>
        </w:rPr>
      </w:pPr>
      <w:r>
        <w:rPr>
          <w:rFonts w:ascii="Arial" w:hAnsi="Arial" w:cs="Arial"/>
          <w:sz w:val="24"/>
          <w:szCs w:val="24"/>
        </w:rPr>
        <w:t>We spent this on administration of HR and payroll costs (for shared services), non-salary</w:t>
      </w:r>
      <w:r w:rsidR="00363F83">
        <w:rPr>
          <w:rFonts w:ascii="Arial" w:hAnsi="Arial" w:cs="Arial"/>
          <w:sz w:val="24"/>
          <w:szCs w:val="24"/>
        </w:rPr>
        <w:t xml:space="preserve"> related staff costs (e.g., training, travel, subsistence, welfare, recruitment), office supplies</w:t>
      </w:r>
      <w:r w:rsidR="00267DAE">
        <w:rPr>
          <w:rFonts w:ascii="Arial" w:hAnsi="Arial" w:cs="Arial"/>
          <w:sz w:val="24"/>
          <w:szCs w:val="24"/>
        </w:rPr>
        <w:t xml:space="preserve"> (e.g., print, postage, stationery, telephony), property maintenance</w:t>
      </w:r>
      <w:r w:rsidR="00917DCB">
        <w:rPr>
          <w:rFonts w:ascii="Arial" w:hAnsi="Arial" w:cs="Arial"/>
          <w:sz w:val="24"/>
          <w:szCs w:val="24"/>
        </w:rPr>
        <w:t xml:space="preserve"> and furniture costs not capitalised, financing costs and consultancy costs.</w:t>
      </w:r>
    </w:p>
    <w:p w14:paraId="0A4BFA13" w14:textId="6AAADA84" w:rsidR="007956CB" w:rsidRDefault="007956CB" w:rsidP="0003527D">
      <w:pPr>
        <w:pStyle w:val="Heading4"/>
        <w:rPr>
          <w:rFonts w:cs="Arial"/>
          <w:b w:val="0"/>
          <w:sz w:val="24"/>
          <w:szCs w:val="24"/>
        </w:rPr>
      </w:pPr>
      <w:r>
        <w:t>Where we received income</w:t>
      </w:r>
    </w:p>
    <w:p w14:paraId="2AA64F37" w14:textId="46668D85" w:rsidR="00E14D69" w:rsidRDefault="00E14D69" w:rsidP="00E16D6E">
      <w:pPr>
        <w:rPr>
          <w:rFonts w:ascii="Arial" w:hAnsi="Arial" w:cs="Arial"/>
          <w:sz w:val="24"/>
          <w:szCs w:val="24"/>
        </w:rPr>
      </w:pPr>
      <w:r>
        <w:rPr>
          <w:rFonts w:ascii="Arial" w:hAnsi="Arial" w:cs="Arial"/>
          <w:b/>
          <w:bCs/>
          <w:sz w:val="24"/>
          <w:szCs w:val="24"/>
        </w:rPr>
        <w:t xml:space="preserve">Insolvency </w:t>
      </w:r>
      <w:r w:rsidR="00810E4F">
        <w:rPr>
          <w:rFonts w:ascii="Arial" w:hAnsi="Arial" w:cs="Arial"/>
          <w:b/>
          <w:bCs/>
          <w:sz w:val="24"/>
          <w:szCs w:val="24"/>
        </w:rPr>
        <w:t>C</w:t>
      </w:r>
      <w:r>
        <w:rPr>
          <w:rFonts w:ascii="Arial" w:hAnsi="Arial" w:cs="Arial"/>
          <w:b/>
          <w:bCs/>
          <w:sz w:val="24"/>
          <w:szCs w:val="24"/>
        </w:rPr>
        <w:t xml:space="preserve">ase </w:t>
      </w:r>
      <w:r w:rsidR="00810E4F">
        <w:rPr>
          <w:rFonts w:ascii="Arial" w:hAnsi="Arial" w:cs="Arial"/>
          <w:b/>
          <w:bCs/>
          <w:sz w:val="24"/>
          <w:szCs w:val="24"/>
        </w:rPr>
        <w:t>A</w:t>
      </w:r>
      <w:r>
        <w:rPr>
          <w:rFonts w:ascii="Arial" w:hAnsi="Arial" w:cs="Arial"/>
          <w:b/>
          <w:bCs/>
          <w:sz w:val="24"/>
          <w:szCs w:val="24"/>
        </w:rPr>
        <w:t xml:space="preserve">dministration fees </w:t>
      </w:r>
      <w:r>
        <w:rPr>
          <w:rFonts w:ascii="Arial" w:hAnsi="Arial" w:cs="Arial"/>
          <w:sz w:val="24"/>
          <w:szCs w:val="24"/>
        </w:rPr>
        <w:t>£60.4m (2022-23</w:t>
      </w:r>
      <w:r w:rsidR="00C96674">
        <w:rPr>
          <w:rFonts w:ascii="Arial" w:hAnsi="Arial" w:cs="Arial"/>
          <w:sz w:val="24"/>
          <w:szCs w:val="24"/>
        </w:rPr>
        <w:t>: £109.7m)</w:t>
      </w:r>
    </w:p>
    <w:p w14:paraId="3879C0A8" w14:textId="0035C99B" w:rsidR="00C96674" w:rsidRDefault="00C96674" w:rsidP="00E16D6E">
      <w:pPr>
        <w:rPr>
          <w:rFonts w:ascii="Arial" w:hAnsi="Arial" w:cs="Arial"/>
          <w:sz w:val="24"/>
          <w:szCs w:val="24"/>
        </w:rPr>
      </w:pPr>
      <w:r>
        <w:rPr>
          <w:rFonts w:ascii="Arial" w:hAnsi="Arial" w:cs="Arial"/>
          <w:sz w:val="24"/>
          <w:szCs w:val="24"/>
        </w:rPr>
        <w:t>This is income we have recognised for trustee</w:t>
      </w:r>
      <w:r w:rsidR="00117DD9">
        <w:rPr>
          <w:rFonts w:ascii="Arial" w:hAnsi="Arial" w:cs="Arial"/>
          <w:sz w:val="24"/>
          <w:szCs w:val="24"/>
        </w:rPr>
        <w:t>/</w:t>
      </w:r>
      <w:r>
        <w:rPr>
          <w:rFonts w:ascii="Arial" w:hAnsi="Arial" w:cs="Arial"/>
          <w:sz w:val="24"/>
          <w:szCs w:val="24"/>
        </w:rPr>
        <w:t>liquidator, administration and general fees from all our cases</w:t>
      </w:r>
      <w:r w:rsidR="00810E4F">
        <w:rPr>
          <w:rFonts w:ascii="Arial" w:hAnsi="Arial" w:cs="Arial"/>
          <w:sz w:val="24"/>
          <w:szCs w:val="24"/>
        </w:rPr>
        <w:t>.</w:t>
      </w:r>
    </w:p>
    <w:p w14:paraId="05609DB7" w14:textId="0651CB25" w:rsidR="00810E4F" w:rsidRDefault="00810E4F" w:rsidP="00E16D6E">
      <w:pPr>
        <w:rPr>
          <w:rFonts w:ascii="Arial" w:hAnsi="Arial" w:cs="Arial"/>
          <w:sz w:val="24"/>
          <w:szCs w:val="24"/>
        </w:rPr>
      </w:pPr>
      <w:r>
        <w:rPr>
          <w:rFonts w:ascii="Arial" w:hAnsi="Arial" w:cs="Arial"/>
          <w:b/>
          <w:bCs/>
          <w:sz w:val="24"/>
          <w:szCs w:val="24"/>
        </w:rPr>
        <w:t>Redundancy Payment Scheme recovery</w:t>
      </w:r>
      <w:r>
        <w:rPr>
          <w:rFonts w:ascii="Arial" w:hAnsi="Arial" w:cs="Arial"/>
          <w:sz w:val="24"/>
          <w:szCs w:val="24"/>
        </w:rPr>
        <w:t xml:space="preserve"> £39.8m</w:t>
      </w:r>
      <w:r w:rsidR="005B4C8F">
        <w:rPr>
          <w:rFonts w:ascii="Arial" w:hAnsi="Arial" w:cs="Arial"/>
          <w:sz w:val="24"/>
          <w:szCs w:val="24"/>
        </w:rPr>
        <w:t xml:space="preserve"> (2022-23: £28.5m)</w:t>
      </w:r>
    </w:p>
    <w:p w14:paraId="71BA8D75" w14:textId="6BE4963E" w:rsidR="005B4C8F" w:rsidRDefault="005B4C8F" w:rsidP="00E16D6E">
      <w:pPr>
        <w:rPr>
          <w:rFonts w:ascii="Arial" w:hAnsi="Arial" w:cs="Arial"/>
          <w:sz w:val="24"/>
          <w:szCs w:val="24"/>
        </w:rPr>
      </w:pPr>
      <w:r>
        <w:rPr>
          <w:rFonts w:ascii="Arial" w:hAnsi="Arial" w:cs="Arial"/>
          <w:sz w:val="24"/>
          <w:szCs w:val="24"/>
        </w:rPr>
        <w:t xml:space="preserve">This is income from cash receipts and estimated </w:t>
      </w:r>
      <w:r w:rsidR="007801C8">
        <w:rPr>
          <w:rFonts w:ascii="Arial" w:hAnsi="Arial" w:cs="Arial"/>
          <w:sz w:val="24"/>
          <w:szCs w:val="24"/>
        </w:rPr>
        <w:t>future recoveries.</w:t>
      </w:r>
    </w:p>
    <w:p w14:paraId="21649CB3" w14:textId="0B9FD913" w:rsidR="007801C8" w:rsidRDefault="007801C8" w:rsidP="00E16D6E">
      <w:pPr>
        <w:rPr>
          <w:rFonts w:ascii="Arial" w:hAnsi="Arial" w:cs="Arial"/>
          <w:sz w:val="24"/>
          <w:szCs w:val="24"/>
        </w:rPr>
      </w:pPr>
      <w:r>
        <w:rPr>
          <w:rFonts w:ascii="Arial" w:hAnsi="Arial" w:cs="Arial"/>
          <w:b/>
          <w:bCs/>
          <w:sz w:val="24"/>
          <w:szCs w:val="24"/>
        </w:rPr>
        <w:t>Redundancy payments administration income</w:t>
      </w:r>
      <w:r w:rsidR="003601E0">
        <w:rPr>
          <w:rFonts w:ascii="Arial" w:hAnsi="Arial" w:cs="Arial"/>
          <w:sz w:val="24"/>
          <w:szCs w:val="24"/>
        </w:rPr>
        <w:t xml:space="preserve"> £9.5m (2022-23: £</w:t>
      </w:r>
      <w:r w:rsidR="00123D87">
        <w:rPr>
          <w:rFonts w:ascii="Arial" w:hAnsi="Arial" w:cs="Arial"/>
          <w:sz w:val="24"/>
          <w:szCs w:val="24"/>
        </w:rPr>
        <w:t>9.5m)</w:t>
      </w:r>
    </w:p>
    <w:p w14:paraId="4B2841ED" w14:textId="20E04FAD" w:rsidR="00123D87" w:rsidRDefault="00123D87" w:rsidP="00E16D6E">
      <w:pPr>
        <w:rPr>
          <w:rFonts w:ascii="Arial" w:hAnsi="Arial" w:cs="Arial"/>
          <w:sz w:val="24"/>
          <w:szCs w:val="24"/>
        </w:rPr>
      </w:pPr>
      <w:r>
        <w:rPr>
          <w:rFonts w:ascii="Arial" w:hAnsi="Arial" w:cs="Arial"/>
          <w:sz w:val="24"/>
          <w:szCs w:val="24"/>
        </w:rPr>
        <w:t>This is income from HMRC to fund the cost of the service to administer RPS.</w:t>
      </w:r>
    </w:p>
    <w:p w14:paraId="149F2BC9" w14:textId="6E93F0DC" w:rsidR="00123D87" w:rsidRDefault="00EA13BD" w:rsidP="00E16D6E">
      <w:pPr>
        <w:rPr>
          <w:rFonts w:ascii="Arial" w:hAnsi="Arial" w:cs="Arial"/>
          <w:sz w:val="24"/>
          <w:szCs w:val="24"/>
        </w:rPr>
      </w:pPr>
      <w:r>
        <w:rPr>
          <w:rFonts w:ascii="Arial" w:hAnsi="Arial" w:cs="Arial"/>
          <w:b/>
          <w:bCs/>
          <w:sz w:val="24"/>
          <w:szCs w:val="24"/>
        </w:rPr>
        <w:t>Debt Relief Order fee income</w:t>
      </w:r>
      <w:r w:rsidR="004F154A">
        <w:rPr>
          <w:rFonts w:ascii="Arial" w:hAnsi="Arial" w:cs="Arial"/>
          <w:sz w:val="24"/>
          <w:szCs w:val="24"/>
        </w:rPr>
        <w:t xml:space="preserve"> £</w:t>
      </w:r>
      <w:r w:rsidR="00FE2ACC">
        <w:rPr>
          <w:rFonts w:ascii="Arial" w:hAnsi="Arial" w:cs="Arial"/>
          <w:sz w:val="24"/>
          <w:szCs w:val="24"/>
        </w:rPr>
        <w:t>3.0</w:t>
      </w:r>
      <w:r w:rsidR="004F154A">
        <w:rPr>
          <w:rFonts w:ascii="Arial" w:hAnsi="Arial" w:cs="Arial"/>
          <w:sz w:val="24"/>
          <w:szCs w:val="24"/>
        </w:rPr>
        <w:t>m (2022-23: £2.2m)</w:t>
      </w:r>
    </w:p>
    <w:p w14:paraId="1718CB49" w14:textId="588D2676" w:rsidR="004F154A" w:rsidRDefault="004F154A" w:rsidP="00E16D6E">
      <w:pPr>
        <w:rPr>
          <w:rFonts w:ascii="Arial" w:hAnsi="Arial" w:cs="Arial"/>
          <w:sz w:val="24"/>
          <w:szCs w:val="24"/>
        </w:rPr>
      </w:pPr>
      <w:r>
        <w:rPr>
          <w:rFonts w:ascii="Arial" w:hAnsi="Arial" w:cs="Arial"/>
          <w:sz w:val="24"/>
          <w:szCs w:val="24"/>
        </w:rPr>
        <w:t>This relates to income received regarding Debt Relief Orders which are a low-cost alternative debt solution</w:t>
      </w:r>
      <w:r w:rsidR="008446E4">
        <w:rPr>
          <w:rFonts w:ascii="Arial" w:hAnsi="Arial" w:cs="Arial"/>
          <w:sz w:val="24"/>
          <w:szCs w:val="24"/>
        </w:rPr>
        <w:t xml:space="preserve"> following a submission from a specialist debt adviser.</w:t>
      </w:r>
      <w:r w:rsidR="00117DD9">
        <w:rPr>
          <w:rFonts w:ascii="Arial" w:hAnsi="Arial" w:cs="Arial"/>
          <w:sz w:val="24"/>
          <w:szCs w:val="24"/>
        </w:rPr>
        <w:t xml:space="preserve"> For new cases </w:t>
      </w:r>
      <w:r w:rsidR="002F62D5">
        <w:rPr>
          <w:rFonts w:ascii="Arial" w:hAnsi="Arial" w:cs="Arial"/>
          <w:sz w:val="24"/>
          <w:szCs w:val="24"/>
        </w:rPr>
        <w:t>from 6 April 2024 this income stream will end and DRO costs will be funded from DBT.</w:t>
      </w:r>
    </w:p>
    <w:p w14:paraId="1F5F83A7" w14:textId="48959AEC" w:rsidR="008446E4" w:rsidRDefault="008446E4" w:rsidP="00E16D6E">
      <w:pPr>
        <w:rPr>
          <w:rFonts w:ascii="Arial" w:hAnsi="Arial" w:cs="Arial"/>
          <w:sz w:val="24"/>
          <w:szCs w:val="24"/>
        </w:rPr>
      </w:pPr>
      <w:r>
        <w:rPr>
          <w:rFonts w:ascii="Arial" w:hAnsi="Arial" w:cs="Arial"/>
          <w:b/>
          <w:bCs/>
          <w:sz w:val="24"/>
          <w:szCs w:val="24"/>
        </w:rPr>
        <w:t>Income from Online Debt Solutions</w:t>
      </w:r>
      <w:r w:rsidR="006B48F6">
        <w:rPr>
          <w:rFonts w:ascii="Arial" w:hAnsi="Arial" w:cs="Arial"/>
          <w:b/>
          <w:bCs/>
          <w:sz w:val="24"/>
          <w:szCs w:val="24"/>
        </w:rPr>
        <w:t xml:space="preserve"> and other debt solutions</w:t>
      </w:r>
      <w:r w:rsidR="006B48F6">
        <w:rPr>
          <w:rFonts w:ascii="Arial" w:hAnsi="Arial" w:cs="Arial"/>
          <w:sz w:val="24"/>
          <w:szCs w:val="24"/>
        </w:rPr>
        <w:t xml:space="preserve"> £1.7m (2022-23: £2.0m)</w:t>
      </w:r>
    </w:p>
    <w:p w14:paraId="7BD028DD" w14:textId="7C41DC87" w:rsidR="006B48F6" w:rsidRDefault="00105C40" w:rsidP="00E16D6E">
      <w:pPr>
        <w:rPr>
          <w:rFonts w:ascii="Arial" w:hAnsi="Arial" w:cs="Arial"/>
          <w:sz w:val="24"/>
          <w:szCs w:val="24"/>
        </w:rPr>
      </w:pPr>
      <w:r>
        <w:rPr>
          <w:rFonts w:ascii="Arial" w:hAnsi="Arial" w:cs="Arial"/>
          <w:sz w:val="24"/>
          <w:szCs w:val="24"/>
        </w:rPr>
        <w:t>This includes Individual Voluntary Arrangements and Deeds of Arrangements fees.</w:t>
      </w:r>
    </w:p>
    <w:p w14:paraId="3817ED1E" w14:textId="3AD6C2E8" w:rsidR="00105C40" w:rsidRDefault="009D00F3" w:rsidP="00E16D6E">
      <w:pPr>
        <w:rPr>
          <w:rFonts w:ascii="Arial" w:hAnsi="Arial" w:cs="Arial"/>
          <w:sz w:val="24"/>
          <w:szCs w:val="24"/>
        </w:rPr>
      </w:pPr>
      <w:r>
        <w:rPr>
          <w:rFonts w:ascii="Arial" w:hAnsi="Arial" w:cs="Arial"/>
          <w:b/>
          <w:bCs/>
          <w:sz w:val="24"/>
          <w:szCs w:val="24"/>
        </w:rPr>
        <w:t>Investigation, enforcement and criminal enforcement</w:t>
      </w:r>
      <w:r>
        <w:rPr>
          <w:rFonts w:ascii="Arial" w:hAnsi="Arial" w:cs="Arial"/>
          <w:sz w:val="24"/>
          <w:szCs w:val="24"/>
        </w:rPr>
        <w:t xml:space="preserve"> £4.7m</w:t>
      </w:r>
      <w:r w:rsidR="00BE1383">
        <w:rPr>
          <w:rFonts w:ascii="Arial" w:hAnsi="Arial" w:cs="Arial"/>
          <w:sz w:val="24"/>
          <w:szCs w:val="24"/>
        </w:rPr>
        <w:t xml:space="preserve"> (2022-23: £1.7m)</w:t>
      </w:r>
    </w:p>
    <w:p w14:paraId="0B95E455" w14:textId="24314054" w:rsidR="00BE1383" w:rsidRDefault="00BE1383" w:rsidP="00E16D6E">
      <w:pPr>
        <w:rPr>
          <w:rFonts w:ascii="Arial" w:hAnsi="Arial" w:cs="Arial"/>
          <w:sz w:val="24"/>
          <w:szCs w:val="24"/>
        </w:rPr>
      </w:pPr>
      <w:r>
        <w:rPr>
          <w:rFonts w:ascii="Arial" w:hAnsi="Arial" w:cs="Arial"/>
          <w:sz w:val="24"/>
          <w:szCs w:val="24"/>
        </w:rPr>
        <w:t>This is income relating to civil and criminal costs which have been recovered.</w:t>
      </w:r>
    </w:p>
    <w:p w14:paraId="3ECF9CA8" w14:textId="72C724D6" w:rsidR="00BE1383" w:rsidRDefault="00011060" w:rsidP="00E16D6E">
      <w:pPr>
        <w:rPr>
          <w:rFonts w:ascii="Arial" w:hAnsi="Arial" w:cs="Arial"/>
          <w:sz w:val="24"/>
          <w:szCs w:val="24"/>
        </w:rPr>
      </w:pPr>
      <w:r>
        <w:rPr>
          <w:rFonts w:ascii="Arial" w:hAnsi="Arial" w:cs="Arial"/>
          <w:b/>
          <w:bCs/>
          <w:sz w:val="24"/>
          <w:szCs w:val="24"/>
        </w:rPr>
        <w:t>Regulation of insolvency practitioners’ income and banking fee income</w:t>
      </w:r>
      <w:r>
        <w:rPr>
          <w:rFonts w:ascii="Arial" w:hAnsi="Arial" w:cs="Arial"/>
          <w:sz w:val="24"/>
          <w:szCs w:val="24"/>
        </w:rPr>
        <w:t xml:space="preserve"> £1.5m (2022-23: £1.4m)</w:t>
      </w:r>
    </w:p>
    <w:p w14:paraId="3AD0F423" w14:textId="020B8C13" w:rsidR="00282365" w:rsidRDefault="00282365" w:rsidP="00E16D6E">
      <w:pPr>
        <w:rPr>
          <w:rFonts w:ascii="Arial" w:hAnsi="Arial" w:cs="Arial"/>
          <w:sz w:val="24"/>
          <w:szCs w:val="24"/>
        </w:rPr>
      </w:pPr>
      <w:r>
        <w:rPr>
          <w:rFonts w:ascii="Arial" w:hAnsi="Arial" w:cs="Arial"/>
          <w:b/>
          <w:bCs/>
          <w:sz w:val="24"/>
          <w:szCs w:val="24"/>
        </w:rPr>
        <w:t xml:space="preserve">Rental income </w:t>
      </w:r>
      <w:r>
        <w:rPr>
          <w:rFonts w:ascii="Arial" w:hAnsi="Arial" w:cs="Arial"/>
          <w:sz w:val="24"/>
          <w:szCs w:val="24"/>
        </w:rPr>
        <w:t>£0.3m (2022-23: £0.8m)</w:t>
      </w:r>
    </w:p>
    <w:p w14:paraId="522197FE" w14:textId="73B12B55" w:rsidR="00282365" w:rsidRDefault="00282365" w:rsidP="00E16D6E">
      <w:pPr>
        <w:rPr>
          <w:rFonts w:ascii="Arial" w:hAnsi="Arial" w:cs="Arial"/>
          <w:sz w:val="24"/>
          <w:szCs w:val="24"/>
        </w:rPr>
      </w:pPr>
      <w:r>
        <w:rPr>
          <w:rFonts w:ascii="Arial" w:hAnsi="Arial" w:cs="Arial"/>
          <w:sz w:val="24"/>
          <w:szCs w:val="24"/>
        </w:rPr>
        <w:t xml:space="preserve">This was from office space shared with </w:t>
      </w:r>
      <w:r w:rsidR="001B3F9B">
        <w:rPr>
          <w:rFonts w:ascii="Arial" w:hAnsi="Arial" w:cs="Arial"/>
          <w:sz w:val="24"/>
          <w:szCs w:val="24"/>
        </w:rPr>
        <w:t>other public sector occupants.</w:t>
      </w:r>
    </w:p>
    <w:p w14:paraId="7BDE750A" w14:textId="62BF8D26" w:rsidR="006043D3" w:rsidRDefault="006043D3">
      <w:pPr>
        <w:rPr>
          <w:rFonts w:ascii="Arial" w:hAnsi="Arial" w:cs="Arial"/>
          <w:b/>
          <w:bCs/>
          <w:sz w:val="24"/>
          <w:szCs w:val="24"/>
        </w:rPr>
      </w:pPr>
    </w:p>
    <w:p w14:paraId="270D8E88" w14:textId="11BC3232" w:rsidR="00FB1FEE" w:rsidRPr="006903D9" w:rsidRDefault="00DE2871" w:rsidP="0003527D">
      <w:pPr>
        <w:pStyle w:val="Heading4"/>
        <w:rPr>
          <w:rFonts w:cs="Arial"/>
          <w:b w:val="0"/>
          <w:sz w:val="24"/>
          <w:szCs w:val="24"/>
        </w:rPr>
      </w:pPr>
      <w:r w:rsidRPr="006903D9">
        <w:lastRenderedPageBreak/>
        <w:t>Issues and key risks</w:t>
      </w:r>
    </w:p>
    <w:p w14:paraId="27CD96E1" w14:textId="0399E369" w:rsidR="00DE2871" w:rsidRDefault="00DE2871" w:rsidP="00E16D6E">
      <w:pPr>
        <w:rPr>
          <w:rFonts w:ascii="Arial" w:hAnsi="Arial" w:cs="Arial"/>
          <w:sz w:val="24"/>
          <w:szCs w:val="24"/>
        </w:rPr>
      </w:pPr>
      <w:r>
        <w:rPr>
          <w:rFonts w:ascii="Arial" w:hAnsi="Arial" w:cs="Arial"/>
          <w:sz w:val="24"/>
          <w:szCs w:val="24"/>
        </w:rPr>
        <w:t>The key issues and risks that could affect delivery of our objectives are set out in our Governance Statement</w:t>
      </w:r>
      <w:r w:rsidR="006903D9">
        <w:rPr>
          <w:rFonts w:ascii="Arial" w:hAnsi="Arial" w:cs="Arial"/>
          <w:sz w:val="24"/>
          <w:szCs w:val="24"/>
        </w:rPr>
        <w:t>.</w:t>
      </w:r>
    </w:p>
    <w:p w14:paraId="4F6C9F76" w14:textId="41B5E665" w:rsidR="009F4E33" w:rsidRDefault="00E142FF" w:rsidP="00E16D6E">
      <w:pPr>
        <w:rPr>
          <w:rFonts w:ascii="Arial" w:hAnsi="Arial" w:cs="Arial"/>
          <w:sz w:val="24"/>
          <w:szCs w:val="24"/>
        </w:rPr>
      </w:pPr>
      <w:r>
        <w:rPr>
          <w:noProof/>
        </w:rPr>
        <w:drawing>
          <wp:anchor distT="0" distB="0" distL="114300" distR="114300" simplePos="0" relativeHeight="251658256" behindDoc="0" locked="0" layoutInCell="1" allowOverlap="1" wp14:anchorId="677B6A41" wp14:editId="7A5493D1">
            <wp:simplePos x="0" y="0"/>
            <wp:positionH relativeFrom="margin">
              <wp:align>left</wp:align>
            </wp:positionH>
            <wp:positionV relativeFrom="paragraph">
              <wp:posOffset>127212</wp:posOffset>
            </wp:positionV>
            <wp:extent cx="1672590" cy="647700"/>
            <wp:effectExtent l="0" t="0" r="3810" b="0"/>
            <wp:wrapThrough wrapText="bothSides">
              <wp:wrapPolygon edited="0">
                <wp:start x="0" y="0"/>
                <wp:lineTo x="0" y="20965"/>
                <wp:lineTo x="21403" y="20965"/>
                <wp:lineTo x="2140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259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EB830" w14:textId="3B0F5B3F" w:rsidR="009F4E33" w:rsidRDefault="009F4E33" w:rsidP="00E16D6E">
      <w:pPr>
        <w:rPr>
          <w:rFonts w:ascii="Arial" w:hAnsi="Arial" w:cs="Arial"/>
          <w:sz w:val="24"/>
          <w:szCs w:val="24"/>
        </w:rPr>
      </w:pPr>
    </w:p>
    <w:p w14:paraId="5794DC0B" w14:textId="77777777" w:rsidR="00E142FF" w:rsidRDefault="00E142FF" w:rsidP="00E16D6E">
      <w:pPr>
        <w:rPr>
          <w:rFonts w:ascii="Arial" w:hAnsi="Arial" w:cs="Arial"/>
          <w:sz w:val="24"/>
          <w:szCs w:val="24"/>
        </w:rPr>
      </w:pPr>
    </w:p>
    <w:p w14:paraId="32BB5769" w14:textId="04CA7E32" w:rsidR="006903D9" w:rsidRDefault="006903D9" w:rsidP="00E16D6E">
      <w:pPr>
        <w:rPr>
          <w:rFonts w:ascii="Arial" w:hAnsi="Arial" w:cs="Arial"/>
          <w:sz w:val="24"/>
          <w:szCs w:val="24"/>
        </w:rPr>
      </w:pPr>
      <w:r>
        <w:rPr>
          <w:rFonts w:ascii="Arial" w:hAnsi="Arial" w:cs="Arial"/>
          <w:sz w:val="24"/>
          <w:szCs w:val="24"/>
        </w:rPr>
        <w:t>Dean Beale</w:t>
      </w:r>
      <w:r w:rsidR="009F4E33">
        <w:rPr>
          <w:rFonts w:ascii="Arial" w:hAnsi="Arial" w:cs="Arial"/>
          <w:sz w:val="24"/>
          <w:szCs w:val="24"/>
        </w:rPr>
        <w:br/>
      </w:r>
      <w:r>
        <w:rPr>
          <w:rFonts w:ascii="Arial" w:hAnsi="Arial" w:cs="Arial"/>
          <w:sz w:val="24"/>
          <w:szCs w:val="24"/>
        </w:rPr>
        <w:t>Chief Executive</w:t>
      </w:r>
      <w:r w:rsidR="009F4E33">
        <w:rPr>
          <w:rFonts w:ascii="Arial" w:hAnsi="Arial" w:cs="Arial"/>
          <w:sz w:val="24"/>
          <w:szCs w:val="24"/>
        </w:rPr>
        <w:br/>
      </w:r>
      <w:r>
        <w:rPr>
          <w:rFonts w:ascii="Arial" w:hAnsi="Arial" w:cs="Arial"/>
          <w:sz w:val="24"/>
          <w:szCs w:val="24"/>
        </w:rPr>
        <w:t xml:space="preserve">Date: </w:t>
      </w:r>
      <w:r w:rsidR="0060455E">
        <w:rPr>
          <w:rFonts w:ascii="Arial" w:hAnsi="Arial" w:cs="Arial"/>
          <w:sz w:val="24"/>
          <w:szCs w:val="24"/>
        </w:rPr>
        <w:t xml:space="preserve">16 </w:t>
      </w:r>
      <w:r>
        <w:rPr>
          <w:rFonts w:ascii="Arial" w:hAnsi="Arial" w:cs="Arial"/>
          <w:sz w:val="24"/>
          <w:szCs w:val="24"/>
        </w:rPr>
        <w:t>July 2024</w:t>
      </w:r>
    </w:p>
    <w:p w14:paraId="70B0DC56" w14:textId="77777777" w:rsidR="00FD5286" w:rsidRDefault="00FD5286">
      <w:pPr>
        <w:rPr>
          <w:rFonts w:ascii="Arial" w:hAnsi="Arial" w:cs="Arial"/>
          <w:b/>
          <w:bCs/>
          <w:color w:val="4472C4" w:themeColor="accent1"/>
          <w:sz w:val="28"/>
          <w:szCs w:val="28"/>
        </w:rPr>
      </w:pPr>
      <w:r>
        <w:rPr>
          <w:rFonts w:ascii="Arial" w:hAnsi="Arial" w:cs="Arial"/>
          <w:b/>
          <w:bCs/>
          <w:color w:val="4472C4" w:themeColor="accent1"/>
          <w:sz w:val="28"/>
          <w:szCs w:val="28"/>
        </w:rPr>
        <w:br w:type="page"/>
      </w:r>
    </w:p>
    <w:p w14:paraId="59F5BB02" w14:textId="2F29C680" w:rsidR="006903D9" w:rsidRPr="006903D9" w:rsidRDefault="006903D9" w:rsidP="0003527D">
      <w:pPr>
        <w:pStyle w:val="Heading2"/>
        <w:rPr>
          <w:rFonts w:cs="Arial"/>
          <w:b w:val="0"/>
          <w:sz w:val="28"/>
          <w:szCs w:val="28"/>
        </w:rPr>
      </w:pPr>
      <w:r w:rsidRPr="006903D9">
        <w:lastRenderedPageBreak/>
        <w:t>2. Accountability Report</w:t>
      </w:r>
    </w:p>
    <w:p w14:paraId="60B74884" w14:textId="760B50D3" w:rsidR="005930A9" w:rsidRPr="006903D9" w:rsidRDefault="0075261A" w:rsidP="00E16D6E">
      <w:pPr>
        <w:rPr>
          <w:rFonts w:ascii="Arial" w:hAnsi="Arial" w:cs="Arial"/>
          <w:b/>
          <w:bCs/>
          <w:color w:val="4472C4" w:themeColor="accent1"/>
          <w:sz w:val="28"/>
          <w:szCs w:val="28"/>
        </w:rPr>
      </w:pPr>
      <w:r>
        <w:rPr>
          <w:rFonts w:ascii="Arial" w:hAnsi="Arial" w:cs="Arial"/>
          <w:b/>
          <w:bCs/>
          <w:noProof/>
          <w:color w:val="4472C4" w:themeColor="accent1"/>
          <w:sz w:val="28"/>
          <w:szCs w:val="28"/>
        </w:rPr>
        <w:drawing>
          <wp:inline distT="0" distB="0" distL="0" distR="0" wp14:anchorId="3CCE473F" wp14:editId="3C1DF054">
            <wp:extent cx="5722620" cy="3815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722620" cy="3815080"/>
                    </a:xfrm>
                    <a:prstGeom prst="rect">
                      <a:avLst/>
                    </a:prstGeom>
                    <a:noFill/>
                    <a:ln>
                      <a:noFill/>
                    </a:ln>
                  </pic:spPr>
                </pic:pic>
              </a:graphicData>
            </a:graphic>
          </wp:inline>
        </w:drawing>
      </w:r>
    </w:p>
    <w:p w14:paraId="6FBFAB20" w14:textId="3D18F6C9" w:rsidR="000202C4" w:rsidRDefault="00BA797C" w:rsidP="00EC36DB">
      <w:pPr>
        <w:rPr>
          <w:rFonts w:ascii="Arial" w:hAnsi="Arial" w:cs="Arial"/>
          <w:sz w:val="24"/>
          <w:szCs w:val="24"/>
        </w:rPr>
      </w:pPr>
      <w:r>
        <w:rPr>
          <w:rFonts w:ascii="Arial" w:hAnsi="Arial" w:cs="Arial"/>
          <w:sz w:val="24"/>
          <w:szCs w:val="24"/>
        </w:rPr>
        <w:t xml:space="preserve">The accountability report is comprised of </w:t>
      </w:r>
      <w:r w:rsidR="00960ED0">
        <w:rPr>
          <w:rFonts w:ascii="Arial" w:hAnsi="Arial" w:cs="Arial"/>
          <w:sz w:val="24"/>
          <w:szCs w:val="24"/>
        </w:rPr>
        <w:t>three sections:</w:t>
      </w:r>
    </w:p>
    <w:p w14:paraId="4B5DE142" w14:textId="460B8F52" w:rsidR="00960ED0" w:rsidRDefault="00960ED0" w:rsidP="00960ED0">
      <w:pPr>
        <w:pStyle w:val="ListParagraph"/>
        <w:numPr>
          <w:ilvl w:val="0"/>
          <w:numId w:val="25"/>
        </w:numPr>
        <w:rPr>
          <w:rFonts w:ascii="Arial" w:hAnsi="Arial" w:cs="Arial"/>
          <w:sz w:val="24"/>
          <w:szCs w:val="24"/>
        </w:rPr>
      </w:pPr>
      <w:r>
        <w:rPr>
          <w:rFonts w:ascii="Arial" w:hAnsi="Arial" w:cs="Arial"/>
          <w:sz w:val="24"/>
          <w:szCs w:val="24"/>
        </w:rPr>
        <w:t>Corporate governance report</w:t>
      </w:r>
    </w:p>
    <w:p w14:paraId="693B57D8" w14:textId="6EC5A8BF" w:rsidR="00960ED0" w:rsidRDefault="00960ED0" w:rsidP="00960ED0">
      <w:pPr>
        <w:pStyle w:val="ListParagraph"/>
        <w:numPr>
          <w:ilvl w:val="0"/>
          <w:numId w:val="25"/>
        </w:numPr>
        <w:rPr>
          <w:rFonts w:ascii="Arial" w:hAnsi="Arial" w:cs="Arial"/>
          <w:sz w:val="24"/>
          <w:szCs w:val="24"/>
        </w:rPr>
      </w:pPr>
      <w:r>
        <w:rPr>
          <w:rFonts w:ascii="Arial" w:hAnsi="Arial" w:cs="Arial"/>
          <w:sz w:val="24"/>
          <w:szCs w:val="24"/>
        </w:rPr>
        <w:t>Remuneration and staff report</w:t>
      </w:r>
    </w:p>
    <w:p w14:paraId="61D0A329" w14:textId="4E57AFB5" w:rsidR="00960ED0" w:rsidRDefault="00960ED0" w:rsidP="00960ED0">
      <w:pPr>
        <w:pStyle w:val="ListParagraph"/>
        <w:numPr>
          <w:ilvl w:val="0"/>
          <w:numId w:val="25"/>
        </w:numPr>
        <w:rPr>
          <w:rFonts w:ascii="Arial" w:hAnsi="Arial" w:cs="Arial"/>
          <w:sz w:val="24"/>
          <w:szCs w:val="24"/>
        </w:rPr>
      </w:pPr>
      <w:r>
        <w:rPr>
          <w:rFonts w:ascii="Arial" w:hAnsi="Arial" w:cs="Arial"/>
          <w:sz w:val="24"/>
          <w:szCs w:val="24"/>
        </w:rPr>
        <w:t>Parliamentary</w:t>
      </w:r>
      <w:r w:rsidR="00C44A8B">
        <w:rPr>
          <w:rFonts w:ascii="Arial" w:hAnsi="Arial" w:cs="Arial"/>
          <w:sz w:val="24"/>
          <w:szCs w:val="24"/>
        </w:rPr>
        <w:t xml:space="preserve"> accountability and audit report</w:t>
      </w:r>
    </w:p>
    <w:p w14:paraId="36CA3EFB" w14:textId="55C91643" w:rsidR="00C44A8B" w:rsidRDefault="00C44A8B" w:rsidP="00C44A8B">
      <w:pPr>
        <w:rPr>
          <w:rFonts w:ascii="Arial" w:hAnsi="Arial" w:cs="Arial"/>
          <w:sz w:val="24"/>
          <w:szCs w:val="24"/>
        </w:rPr>
      </w:pPr>
      <w:r>
        <w:rPr>
          <w:rFonts w:ascii="Arial" w:hAnsi="Arial" w:cs="Arial"/>
          <w:sz w:val="24"/>
          <w:szCs w:val="24"/>
        </w:rPr>
        <w:t xml:space="preserve">The corporate governance report explains the composition and organisation </w:t>
      </w:r>
      <w:r w:rsidR="00725913">
        <w:rPr>
          <w:rFonts w:ascii="Arial" w:hAnsi="Arial" w:cs="Arial"/>
          <w:sz w:val="24"/>
          <w:szCs w:val="24"/>
        </w:rPr>
        <w:t>of our governance structures and how they support the achievement of our objectives. It is comprised of three sections:</w:t>
      </w:r>
    </w:p>
    <w:p w14:paraId="34D90F44" w14:textId="541D2BE5" w:rsidR="00FA30A7" w:rsidRDefault="00FA30A7" w:rsidP="00FA30A7">
      <w:pPr>
        <w:pStyle w:val="ListParagraph"/>
        <w:numPr>
          <w:ilvl w:val="0"/>
          <w:numId w:val="26"/>
        </w:numPr>
        <w:rPr>
          <w:rFonts w:ascii="Arial" w:hAnsi="Arial" w:cs="Arial"/>
          <w:sz w:val="24"/>
          <w:szCs w:val="24"/>
        </w:rPr>
      </w:pPr>
      <w:r>
        <w:rPr>
          <w:rFonts w:ascii="Arial" w:hAnsi="Arial" w:cs="Arial"/>
          <w:sz w:val="24"/>
          <w:szCs w:val="24"/>
        </w:rPr>
        <w:t>Directors’ report</w:t>
      </w:r>
    </w:p>
    <w:p w14:paraId="22BCF7A7" w14:textId="4D7B6623" w:rsidR="00FA30A7" w:rsidRDefault="00FA30A7" w:rsidP="00FA30A7">
      <w:pPr>
        <w:pStyle w:val="ListParagraph"/>
        <w:numPr>
          <w:ilvl w:val="0"/>
          <w:numId w:val="26"/>
        </w:numPr>
        <w:rPr>
          <w:rFonts w:ascii="Arial" w:hAnsi="Arial" w:cs="Arial"/>
          <w:sz w:val="24"/>
          <w:szCs w:val="24"/>
        </w:rPr>
      </w:pPr>
      <w:r>
        <w:rPr>
          <w:rFonts w:ascii="Arial" w:hAnsi="Arial" w:cs="Arial"/>
          <w:sz w:val="24"/>
          <w:szCs w:val="24"/>
        </w:rPr>
        <w:t>Statement of principal accounting officer’s responsibilities</w:t>
      </w:r>
    </w:p>
    <w:p w14:paraId="6524E21C" w14:textId="0E1E5EF8" w:rsidR="00FA30A7" w:rsidRDefault="00FA30A7" w:rsidP="00FA30A7">
      <w:pPr>
        <w:pStyle w:val="ListParagraph"/>
        <w:numPr>
          <w:ilvl w:val="0"/>
          <w:numId w:val="26"/>
        </w:numPr>
        <w:rPr>
          <w:rFonts w:ascii="Arial" w:hAnsi="Arial" w:cs="Arial"/>
          <w:sz w:val="24"/>
          <w:szCs w:val="24"/>
        </w:rPr>
      </w:pPr>
      <w:r>
        <w:rPr>
          <w:rFonts w:ascii="Arial" w:hAnsi="Arial" w:cs="Arial"/>
          <w:sz w:val="24"/>
          <w:szCs w:val="24"/>
        </w:rPr>
        <w:t xml:space="preserve">Governance </w:t>
      </w:r>
      <w:r w:rsidR="008A4218">
        <w:rPr>
          <w:rFonts w:ascii="Arial" w:hAnsi="Arial" w:cs="Arial"/>
          <w:sz w:val="24"/>
          <w:szCs w:val="24"/>
        </w:rPr>
        <w:t>statement</w:t>
      </w:r>
    </w:p>
    <w:p w14:paraId="10F3277E" w14:textId="2DB5F631" w:rsidR="00B95AD4" w:rsidRDefault="00B95AD4" w:rsidP="00B95AD4">
      <w:pPr>
        <w:rPr>
          <w:rFonts w:ascii="Arial" w:hAnsi="Arial" w:cs="Arial"/>
          <w:sz w:val="24"/>
          <w:szCs w:val="24"/>
        </w:rPr>
      </w:pPr>
      <w:r>
        <w:rPr>
          <w:rFonts w:ascii="Arial" w:hAnsi="Arial" w:cs="Arial"/>
          <w:sz w:val="24"/>
          <w:szCs w:val="24"/>
        </w:rPr>
        <w:t xml:space="preserve">The remuneration and staff report sets out our remuneration policy for directors, reports on how </w:t>
      </w:r>
      <w:r w:rsidR="00052368">
        <w:rPr>
          <w:rFonts w:ascii="Arial" w:hAnsi="Arial" w:cs="Arial"/>
          <w:sz w:val="24"/>
          <w:szCs w:val="24"/>
        </w:rPr>
        <w:t xml:space="preserve">policy has been implemented and sets out the amounts awarded to directors and where relevant the link between performance </w:t>
      </w:r>
      <w:r w:rsidR="00D62457">
        <w:rPr>
          <w:rFonts w:ascii="Arial" w:hAnsi="Arial" w:cs="Arial"/>
          <w:sz w:val="24"/>
          <w:szCs w:val="24"/>
        </w:rPr>
        <w:t>and remuneration (such as bonuses). It provides details on remuneration and staff that parliament and other users see as key to accountability. It also reports on staff matters, such as (but not limited to) staff numbers and costs, staff composition, sickness absence data, expenditure on consultancy and off-payroll engagements.</w:t>
      </w:r>
    </w:p>
    <w:p w14:paraId="0AE202B2" w14:textId="77777777" w:rsidR="00431E4E" w:rsidRDefault="00431E4E">
      <w:pPr>
        <w:rPr>
          <w:rFonts w:ascii="Arial" w:hAnsi="Arial" w:cs="Arial"/>
          <w:sz w:val="24"/>
          <w:szCs w:val="24"/>
        </w:rPr>
      </w:pPr>
      <w:r>
        <w:rPr>
          <w:rFonts w:ascii="Arial" w:hAnsi="Arial" w:cs="Arial"/>
          <w:sz w:val="24"/>
          <w:szCs w:val="24"/>
        </w:rPr>
        <w:br w:type="page"/>
      </w:r>
    </w:p>
    <w:p w14:paraId="3368CD55" w14:textId="467829A2" w:rsidR="00D62457" w:rsidRDefault="00D62457" w:rsidP="00B95AD4">
      <w:pPr>
        <w:rPr>
          <w:rFonts w:ascii="Arial" w:hAnsi="Arial" w:cs="Arial"/>
          <w:sz w:val="24"/>
          <w:szCs w:val="24"/>
        </w:rPr>
      </w:pPr>
      <w:r>
        <w:rPr>
          <w:rFonts w:ascii="Arial" w:hAnsi="Arial" w:cs="Arial"/>
          <w:sz w:val="24"/>
          <w:szCs w:val="24"/>
        </w:rPr>
        <w:lastRenderedPageBreak/>
        <w:t>The Parliamentary accountability and audit report brings together key parliamentary</w:t>
      </w:r>
      <w:r w:rsidR="002B4939">
        <w:rPr>
          <w:rFonts w:ascii="Arial" w:hAnsi="Arial" w:cs="Arial"/>
          <w:sz w:val="24"/>
          <w:szCs w:val="24"/>
        </w:rPr>
        <w:t xml:space="preserve"> accountability documents within the annual report and accounts. It comprises:</w:t>
      </w:r>
    </w:p>
    <w:p w14:paraId="30C9FF05" w14:textId="602D08AD" w:rsidR="002B4939" w:rsidRDefault="000B250F" w:rsidP="002B4939">
      <w:pPr>
        <w:pStyle w:val="ListParagraph"/>
        <w:numPr>
          <w:ilvl w:val="0"/>
          <w:numId w:val="27"/>
        </w:numPr>
        <w:rPr>
          <w:rFonts w:ascii="Arial" w:hAnsi="Arial" w:cs="Arial"/>
          <w:sz w:val="24"/>
          <w:szCs w:val="24"/>
        </w:rPr>
      </w:pPr>
      <w:r>
        <w:rPr>
          <w:rFonts w:ascii="Arial" w:hAnsi="Arial" w:cs="Arial"/>
          <w:sz w:val="24"/>
          <w:szCs w:val="24"/>
        </w:rPr>
        <w:t>p</w:t>
      </w:r>
      <w:r w:rsidR="002B4939">
        <w:rPr>
          <w:rFonts w:ascii="Arial" w:hAnsi="Arial" w:cs="Arial"/>
          <w:sz w:val="24"/>
          <w:szCs w:val="24"/>
        </w:rPr>
        <w:t>arliamenta</w:t>
      </w:r>
      <w:r>
        <w:rPr>
          <w:rFonts w:ascii="Arial" w:hAnsi="Arial" w:cs="Arial"/>
          <w:sz w:val="24"/>
          <w:szCs w:val="24"/>
        </w:rPr>
        <w:t>r</w:t>
      </w:r>
      <w:r w:rsidR="002B4939">
        <w:rPr>
          <w:rFonts w:ascii="Arial" w:hAnsi="Arial" w:cs="Arial"/>
          <w:sz w:val="24"/>
          <w:szCs w:val="24"/>
        </w:rPr>
        <w:t>y accountability disclosures</w:t>
      </w:r>
    </w:p>
    <w:p w14:paraId="2D90517C" w14:textId="738E2B7C" w:rsidR="002B4939" w:rsidRDefault="000B250F" w:rsidP="002B4939">
      <w:pPr>
        <w:pStyle w:val="ListParagraph"/>
        <w:numPr>
          <w:ilvl w:val="0"/>
          <w:numId w:val="27"/>
        </w:numPr>
        <w:rPr>
          <w:rFonts w:ascii="Arial" w:hAnsi="Arial" w:cs="Arial"/>
          <w:sz w:val="24"/>
          <w:szCs w:val="24"/>
        </w:rPr>
      </w:pPr>
      <w:r>
        <w:rPr>
          <w:rFonts w:ascii="Arial" w:hAnsi="Arial" w:cs="Arial"/>
          <w:sz w:val="24"/>
          <w:szCs w:val="24"/>
        </w:rPr>
        <w:t>regularity</w:t>
      </w:r>
      <w:r w:rsidR="002B4939">
        <w:rPr>
          <w:rFonts w:ascii="Arial" w:hAnsi="Arial" w:cs="Arial"/>
          <w:sz w:val="24"/>
          <w:szCs w:val="24"/>
        </w:rPr>
        <w:t xml:space="preserve"> of expenditure</w:t>
      </w:r>
    </w:p>
    <w:p w14:paraId="6C42BF07" w14:textId="70D3DEA7" w:rsidR="000B250F" w:rsidRDefault="000B250F" w:rsidP="002B4939">
      <w:pPr>
        <w:pStyle w:val="ListParagraph"/>
        <w:numPr>
          <w:ilvl w:val="0"/>
          <w:numId w:val="27"/>
        </w:numPr>
        <w:rPr>
          <w:rFonts w:ascii="Arial" w:hAnsi="Arial" w:cs="Arial"/>
          <w:sz w:val="24"/>
          <w:szCs w:val="24"/>
        </w:rPr>
      </w:pPr>
      <w:r>
        <w:rPr>
          <w:rFonts w:ascii="Arial" w:hAnsi="Arial" w:cs="Arial"/>
          <w:sz w:val="24"/>
          <w:szCs w:val="24"/>
        </w:rPr>
        <w:t>the Certificate and Report of the Comptroller and Auditor General to the House of Commons</w:t>
      </w:r>
    </w:p>
    <w:p w14:paraId="7B0673AD" w14:textId="3CE75888" w:rsidR="00155327" w:rsidRPr="000B250F" w:rsidRDefault="000B250F" w:rsidP="000B250F">
      <w:pPr>
        <w:rPr>
          <w:rFonts w:ascii="Arial" w:hAnsi="Arial" w:cs="Arial"/>
          <w:sz w:val="24"/>
          <w:szCs w:val="24"/>
        </w:rPr>
      </w:pPr>
      <w:r>
        <w:rPr>
          <w:rFonts w:ascii="Arial" w:hAnsi="Arial" w:cs="Arial"/>
          <w:sz w:val="24"/>
          <w:szCs w:val="24"/>
        </w:rPr>
        <w:t xml:space="preserve">By following </w:t>
      </w:r>
      <w:r w:rsidR="0032522D">
        <w:rPr>
          <w:rFonts w:ascii="Arial" w:hAnsi="Arial" w:cs="Arial"/>
          <w:sz w:val="24"/>
          <w:szCs w:val="24"/>
        </w:rPr>
        <w:t>the Government Financial Reporting manual requirements and best practice with corporate governance no</w:t>
      </w:r>
      <w:r w:rsidR="00155327">
        <w:rPr>
          <w:rFonts w:ascii="Arial" w:hAnsi="Arial" w:cs="Arial"/>
          <w:sz w:val="24"/>
          <w:szCs w:val="24"/>
        </w:rPr>
        <w:t>rms and codes, we can effectively demonstrate accountability to Parliament through the Accountability Report.</w:t>
      </w:r>
    </w:p>
    <w:p w14:paraId="2C97BD3A" w14:textId="32C39467" w:rsidR="00977C7A" w:rsidRDefault="00977C7A" w:rsidP="00886D8C">
      <w:pPr>
        <w:pStyle w:val="Heading3"/>
        <w:rPr>
          <w:b w:val="0"/>
          <w:color w:val="4472C4" w:themeColor="accent1"/>
        </w:rPr>
      </w:pPr>
      <w:r w:rsidRPr="00886D8C">
        <w:lastRenderedPageBreak/>
        <w:t>Corporate governance report</w:t>
      </w:r>
    </w:p>
    <w:p w14:paraId="348F2383" w14:textId="2236E732" w:rsidR="00EE3002" w:rsidRDefault="00A17414" w:rsidP="001A0B49">
      <w:pPr>
        <w:keepNext/>
        <w:keepLines/>
        <w:spacing w:before="160" w:after="120" w:line="240" w:lineRule="auto"/>
        <w:outlineLvl w:val="2"/>
        <w:rPr>
          <w:rFonts w:ascii="Arial" w:eastAsiaTheme="majorEastAsia" w:hAnsi="Arial" w:cstheme="majorBidi"/>
          <w:b/>
          <w:kern w:val="0"/>
          <w:sz w:val="24"/>
          <w:szCs w:val="24"/>
          <w14:ligatures w14:val="none"/>
        </w:rPr>
      </w:pPr>
      <w:r>
        <w:rPr>
          <w:rFonts w:ascii="Arial" w:eastAsiaTheme="majorEastAsia" w:hAnsi="Arial" w:cstheme="majorBidi"/>
          <w:b/>
          <w:noProof/>
          <w:kern w:val="0"/>
          <w:sz w:val="24"/>
          <w:szCs w:val="24"/>
          <w14:ligatures w14:val="none"/>
        </w:rPr>
        <w:drawing>
          <wp:inline distT="0" distB="0" distL="0" distR="0" wp14:anchorId="57B9BA79" wp14:editId="5139D51F">
            <wp:extent cx="5727032" cy="30251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727032" cy="3025140"/>
                    </a:xfrm>
                    <a:prstGeom prst="rect">
                      <a:avLst/>
                    </a:prstGeom>
                    <a:noFill/>
                    <a:ln>
                      <a:noFill/>
                    </a:ln>
                  </pic:spPr>
                </pic:pic>
              </a:graphicData>
            </a:graphic>
          </wp:inline>
        </w:drawing>
      </w:r>
    </w:p>
    <w:p w14:paraId="6061EEDC" w14:textId="70202EF7" w:rsidR="003C4C84" w:rsidRPr="00A80E22" w:rsidRDefault="00A80E22" w:rsidP="001A0B49">
      <w:pPr>
        <w:keepNext/>
        <w:keepLines/>
        <w:spacing w:before="160" w:after="120" w:line="240" w:lineRule="auto"/>
        <w:outlineLvl w:val="2"/>
        <w:rPr>
          <w:rFonts w:ascii="Arial" w:eastAsiaTheme="majorEastAsia" w:hAnsi="Arial" w:cstheme="majorBidi"/>
          <w:bCs/>
          <w:kern w:val="0"/>
          <w:sz w:val="20"/>
          <w:szCs w:val="20"/>
          <w14:ligatures w14:val="none"/>
        </w:rPr>
      </w:pPr>
      <w:r w:rsidRPr="00A80E22">
        <w:rPr>
          <w:rFonts w:ascii="Arial" w:eastAsiaTheme="majorEastAsia" w:hAnsi="Arial" w:cstheme="majorBidi"/>
          <w:bCs/>
          <w:kern w:val="0"/>
          <w:sz w:val="20"/>
          <w:szCs w:val="20"/>
          <w14:ligatures w14:val="none"/>
        </w:rPr>
        <w:t>Our Insolvency Service Board</w:t>
      </w:r>
      <w:r w:rsidR="00826C1B">
        <w:rPr>
          <w:rFonts w:ascii="Arial" w:eastAsiaTheme="majorEastAsia" w:hAnsi="Arial" w:cstheme="majorBidi"/>
          <w:bCs/>
          <w:kern w:val="0"/>
          <w:sz w:val="20"/>
          <w:szCs w:val="20"/>
          <w14:ligatures w14:val="none"/>
        </w:rPr>
        <w:t xml:space="preserve"> Members</w:t>
      </w:r>
    </w:p>
    <w:p w14:paraId="537F2937" w14:textId="6EC6AAA6" w:rsidR="00977C7A" w:rsidRDefault="00977C7A" w:rsidP="00965CA0">
      <w:pPr>
        <w:pStyle w:val="Heading4"/>
        <w:rPr>
          <w:b w:val="0"/>
          <w:sz w:val="24"/>
          <w:szCs w:val="24"/>
        </w:rPr>
      </w:pPr>
      <w:r>
        <w:t>Directors’ report</w:t>
      </w:r>
    </w:p>
    <w:p w14:paraId="7215D5DB" w14:textId="083BD641" w:rsidR="00401673" w:rsidRDefault="00401673"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 xml:space="preserve">The composition of our </w:t>
      </w:r>
      <w:r w:rsidR="00B84F72">
        <w:rPr>
          <w:rFonts w:ascii="Arial" w:eastAsiaTheme="majorEastAsia" w:hAnsi="Arial" w:cstheme="majorBidi"/>
          <w:bCs/>
          <w:kern w:val="0"/>
          <w:sz w:val="24"/>
          <w:szCs w:val="24"/>
          <w14:ligatures w14:val="none"/>
        </w:rPr>
        <w:t xml:space="preserve">governance </w:t>
      </w:r>
      <w:r>
        <w:rPr>
          <w:rFonts w:ascii="Arial" w:eastAsiaTheme="majorEastAsia" w:hAnsi="Arial" w:cstheme="majorBidi"/>
          <w:bCs/>
          <w:kern w:val="0"/>
          <w:sz w:val="24"/>
          <w:szCs w:val="24"/>
          <w14:ligatures w14:val="none"/>
        </w:rPr>
        <w:t>boards (including advisory and non-executive members) having authority or responsibility for directing or controlling the major activities of the entity during the year are as follows:</w:t>
      </w:r>
    </w:p>
    <w:p w14:paraId="63375ADB" w14:textId="335EF022" w:rsidR="00401673" w:rsidRDefault="001B7B55" w:rsidP="00965CA0">
      <w:pPr>
        <w:pStyle w:val="Heading4"/>
        <w:rPr>
          <w:b w:val="0"/>
          <w:sz w:val="24"/>
          <w:szCs w:val="24"/>
        </w:rPr>
      </w:pPr>
      <w:r>
        <w:t>Executive members</w:t>
      </w:r>
    </w:p>
    <w:p w14:paraId="142BE6E9" w14:textId="4488D070" w:rsidR="001B7B55" w:rsidRDefault="001B7B55"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Dean Beale, Inspector General and Chief Executive</w:t>
      </w:r>
    </w:p>
    <w:p w14:paraId="5D5C2629" w14:textId="7E74E54C" w:rsidR="00291CD1" w:rsidRDefault="00291CD1"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Angela Crossley, Strategy, Policy and Analysis Director</w:t>
      </w:r>
    </w:p>
    <w:p w14:paraId="05C3482B" w14:textId="758A3830" w:rsidR="00291CD1" w:rsidRDefault="00291CD1"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Dan Goad</w:t>
      </w:r>
      <w:r w:rsidR="00BC61AD">
        <w:rPr>
          <w:rFonts w:ascii="Arial" w:eastAsiaTheme="majorEastAsia" w:hAnsi="Arial" w:cstheme="majorBidi"/>
          <w:bCs/>
          <w:kern w:val="0"/>
          <w:sz w:val="24"/>
          <w:szCs w:val="24"/>
          <w14:ligatures w14:val="none"/>
        </w:rPr>
        <w:t>, People and Capability Director</w:t>
      </w:r>
    </w:p>
    <w:p w14:paraId="0B71836B" w14:textId="4E2382E4" w:rsidR="00BC61AD" w:rsidRDefault="00BC61AD"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Chris Pleass, Finance</w:t>
      </w:r>
      <w:r w:rsidR="00554C72">
        <w:rPr>
          <w:rFonts w:ascii="Arial" w:eastAsiaTheme="majorEastAsia" w:hAnsi="Arial" w:cstheme="majorBidi"/>
          <w:bCs/>
          <w:kern w:val="0"/>
          <w:sz w:val="24"/>
          <w:szCs w:val="24"/>
          <w14:ligatures w14:val="none"/>
        </w:rPr>
        <w:t>,</w:t>
      </w:r>
      <w:r>
        <w:rPr>
          <w:rFonts w:ascii="Arial" w:eastAsiaTheme="majorEastAsia" w:hAnsi="Arial" w:cstheme="majorBidi"/>
          <w:bCs/>
          <w:kern w:val="0"/>
          <w:sz w:val="24"/>
          <w:szCs w:val="24"/>
          <w14:ligatures w14:val="none"/>
        </w:rPr>
        <w:t xml:space="preserve"> Commercial</w:t>
      </w:r>
      <w:r w:rsidR="00554C72">
        <w:rPr>
          <w:rFonts w:ascii="Arial" w:eastAsiaTheme="majorEastAsia" w:hAnsi="Arial" w:cstheme="majorBidi"/>
          <w:bCs/>
          <w:kern w:val="0"/>
          <w:sz w:val="24"/>
          <w:szCs w:val="24"/>
          <w14:ligatures w14:val="none"/>
        </w:rPr>
        <w:t>, Sustainability and Property</w:t>
      </w:r>
      <w:r>
        <w:rPr>
          <w:rFonts w:ascii="Arial" w:eastAsiaTheme="majorEastAsia" w:hAnsi="Arial" w:cstheme="majorBidi"/>
          <w:bCs/>
          <w:kern w:val="0"/>
          <w:sz w:val="24"/>
          <w:szCs w:val="24"/>
          <w14:ligatures w14:val="none"/>
        </w:rPr>
        <w:t xml:space="preserve"> Director</w:t>
      </w:r>
    </w:p>
    <w:p w14:paraId="5394BF13" w14:textId="62BEF1C0" w:rsidR="00BC61AD" w:rsidRDefault="00BC61AD"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Alec Pybus, Chief Operating Officer</w:t>
      </w:r>
    </w:p>
    <w:p w14:paraId="50060662" w14:textId="1170E1FA" w:rsidR="00EA7F2E" w:rsidRDefault="00EA7F2E" w:rsidP="00965CA0">
      <w:pPr>
        <w:pStyle w:val="Heading4"/>
        <w:rPr>
          <w:b w:val="0"/>
          <w:sz w:val="24"/>
          <w:szCs w:val="24"/>
        </w:rPr>
      </w:pPr>
      <w:r>
        <w:t>Non-Executive members</w:t>
      </w:r>
    </w:p>
    <w:p w14:paraId="5484C934" w14:textId="782AAFCB" w:rsidR="00EA7F2E" w:rsidRDefault="00EA7F2E"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Mark Austen</w:t>
      </w:r>
    </w:p>
    <w:p w14:paraId="567BE575" w14:textId="5A43C275" w:rsidR="00EA7F2E" w:rsidRDefault="00EA7F2E"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Mary Chapman</w:t>
      </w:r>
      <w:r w:rsidR="00133B0A">
        <w:rPr>
          <w:rFonts w:ascii="Arial" w:eastAsiaTheme="majorEastAsia" w:hAnsi="Arial" w:cstheme="majorBidi"/>
          <w:bCs/>
          <w:kern w:val="0"/>
          <w:sz w:val="24"/>
          <w:szCs w:val="24"/>
          <w14:ligatures w14:val="none"/>
        </w:rPr>
        <w:t xml:space="preserve"> (until May 23)</w:t>
      </w:r>
    </w:p>
    <w:p w14:paraId="0A91CF8D" w14:textId="0D76FB3E" w:rsidR="00EA7F2E" w:rsidRDefault="00EA7F2E"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Frances Coulson</w:t>
      </w:r>
    </w:p>
    <w:p w14:paraId="632AB9AC" w14:textId="1ACA3B49" w:rsidR="00EA7F2E" w:rsidRDefault="00EA7F2E"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Samantha Durrant</w:t>
      </w:r>
    </w:p>
    <w:p w14:paraId="547FE233" w14:textId="24BEE17B" w:rsidR="00EA7F2E" w:rsidRDefault="00EA7F2E"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Robert Hunt</w:t>
      </w:r>
    </w:p>
    <w:p w14:paraId="3A588ED5" w14:textId="6DA9B3EF" w:rsidR="00EA7F2E" w:rsidRDefault="00EA7F2E"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Gary Kildare</w:t>
      </w:r>
    </w:p>
    <w:p w14:paraId="291ACE67" w14:textId="222DD4D1" w:rsidR="00EA7F2E" w:rsidRDefault="00EA7F2E"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Eoin Parker</w:t>
      </w:r>
    </w:p>
    <w:p w14:paraId="2F2E13D6" w14:textId="77777777" w:rsidR="00A17414" w:rsidRDefault="00A17414">
      <w:pPr>
        <w:rPr>
          <w:rFonts w:ascii="Arial" w:eastAsiaTheme="majorEastAsia" w:hAnsi="Arial" w:cstheme="majorBidi"/>
          <w:b/>
          <w:kern w:val="0"/>
          <w:sz w:val="24"/>
          <w:szCs w:val="24"/>
          <w14:ligatures w14:val="none"/>
        </w:rPr>
      </w:pPr>
      <w:r>
        <w:rPr>
          <w:rFonts w:ascii="Arial" w:eastAsiaTheme="majorEastAsia" w:hAnsi="Arial" w:cstheme="majorBidi"/>
          <w:b/>
          <w:kern w:val="0"/>
          <w:sz w:val="24"/>
          <w:szCs w:val="24"/>
          <w14:ligatures w14:val="none"/>
        </w:rPr>
        <w:br w:type="page"/>
      </w:r>
    </w:p>
    <w:p w14:paraId="5D992095" w14:textId="2F501B25" w:rsidR="00EA7F2E" w:rsidRDefault="00EA7F2E" w:rsidP="00965CA0">
      <w:pPr>
        <w:pStyle w:val="Heading4"/>
        <w:rPr>
          <w:b w:val="0"/>
          <w:sz w:val="24"/>
          <w:szCs w:val="24"/>
        </w:rPr>
      </w:pPr>
      <w:r>
        <w:lastRenderedPageBreak/>
        <w:t>Company directorship conflicts</w:t>
      </w:r>
    </w:p>
    <w:p w14:paraId="3F184462" w14:textId="3838D7F7" w:rsidR="00EA7F2E" w:rsidRDefault="00EA7F2E"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 xml:space="preserve">No members had company directorships </w:t>
      </w:r>
      <w:r w:rsidR="005671E1">
        <w:rPr>
          <w:rFonts w:ascii="Arial" w:eastAsiaTheme="majorEastAsia" w:hAnsi="Arial" w:cstheme="majorBidi"/>
          <w:bCs/>
          <w:kern w:val="0"/>
          <w:sz w:val="24"/>
          <w:szCs w:val="24"/>
          <w14:ligatures w14:val="none"/>
        </w:rPr>
        <w:t>or</w:t>
      </w:r>
      <w:r>
        <w:rPr>
          <w:rFonts w:ascii="Arial" w:eastAsiaTheme="majorEastAsia" w:hAnsi="Arial" w:cstheme="majorBidi"/>
          <w:bCs/>
          <w:kern w:val="0"/>
          <w:sz w:val="24"/>
          <w:szCs w:val="24"/>
          <w14:ligatures w14:val="none"/>
        </w:rPr>
        <w:t xml:space="preserve"> other significant interest</w:t>
      </w:r>
      <w:r w:rsidR="00BB1FAE">
        <w:rPr>
          <w:rFonts w:ascii="Arial" w:eastAsiaTheme="majorEastAsia" w:hAnsi="Arial" w:cstheme="majorBidi"/>
          <w:bCs/>
          <w:kern w:val="0"/>
          <w:sz w:val="24"/>
          <w:szCs w:val="24"/>
          <w14:ligatures w14:val="none"/>
        </w:rPr>
        <w:t>s</w:t>
      </w:r>
      <w:r>
        <w:rPr>
          <w:rFonts w:ascii="Arial" w:eastAsiaTheme="majorEastAsia" w:hAnsi="Arial" w:cstheme="majorBidi"/>
          <w:bCs/>
          <w:kern w:val="0"/>
          <w:sz w:val="24"/>
          <w:szCs w:val="24"/>
          <w14:ligatures w14:val="none"/>
        </w:rPr>
        <w:t xml:space="preserve"> conflicting with their management </w:t>
      </w:r>
      <w:r w:rsidR="00111B3A">
        <w:rPr>
          <w:rFonts w:ascii="Arial" w:eastAsiaTheme="majorEastAsia" w:hAnsi="Arial" w:cstheme="majorBidi"/>
          <w:bCs/>
          <w:kern w:val="0"/>
          <w:sz w:val="24"/>
          <w:szCs w:val="24"/>
          <w14:ligatures w14:val="none"/>
        </w:rPr>
        <w:t>responsibilities.</w:t>
      </w:r>
    </w:p>
    <w:p w14:paraId="578F711A" w14:textId="7040B1BA" w:rsidR="00111B3A" w:rsidRDefault="00FC49DF" w:rsidP="00965CA0">
      <w:pPr>
        <w:pStyle w:val="Heading4"/>
        <w:rPr>
          <w:b w:val="0"/>
          <w:sz w:val="24"/>
          <w:szCs w:val="24"/>
        </w:rPr>
      </w:pPr>
      <w:r>
        <w:t>Information on personal data related incidents</w:t>
      </w:r>
    </w:p>
    <w:p w14:paraId="7B8A7CA5" w14:textId="760ACC1D" w:rsidR="00FC49DF" w:rsidRDefault="001B71EC"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More detail on information security is included in the governance statement.</w:t>
      </w:r>
    </w:p>
    <w:p w14:paraId="149EEAAC" w14:textId="13A13145" w:rsidR="001B71EC" w:rsidRDefault="001B71EC" w:rsidP="00965CA0">
      <w:pPr>
        <w:pStyle w:val="Heading4"/>
        <w:rPr>
          <w:b w:val="0"/>
          <w:sz w:val="24"/>
          <w:szCs w:val="24"/>
        </w:rPr>
      </w:pPr>
      <w:r>
        <w:t xml:space="preserve">Statement of Accounting </w:t>
      </w:r>
      <w:r w:rsidRPr="00A90279">
        <w:rPr>
          <w:szCs w:val="28"/>
        </w:rPr>
        <w:t>Officer</w:t>
      </w:r>
      <w:r w:rsidR="00816527" w:rsidRPr="00A90279">
        <w:rPr>
          <w:szCs w:val="28"/>
        </w:rPr>
        <w:t>’s responsibilities</w:t>
      </w:r>
    </w:p>
    <w:p w14:paraId="5ABDFE61" w14:textId="74EF5539" w:rsidR="00816527" w:rsidRDefault="00816527"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 xml:space="preserve">Under the Government Resources Accounts Act 2000, HM Treasury has directed the Insolvency Service to prepare for each financial </w:t>
      </w:r>
      <w:r w:rsidR="00114644">
        <w:rPr>
          <w:rFonts w:ascii="Arial" w:eastAsiaTheme="majorEastAsia" w:hAnsi="Arial" w:cstheme="majorBidi"/>
          <w:bCs/>
          <w:kern w:val="0"/>
          <w:sz w:val="24"/>
          <w:szCs w:val="24"/>
          <w14:ligatures w14:val="none"/>
        </w:rPr>
        <w:t>year a Statement of Accounts in the form and on the basis set out in the Accounts Direction.</w:t>
      </w:r>
    </w:p>
    <w:p w14:paraId="4DB6E1BB" w14:textId="3EB71E89" w:rsidR="00E24DAE" w:rsidRDefault="00E24DAE"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 xml:space="preserve">The accounts are prepared on an accrual basis and must give a </w:t>
      </w:r>
      <w:r w:rsidR="00C8445A">
        <w:rPr>
          <w:rFonts w:ascii="Arial" w:eastAsiaTheme="majorEastAsia" w:hAnsi="Arial" w:cstheme="majorBidi"/>
          <w:bCs/>
          <w:kern w:val="0"/>
          <w:sz w:val="24"/>
          <w:szCs w:val="24"/>
          <w14:ligatures w14:val="none"/>
        </w:rPr>
        <w:t>true and fair view of the state of affairs of the Insolvency Service and of its income and expenditure</w:t>
      </w:r>
      <w:r w:rsidR="00EC3752">
        <w:rPr>
          <w:rFonts w:ascii="Arial" w:eastAsiaTheme="majorEastAsia" w:hAnsi="Arial" w:cstheme="majorBidi"/>
          <w:bCs/>
          <w:kern w:val="0"/>
          <w:sz w:val="24"/>
          <w:szCs w:val="24"/>
          <w14:ligatures w14:val="none"/>
        </w:rPr>
        <w:t>,</w:t>
      </w:r>
      <w:r w:rsidR="00C8445A">
        <w:rPr>
          <w:rFonts w:ascii="Arial" w:eastAsiaTheme="majorEastAsia" w:hAnsi="Arial" w:cstheme="majorBidi"/>
          <w:bCs/>
          <w:kern w:val="0"/>
          <w:sz w:val="24"/>
          <w:szCs w:val="24"/>
          <w14:ligatures w14:val="none"/>
        </w:rPr>
        <w:t xml:space="preserve"> Statement of Financial Position</w:t>
      </w:r>
      <w:r w:rsidR="00EC3752">
        <w:rPr>
          <w:rFonts w:ascii="Arial" w:eastAsiaTheme="majorEastAsia" w:hAnsi="Arial" w:cstheme="majorBidi"/>
          <w:bCs/>
          <w:kern w:val="0"/>
          <w:sz w:val="24"/>
          <w:szCs w:val="24"/>
          <w14:ligatures w14:val="none"/>
        </w:rPr>
        <w:t xml:space="preserve"> and cash flows for the financial year.</w:t>
      </w:r>
    </w:p>
    <w:p w14:paraId="3AED64F9" w14:textId="7C21BF17" w:rsidR="00EC3752" w:rsidRDefault="00EC3752" w:rsidP="001A0B49">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In preparing the accounts, the Accounting Officer is required to comply</w:t>
      </w:r>
      <w:r w:rsidR="00906C3F">
        <w:rPr>
          <w:rFonts w:ascii="Arial" w:eastAsiaTheme="majorEastAsia" w:hAnsi="Arial" w:cstheme="majorBidi"/>
          <w:bCs/>
          <w:kern w:val="0"/>
          <w:sz w:val="24"/>
          <w:szCs w:val="24"/>
          <w14:ligatures w14:val="none"/>
        </w:rPr>
        <w:t xml:space="preserve"> with the requirements of the Government Financial Reporting manual and in particular to:</w:t>
      </w:r>
    </w:p>
    <w:p w14:paraId="3FB2617E" w14:textId="167F0287" w:rsidR="00906C3F" w:rsidRDefault="00906C3F" w:rsidP="00906C3F">
      <w:pPr>
        <w:pStyle w:val="ListParagraph"/>
        <w:keepNext/>
        <w:keepLines/>
        <w:numPr>
          <w:ilvl w:val="0"/>
          <w:numId w:val="28"/>
        </w:numPr>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observe the Accounts Direction issued by HM Treasury</w:t>
      </w:r>
      <w:r w:rsidR="009003D6">
        <w:rPr>
          <w:rFonts w:ascii="Arial" w:eastAsiaTheme="majorEastAsia" w:hAnsi="Arial" w:cstheme="majorBidi"/>
          <w:bCs/>
          <w:kern w:val="0"/>
          <w:sz w:val="24"/>
          <w:szCs w:val="24"/>
          <w14:ligatures w14:val="none"/>
        </w:rPr>
        <w:t>, including the relevant accounting and disclosure requirements and apply suitable accounting policies on a consistent basis</w:t>
      </w:r>
    </w:p>
    <w:p w14:paraId="3FDADC68" w14:textId="7DD98ED5" w:rsidR="007A1C2A" w:rsidRDefault="007A1C2A" w:rsidP="00906C3F">
      <w:pPr>
        <w:pStyle w:val="ListParagraph"/>
        <w:keepNext/>
        <w:keepLines/>
        <w:numPr>
          <w:ilvl w:val="0"/>
          <w:numId w:val="28"/>
        </w:numPr>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make judgements and estimates on a reasonable basis</w:t>
      </w:r>
    </w:p>
    <w:p w14:paraId="07168AC5" w14:textId="0538A36B" w:rsidR="007A1C2A" w:rsidRDefault="007A1C2A" w:rsidP="00906C3F">
      <w:pPr>
        <w:pStyle w:val="ListParagraph"/>
        <w:keepNext/>
        <w:keepLines/>
        <w:numPr>
          <w:ilvl w:val="0"/>
          <w:numId w:val="28"/>
        </w:numPr>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 xml:space="preserve">state whether applicable </w:t>
      </w:r>
      <w:r w:rsidR="00C0635F">
        <w:rPr>
          <w:rFonts w:ascii="Arial" w:eastAsiaTheme="majorEastAsia" w:hAnsi="Arial" w:cstheme="majorBidi"/>
          <w:bCs/>
          <w:kern w:val="0"/>
          <w:sz w:val="24"/>
          <w:szCs w:val="24"/>
          <w14:ligatures w14:val="none"/>
        </w:rPr>
        <w:t xml:space="preserve">accounting standards as set out in the Government Financial Reporting Manual have been </w:t>
      </w:r>
      <w:r w:rsidR="000E71C4">
        <w:rPr>
          <w:rFonts w:ascii="Arial" w:eastAsiaTheme="majorEastAsia" w:hAnsi="Arial" w:cstheme="majorBidi"/>
          <w:bCs/>
          <w:kern w:val="0"/>
          <w:sz w:val="24"/>
          <w:szCs w:val="24"/>
          <w14:ligatures w14:val="none"/>
        </w:rPr>
        <w:t>followed, and disclose and explain any material departures in the Accounts</w:t>
      </w:r>
      <w:r w:rsidR="002F6CFD">
        <w:rPr>
          <w:rFonts w:ascii="Arial" w:eastAsiaTheme="majorEastAsia" w:hAnsi="Arial" w:cstheme="majorBidi"/>
          <w:bCs/>
          <w:kern w:val="0"/>
          <w:sz w:val="24"/>
          <w:szCs w:val="24"/>
          <w14:ligatures w14:val="none"/>
        </w:rPr>
        <w:t>; and prepare the Accounts on a going concern basis</w:t>
      </w:r>
    </w:p>
    <w:p w14:paraId="414C9778" w14:textId="48CE67F6" w:rsidR="002F6CFD" w:rsidRDefault="002F6CFD" w:rsidP="00906C3F">
      <w:pPr>
        <w:pStyle w:val="ListParagraph"/>
        <w:keepNext/>
        <w:keepLines/>
        <w:numPr>
          <w:ilvl w:val="0"/>
          <w:numId w:val="28"/>
        </w:numPr>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 xml:space="preserve">confirm the Annual Report and Accounts as a whole is fair, balanced and understandable </w:t>
      </w:r>
      <w:r w:rsidR="000F16D1">
        <w:rPr>
          <w:rFonts w:ascii="Arial" w:eastAsiaTheme="majorEastAsia" w:hAnsi="Arial" w:cstheme="majorBidi"/>
          <w:bCs/>
          <w:kern w:val="0"/>
          <w:sz w:val="24"/>
          <w:szCs w:val="24"/>
          <w14:ligatures w14:val="none"/>
        </w:rPr>
        <w:t xml:space="preserve">and take personal responsibility for the Annual Report and Accounts and the judgements required for determining that it is fair, </w:t>
      </w:r>
      <w:r w:rsidR="0039322C">
        <w:rPr>
          <w:rFonts w:ascii="Arial" w:eastAsiaTheme="majorEastAsia" w:hAnsi="Arial" w:cstheme="majorBidi"/>
          <w:bCs/>
          <w:kern w:val="0"/>
          <w:sz w:val="24"/>
          <w:szCs w:val="24"/>
          <w14:ligatures w14:val="none"/>
        </w:rPr>
        <w:t>balanced and understandable</w:t>
      </w:r>
    </w:p>
    <w:p w14:paraId="437370E6" w14:textId="424C63DC" w:rsidR="0039322C" w:rsidRDefault="0039322C" w:rsidP="0039322C">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The Department for Business and Trade has appointed the Chief Executive</w:t>
      </w:r>
      <w:r w:rsidR="00074CC4">
        <w:rPr>
          <w:rFonts w:ascii="Arial" w:eastAsiaTheme="majorEastAsia" w:hAnsi="Arial" w:cstheme="majorBidi"/>
          <w:bCs/>
          <w:kern w:val="0"/>
          <w:sz w:val="24"/>
          <w:szCs w:val="24"/>
          <w14:ligatures w14:val="none"/>
        </w:rPr>
        <w:t xml:space="preserve"> as Accounting Officer of the Insolvency Service.</w:t>
      </w:r>
    </w:p>
    <w:p w14:paraId="17251B2E" w14:textId="40BE383A" w:rsidR="00074CC4" w:rsidRDefault="00074CC4" w:rsidP="0039322C">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The responsibilities of an Accounting Officer</w:t>
      </w:r>
      <w:r w:rsidR="00707907">
        <w:rPr>
          <w:rFonts w:ascii="Arial" w:eastAsiaTheme="majorEastAsia" w:hAnsi="Arial" w:cstheme="majorBidi"/>
          <w:bCs/>
          <w:kern w:val="0"/>
          <w:sz w:val="24"/>
          <w:szCs w:val="24"/>
          <w14:ligatures w14:val="none"/>
        </w:rPr>
        <w:t xml:space="preserve">, including responsibility for the propriety and regularity of the public finances </w:t>
      </w:r>
      <w:r w:rsidR="00320873">
        <w:rPr>
          <w:rFonts w:ascii="Arial" w:eastAsiaTheme="majorEastAsia" w:hAnsi="Arial" w:cstheme="majorBidi"/>
          <w:bCs/>
          <w:kern w:val="0"/>
          <w:sz w:val="24"/>
          <w:szCs w:val="24"/>
          <w14:ligatures w14:val="none"/>
        </w:rPr>
        <w:t xml:space="preserve">for which </w:t>
      </w:r>
      <w:r w:rsidR="007B76C1">
        <w:rPr>
          <w:rFonts w:ascii="Arial" w:eastAsiaTheme="majorEastAsia" w:hAnsi="Arial" w:cstheme="majorBidi"/>
          <w:bCs/>
          <w:kern w:val="0"/>
          <w:sz w:val="24"/>
          <w:szCs w:val="24"/>
          <w14:ligatures w14:val="none"/>
        </w:rPr>
        <w:t>the Accounting Officer is answerable, for keeping proper records and for safeguarding the Insolvency Service’s assets, are set out in Managing Public Money published by HM Treasury</w:t>
      </w:r>
      <w:r w:rsidR="0061217F">
        <w:rPr>
          <w:rFonts w:ascii="Arial" w:eastAsiaTheme="majorEastAsia" w:hAnsi="Arial" w:cstheme="majorBidi"/>
          <w:bCs/>
          <w:kern w:val="0"/>
          <w:sz w:val="24"/>
          <w:szCs w:val="24"/>
          <w14:ligatures w14:val="none"/>
        </w:rPr>
        <w:t>.</w:t>
      </w:r>
    </w:p>
    <w:p w14:paraId="323F0A29" w14:textId="7F1713EA" w:rsidR="0061217F" w:rsidRDefault="0061217F" w:rsidP="0039322C">
      <w:pPr>
        <w:keepNext/>
        <w:keepLines/>
        <w:spacing w:before="160" w:after="120" w:line="240" w:lineRule="auto"/>
        <w:outlineLvl w:val="2"/>
        <w:rPr>
          <w:rFonts w:ascii="Arial" w:eastAsiaTheme="majorEastAsia" w:hAnsi="Arial" w:cstheme="majorBidi"/>
          <w:bCs/>
          <w:kern w:val="0"/>
          <w:sz w:val="24"/>
          <w:szCs w:val="24"/>
          <w14:ligatures w14:val="none"/>
        </w:rPr>
      </w:pPr>
      <w:r>
        <w:rPr>
          <w:rFonts w:ascii="Arial" w:eastAsiaTheme="majorEastAsia" w:hAnsi="Arial" w:cstheme="majorBidi"/>
          <w:bCs/>
          <w:kern w:val="0"/>
          <w:sz w:val="24"/>
          <w:szCs w:val="24"/>
          <w14:ligatures w14:val="none"/>
        </w:rPr>
        <w:t xml:space="preserve">As the Accounting Officer, I have taken all the steps that I ought to have taken to make myself aware </w:t>
      </w:r>
      <w:r w:rsidR="00465203">
        <w:rPr>
          <w:rFonts w:ascii="Arial" w:eastAsiaTheme="majorEastAsia" w:hAnsi="Arial" w:cstheme="majorBidi"/>
          <w:bCs/>
          <w:kern w:val="0"/>
          <w:sz w:val="24"/>
          <w:szCs w:val="24"/>
          <w14:ligatures w14:val="none"/>
        </w:rPr>
        <w:t>of any relevant audit information and to establish that the Insolvency Service auditors are aware of that information. So far as I am aware, there is no relevant</w:t>
      </w:r>
      <w:r w:rsidR="00D44AE3">
        <w:rPr>
          <w:rFonts w:ascii="Arial" w:eastAsiaTheme="majorEastAsia" w:hAnsi="Arial" w:cstheme="majorBidi"/>
          <w:bCs/>
          <w:kern w:val="0"/>
          <w:sz w:val="24"/>
          <w:szCs w:val="24"/>
          <w14:ligatures w14:val="none"/>
        </w:rPr>
        <w:t xml:space="preserve"> audit information of which the auditors are unaware.</w:t>
      </w:r>
    </w:p>
    <w:p w14:paraId="56856376" w14:textId="77777777" w:rsidR="0071060A" w:rsidRDefault="0071060A">
      <w:pPr>
        <w:rPr>
          <w:rFonts w:ascii="Arial" w:eastAsiaTheme="majorEastAsia" w:hAnsi="Arial" w:cstheme="majorBidi"/>
          <w:b/>
          <w:color w:val="4472C4" w:themeColor="accent1"/>
          <w:kern w:val="0"/>
          <w:sz w:val="32"/>
          <w:szCs w:val="24"/>
          <w14:ligatures w14:val="none"/>
        </w:rPr>
      </w:pPr>
      <w:r>
        <w:rPr>
          <w:rFonts w:ascii="Arial" w:eastAsiaTheme="majorEastAsia" w:hAnsi="Arial" w:cstheme="majorBidi"/>
          <w:b/>
          <w:color w:val="4472C4" w:themeColor="accent1"/>
          <w:kern w:val="0"/>
          <w:sz w:val="32"/>
          <w:szCs w:val="24"/>
          <w14:ligatures w14:val="none"/>
        </w:rPr>
        <w:br w:type="page"/>
      </w:r>
    </w:p>
    <w:p w14:paraId="2B4515EC" w14:textId="77777777" w:rsidR="00DC25AC" w:rsidRDefault="00DC25AC" w:rsidP="00DC25AC">
      <w:pPr>
        <w:pStyle w:val="Heading4"/>
        <w:rPr>
          <w:rFonts w:eastAsia="Times New Roman" w:cs="Arial"/>
          <w:b w:val="0"/>
          <w:color w:val="4F81BD"/>
          <w:szCs w:val="28"/>
          <w:lang w:eastAsia="en-GB"/>
        </w:rPr>
      </w:pPr>
      <w:r w:rsidRPr="00AC09E7">
        <w:rPr>
          <w:lang w:eastAsia="en-GB"/>
        </w:rPr>
        <w:lastRenderedPageBreak/>
        <w:t>Governance Stateme</w:t>
      </w:r>
      <w:r>
        <w:rPr>
          <w:lang w:eastAsia="en-GB"/>
        </w:rPr>
        <w:t>nt</w:t>
      </w:r>
    </w:p>
    <w:p w14:paraId="1466CFCF" w14:textId="77777777" w:rsidR="00DC25AC" w:rsidRPr="00AC09E7" w:rsidRDefault="00DC25AC" w:rsidP="00DC25AC">
      <w:pPr>
        <w:pStyle w:val="Heading4"/>
        <w:rPr>
          <w:rFonts w:eastAsia="Times New Roman" w:cs="Arial"/>
          <w:b w:val="0"/>
          <w:color w:val="4F81BD"/>
          <w:sz w:val="24"/>
          <w:szCs w:val="24"/>
          <w:lang w:eastAsia="en-GB"/>
        </w:rPr>
      </w:pPr>
      <w:r w:rsidRPr="00AC09E7">
        <w:rPr>
          <w:lang w:eastAsia="en-GB"/>
        </w:rPr>
        <w:t>Introduction</w:t>
      </w:r>
    </w:p>
    <w:p w14:paraId="473F0035" w14:textId="77777777" w:rsidR="00DC25AC" w:rsidRPr="00AC09E7" w:rsidRDefault="00DC25AC" w:rsidP="00DC25AC">
      <w:pPr>
        <w:spacing w:after="0" w:line="240" w:lineRule="auto"/>
        <w:textAlignment w:val="baseline"/>
        <w:rPr>
          <w:rFonts w:ascii="Arial" w:eastAsia="Times New Roman" w:hAnsi="Arial" w:cs="Arial"/>
          <w:b/>
          <w:bCs/>
          <w:color w:val="4F81BD"/>
          <w:kern w:val="0"/>
          <w:sz w:val="24"/>
          <w:szCs w:val="24"/>
          <w:lang w:eastAsia="en-GB"/>
          <w14:ligatures w14:val="none"/>
        </w:rPr>
      </w:pPr>
      <w:r w:rsidRPr="00AC09E7">
        <w:rPr>
          <w:rFonts w:ascii="Arial" w:eastAsia="Times New Roman" w:hAnsi="Arial" w:cs="Arial"/>
          <w:color w:val="000000"/>
          <w:kern w:val="0"/>
          <w:sz w:val="24"/>
          <w:szCs w:val="24"/>
          <w:shd w:val="clear" w:color="auto" w:fill="FFFFFF"/>
          <w:lang w:eastAsia="en-GB"/>
          <w14:ligatures w14:val="none"/>
        </w:rPr>
        <w:t xml:space="preserve">As Accounting Officer, I am responsible for the governance, risk management and internal controls within the Insolvency Service. These controls make sure that the </w:t>
      </w:r>
      <w:r>
        <w:rPr>
          <w:rFonts w:ascii="Arial" w:eastAsia="Times New Roman" w:hAnsi="Arial" w:cs="Arial"/>
          <w:color w:val="000000"/>
          <w:kern w:val="0"/>
          <w:sz w:val="24"/>
          <w:szCs w:val="24"/>
          <w:shd w:val="clear" w:color="auto" w:fill="FFFFFF"/>
          <w:lang w:eastAsia="en-GB"/>
          <w14:ligatures w14:val="none"/>
        </w:rPr>
        <w:t>Agency</w:t>
      </w:r>
      <w:r w:rsidRPr="00AC09E7">
        <w:rPr>
          <w:rFonts w:ascii="Arial" w:eastAsia="Times New Roman" w:hAnsi="Arial" w:cs="Arial"/>
          <w:color w:val="000000"/>
          <w:kern w:val="0"/>
          <w:sz w:val="24"/>
          <w:szCs w:val="24"/>
          <w:shd w:val="clear" w:color="auto" w:fill="FFFFFF"/>
          <w:lang w:eastAsia="en-GB"/>
          <w14:ligatures w14:val="none"/>
        </w:rPr>
        <w:t xml:space="preserve"> meets its objectives whilst adhering to the principles of ‘Managing Public Money</w:t>
      </w:r>
      <w:bookmarkStart w:id="3" w:name="_Int_Ux8NSh4h"/>
      <w:r w:rsidRPr="00AC09E7">
        <w:rPr>
          <w:rFonts w:ascii="Arial" w:eastAsia="Times New Roman" w:hAnsi="Arial" w:cs="Arial"/>
          <w:color w:val="000000"/>
          <w:kern w:val="0"/>
          <w:sz w:val="24"/>
          <w:szCs w:val="24"/>
          <w:shd w:val="clear" w:color="auto" w:fill="FFFFFF"/>
          <w:lang w:eastAsia="en-GB"/>
          <w14:ligatures w14:val="none"/>
        </w:rPr>
        <w:t>’,</w:t>
      </w:r>
      <w:bookmarkEnd w:id="3"/>
      <w:r w:rsidRPr="00AC09E7">
        <w:rPr>
          <w:rFonts w:ascii="Arial" w:eastAsia="Times New Roman" w:hAnsi="Arial" w:cs="Arial"/>
          <w:color w:val="000000"/>
          <w:kern w:val="0"/>
          <w:sz w:val="24"/>
          <w:szCs w:val="24"/>
          <w:shd w:val="clear" w:color="auto" w:fill="FFFFFF"/>
          <w:lang w:eastAsia="en-GB"/>
          <w14:ligatures w14:val="none"/>
        </w:rPr>
        <w:t xml:space="preserve"> ensuring that public funds are used in a proper and effective manner. </w:t>
      </w:r>
    </w:p>
    <w:p w14:paraId="56F7BA15" w14:textId="77777777" w:rsidR="00DC25AC" w:rsidRPr="00AC09E7" w:rsidRDefault="00DC25AC" w:rsidP="00DC25AC">
      <w:pPr>
        <w:spacing w:after="0" w:line="240" w:lineRule="auto"/>
        <w:textAlignment w:val="baseline"/>
        <w:rPr>
          <w:rFonts w:ascii="Arial" w:eastAsia="Times New Roman" w:hAnsi="Arial" w:cs="Arial"/>
          <w:b/>
          <w:bCs/>
          <w:color w:val="4F81BD"/>
          <w:kern w:val="0"/>
          <w:sz w:val="24"/>
          <w:szCs w:val="24"/>
          <w:lang w:eastAsia="en-GB"/>
          <w14:ligatures w14:val="none"/>
        </w:rPr>
      </w:pPr>
    </w:p>
    <w:p w14:paraId="78AAA6BF" w14:textId="77777777" w:rsidR="00DC25AC" w:rsidRPr="00AC09E7" w:rsidRDefault="00DC25AC" w:rsidP="00DC25AC">
      <w:pPr>
        <w:pStyle w:val="Heading4"/>
        <w:rPr>
          <w:rFonts w:eastAsia="Times New Roman" w:cs="Arial"/>
          <w:b w:val="0"/>
          <w:color w:val="4F81BD"/>
          <w:sz w:val="24"/>
          <w:szCs w:val="24"/>
          <w:lang w:eastAsia="en-GB"/>
        </w:rPr>
      </w:pPr>
      <w:r w:rsidRPr="00AC09E7">
        <w:rPr>
          <w:lang w:eastAsia="en-GB"/>
        </w:rPr>
        <w:t xml:space="preserve">Governance Structure </w:t>
      </w:r>
    </w:p>
    <w:p w14:paraId="45CBD589"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This section describes the governance arrangements in place during 2023</w:t>
      </w:r>
      <w:r>
        <w:rPr>
          <w:rFonts w:ascii="Arial" w:eastAsia="Calibri" w:hAnsi="Arial" w:cs="Arial"/>
          <w:kern w:val="0"/>
          <w:sz w:val="24"/>
          <w:szCs w:val="24"/>
          <w14:ligatures w14:val="none"/>
        </w:rPr>
        <w:t>-</w:t>
      </w:r>
      <w:r w:rsidRPr="00AC09E7">
        <w:rPr>
          <w:rFonts w:ascii="Arial" w:eastAsia="Calibri" w:hAnsi="Arial" w:cs="Arial"/>
          <w:kern w:val="0"/>
          <w:sz w:val="24"/>
          <w:szCs w:val="24"/>
          <w14:ligatures w14:val="none"/>
        </w:rPr>
        <w:t>24.</w:t>
      </w:r>
    </w:p>
    <w:p w14:paraId="37CBD531"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As Chief Executive I am supported by the Insolvency Service Board (ISB) and my Executive Leadership Team (ELT).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xml:space="preserve"> adopts relevant principles and protocols outlined in HM Treasury’s Corporate Governance in Central Government Departments: Code of Good Practice.</w:t>
      </w:r>
    </w:p>
    <w:p w14:paraId="21BE8C46" w14:textId="77777777" w:rsidR="00DC25AC" w:rsidRPr="00AC09E7" w:rsidRDefault="00DC25AC" w:rsidP="00DC25AC">
      <w:pPr>
        <w:spacing w:after="0" w:line="240" w:lineRule="auto"/>
        <w:rPr>
          <w:rFonts w:ascii="Arial" w:eastAsia="Calibri" w:hAnsi="Arial" w:cs="Arial"/>
          <w:kern w:val="0"/>
          <w:sz w:val="24"/>
          <w:szCs w:val="24"/>
          <w14:ligatures w14:val="none"/>
        </w:rPr>
      </w:pPr>
    </w:p>
    <w:p w14:paraId="26181A3F"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The governance structure within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xml:space="preserve"> is shown in the following diagram. </w:t>
      </w:r>
    </w:p>
    <w:p w14:paraId="05B39AF0" w14:textId="77777777" w:rsidR="00DC25AC" w:rsidRPr="00AC09E7" w:rsidRDefault="00DC25AC" w:rsidP="00DC25AC">
      <w:pPr>
        <w:spacing w:after="0" w:line="240" w:lineRule="auto"/>
        <w:textAlignment w:val="baseline"/>
        <w:rPr>
          <w:rFonts w:ascii="Arial" w:eastAsia="Times New Roman" w:hAnsi="Arial" w:cs="Arial"/>
          <w:b/>
          <w:bCs/>
          <w:color w:val="FF0000"/>
          <w:kern w:val="0"/>
          <w:sz w:val="28"/>
          <w:szCs w:val="28"/>
          <w:u w:val="single"/>
          <w:lang w:eastAsia="en-GB"/>
          <w14:ligatures w14:val="none"/>
        </w:rPr>
      </w:pPr>
    </w:p>
    <w:p w14:paraId="564B9791" w14:textId="77777777" w:rsidR="00DC25AC" w:rsidRPr="00AC09E7" w:rsidRDefault="00DC25AC" w:rsidP="00DC25AC">
      <w:pPr>
        <w:spacing w:after="0" w:line="240" w:lineRule="auto"/>
        <w:textAlignment w:val="baseline"/>
        <w:rPr>
          <w:rFonts w:ascii="Arial" w:eastAsia="Times New Roman" w:hAnsi="Arial" w:cs="Arial"/>
          <w:b/>
          <w:bCs/>
          <w:color w:val="FF0000"/>
          <w:kern w:val="0"/>
          <w:sz w:val="28"/>
          <w:szCs w:val="28"/>
          <w:u w:val="single"/>
          <w:lang w:eastAsia="en-GB"/>
          <w14:ligatures w14:val="none"/>
        </w:rPr>
      </w:pPr>
      <w:r w:rsidRPr="00AC09E7">
        <w:rPr>
          <w:rFonts w:ascii="Times New Roman" w:eastAsia="Times New Roman" w:hAnsi="Times New Roman" w:cs="Times New Roman"/>
          <w:noProof/>
          <w:color w:val="2B579A"/>
          <w:kern w:val="0"/>
          <w:sz w:val="24"/>
          <w:szCs w:val="24"/>
          <w:shd w:val="clear" w:color="auto" w:fill="E6E6E6"/>
          <w:lang w:eastAsia="en-GB"/>
          <w14:ligatures w14:val="none"/>
        </w:rPr>
        <w:drawing>
          <wp:inline distT="0" distB="0" distL="0" distR="0" wp14:anchorId="303F05C7" wp14:editId="6D72AFB8">
            <wp:extent cx="5731510" cy="25133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2513330"/>
                    </a:xfrm>
                    <a:prstGeom prst="rect">
                      <a:avLst/>
                    </a:prstGeom>
                    <a:noFill/>
                  </pic:spPr>
                </pic:pic>
              </a:graphicData>
            </a:graphic>
          </wp:inline>
        </w:drawing>
      </w:r>
    </w:p>
    <w:p w14:paraId="2D02803A" w14:textId="77777777" w:rsidR="00DC25AC" w:rsidRPr="00AC09E7" w:rsidRDefault="00DC25AC" w:rsidP="00DC25AC">
      <w:pPr>
        <w:spacing w:after="0" w:line="240" w:lineRule="auto"/>
        <w:rPr>
          <w:rFonts w:ascii="Arial" w:hAnsi="Arial" w:cs="Arial"/>
          <w:i/>
          <w:iCs/>
          <w:kern w:val="0"/>
          <w:sz w:val="24"/>
          <w:szCs w:val="24"/>
          <w14:ligatures w14:val="none"/>
        </w:rPr>
      </w:pPr>
    </w:p>
    <w:p w14:paraId="53FDEFC9"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The </w:t>
      </w:r>
      <w:r w:rsidRPr="00AC09E7">
        <w:rPr>
          <w:rFonts w:ascii="Arial" w:eastAsiaTheme="majorEastAsia" w:hAnsi="Arial" w:cstheme="majorBidi"/>
          <w:b/>
          <w:kern w:val="0"/>
          <w:sz w:val="24"/>
          <w14:ligatures w14:val="none"/>
        </w:rPr>
        <w:t>ISB</w:t>
      </w:r>
      <w:r w:rsidRPr="00AC09E7">
        <w:rPr>
          <w:rFonts w:ascii="Arial" w:eastAsia="Calibri" w:hAnsi="Arial" w:cs="Arial"/>
          <w:kern w:val="0"/>
          <w:sz w:val="24"/>
          <w:szCs w:val="24"/>
          <w14:ligatures w14:val="none"/>
        </w:rPr>
        <w:t xml:space="preserve"> provides strategic leadership within a framework of prudent and effective controls which enable risk to be assessed and managed. It is collectively responsible for the long-term success of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This includes agreeing strategic aims and objectives, ensuring that necessary leadership and resources are in place to deliver these aims, challenging and supporting management performance, and reporting to the Department for Business and Trade (DBT) and externally on its stewardship.</w:t>
      </w:r>
    </w:p>
    <w:p w14:paraId="4FE4CD22" w14:textId="77777777" w:rsidR="00DC25AC" w:rsidRPr="00AC09E7" w:rsidRDefault="00DC25AC" w:rsidP="00DC25AC">
      <w:pPr>
        <w:spacing w:after="0" w:line="240" w:lineRule="auto"/>
        <w:rPr>
          <w:rFonts w:ascii="Arial" w:eastAsia="Calibri" w:hAnsi="Arial" w:cs="Arial"/>
          <w:kern w:val="0"/>
          <w:sz w:val="24"/>
          <w:szCs w:val="24"/>
          <w14:ligatures w14:val="none"/>
        </w:rPr>
      </w:pPr>
    </w:p>
    <w:p w14:paraId="179E6666"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The prescribed composition of ISB is for a greater number of non-executive board members (NEBMs) than executive members, designed to give an appropriate balance of skills, experience, independence and knowledge to enable the board to effectively discharge its duties and responsibilities. </w:t>
      </w:r>
    </w:p>
    <w:p w14:paraId="32CB10C0" w14:textId="77777777" w:rsidR="00DC25AC" w:rsidRPr="00AC09E7" w:rsidRDefault="00DC25AC" w:rsidP="00DC25AC">
      <w:pPr>
        <w:spacing w:after="0" w:line="240" w:lineRule="auto"/>
        <w:rPr>
          <w:rFonts w:ascii="Arial" w:eastAsia="Calibri" w:hAnsi="Arial" w:cs="Arial"/>
          <w:kern w:val="0"/>
          <w:sz w:val="24"/>
          <w:szCs w:val="24"/>
          <w14:ligatures w14:val="none"/>
        </w:rPr>
      </w:pPr>
    </w:p>
    <w:p w14:paraId="334E6A58" w14:textId="77777777" w:rsidR="00DC25AC" w:rsidRPr="00AC09E7" w:rsidRDefault="00DC25AC" w:rsidP="00DC25AC">
      <w:pPr>
        <w:spacing w:after="0" w:line="240" w:lineRule="auto"/>
        <w:rPr>
          <w:rFonts w:ascii="Arial" w:eastAsia="Calibri" w:hAnsi="Arial" w:cs="Arial"/>
          <w:kern w:val="0"/>
          <w:sz w:val="24"/>
          <w:szCs w:val="24"/>
          <w14:ligatures w14:val="none"/>
        </w:rPr>
      </w:pPr>
    </w:p>
    <w:p w14:paraId="62528E94" w14:textId="77777777" w:rsidR="00DC25AC" w:rsidRPr="00AC09E7" w:rsidRDefault="00DC25AC" w:rsidP="00DC25AC">
      <w:pPr>
        <w:spacing w:after="0" w:line="240" w:lineRule="auto"/>
        <w:rPr>
          <w:rFonts w:ascii="Arial" w:eastAsia="Calibri" w:hAnsi="Arial" w:cs="Arial"/>
          <w:kern w:val="0"/>
          <w:sz w:val="24"/>
          <w:szCs w:val="24"/>
          <w14:ligatures w14:val="none"/>
        </w:rPr>
      </w:pPr>
    </w:p>
    <w:p w14:paraId="1434B117" w14:textId="77777777" w:rsidR="00DC25AC" w:rsidRDefault="00DC25AC" w:rsidP="00DC25AC">
      <w:pPr>
        <w:rPr>
          <w:rFonts w:ascii="Arial" w:eastAsia="Calibri" w:hAnsi="Arial" w:cs="Arial"/>
          <w:kern w:val="0"/>
          <w:sz w:val="24"/>
          <w:szCs w:val="24"/>
          <w14:ligatures w14:val="none"/>
        </w:rPr>
      </w:pPr>
      <w:r>
        <w:rPr>
          <w:rFonts w:ascii="Arial" w:eastAsia="Calibri" w:hAnsi="Arial" w:cs="Arial"/>
          <w:kern w:val="0"/>
          <w:sz w:val="24"/>
          <w:szCs w:val="24"/>
          <w14:ligatures w14:val="none"/>
        </w:rPr>
        <w:br w:type="page"/>
      </w:r>
    </w:p>
    <w:p w14:paraId="447A735B"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lastRenderedPageBreak/>
        <w:t xml:space="preserve">The ISB is independently led by a non-executive Chair who ensures its ongoing effectiveness and that it meets the high standards of regularity and propriety expected of a public body. The Chair is also responsible for ensuring that the board both supports the CEO and the Executive Leadership Team and holds them to account for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’s performance, taking collective responsibility for the Insolvency Service’s overall success.</w:t>
      </w:r>
    </w:p>
    <w:p w14:paraId="28A84626" w14:textId="77777777" w:rsidR="00DC25AC" w:rsidRPr="00AC09E7" w:rsidRDefault="00DC25AC" w:rsidP="00DC25AC">
      <w:pPr>
        <w:spacing w:after="0" w:line="240" w:lineRule="auto"/>
        <w:rPr>
          <w:rFonts w:ascii="Arial" w:eastAsia="Calibri" w:hAnsi="Arial" w:cs="Arial"/>
          <w:kern w:val="0"/>
          <w:sz w:val="24"/>
          <w:szCs w:val="24"/>
          <w14:ligatures w14:val="none"/>
        </w:rPr>
      </w:pPr>
    </w:p>
    <w:p w14:paraId="5A97DC58"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The ISB met eight times during the year. Matters considered by it included:</w:t>
      </w:r>
    </w:p>
    <w:p w14:paraId="0EED132F" w14:textId="77777777" w:rsidR="00DC25AC" w:rsidRPr="00AC09E7" w:rsidRDefault="00DC25AC" w:rsidP="00DC25AC">
      <w:pPr>
        <w:spacing w:after="0" w:line="240" w:lineRule="auto"/>
        <w:rPr>
          <w:rFonts w:ascii="Arial" w:eastAsia="Calibri" w:hAnsi="Arial" w:cs="Arial"/>
          <w:kern w:val="0"/>
          <w:sz w:val="24"/>
          <w:szCs w:val="24"/>
          <w14:ligatures w14:val="none"/>
        </w:rPr>
      </w:pPr>
    </w:p>
    <w:p w14:paraId="3805A52D" w14:textId="77777777" w:rsidR="00DC25AC" w:rsidRPr="00AC09E7" w:rsidRDefault="00DC25AC" w:rsidP="00DC25AC">
      <w:pPr>
        <w:numPr>
          <w:ilvl w:val="0"/>
          <w:numId w:val="39"/>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regular review and scrutiny of progress against the 2023</w:t>
      </w:r>
      <w:r>
        <w:rPr>
          <w:rFonts w:ascii="Arial" w:eastAsia="Calibri" w:hAnsi="Arial" w:cs="Arial"/>
          <w:kern w:val="0"/>
          <w:sz w:val="24"/>
          <w:szCs w:val="24"/>
          <w14:ligatures w14:val="none"/>
        </w:rPr>
        <w:t>-</w:t>
      </w:r>
      <w:r w:rsidRPr="00AC09E7">
        <w:rPr>
          <w:rFonts w:ascii="Arial" w:eastAsia="Calibri" w:hAnsi="Arial" w:cs="Arial"/>
          <w:kern w:val="0"/>
          <w:sz w:val="24"/>
          <w:szCs w:val="24"/>
          <w14:ligatures w14:val="none"/>
        </w:rPr>
        <w:t xml:space="preserve">24 annual plan and targets </w:t>
      </w:r>
    </w:p>
    <w:p w14:paraId="4B9E848A" w14:textId="77777777" w:rsidR="00DC25AC" w:rsidRPr="00AC09E7" w:rsidRDefault="00DC25AC" w:rsidP="00DC25AC">
      <w:pPr>
        <w:numPr>
          <w:ilvl w:val="0"/>
          <w:numId w:val="39"/>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approval of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’s budget for 2023</w:t>
      </w:r>
      <w:r>
        <w:rPr>
          <w:rFonts w:ascii="Arial" w:eastAsia="Calibri" w:hAnsi="Arial" w:cs="Arial"/>
          <w:kern w:val="0"/>
          <w:sz w:val="24"/>
          <w:szCs w:val="24"/>
          <w14:ligatures w14:val="none"/>
        </w:rPr>
        <w:t>-</w:t>
      </w:r>
      <w:r w:rsidRPr="00AC09E7">
        <w:rPr>
          <w:rFonts w:ascii="Arial" w:eastAsia="Calibri" w:hAnsi="Arial" w:cs="Arial"/>
          <w:kern w:val="0"/>
          <w:sz w:val="24"/>
          <w:szCs w:val="24"/>
          <w14:ligatures w14:val="none"/>
        </w:rPr>
        <w:t>24</w:t>
      </w:r>
    </w:p>
    <w:p w14:paraId="1B4F9021" w14:textId="77777777" w:rsidR="00DC25AC" w:rsidRPr="00AC09E7" w:rsidRDefault="00DC25AC" w:rsidP="00DC25AC">
      <w:pPr>
        <w:numPr>
          <w:ilvl w:val="0"/>
          <w:numId w:val="39"/>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progress of the implementation of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’s five-year strategy</w:t>
      </w:r>
    </w:p>
    <w:p w14:paraId="56590E57" w14:textId="77777777" w:rsidR="00DC25AC" w:rsidRPr="00AC09E7" w:rsidRDefault="00DC25AC" w:rsidP="00DC25AC">
      <w:pPr>
        <w:numPr>
          <w:ilvl w:val="0"/>
          <w:numId w:val="39"/>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the adequacy of resources to deliver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’s strategic objectives and operations</w:t>
      </w:r>
    </w:p>
    <w:p w14:paraId="3187FCF8" w14:textId="77777777" w:rsidR="00DC25AC" w:rsidRPr="00AC09E7" w:rsidRDefault="00DC25AC" w:rsidP="00DC25AC">
      <w:pPr>
        <w:numPr>
          <w:ilvl w:val="0"/>
          <w:numId w:val="39"/>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strategic priorities for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xml:space="preserve"> set in the context of developing the future long-term objectives for the Insolvency Service, departmental and wider government aims, and changes to external insolvency markets</w:t>
      </w:r>
    </w:p>
    <w:p w14:paraId="49007602" w14:textId="77777777" w:rsidR="00DC25AC" w:rsidRPr="00AC09E7" w:rsidRDefault="00DC25AC" w:rsidP="00DC25AC">
      <w:pPr>
        <w:numPr>
          <w:ilvl w:val="0"/>
          <w:numId w:val="39"/>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major projects delivering organisational change</w:t>
      </w:r>
    </w:p>
    <w:p w14:paraId="31BC023E" w14:textId="77777777" w:rsidR="00DC25AC" w:rsidRPr="00AC09E7" w:rsidRDefault="00DC25AC" w:rsidP="00DC25AC">
      <w:pPr>
        <w:numPr>
          <w:ilvl w:val="0"/>
          <w:numId w:val="39"/>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topical items such as technology principles and customer satisfaction, progress on major cases of public interest</w:t>
      </w:r>
    </w:p>
    <w:p w14:paraId="14AEE45C" w14:textId="77777777" w:rsidR="00DC25AC" w:rsidRPr="00AC09E7" w:rsidRDefault="00DC25AC" w:rsidP="00DC25AC">
      <w:pPr>
        <w:numPr>
          <w:ilvl w:val="0"/>
          <w:numId w:val="39"/>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feedback from board committees including reviewing the annual reports produced by the Audit and Risk Assurance Committee (ARAC) and People Committee                                                                                                                                                                                                                                                                                                                                                                                                                                                                                                                                                                                                                                                                                                                                                                                                                                                                                                                                                                                                                                                                                                                                                                                                                                                                                                                                                                                                                                                                                                                                                                                                                                                                                                                                                                                                                                                                                                                                                                                                                                                                                                                                                                                                                                                                                                                                                                                                                                                                                                                                                                                                                                                                                                                                                                                                                                                                                                                                                                                                                                                                                                                                                                        </w:t>
      </w:r>
    </w:p>
    <w:p w14:paraId="147B5D1D" w14:textId="77777777" w:rsidR="00DC25AC" w:rsidRPr="00AC09E7" w:rsidRDefault="00DC25AC" w:rsidP="00DC25AC">
      <w:pPr>
        <w:numPr>
          <w:ilvl w:val="0"/>
          <w:numId w:val="39"/>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regular assessment of exposure to, and management of, risks</w:t>
      </w:r>
    </w:p>
    <w:p w14:paraId="5BAFE425" w14:textId="77777777" w:rsidR="00DC25AC" w:rsidRPr="00AC09E7" w:rsidRDefault="00DC25AC" w:rsidP="00DC25AC">
      <w:pPr>
        <w:spacing w:after="0" w:line="240" w:lineRule="auto"/>
        <w:rPr>
          <w:rFonts w:ascii="Arial" w:eastAsia="Calibri" w:hAnsi="Arial" w:cs="Arial"/>
          <w:kern w:val="0"/>
          <w:sz w:val="24"/>
          <w:szCs w:val="24"/>
          <w14:ligatures w14:val="none"/>
        </w:rPr>
      </w:pPr>
      <w:bookmarkStart w:id="4" w:name="_Hlk100822453"/>
      <w:r w:rsidRPr="00AC09E7">
        <w:rPr>
          <w:rFonts w:ascii="Arial" w:eastAsia="Calibri" w:hAnsi="Arial" w:cs="Arial"/>
          <w:kern w:val="0"/>
          <w:sz w:val="24"/>
          <w:szCs w:val="24"/>
          <w14:ligatures w14:val="none"/>
        </w:rPr>
        <w:t xml:space="preserve">Management information is used extensively by the ISB to monitor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xml:space="preserve"> risk and performance. An operational performance pack is presented to the board by the Chief Operating Officer, highlighting progress against key targets. The information presented to the board is closely monitored and challenged by directors at their monthly performance meeting before being presented to the board.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s strategic risk register is reviewed quarterly by the ARAC and bi-annually by the ISB.</w:t>
      </w:r>
    </w:p>
    <w:p w14:paraId="05D04BA4" w14:textId="77777777" w:rsidR="00DC25AC" w:rsidRPr="00AC09E7" w:rsidRDefault="00DC25AC" w:rsidP="00DC25AC">
      <w:pPr>
        <w:spacing w:after="0" w:line="240" w:lineRule="auto"/>
        <w:rPr>
          <w:rFonts w:ascii="Arial" w:eastAsia="Calibri" w:hAnsi="Arial" w:cs="Arial"/>
          <w:kern w:val="0"/>
          <w:sz w:val="24"/>
          <w:szCs w:val="24"/>
          <w14:ligatures w14:val="none"/>
        </w:rPr>
      </w:pPr>
    </w:p>
    <w:bookmarkEnd w:id="4"/>
    <w:p w14:paraId="22F29125" w14:textId="77777777" w:rsidR="00DC25AC" w:rsidRPr="00AC09E7" w:rsidRDefault="00DC25AC" w:rsidP="00DC25AC">
      <w:pPr>
        <w:spacing w:after="0" w:line="240" w:lineRule="auto"/>
        <w:rPr>
          <w:rFonts w:ascii="Arial" w:eastAsia="Times New Roman" w:hAnsi="Arial" w:cs="Arial"/>
          <w:b/>
          <w:kern w:val="0"/>
          <w:sz w:val="24"/>
          <w:szCs w:val="24"/>
          <w14:ligatures w14:val="none"/>
        </w:rPr>
      </w:pPr>
      <w:r w:rsidRPr="00AC09E7">
        <w:rPr>
          <w:rFonts w:ascii="Arial" w:eastAsia="Calibri" w:hAnsi="Arial" w:cs="Arial"/>
          <w:kern w:val="0"/>
          <w:sz w:val="24"/>
          <w:szCs w:val="24"/>
          <w14:ligatures w14:val="none"/>
        </w:rPr>
        <w:t xml:space="preserve">There have been no ministerial directions given to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xml:space="preserve"> during 2023</w:t>
      </w:r>
      <w:r>
        <w:rPr>
          <w:rFonts w:ascii="Arial" w:eastAsia="Calibri" w:hAnsi="Arial" w:cs="Arial"/>
          <w:kern w:val="0"/>
          <w:sz w:val="24"/>
          <w:szCs w:val="24"/>
          <w14:ligatures w14:val="none"/>
        </w:rPr>
        <w:t>-</w:t>
      </w:r>
      <w:r w:rsidRPr="00AC09E7">
        <w:rPr>
          <w:rFonts w:ascii="Arial" w:eastAsia="Calibri" w:hAnsi="Arial" w:cs="Arial"/>
          <w:kern w:val="0"/>
          <w:sz w:val="24"/>
          <w:szCs w:val="24"/>
          <w14:ligatures w14:val="none"/>
        </w:rPr>
        <w:t>24.</w:t>
      </w:r>
    </w:p>
    <w:p w14:paraId="4EB7059E" w14:textId="77777777" w:rsidR="00DC25AC" w:rsidRPr="00AC09E7" w:rsidRDefault="00DC25AC" w:rsidP="00DC25AC">
      <w:pPr>
        <w:spacing w:after="0" w:line="240" w:lineRule="auto"/>
        <w:rPr>
          <w:rFonts w:ascii="Arial" w:eastAsia="Times New Roman" w:hAnsi="Arial" w:cs="Arial"/>
          <w:kern w:val="0"/>
          <w:sz w:val="24"/>
          <w:szCs w:val="24"/>
          <w14:ligatures w14:val="none"/>
        </w:rPr>
      </w:pPr>
    </w:p>
    <w:p w14:paraId="5E5F5BAF"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The ISB has two sub-committees: ARAC and the People Committee. </w:t>
      </w:r>
    </w:p>
    <w:p w14:paraId="0B4D27E3" w14:textId="77777777" w:rsidR="00DC25AC" w:rsidRPr="00AC09E7" w:rsidRDefault="00DC25AC" w:rsidP="00DC25AC">
      <w:pPr>
        <w:spacing w:after="0" w:line="240" w:lineRule="auto"/>
        <w:rPr>
          <w:rFonts w:ascii="Arial" w:eastAsiaTheme="majorEastAsia" w:hAnsi="Arial" w:cs="Arial"/>
          <w:b/>
          <w:bCs/>
          <w:iCs/>
          <w:color w:val="4472C4" w:themeColor="accent1"/>
          <w:kern w:val="0"/>
          <w:sz w:val="24"/>
          <w:szCs w:val="24"/>
          <w:u w:color="000000"/>
          <w14:ligatures w14:val="none"/>
        </w:rPr>
      </w:pPr>
    </w:p>
    <w:p w14:paraId="29FFE4BE"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The </w:t>
      </w:r>
      <w:r w:rsidRPr="00AC09E7">
        <w:rPr>
          <w:rFonts w:ascii="Arial" w:eastAsia="Calibri" w:hAnsi="Arial" w:cs="Arial"/>
          <w:b/>
          <w:bCs/>
          <w:kern w:val="0"/>
          <w:sz w:val="24"/>
          <w:szCs w:val="24"/>
          <w14:ligatures w14:val="none"/>
        </w:rPr>
        <w:t>ARAC</w:t>
      </w:r>
      <w:r w:rsidRPr="00AC09E7">
        <w:rPr>
          <w:rFonts w:ascii="Arial" w:eastAsia="Calibri" w:hAnsi="Arial" w:cs="Arial"/>
          <w:kern w:val="0"/>
          <w:sz w:val="24"/>
          <w:szCs w:val="24"/>
          <w14:ligatures w14:val="none"/>
        </w:rPr>
        <w:t xml:space="preserve"> is chaired by an appropriately qualified independent NEBM. Its membership comprises two further NEBMs. I attend along with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xml:space="preserve"> Finance and Commercial Director and the Head of Corporate Governance, DBT representation; and representatives from the internal and external auditor teams. Other senior leaders attend as required.</w:t>
      </w:r>
    </w:p>
    <w:p w14:paraId="58F7061E" w14:textId="77777777" w:rsidR="00DC25AC" w:rsidRDefault="00DC25AC" w:rsidP="00DC25AC">
      <w:pPr>
        <w:rPr>
          <w:rFonts w:ascii="Arial" w:eastAsia="Calibri" w:hAnsi="Arial" w:cs="Arial"/>
          <w:kern w:val="0"/>
          <w:sz w:val="24"/>
          <w:szCs w:val="24"/>
          <w14:ligatures w14:val="none"/>
        </w:rPr>
      </w:pPr>
      <w:r>
        <w:rPr>
          <w:rFonts w:ascii="Arial" w:eastAsia="Calibri" w:hAnsi="Arial" w:cs="Arial"/>
          <w:kern w:val="0"/>
          <w:sz w:val="24"/>
          <w:szCs w:val="24"/>
          <w14:ligatures w14:val="none"/>
        </w:rPr>
        <w:br w:type="page"/>
      </w:r>
    </w:p>
    <w:p w14:paraId="17B2967A"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lastRenderedPageBreak/>
        <w:t xml:space="preserve">The ARAC supports me as Accounting Officer and receives and reviews reports from both internal and external auditors. It reviews the annual financial statements prior to publication and provides assurance to the ISB on controls and risk.  ARAC met four times during the year. </w:t>
      </w:r>
    </w:p>
    <w:p w14:paraId="3943772D" w14:textId="77777777" w:rsidR="00DC25AC" w:rsidRPr="00AC09E7" w:rsidRDefault="00DC25AC" w:rsidP="00DC25AC">
      <w:pPr>
        <w:spacing w:after="0" w:line="240" w:lineRule="auto"/>
        <w:rPr>
          <w:rFonts w:ascii="Arial" w:eastAsia="Calibri" w:hAnsi="Arial" w:cs="Arial"/>
          <w:kern w:val="0"/>
          <w:sz w:val="24"/>
          <w:szCs w:val="24"/>
          <w14:ligatures w14:val="none"/>
        </w:rPr>
      </w:pPr>
    </w:p>
    <w:p w14:paraId="6C3FBD4E"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Matters considered by ARAC included:</w:t>
      </w:r>
    </w:p>
    <w:p w14:paraId="644E4FDF" w14:textId="77777777" w:rsidR="00DC25AC" w:rsidRPr="00AC09E7" w:rsidRDefault="00DC25AC" w:rsidP="00DC25AC">
      <w:pPr>
        <w:spacing w:after="0" w:line="240" w:lineRule="auto"/>
        <w:rPr>
          <w:rFonts w:ascii="Arial" w:eastAsia="Calibri" w:hAnsi="Arial" w:cs="Arial"/>
          <w:kern w:val="0"/>
          <w:sz w:val="24"/>
          <w:szCs w:val="24"/>
          <w14:ligatures w14:val="none"/>
        </w:rPr>
      </w:pPr>
    </w:p>
    <w:p w14:paraId="2B5B05A4" w14:textId="77777777" w:rsidR="00DC25AC" w:rsidRPr="00AC09E7" w:rsidRDefault="00DC25AC" w:rsidP="00DC25AC">
      <w:pPr>
        <w:numPr>
          <w:ilvl w:val="0"/>
          <w:numId w:val="40"/>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approval of the internal audit plan, review of all internal audit reports issued, review of progress against the annual internal audit plan and annual audit opinion on risk management, governance, and internal control.</w:t>
      </w:r>
    </w:p>
    <w:p w14:paraId="5DF42012" w14:textId="77777777" w:rsidR="00DC25AC" w:rsidRPr="00AC09E7" w:rsidRDefault="00DC25AC" w:rsidP="00DC25AC">
      <w:pPr>
        <w:numPr>
          <w:ilvl w:val="0"/>
          <w:numId w:val="40"/>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reviewing work on the preparation and completion of both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xml:space="preserve"> annual report and accounts and Insolvency Service Accounts (White Paper</w:t>
      </w:r>
      <w:r>
        <w:rPr>
          <w:rFonts w:ascii="Arial" w:eastAsia="Calibri" w:hAnsi="Arial" w:cs="Arial"/>
          <w:kern w:val="0"/>
          <w:sz w:val="24"/>
          <w:szCs w:val="24"/>
          <w14:ligatures w14:val="none"/>
        </w:rPr>
        <w:t xml:space="preserve"> accounts</w:t>
      </w:r>
      <w:r w:rsidRPr="00AC09E7">
        <w:rPr>
          <w:rFonts w:ascii="Arial" w:eastAsia="Calibri" w:hAnsi="Arial" w:cs="Arial"/>
          <w:kern w:val="0"/>
          <w:sz w:val="24"/>
          <w:szCs w:val="24"/>
          <w14:ligatures w14:val="none"/>
        </w:rPr>
        <w:t xml:space="preserve">) </w:t>
      </w:r>
    </w:p>
    <w:p w14:paraId="797F34EB" w14:textId="77777777" w:rsidR="00DC25AC" w:rsidRPr="00AC09E7" w:rsidRDefault="00DC25AC" w:rsidP="00DC25AC">
      <w:pPr>
        <w:numPr>
          <w:ilvl w:val="0"/>
          <w:numId w:val="40"/>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regular reviews of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xml:space="preserve"> risk register and risk management </w:t>
      </w:r>
    </w:p>
    <w:p w14:paraId="201E082B" w14:textId="77777777" w:rsidR="00DC25AC" w:rsidRPr="00AC09E7" w:rsidRDefault="00DC25AC" w:rsidP="00DC25AC">
      <w:pPr>
        <w:numPr>
          <w:ilvl w:val="0"/>
          <w:numId w:val="40"/>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scrutiny of fraud and error incidents</w:t>
      </w:r>
    </w:p>
    <w:p w14:paraId="3B2C2992" w14:textId="77777777" w:rsidR="00DC25AC" w:rsidRPr="00AC09E7" w:rsidRDefault="00DC25AC" w:rsidP="00DC25AC">
      <w:pPr>
        <w:numPr>
          <w:ilvl w:val="0"/>
          <w:numId w:val="40"/>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regular reviews of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’s finance management reports</w:t>
      </w:r>
    </w:p>
    <w:p w14:paraId="2843989D" w14:textId="77777777" w:rsidR="00DC25AC" w:rsidRPr="00AC09E7" w:rsidRDefault="00DC25AC" w:rsidP="00DC25AC">
      <w:pPr>
        <w:numPr>
          <w:ilvl w:val="0"/>
          <w:numId w:val="40"/>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assurance reviews of the following areas</w:t>
      </w:r>
    </w:p>
    <w:p w14:paraId="444278F4" w14:textId="77777777" w:rsidR="00DC25AC" w:rsidRPr="00AC09E7" w:rsidRDefault="00DC25AC" w:rsidP="00DC25AC">
      <w:pPr>
        <w:numPr>
          <w:ilvl w:val="1"/>
          <w:numId w:val="40"/>
        </w:numPr>
        <w:spacing w:after="20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xml:space="preserve"> handling of volume PPI compensation receipts to historic bankruptcy cases </w:t>
      </w:r>
    </w:p>
    <w:p w14:paraId="45271224" w14:textId="77777777" w:rsidR="00DC25AC" w:rsidRPr="00AC09E7" w:rsidRDefault="00DC25AC" w:rsidP="00DC25AC">
      <w:pPr>
        <w:numPr>
          <w:ilvl w:val="1"/>
          <w:numId w:val="40"/>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’s approach to Cyber Security risks</w:t>
      </w:r>
    </w:p>
    <w:p w14:paraId="06EFBF55" w14:textId="77777777" w:rsidR="00DC25AC" w:rsidRPr="00AC09E7" w:rsidRDefault="00DC25AC" w:rsidP="00DC25AC">
      <w:pPr>
        <w:numPr>
          <w:ilvl w:val="1"/>
          <w:numId w:val="40"/>
        </w:numPr>
        <w:spacing w:after="20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Redundancy Payments Service (RPS) payment performance amidst rising case volumes </w:t>
      </w:r>
    </w:p>
    <w:p w14:paraId="368BC199" w14:textId="77777777" w:rsidR="00DC25AC" w:rsidRPr="00AC09E7" w:rsidRDefault="00DC25AC" w:rsidP="00DC25AC">
      <w:pPr>
        <w:pBdr>
          <w:top w:val="nil"/>
          <w:left w:val="nil"/>
          <w:bottom w:val="nil"/>
          <w:right w:val="nil"/>
          <w:between w:val="nil"/>
          <w:bar w:val="nil"/>
        </w:pBdr>
        <w:spacing w:after="0" w:line="240" w:lineRule="auto"/>
        <w:contextualSpacing/>
        <w:rPr>
          <w:rFonts w:ascii="Arial" w:eastAsiaTheme="majorEastAsia" w:hAnsi="Arial" w:cs="Arial"/>
          <w:b/>
          <w:bCs/>
          <w:iCs/>
          <w:color w:val="4472C4" w:themeColor="accent1"/>
          <w:kern w:val="0"/>
          <w:sz w:val="24"/>
          <w:szCs w:val="24"/>
          <w:u w:color="000000"/>
          <w14:ligatures w14:val="none"/>
        </w:rPr>
      </w:pPr>
    </w:p>
    <w:p w14:paraId="2A8EDA62" w14:textId="77777777" w:rsidR="00DC25AC" w:rsidRPr="00AC09E7" w:rsidRDefault="00DC25AC" w:rsidP="00DC25AC">
      <w:pPr>
        <w:spacing w:after="240" w:line="240" w:lineRule="auto"/>
        <w:jc w:val="both"/>
        <w:rPr>
          <w:rFonts w:ascii="Arial" w:hAnsi="Arial" w:cs="Arial"/>
          <w:kern w:val="0"/>
          <w:sz w:val="24"/>
          <w:szCs w:val="24"/>
          <w14:ligatures w14:val="none"/>
        </w:rPr>
      </w:pPr>
      <w:r w:rsidRPr="00AC09E7">
        <w:rPr>
          <w:rFonts w:ascii="Arial" w:eastAsia="Calibri" w:hAnsi="Arial" w:cs="Arial"/>
          <w:kern w:val="0"/>
          <w:sz w:val="24"/>
          <w:szCs w:val="24"/>
          <w14:ligatures w14:val="none"/>
        </w:rPr>
        <w:t xml:space="preserve">The </w:t>
      </w:r>
      <w:r w:rsidRPr="00AC09E7">
        <w:rPr>
          <w:rFonts w:ascii="Arial" w:eastAsia="Calibri" w:hAnsi="Arial" w:cs="Arial"/>
          <w:b/>
          <w:bCs/>
          <w:kern w:val="0"/>
          <w:sz w:val="24"/>
          <w:szCs w:val="24"/>
          <w14:ligatures w14:val="none"/>
        </w:rPr>
        <w:t>People Committee</w:t>
      </w:r>
      <w:r w:rsidRPr="00AC09E7">
        <w:rPr>
          <w:rFonts w:ascii="Arial" w:eastAsia="Calibri" w:hAnsi="Arial" w:cs="Arial"/>
          <w:kern w:val="0"/>
          <w:sz w:val="24"/>
          <w:szCs w:val="24"/>
          <w14:ligatures w14:val="none"/>
        </w:rPr>
        <w:t xml:space="preserve"> is an </w:t>
      </w:r>
      <w:r w:rsidRPr="00AC09E7">
        <w:rPr>
          <w:rFonts w:ascii="Arial" w:hAnsi="Arial" w:cs="Arial"/>
          <w:kern w:val="0"/>
          <w:sz w:val="24"/>
          <w:szCs w:val="24"/>
          <w14:ligatures w14:val="none"/>
        </w:rPr>
        <w:t xml:space="preserve">advisory sub-committee of the ISB and is delegated by the board to provide governance, advice, support and to oversee activity relating to: </w:t>
      </w:r>
    </w:p>
    <w:p w14:paraId="455CA63C" w14:textId="77777777" w:rsidR="00DC25AC" w:rsidRPr="00AC09E7" w:rsidRDefault="00DC25AC" w:rsidP="00DC25AC">
      <w:pPr>
        <w:numPr>
          <w:ilvl w:val="0"/>
          <w:numId w:val="41"/>
        </w:numPr>
        <w:spacing w:after="200" w:line="240" w:lineRule="auto"/>
        <w:ind w:left="714" w:hanging="357"/>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xml:space="preserve">’s People Strategy, </w:t>
      </w:r>
    </w:p>
    <w:p w14:paraId="0E623453" w14:textId="77777777" w:rsidR="00DC25AC" w:rsidRPr="00AC09E7" w:rsidRDefault="00DC25AC" w:rsidP="00DC25AC">
      <w:pPr>
        <w:numPr>
          <w:ilvl w:val="0"/>
          <w:numId w:val="41"/>
        </w:numPr>
        <w:spacing w:after="200" w:line="240" w:lineRule="auto"/>
        <w:ind w:left="714" w:hanging="357"/>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staff engagement and culture, </w:t>
      </w:r>
    </w:p>
    <w:p w14:paraId="687E1689" w14:textId="77777777" w:rsidR="00DC25AC" w:rsidRPr="00AC09E7" w:rsidRDefault="00DC25AC" w:rsidP="00DC25AC">
      <w:pPr>
        <w:numPr>
          <w:ilvl w:val="0"/>
          <w:numId w:val="41"/>
        </w:numPr>
        <w:spacing w:after="200" w:line="240" w:lineRule="auto"/>
        <w:ind w:left="714" w:hanging="357"/>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diversity, inclusion, and wellbeing, </w:t>
      </w:r>
    </w:p>
    <w:p w14:paraId="4833836D" w14:textId="77777777" w:rsidR="00DC25AC" w:rsidRPr="00AC09E7" w:rsidRDefault="00DC25AC" w:rsidP="00DC25AC">
      <w:pPr>
        <w:numPr>
          <w:ilvl w:val="0"/>
          <w:numId w:val="41"/>
        </w:numPr>
        <w:spacing w:after="200" w:line="240" w:lineRule="auto"/>
        <w:ind w:left="714" w:hanging="357"/>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health and safety</w:t>
      </w:r>
    </w:p>
    <w:p w14:paraId="7B45B786" w14:textId="77777777" w:rsidR="00DC25AC" w:rsidRPr="00AC09E7" w:rsidRDefault="00DC25AC" w:rsidP="00DC25AC">
      <w:pPr>
        <w:numPr>
          <w:ilvl w:val="0"/>
          <w:numId w:val="41"/>
        </w:numPr>
        <w:spacing w:after="200" w:line="240" w:lineRule="auto"/>
        <w:ind w:left="714" w:hanging="357"/>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succession planning</w:t>
      </w:r>
    </w:p>
    <w:p w14:paraId="3C9E8219" w14:textId="77777777" w:rsidR="00DC25AC" w:rsidRDefault="00DC25AC" w:rsidP="00DC25AC">
      <w:pPr>
        <w:rPr>
          <w:rFonts w:ascii="Arial" w:eastAsia="Calibri" w:hAnsi="Arial" w:cs="Arial"/>
          <w:kern w:val="0"/>
          <w:sz w:val="24"/>
          <w:szCs w:val="24"/>
          <w14:ligatures w14:val="none"/>
        </w:rPr>
      </w:pPr>
      <w:r>
        <w:rPr>
          <w:rFonts w:ascii="Arial" w:eastAsia="Calibri" w:hAnsi="Arial" w:cs="Arial"/>
          <w:kern w:val="0"/>
          <w:sz w:val="24"/>
          <w:szCs w:val="24"/>
          <w14:ligatures w14:val="none"/>
        </w:rPr>
        <w:br w:type="page"/>
      </w:r>
    </w:p>
    <w:p w14:paraId="27F1BAA5"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lastRenderedPageBreak/>
        <w:t>The People Committee is chaired by an independent NEBM. It also includes two other NEBMs, two executive board members and one external committee member.</w:t>
      </w:r>
    </w:p>
    <w:p w14:paraId="7F92234E"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Matters considered by the committee included:</w:t>
      </w:r>
    </w:p>
    <w:p w14:paraId="24615F99" w14:textId="77777777" w:rsidR="00DC25AC" w:rsidRPr="00AC09E7" w:rsidRDefault="00DC25AC" w:rsidP="00DC25AC">
      <w:pPr>
        <w:spacing w:after="0" w:line="240" w:lineRule="auto"/>
        <w:rPr>
          <w:rFonts w:ascii="Arial" w:eastAsia="Calibri" w:hAnsi="Arial" w:cs="Arial"/>
          <w:kern w:val="0"/>
          <w:sz w:val="24"/>
          <w:szCs w:val="24"/>
          <w14:ligatures w14:val="none"/>
        </w:rPr>
      </w:pPr>
    </w:p>
    <w:p w14:paraId="469D3897" w14:textId="77777777" w:rsidR="00DC25AC" w:rsidRPr="00AC09E7" w:rsidRDefault="00DC25AC" w:rsidP="00DC25AC">
      <w:pPr>
        <w:numPr>
          <w:ilvl w:val="0"/>
          <w:numId w:val="41"/>
        </w:numPr>
        <w:spacing w:after="200" w:line="240" w:lineRule="auto"/>
        <w:ind w:left="714" w:hanging="357"/>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reviewing the people impacts from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xml:space="preserve"> strategies and policies, such as Diversity and Inclusion, Wellbeing, and Raising a Concern</w:t>
      </w:r>
    </w:p>
    <w:p w14:paraId="1890C1B0" w14:textId="77777777" w:rsidR="00DC25AC" w:rsidRPr="00AC09E7" w:rsidRDefault="00DC25AC" w:rsidP="00DC25AC">
      <w:pPr>
        <w:numPr>
          <w:ilvl w:val="0"/>
          <w:numId w:val="41"/>
        </w:numPr>
        <w:spacing w:after="200" w:line="240" w:lineRule="auto"/>
        <w:ind w:left="714" w:hanging="357"/>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recruitment challenges</w:t>
      </w:r>
    </w:p>
    <w:p w14:paraId="046345B2" w14:textId="77777777" w:rsidR="00DC25AC" w:rsidRPr="00AC09E7" w:rsidRDefault="00DC25AC" w:rsidP="00DC25AC">
      <w:pPr>
        <w:numPr>
          <w:ilvl w:val="0"/>
          <w:numId w:val="41"/>
        </w:numPr>
        <w:spacing w:after="200" w:line="240" w:lineRule="auto"/>
        <w:ind w:left="714" w:hanging="357"/>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engagement and culture</w:t>
      </w:r>
    </w:p>
    <w:p w14:paraId="6F757F73" w14:textId="77777777" w:rsidR="00DC25AC" w:rsidRPr="00AC09E7" w:rsidRDefault="00DC25AC" w:rsidP="00DC25AC">
      <w:pPr>
        <w:numPr>
          <w:ilvl w:val="0"/>
          <w:numId w:val="41"/>
        </w:numPr>
        <w:spacing w:after="200" w:line="240" w:lineRule="auto"/>
        <w:ind w:left="714" w:hanging="357"/>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People Survey results</w:t>
      </w:r>
    </w:p>
    <w:p w14:paraId="09A74B0D" w14:textId="77777777" w:rsidR="00DC25AC" w:rsidRPr="00AC09E7" w:rsidRDefault="00DC25AC" w:rsidP="00DC25AC">
      <w:pPr>
        <w:numPr>
          <w:ilvl w:val="0"/>
          <w:numId w:val="41"/>
        </w:numPr>
        <w:spacing w:after="200" w:line="240" w:lineRule="auto"/>
        <w:ind w:left="714" w:hanging="357"/>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annual health and safety report</w:t>
      </w:r>
    </w:p>
    <w:p w14:paraId="71F6F754" w14:textId="77777777" w:rsidR="00DC25AC" w:rsidRPr="00AC09E7" w:rsidRDefault="00DC25AC" w:rsidP="00DC25AC">
      <w:pPr>
        <w:pBdr>
          <w:top w:val="nil"/>
          <w:left w:val="nil"/>
          <w:bottom w:val="nil"/>
          <w:right w:val="nil"/>
          <w:between w:val="nil"/>
          <w:bar w:val="nil"/>
        </w:pBdr>
        <w:spacing w:after="0" w:line="240" w:lineRule="auto"/>
        <w:contextualSpacing/>
        <w:rPr>
          <w:rFonts w:ascii="Arial" w:eastAsiaTheme="majorEastAsia" w:hAnsi="Arial" w:cs="Arial"/>
          <w:b/>
          <w:bCs/>
          <w:iCs/>
          <w:color w:val="4472C4" w:themeColor="accent1"/>
          <w:kern w:val="0"/>
          <w:sz w:val="24"/>
          <w:szCs w:val="24"/>
          <w:u w:color="000000"/>
          <w14:ligatures w14:val="none"/>
        </w:rPr>
      </w:pPr>
    </w:p>
    <w:p w14:paraId="2A7B47E7" w14:textId="77777777" w:rsidR="00DC25AC" w:rsidRPr="00AC09E7" w:rsidRDefault="00DC25AC" w:rsidP="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The following table summarises NEBM attendance at ISB, ARAC and the People Committee meetings held between April 2023 and March 2024.</w:t>
      </w:r>
    </w:p>
    <w:p w14:paraId="56824275" w14:textId="77777777" w:rsidR="00DC25AC" w:rsidRPr="00AC09E7" w:rsidRDefault="00DC25AC" w:rsidP="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984"/>
        <w:gridCol w:w="2075"/>
      </w:tblGrid>
      <w:tr w:rsidR="00DC25AC" w:rsidRPr="00AC09E7" w14:paraId="6C00915E" w14:textId="77777777">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5E3C5EAA" w14:textId="77777777" w:rsidR="00DC25AC" w:rsidRPr="00AC09E7" w:rsidRDefault="00DC25AC">
            <w:pPr>
              <w:pBdr>
                <w:top w:val="nil"/>
                <w:left w:val="nil"/>
                <w:bottom w:val="nil"/>
                <w:right w:val="nil"/>
                <w:between w:val="nil"/>
                <w:bar w:val="nil"/>
              </w:pBdr>
              <w:spacing w:after="0" w:line="240" w:lineRule="auto"/>
              <w:contextualSpacing/>
              <w:rPr>
                <w:rFonts w:ascii="Arial" w:eastAsiaTheme="majorEastAsia" w:hAnsi="Arial" w:cs="Arial"/>
                <w:i/>
                <w:iCs/>
                <w:kern w:val="0"/>
                <w:sz w:val="24"/>
                <w:szCs w:val="24"/>
                <w:u w:color="000000"/>
                <w14:ligatures w14:val="none"/>
              </w:rPr>
            </w:pPr>
            <w:r w:rsidRPr="00AC09E7">
              <w:rPr>
                <w:rFonts w:ascii="Arial" w:eastAsiaTheme="majorEastAsia" w:hAnsi="Arial" w:cs="Arial"/>
                <w:i/>
                <w:iCs/>
                <w:kern w:val="0"/>
                <w:sz w:val="24"/>
                <w:szCs w:val="24"/>
                <w:u w:color="000000"/>
                <w14:ligatures w14:val="none"/>
              </w:rPr>
              <w:t>Non-Executive Board Members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D0889A2" w14:textId="77777777" w:rsidR="00DC25AC" w:rsidRPr="00AC09E7" w:rsidRDefault="00DC25AC">
            <w:pPr>
              <w:pBdr>
                <w:top w:val="nil"/>
                <w:left w:val="nil"/>
                <w:bottom w:val="nil"/>
                <w:right w:val="nil"/>
                <w:between w:val="nil"/>
                <w:bar w:val="nil"/>
              </w:pBdr>
              <w:spacing w:after="0" w:line="240" w:lineRule="auto"/>
              <w:contextualSpacing/>
              <w:rPr>
                <w:rFonts w:ascii="Arial" w:eastAsiaTheme="majorEastAsia" w:hAnsi="Arial" w:cs="Arial"/>
                <w:i/>
                <w:iCs/>
                <w:kern w:val="0"/>
                <w:sz w:val="24"/>
                <w:szCs w:val="24"/>
                <w:u w:color="000000"/>
                <w14:ligatures w14:val="none"/>
              </w:rPr>
            </w:pPr>
            <w:r w:rsidRPr="00AC09E7">
              <w:rPr>
                <w:rFonts w:ascii="Arial" w:eastAsiaTheme="majorEastAsia" w:hAnsi="Arial" w:cs="Arial"/>
                <w:i/>
                <w:iCs/>
                <w:kern w:val="0"/>
                <w:sz w:val="24"/>
                <w:szCs w:val="24"/>
                <w:u w:color="000000"/>
                <w14:ligatures w14:val="none"/>
              </w:rPr>
              <w:t>Insolvency Service Board (ISB)</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94D894" w14:textId="77777777" w:rsidR="00DC25AC" w:rsidRPr="00AC09E7" w:rsidRDefault="00DC25AC">
            <w:pPr>
              <w:pBdr>
                <w:top w:val="nil"/>
                <w:left w:val="nil"/>
                <w:bottom w:val="nil"/>
                <w:right w:val="nil"/>
                <w:between w:val="nil"/>
                <w:bar w:val="nil"/>
              </w:pBdr>
              <w:spacing w:after="0" w:line="240" w:lineRule="auto"/>
              <w:contextualSpacing/>
              <w:rPr>
                <w:rFonts w:ascii="Arial" w:eastAsiaTheme="majorEastAsia" w:hAnsi="Arial" w:cs="Arial"/>
                <w:i/>
                <w:iCs/>
                <w:kern w:val="0"/>
                <w:sz w:val="24"/>
                <w:szCs w:val="24"/>
                <w:u w:color="000000"/>
                <w14:ligatures w14:val="none"/>
              </w:rPr>
            </w:pPr>
            <w:r w:rsidRPr="00AC09E7">
              <w:rPr>
                <w:rFonts w:ascii="Arial" w:eastAsiaTheme="majorEastAsia" w:hAnsi="Arial" w:cs="Arial"/>
                <w:i/>
                <w:iCs/>
                <w:kern w:val="0"/>
                <w:sz w:val="24"/>
                <w:szCs w:val="24"/>
                <w:u w:color="000000"/>
                <w14:ligatures w14:val="none"/>
              </w:rPr>
              <w:t>Audit and Risk Assurance Committee</w:t>
            </w:r>
          </w:p>
          <w:p w14:paraId="78457F9A" w14:textId="77777777" w:rsidR="00DC25AC" w:rsidRPr="00AC09E7" w:rsidRDefault="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r w:rsidRPr="00AC09E7">
              <w:rPr>
                <w:rFonts w:ascii="Arial" w:eastAsiaTheme="majorEastAsia" w:hAnsi="Arial" w:cs="Arial"/>
                <w:i/>
                <w:iCs/>
                <w:kern w:val="0"/>
                <w:sz w:val="24"/>
                <w:szCs w:val="24"/>
                <w:u w:color="000000"/>
                <w14:ligatures w14:val="none"/>
              </w:rPr>
              <w:t>(ARAC)</w:t>
            </w:r>
          </w:p>
        </w:tc>
        <w:tc>
          <w:tcPr>
            <w:tcW w:w="2075" w:type="dxa"/>
            <w:tcBorders>
              <w:top w:val="single" w:sz="4" w:space="0" w:color="auto"/>
              <w:left w:val="single" w:sz="4" w:space="0" w:color="auto"/>
              <w:bottom w:val="single" w:sz="4" w:space="0" w:color="auto"/>
              <w:right w:val="single" w:sz="4" w:space="0" w:color="auto"/>
            </w:tcBorders>
            <w:hideMark/>
          </w:tcPr>
          <w:p w14:paraId="1D3D2EFC" w14:textId="77777777" w:rsidR="00DC25AC" w:rsidRPr="00AC09E7" w:rsidRDefault="00DC25AC">
            <w:pPr>
              <w:pBdr>
                <w:top w:val="nil"/>
                <w:left w:val="nil"/>
                <w:bottom w:val="nil"/>
                <w:right w:val="nil"/>
                <w:between w:val="nil"/>
                <w:bar w:val="nil"/>
              </w:pBdr>
              <w:spacing w:after="0" w:line="240" w:lineRule="auto"/>
              <w:contextualSpacing/>
              <w:rPr>
                <w:rFonts w:ascii="Arial" w:eastAsiaTheme="majorEastAsia" w:hAnsi="Arial" w:cs="Arial"/>
                <w:i/>
                <w:iCs/>
                <w:kern w:val="0"/>
                <w:sz w:val="24"/>
                <w:szCs w:val="24"/>
                <w:u w:color="000000"/>
                <w14:ligatures w14:val="none"/>
              </w:rPr>
            </w:pPr>
            <w:r w:rsidRPr="00AC09E7">
              <w:rPr>
                <w:rFonts w:ascii="Arial" w:eastAsiaTheme="majorEastAsia" w:hAnsi="Arial" w:cs="Arial"/>
                <w:i/>
                <w:iCs/>
                <w:kern w:val="0"/>
                <w:sz w:val="24"/>
                <w:szCs w:val="24"/>
                <w:u w:color="000000"/>
                <w14:ligatures w14:val="none"/>
              </w:rPr>
              <w:t>People Committee</w:t>
            </w:r>
          </w:p>
          <w:p w14:paraId="4F402CB9" w14:textId="77777777" w:rsidR="00DC25AC" w:rsidRPr="00AC09E7" w:rsidRDefault="00DC25AC">
            <w:pPr>
              <w:pBdr>
                <w:top w:val="nil"/>
                <w:left w:val="nil"/>
                <w:bottom w:val="nil"/>
                <w:right w:val="nil"/>
                <w:between w:val="nil"/>
                <w:bar w:val="nil"/>
              </w:pBdr>
              <w:spacing w:after="0" w:line="240" w:lineRule="auto"/>
              <w:contextualSpacing/>
              <w:rPr>
                <w:rFonts w:ascii="Arial" w:eastAsiaTheme="majorEastAsia" w:hAnsi="Arial" w:cs="Arial"/>
                <w:i/>
                <w:iCs/>
                <w:kern w:val="0"/>
                <w:sz w:val="24"/>
                <w:szCs w:val="24"/>
                <w:u w:color="000000"/>
                <w14:ligatures w14:val="none"/>
              </w:rPr>
            </w:pPr>
            <w:r w:rsidRPr="00AC09E7">
              <w:rPr>
                <w:rFonts w:ascii="Arial" w:eastAsiaTheme="majorEastAsia" w:hAnsi="Arial" w:cs="Arial"/>
                <w:i/>
                <w:iCs/>
                <w:kern w:val="0"/>
                <w:sz w:val="24"/>
                <w:szCs w:val="24"/>
                <w:u w:color="000000"/>
                <w14:ligatures w14:val="none"/>
              </w:rPr>
              <w:t>(PC)</w:t>
            </w:r>
          </w:p>
        </w:tc>
      </w:tr>
      <w:tr w:rsidR="00DC25AC" w:rsidRPr="00AC09E7" w14:paraId="3F0A074F" w14:textId="77777777">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6CD5AD05" w14:textId="77777777" w:rsidR="00DC25AC" w:rsidRPr="00AC09E7" w:rsidRDefault="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Mark Austen (Chair of ISB)</w:t>
            </w:r>
          </w:p>
        </w:tc>
        <w:tc>
          <w:tcPr>
            <w:tcW w:w="2127" w:type="dxa"/>
            <w:tcBorders>
              <w:top w:val="single" w:sz="4" w:space="0" w:color="auto"/>
              <w:left w:val="single" w:sz="4" w:space="0" w:color="auto"/>
              <w:bottom w:val="single" w:sz="4" w:space="0" w:color="auto"/>
              <w:right w:val="single" w:sz="4" w:space="0" w:color="auto"/>
            </w:tcBorders>
            <w:hideMark/>
          </w:tcPr>
          <w:p w14:paraId="5C5B8BFB"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7/7</w:t>
            </w:r>
          </w:p>
        </w:tc>
        <w:tc>
          <w:tcPr>
            <w:tcW w:w="1984" w:type="dxa"/>
            <w:tcBorders>
              <w:top w:val="single" w:sz="4" w:space="0" w:color="auto"/>
              <w:left w:val="single" w:sz="4" w:space="0" w:color="auto"/>
              <w:bottom w:val="single" w:sz="4" w:space="0" w:color="auto"/>
              <w:right w:val="single" w:sz="4" w:space="0" w:color="auto"/>
            </w:tcBorders>
            <w:hideMark/>
          </w:tcPr>
          <w:p w14:paraId="3F15FD11"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N/A</w:t>
            </w:r>
          </w:p>
        </w:tc>
        <w:tc>
          <w:tcPr>
            <w:tcW w:w="2075" w:type="dxa"/>
            <w:tcBorders>
              <w:top w:val="single" w:sz="4" w:space="0" w:color="auto"/>
              <w:left w:val="single" w:sz="4" w:space="0" w:color="auto"/>
              <w:bottom w:val="single" w:sz="4" w:space="0" w:color="auto"/>
              <w:right w:val="single" w:sz="4" w:space="0" w:color="auto"/>
            </w:tcBorders>
            <w:hideMark/>
          </w:tcPr>
          <w:p w14:paraId="499A49B2"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3/3</w:t>
            </w:r>
          </w:p>
        </w:tc>
      </w:tr>
      <w:tr w:rsidR="00DC25AC" w:rsidRPr="00AC09E7" w14:paraId="44B11E8F" w14:textId="77777777">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7EC72CC6" w14:textId="77777777" w:rsidR="00DC25AC" w:rsidRPr="00AC09E7" w:rsidRDefault="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Robert Hunt (Chair of ARAC)</w:t>
            </w:r>
          </w:p>
        </w:tc>
        <w:tc>
          <w:tcPr>
            <w:tcW w:w="2127" w:type="dxa"/>
            <w:tcBorders>
              <w:top w:val="single" w:sz="4" w:space="0" w:color="auto"/>
              <w:left w:val="single" w:sz="4" w:space="0" w:color="auto"/>
              <w:bottom w:val="single" w:sz="4" w:space="0" w:color="auto"/>
              <w:right w:val="single" w:sz="4" w:space="0" w:color="auto"/>
            </w:tcBorders>
            <w:hideMark/>
          </w:tcPr>
          <w:p w14:paraId="3A0DA848"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7/7</w:t>
            </w:r>
          </w:p>
        </w:tc>
        <w:tc>
          <w:tcPr>
            <w:tcW w:w="1984" w:type="dxa"/>
            <w:tcBorders>
              <w:top w:val="single" w:sz="4" w:space="0" w:color="auto"/>
              <w:left w:val="single" w:sz="4" w:space="0" w:color="auto"/>
              <w:bottom w:val="single" w:sz="4" w:space="0" w:color="auto"/>
              <w:right w:val="single" w:sz="4" w:space="0" w:color="auto"/>
            </w:tcBorders>
            <w:hideMark/>
          </w:tcPr>
          <w:p w14:paraId="38FDB1D7"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4/4</w:t>
            </w:r>
          </w:p>
        </w:tc>
        <w:tc>
          <w:tcPr>
            <w:tcW w:w="2075" w:type="dxa"/>
            <w:tcBorders>
              <w:top w:val="single" w:sz="4" w:space="0" w:color="auto"/>
              <w:left w:val="single" w:sz="4" w:space="0" w:color="auto"/>
              <w:bottom w:val="single" w:sz="4" w:space="0" w:color="auto"/>
              <w:right w:val="single" w:sz="4" w:space="0" w:color="auto"/>
            </w:tcBorders>
            <w:hideMark/>
          </w:tcPr>
          <w:p w14:paraId="779C5D38"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N/A</w:t>
            </w:r>
          </w:p>
        </w:tc>
      </w:tr>
      <w:tr w:rsidR="00DC25AC" w:rsidRPr="00AC09E7" w14:paraId="0ABA81B3" w14:textId="77777777">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59EE3F78" w14:textId="77777777" w:rsidR="00DC25AC" w:rsidRPr="00AC09E7" w:rsidRDefault="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Mary Chapman (Chair of People Committee) *</w:t>
            </w:r>
          </w:p>
        </w:tc>
        <w:tc>
          <w:tcPr>
            <w:tcW w:w="2127" w:type="dxa"/>
            <w:tcBorders>
              <w:top w:val="single" w:sz="4" w:space="0" w:color="auto"/>
              <w:left w:val="single" w:sz="4" w:space="0" w:color="auto"/>
              <w:bottom w:val="single" w:sz="4" w:space="0" w:color="auto"/>
              <w:right w:val="single" w:sz="4" w:space="0" w:color="auto"/>
            </w:tcBorders>
            <w:hideMark/>
          </w:tcPr>
          <w:p w14:paraId="2405D189"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2/2</w:t>
            </w:r>
          </w:p>
        </w:tc>
        <w:tc>
          <w:tcPr>
            <w:tcW w:w="1984" w:type="dxa"/>
            <w:tcBorders>
              <w:top w:val="single" w:sz="4" w:space="0" w:color="auto"/>
              <w:left w:val="single" w:sz="4" w:space="0" w:color="auto"/>
              <w:bottom w:val="single" w:sz="4" w:space="0" w:color="auto"/>
              <w:right w:val="single" w:sz="4" w:space="0" w:color="auto"/>
            </w:tcBorders>
            <w:hideMark/>
          </w:tcPr>
          <w:p w14:paraId="0E4440AD"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N/A</w:t>
            </w:r>
          </w:p>
        </w:tc>
        <w:tc>
          <w:tcPr>
            <w:tcW w:w="2075" w:type="dxa"/>
            <w:tcBorders>
              <w:top w:val="single" w:sz="4" w:space="0" w:color="auto"/>
              <w:left w:val="single" w:sz="4" w:space="0" w:color="auto"/>
              <w:bottom w:val="single" w:sz="4" w:space="0" w:color="auto"/>
              <w:right w:val="single" w:sz="4" w:space="0" w:color="auto"/>
            </w:tcBorders>
            <w:hideMark/>
          </w:tcPr>
          <w:p w14:paraId="6B71E065"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1/1</w:t>
            </w:r>
          </w:p>
        </w:tc>
      </w:tr>
      <w:tr w:rsidR="00DC25AC" w:rsidRPr="00AC09E7" w14:paraId="6109F7DF" w14:textId="77777777">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300E5F02" w14:textId="77777777" w:rsidR="00DC25AC" w:rsidRPr="00AC09E7" w:rsidRDefault="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Samantha Durrant**</w:t>
            </w:r>
          </w:p>
        </w:tc>
        <w:tc>
          <w:tcPr>
            <w:tcW w:w="2127" w:type="dxa"/>
            <w:tcBorders>
              <w:top w:val="single" w:sz="4" w:space="0" w:color="auto"/>
              <w:left w:val="single" w:sz="4" w:space="0" w:color="auto"/>
              <w:bottom w:val="single" w:sz="4" w:space="0" w:color="auto"/>
              <w:right w:val="single" w:sz="4" w:space="0" w:color="auto"/>
            </w:tcBorders>
            <w:hideMark/>
          </w:tcPr>
          <w:p w14:paraId="325FA54C"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6/7</w:t>
            </w:r>
          </w:p>
        </w:tc>
        <w:tc>
          <w:tcPr>
            <w:tcW w:w="1984" w:type="dxa"/>
            <w:tcBorders>
              <w:top w:val="single" w:sz="4" w:space="0" w:color="auto"/>
              <w:left w:val="single" w:sz="4" w:space="0" w:color="auto"/>
              <w:bottom w:val="single" w:sz="4" w:space="0" w:color="auto"/>
              <w:right w:val="single" w:sz="4" w:space="0" w:color="auto"/>
            </w:tcBorders>
            <w:hideMark/>
          </w:tcPr>
          <w:p w14:paraId="1A5518B9"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1/1</w:t>
            </w:r>
          </w:p>
        </w:tc>
        <w:tc>
          <w:tcPr>
            <w:tcW w:w="2075" w:type="dxa"/>
            <w:tcBorders>
              <w:top w:val="single" w:sz="4" w:space="0" w:color="auto"/>
              <w:left w:val="single" w:sz="4" w:space="0" w:color="auto"/>
              <w:bottom w:val="single" w:sz="4" w:space="0" w:color="auto"/>
              <w:right w:val="single" w:sz="4" w:space="0" w:color="auto"/>
            </w:tcBorders>
            <w:hideMark/>
          </w:tcPr>
          <w:p w14:paraId="4DA228F4"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2/2</w:t>
            </w:r>
          </w:p>
        </w:tc>
      </w:tr>
      <w:tr w:rsidR="00DC25AC" w:rsidRPr="00AC09E7" w14:paraId="69009623" w14:textId="77777777">
        <w:trPr>
          <w:jc w:val="center"/>
        </w:trPr>
        <w:tc>
          <w:tcPr>
            <w:tcW w:w="2830" w:type="dxa"/>
            <w:tcBorders>
              <w:top w:val="single" w:sz="4" w:space="0" w:color="auto"/>
              <w:left w:val="single" w:sz="4" w:space="0" w:color="auto"/>
              <w:bottom w:val="single" w:sz="6" w:space="0" w:color="B1B4B6"/>
              <w:right w:val="single" w:sz="4" w:space="0" w:color="auto"/>
            </w:tcBorders>
            <w:shd w:val="clear" w:color="auto" w:fill="FFFFFF"/>
            <w:hideMark/>
          </w:tcPr>
          <w:p w14:paraId="5677210B" w14:textId="77777777" w:rsidR="00DC25AC" w:rsidRPr="00AC09E7" w:rsidRDefault="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Gary Kildare</w:t>
            </w:r>
          </w:p>
        </w:tc>
        <w:tc>
          <w:tcPr>
            <w:tcW w:w="2127" w:type="dxa"/>
            <w:tcBorders>
              <w:top w:val="single" w:sz="4" w:space="0" w:color="auto"/>
              <w:left w:val="single" w:sz="4" w:space="0" w:color="auto"/>
              <w:bottom w:val="single" w:sz="4" w:space="0" w:color="auto"/>
              <w:right w:val="single" w:sz="4" w:space="0" w:color="auto"/>
            </w:tcBorders>
            <w:hideMark/>
          </w:tcPr>
          <w:p w14:paraId="333B8694"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7/7</w:t>
            </w:r>
          </w:p>
        </w:tc>
        <w:tc>
          <w:tcPr>
            <w:tcW w:w="1984" w:type="dxa"/>
            <w:tcBorders>
              <w:top w:val="single" w:sz="4" w:space="0" w:color="auto"/>
              <w:left w:val="single" w:sz="4" w:space="0" w:color="auto"/>
              <w:bottom w:val="single" w:sz="4" w:space="0" w:color="auto"/>
              <w:right w:val="single" w:sz="4" w:space="0" w:color="auto"/>
            </w:tcBorders>
            <w:hideMark/>
          </w:tcPr>
          <w:p w14:paraId="0DA69E9B"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4/4</w:t>
            </w:r>
          </w:p>
        </w:tc>
        <w:tc>
          <w:tcPr>
            <w:tcW w:w="2075" w:type="dxa"/>
            <w:tcBorders>
              <w:top w:val="single" w:sz="4" w:space="0" w:color="auto"/>
              <w:left w:val="single" w:sz="4" w:space="0" w:color="auto"/>
              <w:bottom w:val="single" w:sz="4" w:space="0" w:color="auto"/>
              <w:right w:val="single" w:sz="4" w:space="0" w:color="auto"/>
            </w:tcBorders>
            <w:hideMark/>
          </w:tcPr>
          <w:p w14:paraId="4C1F54AF"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N/A</w:t>
            </w:r>
          </w:p>
        </w:tc>
      </w:tr>
      <w:tr w:rsidR="00DC25AC" w:rsidRPr="00AC09E7" w14:paraId="075E689A" w14:textId="77777777">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568CB161" w14:textId="77777777" w:rsidR="00DC25AC" w:rsidRPr="00AC09E7" w:rsidRDefault="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Eoin Parker (DBT)</w:t>
            </w:r>
          </w:p>
        </w:tc>
        <w:tc>
          <w:tcPr>
            <w:tcW w:w="2127" w:type="dxa"/>
            <w:tcBorders>
              <w:top w:val="single" w:sz="4" w:space="0" w:color="auto"/>
              <w:left w:val="single" w:sz="4" w:space="0" w:color="auto"/>
              <w:bottom w:val="single" w:sz="4" w:space="0" w:color="auto"/>
              <w:right w:val="single" w:sz="4" w:space="0" w:color="auto"/>
            </w:tcBorders>
            <w:hideMark/>
          </w:tcPr>
          <w:p w14:paraId="6E7DA8F5"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6/7</w:t>
            </w:r>
          </w:p>
        </w:tc>
        <w:tc>
          <w:tcPr>
            <w:tcW w:w="1984" w:type="dxa"/>
            <w:tcBorders>
              <w:top w:val="single" w:sz="4" w:space="0" w:color="auto"/>
              <w:left w:val="single" w:sz="4" w:space="0" w:color="auto"/>
              <w:bottom w:val="single" w:sz="4" w:space="0" w:color="auto"/>
              <w:right w:val="single" w:sz="4" w:space="0" w:color="auto"/>
            </w:tcBorders>
            <w:hideMark/>
          </w:tcPr>
          <w:p w14:paraId="65C7AD39"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N/A</w:t>
            </w:r>
          </w:p>
        </w:tc>
        <w:tc>
          <w:tcPr>
            <w:tcW w:w="2075" w:type="dxa"/>
            <w:tcBorders>
              <w:top w:val="single" w:sz="4" w:space="0" w:color="auto"/>
              <w:left w:val="single" w:sz="4" w:space="0" w:color="auto"/>
              <w:bottom w:val="single" w:sz="4" w:space="0" w:color="auto"/>
              <w:right w:val="single" w:sz="4" w:space="0" w:color="auto"/>
            </w:tcBorders>
            <w:hideMark/>
          </w:tcPr>
          <w:p w14:paraId="384D450A"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3/3</w:t>
            </w:r>
          </w:p>
        </w:tc>
      </w:tr>
      <w:tr w:rsidR="00DC25AC" w:rsidRPr="00AC09E7" w14:paraId="0B36DA5E" w14:textId="77777777">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4BDF98DD" w14:textId="77777777" w:rsidR="00DC25AC" w:rsidRPr="00AC09E7" w:rsidRDefault="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Frances Coulson***</w:t>
            </w:r>
          </w:p>
        </w:tc>
        <w:tc>
          <w:tcPr>
            <w:tcW w:w="2127" w:type="dxa"/>
            <w:tcBorders>
              <w:top w:val="single" w:sz="4" w:space="0" w:color="auto"/>
              <w:left w:val="single" w:sz="4" w:space="0" w:color="auto"/>
              <w:bottom w:val="single" w:sz="4" w:space="0" w:color="auto"/>
              <w:right w:val="single" w:sz="4" w:space="0" w:color="auto"/>
            </w:tcBorders>
            <w:hideMark/>
          </w:tcPr>
          <w:p w14:paraId="5BF8239C"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7/7</w:t>
            </w:r>
          </w:p>
        </w:tc>
        <w:tc>
          <w:tcPr>
            <w:tcW w:w="1984" w:type="dxa"/>
            <w:tcBorders>
              <w:top w:val="single" w:sz="4" w:space="0" w:color="auto"/>
              <w:left w:val="single" w:sz="4" w:space="0" w:color="auto"/>
              <w:bottom w:val="single" w:sz="4" w:space="0" w:color="auto"/>
              <w:right w:val="single" w:sz="4" w:space="0" w:color="auto"/>
            </w:tcBorders>
            <w:hideMark/>
          </w:tcPr>
          <w:p w14:paraId="597B02E5"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3/3</w:t>
            </w:r>
          </w:p>
        </w:tc>
        <w:tc>
          <w:tcPr>
            <w:tcW w:w="2075" w:type="dxa"/>
            <w:tcBorders>
              <w:top w:val="single" w:sz="4" w:space="0" w:color="auto"/>
              <w:left w:val="single" w:sz="4" w:space="0" w:color="auto"/>
              <w:bottom w:val="single" w:sz="4" w:space="0" w:color="auto"/>
              <w:right w:val="single" w:sz="4" w:space="0" w:color="auto"/>
            </w:tcBorders>
            <w:hideMark/>
          </w:tcPr>
          <w:p w14:paraId="5F2AE242" w14:textId="77777777" w:rsidR="00DC25AC" w:rsidRPr="00AC09E7" w:rsidRDefault="00DC25AC">
            <w:pPr>
              <w:pBdr>
                <w:top w:val="nil"/>
                <w:left w:val="nil"/>
                <w:bottom w:val="nil"/>
                <w:right w:val="nil"/>
                <w:between w:val="nil"/>
                <w:bar w:val="nil"/>
              </w:pBdr>
              <w:spacing w:after="0" w:line="240" w:lineRule="auto"/>
              <w:contextualSpacing/>
              <w:jc w:val="center"/>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N/A</w:t>
            </w:r>
          </w:p>
        </w:tc>
      </w:tr>
    </w:tbl>
    <w:p w14:paraId="5263FA33" w14:textId="77777777" w:rsidR="00DC25AC" w:rsidRPr="00AC09E7" w:rsidRDefault="00DC25AC" w:rsidP="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p>
    <w:p w14:paraId="60825D41" w14:textId="77777777" w:rsidR="00DC25AC" w:rsidRPr="00AC09E7" w:rsidRDefault="00DC25AC" w:rsidP="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 Mary Chapman resigned from the Board in May 2023</w:t>
      </w:r>
    </w:p>
    <w:p w14:paraId="04406195" w14:textId="77777777" w:rsidR="00DC25AC" w:rsidRPr="00AC09E7" w:rsidRDefault="00DC25AC" w:rsidP="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 Samantha Durrant became Chair of People Committee following Mary Chapman’s resignation and ended her membership of ARAC in June 2023</w:t>
      </w:r>
    </w:p>
    <w:p w14:paraId="34EC31E0" w14:textId="77777777" w:rsidR="00DC25AC" w:rsidRPr="00AC09E7" w:rsidRDefault="00DC25AC" w:rsidP="00DC25AC">
      <w:pPr>
        <w:pBdr>
          <w:top w:val="nil"/>
          <w:left w:val="nil"/>
          <w:bottom w:val="nil"/>
          <w:right w:val="nil"/>
          <w:between w:val="nil"/>
          <w:bar w:val="nil"/>
        </w:pBdr>
        <w:spacing w:after="0" w:line="240" w:lineRule="auto"/>
        <w:contextualSpacing/>
        <w:rPr>
          <w:rFonts w:ascii="Arial" w:eastAsiaTheme="majorEastAsia" w:hAnsi="Arial" w:cs="Arial"/>
          <w:iCs/>
          <w:kern w:val="0"/>
          <w:sz w:val="24"/>
          <w:szCs w:val="24"/>
          <w:u w:color="000000"/>
          <w14:ligatures w14:val="none"/>
        </w:rPr>
      </w:pPr>
      <w:r w:rsidRPr="00AC09E7">
        <w:rPr>
          <w:rFonts w:ascii="Arial" w:eastAsiaTheme="majorEastAsia" w:hAnsi="Arial" w:cs="Arial"/>
          <w:iCs/>
          <w:kern w:val="0"/>
          <w:sz w:val="24"/>
          <w:szCs w:val="24"/>
          <w:u w:color="000000"/>
          <w14:ligatures w14:val="none"/>
        </w:rPr>
        <w:t>*** Frances Coulson joined ARAC in June 2023</w:t>
      </w:r>
    </w:p>
    <w:p w14:paraId="6442204F" w14:textId="77777777" w:rsidR="00DC25AC" w:rsidRPr="00AC09E7" w:rsidRDefault="00DC25AC" w:rsidP="00DC25AC">
      <w:pPr>
        <w:pBdr>
          <w:top w:val="nil"/>
          <w:left w:val="nil"/>
          <w:bottom w:val="nil"/>
          <w:right w:val="nil"/>
          <w:between w:val="nil"/>
          <w:bar w:val="nil"/>
        </w:pBdr>
        <w:spacing w:after="0" w:line="240" w:lineRule="auto"/>
        <w:contextualSpacing/>
        <w:rPr>
          <w:rFonts w:ascii="Arial" w:eastAsiaTheme="majorEastAsia" w:hAnsi="Arial" w:cs="Arial"/>
          <w:b/>
          <w:bCs/>
          <w:iCs/>
          <w:color w:val="4472C4" w:themeColor="accent1"/>
          <w:kern w:val="0"/>
          <w:sz w:val="24"/>
          <w:szCs w:val="24"/>
          <w:u w:color="000000"/>
          <w14:ligatures w14:val="none"/>
        </w:rPr>
      </w:pPr>
    </w:p>
    <w:p w14:paraId="57DE70E8" w14:textId="77777777" w:rsidR="00DC25AC" w:rsidRPr="00AC09E7" w:rsidRDefault="00DC25AC" w:rsidP="00DC25AC">
      <w:pPr>
        <w:spacing w:after="0" w:line="240" w:lineRule="auto"/>
        <w:rPr>
          <w:rFonts w:ascii="Arial" w:eastAsia="Calibri" w:hAnsi="Arial" w:cs="Arial"/>
          <w:kern w:val="0"/>
          <w:sz w:val="24"/>
          <w:szCs w:val="24"/>
          <w14:ligatures w14:val="none"/>
        </w:rPr>
      </w:pPr>
      <w:r w:rsidRPr="00AC09E7">
        <w:rPr>
          <w:rFonts w:ascii="Arial" w:eastAsia="Calibri" w:hAnsi="Arial" w:cs="Arial"/>
          <w:kern w:val="0"/>
          <w:sz w:val="24"/>
          <w:szCs w:val="24"/>
          <w14:ligatures w14:val="none"/>
        </w:rPr>
        <w:t xml:space="preserve">The </w:t>
      </w:r>
      <w:r w:rsidRPr="00AC09E7">
        <w:rPr>
          <w:rFonts w:ascii="Arial" w:eastAsiaTheme="majorEastAsia" w:hAnsi="Arial" w:cs="Arial"/>
          <w:b/>
          <w:kern w:val="0"/>
          <w:sz w:val="24"/>
          <w:szCs w:val="24"/>
          <w14:ligatures w14:val="none"/>
        </w:rPr>
        <w:t>Executive Committee (ExCom)</w:t>
      </w:r>
      <w:r w:rsidRPr="00AC09E7">
        <w:rPr>
          <w:rFonts w:ascii="Arial" w:eastAsia="Calibri" w:hAnsi="Arial" w:cs="Arial"/>
          <w:kern w:val="0"/>
          <w:sz w:val="24"/>
          <w:szCs w:val="24"/>
          <w14:ligatures w14:val="none"/>
        </w:rPr>
        <w:t xml:space="preserve"> meets twice monthly to review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xml:space="preserve"> performance, finance, strategy, and operational and strategic risks. I share chairing responsibilities for ExCom meetings with the Chief Operating Officer. All Directors, collectively known as the Executive Leadership Team (ELT) are involved in decision making at these meetings. The ELT is responsible for discussing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 xml:space="preserve"> risks and issues, and monthly management information including, but not limited to, the </w:t>
      </w:r>
      <w:r>
        <w:rPr>
          <w:rFonts w:ascii="Arial" w:eastAsia="Calibri" w:hAnsi="Arial" w:cs="Arial"/>
          <w:kern w:val="0"/>
          <w:sz w:val="24"/>
          <w:szCs w:val="24"/>
          <w14:ligatures w14:val="none"/>
        </w:rPr>
        <w:t>Agency</w:t>
      </w:r>
      <w:r w:rsidRPr="00AC09E7">
        <w:rPr>
          <w:rFonts w:ascii="Arial" w:eastAsia="Calibri" w:hAnsi="Arial" w:cs="Arial"/>
          <w:kern w:val="0"/>
          <w:sz w:val="24"/>
          <w:szCs w:val="24"/>
          <w14:ligatures w14:val="none"/>
        </w:rPr>
        <w:t>’s performance targets.</w:t>
      </w:r>
    </w:p>
    <w:p w14:paraId="0B9E57F0" w14:textId="77777777" w:rsidR="00DC25AC" w:rsidRDefault="00DC25AC" w:rsidP="00DC25AC">
      <w:pPr>
        <w:rPr>
          <w:rFonts w:ascii="Arial" w:eastAsiaTheme="majorEastAsia" w:hAnsi="Arial" w:cstheme="majorBidi"/>
          <w:b/>
          <w:iCs/>
          <w:color w:val="1F3864" w:themeColor="accent1" w:themeShade="80"/>
          <w:kern w:val="0"/>
          <w:sz w:val="28"/>
          <w:u w:color="000000"/>
          <w14:ligatures w14:val="none"/>
        </w:rPr>
      </w:pPr>
      <w:bookmarkStart w:id="5" w:name="_Hlk166662930"/>
      <w:r>
        <w:rPr>
          <w:u w:color="000000"/>
        </w:rPr>
        <w:br w:type="page"/>
      </w:r>
    </w:p>
    <w:p w14:paraId="54A05BFE" w14:textId="77777777" w:rsidR="00DC25AC" w:rsidRPr="00AC09E7" w:rsidRDefault="00DC25AC" w:rsidP="00DC25AC">
      <w:pPr>
        <w:pStyle w:val="Heading4"/>
        <w:rPr>
          <w:rFonts w:eastAsia="Times New Roman" w:cs="Arial"/>
          <w:color w:val="FF0000"/>
          <w:sz w:val="24"/>
          <w:szCs w:val="24"/>
        </w:rPr>
      </w:pPr>
      <w:r w:rsidRPr="00AC09E7">
        <w:rPr>
          <w:u w:color="000000"/>
        </w:rPr>
        <w:lastRenderedPageBreak/>
        <w:t>Compliance with the Corporate Governance Code</w:t>
      </w:r>
    </w:p>
    <w:p w14:paraId="26F5F5E4" w14:textId="77777777" w:rsidR="00DC25AC" w:rsidRPr="00AC09E7" w:rsidRDefault="00DC25AC" w:rsidP="00DC25AC">
      <w:pPr>
        <w:tabs>
          <w:tab w:val="left" w:pos="0"/>
        </w:tabs>
        <w:spacing w:after="0" w:line="240" w:lineRule="auto"/>
        <w:rPr>
          <w:rFonts w:ascii="Arial" w:eastAsia="Calibri" w:hAnsi="Arial" w:cs="Arial"/>
          <w:color w:val="FF0000"/>
          <w:kern w:val="0"/>
          <w:sz w:val="24"/>
          <w:szCs w:val="24"/>
          <w:u w:color="000000"/>
          <w14:ligatures w14:val="none"/>
        </w:rPr>
      </w:pPr>
    </w:p>
    <w:p w14:paraId="44E704C5"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In accordance with the Corporate Governance Code, 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conducts an internal review of the board’s effectiveness annually, with an external independent review being carried out once every three years. An external review of Board effectiveness was undertaken in 2023 with the report and findings presented </w:t>
      </w:r>
      <w:r>
        <w:rPr>
          <w:rFonts w:ascii="Arial" w:hAnsi="Arial" w:cs="Arial"/>
          <w:kern w:val="0"/>
          <w:sz w:val="24"/>
          <w:szCs w:val="24"/>
          <w14:ligatures w14:val="none"/>
        </w:rPr>
        <w:t>at</w:t>
      </w:r>
      <w:r w:rsidRPr="00AC09E7">
        <w:rPr>
          <w:rFonts w:ascii="Arial" w:hAnsi="Arial" w:cs="Arial"/>
          <w:kern w:val="0"/>
          <w:sz w:val="24"/>
          <w:szCs w:val="24"/>
          <w14:ligatures w14:val="none"/>
        </w:rPr>
        <w:t xml:space="preserve"> the November Board meeting.  </w:t>
      </w:r>
    </w:p>
    <w:bookmarkEnd w:id="5"/>
    <w:p w14:paraId="6DAEC458" w14:textId="77777777" w:rsidR="00DC25AC" w:rsidRPr="00AC09E7" w:rsidRDefault="00DC25AC" w:rsidP="00DC25AC">
      <w:pPr>
        <w:spacing w:after="0" w:line="240" w:lineRule="auto"/>
        <w:rPr>
          <w:rFonts w:ascii="Arial" w:hAnsi="Arial" w:cs="Arial"/>
          <w:kern w:val="0"/>
          <w:sz w:val="24"/>
          <w:szCs w:val="24"/>
          <w14:ligatures w14:val="none"/>
        </w:rPr>
      </w:pPr>
    </w:p>
    <w:p w14:paraId="64AF4872" w14:textId="77777777" w:rsidR="00DC25AC" w:rsidRPr="00AC09E7" w:rsidRDefault="00DC25AC" w:rsidP="00DC25AC">
      <w:pPr>
        <w:tabs>
          <w:tab w:val="left" w:pos="0"/>
        </w:tabs>
        <w:spacing w:after="0" w:line="240" w:lineRule="auto"/>
        <w:rPr>
          <w:rFonts w:asciiTheme="majorHAnsi" w:eastAsiaTheme="majorEastAsia" w:hAnsiTheme="majorHAnsi" w:cstheme="majorBidi"/>
          <w:b/>
          <w:bCs/>
          <w:i/>
          <w:iCs/>
          <w:kern w:val="0"/>
          <w:sz w:val="24"/>
          <w:szCs w:val="24"/>
          <w:u w:color="000000"/>
          <w14:ligatures w14:val="none"/>
        </w:rPr>
      </w:pPr>
      <w:r w:rsidRPr="00AC09E7">
        <w:rPr>
          <w:rFonts w:ascii="Arial" w:hAnsi="Arial" w:cs="Arial"/>
          <w:kern w:val="0"/>
          <w:sz w:val="24"/>
          <w:szCs w:val="24"/>
          <w14:ligatures w14:val="none"/>
        </w:rPr>
        <w:t xml:space="preserve">The review found many areas of good practice in place, with some recommendations for further development identified to enhance the effectiveness of the Board. Key strengths were identified in the breadth of skills and experience, the balance of support and challenge in meetings and the strong sense of customer focus by the Board. The report made recommendations that focussed on strengthening the board’s succession planning, deepening board members understanding of the </w:t>
      </w:r>
      <w:r>
        <w:rPr>
          <w:rFonts w:ascii="Arial" w:hAnsi="Arial" w:cs="Arial"/>
          <w:kern w:val="0"/>
          <w:sz w:val="24"/>
          <w:szCs w:val="24"/>
          <w14:ligatures w14:val="none"/>
        </w:rPr>
        <w:t>Agency</w:t>
      </w:r>
      <w:r w:rsidRPr="00AC09E7">
        <w:rPr>
          <w:rFonts w:ascii="Arial" w:hAnsi="Arial" w:cs="Arial"/>
          <w:kern w:val="0"/>
          <w:sz w:val="24"/>
          <w:szCs w:val="24"/>
          <w14:ligatures w14:val="none"/>
        </w:rPr>
        <w:t>’s operational teams and building relationships with internal and external stakeholders. An Action Plan has been developed to address the recommendations accepted by the Board and will be implemented in the course of 2024</w:t>
      </w:r>
      <w:r>
        <w:rPr>
          <w:rFonts w:ascii="Arial" w:hAnsi="Arial" w:cs="Arial"/>
          <w:kern w:val="0"/>
          <w:sz w:val="24"/>
          <w:szCs w:val="24"/>
          <w14:ligatures w14:val="none"/>
        </w:rPr>
        <w:t>-</w:t>
      </w:r>
      <w:r w:rsidRPr="00AC09E7">
        <w:rPr>
          <w:rFonts w:ascii="Arial" w:hAnsi="Arial" w:cs="Arial"/>
          <w:kern w:val="0"/>
          <w:sz w:val="24"/>
          <w:szCs w:val="24"/>
          <w14:ligatures w14:val="none"/>
        </w:rPr>
        <w:t>25</w:t>
      </w:r>
      <w:r>
        <w:rPr>
          <w:rFonts w:ascii="Arial" w:hAnsi="Arial" w:cs="Arial"/>
          <w:kern w:val="0"/>
          <w:sz w:val="24"/>
          <w:szCs w:val="24"/>
          <w14:ligatures w14:val="none"/>
        </w:rPr>
        <w:t>.</w:t>
      </w:r>
    </w:p>
    <w:p w14:paraId="337B2D95" w14:textId="77777777" w:rsidR="00DC25AC" w:rsidRPr="00AC09E7" w:rsidRDefault="00DC25AC" w:rsidP="00DC25AC">
      <w:pPr>
        <w:tabs>
          <w:tab w:val="left" w:pos="0"/>
        </w:tabs>
        <w:spacing w:after="0" w:line="240" w:lineRule="auto"/>
        <w:rPr>
          <w:rFonts w:asciiTheme="majorHAnsi" w:eastAsiaTheme="majorEastAsia" w:hAnsiTheme="majorHAnsi" w:cstheme="majorBidi"/>
          <w:b/>
          <w:bCs/>
          <w:i/>
          <w:iCs/>
          <w:kern w:val="0"/>
          <w:sz w:val="24"/>
          <w:szCs w:val="24"/>
          <w:u w:color="000000"/>
          <w14:ligatures w14:val="none"/>
        </w:rPr>
      </w:pPr>
    </w:p>
    <w:p w14:paraId="179083C0" w14:textId="77777777" w:rsidR="00DC25AC" w:rsidRPr="00AC09E7" w:rsidRDefault="00DC25AC" w:rsidP="00DC25AC">
      <w:pPr>
        <w:pStyle w:val="Heading4"/>
        <w:rPr>
          <w:rFonts w:cs="Arial"/>
          <w:b w:val="0"/>
          <w:color w:val="4472C4" w:themeColor="accent1"/>
          <w:sz w:val="24"/>
          <w:szCs w:val="24"/>
          <w:u w:color="000000"/>
        </w:rPr>
      </w:pPr>
      <w:r w:rsidRPr="00AC09E7">
        <w:rPr>
          <w:u w:color="000000"/>
        </w:rPr>
        <w:t>Strategic Planning Review</w:t>
      </w:r>
    </w:p>
    <w:p w14:paraId="1E1B0F54" w14:textId="77777777" w:rsidR="00DC25AC" w:rsidRPr="00AC09E7" w:rsidRDefault="00DC25AC" w:rsidP="00DC25AC">
      <w:pPr>
        <w:spacing w:after="0" w:line="240" w:lineRule="auto"/>
        <w:rPr>
          <w:rFonts w:ascii="Calibri" w:hAnsi="Calibri" w:cs="Calibri"/>
          <w:kern w:val="0"/>
          <w:sz w:val="24"/>
          <w:szCs w:val="24"/>
          <w14:ligatures w14:val="none"/>
        </w:rPr>
      </w:pPr>
    </w:p>
    <w:p w14:paraId="0F27D44C"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During 2023</w:t>
      </w:r>
      <w:r>
        <w:rPr>
          <w:rFonts w:ascii="Arial" w:hAnsi="Arial" w:cs="Arial"/>
          <w:kern w:val="0"/>
          <w:sz w:val="24"/>
          <w:szCs w:val="24"/>
          <w14:ligatures w14:val="none"/>
        </w:rPr>
        <w:t>-</w:t>
      </w:r>
      <w:r w:rsidRPr="00AC09E7">
        <w:rPr>
          <w:rFonts w:ascii="Arial" w:hAnsi="Arial" w:cs="Arial"/>
          <w:kern w:val="0"/>
          <w:sz w:val="24"/>
          <w:szCs w:val="24"/>
          <w14:ligatures w14:val="none"/>
        </w:rPr>
        <w:t xml:space="preserve">24, 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has successfully delivered the third year of its five-year strategy. The programme of projects aims to deliver a modernised, efficient, and sustainable service that puts customers at the heart of everything we do. Following 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’s funding settlement from HM Treasury in the Comprehensive Spending Review 2021, this year we have invested over £22m in our transformation plans and delivered more effective and efficient services </w:t>
      </w:r>
      <w:r>
        <w:rPr>
          <w:rFonts w:ascii="Arial" w:hAnsi="Arial" w:cs="Arial"/>
          <w:sz w:val="24"/>
          <w:szCs w:val="24"/>
          <w14:ligatures w14:val="none"/>
        </w:rPr>
        <w:t>across the Agency.</w:t>
      </w:r>
    </w:p>
    <w:p w14:paraId="060825BB" w14:textId="77777777" w:rsidR="00DC25AC" w:rsidRPr="00AC09E7" w:rsidRDefault="00DC25AC" w:rsidP="00DC25AC">
      <w:pPr>
        <w:spacing w:after="0" w:line="240" w:lineRule="auto"/>
        <w:rPr>
          <w:rFonts w:ascii="Calibri" w:hAnsi="Calibri" w:cs="Calibri"/>
          <w:kern w:val="0"/>
          <w14:ligatures w14:val="none"/>
        </w:rPr>
      </w:pPr>
    </w:p>
    <w:p w14:paraId="019C1A4E" w14:textId="77777777" w:rsidR="00DC25AC" w:rsidRPr="00AC09E7" w:rsidRDefault="00DC25AC" w:rsidP="00DC25AC">
      <w:pPr>
        <w:spacing w:after="0" w:line="240" w:lineRule="auto"/>
        <w:rPr>
          <w:rFonts w:ascii="Calibri" w:hAnsi="Calibri" w:cs="Calibri"/>
          <w:kern w:val="0"/>
          <w14:ligatures w14:val="none"/>
        </w:rPr>
      </w:pPr>
    </w:p>
    <w:p w14:paraId="5CA9CB9F" w14:textId="77777777" w:rsidR="00DC25AC" w:rsidRPr="00965CA0" w:rsidRDefault="00DC25AC" w:rsidP="00DC25AC">
      <w:pPr>
        <w:pStyle w:val="Heading4"/>
        <w:rPr>
          <w:lang w:eastAsia="en-GB"/>
        </w:rPr>
      </w:pPr>
      <w:r w:rsidRPr="00AC09E7">
        <w:rPr>
          <w:lang w:eastAsia="en-GB"/>
        </w:rPr>
        <w:t>Risk and Internal Control Framework</w:t>
      </w:r>
    </w:p>
    <w:p w14:paraId="78F56FD2" w14:textId="77777777" w:rsidR="00DC25AC" w:rsidRPr="00AC09E7" w:rsidRDefault="00DC25AC" w:rsidP="00DC25AC">
      <w:pPr>
        <w:pStyle w:val="Heading4"/>
        <w:rPr>
          <w:rFonts w:eastAsia="Times New Roman" w:cs="Arial"/>
          <w:b w:val="0"/>
          <w:color w:val="4F81BD"/>
          <w:sz w:val="24"/>
          <w:szCs w:val="24"/>
          <w:lang w:eastAsia="en-GB"/>
        </w:rPr>
      </w:pPr>
      <w:r w:rsidRPr="00AC09E7">
        <w:rPr>
          <w:lang w:eastAsia="en-GB"/>
        </w:rPr>
        <w:t>Risk Management Framework</w:t>
      </w:r>
    </w:p>
    <w:p w14:paraId="7ACFC784" w14:textId="77777777" w:rsidR="00DC25AC" w:rsidRPr="00AC09E7" w:rsidRDefault="00DC25AC" w:rsidP="00DC25AC">
      <w:pPr>
        <w:spacing w:after="0" w:line="240" w:lineRule="auto"/>
        <w:rPr>
          <w:rFonts w:ascii="Arial" w:eastAsia="Times New Roman" w:hAnsi="Arial" w:cs="Arial"/>
          <w:b/>
          <w:bCs/>
          <w:color w:val="4F81BD"/>
          <w:kern w:val="0"/>
          <w:sz w:val="24"/>
          <w:szCs w:val="24"/>
          <w:lang w:eastAsia="en-GB"/>
          <w14:ligatures w14:val="none"/>
        </w:rPr>
      </w:pPr>
    </w:p>
    <w:p w14:paraId="10261974" w14:textId="77777777" w:rsidR="00DC25AC" w:rsidRPr="00AC09E7" w:rsidRDefault="00DC25AC" w:rsidP="00DC25AC">
      <w:pPr>
        <w:spacing w:after="0" w:line="240" w:lineRule="auto"/>
        <w:textAlignment w:val="baseline"/>
        <w:rPr>
          <w:rFonts w:ascii="Segoe UI" w:eastAsia="Times New Roman" w:hAnsi="Segoe UI" w:cs="Segoe UI"/>
          <w:kern w:val="0"/>
          <w:sz w:val="18"/>
          <w:szCs w:val="18"/>
          <w:lang w:eastAsia="en-GB"/>
          <w14:ligatures w14:val="none"/>
        </w:rPr>
      </w:pPr>
      <w:r w:rsidRPr="00AC09E7">
        <w:rPr>
          <w:rFonts w:ascii="Arial" w:eastAsia="Times New Roman" w:hAnsi="Arial" w:cs="Arial"/>
          <w:kern w:val="0"/>
          <w:sz w:val="24"/>
          <w:szCs w:val="24"/>
          <w:lang w:eastAsia="en-GB"/>
          <w14:ligatures w14:val="none"/>
        </w:rPr>
        <w:t xml:space="preserve">Risk management is a key aspect of the </w:t>
      </w:r>
      <w:r>
        <w:rPr>
          <w:rFonts w:ascii="Arial" w:eastAsia="Times New Roman" w:hAnsi="Arial" w:cs="Arial"/>
          <w:kern w:val="0"/>
          <w:sz w:val="24"/>
          <w:szCs w:val="24"/>
          <w:lang w:eastAsia="en-GB"/>
          <w14:ligatures w14:val="none"/>
        </w:rPr>
        <w:t>Agency</w:t>
      </w:r>
      <w:r w:rsidRPr="00AC09E7">
        <w:rPr>
          <w:rFonts w:ascii="Arial" w:eastAsia="Times New Roman" w:hAnsi="Arial" w:cs="Arial"/>
          <w:kern w:val="0"/>
          <w:sz w:val="24"/>
          <w:szCs w:val="24"/>
          <w:lang w:eastAsia="en-GB"/>
          <w14:ligatures w14:val="none"/>
        </w:rPr>
        <w:t xml:space="preserve">’s internal control framework. A fundamental part of the </w:t>
      </w:r>
      <w:r>
        <w:rPr>
          <w:rFonts w:ascii="Arial" w:eastAsia="Times New Roman" w:hAnsi="Arial" w:cs="Arial"/>
          <w:kern w:val="0"/>
          <w:sz w:val="24"/>
          <w:szCs w:val="24"/>
          <w:lang w:eastAsia="en-GB"/>
          <w14:ligatures w14:val="none"/>
        </w:rPr>
        <w:t>Agency</w:t>
      </w:r>
      <w:r w:rsidRPr="00AC09E7">
        <w:rPr>
          <w:rFonts w:ascii="Arial" w:eastAsia="Times New Roman" w:hAnsi="Arial" w:cs="Arial"/>
          <w:kern w:val="0"/>
          <w:sz w:val="24"/>
          <w:szCs w:val="24"/>
          <w:lang w:eastAsia="en-GB"/>
          <w14:ligatures w14:val="none"/>
        </w:rPr>
        <w:t xml:space="preserve">’s risk management process is the regular review of the management of individual risks by ExCom. </w:t>
      </w:r>
      <w:r>
        <w:rPr>
          <w:rFonts w:ascii="Arial" w:eastAsia="Times New Roman" w:hAnsi="Arial" w:cs="Arial"/>
          <w:kern w:val="0"/>
          <w:sz w:val="24"/>
          <w:szCs w:val="24"/>
          <w:lang w:eastAsia="en-GB"/>
          <w14:ligatures w14:val="none"/>
        </w:rPr>
        <w:t>Agency</w:t>
      </w:r>
      <w:r w:rsidRPr="00AC09E7">
        <w:rPr>
          <w:rFonts w:ascii="Arial" w:eastAsia="Times New Roman" w:hAnsi="Arial" w:cs="Arial"/>
          <w:kern w:val="0"/>
          <w:sz w:val="24"/>
          <w:szCs w:val="24"/>
          <w:lang w:eastAsia="en-GB"/>
          <w14:ligatures w14:val="none"/>
        </w:rPr>
        <w:t xml:space="preserve"> risks are maintained in a register that captures strategic, financial, reputational, operational and compliance risks and details the controls and actions required to mitigate those risks to a manageable level. Each Directorate also maintains its own risk register. </w:t>
      </w:r>
    </w:p>
    <w:p w14:paraId="20AB2C6B" w14:textId="77777777" w:rsidR="00DC25AC" w:rsidRPr="00AC09E7" w:rsidRDefault="00DC25AC" w:rsidP="00DC25AC">
      <w:pPr>
        <w:spacing w:after="0" w:line="240" w:lineRule="auto"/>
        <w:textAlignment w:val="baseline"/>
        <w:rPr>
          <w:rFonts w:ascii="Segoe UI" w:eastAsia="Times New Roman" w:hAnsi="Segoe UI" w:cs="Segoe UI"/>
          <w:kern w:val="0"/>
          <w:sz w:val="18"/>
          <w:szCs w:val="18"/>
          <w:lang w:eastAsia="en-GB"/>
          <w14:ligatures w14:val="none"/>
        </w:rPr>
      </w:pPr>
      <w:r w:rsidRPr="00AC09E7">
        <w:rPr>
          <w:rFonts w:ascii="Arial" w:eastAsia="Times New Roman" w:hAnsi="Arial" w:cs="Arial"/>
          <w:kern w:val="0"/>
          <w:sz w:val="24"/>
          <w:szCs w:val="24"/>
          <w:lang w:eastAsia="en-GB"/>
          <w14:ligatures w14:val="none"/>
        </w:rPr>
        <w:t> </w:t>
      </w:r>
    </w:p>
    <w:p w14:paraId="61D3BDF7" w14:textId="77777777" w:rsidR="00DC25AC" w:rsidRDefault="00DC25AC" w:rsidP="00DC25AC">
      <w:pPr>
        <w:spacing w:after="0" w:line="240" w:lineRule="auto"/>
        <w:textAlignment w:val="baseline"/>
        <w:rPr>
          <w:rFonts w:ascii="Arial" w:eastAsia="Times New Roman" w:hAnsi="Arial" w:cs="Arial"/>
          <w:kern w:val="0"/>
          <w:sz w:val="24"/>
          <w:szCs w:val="24"/>
          <w:lang w:eastAsia="en-GB"/>
          <w14:ligatures w14:val="none"/>
        </w:rPr>
      </w:pPr>
      <w:r w:rsidRPr="00AC09E7">
        <w:rPr>
          <w:rFonts w:ascii="Arial" w:eastAsia="Times New Roman" w:hAnsi="Arial" w:cs="Arial"/>
          <w:kern w:val="0"/>
          <w:sz w:val="24"/>
          <w:szCs w:val="24"/>
          <w:lang w:eastAsia="en-GB"/>
          <w14:ligatures w14:val="none"/>
        </w:rPr>
        <w:t xml:space="preserve">During the year, the key risks and issues which were likely to impact on our ability to meet </w:t>
      </w:r>
      <w:r>
        <w:rPr>
          <w:rFonts w:ascii="Arial" w:eastAsia="Times New Roman" w:hAnsi="Arial" w:cs="Arial"/>
          <w:kern w:val="0"/>
          <w:sz w:val="24"/>
          <w:szCs w:val="24"/>
          <w:lang w:eastAsia="en-GB"/>
          <w14:ligatures w14:val="none"/>
        </w:rPr>
        <w:t>Agency</w:t>
      </w:r>
      <w:r w:rsidRPr="00AC09E7">
        <w:rPr>
          <w:rFonts w:ascii="Arial" w:eastAsia="Times New Roman" w:hAnsi="Arial" w:cs="Arial"/>
          <w:kern w:val="0"/>
          <w:sz w:val="24"/>
          <w:szCs w:val="24"/>
          <w:lang w:eastAsia="en-GB"/>
          <w14:ligatures w14:val="none"/>
        </w:rPr>
        <w:t xml:space="preserve"> objectives were identified and assessed for likelihood and impact. Each risk or issue is owned by a Director, and these are reviewed by the ExCom at each monthly meeting where we challenge the mitigating actions put forward and collectively agree the approach to be taken to manage the risk. </w:t>
      </w:r>
    </w:p>
    <w:p w14:paraId="132B964F" w14:textId="77777777" w:rsidR="00DC25AC" w:rsidRDefault="00DC25AC" w:rsidP="00DC25AC">
      <w:pPr>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br w:type="page"/>
      </w:r>
    </w:p>
    <w:p w14:paraId="0A32058E" w14:textId="77777777" w:rsidR="00DC25AC" w:rsidRDefault="00DC25AC" w:rsidP="00DC25AC">
      <w:pPr>
        <w:spacing w:after="0" w:line="240" w:lineRule="auto"/>
        <w:textAlignment w:val="baseline"/>
        <w:rPr>
          <w:rFonts w:ascii="Arial" w:eastAsia="Times New Roman" w:hAnsi="Arial" w:cs="Arial"/>
          <w:kern w:val="0"/>
          <w:sz w:val="24"/>
          <w:szCs w:val="24"/>
          <w:lang w:eastAsia="en-GB"/>
          <w14:ligatures w14:val="none"/>
        </w:rPr>
      </w:pPr>
      <w:r w:rsidRPr="00AC09E7">
        <w:rPr>
          <w:rFonts w:ascii="Arial" w:eastAsia="Times New Roman" w:hAnsi="Arial" w:cs="Arial"/>
          <w:kern w:val="0"/>
          <w:sz w:val="24"/>
          <w:szCs w:val="24"/>
          <w:lang w:eastAsia="en-GB"/>
          <w14:ligatures w14:val="none"/>
        </w:rPr>
        <w:lastRenderedPageBreak/>
        <w:t xml:space="preserve">When considering proposed mitigating action, the ExCom will consider the cost and benefit of such action. The Risk Management process and the risk register is scrutinised by the ARAC at every meeting to ensure that it is operating effectively. Risks and issues are reported to the ISB at least twice a year. </w:t>
      </w:r>
    </w:p>
    <w:p w14:paraId="3C0BDC8C" w14:textId="77777777" w:rsidR="00DC25AC" w:rsidRDefault="00DC25AC" w:rsidP="00DC25AC">
      <w:pPr>
        <w:spacing w:after="0" w:line="240" w:lineRule="auto"/>
        <w:textAlignment w:val="baseline"/>
        <w:rPr>
          <w:rFonts w:ascii="Arial" w:eastAsia="Times New Roman" w:hAnsi="Arial" w:cs="Arial"/>
          <w:kern w:val="0"/>
          <w:sz w:val="24"/>
          <w:szCs w:val="24"/>
          <w:lang w:eastAsia="en-GB"/>
          <w14:ligatures w14:val="none"/>
        </w:rPr>
      </w:pPr>
    </w:p>
    <w:p w14:paraId="2E18B709" w14:textId="77777777" w:rsidR="00DC25AC" w:rsidRPr="00AC09E7" w:rsidRDefault="00DC25AC" w:rsidP="00DC25AC">
      <w:pPr>
        <w:spacing w:after="0" w:line="240" w:lineRule="auto"/>
        <w:textAlignment w:val="baseline"/>
        <w:rPr>
          <w:rFonts w:ascii="Arial" w:eastAsia="Times New Roman" w:hAnsi="Arial" w:cs="Arial"/>
          <w:b/>
          <w:bCs/>
          <w:color w:val="4F81BD"/>
          <w:kern w:val="0"/>
          <w:sz w:val="24"/>
          <w:szCs w:val="24"/>
          <w:lang w:eastAsia="en-GB"/>
          <w14:ligatures w14:val="none"/>
        </w:rPr>
      </w:pPr>
      <w:r w:rsidRPr="00AC09E7">
        <w:rPr>
          <w:rFonts w:ascii="Arial" w:eastAsia="Times New Roman" w:hAnsi="Arial" w:cs="Arial"/>
          <w:kern w:val="0"/>
          <w:sz w:val="24"/>
          <w:szCs w:val="24"/>
          <w:lang w:eastAsia="en-GB"/>
          <w14:ligatures w14:val="none"/>
        </w:rPr>
        <w:t>The register is also used to inform the annual audit plan. ARAC and the ISB maintain oversight and monitor the mechanisms for the assessment and management of risk; ExCom identifies, defines, and investigates new risks across the organisation to ensure that appropriate mitigating measures are in place. </w:t>
      </w:r>
    </w:p>
    <w:p w14:paraId="05329563" w14:textId="77777777" w:rsidR="00DC25AC" w:rsidRPr="00AC09E7" w:rsidRDefault="00DC25AC" w:rsidP="00DC25AC">
      <w:pPr>
        <w:spacing w:after="0" w:line="240" w:lineRule="auto"/>
        <w:rPr>
          <w:rFonts w:ascii="Arial" w:eastAsia="Times New Roman" w:hAnsi="Arial" w:cs="Arial"/>
          <w:b/>
          <w:bCs/>
          <w:color w:val="4F81BD"/>
          <w:kern w:val="0"/>
          <w:sz w:val="24"/>
          <w:szCs w:val="24"/>
          <w:lang w:eastAsia="en-GB"/>
          <w14:ligatures w14:val="none"/>
        </w:rPr>
      </w:pPr>
    </w:p>
    <w:p w14:paraId="0099A487" w14:textId="77777777" w:rsidR="00DC25AC" w:rsidRPr="00AC09E7" w:rsidRDefault="00DC25AC" w:rsidP="00DC25AC">
      <w:pPr>
        <w:pStyle w:val="Heading4"/>
        <w:rPr>
          <w:rFonts w:eastAsia="Times New Roman" w:cs="Arial"/>
          <w:b w:val="0"/>
          <w:color w:val="4F81BD"/>
          <w:sz w:val="24"/>
          <w:szCs w:val="24"/>
          <w:lang w:eastAsia="en-GB"/>
        </w:rPr>
      </w:pPr>
      <w:r w:rsidRPr="00AC09E7">
        <w:rPr>
          <w:lang w:eastAsia="en-GB"/>
        </w:rPr>
        <w:t xml:space="preserve">Significant Issues </w:t>
      </w:r>
    </w:p>
    <w:p w14:paraId="21496CF1"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has dealt with the following significant issue during the year: </w:t>
      </w:r>
      <w:bookmarkStart w:id="6" w:name="_Hlk169805093"/>
    </w:p>
    <w:bookmarkEnd w:id="6"/>
    <w:p w14:paraId="18E51F3D" w14:textId="77777777" w:rsidR="00DC25AC" w:rsidRPr="00AC09E7" w:rsidRDefault="00DC25AC" w:rsidP="00DC25AC">
      <w:pPr>
        <w:spacing w:after="0" w:line="240" w:lineRule="auto"/>
        <w:rPr>
          <w:rFonts w:ascii="Arial" w:hAnsi="Arial" w:cs="Arial"/>
          <w:kern w:val="0"/>
          <w:sz w:val="24"/>
          <w:szCs w:val="24"/>
          <w14:ligatures w14:val="none"/>
        </w:rPr>
      </w:pPr>
    </w:p>
    <w:p w14:paraId="28EC234B" w14:textId="77777777" w:rsidR="00DC25AC" w:rsidRPr="00AC09E7" w:rsidRDefault="00DC25AC" w:rsidP="00DC25AC">
      <w:pPr>
        <w:rPr>
          <w:rFonts w:ascii="Arial" w:hAnsi="Arial" w:cs="Arial"/>
          <w:color w:val="000000" w:themeColor="text1"/>
          <w:kern w:val="0"/>
          <w:sz w:val="24"/>
          <w:szCs w:val="24"/>
          <w14:ligatures w14:val="none"/>
        </w:rPr>
      </w:pPr>
      <w:r w:rsidRPr="00AC09E7">
        <w:rPr>
          <w:rFonts w:ascii="Arial" w:hAnsi="Arial" w:cs="Arial"/>
          <w:b/>
          <w:bCs/>
          <w:kern w:val="0"/>
          <w:sz w:val="24"/>
          <w:szCs w:val="24"/>
          <w14:ligatures w14:val="none"/>
        </w:rPr>
        <w:t xml:space="preserve">Incorrect disclosure of </w:t>
      </w:r>
      <w:r>
        <w:rPr>
          <w:rFonts w:ascii="Arial" w:hAnsi="Arial" w:cs="Arial"/>
          <w:b/>
          <w:bCs/>
          <w:kern w:val="0"/>
          <w:sz w:val="24"/>
          <w:szCs w:val="24"/>
          <w14:ligatures w14:val="none"/>
        </w:rPr>
        <w:t>s</w:t>
      </w:r>
      <w:r w:rsidRPr="00AC09E7">
        <w:rPr>
          <w:rFonts w:ascii="Arial" w:hAnsi="Arial" w:cs="Arial"/>
          <w:b/>
          <w:bCs/>
          <w:kern w:val="0"/>
          <w:sz w:val="24"/>
          <w:szCs w:val="24"/>
          <w14:ligatures w14:val="none"/>
        </w:rPr>
        <w:t xml:space="preserve">ensitive </w:t>
      </w:r>
      <w:r>
        <w:rPr>
          <w:rFonts w:ascii="Arial" w:hAnsi="Arial" w:cs="Arial"/>
          <w:b/>
          <w:bCs/>
          <w:kern w:val="0"/>
          <w:sz w:val="24"/>
          <w:szCs w:val="24"/>
          <w14:ligatures w14:val="none"/>
        </w:rPr>
        <w:t>i</w:t>
      </w:r>
      <w:r w:rsidRPr="00AC09E7">
        <w:rPr>
          <w:rFonts w:ascii="Arial" w:hAnsi="Arial" w:cs="Arial"/>
          <w:b/>
          <w:bCs/>
          <w:kern w:val="0"/>
          <w:sz w:val="24"/>
          <w:szCs w:val="24"/>
          <w14:ligatures w14:val="none"/>
        </w:rPr>
        <w:t xml:space="preserve">nformation. </w:t>
      </w:r>
      <w:r w:rsidRPr="00AC09E7">
        <w:rPr>
          <w:rFonts w:ascii="Arial" w:hAnsi="Arial" w:cs="Arial"/>
          <w:kern w:val="0"/>
          <w:sz w:val="24"/>
          <w:szCs w:val="24"/>
          <w14:ligatures w14:val="none"/>
        </w:rPr>
        <w:t xml:space="preserve">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w:t>
      </w:r>
      <w:r w:rsidRPr="00AC09E7">
        <w:rPr>
          <w:rFonts w:ascii="Arial" w:hAnsi="Arial" w:cs="Arial"/>
          <w:color w:val="000000" w:themeColor="text1"/>
          <w:kern w:val="0"/>
          <w:sz w:val="24"/>
          <w:szCs w:val="24"/>
          <w14:ligatures w14:val="none"/>
        </w:rPr>
        <w:t xml:space="preserve">reported 4 incidents during the year to the Information Commissioners Office (ICO) who were satisfied with the internal investigation undertaken. Communications reminding staff of the risks, and contemporaneous rules and procedures for handling sensitive information have been issued across the </w:t>
      </w:r>
      <w:r>
        <w:rPr>
          <w:rFonts w:ascii="Arial" w:hAnsi="Arial" w:cs="Arial"/>
          <w:color w:val="000000" w:themeColor="text1"/>
          <w:kern w:val="0"/>
          <w:sz w:val="24"/>
          <w:szCs w:val="24"/>
          <w14:ligatures w14:val="none"/>
        </w:rPr>
        <w:t>Agency</w:t>
      </w:r>
      <w:r w:rsidRPr="00AC09E7">
        <w:rPr>
          <w:rFonts w:ascii="Arial" w:hAnsi="Arial" w:cs="Arial"/>
          <w:color w:val="000000" w:themeColor="text1"/>
          <w:kern w:val="0"/>
          <w:sz w:val="24"/>
          <w:szCs w:val="24"/>
          <w14:ligatures w14:val="none"/>
        </w:rPr>
        <w:t xml:space="preserve">. An action plan to further embed an information security and a counter fraud culture within the </w:t>
      </w:r>
      <w:r>
        <w:rPr>
          <w:rFonts w:ascii="Arial" w:hAnsi="Arial" w:cs="Arial"/>
          <w:color w:val="000000" w:themeColor="text1"/>
          <w:kern w:val="0"/>
          <w:sz w:val="24"/>
          <w:szCs w:val="24"/>
          <w14:ligatures w14:val="none"/>
        </w:rPr>
        <w:t>Agency</w:t>
      </w:r>
      <w:r w:rsidRPr="00AC09E7">
        <w:rPr>
          <w:rFonts w:ascii="Arial" w:hAnsi="Arial" w:cs="Arial"/>
          <w:color w:val="000000" w:themeColor="text1"/>
          <w:kern w:val="0"/>
          <w:sz w:val="24"/>
          <w:szCs w:val="24"/>
          <w14:ligatures w14:val="none"/>
        </w:rPr>
        <w:t xml:space="preserve"> is in place. </w:t>
      </w:r>
    </w:p>
    <w:p w14:paraId="0612B1F4" w14:textId="77777777" w:rsidR="00DC25AC" w:rsidRPr="00AC09E7" w:rsidRDefault="00DC25AC" w:rsidP="00DC25AC">
      <w:pPr>
        <w:spacing w:after="0" w:line="240" w:lineRule="auto"/>
        <w:rPr>
          <w:rFonts w:ascii="Arial" w:hAnsi="Arial" w:cs="Arial"/>
          <w:color w:val="000000" w:themeColor="text1"/>
          <w:kern w:val="0"/>
          <w:sz w:val="24"/>
          <w:szCs w:val="24"/>
          <w14:ligatures w14:val="none"/>
        </w:rPr>
      </w:pPr>
    </w:p>
    <w:p w14:paraId="1641943B" w14:textId="77777777" w:rsidR="00DC25AC" w:rsidRPr="00AC09E7" w:rsidRDefault="00DC25AC" w:rsidP="00DC25AC">
      <w:pPr>
        <w:pStyle w:val="Heading4"/>
        <w:rPr>
          <w:rFonts w:eastAsia="Times New Roman" w:cs="Arial"/>
          <w:b w:val="0"/>
          <w:color w:val="4F81BD"/>
          <w:sz w:val="24"/>
          <w:szCs w:val="24"/>
          <w:lang w:eastAsia="en-GB"/>
        </w:rPr>
      </w:pPr>
      <w:bookmarkStart w:id="7" w:name="_Hlk167899075"/>
      <w:r w:rsidRPr="00AC09E7">
        <w:rPr>
          <w:lang w:eastAsia="en-GB"/>
        </w:rPr>
        <w:t>Key Strategic Risks</w:t>
      </w:r>
    </w:p>
    <w:p w14:paraId="6CE04833" w14:textId="77777777" w:rsidR="00DC25AC" w:rsidRPr="00AC09E7" w:rsidRDefault="00DC25AC" w:rsidP="00DC25AC">
      <w:pPr>
        <w:pStyle w:val="Heading4"/>
        <w:rPr>
          <w:rFonts w:eastAsia="Times New Roman" w:cs="Arial"/>
          <w:b w:val="0"/>
          <w:color w:val="4F81BD"/>
          <w:sz w:val="24"/>
          <w:szCs w:val="24"/>
          <w:lang w:eastAsia="en-GB"/>
        </w:rPr>
      </w:pPr>
      <w:r w:rsidRPr="00AC09E7">
        <w:rPr>
          <w:lang w:eastAsia="en-GB"/>
        </w:rPr>
        <w:t xml:space="preserve">The </w:t>
      </w:r>
      <w:r>
        <w:rPr>
          <w:lang w:eastAsia="en-GB"/>
        </w:rPr>
        <w:t>Agency</w:t>
      </w:r>
      <w:r w:rsidRPr="00AC09E7">
        <w:rPr>
          <w:lang w:eastAsia="en-GB"/>
        </w:rPr>
        <w:t xml:space="preserve"> has dealt with the following risks this year:</w:t>
      </w:r>
    </w:p>
    <w:p w14:paraId="733ECDE3" w14:textId="77777777" w:rsidR="00DC25AC" w:rsidRPr="00AC09E7" w:rsidRDefault="00DC25AC" w:rsidP="00DC25AC">
      <w:pPr>
        <w:spacing w:after="0" w:line="240" w:lineRule="auto"/>
        <w:rPr>
          <w:rFonts w:ascii="Arial" w:hAnsi="Arial" w:cs="Arial"/>
          <w:b/>
          <w:bCs/>
          <w:color w:val="000000" w:themeColor="text1"/>
          <w:kern w:val="0"/>
          <w:sz w:val="24"/>
          <w:szCs w:val="24"/>
          <w14:ligatures w14:val="none"/>
        </w:rPr>
      </w:pPr>
    </w:p>
    <w:p w14:paraId="4B6D81B7" w14:textId="77777777" w:rsidR="00DC25AC" w:rsidRPr="00AC09E7" w:rsidRDefault="00DC25AC" w:rsidP="00DC25AC">
      <w:pPr>
        <w:spacing w:after="0" w:line="240" w:lineRule="auto"/>
        <w:rPr>
          <w:rFonts w:ascii="Arial" w:eastAsia="Times New Roman" w:hAnsi="Arial" w:cs="Arial"/>
          <w:kern w:val="0"/>
          <w:sz w:val="24"/>
          <w:szCs w:val="24"/>
          <w:lang w:eastAsia="en-GB"/>
          <w14:ligatures w14:val="none"/>
        </w:rPr>
      </w:pPr>
      <w:r w:rsidRPr="00AC09E7">
        <w:rPr>
          <w:rFonts w:ascii="Arial" w:hAnsi="Arial" w:cs="Arial"/>
          <w:b/>
          <w:bCs/>
          <w:color w:val="000000" w:themeColor="text1"/>
          <w:kern w:val="0"/>
          <w:sz w:val="24"/>
          <w:szCs w:val="24"/>
          <w14:ligatures w14:val="none"/>
        </w:rPr>
        <w:t xml:space="preserve">Insolvency Framework - Flexibility to meet wider economic, social, geopolitical, legal, and regulatory landscapes. </w:t>
      </w:r>
      <w:r w:rsidRPr="00AC09E7">
        <w:rPr>
          <w:rFonts w:ascii="Arial" w:eastAsia="Times New Roman" w:hAnsi="Arial" w:cs="Arial"/>
          <w:kern w:val="0"/>
          <w:sz w:val="24"/>
          <w:szCs w:val="24"/>
          <w:lang w:eastAsia="en-GB"/>
          <w14:ligatures w14:val="none"/>
        </w:rPr>
        <w:t xml:space="preserve">The </w:t>
      </w:r>
      <w:r>
        <w:rPr>
          <w:rFonts w:ascii="Arial" w:eastAsia="Times New Roman" w:hAnsi="Arial" w:cs="Arial"/>
          <w:kern w:val="0"/>
          <w:sz w:val="24"/>
          <w:szCs w:val="24"/>
          <w:lang w:eastAsia="en-GB"/>
          <w14:ligatures w14:val="none"/>
        </w:rPr>
        <w:t>Agency</w:t>
      </w:r>
      <w:r w:rsidRPr="00AC09E7">
        <w:rPr>
          <w:rFonts w:ascii="Arial" w:eastAsia="Times New Roman" w:hAnsi="Arial" w:cs="Arial"/>
          <w:kern w:val="0"/>
          <w:sz w:val="24"/>
          <w:szCs w:val="24"/>
          <w:lang w:eastAsia="en-GB"/>
          <w14:ligatures w14:val="none"/>
        </w:rPr>
        <w:t xml:space="preserve"> continues to liaise and maintain good relations with other government departments, Insolvency Practitioners, and other stakeholders, which allows for wider thinking and awareness across the sector of changing market conditions. This is combined with ongoing horizon scanning to ensure the </w:t>
      </w:r>
      <w:r>
        <w:rPr>
          <w:rFonts w:ascii="Arial" w:eastAsia="Times New Roman" w:hAnsi="Arial" w:cs="Arial"/>
          <w:kern w:val="0"/>
          <w:sz w:val="24"/>
          <w:szCs w:val="24"/>
          <w:lang w:eastAsia="en-GB"/>
          <w14:ligatures w14:val="none"/>
        </w:rPr>
        <w:t>Agency</w:t>
      </w:r>
      <w:r w:rsidRPr="00AC09E7">
        <w:rPr>
          <w:rFonts w:ascii="Arial" w:eastAsia="Times New Roman" w:hAnsi="Arial" w:cs="Arial"/>
          <w:kern w:val="0"/>
          <w:sz w:val="24"/>
          <w:szCs w:val="24"/>
          <w:lang w:eastAsia="en-GB"/>
          <w14:ligatures w14:val="none"/>
        </w:rPr>
        <w:t>'s strategy remains fit for purpose and is able to respond to economic and other shocks which impact on its work and demand for the services.</w:t>
      </w:r>
    </w:p>
    <w:p w14:paraId="431613E2" w14:textId="77777777" w:rsidR="00DC25AC" w:rsidRPr="00AC09E7" w:rsidRDefault="00DC25AC" w:rsidP="00DC25AC">
      <w:pPr>
        <w:spacing w:after="0" w:line="240" w:lineRule="auto"/>
        <w:rPr>
          <w:rFonts w:ascii="Arial" w:eastAsia="Times New Roman" w:hAnsi="Arial" w:cs="Arial"/>
          <w:b/>
          <w:bCs/>
          <w:kern w:val="0"/>
          <w:sz w:val="24"/>
          <w:szCs w:val="24"/>
          <w:lang w:eastAsia="en-GB"/>
          <w14:ligatures w14:val="none"/>
        </w:rPr>
      </w:pPr>
    </w:p>
    <w:p w14:paraId="4105AD1A" w14:textId="77777777" w:rsidR="00DC25AC" w:rsidRPr="00AC09E7" w:rsidRDefault="00DC25AC" w:rsidP="00DC25AC">
      <w:pPr>
        <w:spacing w:after="0" w:line="240" w:lineRule="auto"/>
        <w:rPr>
          <w:rFonts w:ascii="Arial" w:eastAsia="Times New Roman" w:hAnsi="Arial" w:cs="Arial"/>
          <w:kern w:val="0"/>
          <w:sz w:val="24"/>
          <w:szCs w:val="24"/>
          <w:lang w:eastAsia="en-GB"/>
          <w14:ligatures w14:val="none"/>
        </w:rPr>
      </w:pPr>
      <w:r w:rsidRPr="00AC09E7">
        <w:rPr>
          <w:rFonts w:ascii="Arial" w:eastAsia="Times New Roman" w:hAnsi="Arial" w:cs="Arial"/>
          <w:b/>
          <w:bCs/>
          <w:kern w:val="0"/>
          <w:sz w:val="24"/>
          <w:szCs w:val="24"/>
          <w:lang w:eastAsia="en-GB"/>
          <w14:ligatures w14:val="none"/>
        </w:rPr>
        <w:t xml:space="preserve">Failure to maintain and strengthen our investigation and enforcement reputation may lead to an ineffective enforcement regime, which fails to act as a deterrent against wrongdoing. </w:t>
      </w:r>
      <w:r w:rsidRPr="00AC09E7">
        <w:rPr>
          <w:rFonts w:ascii="Arial" w:eastAsia="Times New Roman" w:hAnsi="Arial" w:cs="Arial"/>
          <w:kern w:val="0"/>
          <w:sz w:val="24"/>
          <w:szCs w:val="24"/>
          <w:lang w:eastAsia="en-GB"/>
          <w14:ligatures w14:val="none"/>
        </w:rPr>
        <w:t xml:space="preserve">The </w:t>
      </w:r>
      <w:r>
        <w:rPr>
          <w:rFonts w:ascii="Arial" w:eastAsia="Times New Roman" w:hAnsi="Arial" w:cs="Arial"/>
          <w:kern w:val="0"/>
          <w:sz w:val="24"/>
          <w:szCs w:val="24"/>
          <w:lang w:eastAsia="en-GB"/>
          <w14:ligatures w14:val="none"/>
        </w:rPr>
        <w:t>Agency</w:t>
      </w:r>
      <w:r w:rsidRPr="00AC09E7">
        <w:rPr>
          <w:rFonts w:ascii="Arial" w:eastAsia="Times New Roman" w:hAnsi="Arial" w:cs="Arial"/>
          <w:kern w:val="0"/>
          <w:sz w:val="24"/>
          <w:szCs w:val="24"/>
          <w:lang w:eastAsia="en-GB"/>
          <w14:ligatures w14:val="none"/>
        </w:rPr>
        <w:t xml:space="preserve">’s published enforcement statistics and regular press releases of our successful enforcement outcomes across both civil and criminal actions, promotes the work that we do and acts as a deterrent to errant directors and others who would abuse the insolvency regime. Coverage of our work on </w:t>
      </w:r>
      <w:r>
        <w:rPr>
          <w:rFonts w:ascii="Arial" w:eastAsia="Times New Roman" w:hAnsi="Arial" w:cs="Arial"/>
          <w:kern w:val="0"/>
          <w:sz w:val="24"/>
          <w:szCs w:val="24"/>
          <w:lang w:eastAsia="en-GB"/>
          <w14:ligatures w14:val="none"/>
        </w:rPr>
        <w:t>N</w:t>
      </w:r>
      <w:r w:rsidRPr="00AC09E7">
        <w:rPr>
          <w:rFonts w:ascii="Arial" w:eastAsia="Times New Roman" w:hAnsi="Arial" w:cs="Arial"/>
          <w:kern w:val="0"/>
          <w:sz w:val="24"/>
          <w:szCs w:val="24"/>
          <w:lang w:eastAsia="en-GB"/>
          <w14:ligatures w14:val="none"/>
        </w:rPr>
        <w:t xml:space="preserve">ational </w:t>
      </w:r>
      <w:r>
        <w:rPr>
          <w:rFonts w:ascii="Arial" w:eastAsia="Times New Roman" w:hAnsi="Arial" w:cs="Arial"/>
          <w:kern w:val="0"/>
          <w:sz w:val="24"/>
          <w:szCs w:val="24"/>
          <w:lang w:eastAsia="en-GB"/>
          <w14:ligatures w14:val="none"/>
        </w:rPr>
        <w:t>I</w:t>
      </w:r>
      <w:r w:rsidRPr="00AC09E7">
        <w:rPr>
          <w:rFonts w:ascii="Arial" w:eastAsia="Times New Roman" w:hAnsi="Arial" w:cs="Arial"/>
          <w:kern w:val="0"/>
          <w:sz w:val="24"/>
          <w:szCs w:val="24"/>
          <w:lang w:eastAsia="en-GB"/>
          <w14:ligatures w14:val="none"/>
        </w:rPr>
        <w:t xml:space="preserve">nterest </w:t>
      </w:r>
      <w:r>
        <w:rPr>
          <w:rFonts w:ascii="Arial" w:eastAsia="Times New Roman" w:hAnsi="Arial" w:cs="Arial"/>
          <w:kern w:val="0"/>
          <w:sz w:val="24"/>
          <w:szCs w:val="24"/>
          <w:lang w:eastAsia="en-GB"/>
          <w14:ligatures w14:val="none"/>
        </w:rPr>
        <w:t>C</w:t>
      </w:r>
      <w:r w:rsidRPr="00AC09E7">
        <w:rPr>
          <w:rFonts w:ascii="Arial" w:eastAsia="Times New Roman" w:hAnsi="Arial" w:cs="Arial"/>
          <w:kern w:val="0"/>
          <w:sz w:val="24"/>
          <w:szCs w:val="24"/>
          <w:lang w:eastAsia="en-GB"/>
          <w14:ligatures w14:val="none"/>
        </w:rPr>
        <w:t>ases provides confidence to stakeholders of our capabilities across the range of casework we undertake.</w:t>
      </w:r>
    </w:p>
    <w:p w14:paraId="11CE9CC8" w14:textId="77777777" w:rsidR="00DC25AC" w:rsidRPr="00AC09E7" w:rsidRDefault="00DC25AC" w:rsidP="00DC25AC">
      <w:pPr>
        <w:spacing w:after="0" w:line="240" w:lineRule="auto"/>
        <w:rPr>
          <w:rFonts w:ascii="Arial" w:eastAsia="Times New Roman" w:hAnsi="Arial" w:cs="Arial"/>
          <w:b/>
          <w:bCs/>
          <w:kern w:val="0"/>
          <w:sz w:val="24"/>
          <w:szCs w:val="24"/>
          <w:lang w:eastAsia="en-GB"/>
          <w14:ligatures w14:val="none"/>
        </w:rPr>
      </w:pPr>
    </w:p>
    <w:p w14:paraId="3E61726F" w14:textId="77777777" w:rsidR="00DC25AC" w:rsidRDefault="00DC25AC" w:rsidP="00DC25AC">
      <w:pPr>
        <w:rPr>
          <w:rFonts w:ascii="Arial" w:eastAsia="Times New Roman" w:hAnsi="Arial" w:cs="Arial"/>
          <w:b/>
          <w:bCs/>
          <w:kern w:val="0"/>
          <w:sz w:val="24"/>
          <w:szCs w:val="24"/>
          <w:lang w:eastAsia="en-GB"/>
          <w14:ligatures w14:val="none"/>
        </w:rPr>
      </w:pPr>
      <w:r>
        <w:rPr>
          <w:rFonts w:ascii="Arial" w:eastAsia="Times New Roman" w:hAnsi="Arial" w:cs="Arial"/>
          <w:b/>
          <w:bCs/>
          <w:kern w:val="0"/>
          <w:sz w:val="24"/>
          <w:szCs w:val="24"/>
          <w:lang w:eastAsia="en-GB"/>
          <w14:ligatures w14:val="none"/>
        </w:rPr>
        <w:br w:type="page"/>
      </w:r>
    </w:p>
    <w:p w14:paraId="3B6FD4A1" w14:textId="77777777" w:rsidR="00DC25AC" w:rsidRPr="00AC09E7" w:rsidRDefault="00DC25AC" w:rsidP="00DC25AC">
      <w:pPr>
        <w:spacing w:after="0" w:line="240" w:lineRule="auto"/>
        <w:rPr>
          <w:rFonts w:ascii="Arial" w:eastAsia="Times New Roman" w:hAnsi="Arial" w:cs="Arial"/>
          <w:kern w:val="0"/>
          <w:sz w:val="24"/>
          <w:szCs w:val="24"/>
          <w:lang w:eastAsia="en-GB"/>
          <w14:ligatures w14:val="none"/>
        </w:rPr>
      </w:pPr>
      <w:r w:rsidRPr="00AC09E7">
        <w:rPr>
          <w:rFonts w:ascii="Arial" w:eastAsia="Times New Roman" w:hAnsi="Arial" w:cs="Arial"/>
          <w:b/>
          <w:bCs/>
          <w:kern w:val="0"/>
          <w:sz w:val="24"/>
          <w:szCs w:val="24"/>
          <w:lang w:eastAsia="en-GB"/>
          <w14:ligatures w14:val="none"/>
        </w:rPr>
        <w:lastRenderedPageBreak/>
        <w:t xml:space="preserve">Failure to make the </w:t>
      </w:r>
      <w:r>
        <w:rPr>
          <w:rFonts w:ascii="Arial" w:eastAsia="Times New Roman" w:hAnsi="Arial" w:cs="Arial"/>
          <w:b/>
          <w:bCs/>
          <w:kern w:val="0"/>
          <w:sz w:val="24"/>
          <w:szCs w:val="24"/>
          <w:lang w:eastAsia="en-GB"/>
          <w14:ligatures w14:val="none"/>
        </w:rPr>
        <w:t>Agency</w:t>
      </w:r>
      <w:r w:rsidRPr="00AC09E7">
        <w:rPr>
          <w:rFonts w:ascii="Arial" w:eastAsia="Times New Roman" w:hAnsi="Arial" w:cs="Arial"/>
          <w:b/>
          <w:bCs/>
          <w:kern w:val="0"/>
          <w:sz w:val="24"/>
          <w:szCs w:val="24"/>
          <w:lang w:eastAsia="en-GB"/>
          <w14:ligatures w14:val="none"/>
        </w:rPr>
        <w:t xml:space="preserve"> a ‘great place to work’ will impact on our ability to attract and retain insolvency professionals and staff in other supporting professions which we require to achieve our key deliverables and remain flexible and resilient. </w:t>
      </w:r>
      <w:r w:rsidRPr="00AC09E7">
        <w:rPr>
          <w:rFonts w:ascii="Arial" w:eastAsia="Times New Roman" w:hAnsi="Arial" w:cs="Arial"/>
          <w:kern w:val="0"/>
          <w:sz w:val="24"/>
          <w:szCs w:val="24"/>
          <w:lang w:eastAsia="en-GB"/>
          <w14:ligatures w14:val="none"/>
        </w:rPr>
        <w:t xml:space="preserve">The </w:t>
      </w:r>
      <w:r>
        <w:rPr>
          <w:rFonts w:ascii="Arial" w:eastAsia="Times New Roman" w:hAnsi="Arial" w:cs="Arial"/>
          <w:kern w:val="0"/>
          <w:sz w:val="24"/>
          <w:szCs w:val="24"/>
          <w:lang w:eastAsia="en-GB"/>
          <w14:ligatures w14:val="none"/>
        </w:rPr>
        <w:t>Agency</w:t>
      </w:r>
      <w:r w:rsidRPr="00AC09E7">
        <w:rPr>
          <w:rFonts w:ascii="Arial" w:eastAsia="Times New Roman" w:hAnsi="Arial" w:cs="Arial"/>
          <w:kern w:val="0"/>
          <w:sz w:val="24"/>
          <w:szCs w:val="24"/>
          <w:lang w:eastAsia="en-GB"/>
          <w14:ligatures w14:val="none"/>
        </w:rPr>
        <w:t xml:space="preserve"> is working on ‘grow your own’ capability and broadened the apprenticeship offer which included opportunities within more of its professions</w:t>
      </w:r>
      <w:r>
        <w:rPr>
          <w:rFonts w:ascii="Arial" w:eastAsia="Times New Roman" w:hAnsi="Arial" w:cs="Arial"/>
          <w:kern w:val="0"/>
          <w:sz w:val="24"/>
          <w:szCs w:val="24"/>
          <w:lang w:eastAsia="en-GB"/>
          <w14:ligatures w14:val="none"/>
        </w:rPr>
        <w:t>.</w:t>
      </w:r>
    </w:p>
    <w:p w14:paraId="4C3D0931" w14:textId="77777777" w:rsidR="00DC25AC" w:rsidRPr="00AC09E7" w:rsidRDefault="00DC25AC" w:rsidP="00DC25AC">
      <w:pPr>
        <w:spacing w:after="0" w:line="240" w:lineRule="auto"/>
        <w:rPr>
          <w:rFonts w:ascii="Arial" w:eastAsia="Times New Roman" w:hAnsi="Arial" w:cs="Arial"/>
          <w:b/>
          <w:bCs/>
          <w:kern w:val="0"/>
          <w:sz w:val="24"/>
          <w:szCs w:val="24"/>
          <w:lang w:eastAsia="en-GB"/>
          <w14:ligatures w14:val="none"/>
        </w:rPr>
      </w:pPr>
    </w:p>
    <w:p w14:paraId="5C967B6F" w14:textId="77777777" w:rsidR="00DC25AC" w:rsidRPr="00AC09E7" w:rsidRDefault="00DC25AC" w:rsidP="00DC25AC">
      <w:pPr>
        <w:spacing w:after="0" w:line="240" w:lineRule="auto"/>
        <w:rPr>
          <w:rFonts w:ascii="Arial" w:eastAsia="Times New Roman" w:hAnsi="Arial" w:cs="Arial"/>
          <w:kern w:val="0"/>
          <w:sz w:val="24"/>
          <w:szCs w:val="24"/>
          <w:lang w:eastAsia="en-GB"/>
          <w14:ligatures w14:val="none"/>
        </w:rPr>
      </w:pPr>
      <w:r w:rsidRPr="00AC09E7">
        <w:rPr>
          <w:rFonts w:ascii="Arial" w:eastAsia="Times New Roman" w:hAnsi="Arial" w:cs="Arial"/>
          <w:b/>
          <w:bCs/>
          <w:kern w:val="0"/>
          <w:sz w:val="24"/>
          <w:szCs w:val="24"/>
          <w:lang w:eastAsia="en-GB"/>
          <w14:ligatures w14:val="none"/>
        </w:rPr>
        <w:t xml:space="preserve">Failure to respond effectively to high-profile investigations or redundancy cases may impact on the quality of service provided and draw additional levels of external scrutiny (media, select committee etc.) leading to reputational damage. </w:t>
      </w:r>
      <w:r w:rsidRPr="00AC09E7">
        <w:rPr>
          <w:rFonts w:ascii="Arial" w:eastAsia="Times New Roman" w:hAnsi="Arial" w:cs="Arial"/>
          <w:kern w:val="0"/>
          <w:sz w:val="24"/>
          <w:szCs w:val="24"/>
          <w:lang w:eastAsia="en-GB"/>
          <w14:ligatures w14:val="none"/>
        </w:rPr>
        <w:t xml:space="preserve">The </w:t>
      </w:r>
      <w:r>
        <w:rPr>
          <w:rFonts w:ascii="Arial" w:eastAsia="Times New Roman" w:hAnsi="Arial" w:cs="Arial"/>
          <w:kern w:val="0"/>
          <w:sz w:val="24"/>
          <w:szCs w:val="24"/>
          <w:lang w:eastAsia="en-GB"/>
          <w14:ligatures w14:val="none"/>
        </w:rPr>
        <w:t>Agency</w:t>
      </w:r>
      <w:r w:rsidRPr="00AC09E7">
        <w:rPr>
          <w:rFonts w:ascii="Arial" w:eastAsia="Times New Roman" w:hAnsi="Arial" w:cs="Arial"/>
          <w:kern w:val="0"/>
          <w:sz w:val="24"/>
          <w:szCs w:val="24"/>
          <w:lang w:eastAsia="en-GB"/>
          <w14:ligatures w14:val="none"/>
        </w:rPr>
        <w:t>’s High-Profile Board oversees cases of high public interest. Cross</w:t>
      </w:r>
      <w:r>
        <w:rPr>
          <w:rFonts w:ascii="Arial" w:eastAsia="Times New Roman" w:hAnsi="Arial" w:cs="Arial"/>
          <w:kern w:val="0"/>
          <w:sz w:val="24"/>
          <w:szCs w:val="24"/>
          <w:lang w:eastAsia="en-GB"/>
          <w14:ligatures w14:val="none"/>
        </w:rPr>
        <w:t>-</w:t>
      </w:r>
      <w:r w:rsidRPr="00AC09E7">
        <w:rPr>
          <w:rFonts w:ascii="Arial" w:eastAsia="Times New Roman" w:hAnsi="Arial" w:cs="Arial"/>
          <w:kern w:val="0"/>
          <w:sz w:val="24"/>
          <w:szCs w:val="24"/>
          <w:lang w:eastAsia="en-GB"/>
          <w14:ligatures w14:val="none"/>
        </w:rPr>
        <w:t>agency planning for National Interest Cases (NIC)</w:t>
      </w:r>
      <w:r>
        <w:rPr>
          <w:rFonts w:ascii="Arial" w:eastAsia="Times New Roman" w:hAnsi="Arial" w:cs="Arial"/>
          <w:kern w:val="0"/>
          <w:sz w:val="24"/>
          <w:szCs w:val="24"/>
          <w:lang w:eastAsia="en-GB"/>
          <w14:ligatures w14:val="none"/>
        </w:rPr>
        <w:t>,</w:t>
      </w:r>
      <w:r w:rsidRPr="00AC09E7">
        <w:rPr>
          <w:rFonts w:ascii="Arial" w:eastAsia="Times New Roman" w:hAnsi="Arial" w:cs="Arial"/>
          <w:kern w:val="0"/>
          <w:sz w:val="24"/>
          <w:szCs w:val="24"/>
          <w:lang w:eastAsia="en-GB"/>
          <w14:ligatures w14:val="none"/>
        </w:rPr>
        <w:t xml:space="preserve"> which includes a strategy for resourcing, is in place. This strategy has been implemented and shown to be successful.   </w:t>
      </w:r>
    </w:p>
    <w:p w14:paraId="140A3AFA" w14:textId="77777777" w:rsidR="00DC25AC" w:rsidRPr="00AC09E7" w:rsidRDefault="00DC25AC" w:rsidP="00DC25AC">
      <w:pPr>
        <w:spacing w:after="0" w:line="240" w:lineRule="auto"/>
        <w:rPr>
          <w:rFonts w:ascii="Arial" w:eastAsia="Times New Roman" w:hAnsi="Arial" w:cs="Arial"/>
          <w:b/>
          <w:bCs/>
          <w:kern w:val="0"/>
          <w:sz w:val="24"/>
          <w:szCs w:val="24"/>
          <w:lang w:eastAsia="en-GB"/>
          <w14:ligatures w14:val="none"/>
        </w:rPr>
      </w:pPr>
    </w:p>
    <w:p w14:paraId="678540A4" w14:textId="77777777" w:rsidR="00DC25AC" w:rsidRPr="00AC09E7" w:rsidRDefault="00DC25AC" w:rsidP="00DC25AC">
      <w:pPr>
        <w:spacing w:after="0" w:line="240" w:lineRule="auto"/>
        <w:rPr>
          <w:rFonts w:ascii="Arial" w:eastAsia="Times New Roman" w:hAnsi="Arial" w:cs="Arial"/>
          <w:b/>
          <w:bCs/>
          <w:kern w:val="0"/>
          <w:sz w:val="24"/>
          <w:szCs w:val="24"/>
          <w:lang w:eastAsia="en-GB"/>
          <w14:ligatures w14:val="none"/>
        </w:rPr>
      </w:pPr>
      <w:r w:rsidRPr="00AC09E7">
        <w:rPr>
          <w:rFonts w:ascii="Arial" w:eastAsia="Times New Roman" w:hAnsi="Arial" w:cs="Arial"/>
          <w:b/>
          <w:bCs/>
          <w:kern w:val="0"/>
          <w:sz w:val="24"/>
          <w:szCs w:val="24"/>
          <w:lang w:eastAsia="en-GB"/>
          <w14:ligatures w14:val="none"/>
        </w:rPr>
        <w:t xml:space="preserve">The Agency may be vulnerable to cyber-attack due to a lack of appropriate controls on its information assets. </w:t>
      </w:r>
      <w:r w:rsidRPr="00AC09E7">
        <w:rPr>
          <w:rFonts w:ascii="Arial" w:eastAsia="Times New Roman" w:hAnsi="Arial" w:cs="Arial"/>
          <w:kern w:val="0"/>
          <w:sz w:val="24"/>
          <w:szCs w:val="24"/>
          <w:lang w:eastAsia="en-GB"/>
          <w14:ligatures w14:val="none"/>
        </w:rPr>
        <w:t xml:space="preserve">The </w:t>
      </w:r>
      <w:r>
        <w:rPr>
          <w:rFonts w:ascii="Arial" w:eastAsia="Times New Roman" w:hAnsi="Arial" w:cs="Arial"/>
          <w:kern w:val="0"/>
          <w:sz w:val="24"/>
          <w:szCs w:val="24"/>
          <w:lang w:eastAsia="en-GB"/>
          <w14:ligatures w14:val="none"/>
        </w:rPr>
        <w:t>Agency</w:t>
      </w:r>
      <w:r w:rsidRPr="00AC09E7">
        <w:rPr>
          <w:rFonts w:ascii="Arial" w:eastAsia="Times New Roman" w:hAnsi="Arial" w:cs="Arial"/>
          <w:kern w:val="0"/>
          <w:sz w:val="24"/>
          <w:szCs w:val="24"/>
          <w:lang w:eastAsia="en-GB"/>
          <w14:ligatures w14:val="none"/>
        </w:rPr>
        <w:t xml:space="preserve"> has a detailed strategy for Cyber Security and continually managed improvements, under four specific focuses: Overarching Strategy, Culture, Patching, and Network Security.  </w:t>
      </w:r>
    </w:p>
    <w:p w14:paraId="7E0DB9C7" w14:textId="77777777" w:rsidR="00DC25AC" w:rsidRPr="00AC09E7" w:rsidRDefault="00DC25AC" w:rsidP="00DC25AC">
      <w:pPr>
        <w:spacing w:after="0" w:line="240" w:lineRule="auto"/>
        <w:rPr>
          <w:rFonts w:ascii="Arial" w:eastAsia="Times New Roman" w:hAnsi="Arial" w:cs="Arial"/>
          <w:kern w:val="0"/>
          <w:sz w:val="24"/>
          <w:szCs w:val="24"/>
          <w:lang w:eastAsia="en-GB"/>
          <w14:ligatures w14:val="none"/>
        </w:rPr>
      </w:pPr>
    </w:p>
    <w:p w14:paraId="6F9CFE34" w14:textId="77777777" w:rsidR="00DC25AC" w:rsidRPr="00AC09E7" w:rsidRDefault="00DC25AC" w:rsidP="00DC25AC">
      <w:pPr>
        <w:pStyle w:val="Heading4"/>
        <w:rPr>
          <w:rFonts w:eastAsia="Times New Roman" w:cs="Arial"/>
          <w:b w:val="0"/>
          <w:color w:val="4F81BD"/>
          <w:sz w:val="24"/>
          <w:szCs w:val="24"/>
          <w:lang w:eastAsia="en-GB"/>
        </w:rPr>
      </w:pPr>
      <w:r w:rsidRPr="00AC09E7">
        <w:rPr>
          <w:lang w:eastAsia="en-GB"/>
        </w:rPr>
        <w:t>Key Operational Risks</w:t>
      </w:r>
    </w:p>
    <w:p w14:paraId="74D0F4EB"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b/>
          <w:bCs/>
          <w:kern w:val="0"/>
          <w:sz w:val="24"/>
          <w:szCs w:val="24"/>
          <w14:ligatures w14:val="none"/>
        </w:rPr>
        <w:t xml:space="preserve">Weaknesses in controls, will leave the </w:t>
      </w:r>
      <w:r>
        <w:rPr>
          <w:rFonts w:ascii="Arial" w:hAnsi="Arial" w:cs="Arial"/>
          <w:b/>
          <w:bCs/>
          <w:kern w:val="0"/>
          <w:sz w:val="24"/>
          <w:szCs w:val="24"/>
          <w14:ligatures w14:val="none"/>
        </w:rPr>
        <w:t>Agency</w:t>
      </w:r>
      <w:r w:rsidRPr="00AC09E7">
        <w:rPr>
          <w:rFonts w:ascii="Arial" w:hAnsi="Arial" w:cs="Arial"/>
          <w:b/>
          <w:bCs/>
          <w:kern w:val="0"/>
          <w:sz w:val="24"/>
          <w:szCs w:val="24"/>
          <w14:ligatures w14:val="none"/>
        </w:rPr>
        <w:t xml:space="preserve"> vulnerable to fraud by internal and external parties. </w:t>
      </w:r>
      <w:r w:rsidRPr="00AC09E7">
        <w:rPr>
          <w:rFonts w:ascii="Arial" w:hAnsi="Arial" w:cs="Arial"/>
          <w:kern w:val="0"/>
          <w:sz w:val="24"/>
          <w:szCs w:val="24"/>
          <w14:ligatures w14:val="none"/>
        </w:rPr>
        <w:t xml:space="preserve">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has an embedded strategic approach to dealing with fraud. These measures consist of a series of directive controls; preventative controls; detective controls and other process controls. </w:t>
      </w:r>
    </w:p>
    <w:bookmarkEnd w:id="7"/>
    <w:p w14:paraId="0F50C818" w14:textId="77777777" w:rsidR="00DC25AC" w:rsidRPr="00AC09E7" w:rsidRDefault="00DC25AC" w:rsidP="00DC25AC">
      <w:pPr>
        <w:tabs>
          <w:tab w:val="left" w:pos="0"/>
        </w:tabs>
        <w:spacing w:after="0" w:line="240" w:lineRule="auto"/>
        <w:rPr>
          <w:rFonts w:ascii="Arial" w:eastAsiaTheme="majorEastAsia" w:hAnsi="Arial" w:cs="Arial"/>
          <w:kern w:val="0"/>
          <w:sz w:val="28"/>
          <w:szCs w:val="28"/>
          <w:u w:val="single"/>
          <w14:ligatures w14:val="none"/>
        </w:rPr>
      </w:pPr>
    </w:p>
    <w:p w14:paraId="291909C7" w14:textId="77777777" w:rsidR="00DC25AC" w:rsidRPr="00AC09E7" w:rsidRDefault="00DC25AC" w:rsidP="00DC25AC">
      <w:pPr>
        <w:pStyle w:val="Heading4"/>
        <w:rPr>
          <w:rFonts w:eastAsia="Times New Roman" w:cs="Arial"/>
          <w:i/>
          <w:color w:val="4F81BD"/>
          <w:sz w:val="24"/>
          <w:szCs w:val="24"/>
          <w:lang w:eastAsia="en-GB"/>
        </w:rPr>
      </w:pPr>
      <w:r w:rsidRPr="00AC09E7">
        <w:rPr>
          <w:lang w:eastAsia="en-GB"/>
        </w:rPr>
        <w:t xml:space="preserve">Redundancy Payments Service – National Insurance Deductions </w:t>
      </w:r>
    </w:p>
    <w:p w14:paraId="4098CE97"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’s Redundancy Payments Service (RPS) is responsible for making certain payments in respect of debts owed by insolvent employers to employees under section 182 of Part 12 of the Employment Rights Act 1996, on behalf of the Secretary of State. </w:t>
      </w:r>
    </w:p>
    <w:p w14:paraId="413A52A5" w14:textId="77777777" w:rsidR="00DC25AC" w:rsidRPr="00AC09E7" w:rsidRDefault="00DC25AC" w:rsidP="00DC25AC">
      <w:pPr>
        <w:spacing w:after="0" w:line="240" w:lineRule="auto"/>
        <w:rPr>
          <w:rFonts w:ascii="Arial" w:hAnsi="Arial" w:cs="Arial"/>
          <w:kern w:val="0"/>
          <w:sz w:val="24"/>
          <w:szCs w:val="24"/>
          <w14:ligatures w14:val="none"/>
        </w:rPr>
      </w:pPr>
    </w:p>
    <w:p w14:paraId="75814AF8"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uses a calculation engine to determine the appropriate amount of Income Tax and National Insurance to be deducted from taxable components paid to former employees of insolvent employers. The RPS calculation engine was built, following consultation with HMRC in 2018, to apply one week’s primary threshold to each individual week within a calculation, with National Insurance and tax applied at the point of calculation and to each component individually. Following further engagement with HMRC, we have worked to understand the complexity of National Insurance Contributions (“NIC”) deductions from Secretary of State payments. This complexity is exacerbated by the difficulty of applying social security contributions regulations and guidance in HMRC’s national insurance manuals to the unique circumstances of RPS. </w:t>
      </w:r>
    </w:p>
    <w:p w14:paraId="7C2613C9" w14:textId="77777777" w:rsidR="00DC25AC" w:rsidRPr="00AC09E7" w:rsidRDefault="00DC25AC" w:rsidP="00DC25AC">
      <w:pPr>
        <w:spacing w:after="0" w:line="240" w:lineRule="auto"/>
        <w:rPr>
          <w:rFonts w:ascii="Arial" w:hAnsi="Arial" w:cs="Arial"/>
          <w:kern w:val="0"/>
          <w:sz w:val="24"/>
          <w:szCs w:val="24"/>
          <w14:ligatures w14:val="none"/>
        </w:rPr>
      </w:pPr>
    </w:p>
    <w:p w14:paraId="5BD2046C" w14:textId="77777777" w:rsidR="00DC25AC" w:rsidRDefault="00DC25AC" w:rsidP="00DC25AC">
      <w:pPr>
        <w:rPr>
          <w:rFonts w:ascii="Arial" w:hAnsi="Arial" w:cs="Arial"/>
          <w:kern w:val="0"/>
          <w:sz w:val="24"/>
          <w:szCs w:val="24"/>
          <w14:ligatures w14:val="none"/>
        </w:rPr>
      </w:pPr>
      <w:r>
        <w:rPr>
          <w:rFonts w:ascii="Arial" w:hAnsi="Arial" w:cs="Arial"/>
          <w:kern w:val="0"/>
          <w:sz w:val="24"/>
          <w:szCs w:val="24"/>
          <w14:ligatures w14:val="none"/>
        </w:rPr>
        <w:br w:type="page"/>
      </w:r>
    </w:p>
    <w:p w14:paraId="23008D8F"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lastRenderedPageBreak/>
        <w:t xml:space="preserve">In December 2021, 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undertook a review of the calculation leading to queries being raised with HMRC about the accuracy of the calculation methodology. HMRC advised that RPS’s calculation engine would require amending to be compliant with its interpretation of the applicable legislation. Following these enquiries, including working with expert Counsel, it has been determined that the solution remains complex, as the application of National Insurance deductions is determined by a number of factors including the redundancy component having been paid, when it was paid, and the individual claimant’s earnings period. In addition, HMRC also informed RPS that its status as a payer of redundancy and related payments could only be that of an ‘other payer.’ In practice, this determination would mean that 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is required to perform the calculations, deductions, and reporting of PAYE and NICs on the claimant’s specific earnings to HMRC. </w:t>
      </w:r>
    </w:p>
    <w:p w14:paraId="6743771F" w14:textId="77777777" w:rsidR="00DC25AC" w:rsidRDefault="00DC25AC" w:rsidP="00DC25AC">
      <w:pPr>
        <w:spacing w:after="0" w:line="240" w:lineRule="auto"/>
        <w:rPr>
          <w:rFonts w:ascii="Arial" w:hAnsi="Arial" w:cs="Arial"/>
          <w:kern w:val="0"/>
          <w:sz w:val="24"/>
          <w:szCs w:val="24"/>
          <w14:ligatures w14:val="none"/>
        </w:rPr>
      </w:pPr>
    </w:p>
    <w:p w14:paraId="223DC7BD"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Following further discussions with HMRC, RPS, with the assistance of Government Lawyers, modelled a number of scenarios dealing with all possible combinations of payments in order to seek an understanding as to how NICs should be deducted. It should be noted that payments made by RPS can also span different earnings periods and tax years. To manage the workflow to HMRC, the scenarios were shared in an iterative manner throughout 2023-24, with amendments made as feedback was received.</w:t>
      </w:r>
    </w:p>
    <w:p w14:paraId="37247195" w14:textId="77777777" w:rsidR="00DC25AC" w:rsidRPr="00AC09E7" w:rsidRDefault="00DC25AC" w:rsidP="00DC25AC">
      <w:pPr>
        <w:spacing w:after="0" w:line="240" w:lineRule="auto"/>
        <w:rPr>
          <w:rFonts w:ascii="Arial" w:hAnsi="Arial" w:cs="Arial"/>
          <w:kern w:val="0"/>
          <w:sz w:val="24"/>
          <w:szCs w:val="24"/>
          <w14:ligatures w14:val="none"/>
        </w:rPr>
      </w:pPr>
    </w:p>
    <w:p w14:paraId="0C262564"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Although we have continued to engage with HMRC throughout this period, RPS has been unable to make further progress on this matter at the year-end date as we were still awaiting further scenario feedback. However, since the balance sheet date a response from HMRC has been received and work has subsequently resumed.</w:t>
      </w:r>
    </w:p>
    <w:p w14:paraId="2E753303" w14:textId="77777777" w:rsidR="00DC25AC" w:rsidRPr="00AC09E7" w:rsidRDefault="00DC25AC" w:rsidP="00DC25AC">
      <w:pPr>
        <w:spacing w:after="0" w:line="240" w:lineRule="auto"/>
        <w:rPr>
          <w:rFonts w:ascii="Arial" w:hAnsi="Arial" w:cs="Arial"/>
          <w:kern w:val="0"/>
          <w:sz w:val="24"/>
          <w:szCs w:val="24"/>
          <w14:ligatures w14:val="none"/>
        </w:rPr>
      </w:pPr>
    </w:p>
    <w:p w14:paraId="6132D114"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The Agency has modelled scenarios to assess the potential impact of applying the calculation engine changes advised by HMRC for 2023-24. Applying the revised methodology would lead, we estimate, to a potential £1.94m under deduction and a £2.73m over deduction of </w:t>
      </w:r>
      <w:r>
        <w:rPr>
          <w:rFonts w:ascii="Arial" w:hAnsi="Arial" w:cs="Arial"/>
          <w:kern w:val="0"/>
          <w:sz w:val="24"/>
          <w:szCs w:val="24"/>
          <w14:ligatures w14:val="none"/>
        </w:rPr>
        <w:t>N</w:t>
      </w:r>
      <w:r w:rsidRPr="00AC09E7">
        <w:rPr>
          <w:rFonts w:ascii="Arial" w:hAnsi="Arial" w:cs="Arial"/>
          <w:kern w:val="0"/>
          <w:sz w:val="24"/>
          <w:szCs w:val="24"/>
          <w14:ligatures w14:val="none"/>
        </w:rPr>
        <w:t xml:space="preserve">ational </w:t>
      </w:r>
      <w:r>
        <w:rPr>
          <w:rFonts w:ascii="Arial" w:hAnsi="Arial" w:cs="Arial"/>
          <w:kern w:val="0"/>
          <w:sz w:val="24"/>
          <w:szCs w:val="24"/>
          <w14:ligatures w14:val="none"/>
        </w:rPr>
        <w:t>I</w:t>
      </w:r>
      <w:r w:rsidRPr="00AC09E7">
        <w:rPr>
          <w:rFonts w:ascii="Arial" w:hAnsi="Arial" w:cs="Arial"/>
          <w:kern w:val="0"/>
          <w:sz w:val="24"/>
          <w:szCs w:val="24"/>
          <w14:ligatures w14:val="none"/>
        </w:rPr>
        <w:t>nsurance across c.117,000 individual components in 2023-24. The gross value of these deductions represents c.1.0% of the total value of RPS payments of c.£494m. The median over deduction is c.£30 and the median under deduction is c.£40.</w:t>
      </w:r>
    </w:p>
    <w:p w14:paraId="758BE80B" w14:textId="77777777" w:rsidR="00DC25AC" w:rsidRPr="00AC09E7" w:rsidRDefault="00DC25AC" w:rsidP="00DC25AC">
      <w:pPr>
        <w:spacing w:after="0" w:line="240" w:lineRule="auto"/>
        <w:rPr>
          <w:rFonts w:ascii="Arial" w:hAnsi="Arial" w:cs="Arial"/>
          <w:kern w:val="0"/>
          <w:sz w:val="24"/>
          <w:szCs w:val="24"/>
          <w14:ligatures w14:val="none"/>
        </w:rPr>
      </w:pPr>
    </w:p>
    <w:p w14:paraId="1351F0E6"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On a cumulative basis since December 2021, we have issued payments with total estimated over deductions of £5.16m and under deductions of £3.73m. This compares to total RPS payments of £1.10bn over the three financial years impacted. The cumulative value of over deductions, £5.16m, has been classified as a provision, details of which can be seen in Note 12. </w:t>
      </w:r>
    </w:p>
    <w:p w14:paraId="4993679E" w14:textId="77777777" w:rsidR="00DC25AC" w:rsidRPr="00AC09E7" w:rsidRDefault="00DC25AC" w:rsidP="00DC25AC">
      <w:pPr>
        <w:spacing w:after="0" w:line="240" w:lineRule="auto"/>
        <w:rPr>
          <w:rFonts w:ascii="Arial" w:hAnsi="Arial" w:cs="Arial"/>
          <w:kern w:val="0"/>
          <w:sz w:val="24"/>
          <w:szCs w:val="24"/>
          <w14:ligatures w14:val="none"/>
        </w:rPr>
      </w:pPr>
    </w:p>
    <w:p w14:paraId="36FAFDDA"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The Agency expects to have resolved these complexities at the earliest opportunity and once agreed the Agency shall make the required amendments to the calculation engine. Given the low median values of under-deductions, many of these will be written-off as uneconomic to recover, as many components fall below the Agency's internal de minimis of £50. Larger balances will be recovered through the Agency's established debt recovery processes within RPS, though noting that the process to recover these will have to be agreed with HMRC. The Agency will then issue additional payments to correct over-deductions.</w:t>
      </w:r>
    </w:p>
    <w:p w14:paraId="55E96BC9" w14:textId="77777777" w:rsidR="00DC25AC" w:rsidRDefault="00DC25AC" w:rsidP="00DC25AC">
      <w:pPr>
        <w:rPr>
          <w:rFonts w:ascii="Arial" w:hAnsi="Arial" w:cs="Arial"/>
          <w:kern w:val="0"/>
          <w:sz w:val="24"/>
          <w:szCs w:val="24"/>
          <w14:ligatures w14:val="none"/>
        </w:rPr>
      </w:pPr>
      <w:r>
        <w:rPr>
          <w:rFonts w:ascii="Arial" w:hAnsi="Arial" w:cs="Arial"/>
          <w:kern w:val="0"/>
          <w:sz w:val="24"/>
          <w:szCs w:val="24"/>
          <w14:ligatures w14:val="none"/>
        </w:rPr>
        <w:br w:type="page"/>
      </w:r>
    </w:p>
    <w:p w14:paraId="76D8E4D1"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lastRenderedPageBreak/>
        <w:t xml:space="preserve">The Agency has continued to make redundancy payments as required by law since the issue with NIC deductions was first raised. Managing Public Money does require that the Agency prevent recurrence of irregular spending; however, as the irregularity pertains to supporting those in financial distress it has been agreed with the Department and with HMRC, that we should continue to make redundancy payments whilst working towards remediating any deduction errors within our NIC calculation engine. The Agency, acting for the Secretary of State, is bound by legislation to make payments to those eligible for the RPS scheme, therefore ceasing payments would contravene legislation as well as the principle of regularity as set out within Managing Public Money. It may also impact the contributory benefit entitlement of the recipients of the payments, i.e., may lead to gaps in an individual’s </w:t>
      </w:r>
      <w:r>
        <w:rPr>
          <w:rFonts w:ascii="Arial" w:hAnsi="Arial" w:cs="Arial"/>
          <w:kern w:val="0"/>
          <w:sz w:val="24"/>
          <w:szCs w:val="24"/>
          <w14:ligatures w14:val="none"/>
        </w:rPr>
        <w:t>N</w:t>
      </w:r>
      <w:r w:rsidRPr="00AC09E7">
        <w:rPr>
          <w:rFonts w:ascii="Arial" w:hAnsi="Arial" w:cs="Arial"/>
          <w:kern w:val="0"/>
          <w:sz w:val="24"/>
          <w:szCs w:val="24"/>
          <w14:ligatures w14:val="none"/>
        </w:rPr>
        <w:t xml:space="preserve">ational </w:t>
      </w:r>
      <w:r>
        <w:rPr>
          <w:rFonts w:ascii="Arial" w:hAnsi="Arial" w:cs="Arial"/>
          <w:kern w:val="0"/>
          <w:sz w:val="24"/>
          <w:szCs w:val="24"/>
          <w14:ligatures w14:val="none"/>
        </w:rPr>
        <w:t>I</w:t>
      </w:r>
      <w:r w:rsidRPr="00AC09E7">
        <w:rPr>
          <w:rFonts w:ascii="Arial" w:hAnsi="Arial" w:cs="Arial"/>
          <w:kern w:val="0"/>
          <w:sz w:val="24"/>
          <w:szCs w:val="24"/>
          <w14:ligatures w14:val="none"/>
        </w:rPr>
        <w:t>nsurance contributions record, affecting their entitlement to state benefits.</w:t>
      </w:r>
    </w:p>
    <w:p w14:paraId="79CF2E38" w14:textId="77777777" w:rsidR="00DC25AC" w:rsidRPr="00AC09E7" w:rsidRDefault="00DC25AC" w:rsidP="00DC25AC">
      <w:pPr>
        <w:spacing w:after="0" w:line="240" w:lineRule="auto"/>
        <w:jc w:val="both"/>
      </w:pPr>
    </w:p>
    <w:p w14:paraId="1C2D03C5" w14:textId="77777777" w:rsidR="00DC25AC" w:rsidRPr="00EF1E9A" w:rsidRDefault="00DC25AC" w:rsidP="00DC25AC">
      <w:pPr>
        <w:pStyle w:val="Heading4"/>
      </w:pPr>
      <w:r w:rsidRPr="00AC09E7">
        <w:t>Internal Controls</w:t>
      </w:r>
    </w:p>
    <w:p w14:paraId="05F665ED" w14:textId="77777777" w:rsidR="00DC25AC" w:rsidRPr="00AC09E7" w:rsidRDefault="00DC25AC" w:rsidP="00DC25AC">
      <w:pPr>
        <w:pStyle w:val="Heading4"/>
        <w:rPr>
          <w:rFonts w:eastAsia="Calibri" w:cs="Arial"/>
          <w:b w:val="0"/>
          <w:sz w:val="24"/>
          <w:szCs w:val="24"/>
          <w:u w:color="000000"/>
        </w:rPr>
      </w:pPr>
      <w:bookmarkStart w:id="8" w:name="_Hlk166674984"/>
      <w:r w:rsidRPr="00AC09E7">
        <w:rPr>
          <w:u w:color="000000"/>
        </w:rPr>
        <w:t xml:space="preserve">Quality Assurance of Analytical Models </w:t>
      </w:r>
    </w:p>
    <w:p w14:paraId="58B0E1E7" w14:textId="77777777" w:rsidR="00DC25AC" w:rsidRPr="00AC09E7" w:rsidRDefault="00DC25AC" w:rsidP="00DC25AC">
      <w:pPr>
        <w:spacing w:after="0" w:line="240" w:lineRule="auto"/>
        <w:rPr>
          <w:rFonts w:ascii="Arial" w:hAnsi="Arial" w:cs="Arial"/>
          <w:kern w:val="0"/>
          <w:sz w:val="24"/>
          <w:szCs w:val="24"/>
          <w14:ligatures w14:val="none"/>
        </w:rPr>
      </w:pPr>
      <w:bookmarkStart w:id="9" w:name="_Hlk67404662"/>
      <w:r w:rsidRPr="00AC09E7">
        <w:rPr>
          <w:rFonts w:ascii="Arial" w:hAnsi="Arial" w:cs="Arial"/>
          <w:kern w:val="0"/>
          <w:sz w:val="24"/>
          <w:szCs w:val="24"/>
          <w14:ligatures w14:val="none"/>
        </w:rPr>
        <w:t>Since the GIAA review in 2022</w:t>
      </w:r>
      <w:r>
        <w:rPr>
          <w:rFonts w:ascii="Arial" w:hAnsi="Arial" w:cs="Arial"/>
          <w:kern w:val="0"/>
          <w:sz w:val="24"/>
          <w:szCs w:val="24"/>
          <w14:ligatures w14:val="none"/>
        </w:rPr>
        <w:t>-</w:t>
      </w:r>
      <w:r w:rsidRPr="00AC09E7">
        <w:rPr>
          <w:rFonts w:ascii="Arial" w:hAnsi="Arial" w:cs="Arial"/>
          <w:kern w:val="0"/>
          <w:sz w:val="24"/>
          <w:szCs w:val="24"/>
          <w14:ligatures w14:val="none"/>
        </w:rPr>
        <w:t xml:space="preserve">23, all recommendations relating to the assurance of the two business-critical Income models, used by 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in relation to planning assumptions for case inputs and fee income, have been closed.</w:t>
      </w:r>
    </w:p>
    <w:p w14:paraId="14D74C96" w14:textId="77777777" w:rsidR="00DC25AC" w:rsidRPr="00AC09E7" w:rsidRDefault="00DC25AC" w:rsidP="00DC25AC">
      <w:pPr>
        <w:spacing w:after="0" w:line="240" w:lineRule="auto"/>
        <w:rPr>
          <w:rFonts w:ascii="Arial" w:hAnsi="Arial" w:cs="Arial"/>
          <w:kern w:val="0"/>
          <w:sz w:val="24"/>
          <w:szCs w:val="24"/>
          <w14:ligatures w14:val="none"/>
        </w:rPr>
      </w:pPr>
    </w:p>
    <w:p w14:paraId="22A1DF06"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To mitigate the identified risks with a single point of failure, 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has implemented an independent review to assure the accuracy and reliability procedure to validate the complex income models. Additionally, 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has successfully recruited a new Deputy Head of Income Accounting and established the new Income Working Group. Through promotion and rotation in ORS Finance Business Partner roles there is increased overall capability and detailed knowledge and understanding of the models through a broader number of staff with income accounting knowledge. </w:t>
      </w:r>
    </w:p>
    <w:p w14:paraId="36F5BC6D" w14:textId="77777777" w:rsidR="00DC25AC" w:rsidRPr="00AC09E7" w:rsidRDefault="00DC25AC" w:rsidP="00DC25AC">
      <w:pPr>
        <w:spacing w:after="0" w:line="240" w:lineRule="auto"/>
        <w:rPr>
          <w:rFonts w:ascii="Arial" w:hAnsi="Arial" w:cs="Arial"/>
          <w:kern w:val="0"/>
          <w:sz w:val="24"/>
          <w:szCs w:val="24"/>
          <w14:ligatures w14:val="none"/>
        </w:rPr>
      </w:pPr>
    </w:p>
    <w:p w14:paraId="0C4A73DF"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In order to ensure that income assumptions have been applied appropriately the data available has been considered by </w:t>
      </w:r>
      <w:r>
        <w:rPr>
          <w:rFonts w:ascii="Arial" w:hAnsi="Arial" w:cs="Arial"/>
          <w:kern w:val="0"/>
          <w:sz w:val="24"/>
          <w:szCs w:val="24"/>
          <w14:ligatures w14:val="none"/>
        </w:rPr>
        <w:t>a</w:t>
      </w:r>
      <w:r w:rsidRPr="00AC09E7">
        <w:rPr>
          <w:rFonts w:ascii="Arial" w:hAnsi="Arial" w:cs="Arial"/>
          <w:kern w:val="0"/>
          <w:sz w:val="24"/>
          <w:szCs w:val="24"/>
          <w14:ligatures w14:val="none"/>
        </w:rPr>
        <w:t xml:space="preserve"> variety of internal stakeholders, including colleagues from Operations with detailed understanding of casework processes. In previous reviews recommendations were primarily based on subjective considerations, however this broader input has added the capacity to link economic, operational and fee regime changes to improve the reliability of the review. </w:t>
      </w:r>
    </w:p>
    <w:p w14:paraId="1F4BF66C" w14:textId="77777777" w:rsidR="00DC25AC" w:rsidRPr="00AC09E7" w:rsidRDefault="00DC25AC" w:rsidP="00DC25AC">
      <w:pPr>
        <w:spacing w:after="0" w:line="240" w:lineRule="auto"/>
        <w:rPr>
          <w:rFonts w:ascii="Arial" w:hAnsi="Arial" w:cs="Arial"/>
          <w:kern w:val="0"/>
          <w:sz w:val="24"/>
          <w:szCs w:val="24"/>
          <w14:ligatures w14:val="none"/>
        </w:rPr>
      </w:pPr>
    </w:p>
    <w:p w14:paraId="403960DB"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Finance staff have also held meetings with external stakeholders to review whether modelling could be amended to reflect forecast economic conditions; however, this was discounted as the resource demands and complexity were considered disproportionate to any benefit that might be gained</w:t>
      </w:r>
      <w:r>
        <w:rPr>
          <w:rFonts w:ascii="Arial" w:hAnsi="Arial" w:cs="Arial"/>
          <w:kern w:val="0"/>
          <w:sz w:val="24"/>
          <w:szCs w:val="24"/>
          <w14:ligatures w14:val="none"/>
        </w:rPr>
        <w:t>.</w:t>
      </w:r>
      <w:r w:rsidRPr="00AC09E7">
        <w:rPr>
          <w:rFonts w:ascii="Arial" w:hAnsi="Arial" w:cs="Arial"/>
          <w:kern w:val="0"/>
          <w:sz w:val="24"/>
          <w:szCs w:val="24"/>
          <w14:ligatures w14:val="none"/>
        </w:rPr>
        <w:t xml:space="preserve"> </w:t>
      </w:r>
    </w:p>
    <w:p w14:paraId="7445804E" w14:textId="77777777" w:rsidR="00DC25AC" w:rsidRPr="00AC09E7" w:rsidRDefault="00DC25AC" w:rsidP="00DC25AC">
      <w:pPr>
        <w:spacing w:after="0" w:line="240" w:lineRule="auto"/>
        <w:rPr>
          <w:rFonts w:ascii="Arial" w:hAnsi="Arial" w:cs="Arial"/>
          <w:kern w:val="0"/>
          <w:sz w:val="24"/>
          <w:szCs w:val="24"/>
          <w14:ligatures w14:val="none"/>
        </w:rPr>
      </w:pPr>
    </w:p>
    <w:p w14:paraId="29582CDE"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Finally, to improve change management procedures 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has adopted more rigorous version control of the income models and a reconciliation between the income models and their source data. </w:t>
      </w:r>
    </w:p>
    <w:p w14:paraId="36BE164B" w14:textId="77777777" w:rsidR="00DC25AC" w:rsidRPr="00AC09E7" w:rsidRDefault="00DC25AC" w:rsidP="00DC25AC">
      <w:pPr>
        <w:spacing w:after="0" w:line="240" w:lineRule="auto"/>
        <w:rPr>
          <w:rFonts w:ascii="Arial" w:hAnsi="Arial" w:cs="Arial"/>
          <w:kern w:val="0"/>
          <w:sz w:val="24"/>
          <w:szCs w:val="24"/>
          <w14:ligatures w14:val="none"/>
        </w:rPr>
      </w:pPr>
    </w:p>
    <w:p w14:paraId="356A0653"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The Income Accounting Team will continue to periodically review the models and processes to ensure they are reliable and align with 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’s strategic plans, whilst also reflecting any significant economic, operational and fee regime changes. </w:t>
      </w:r>
    </w:p>
    <w:bookmarkEnd w:id="8"/>
    <w:bookmarkEnd w:id="9"/>
    <w:p w14:paraId="3F817824" w14:textId="77777777" w:rsidR="00DC25AC" w:rsidRDefault="00DC25AC" w:rsidP="00DC25AC">
      <w:pPr>
        <w:rPr>
          <w:rFonts w:ascii="Arial" w:eastAsiaTheme="majorEastAsia" w:hAnsi="Arial" w:cstheme="majorBidi"/>
          <w:b/>
          <w:iCs/>
          <w:color w:val="1F3864" w:themeColor="accent1" w:themeShade="80"/>
          <w:kern w:val="0"/>
          <w:sz w:val="28"/>
          <w:u w:color="000000"/>
          <w14:ligatures w14:val="none"/>
        </w:rPr>
      </w:pPr>
      <w:r>
        <w:rPr>
          <w:u w:color="000000"/>
        </w:rPr>
        <w:br w:type="page"/>
      </w:r>
    </w:p>
    <w:p w14:paraId="64EADCAF" w14:textId="77777777" w:rsidR="00DC25AC" w:rsidRPr="00AC09E7" w:rsidRDefault="00DC25AC" w:rsidP="00DC25AC">
      <w:pPr>
        <w:pStyle w:val="Heading4"/>
        <w:rPr>
          <w:rFonts w:eastAsia="Calibri" w:cs="Arial"/>
          <w:b w:val="0"/>
          <w:color w:val="FF0000"/>
          <w:sz w:val="24"/>
          <w:szCs w:val="24"/>
          <w:u w:color="000000"/>
        </w:rPr>
      </w:pPr>
      <w:r w:rsidRPr="00AC09E7">
        <w:rPr>
          <w:u w:color="000000"/>
        </w:rPr>
        <w:lastRenderedPageBreak/>
        <w:t>Effectiveness of Raising a Concern Policy</w:t>
      </w:r>
      <w:r w:rsidRPr="00AC09E7">
        <w:rPr>
          <w:rFonts w:eastAsia="Calibri" w:cs="Arial"/>
          <w:color w:val="FF0000"/>
          <w:sz w:val="24"/>
          <w:szCs w:val="24"/>
          <w:u w:color="000000"/>
        </w:rPr>
        <w:t xml:space="preserve"> </w:t>
      </w:r>
    </w:p>
    <w:p w14:paraId="21211D16" w14:textId="77777777" w:rsidR="00DC25AC" w:rsidRPr="00AC09E7" w:rsidRDefault="00DC25AC" w:rsidP="00DC25AC">
      <w:pPr>
        <w:spacing w:after="0" w:line="240" w:lineRule="auto"/>
        <w:rPr>
          <w:rFonts w:ascii="Arial" w:eastAsia="Calibri" w:hAnsi="Arial" w:cs="Arial"/>
          <w:b/>
          <w:bCs/>
          <w:color w:val="FF0000"/>
          <w:kern w:val="0"/>
          <w:sz w:val="24"/>
          <w:szCs w:val="24"/>
          <w:u w:color="000000"/>
          <w14:ligatures w14:val="none"/>
        </w:rPr>
      </w:pPr>
    </w:p>
    <w:p w14:paraId="0E65A3F8" w14:textId="77777777" w:rsidR="00DC25AC" w:rsidRPr="00AC09E7" w:rsidRDefault="00DC25AC" w:rsidP="00DC25AC">
      <w:pPr>
        <w:spacing w:after="0" w:line="240" w:lineRule="auto"/>
        <w:textAlignment w:val="baseline"/>
        <w:rPr>
          <w:rFonts w:ascii="Segoe UI" w:hAnsi="Segoe UI" w:cs="Segoe UI"/>
          <w:kern w:val="0"/>
          <w:sz w:val="18"/>
          <w:szCs w:val="18"/>
          <w:lang w:eastAsia="en-GB"/>
          <w14:ligatures w14:val="none"/>
        </w:rPr>
      </w:pPr>
      <w:r w:rsidRPr="00AC09E7">
        <w:rPr>
          <w:rFonts w:ascii="Arial" w:hAnsi="Arial" w:cs="Arial"/>
          <w:kern w:val="0"/>
          <w:sz w:val="24"/>
          <w:szCs w:val="24"/>
          <w:lang w:eastAsia="en-GB"/>
          <w14:ligatures w14:val="none"/>
        </w:rPr>
        <w:t>We work in partnership with our parent department to give independent oversight and assurance to our Raising a Concern policy. The policy and procedure we use was adopted from the Civil Service Employee Policy and has been written with reference to the Public Interest Disclosure Act 1998, which offers protection to those in both the private and public sectors, who blow the whistle, in certain circumstances. Our aim is to raise and encourage an awareness of our whistleblowing policies and procedures, and to create a culture where it is a safe place to raise a concern so that employees speak up and challenge suspected wrongdoing at work.  </w:t>
      </w:r>
    </w:p>
    <w:p w14:paraId="6C5025CD" w14:textId="77777777" w:rsidR="00DC25AC" w:rsidRDefault="00DC25AC" w:rsidP="00DC25AC">
      <w:pPr>
        <w:spacing w:after="0" w:line="240" w:lineRule="auto"/>
        <w:textAlignment w:val="baseline"/>
        <w:rPr>
          <w:rFonts w:ascii="Arial" w:hAnsi="Arial" w:cs="Arial"/>
          <w:kern w:val="0"/>
          <w:sz w:val="24"/>
          <w:szCs w:val="24"/>
          <w:lang w:eastAsia="en-GB"/>
          <w14:ligatures w14:val="none"/>
        </w:rPr>
      </w:pPr>
    </w:p>
    <w:p w14:paraId="59C718F7" w14:textId="77777777" w:rsidR="00DC25AC" w:rsidRPr="00AC09E7" w:rsidRDefault="00DC25AC" w:rsidP="00DC25AC">
      <w:pPr>
        <w:spacing w:after="0" w:line="240" w:lineRule="auto"/>
        <w:textAlignment w:val="baseline"/>
        <w:rPr>
          <w:rFonts w:ascii="Segoe UI" w:hAnsi="Segoe UI" w:cs="Segoe UI"/>
          <w:kern w:val="0"/>
          <w:sz w:val="18"/>
          <w:szCs w:val="18"/>
          <w:lang w:eastAsia="en-GB"/>
          <w14:ligatures w14:val="none"/>
        </w:rPr>
      </w:pPr>
      <w:r w:rsidRPr="00AC09E7">
        <w:rPr>
          <w:rFonts w:ascii="Arial" w:hAnsi="Arial" w:cs="Arial"/>
          <w:kern w:val="0"/>
          <w:sz w:val="24"/>
          <w:szCs w:val="24"/>
          <w:lang w:eastAsia="en-GB"/>
          <w14:ligatures w14:val="none"/>
        </w:rPr>
        <w:t xml:space="preserve">The </w:t>
      </w:r>
      <w:r>
        <w:rPr>
          <w:rFonts w:ascii="Arial" w:hAnsi="Arial" w:cs="Arial"/>
          <w:kern w:val="0"/>
          <w:sz w:val="24"/>
          <w:szCs w:val="24"/>
          <w:lang w:eastAsia="en-GB"/>
          <w14:ligatures w14:val="none"/>
        </w:rPr>
        <w:t>Agency</w:t>
      </w:r>
      <w:r w:rsidRPr="00AC09E7">
        <w:rPr>
          <w:rFonts w:ascii="Arial" w:hAnsi="Arial" w:cs="Arial"/>
          <w:kern w:val="0"/>
          <w:sz w:val="24"/>
          <w:szCs w:val="24"/>
          <w:lang w:eastAsia="en-GB"/>
          <w14:ligatures w14:val="none"/>
        </w:rPr>
        <w:t xml:space="preserve"> has a dedicated Raising a Concern Nominated Officer responsible for providing support to the whistle blower whilst undertaking an impartial review of the concerns raised to determine whether they fall under the Raising a Concern policy and decide on the most appropriate way to take the matter forward; they are also the central point of contact for the whistle blower and any investigation.  </w:t>
      </w:r>
    </w:p>
    <w:p w14:paraId="4615A05C" w14:textId="77777777" w:rsidR="00DC25AC" w:rsidRPr="00AC09E7" w:rsidRDefault="00DC25AC" w:rsidP="00DC25AC">
      <w:pPr>
        <w:spacing w:after="0" w:line="240" w:lineRule="auto"/>
        <w:textAlignment w:val="baseline"/>
        <w:rPr>
          <w:rFonts w:ascii="Segoe UI" w:hAnsi="Segoe UI" w:cs="Segoe UI"/>
          <w:kern w:val="0"/>
          <w:sz w:val="18"/>
          <w:szCs w:val="18"/>
          <w:lang w:eastAsia="en-GB"/>
          <w14:ligatures w14:val="none"/>
        </w:rPr>
      </w:pPr>
      <w:r w:rsidRPr="00AC09E7">
        <w:rPr>
          <w:rFonts w:ascii="Arial" w:hAnsi="Arial" w:cs="Arial"/>
          <w:kern w:val="0"/>
          <w:sz w:val="24"/>
          <w:szCs w:val="24"/>
          <w:lang w:eastAsia="en-GB"/>
          <w14:ligatures w14:val="none"/>
        </w:rPr>
        <w:t> </w:t>
      </w:r>
    </w:p>
    <w:p w14:paraId="46B5C117" w14:textId="77777777" w:rsidR="00DC25AC" w:rsidRPr="00AC09E7" w:rsidRDefault="00DC25AC" w:rsidP="00DC25AC">
      <w:pPr>
        <w:spacing w:after="0" w:line="240" w:lineRule="auto"/>
        <w:textAlignment w:val="baseline"/>
        <w:rPr>
          <w:rFonts w:ascii="Segoe UI" w:hAnsi="Segoe UI" w:cs="Segoe UI"/>
          <w:kern w:val="0"/>
          <w:sz w:val="18"/>
          <w:szCs w:val="18"/>
          <w:lang w:eastAsia="en-GB"/>
          <w14:ligatures w14:val="none"/>
        </w:rPr>
      </w:pPr>
      <w:r w:rsidRPr="00AC09E7">
        <w:rPr>
          <w:rFonts w:ascii="Arial" w:hAnsi="Arial" w:cs="Arial"/>
          <w:kern w:val="0"/>
          <w:sz w:val="24"/>
          <w:szCs w:val="24"/>
          <w:lang w:eastAsia="en-GB"/>
          <w14:ligatures w14:val="none"/>
        </w:rPr>
        <w:t>Our Raising a Concern policy, procedures and guidance are on our Intranet which is available to all employees.  </w:t>
      </w:r>
    </w:p>
    <w:p w14:paraId="45BD56C3" w14:textId="77777777" w:rsidR="00DC25AC" w:rsidRPr="00AC09E7" w:rsidRDefault="00DC25AC" w:rsidP="00DC25AC">
      <w:pPr>
        <w:spacing w:after="0" w:line="240" w:lineRule="auto"/>
        <w:textAlignment w:val="baseline"/>
        <w:rPr>
          <w:rFonts w:ascii="Segoe UI" w:hAnsi="Segoe UI" w:cs="Segoe UI"/>
          <w:color w:val="FF0000"/>
          <w:kern w:val="0"/>
          <w:sz w:val="18"/>
          <w:szCs w:val="18"/>
          <w:lang w:eastAsia="en-GB"/>
          <w14:ligatures w14:val="none"/>
        </w:rPr>
      </w:pPr>
      <w:r w:rsidRPr="00AC09E7">
        <w:rPr>
          <w:rFonts w:ascii="Arial" w:hAnsi="Arial" w:cs="Arial"/>
          <w:color w:val="FF0000"/>
          <w:kern w:val="0"/>
          <w:sz w:val="24"/>
          <w:szCs w:val="24"/>
          <w:lang w:eastAsia="en-GB"/>
          <w14:ligatures w14:val="none"/>
        </w:rPr>
        <w:t> </w:t>
      </w:r>
    </w:p>
    <w:p w14:paraId="0BB654A7" w14:textId="77777777" w:rsidR="00DC25AC" w:rsidRPr="00AC09E7" w:rsidRDefault="00DC25AC" w:rsidP="00DC25AC">
      <w:pPr>
        <w:spacing w:after="0" w:line="240" w:lineRule="auto"/>
        <w:rPr>
          <w:rFonts w:ascii="Arial" w:eastAsia="Calibri" w:hAnsi="Arial" w:cs="Arial"/>
          <w:kern w:val="0"/>
          <w:sz w:val="24"/>
          <w:szCs w:val="24"/>
          <w:u w:color="000000"/>
          <w14:ligatures w14:val="none"/>
        </w:rPr>
      </w:pPr>
      <w:r w:rsidRPr="00AC09E7">
        <w:rPr>
          <w:rFonts w:ascii="Arial" w:hAnsi="Arial" w:cs="Arial"/>
          <w:kern w:val="0"/>
          <w:sz w:val="24"/>
          <w:szCs w:val="24"/>
          <w:lang w:eastAsia="en-GB"/>
          <w14:ligatures w14:val="none"/>
        </w:rPr>
        <w:t>Two matters were investigated during 2023</w:t>
      </w:r>
      <w:r>
        <w:rPr>
          <w:rFonts w:ascii="Arial" w:hAnsi="Arial" w:cs="Arial"/>
          <w:kern w:val="0"/>
          <w:sz w:val="24"/>
          <w:szCs w:val="24"/>
          <w:lang w:eastAsia="en-GB"/>
          <w14:ligatures w14:val="none"/>
        </w:rPr>
        <w:t>-</w:t>
      </w:r>
      <w:r w:rsidRPr="00AC09E7">
        <w:rPr>
          <w:rFonts w:ascii="Arial" w:hAnsi="Arial" w:cs="Arial"/>
          <w:kern w:val="0"/>
          <w:sz w:val="24"/>
          <w:szCs w:val="24"/>
          <w:lang w:eastAsia="en-GB"/>
          <w14:ligatures w14:val="none"/>
        </w:rPr>
        <w:t>24, but no evidence was found to support the issues raised. </w:t>
      </w:r>
    </w:p>
    <w:p w14:paraId="6CDA4E07" w14:textId="77777777" w:rsidR="00DC25AC" w:rsidRPr="00AC09E7" w:rsidRDefault="00DC25AC" w:rsidP="00DC25AC">
      <w:pPr>
        <w:spacing w:after="0" w:line="240" w:lineRule="auto"/>
        <w:rPr>
          <w:rFonts w:ascii="Arial" w:eastAsia="Calibri" w:hAnsi="Arial" w:cs="Arial"/>
          <w:i/>
          <w:color w:val="FF0000"/>
          <w:kern w:val="0"/>
          <w:sz w:val="24"/>
          <w:szCs w:val="24"/>
          <w:u w:color="000000"/>
          <w14:ligatures w14:val="none"/>
        </w:rPr>
      </w:pPr>
    </w:p>
    <w:p w14:paraId="0DF047B3" w14:textId="77777777" w:rsidR="00DC25AC" w:rsidRPr="00AC09E7" w:rsidRDefault="00DC25AC" w:rsidP="00DC25AC">
      <w:pPr>
        <w:pStyle w:val="Heading4"/>
        <w:rPr>
          <w:rFonts w:eastAsia="Calibri" w:cs="Arial"/>
          <w:b w:val="0"/>
          <w:color w:val="FF0000"/>
          <w:sz w:val="24"/>
          <w:szCs w:val="24"/>
          <w:u w:color="000000"/>
        </w:rPr>
      </w:pPr>
      <w:bookmarkStart w:id="10" w:name="_Hlk166661879"/>
      <w:r w:rsidRPr="00AC09E7">
        <w:rPr>
          <w:u w:color="000000"/>
        </w:rPr>
        <w:t xml:space="preserve">Customer Feedback and Complaints Process </w:t>
      </w:r>
    </w:p>
    <w:bookmarkEnd w:id="10"/>
    <w:p w14:paraId="55FB59E5"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Our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Annual Plan sets a target against which we can measure customer satisfaction. The Insolvency Service gathers feedback from our service users by means of:</w:t>
      </w:r>
    </w:p>
    <w:p w14:paraId="26B4850D" w14:textId="77777777" w:rsidR="00DC25AC" w:rsidRPr="00AC09E7" w:rsidRDefault="00DC25AC" w:rsidP="00DC25AC">
      <w:pPr>
        <w:numPr>
          <w:ilvl w:val="0"/>
          <w:numId w:val="42"/>
        </w:numPr>
        <w:spacing w:after="0" w:line="240" w:lineRule="auto"/>
        <w:rPr>
          <w:rFonts w:ascii="Arial" w:eastAsia="Times New Roman" w:hAnsi="Arial" w:cs="Arial"/>
          <w:kern w:val="0"/>
          <w:sz w:val="24"/>
          <w:szCs w:val="24"/>
          <w14:ligatures w14:val="none"/>
        </w:rPr>
      </w:pPr>
      <w:r w:rsidRPr="00AC09E7">
        <w:rPr>
          <w:rFonts w:ascii="Arial" w:eastAsia="Times New Roman" w:hAnsi="Arial" w:cs="Arial"/>
          <w:kern w:val="0"/>
          <w:sz w:val="24"/>
          <w:szCs w:val="24"/>
          <w14:ligatures w14:val="none"/>
        </w:rPr>
        <w:t xml:space="preserve">an annual customer satisfaction survey, </w:t>
      </w:r>
    </w:p>
    <w:p w14:paraId="76611BE9" w14:textId="77777777" w:rsidR="00DC25AC" w:rsidRPr="00AC09E7" w:rsidRDefault="00DC25AC" w:rsidP="00DC25AC">
      <w:pPr>
        <w:numPr>
          <w:ilvl w:val="0"/>
          <w:numId w:val="42"/>
        </w:numPr>
        <w:spacing w:after="0" w:line="240" w:lineRule="auto"/>
        <w:rPr>
          <w:rFonts w:ascii="Arial" w:eastAsia="Times New Roman" w:hAnsi="Arial" w:cs="Arial"/>
          <w:kern w:val="0"/>
          <w:sz w:val="24"/>
          <w:szCs w:val="24"/>
          <w14:ligatures w14:val="none"/>
        </w:rPr>
      </w:pPr>
      <w:r w:rsidRPr="00AC09E7">
        <w:rPr>
          <w:rFonts w:ascii="Arial" w:eastAsia="Times New Roman" w:hAnsi="Arial" w:cs="Arial"/>
          <w:kern w:val="0"/>
          <w:sz w:val="24"/>
          <w:szCs w:val="24"/>
          <w14:ligatures w14:val="none"/>
        </w:rPr>
        <w:t xml:space="preserve">annual surveys with delivery partners, </w:t>
      </w:r>
    </w:p>
    <w:p w14:paraId="0678B1D5" w14:textId="77777777" w:rsidR="00DC25AC" w:rsidRPr="00AC09E7" w:rsidRDefault="00DC25AC" w:rsidP="00DC25AC">
      <w:pPr>
        <w:numPr>
          <w:ilvl w:val="0"/>
          <w:numId w:val="42"/>
        </w:numPr>
        <w:spacing w:after="0" w:line="240" w:lineRule="auto"/>
        <w:rPr>
          <w:rFonts w:ascii="Arial" w:eastAsia="Times New Roman" w:hAnsi="Arial" w:cs="Arial"/>
          <w:kern w:val="0"/>
          <w:sz w:val="24"/>
          <w:szCs w:val="24"/>
          <w14:ligatures w14:val="none"/>
        </w:rPr>
      </w:pPr>
      <w:r w:rsidRPr="00AC09E7">
        <w:rPr>
          <w:rFonts w:ascii="Arial" w:eastAsia="Times New Roman" w:hAnsi="Arial" w:cs="Arial"/>
          <w:kern w:val="0"/>
          <w:sz w:val="24"/>
          <w:szCs w:val="24"/>
          <w14:ligatures w14:val="none"/>
        </w:rPr>
        <w:t>customer service exit surveys</w:t>
      </w:r>
      <w:r>
        <w:rPr>
          <w:rFonts w:ascii="Arial" w:eastAsia="Times New Roman" w:hAnsi="Arial" w:cs="Arial"/>
          <w:kern w:val="0"/>
          <w:sz w:val="24"/>
          <w:szCs w:val="24"/>
          <w14:ligatures w14:val="none"/>
        </w:rPr>
        <w:t>,</w:t>
      </w:r>
    </w:p>
    <w:p w14:paraId="5F4AF957" w14:textId="77777777" w:rsidR="00DC25AC" w:rsidRPr="00AC09E7" w:rsidRDefault="00DC25AC" w:rsidP="00DC25AC">
      <w:pPr>
        <w:numPr>
          <w:ilvl w:val="0"/>
          <w:numId w:val="42"/>
        </w:numPr>
        <w:spacing w:after="0" w:line="240" w:lineRule="auto"/>
        <w:rPr>
          <w:rFonts w:ascii="Arial" w:eastAsia="Times New Roman" w:hAnsi="Arial" w:cs="Arial"/>
          <w:kern w:val="0"/>
          <w:sz w:val="24"/>
          <w:szCs w:val="24"/>
          <w14:ligatures w14:val="none"/>
        </w:rPr>
      </w:pPr>
      <w:r w:rsidRPr="00AC09E7">
        <w:rPr>
          <w:rFonts w:ascii="Arial" w:eastAsia="Times New Roman" w:hAnsi="Arial" w:cs="Arial"/>
          <w:kern w:val="0"/>
          <w:sz w:val="24"/>
          <w:szCs w:val="24"/>
          <w14:ligatures w14:val="none"/>
        </w:rPr>
        <w:t xml:space="preserve">our complaints process </w:t>
      </w:r>
    </w:p>
    <w:p w14:paraId="5A4C6AF3" w14:textId="77777777" w:rsidR="00DC25AC" w:rsidRPr="00AC09E7" w:rsidRDefault="00DC25AC" w:rsidP="00DC25AC">
      <w:pPr>
        <w:spacing w:after="0" w:line="240" w:lineRule="auto"/>
        <w:rPr>
          <w:rFonts w:ascii="Arial" w:hAnsi="Arial" w:cs="Arial"/>
          <w:kern w:val="0"/>
          <w:sz w:val="24"/>
          <w:szCs w:val="24"/>
          <w14:ligatures w14:val="none"/>
        </w:rPr>
      </w:pPr>
    </w:p>
    <w:p w14:paraId="40AFDF25"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The customer satisfaction survey is conducted by an independent research agency which uses telephone interviews. The delivery partner surveys and exit surveys are conducted in house via an online survey tool. </w:t>
      </w:r>
    </w:p>
    <w:p w14:paraId="36105360" w14:textId="77777777" w:rsidR="00DC25AC" w:rsidRPr="00AC09E7" w:rsidRDefault="00DC25AC" w:rsidP="00DC25AC">
      <w:pPr>
        <w:spacing w:after="0" w:line="240" w:lineRule="auto"/>
        <w:rPr>
          <w:rFonts w:ascii="Arial" w:hAnsi="Arial" w:cs="Arial"/>
          <w:kern w:val="0"/>
          <w:sz w:val="24"/>
          <w:szCs w:val="24"/>
          <w14:ligatures w14:val="none"/>
        </w:rPr>
      </w:pPr>
    </w:p>
    <w:p w14:paraId="2B5B67E9"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These annual surveys capture the perceptions and experiences of the main customer groups using our services. </w:t>
      </w:r>
    </w:p>
    <w:p w14:paraId="6CAE2DE8" w14:textId="77777777" w:rsidR="00DC25AC" w:rsidRPr="00AC09E7" w:rsidRDefault="00DC25AC" w:rsidP="00DC25AC">
      <w:pPr>
        <w:spacing w:after="0" w:line="240" w:lineRule="auto"/>
        <w:rPr>
          <w:rFonts w:ascii="Arial" w:hAnsi="Arial" w:cs="Arial"/>
          <w:kern w:val="0"/>
          <w:sz w:val="24"/>
          <w:szCs w:val="24"/>
          <w14:ligatures w14:val="none"/>
        </w:rPr>
      </w:pPr>
    </w:p>
    <w:p w14:paraId="71241C6F" w14:textId="77777777" w:rsidR="00DC25AC" w:rsidRPr="00AC09E7" w:rsidRDefault="00DC25AC" w:rsidP="00DC25AC">
      <w:pPr>
        <w:spacing w:after="0" w:line="240" w:lineRule="auto"/>
        <w:rPr>
          <w:rFonts w:ascii="Arial" w:hAnsi="Arial" w:cs="Arial"/>
          <w:kern w:val="0"/>
          <w:sz w:val="24"/>
          <w:szCs w:val="24"/>
          <w14:ligatures w14:val="none"/>
        </w:rPr>
      </w:pPr>
      <w:bookmarkStart w:id="11" w:name="_Hlk166661899"/>
      <w:r w:rsidRPr="00AC09E7">
        <w:rPr>
          <w:rFonts w:ascii="Arial" w:hAnsi="Arial" w:cs="Arial"/>
          <w:kern w:val="0"/>
          <w:sz w:val="24"/>
          <w:szCs w:val="24"/>
          <w14:ligatures w14:val="none"/>
        </w:rPr>
        <w:t xml:space="preserve">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complaints process comprises of three internal complaint tiers, with Tier 3 complaints investigated and responded to by the office of the Chief Executive.</w:t>
      </w:r>
      <w:r w:rsidRPr="00AC09E7">
        <w:rPr>
          <w:rFonts w:ascii="Arial" w:hAnsi="Arial" w:cs="Arial"/>
          <w:i/>
          <w:iCs/>
          <w:kern w:val="0"/>
          <w:sz w:val="24"/>
          <w:szCs w:val="24"/>
          <w14:ligatures w14:val="none"/>
        </w:rPr>
        <w:t xml:space="preserve"> </w:t>
      </w:r>
      <w:r w:rsidRPr="00AC09E7">
        <w:rPr>
          <w:rFonts w:ascii="Arial" w:hAnsi="Arial" w:cs="Arial"/>
          <w:kern w:val="0"/>
          <w:sz w:val="24"/>
          <w:szCs w:val="24"/>
          <w14:ligatures w14:val="none"/>
        </w:rPr>
        <w:t>We aim to respond to 90% of complaints within 10 working days of receipt. If we are unable to respond within our usual time frame, we make contact within 5 working days to advise the reasons why.</w:t>
      </w:r>
    </w:p>
    <w:bookmarkEnd w:id="11"/>
    <w:p w14:paraId="1163B19B" w14:textId="77777777" w:rsidR="00DC25AC" w:rsidRPr="00AC09E7" w:rsidRDefault="00DC25AC" w:rsidP="00DC25AC">
      <w:pPr>
        <w:spacing w:after="0" w:line="240" w:lineRule="auto"/>
        <w:rPr>
          <w:rFonts w:ascii="Arial" w:hAnsi="Arial" w:cs="Arial"/>
          <w:kern w:val="0"/>
          <w:sz w:val="24"/>
          <w:szCs w:val="24"/>
          <w14:ligatures w14:val="none"/>
        </w:rPr>
      </w:pPr>
    </w:p>
    <w:p w14:paraId="38A154B6" w14:textId="77777777" w:rsidR="00DC25AC" w:rsidRDefault="00DC25AC" w:rsidP="00DC25AC">
      <w:pPr>
        <w:spacing w:after="0" w:line="240" w:lineRule="auto"/>
        <w:rPr>
          <w:rFonts w:ascii="Arial" w:eastAsiaTheme="majorEastAsia" w:hAnsi="Arial" w:cstheme="majorBidi"/>
          <w:b/>
          <w:color w:val="1F3864" w:themeColor="accent1" w:themeShade="80"/>
          <w:kern w:val="0"/>
          <w:sz w:val="28"/>
          <w:u w:color="000000"/>
          <w14:ligatures w14:val="none"/>
        </w:rPr>
      </w:pPr>
      <w:r w:rsidRPr="00AC09E7">
        <w:rPr>
          <w:rFonts w:ascii="Arial" w:hAnsi="Arial" w:cs="Arial"/>
          <w:kern w:val="0"/>
          <w:sz w:val="24"/>
          <w:szCs w:val="24"/>
          <w14:ligatures w14:val="none"/>
        </w:rPr>
        <w:t xml:space="preserve">We use the lessons learned from handling complaints to improve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performance and customer satisfaction.</w:t>
      </w:r>
    </w:p>
    <w:p w14:paraId="203B95F2" w14:textId="77777777" w:rsidR="00DC25AC" w:rsidRDefault="00DC25AC" w:rsidP="00DC25AC">
      <w:pPr>
        <w:rPr>
          <w:rFonts w:ascii="Arial" w:eastAsiaTheme="majorEastAsia" w:hAnsi="Arial" w:cstheme="majorBidi"/>
          <w:b/>
          <w:iCs/>
          <w:color w:val="1F3864" w:themeColor="accent1" w:themeShade="80"/>
          <w:kern w:val="0"/>
          <w:sz w:val="28"/>
          <w:u w:color="000000"/>
          <w14:ligatures w14:val="none"/>
        </w:rPr>
      </w:pPr>
      <w:r>
        <w:rPr>
          <w:u w:color="000000"/>
        </w:rPr>
        <w:br w:type="page"/>
      </w:r>
    </w:p>
    <w:p w14:paraId="28F437DD" w14:textId="77777777" w:rsidR="00DC25AC" w:rsidRPr="00AC09E7" w:rsidRDefault="00DC25AC" w:rsidP="00DC25AC">
      <w:pPr>
        <w:pStyle w:val="Heading4"/>
        <w:rPr>
          <w:rFonts w:eastAsia="Calibri" w:cs="Arial"/>
          <w:b w:val="0"/>
          <w:color w:val="FF0000"/>
          <w:sz w:val="24"/>
          <w:szCs w:val="24"/>
          <w:u w:color="000000"/>
        </w:rPr>
      </w:pPr>
      <w:r w:rsidRPr="00AC09E7">
        <w:rPr>
          <w:u w:color="000000"/>
        </w:rPr>
        <w:lastRenderedPageBreak/>
        <w:t xml:space="preserve">Delegated Financial Authorities </w:t>
      </w:r>
    </w:p>
    <w:p w14:paraId="3C0FCFAF" w14:textId="77777777" w:rsidR="00DC25AC" w:rsidRPr="00AC09E7" w:rsidRDefault="00DC25AC" w:rsidP="00DC25AC">
      <w:pPr>
        <w:spacing w:after="0" w:line="240" w:lineRule="auto"/>
        <w:textAlignment w:val="baseline"/>
        <w:rPr>
          <w:rFonts w:ascii="Arial" w:hAnsi="Arial" w:cs="Arial"/>
          <w:kern w:val="0"/>
          <w:sz w:val="24"/>
          <w:szCs w:val="24"/>
          <w:lang w:eastAsia="en-GB"/>
          <w14:ligatures w14:val="none"/>
        </w:rPr>
      </w:pPr>
      <w:r w:rsidRPr="00AC09E7">
        <w:rPr>
          <w:rFonts w:ascii="Arial" w:hAnsi="Arial" w:cs="Arial"/>
          <w:kern w:val="0"/>
          <w:sz w:val="24"/>
          <w:szCs w:val="24"/>
          <w:lang w:eastAsia="en-GB"/>
          <w14:ligatures w14:val="none"/>
        </w:rPr>
        <w:t xml:space="preserve">The </w:t>
      </w:r>
      <w:r>
        <w:rPr>
          <w:rFonts w:ascii="Arial" w:hAnsi="Arial" w:cs="Arial"/>
          <w:kern w:val="0"/>
          <w:sz w:val="24"/>
          <w:szCs w:val="24"/>
          <w:lang w:eastAsia="en-GB"/>
          <w14:ligatures w14:val="none"/>
        </w:rPr>
        <w:t>Agency</w:t>
      </w:r>
      <w:r w:rsidRPr="00AC09E7">
        <w:rPr>
          <w:rFonts w:ascii="Arial" w:hAnsi="Arial" w:cs="Arial"/>
          <w:kern w:val="0"/>
          <w:sz w:val="24"/>
          <w:szCs w:val="24"/>
          <w:lang w:eastAsia="en-GB"/>
          <w14:ligatures w14:val="none"/>
        </w:rPr>
        <w:t xml:space="preserve">’s budgets are allocated at Director-level, in line with directorate plans, and are monitored by ExCom and the ISB at </w:t>
      </w:r>
      <w:r>
        <w:rPr>
          <w:rFonts w:ascii="Arial" w:hAnsi="Arial" w:cs="Arial"/>
          <w:kern w:val="0"/>
          <w:sz w:val="24"/>
          <w:szCs w:val="24"/>
          <w:lang w:eastAsia="en-GB"/>
          <w14:ligatures w14:val="none"/>
        </w:rPr>
        <w:t>Agency</w:t>
      </w:r>
      <w:r w:rsidRPr="00AC09E7">
        <w:rPr>
          <w:rFonts w:ascii="Arial" w:hAnsi="Arial" w:cs="Arial"/>
          <w:kern w:val="0"/>
          <w:sz w:val="24"/>
          <w:szCs w:val="24"/>
          <w:lang w:eastAsia="en-GB"/>
          <w14:ligatures w14:val="none"/>
        </w:rPr>
        <w:t xml:space="preserve"> level.</w:t>
      </w:r>
    </w:p>
    <w:p w14:paraId="459F4178" w14:textId="77777777" w:rsidR="00DC25AC" w:rsidRPr="00AC09E7" w:rsidRDefault="00DC25AC" w:rsidP="00DC25AC">
      <w:pPr>
        <w:spacing w:after="0" w:line="240" w:lineRule="auto"/>
        <w:textAlignment w:val="baseline"/>
        <w:rPr>
          <w:rFonts w:ascii="Segoe UI" w:hAnsi="Segoe UI" w:cs="Segoe UI"/>
          <w:kern w:val="0"/>
          <w:sz w:val="18"/>
          <w:szCs w:val="18"/>
          <w:lang w:eastAsia="en-GB"/>
          <w14:ligatures w14:val="none"/>
        </w:rPr>
      </w:pPr>
      <w:r w:rsidRPr="00AC09E7">
        <w:rPr>
          <w:rFonts w:ascii="Arial" w:hAnsi="Arial" w:cs="Arial"/>
          <w:kern w:val="0"/>
          <w:sz w:val="24"/>
          <w:szCs w:val="24"/>
          <w:lang w:eastAsia="en-GB"/>
          <w14:ligatures w14:val="none"/>
        </w:rPr>
        <w:t xml:space="preserve"> </w:t>
      </w:r>
    </w:p>
    <w:p w14:paraId="099F6AB8" w14:textId="77777777" w:rsidR="00DC25AC" w:rsidRPr="00AC09E7" w:rsidRDefault="00DC25AC" w:rsidP="00DC25AC">
      <w:pPr>
        <w:spacing w:after="0" w:line="240" w:lineRule="auto"/>
        <w:rPr>
          <w:rFonts w:ascii="Arial" w:eastAsia="Calibri" w:hAnsi="Arial" w:cs="Arial"/>
          <w:color w:val="FF0000"/>
          <w:kern w:val="0"/>
          <w:sz w:val="24"/>
          <w:szCs w:val="24"/>
          <w:u w:color="000000"/>
          <w14:ligatures w14:val="none"/>
        </w:rPr>
      </w:pPr>
      <w:r w:rsidRPr="00AC09E7">
        <w:rPr>
          <w:rFonts w:ascii="Arial" w:hAnsi="Arial" w:cs="Arial"/>
          <w:kern w:val="0"/>
          <w:sz w:val="24"/>
          <w:szCs w:val="24"/>
          <w:lang w:eastAsia="en-GB"/>
          <w14:ligatures w14:val="none"/>
        </w:rPr>
        <w:t xml:space="preserve">A system of delegations and approvals is in place throughout the </w:t>
      </w:r>
      <w:r>
        <w:rPr>
          <w:rFonts w:ascii="Arial" w:hAnsi="Arial" w:cs="Arial"/>
          <w:kern w:val="0"/>
          <w:sz w:val="24"/>
          <w:szCs w:val="24"/>
          <w:lang w:eastAsia="en-GB"/>
          <w14:ligatures w14:val="none"/>
        </w:rPr>
        <w:t>Agency</w:t>
      </w:r>
      <w:r w:rsidRPr="00AC09E7">
        <w:rPr>
          <w:rFonts w:ascii="Arial" w:hAnsi="Arial" w:cs="Arial"/>
          <w:kern w:val="0"/>
          <w:sz w:val="24"/>
          <w:szCs w:val="24"/>
          <w:lang w:eastAsia="en-GB"/>
          <w14:ligatures w14:val="none"/>
        </w:rPr>
        <w:t xml:space="preserve"> to ensure that appropriate and proportionate processes exist for the assessment, approval, and authorisation of all expenditure. My financial delegations as Accounting Officer are set by DBT and sub-delegated to directors and other senior leaders.</w:t>
      </w:r>
    </w:p>
    <w:p w14:paraId="43CDCB51" w14:textId="77777777" w:rsidR="00DC25AC" w:rsidRPr="00AC09E7" w:rsidRDefault="00DC25AC" w:rsidP="00DC25AC">
      <w:pPr>
        <w:spacing w:after="0" w:line="240" w:lineRule="auto"/>
        <w:rPr>
          <w:rFonts w:ascii="Arial" w:eastAsia="Calibri" w:hAnsi="Arial" w:cs="Arial"/>
          <w:b/>
          <w:bCs/>
          <w:color w:val="4472C4" w:themeColor="accent1"/>
          <w:kern w:val="0"/>
          <w:sz w:val="24"/>
          <w:szCs w:val="24"/>
          <w:u w:color="000000"/>
          <w14:ligatures w14:val="none"/>
        </w:rPr>
      </w:pPr>
    </w:p>
    <w:p w14:paraId="48FDBE4A" w14:textId="77777777" w:rsidR="00DC25AC" w:rsidRPr="00AC09E7" w:rsidRDefault="00DC25AC" w:rsidP="00DC25AC">
      <w:pPr>
        <w:spacing w:after="0" w:line="240" w:lineRule="auto"/>
        <w:rPr>
          <w:rFonts w:ascii="Arial" w:hAnsi="Arial" w:cs="Arial"/>
          <w:kern w:val="0"/>
          <w:sz w:val="24"/>
          <w:szCs w:val="24"/>
          <w:lang w:eastAsia="en-GB"/>
          <w14:ligatures w14:val="none"/>
        </w:rPr>
      </w:pPr>
    </w:p>
    <w:p w14:paraId="4979EAE2" w14:textId="77777777" w:rsidR="00DC25AC" w:rsidRPr="00AC09E7" w:rsidRDefault="00DC25AC" w:rsidP="00DC25AC">
      <w:pPr>
        <w:pStyle w:val="Heading4"/>
        <w:rPr>
          <w:rFonts w:eastAsia="Calibri" w:cs="Arial"/>
          <w:b w:val="0"/>
          <w:color w:val="4472C4" w:themeColor="accent1"/>
          <w:sz w:val="24"/>
          <w:szCs w:val="24"/>
          <w:u w:color="000000"/>
        </w:rPr>
      </w:pPr>
      <w:r w:rsidRPr="00AC09E7">
        <w:rPr>
          <w:u w:color="000000"/>
        </w:rPr>
        <w:t>Physical Security</w:t>
      </w:r>
    </w:p>
    <w:p w14:paraId="6534BD4F" w14:textId="77777777" w:rsidR="00DC25AC" w:rsidRPr="00AC09E7" w:rsidRDefault="00DC25AC" w:rsidP="00DC25AC">
      <w:pPr>
        <w:spacing w:after="0" w:line="240" w:lineRule="auto"/>
        <w:rPr>
          <w:rFonts w:ascii="Arial" w:hAnsi="Arial" w:cs="Arial"/>
          <w:kern w:val="0"/>
          <w:lang w:eastAsia="en-GB"/>
          <w14:ligatures w14:val="none"/>
        </w:rPr>
      </w:pPr>
      <w:r w:rsidRPr="00AC09E7">
        <w:rPr>
          <w:rFonts w:ascii="Arial" w:hAnsi="Arial" w:cs="Arial"/>
          <w:kern w:val="0"/>
          <w:sz w:val="24"/>
          <w:szCs w:val="24"/>
          <w:lang w:eastAsia="en-GB"/>
          <w14:ligatures w14:val="none"/>
        </w:rPr>
        <w:t xml:space="preserve">The Insolvency Service currently has 16 main and 4 remote sites across England, Wales and Scotland. The majority of our sites have high protective security control systems. </w:t>
      </w:r>
    </w:p>
    <w:p w14:paraId="334F7E67" w14:textId="77777777" w:rsidR="00DC25AC" w:rsidRPr="00AC09E7" w:rsidRDefault="00DC25AC" w:rsidP="00DC25AC">
      <w:pPr>
        <w:spacing w:after="0" w:line="240" w:lineRule="auto"/>
        <w:rPr>
          <w:rFonts w:ascii="Arial" w:hAnsi="Arial" w:cs="Arial"/>
          <w:kern w:val="0"/>
          <w:lang w:eastAsia="en-GB"/>
          <w14:ligatures w14:val="none"/>
        </w:rPr>
      </w:pPr>
    </w:p>
    <w:p w14:paraId="0BB1152E" w14:textId="77777777" w:rsidR="00DC25AC" w:rsidRPr="00AC09E7" w:rsidRDefault="00DC25AC" w:rsidP="00DC25AC">
      <w:pPr>
        <w:spacing w:after="0" w:line="240" w:lineRule="auto"/>
        <w:rPr>
          <w:rFonts w:ascii="Arial" w:hAnsi="Arial" w:cs="Arial"/>
          <w:kern w:val="0"/>
          <w:lang w:eastAsia="en-GB"/>
          <w14:ligatures w14:val="none"/>
        </w:rPr>
      </w:pPr>
      <w:r w:rsidRPr="00AC09E7">
        <w:rPr>
          <w:rFonts w:ascii="Arial" w:hAnsi="Arial" w:cs="Arial"/>
          <w:kern w:val="0"/>
          <w:sz w:val="24"/>
          <w:szCs w:val="24"/>
          <w:lang w:eastAsia="en-GB"/>
          <w14:ligatures w14:val="none"/>
        </w:rPr>
        <w:t xml:space="preserve">The </w:t>
      </w:r>
      <w:r>
        <w:rPr>
          <w:rFonts w:ascii="Arial" w:hAnsi="Arial" w:cs="Arial"/>
          <w:kern w:val="0"/>
          <w:sz w:val="24"/>
          <w:szCs w:val="24"/>
          <w:lang w:eastAsia="en-GB"/>
          <w14:ligatures w14:val="none"/>
        </w:rPr>
        <w:t>Agency</w:t>
      </w:r>
      <w:r w:rsidRPr="00AC09E7">
        <w:rPr>
          <w:rFonts w:ascii="Arial" w:hAnsi="Arial" w:cs="Arial"/>
          <w:kern w:val="0"/>
          <w:sz w:val="24"/>
          <w:szCs w:val="24"/>
          <w:lang w:eastAsia="en-GB"/>
          <w14:ligatures w14:val="none"/>
        </w:rPr>
        <w:t xml:space="preserve"> ensures that National Protective Security Authority (NPSA), Operational Requirements (OR) Inspections and Secure by Design Principles are adhered to. The NPSA methodology, has enabled the Physical Security and Resilience Team to identify and remediate sites which fall below NPSA standards across the estate. </w:t>
      </w:r>
    </w:p>
    <w:p w14:paraId="23863E6F" w14:textId="77777777" w:rsidR="00DC25AC" w:rsidRPr="00AC09E7" w:rsidRDefault="00DC25AC" w:rsidP="00DC25AC">
      <w:pPr>
        <w:spacing w:after="0" w:line="240" w:lineRule="auto"/>
        <w:rPr>
          <w:rFonts w:ascii="Arial" w:hAnsi="Arial" w:cs="Arial"/>
          <w:kern w:val="0"/>
          <w:lang w:eastAsia="en-GB"/>
          <w14:ligatures w14:val="none"/>
        </w:rPr>
      </w:pPr>
    </w:p>
    <w:p w14:paraId="7015EF0E" w14:textId="77777777" w:rsidR="00DC25AC" w:rsidRPr="00AC09E7" w:rsidRDefault="00DC25AC" w:rsidP="00DC25AC">
      <w:pPr>
        <w:spacing w:after="0" w:line="240" w:lineRule="auto"/>
        <w:rPr>
          <w:rFonts w:ascii="Arial" w:hAnsi="Arial" w:cs="Arial"/>
          <w:kern w:val="0"/>
          <w:lang w:eastAsia="en-GB"/>
          <w14:ligatures w14:val="none"/>
        </w:rPr>
      </w:pPr>
      <w:r w:rsidRPr="00AC09E7">
        <w:rPr>
          <w:rFonts w:ascii="Arial" w:hAnsi="Arial" w:cs="Arial"/>
          <w:kern w:val="0"/>
          <w:sz w:val="24"/>
          <w:szCs w:val="24"/>
          <w:lang w:eastAsia="en-GB"/>
          <w14:ligatures w14:val="none"/>
        </w:rPr>
        <w:t xml:space="preserve">The </w:t>
      </w:r>
      <w:r>
        <w:rPr>
          <w:rFonts w:ascii="Arial" w:hAnsi="Arial" w:cs="Arial"/>
          <w:kern w:val="0"/>
          <w:sz w:val="24"/>
          <w:szCs w:val="24"/>
          <w:lang w:eastAsia="en-GB"/>
          <w14:ligatures w14:val="none"/>
        </w:rPr>
        <w:t>Agency</w:t>
      </w:r>
      <w:r w:rsidRPr="00AC09E7">
        <w:rPr>
          <w:rFonts w:ascii="Arial" w:hAnsi="Arial" w:cs="Arial"/>
          <w:kern w:val="0"/>
          <w:sz w:val="24"/>
          <w:szCs w:val="24"/>
          <w:lang w:eastAsia="en-GB"/>
          <w14:ligatures w14:val="none"/>
        </w:rPr>
        <w:t xml:space="preserve"> will always implement proportionate protective security controls to ensure the safety of personnel and the protection of assets and information at the Official Sensitive level. </w:t>
      </w:r>
    </w:p>
    <w:p w14:paraId="1480D7E9" w14:textId="77777777" w:rsidR="00DC25AC" w:rsidRPr="00AC09E7" w:rsidRDefault="00DC25AC" w:rsidP="00DC25AC">
      <w:pPr>
        <w:spacing w:after="0" w:line="240" w:lineRule="auto"/>
        <w:rPr>
          <w:rFonts w:ascii="Arial" w:hAnsi="Arial" w:cs="Arial"/>
          <w:kern w:val="0"/>
          <w:lang w:eastAsia="en-GB"/>
          <w14:ligatures w14:val="none"/>
        </w:rPr>
      </w:pPr>
    </w:p>
    <w:p w14:paraId="2DE7C7CF"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In this reporting period, 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has not experienced any significant lapses in relation to protective (physical and personnel) security.  There have been five physical breaches of security which were rectified, and two protective security issues including a bomb threat in the vicinity of one of 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’s sites. </w:t>
      </w:r>
    </w:p>
    <w:p w14:paraId="2FE91296" w14:textId="77777777" w:rsidR="00DC25AC" w:rsidRPr="00AC09E7" w:rsidRDefault="00DC25AC" w:rsidP="00DC25AC">
      <w:pPr>
        <w:spacing w:after="0" w:line="240" w:lineRule="auto"/>
        <w:rPr>
          <w:rFonts w:ascii="Arial" w:hAnsi="Arial" w:cs="Arial"/>
          <w:kern w:val="0"/>
          <w:sz w:val="24"/>
          <w:szCs w:val="24"/>
          <w14:ligatures w14:val="none"/>
        </w:rPr>
      </w:pPr>
    </w:p>
    <w:p w14:paraId="1B7ADBC9" w14:textId="77777777" w:rsidR="00DC25AC" w:rsidRPr="00AC09E7" w:rsidRDefault="00DC25AC" w:rsidP="00DC25AC">
      <w:pPr>
        <w:spacing w:after="0" w:line="240" w:lineRule="auto"/>
        <w:rPr>
          <w:rFonts w:ascii="Arial" w:hAnsi="Arial" w:cs="Arial"/>
          <w:kern w:val="0"/>
          <w:sz w:val="24"/>
          <w:szCs w:val="24"/>
          <w14:ligatures w14:val="none"/>
        </w:rPr>
      </w:pPr>
    </w:p>
    <w:p w14:paraId="534E78F2" w14:textId="77777777" w:rsidR="00DC25AC" w:rsidRPr="00AC09E7" w:rsidRDefault="00DC25AC" w:rsidP="00DC25AC">
      <w:pPr>
        <w:pStyle w:val="Heading4"/>
        <w:rPr>
          <w:rFonts w:eastAsia="Calibri" w:cs="Arial"/>
          <w:b w:val="0"/>
          <w:color w:val="4472C4" w:themeColor="accent1"/>
          <w:sz w:val="24"/>
          <w:szCs w:val="24"/>
          <w:u w:color="000000"/>
        </w:rPr>
      </w:pPr>
      <w:r w:rsidRPr="00AC09E7">
        <w:rPr>
          <w:u w:color="000000"/>
        </w:rPr>
        <w:t xml:space="preserve">Information Governance </w:t>
      </w:r>
    </w:p>
    <w:p w14:paraId="0482CE55"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The </w:t>
      </w:r>
      <w:r>
        <w:rPr>
          <w:rFonts w:ascii="Arial" w:hAnsi="Arial" w:cs="Arial"/>
          <w:kern w:val="0"/>
          <w:sz w:val="24"/>
          <w:szCs w:val="24"/>
          <w14:ligatures w14:val="none"/>
        </w:rPr>
        <w:t>Agency</w:t>
      </w:r>
      <w:r w:rsidRPr="00AC09E7">
        <w:rPr>
          <w:rFonts w:ascii="Arial" w:hAnsi="Arial" w:cs="Arial"/>
          <w:kern w:val="0"/>
          <w:sz w:val="24"/>
          <w:szCs w:val="24"/>
          <w14:ligatures w14:val="none"/>
        </w:rPr>
        <w:t>’s Chief Information Officer is Ranuka Jagpal, who oversees information risk and is supported in the role by the security team. A network of information asset owners exists in a manner consistent with published guidance, ‘</w:t>
      </w:r>
      <w:r w:rsidRPr="00AC09E7">
        <w:rPr>
          <w:rFonts w:ascii="Arial" w:hAnsi="Arial" w:cs="Arial"/>
          <w:i/>
          <w:iCs/>
          <w:kern w:val="0"/>
          <w:sz w:val="24"/>
          <w:szCs w:val="24"/>
          <w14:ligatures w14:val="none"/>
        </w:rPr>
        <w:t>The Role of Information Asset Owners in Government'.</w:t>
      </w:r>
      <w:r w:rsidRPr="00AC09E7">
        <w:rPr>
          <w:rFonts w:ascii="Arial" w:hAnsi="Arial" w:cs="Arial"/>
          <w:kern w:val="0"/>
          <w:sz w:val="24"/>
          <w:szCs w:val="24"/>
          <w14:ligatures w14:val="none"/>
        </w:rPr>
        <w:t xml:space="preserve"> </w:t>
      </w:r>
    </w:p>
    <w:p w14:paraId="2932545E" w14:textId="77777777" w:rsidR="00DC25AC" w:rsidRPr="00AC09E7" w:rsidRDefault="00DC25AC" w:rsidP="00DC25AC">
      <w:pPr>
        <w:spacing w:after="0" w:line="240" w:lineRule="auto"/>
        <w:rPr>
          <w:rFonts w:ascii="Arial" w:hAnsi="Arial" w:cs="Arial"/>
          <w:kern w:val="0"/>
          <w:sz w:val="24"/>
          <w:szCs w:val="24"/>
          <w14:ligatures w14:val="none"/>
        </w:rPr>
      </w:pPr>
    </w:p>
    <w:p w14:paraId="0ADB6A8D"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Compliance with statutory timescales for the provision of information were adequate over the reporting year (Apr</w:t>
      </w:r>
      <w:r>
        <w:rPr>
          <w:rFonts w:ascii="Arial" w:hAnsi="Arial" w:cs="Arial"/>
          <w:kern w:val="0"/>
          <w:sz w:val="24"/>
          <w:szCs w:val="24"/>
          <w14:ligatures w14:val="none"/>
        </w:rPr>
        <w:t>il</w:t>
      </w:r>
      <w:r w:rsidRPr="00AC09E7">
        <w:rPr>
          <w:rFonts w:ascii="Arial" w:hAnsi="Arial" w:cs="Arial"/>
          <w:kern w:val="0"/>
          <w:sz w:val="24"/>
          <w:szCs w:val="24"/>
          <w14:ligatures w14:val="none"/>
        </w:rPr>
        <w:t xml:space="preserve"> 23 – Mar</w:t>
      </w:r>
      <w:r>
        <w:rPr>
          <w:rFonts w:ascii="Arial" w:hAnsi="Arial" w:cs="Arial"/>
          <w:kern w:val="0"/>
          <w:sz w:val="24"/>
          <w:szCs w:val="24"/>
          <w14:ligatures w14:val="none"/>
        </w:rPr>
        <w:t>ch</w:t>
      </w:r>
      <w:r w:rsidRPr="00AC09E7">
        <w:rPr>
          <w:rFonts w:ascii="Arial" w:hAnsi="Arial" w:cs="Arial"/>
          <w:kern w:val="0"/>
          <w:sz w:val="24"/>
          <w:szCs w:val="24"/>
          <w14:ligatures w14:val="none"/>
        </w:rPr>
        <w:t xml:space="preserve"> 24), with 98% of Freedom of Information and 100% of Subject Access Request responses within statutory timescales. The </w:t>
      </w:r>
      <w:r>
        <w:rPr>
          <w:rFonts w:ascii="Arial" w:hAnsi="Arial" w:cs="Arial"/>
          <w:kern w:val="0"/>
          <w:sz w:val="24"/>
          <w:szCs w:val="24"/>
          <w14:ligatures w14:val="none"/>
        </w:rPr>
        <w:t>Agency</w:t>
      </w:r>
      <w:r w:rsidRPr="00AC09E7">
        <w:rPr>
          <w:rFonts w:ascii="Arial" w:hAnsi="Arial" w:cs="Arial"/>
          <w:kern w:val="0"/>
          <w:sz w:val="24"/>
          <w:szCs w:val="24"/>
          <w14:ligatures w14:val="none"/>
        </w:rPr>
        <w:t xml:space="preserve"> replied to four Freedom of Information requests between 1 and 24 days outside the statutory timescales. These delays were caused by administrative errors and internal delays in obtaining the information requested.</w:t>
      </w:r>
    </w:p>
    <w:p w14:paraId="1E9352E1" w14:textId="77777777" w:rsidR="00DC25AC" w:rsidRPr="00AC09E7" w:rsidRDefault="00DC25AC" w:rsidP="00DC25AC">
      <w:pPr>
        <w:spacing w:after="0" w:line="240" w:lineRule="auto"/>
        <w:rPr>
          <w:rFonts w:ascii="Arial" w:hAnsi="Arial" w:cs="Arial"/>
          <w:kern w:val="0"/>
          <w:sz w:val="24"/>
          <w:szCs w:val="24"/>
          <w14:ligatures w14:val="none"/>
        </w:rPr>
      </w:pPr>
    </w:p>
    <w:p w14:paraId="14DF494C"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During the reporting year we made four reports to the Information Commissioner’s Office, two of which were dismissed with no further action. The remaining two are under investigation for improper disclosure of information and we await the outcome.</w:t>
      </w:r>
    </w:p>
    <w:p w14:paraId="550BADFE" w14:textId="77777777" w:rsidR="00DC25AC" w:rsidRDefault="00DC25AC" w:rsidP="00DC25AC">
      <w:pPr>
        <w:rPr>
          <w:rFonts w:ascii="Arial" w:eastAsiaTheme="majorEastAsia" w:hAnsi="Arial" w:cstheme="majorBidi"/>
          <w:b/>
          <w:iCs/>
          <w:color w:val="1F3864" w:themeColor="accent1" w:themeShade="80"/>
          <w:kern w:val="0"/>
          <w:sz w:val="28"/>
          <w:u w:color="000000"/>
          <w14:ligatures w14:val="none"/>
        </w:rPr>
      </w:pPr>
      <w:r>
        <w:rPr>
          <w:u w:color="000000"/>
        </w:rPr>
        <w:br w:type="page"/>
      </w:r>
    </w:p>
    <w:p w14:paraId="3C1ECAC1" w14:textId="77777777" w:rsidR="00DC25AC" w:rsidRPr="00AC09E7" w:rsidRDefault="00DC25AC" w:rsidP="00DC25AC">
      <w:pPr>
        <w:pStyle w:val="Heading4"/>
        <w:rPr>
          <w:rFonts w:eastAsia="Calibri" w:cs="Arial"/>
          <w:b w:val="0"/>
          <w:color w:val="FF0000"/>
          <w:sz w:val="24"/>
          <w:szCs w:val="24"/>
          <w:u w:color="000000"/>
        </w:rPr>
      </w:pPr>
      <w:r w:rsidRPr="00AC09E7">
        <w:rPr>
          <w:u w:color="000000"/>
        </w:rPr>
        <w:lastRenderedPageBreak/>
        <w:t>Government Functional Standards</w:t>
      </w:r>
      <w:r w:rsidRPr="00AC09E7">
        <w:rPr>
          <w:rFonts w:eastAsia="Calibri" w:cs="Arial"/>
          <w:color w:val="FF0000"/>
          <w:sz w:val="24"/>
          <w:szCs w:val="24"/>
          <w:u w:color="000000"/>
        </w:rPr>
        <w:t xml:space="preserve"> </w:t>
      </w:r>
    </w:p>
    <w:p w14:paraId="04553405" w14:textId="77777777" w:rsidR="00DC25AC" w:rsidRPr="00AC09E7"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Heads of Function and Functional Leads have been appointed across the </w:t>
      </w:r>
      <w:r>
        <w:rPr>
          <w:rFonts w:ascii="Arial" w:hAnsi="Arial" w:cs="Arial"/>
          <w:kern w:val="0"/>
          <w:sz w:val="24"/>
          <w:szCs w:val="24"/>
          <w14:ligatures w14:val="none"/>
        </w:rPr>
        <w:t>Agency</w:t>
      </w:r>
      <w:r w:rsidRPr="00AC09E7">
        <w:rPr>
          <w:rFonts w:ascii="Arial" w:hAnsi="Arial" w:cs="Arial"/>
          <w:kern w:val="0"/>
          <w:sz w:val="24"/>
          <w:szCs w:val="24"/>
          <w14:ligatures w14:val="none"/>
        </w:rPr>
        <w:t>.</w:t>
      </w:r>
    </w:p>
    <w:p w14:paraId="53B9587D" w14:textId="77777777" w:rsidR="00DC25AC" w:rsidRPr="00AC09E7" w:rsidRDefault="00DC25AC" w:rsidP="00DC25AC">
      <w:pPr>
        <w:spacing w:after="0" w:line="240" w:lineRule="auto"/>
        <w:rPr>
          <w:rFonts w:ascii="Arial" w:hAnsi="Arial" w:cs="Arial"/>
          <w:kern w:val="0"/>
          <w:sz w:val="24"/>
          <w:szCs w:val="24"/>
          <w14:ligatures w14:val="none"/>
        </w:rPr>
      </w:pPr>
    </w:p>
    <w:p w14:paraId="0884A7DA" w14:textId="77777777" w:rsidR="00DC25AC" w:rsidRDefault="00DC25AC" w:rsidP="00DC25AC">
      <w:pPr>
        <w:spacing w:after="0" w:line="240" w:lineRule="auto"/>
        <w:rPr>
          <w:rFonts w:ascii="Arial" w:hAnsi="Arial" w:cs="Arial"/>
          <w:kern w:val="0"/>
          <w:sz w:val="24"/>
          <w:szCs w:val="24"/>
          <w14:ligatures w14:val="none"/>
        </w:rPr>
      </w:pPr>
      <w:r w:rsidRPr="00AC09E7">
        <w:rPr>
          <w:rFonts w:ascii="Arial" w:hAnsi="Arial" w:cs="Arial"/>
          <w:kern w:val="0"/>
          <w:sz w:val="24"/>
          <w:szCs w:val="24"/>
          <w14:ligatures w14:val="none"/>
        </w:rPr>
        <w:t xml:space="preserve">Heads of Function that have subject specific Standards undertake a process of self-assessment and are peer reviewed each year by partner organisations, together with additional oversight and assurance activities undertaken by Corporate Governance team to monitor and ensure compliance with the Standard. </w:t>
      </w:r>
    </w:p>
    <w:p w14:paraId="64281402" w14:textId="77777777" w:rsidR="00DC25AC" w:rsidRDefault="00DC25AC" w:rsidP="00DC25AC">
      <w:pPr>
        <w:spacing w:after="0" w:line="240" w:lineRule="auto"/>
        <w:rPr>
          <w:rFonts w:ascii="Arial" w:hAnsi="Arial" w:cs="Arial"/>
          <w:kern w:val="0"/>
          <w:sz w:val="24"/>
          <w:szCs w:val="24"/>
          <w14:ligatures w14:val="none"/>
        </w:rPr>
      </w:pPr>
    </w:p>
    <w:tbl>
      <w:tblPr>
        <w:tblStyle w:val="TableGrid"/>
        <w:tblW w:w="9072" w:type="dxa"/>
        <w:tblInd w:w="-5" w:type="dxa"/>
        <w:tblLook w:val="04A0" w:firstRow="1" w:lastRow="0" w:firstColumn="1" w:lastColumn="0" w:noHBand="0" w:noVBand="1"/>
      </w:tblPr>
      <w:tblGrid>
        <w:gridCol w:w="1879"/>
        <w:gridCol w:w="7193"/>
      </w:tblGrid>
      <w:tr w:rsidR="00DC25AC" w:rsidRPr="00E42F40" w14:paraId="626B0804" w14:textId="77777777">
        <w:trPr>
          <w:cantSplit/>
          <w:tblHeader/>
        </w:trPr>
        <w:tc>
          <w:tcPr>
            <w:tcW w:w="1879" w:type="dxa"/>
            <w:shd w:val="clear" w:color="auto" w:fill="D9E2F3" w:themeFill="accent1" w:themeFillTint="33"/>
          </w:tcPr>
          <w:p w14:paraId="70948B4E" w14:textId="77777777" w:rsidR="00DC25AC" w:rsidRPr="00E42F40" w:rsidRDefault="00DC25AC">
            <w:pPr>
              <w:rPr>
                <w:rFonts w:ascii="Arial" w:hAnsi="Arial" w:cs="Arial"/>
                <w:b/>
                <w:bCs/>
              </w:rPr>
            </w:pPr>
            <w:r w:rsidRPr="00E42F40">
              <w:rPr>
                <w:rFonts w:ascii="Arial" w:hAnsi="Arial" w:cs="Arial"/>
                <w:b/>
                <w:bCs/>
              </w:rPr>
              <w:t>STANDARD</w:t>
            </w:r>
          </w:p>
        </w:tc>
        <w:tc>
          <w:tcPr>
            <w:tcW w:w="7193" w:type="dxa"/>
            <w:shd w:val="clear" w:color="auto" w:fill="D9E2F3" w:themeFill="accent1" w:themeFillTint="33"/>
          </w:tcPr>
          <w:p w14:paraId="0DB135D6" w14:textId="77777777" w:rsidR="00DC25AC" w:rsidRPr="00E42F40" w:rsidRDefault="00DC25AC">
            <w:pPr>
              <w:rPr>
                <w:rFonts w:ascii="Arial" w:hAnsi="Arial" w:cs="Arial"/>
                <w:b/>
                <w:bCs/>
              </w:rPr>
            </w:pPr>
            <w:r w:rsidRPr="00E42F40">
              <w:rPr>
                <w:rFonts w:ascii="Arial" w:hAnsi="Arial" w:cs="Arial"/>
                <w:b/>
                <w:bCs/>
              </w:rPr>
              <w:t>NARRATIVE</w:t>
            </w:r>
          </w:p>
        </w:tc>
      </w:tr>
      <w:tr w:rsidR="00DC25AC" w:rsidRPr="00E42F40" w14:paraId="4B491B46" w14:textId="77777777">
        <w:trPr>
          <w:cantSplit/>
        </w:trPr>
        <w:tc>
          <w:tcPr>
            <w:tcW w:w="1879" w:type="dxa"/>
          </w:tcPr>
          <w:p w14:paraId="3F1F60EA" w14:textId="77777777" w:rsidR="00DC25AC" w:rsidRPr="00E42F40" w:rsidRDefault="00DC25AC">
            <w:pPr>
              <w:rPr>
                <w:rFonts w:ascii="Arial" w:hAnsi="Arial" w:cs="Arial"/>
                <w:b/>
                <w:bCs/>
              </w:rPr>
            </w:pPr>
            <w:r w:rsidRPr="00E42F40">
              <w:rPr>
                <w:rFonts w:ascii="Arial" w:hAnsi="Arial" w:cs="Arial"/>
                <w:b/>
                <w:bCs/>
              </w:rPr>
              <w:t xml:space="preserve">GovS 001: </w:t>
            </w:r>
            <w:r>
              <w:rPr>
                <w:rFonts w:ascii="Arial" w:hAnsi="Arial" w:cs="Arial"/>
                <w:b/>
                <w:bCs/>
              </w:rPr>
              <w:t>G</w:t>
            </w:r>
            <w:r w:rsidRPr="00E42F40">
              <w:rPr>
                <w:rFonts w:ascii="Arial" w:hAnsi="Arial" w:cs="Arial"/>
                <w:b/>
                <w:bCs/>
              </w:rPr>
              <w:t xml:space="preserve">overnment </w:t>
            </w:r>
            <w:r>
              <w:rPr>
                <w:rFonts w:ascii="Arial" w:hAnsi="Arial" w:cs="Arial"/>
                <w:b/>
                <w:bCs/>
              </w:rPr>
              <w:t>F</w:t>
            </w:r>
            <w:r w:rsidRPr="00E42F40">
              <w:rPr>
                <w:rFonts w:ascii="Arial" w:hAnsi="Arial" w:cs="Arial"/>
                <w:b/>
                <w:bCs/>
              </w:rPr>
              <w:t>unctions</w:t>
            </w:r>
          </w:p>
        </w:tc>
        <w:tc>
          <w:tcPr>
            <w:tcW w:w="7193" w:type="dxa"/>
          </w:tcPr>
          <w:p w14:paraId="31D5B438" w14:textId="77777777" w:rsidR="00DC25AC" w:rsidRPr="00E42F40" w:rsidRDefault="00DC25AC">
            <w:pPr>
              <w:rPr>
                <w:rFonts w:ascii="Arial" w:hAnsi="Arial" w:cs="Arial"/>
              </w:rPr>
            </w:pPr>
            <w:r w:rsidRPr="00E42F40">
              <w:rPr>
                <w:rFonts w:ascii="Arial" w:hAnsi="Arial" w:cs="Arial"/>
              </w:rPr>
              <w:t xml:space="preserve">Heads of Function and Functional Leads have been appointed across the </w:t>
            </w:r>
            <w:r>
              <w:rPr>
                <w:rFonts w:ascii="Arial" w:hAnsi="Arial" w:cs="Arial"/>
              </w:rPr>
              <w:t>Agency</w:t>
            </w:r>
            <w:r w:rsidRPr="00E42F40">
              <w:rPr>
                <w:rFonts w:ascii="Arial" w:hAnsi="Arial" w:cs="Arial"/>
              </w:rPr>
              <w:t xml:space="preserve"> and a business planning template that reflects the requirements of the Government Functional Standard (GovS001) has been introduced. The business planning process is owned by the </w:t>
            </w:r>
            <w:r>
              <w:rPr>
                <w:rFonts w:ascii="Arial" w:hAnsi="Arial" w:cs="Arial"/>
              </w:rPr>
              <w:t>Agency</w:t>
            </w:r>
            <w:r w:rsidRPr="00E42F40">
              <w:rPr>
                <w:rFonts w:ascii="Arial" w:hAnsi="Arial" w:cs="Arial"/>
              </w:rPr>
              <w:t xml:space="preserve"> Strategy Team and is subject to oversight by the Corporate Governance team. </w:t>
            </w:r>
          </w:p>
          <w:p w14:paraId="6E6F9F8F" w14:textId="77777777" w:rsidR="00DC25AC" w:rsidRPr="00E42F40" w:rsidRDefault="00DC25AC">
            <w:pPr>
              <w:rPr>
                <w:rFonts w:ascii="Arial" w:hAnsi="Arial" w:cs="Arial"/>
              </w:rPr>
            </w:pPr>
            <w:r w:rsidRPr="00E42F40">
              <w:rPr>
                <w:rFonts w:ascii="Arial" w:hAnsi="Arial" w:cs="Arial"/>
              </w:rPr>
              <w:t>Heads of Function that have subject specific Standards have undertaken a process of self-assessment and are peer reviewed each year by partner organisations, together with additional oversight and assurance activities undertaken by Corporate Governance team to monitor and ensure compliance with the Standard.</w:t>
            </w:r>
          </w:p>
        </w:tc>
      </w:tr>
      <w:tr w:rsidR="00DC25AC" w:rsidRPr="00E42F40" w14:paraId="7F61980B" w14:textId="77777777">
        <w:trPr>
          <w:cantSplit/>
        </w:trPr>
        <w:tc>
          <w:tcPr>
            <w:tcW w:w="1879" w:type="dxa"/>
          </w:tcPr>
          <w:p w14:paraId="4EA81CAD" w14:textId="77777777" w:rsidR="00DC25AC" w:rsidRPr="00E42F40" w:rsidRDefault="00DC25AC">
            <w:pPr>
              <w:rPr>
                <w:rFonts w:ascii="Arial" w:hAnsi="Arial" w:cs="Arial"/>
                <w:b/>
                <w:bCs/>
              </w:rPr>
            </w:pPr>
            <w:r w:rsidRPr="00E42F40">
              <w:rPr>
                <w:rFonts w:ascii="Arial" w:hAnsi="Arial" w:cs="Arial"/>
                <w:b/>
                <w:bCs/>
              </w:rPr>
              <w:t>GovS 002: Project Delivery</w:t>
            </w:r>
          </w:p>
        </w:tc>
        <w:tc>
          <w:tcPr>
            <w:tcW w:w="7193" w:type="dxa"/>
          </w:tcPr>
          <w:p w14:paraId="2261074B" w14:textId="77777777" w:rsidR="00DC25AC" w:rsidRPr="00E42F40" w:rsidRDefault="00DC25AC">
            <w:pPr>
              <w:rPr>
                <w:rFonts w:ascii="Arial" w:hAnsi="Arial" w:cs="Arial"/>
              </w:rPr>
            </w:pPr>
            <w:r w:rsidRPr="00E42F40">
              <w:rPr>
                <w:rFonts w:ascii="Arial" w:hAnsi="Arial" w:cs="Arial"/>
              </w:rPr>
              <w:t>Having completed an assessment against the Continuous Improvement Assessment Framework Tool, improvement activities are underway to address gaps and build on the initial assessment.  Assessment against three of the seven themes shows a rating of Better or Good, with the remaining four areas determined as In Development. Several improvements have already been made which will be reflected in the next assessment which we expect to undertake Autumn 2024 particularly around portfolio management, benefits realisations, organisational design, and innovation.</w:t>
            </w:r>
          </w:p>
        </w:tc>
      </w:tr>
      <w:tr w:rsidR="00DC25AC" w:rsidRPr="00E42F40" w14:paraId="7FE69ADB" w14:textId="77777777">
        <w:trPr>
          <w:cantSplit/>
        </w:trPr>
        <w:tc>
          <w:tcPr>
            <w:tcW w:w="1879" w:type="dxa"/>
          </w:tcPr>
          <w:p w14:paraId="5E12C8FE" w14:textId="77777777" w:rsidR="00DC25AC" w:rsidRPr="00E42F40" w:rsidRDefault="00DC25AC">
            <w:pPr>
              <w:rPr>
                <w:rFonts w:ascii="Arial" w:hAnsi="Arial" w:cs="Arial"/>
                <w:b/>
                <w:bCs/>
              </w:rPr>
            </w:pPr>
            <w:r w:rsidRPr="00E42F40">
              <w:rPr>
                <w:rFonts w:ascii="Arial" w:hAnsi="Arial" w:cs="Arial"/>
                <w:b/>
                <w:bCs/>
              </w:rPr>
              <w:t>GovS 003: Human Resources</w:t>
            </w:r>
          </w:p>
        </w:tc>
        <w:tc>
          <w:tcPr>
            <w:tcW w:w="7193" w:type="dxa"/>
          </w:tcPr>
          <w:p w14:paraId="11B5A0CD" w14:textId="77777777" w:rsidR="00DC25AC" w:rsidRPr="00E42F40" w:rsidRDefault="00DC25AC">
            <w:pPr>
              <w:rPr>
                <w:rFonts w:ascii="Arial" w:hAnsi="Arial" w:cs="Arial"/>
              </w:rPr>
            </w:pPr>
            <w:r w:rsidRPr="00E42F40">
              <w:rPr>
                <w:rFonts w:ascii="Arial" w:hAnsi="Arial" w:cs="Arial"/>
              </w:rPr>
              <w:t>The Agency was assessed in 2022 and received a 'Good' and 'Better'</w:t>
            </w:r>
            <w:r>
              <w:rPr>
                <w:rFonts w:ascii="Arial" w:hAnsi="Arial" w:cs="Arial"/>
              </w:rPr>
              <w:t xml:space="preserve"> </w:t>
            </w:r>
            <w:r w:rsidRPr="00E42F40">
              <w:rPr>
                <w:rFonts w:ascii="Arial" w:hAnsi="Arial" w:cs="Arial"/>
              </w:rPr>
              <w:t xml:space="preserve">with a few areas of development. We built upon this assessment during </w:t>
            </w:r>
            <w:r>
              <w:rPr>
                <w:rFonts w:ascii="Arial" w:hAnsi="Arial" w:cs="Arial"/>
              </w:rPr>
              <w:t>20</w:t>
            </w:r>
            <w:r w:rsidRPr="00E42F40">
              <w:rPr>
                <w:rFonts w:ascii="Arial" w:hAnsi="Arial" w:cs="Arial"/>
              </w:rPr>
              <w:t>23</w:t>
            </w:r>
            <w:r>
              <w:rPr>
                <w:rFonts w:ascii="Arial" w:hAnsi="Arial" w:cs="Arial"/>
              </w:rPr>
              <w:t>-</w:t>
            </w:r>
            <w:r w:rsidRPr="00E42F40">
              <w:rPr>
                <w:rFonts w:ascii="Arial" w:hAnsi="Arial" w:cs="Arial"/>
              </w:rPr>
              <w:t>24 by undertaking quarterly reviews of performance against the standards and working with other government departments to share best practice to ensure a consistent approach. As part of our improvement plan, we will continue to develop our workforce planning capability through the Organisation Development Board and directorate workforce planning to improve our current rating from partially compliant to fully compliant.</w:t>
            </w:r>
          </w:p>
        </w:tc>
      </w:tr>
      <w:tr w:rsidR="00DC25AC" w:rsidRPr="00E42F40" w14:paraId="40A20791" w14:textId="77777777">
        <w:trPr>
          <w:cantSplit/>
        </w:trPr>
        <w:tc>
          <w:tcPr>
            <w:tcW w:w="1879" w:type="dxa"/>
          </w:tcPr>
          <w:p w14:paraId="4CCFC136" w14:textId="77777777" w:rsidR="00DC25AC" w:rsidRPr="00E42F40" w:rsidRDefault="00DC25AC">
            <w:pPr>
              <w:rPr>
                <w:rFonts w:ascii="Arial" w:hAnsi="Arial" w:cs="Arial"/>
                <w:b/>
                <w:bCs/>
              </w:rPr>
            </w:pPr>
            <w:r w:rsidRPr="00E42F40">
              <w:rPr>
                <w:rFonts w:ascii="Arial" w:hAnsi="Arial" w:cs="Arial"/>
                <w:b/>
                <w:bCs/>
              </w:rPr>
              <w:t>GovS 004: Property</w:t>
            </w:r>
          </w:p>
        </w:tc>
        <w:tc>
          <w:tcPr>
            <w:tcW w:w="7193" w:type="dxa"/>
          </w:tcPr>
          <w:p w14:paraId="593425FC" w14:textId="77777777" w:rsidR="00DC25AC" w:rsidRPr="00E42F40" w:rsidRDefault="00DC25AC">
            <w:pPr>
              <w:rPr>
                <w:rFonts w:ascii="Arial" w:hAnsi="Arial" w:cs="Arial"/>
              </w:rPr>
            </w:pPr>
            <w:r w:rsidRPr="00E42F40">
              <w:rPr>
                <w:rFonts w:ascii="Arial" w:hAnsi="Arial" w:cs="Arial"/>
              </w:rPr>
              <w:t>The Agency was one of the few ex-BEIS Partner Organisations to participate in the pilot run of the Functional Standard assessment in 2021-22. We have continued to engage closely with the Strategy team at the Office of Government Property (OGP). In 2023-24 we implemented considerable improvements in governance by appointing an experienced subject matter expert Senior Leader to lead the Property Function, and by making structural changes to align with the Government Property Function (GPF) Intelligen</w:t>
            </w:r>
            <w:r>
              <w:rPr>
                <w:rFonts w:ascii="Arial" w:hAnsi="Arial" w:cs="Arial"/>
              </w:rPr>
              <w:t>t</w:t>
            </w:r>
            <w:r w:rsidRPr="00E42F40">
              <w:rPr>
                <w:rFonts w:ascii="Arial" w:hAnsi="Arial" w:cs="Arial"/>
              </w:rPr>
              <w:t xml:space="preserve"> Client Function (ICF) guidance. These included the creation of the Strategy and Assurance team which should facilitate further the implementation of the Standard and improve the Agency's performance against it. By the end of 2024-25, we shall establish a framework and process for continuous improvement including periodic reviews and metrics associated with strategic alignment, operational performance, and user satisfaction. </w:t>
            </w:r>
          </w:p>
        </w:tc>
      </w:tr>
      <w:tr w:rsidR="00DC25AC" w:rsidRPr="00E42F40" w14:paraId="080D5916" w14:textId="77777777">
        <w:trPr>
          <w:cantSplit/>
        </w:trPr>
        <w:tc>
          <w:tcPr>
            <w:tcW w:w="1879" w:type="dxa"/>
          </w:tcPr>
          <w:p w14:paraId="23092968" w14:textId="77777777" w:rsidR="00DC25AC" w:rsidRPr="00E42F40" w:rsidRDefault="00DC25AC">
            <w:pPr>
              <w:rPr>
                <w:rFonts w:ascii="Arial" w:hAnsi="Arial" w:cs="Arial"/>
                <w:b/>
                <w:bCs/>
              </w:rPr>
            </w:pPr>
            <w:r w:rsidRPr="00E42F40">
              <w:rPr>
                <w:rFonts w:ascii="Arial" w:hAnsi="Arial" w:cs="Arial"/>
                <w:b/>
                <w:bCs/>
              </w:rPr>
              <w:lastRenderedPageBreak/>
              <w:t>GovS 005: Digital</w:t>
            </w:r>
          </w:p>
        </w:tc>
        <w:tc>
          <w:tcPr>
            <w:tcW w:w="7193" w:type="dxa"/>
          </w:tcPr>
          <w:p w14:paraId="31864B8E" w14:textId="77777777" w:rsidR="00DC25AC" w:rsidRPr="00E42F40" w:rsidRDefault="00DC25AC">
            <w:pPr>
              <w:rPr>
                <w:rFonts w:ascii="Arial" w:hAnsi="Arial" w:cs="Arial"/>
                <w:color w:val="FF0000"/>
              </w:rPr>
            </w:pPr>
            <w:r w:rsidRPr="00E42F40">
              <w:rPr>
                <w:rFonts w:ascii="Arial" w:hAnsi="Arial" w:cs="Arial"/>
              </w:rPr>
              <w:t xml:space="preserve">The Agency carried out an assessment against the Functional Standard guidance issued by CDDO in March </w:t>
            </w:r>
            <w:r>
              <w:rPr>
                <w:rFonts w:ascii="Arial" w:hAnsi="Arial" w:cs="Arial"/>
              </w:rPr>
              <w:t>20</w:t>
            </w:r>
            <w:r w:rsidRPr="00E42F40">
              <w:rPr>
                <w:rFonts w:ascii="Arial" w:hAnsi="Arial" w:cs="Arial"/>
              </w:rPr>
              <w:t xml:space="preserve">22. This assessment showed that of the 16 ‘Shall’ requirements we assessed ourselves as ‘Better’ or ‘Good’ in 10. The remaining 6 ‘Shall’ requirements, although not formally assessed since then, have, in the main been progressed through organisational design, project delivery and changes in governance. These include compliance and alignment with the Project Delivery and Security Functional Standards, </w:t>
            </w:r>
            <w:r>
              <w:rPr>
                <w:rFonts w:ascii="Arial" w:hAnsi="Arial" w:cs="Arial"/>
              </w:rPr>
              <w:t>a</w:t>
            </w:r>
            <w:r w:rsidRPr="00E42F40">
              <w:rPr>
                <w:rFonts w:ascii="Arial" w:hAnsi="Arial" w:cs="Arial"/>
              </w:rPr>
              <w:t>ccessibility needs being met and Security and Fraud Prevention training. Work is underway to define Service ownership to meet end user needs and alignment with the Counter Fraud Functional Standard. The DDAT Functional Standard was published in March 2023, and we plan to undertake a refreshed assessment against this standard in Autumn 2024.</w:t>
            </w:r>
          </w:p>
        </w:tc>
      </w:tr>
      <w:tr w:rsidR="00DC25AC" w:rsidRPr="00E42F40" w14:paraId="446591DC" w14:textId="77777777">
        <w:trPr>
          <w:cantSplit/>
        </w:trPr>
        <w:tc>
          <w:tcPr>
            <w:tcW w:w="1879" w:type="dxa"/>
          </w:tcPr>
          <w:p w14:paraId="031F53F3" w14:textId="77777777" w:rsidR="00DC25AC" w:rsidRPr="00E42F40" w:rsidRDefault="00DC25AC">
            <w:pPr>
              <w:rPr>
                <w:rFonts w:ascii="Arial" w:hAnsi="Arial" w:cs="Arial"/>
                <w:b/>
                <w:bCs/>
              </w:rPr>
            </w:pPr>
            <w:r w:rsidRPr="00E42F40">
              <w:rPr>
                <w:rFonts w:ascii="Arial" w:hAnsi="Arial" w:cs="Arial"/>
                <w:b/>
                <w:bCs/>
              </w:rPr>
              <w:t>GovS 006: Finance</w:t>
            </w:r>
          </w:p>
        </w:tc>
        <w:tc>
          <w:tcPr>
            <w:tcW w:w="7193" w:type="dxa"/>
          </w:tcPr>
          <w:p w14:paraId="63E4322B" w14:textId="77777777" w:rsidR="00DC25AC" w:rsidRPr="00E42F40" w:rsidRDefault="00DC25AC">
            <w:pPr>
              <w:rPr>
                <w:rFonts w:ascii="Arial" w:hAnsi="Arial" w:cs="Arial"/>
              </w:rPr>
            </w:pPr>
            <w:r w:rsidRPr="00E42F40">
              <w:rPr>
                <w:rFonts w:ascii="Arial" w:hAnsi="Arial" w:cs="Arial"/>
              </w:rPr>
              <w:t>The Agency undertook an initial assessment of the Functional Standard in 2021-22, subsequent to that initial assessment the Agency has developed an improvement plan and made changes to the operations of Finance to improve compliance with the Global Design Principles. We shall assure our assessment of current compliance, and that of improvements made</w:t>
            </w:r>
            <w:r>
              <w:rPr>
                <w:rFonts w:ascii="Arial" w:hAnsi="Arial" w:cs="Arial"/>
              </w:rPr>
              <w:t>,</w:t>
            </w:r>
            <w:r w:rsidRPr="00E42F40">
              <w:rPr>
                <w:rFonts w:ascii="Arial" w:hAnsi="Arial" w:cs="Arial"/>
              </w:rPr>
              <w:t xml:space="preserve"> via peer review to take place in 2024-25. Residual gaps in our compliance are largely driven by system limitations, which shall be addressed at the earliest opportunity. </w:t>
            </w:r>
            <w:r w:rsidRPr="00E42F40">
              <w:rPr>
                <w:rStyle w:val="ui-provider"/>
                <w:rFonts w:ascii="Arial" w:hAnsi="Arial" w:cs="Arial"/>
              </w:rPr>
              <w:t>Our compliance is regularly reported to ARAC for monitoring</w:t>
            </w:r>
          </w:p>
        </w:tc>
      </w:tr>
      <w:tr w:rsidR="00DC25AC" w:rsidRPr="00E42F40" w14:paraId="689A702F" w14:textId="77777777">
        <w:trPr>
          <w:cantSplit/>
        </w:trPr>
        <w:tc>
          <w:tcPr>
            <w:tcW w:w="1879" w:type="dxa"/>
          </w:tcPr>
          <w:p w14:paraId="07998788" w14:textId="77777777" w:rsidR="00DC25AC" w:rsidRPr="00E42F40" w:rsidRDefault="00DC25AC">
            <w:pPr>
              <w:rPr>
                <w:rFonts w:ascii="Arial" w:hAnsi="Arial" w:cs="Arial"/>
                <w:b/>
                <w:bCs/>
              </w:rPr>
            </w:pPr>
            <w:r w:rsidRPr="00E42F40">
              <w:rPr>
                <w:rFonts w:ascii="Arial" w:hAnsi="Arial" w:cs="Arial"/>
                <w:b/>
                <w:bCs/>
              </w:rPr>
              <w:t>GovS 007: Security</w:t>
            </w:r>
          </w:p>
        </w:tc>
        <w:tc>
          <w:tcPr>
            <w:tcW w:w="7193" w:type="dxa"/>
          </w:tcPr>
          <w:p w14:paraId="27F12162" w14:textId="77777777" w:rsidR="00DC25AC" w:rsidRPr="00E42F40" w:rsidRDefault="00DC25AC">
            <w:pPr>
              <w:rPr>
                <w:rFonts w:ascii="Arial" w:hAnsi="Arial" w:cs="Arial"/>
              </w:rPr>
            </w:pPr>
            <w:r w:rsidRPr="00E42F40">
              <w:rPr>
                <w:rFonts w:ascii="Arial" w:hAnsi="Arial" w:cs="Arial"/>
              </w:rPr>
              <w:t xml:space="preserve">The Agency undertook an assessment of the Functional Standard in 2023, creating a gap analysis/development plan which highlights areas for improvement. The activities associated </w:t>
            </w:r>
            <w:r>
              <w:rPr>
                <w:rFonts w:ascii="Arial" w:hAnsi="Arial" w:cs="Arial"/>
              </w:rPr>
              <w:t>with</w:t>
            </w:r>
            <w:r w:rsidRPr="00E42F40">
              <w:rPr>
                <w:rFonts w:ascii="Arial" w:hAnsi="Arial" w:cs="Arial"/>
              </w:rPr>
              <w:t xml:space="preserve"> this development plan include further Policy and Guidance documents, improved Operational Requirement and Protective Security inspections for both new and existing sites, increased collaboration with other Government Departments, improved governance in relation to InfoSec and Protective Security, improved Business Continuity strategies, and a robust comms plan to assist in the improvement of awareness of on-going security risks and issues and the mitigations in place relating to these. </w:t>
            </w:r>
          </w:p>
        </w:tc>
      </w:tr>
      <w:tr w:rsidR="00DC25AC" w:rsidRPr="00E42F40" w14:paraId="61D41795" w14:textId="77777777">
        <w:trPr>
          <w:cantSplit/>
        </w:trPr>
        <w:tc>
          <w:tcPr>
            <w:tcW w:w="1879" w:type="dxa"/>
          </w:tcPr>
          <w:p w14:paraId="07CEB523" w14:textId="77777777" w:rsidR="00DC25AC" w:rsidRPr="00E42F40" w:rsidRDefault="00DC25AC">
            <w:pPr>
              <w:rPr>
                <w:rFonts w:ascii="Arial" w:hAnsi="Arial" w:cs="Arial"/>
                <w:b/>
                <w:bCs/>
              </w:rPr>
            </w:pPr>
            <w:r w:rsidRPr="00E42F40">
              <w:rPr>
                <w:rFonts w:ascii="Arial" w:hAnsi="Arial" w:cs="Arial"/>
                <w:b/>
                <w:bCs/>
              </w:rPr>
              <w:t>GovS 008: Commercial and Commercial Continuous Improvement Framework</w:t>
            </w:r>
          </w:p>
        </w:tc>
        <w:tc>
          <w:tcPr>
            <w:tcW w:w="7193" w:type="dxa"/>
          </w:tcPr>
          <w:p w14:paraId="2007AF12" w14:textId="77777777" w:rsidR="00DC25AC" w:rsidRPr="00E42F40" w:rsidRDefault="00DC25AC">
            <w:pPr>
              <w:rPr>
                <w:rFonts w:ascii="Arial" w:hAnsi="Arial" w:cs="Arial"/>
              </w:rPr>
            </w:pPr>
            <w:r w:rsidRPr="00E42F40">
              <w:rPr>
                <w:rFonts w:ascii="Arial" w:hAnsi="Arial" w:cs="Arial"/>
              </w:rPr>
              <w:t xml:space="preserve">The Commercial Continuous Improvement Assessment Framework (CCIAF) is designed to help drive continuous improvement in commercial practices across the public sector and deliver against the Functional Standard. It is mandated for Government Departments and Bodies with an annual spend of over £100m to complete. While not mandated to complete, </w:t>
            </w:r>
            <w:r>
              <w:rPr>
                <w:rFonts w:ascii="Arial" w:hAnsi="Arial" w:cs="Arial"/>
              </w:rPr>
              <w:t xml:space="preserve">the </w:t>
            </w:r>
            <w:r w:rsidRPr="00E42F40">
              <w:rPr>
                <w:rFonts w:ascii="Arial" w:hAnsi="Arial" w:cs="Arial"/>
              </w:rPr>
              <w:t>Insolvency Service</w:t>
            </w:r>
            <w:r>
              <w:rPr>
                <w:rFonts w:ascii="Arial" w:hAnsi="Arial" w:cs="Arial"/>
              </w:rPr>
              <w:t>’</w:t>
            </w:r>
            <w:r w:rsidRPr="00E42F40">
              <w:rPr>
                <w:rFonts w:ascii="Arial" w:hAnsi="Arial" w:cs="Arial"/>
              </w:rPr>
              <w:t xml:space="preserve">s Commercial Function </w:t>
            </w:r>
            <w:r>
              <w:rPr>
                <w:rFonts w:ascii="Arial" w:hAnsi="Arial" w:cs="Arial"/>
              </w:rPr>
              <w:t>was</w:t>
            </w:r>
            <w:r w:rsidRPr="00E42F40">
              <w:rPr>
                <w:rFonts w:ascii="Arial" w:hAnsi="Arial" w:cs="Arial"/>
              </w:rPr>
              <w:t xml:space="preserve"> an early adopter of the CCIAF and ha</w:t>
            </w:r>
            <w:r>
              <w:rPr>
                <w:rFonts w:ascii="Arial" w:hAnsi="Arial" w:cs="Arial"/>
              </w:rPr>
              <w:t>s</w:t>
            </w:r>
            <w:r w:rsidRPr="00E42F40">
              <w:rPr>
                <w:rFonts w:ascii="Arial" w:hAnsi="Arial" w:cs="Arial"/>
              </w:rPr>
              <w:t xml:space="preserve"> consistently improved against it. The CCIAF assessment provides detail on areas where adherence to the standards can be further improved with a </w:t>
            </w:r>
            <w:r>
              <w:rPr>
                <w:rFonts w:ascii="Arial" w:hAnsi="Arial" w:cs="Arial"/>
              </w:rPr>
              <w:t xml:space="preserve">focus </w:t>
            </w:r>
            <w:r w:rsidRPr="00E42F40">
              <w:rPr>
                <w:rFonts w:ascii="Arial" w:hAnsi="Arial" w:cs="Arial"/>
              </w:rPr>
              <w:t xml:space="preserve">on the delivery </w:t>
            </w:r>
            <w:r>
              <w:rPr>
                <w:rFonts w:ascii="Arial" w:hAnsi="Arial" w:cs="Arial"/>
              </w:rPr>
              <w:t xml:space="preserve">of </w:t>
            </w:r>
            <w:r w:rsidRPr="00E42F40">
              <w:rPr>
                <w:rFonts w:ascii="Arial" w:hAnsi="Arial" w:cs="Arial"/>
              </w:rPr>
              <w:t>Commercial Category Strategies, ensur</w:t>
            </w:r>
            <w:r>
              <w:rPr>
                <w:rFonts w:ascii="Arial" w:hAnsi="Arial" w:cs="Arial"/>
              </w:rPr>
              <w:t>ing</w:t>
            </w:r>
            <w:r w:rsidRPr="00E42F40">
              <w:rPr>
                <w:rFonts w:ascii="Arial" w:hAnsi="Arial" w:cs="Arial"/>
              </w:rPr>
              <w:t xml:space="preserve"> all in</w:t>
            </w:r>
            <w:r>
              <w:rPr>
                <w:rFonts w:ascii="Arial" w:hAnsi="Arial" w:cs="Arial"/>
              </w:rPr>
              <w:t>-</w:t>
            </w:r>
            <w:r w:rsidRPr="00E42F40">
              <w:rPr>
                <w:rFonts w:ascii="Arial" w:hAnsi="Arial" w:cs="Arial"/>
              </w:rPr>
              <w:t xml:space="preserve">scope procurements include evaluation against Social Value and Environmental Sustainability, and </w:t>
            </w:r>
            <w:r>
              <w:rPr>
                <w:rFonts w:ascii="Arial" w:hAnsi="Arial" w:cs="Arial"/>
              </w:rPr>
              <w:t xml:space="preserve">by </w:t>
            </w:r>
            <w:r w:rsidRPr="00E42F40">
              <w:rPr>
                <w:rFonts w:ascii="Arial" w:hAnsi="Arial" w:cs="Arial"/>
              </w:rPr>
              <w:t>diversifying the Agency</w:t>
            </w:r>
            <w:r>
              <w:rPr>
                <w:rFonts w:ascii="Arial" w:hAnsi="Arial" w:cs="Arial"/>
              </w:rPr>
              <w:t>’s</w:t>
            </w:r>
            <w:r w:rsidRPr="00E42F40">
              <w:rPr>
                <w:rFonts w:ascii="Arial" w:hAnsi="Arial" w:cs="Arial"/>
              </w:rPr>
              <w:t xml:space="preserve"> Supply Chain with continued efforts to engage with Small </w:t>
            </w:r>
            <w:r>
              <w:rPr>
                <w:rFonts w:ascii="Arial" w:hAnsi="Arial" w:cs="Arial"/>
              </w:rPr>
              <w:t xml:space="preserve">and </w:t>
            </w:r>
            <w:r w:rsidRPr="00E42F40">
              <w:rPr>
                <w:rFonts w:ascii="Arial" w:hAnsi="Arial" w:cs="Arial"/>
              </w:rPr>
              <w:t>Medium Enterprises (SMEs).</w:t>
            </w:r>
          </w:p>
        </w:tc>
      </w:tr>
      <w:tr w:rsidR="00DC25AC" w:rsidRPr="00E42F40" w14:paraId="09C80B69" w14:textId="77777777">
        <w:trPr>
          <w:cantSplit/>
        </w:trPr>
        <w:tc>
          <w:tcPr>
            <w:tcW w:w="1879" w:type="dxa"/>
          </w:tcPr>
          <w:p w14:paraId="2099AB5D" w14:textId="77777777" w:rsidR="00DC25AC" w:rsidRPr="00E42F40" w:rsidRDefault="00DC25AC">
            <w:pPr>
              <w:rPr>
                <w:rFonts w:ascii="Arial" w:hAnsi="Arial" w:cs="Arial"/>
                <w:b/>
                <w:bCs/>
              </w:rPr>
            </w:pPr>
            <w:r w:rsidRPr="00E42F40">
              <w:rPr>
                <w:rFonts w:ascii="Arial" w:hAnsi="Arial" w:cs="Arial"/>
                <w:b/>
                <w:bCs/>
              </w:rPr>
              <w:t>GovS 009: Internal Audit</w:t>
            </w:r>
          </w:p>
        </w:tc>
        <w:tc>
          <w:tcPr>
            <w:tcW w:w="7193" w:type="dxa"/>
          </w:tcPr>
          <w:p w14:paraId="424FC868" w14:textId="77777777" w:rsidR="00DC25AC" w:rsidRPr="00E42F40" w:rsidRDefault="00DC25AC">
            <w:pPr>
              <w:rPr>
                <w:rFonts w:ascii="Arial" w:hAnsi="Arial" w:cs="Arial"/>
              </w:rPr>
            </w:pPr>
            <w:r w:rsidRPr="00E42F40">
              <w:rPr>
                <w:rFonts w:ascii="Arial" w:hAnsi="Arial" w:cs="Arial"/>
              </w:rPr>
              <w:t>The Agency met all requirements for GovS009 as assessed in 2022, which is primarily reliant on the service providers</w:t>
            </w:r>
            <w:r>
              <w:rPr>
                <w:rFonts w:ascii="Arial" w:hAnsi="Arial" w:cs="Arial"/>
              </w:rPr>
              <w:t>’</w:t>
            </w:r>
            <w:r w:rsidRPr="00E42F40">
              <w:rPr>
                <w:rFonts w:ascii="Arial" w:hAnsi="Arial" w:cs="Arial"/>
              </w:rPr>
              <w:t xml:space="preserve"> Government Internal Audit Agency (GIAA) delivery of the audits. For 2023</w:t>
            </w:r>
            <w:r>
              <w:rPr>
                <w:rFonts w:ascii="Arial" w:hAnsi="Arial" w:cs="Arial"/>
              </w:rPr>
              <w:t>-</w:t>
            </w:r>
            <w:r w:rsidRPr="00E42F40">
              <w:rPr>
                <w:rFonts w:ascii="Arial" w:hAnsi="Arial" w:cs="Arial"/>
              </w:rPr>
              <w:t>24 we continued to work closely with GIAA and enhanced our monitoring to maintain oversight of the delivery of the annual audit plan, ensuring that the process is embedded and continually improved for future years.</w:t>
            </w:r>
          </w:p>
        </w:tc>
      </w:tr>
      <w:tr w:rsidR="00DC25AC" w:rsidRPr="00E42F40" w14:paraId="2BFFD8A8" w14:textId="77777777">
        <w:trPr>
          <w:cantSplit/>
        </w:trPr>
        <w:tc>
          <w:tcPr>
            <w:tcW w:w="1879" w:type="dxa"/>
          </w:tcPr>
          <w:p w14:paraId="5A6A7583" w14:textId="77777777" w:rsidR="00DC25AC" w:rsidRPr="00E42F40" w:rsidRDefault="00DC25AC">
            <w:pPr>
              <w:rPr>
                <w:rFonts w:ascii="Arial" w:hAnsi="Arial" w:cs="Arial"/>
                <w:b/>
                <w:bCs/>
              </w:rPr>
            </w:pPr>
            <w:r w:rsidRPr="00E42F40">
              <w:rPr>
                <w:rFonts w:ascii="Arial" w:hAnsi="Arial" w:cs="Arial"/>
                <w:b/>
                <w:bCs/>
              </w:rPr>
              <w:lastRenderedPageBreak/>
              <w:t>GovS 010: Analysis</w:t>
            </w:r>
          </w:p>
        </w:tc>
        <w:tc>
          <w:tcPr>
            <w:tcW w:w="7193" w:type="dxa"/>
          </w:tcPr>
          <w:p w14:paraId="412B0F89" w14:textId="77777777" w:rsidR="00DC25AC" w:rsidRPr="00E42F40" w:rsidRDefault="00DC25AC">
            <w:pPr>
              <w:rPr>
                <w:rFonts w:ascii="Arial" w:hAnsi="Arial" w:cs="Arial"/>
              </w:rPr>
            </w:pPr>
            <w:r w:rsidRPr="00E42F40">
              <w:rPr>
                <w:rFonts w:ascii="Arial" w:hAnsi="Arial" w:cs="Arial"/>
              </w:rPr>
              <w:t>The Agency completed an internal assessment against the Functional Standard in 2023</w:t>
            </w:r>
            <w:r>
              <w:rPr>
                <w:rFonts w:ascii="Arial" w:hAnsi="Arial" w:cs="Arial"/>
              </w:rPr>
              <w:t>-</w:t>
            </w:r>
            <w:r w:rsidRPr="00E42F40">
              <w:rPr>
                <w:rFonts w:ascii="Arial" w:hAnsi="Arial" w:cs="Arial"/>
              </w:rPr>
              <w:t>24. The Agency was found to meet requirements in governance and stakeholder management but areas for improvement were identified in the impact of analysis, skills and adherence to guidance, improvement plans are being implemented for all these areas. A follow up assessment to measure progress will be conducted in Q4 2024</w:t>
            </w:r>
            <w:r>
              <w:rPr>
                <w:rFonts w:ascii="Arial" w:hAnsi="Arial" w:cs="Arial"/>
              </w:rPr>
              <w:t>-</w:t>
            </w:r>
            <w:r w:rsidRPr="00E42F40">
              <w:rPr>
                <w:rFonts w:ascii="Arial" w:hAnsi="Arial" w:cs="Arial"/>
              </w:rPr>
              <w:t>25.</w:t>
            </w:r>
          </w:p>
        </w:tc>
      </w:tr>
      <w:tr w:rsidR="00DC25AC" w:rsidRPr="00E42F40" w14:paraId="622913FB" w14:textId="77777777">
        <w:trPr>
          <w:cantSplit/>
        </w:trPr>
        <w:tc>
          <w:tcPr>
            <w:tcW w:w="1879" w:type="dxa"/>
          </w:tcPr>
          <w:p w14:paraId="11276F5D" w14:textId="77777777" w:rsidR="00DC25AC" w:rsidRPr="00E42F40" w:rsidRDefault="00DC25AC">
            <w:pPr>
              <w:rPr>
                <w:rFonts w:ascii="Arial" w:hAnsi="Arial" w:cs="Arial"/>
                <w:b/>
                <w:bCs/>
              </w:rPr>
            </w:pPr>
            <w:r w:rsidRPr="00E42F40">
              <w:rPr>
                <w:rFonts w:ascii="Arial" w:hAnsi="Arial" w:cs="Arial"/>
                <w:b/>
                <w:bCs/>
              </w:rPr>
              <w:t>GovS 011: Communication</w:t>
            </w:r>
          </w:p>
        </w:tc>
        <w:tc>
          <w:tcPr>
            <w:tcW w:w="7193" w:type="dxa"/>
          </w:tcPr>
          <w:p w14:paraId="30E7FD75" w14:textId="77777777" w:rsidR="00DC25AC" w:rsidRDefault="00DC25AC">
            <w:pPr>
              <w:rPr>
                <w:rFonts w:ascii="Arial" w:hAnsi="Arial" w:cs="Arial"/>
              </w:rPr>
            </w:pPr>
            <w:r w:rsidRPr="00E42F40">
              <w:rPr>
                <w:rFonts w:ascii="Arial" w:hAnsi="Arial" w:cs="Arial"/>
              </w:rPr>
              <w:t>Following the Agency’s 2023 Government Internal Audit Agency (GIAA) review of the Agency's</w:t>
            </w:r>
            <w:r w:rsidRPr="00E42F40">
              <w:rPr>
                <w:rFonts w:ascii="Arial" w:hAnsi="Arial" w:cs="Arial"/>
                <w:b/>
                <w:bCs/>
              </w:rPr>
              <w:t xml:space="preserve"> </w:t>
            </w:r>
            <w:r w:rsidRPr="00E42F40">
              <w:rPr>
                <w:rFonts w:ascii="Arial" w:hAnsi="Arial" w:cs="Arial"/>
              </w:rPr>
              <w:t xml:space="preserve">internal communications and engagement, all recommendations have been implemented. Our internal communications, media and stakeholder engagement teams have been restructured to focus on areas of the business which support those in financial distress and delivering economic confidence, spotlighting our deterrent activities, change initiatives, and success stories. In 2024-2025, our focus will be on improving our external communications, and building and maintaining awareness of our enforcement work and its outcomes. Our plans reflect the strategic priorities in the Government Communication Plan and standards, and include clear metrics to support the delivery of cross-government and </w:t>
            </w:r>
            <w:r>
              <w:rPr>
                <w:rFonts w:ascii="Arial" w:hAnsi="Arial" w:cs="Arial"/>
              </w:rPr>
              <w:t>Agency</w:t>
            </w:r>
            <w:r w:rsidRPr="00E42F40">
              <w:rPr>
                <w:rFonts w:ascii="Arial" w:hAnsi="Arial" w:cs="Arial"/>
              </w:rPr>
              <w:t xml:space="preserve"> objectives. </w:t>
            </w:r>
          </w:p>
          <w:p w14:paraId="4EF32D99" w14:textId="77777777" w:rsidR="00DC25AC" w:rsidRPr="00E42F40" w:rsidRDefault="00DC25AC">
            <w:pPr>
              <w:rPr>
                <w:rFonts w:ascii="Arial" w:hAnsi="Arial" w:cs="Arial"/>
              </w:rPr>
            </w:pPr>
            <w:r w:rsidRPr="00BA6F9E">
              <w:rPr>
                <w:rFonts w:ascii="Arial" w:hAnsi="Arial" w:cs="Arial"/>
              </w:rPr>
              <w:t>During 2023</w:t>
            </w:r>
            <w:r>
              <w:rPr>
                <w:rFonts w:ascii="Arial" w:hAnsi="Arial" w:cs="Arial"/>
              </w:rPr>
              <w:t>-</w:t>
            </w:r>
            <w:r w:rsidRPr="00BA6F9E">
              <w:rPr>
                <w:rFonts w:ascii="Arial" w:hAnsi="Arial" w:cs="Arial"/>
              </w:rPr>
              <w:t>24 the Agency ha</w:t>
            </w:r>
            <w:r>
              <w:rPr>
                <w:rFonts w:ascii="Arial" w:hAnsi="Arial" w:cs="Arial"/>
              </w:rPr>
              <w:t>s</w:t>
            </w:r>
            <w:r w:rsidRPr="00BA6F9E">
              <w:rPr>
                <w:rFonts w:ascii="Arial" w:hAnsi="Arial" w:cs="Arial"/>
              </w:rPr>
              <w:t xml:space="preserve"> continued to adhere to the GovS011 principles, which included aligning our strategic communication objectives to government policy and organisational objectives, championing a unified response to crises, promoting a culture of diversity and inclusion, committing to continuous improvement, and ensuring accountability for actions and decision making. Our plans reflect the strategic priorities in the Government Communication Plan and include clear metrics to support the delivery of cross-government and </w:t>
            </w:r>
            <w:r>
              <w:rPr>
                <w:rFonts w:ascii="Arial" w:hAnsi="Arial" w:cs="Arial"/>
              </w:rPr>
              <w:t>Agency</w:t>
            </w:r>
            <w:r w:rsidRPr="00BA6F9E">
              <w:rPr>
                <w:rFonts w:ascii="Arial" w:hAnsi="Arial" w:cs="Arial"/>
              </w:rPr>
              <w:t xml:space="preserve"> objectives. We are also working with the Government Communications Service on its new functional standard peer review and assessment process</w:t>
            </w:r>
            <w:r>
              <w:rPr>
                <w:rFonts w:ascii="Arial" w:hAnsi="Arial" w:cs="Arial"/>
              </w:rPr>
              <w:t>.</w:t>
            </w:r>
          </w:p>
        </w:tc>
      </w:tr>
      <w:tr w:rsidR="00DC25AC" w:rsidRPr="00E42F40" w14:paraId="07D73C0E" w14:textId="77777777">
        <w:trPr>
          <w:cantSplit/>
        </w:trPr>
        <w:tc>
          <w:tcPr>
            <w:tcW w:w="1879" w:type="dxa"/>
            <w:shd w:val="clear" w:color="auto" w:fill="D9D9D9" w:themeFill="background1" w:themeFillShade="D9"/>
          </w:tcPr>
          <w:p w14:paraId="5CF0765F" w14:textId="77777777" w:rsidR="00DC25AC" w:rsidRPr="00E42F40" w:rsidRDefault="00DC25AC">
            <w:pPr>
              <w:rPr>
                <w:rFonts w:ascii="Arial" w:hAnsi="Arial" w:cs="Arial"/>
                <w:b/>
                <w:bCs/>
              </w:rPr>
            </w:pPr>
            <w:r w:rsidRPr="00E42F40">
              <w:rPr>
                <w:rFonts w:ascii="Arial" w:hAnsi="Arial" w:cs="Arial"/>
                <w:b/>
                <w:bCs/>
              </w:rPr>
              <w:t>GovS 012:</w:t>
            </w:r>
          </w:p>
        </w:tc>
        <w:tc>
          <w:tcPr>
            <w:tcW w:w="7193" w:type="dxa"/>
            <w:shd w:val="clear" w:color="auto" w:fill="D9D9D9" w:themeFill="background1" w:themeFillShade="D9"/>
          </w:tcPr>
          <w:p w14:paraId="0FFA13D3" w14:textId="77777777" w:rsidR="00DC25AC" w:rsidRPr="00E42F40" w:rsidRDefault="00DC25AC">
            <w:pPr>
              <w:rPr>
                <w:rFonts w:ascii="Arial" w:hAnsi="Arial" w:cs="Arial"/>
                <w:color w:val="FF0000"/>
              </w:rPr>
            </w:pPr>
            <w:r w:rsidRPr="00E42F40">
              <w:rPr>
                <w:rFonts w:ascii="Arial" w:hAnsi="Arial" w:cs="Arial"/>
              </w:rPr>
              <w:t>This standard number has not been allocated to a function/deliberately blank</w:t>
            </w:r>
          </w:p>
        </w:tc>
      </w:tr>
      <w:tr w:rsidR="00DC25AC" w:rsidRPr="00E42F40" w14:paraId="44D65927" w14:textId="77777777">
        <w:trPr>
          <w:cantSplit/>
        </w:trPr>
        <w:tc>
          <w:tcPr>
            <w:tcW w:w="1879" w:type="dxa"/>
          </w:tcPr>
          <w:p w14:paraId="6727939D" w14:textId="77777777" w:rsidR="00DC25AC" w:rsidRPr="00E42F40" w:rsidRDefault="00DC25AC">
            <w:pPr>
              <w:rPr>
                <w:rFonts w:ascii="Arial" w:hAnsi="Arial" w:cs="Arial"/>
                <w:b/>
                <w:bCs/>
              </w:rPr>
            </w:pPr>
            <w:r w:rsidRPr="00E42F40">
              <w:rPr>
                <w:rFonts w:ascii="Arial" w:hAnsi="Arial" w:cs="Arial"/>
                <w:b/>
                <w:bCs/>
              </w:rPr>
              <w:t>GovS 013: Counter Fraud</w:t>
            </w:r>
          </w:p>
        </w:tc>
        <w:tc>
          <w:tcPr>
            <w:tcW w:w="7193" w:type="dxa"/>
          </w:tcPr>
          <w:p w14:paraId="7456E684" w14:textId="77777777" w:rsidR="00DC25AC" w:rsidRPr="00E42F40" w:rsidRDefault="00DC25AC">
            <w:pPr>
              <w:rPr>
                <w:rFonts w:ascii="Arial" w:hAnsi="Arial" w:cs="Arial"/>
                <w:color w:val="FF0000"/>
              </w:rPr>
            </w:pPr>
            <w:r w:rsidRPr="00E42F40">
              <w:rPr>
                <w:rFonts w:ascii="Arial" w:hAnsi="Arial" w:cs="Arial"/>
              </w:rPr>
              <w:t>The Agency was an early adopter of the GovS013 Standard and part of the pilot. For the 2022</w:t>
            </w:r>
            <w:r>
              <w:rPr>
                <w:rFonts w:ascii="Arial" w:hAnsi="Arial" w:cs="Arial"/>
              </w:rPr>
              <w:t>-</w:t>
            </w:r>
            <w:r w:rsidRPr="00E42F40">
              <w:rPr>
                <w:rFonts w:ascii="Arial" w:hAnsi="Arial" w:cs="Arial"/>
              </w:rPr>
              <w:t xml:space="preserve">23 assessment areas identified as partially met were addressed through Government Internal Audit Agency (GIAA) audit recommendations and the </w:t>
            </w:r>
            <w:r>
              <w:rPr>
                <w:rFonts w:ascii="Arial" w:hAnsi="Arial" w:cs="Arial"/>
              </w:rPr>
              <w:t>20</w:t>
            </w:r>
            <w:r w:rsidRPr="00E42F40">
              <w:rPr>
                <w:rFonts w:ascii="Arial" w:hAnsi="Arial" w:cs="Arial"/>
              </w:rPr>
              <w:t>23</w:t>
            </w:r>
            <w:r>
              <w:rPr>
                <w:rFonts w:ascii="Arial" w:hAnsi="Arial" w:cs="Arial"/>
              </w:rPr>
              <w:t>-</w:t>
            </w:r>
            <w:r w:rsidRPr="00E42F40">
              <w:rPr>
                <w:rFonts w:ascii="Arial" w:hAnsi="Arial" w:cs="Arial"/>
              </w:rPr>
              <w:t xml:space="preserve">24 Functional Standards action plan, which included the development of proactive detection activities. For </w:t>
            </w:r>
            <w:r>
              <w:rPr>
                <w:rFonts w:ascii="Arial" w:hAnsi="Arial" w:cs="Arial"/>
              </w:rPr>
              <w:t>20</w:t>
            </w:r>
            <w:r w:rsidRPr="00E42F40">
              <w:rPr>
                <w:rFonts w:ascii="Arial" w:hAnsi="Arial" w:cs="Arial"/>
              </w:rPr>
              <w:t>24</w:t>
            </w:r>
            <w:r>
              <w:rPr>
                <w:rFonts w:ascii="Arial" w:hAnsi="Arial" w:cs="Arial"/>
              </w:rPr>
              <w:t>-</w:t>
            </w:r>
            <w:r w:rsidRPr="00E42F40">
              <w:rPr>
                <w:rFonts w:ascii="Arial" w:hAnsi="Arial" w:cs="Arial"/>
              </w:rPr>
              <w:t>25 the Agency will continue to maintain and improve compliance, specifically refining metrics, as timetabled within our action plan shared with the Public Sector Fraud Authority and Counter Fraud Expert Services. We will also recruit additional expertise to support the delivery of the Agency's Counter Fraud Strategy and continue being an integral part of the wider counter fraud DBT network, sharing best practice.</w:t>
            </w:r>
          </w:p>
        </w:tc>
      </w:tr>
      <w:tr w:rsidR="00DC25AC" w:rsidRPr="00E42F40" w14:paraId="76D71C88" w14:textId="77777777">
        <w:trPr>
          <w:cantSplit/>
        </w:trPr>
        <w:tc>
          <w:tcPr>
            <w:tcW w:w="1879" w:type="dxa"/>
          </w:tcPr>
          <w:p w14:paraId="6E27091A" w14:textId="77777777" w:rsidR="00DC25AC" w:rsidRPr="00E42F40" w:rsidRDefault="00DC25AC">
            <w:pPr>
              <w:rPr>
                <w:rFonts w:ascii="Arial" w:hAnsi="Arial" w:cs="Arial"/>
                <w:b/>
                <w:bCs/>
              </w:rPr>
            </w:pPr>
            <w:r w:rsidRPr="00E42F40">
              <w:rPr>
                <w:rFonts w:ascii="Arial" w:hAnsi="Arial" w:cs="Arial"/>
                <w:b/>
                <w:bCs/>
              </w:rPr>
              <w:t>GovS 014: Debt</w:t>
            </w:r>
          </w:p>
        </w:tc>
        <w:tc>
          <w:tcPr>
            <w:tcW w:w="7193" w:type="dxa"/>
          </w:tcPr>
          <w:p w14:paraId="6A9525C6" w14:textId="77777777" w:rsidR="00DC25AC" w:rsidRPr="00E42F40" w:rsidRDefault="00DC25AC">
            <w:pPr>
              <w:rPr>
                <w:rFonts w:ascii="Arial" w:hAnsi="Arial" w:cs="Arial"/>
              </w:rPr>
            </w:pPr>
            <w:r w:rsidRPr="00E42F40">
              <w:rPr>
                <w:rFonts w:ascii="Arial" w:hAnsi="Arial" w:cs="Arial"/>
              </w:rPr>
              <w:t xml:space="preserve">The Agency </w:t>
            </w:r>
            <w:r>
              <w:rPr>
                <w:rFonts w:ascii="Arial" w:hAnsi="Arial" w:cs="Arial"/>
              </w:rPr>
              <w:t xml:space="preserve">undertook </w:t>
            </w:r>
            <w:r w:rsidRPr="00E42F40">
              <w:rPr>
                <w:rFonts w:ascii="Arial" w:hAnsi="Arial" w:cs="Arial"/>
              </w:rPr>
              <w:t>an initial assessment of the Functional Standard in 2021-22. Work has been undertaken subsequently to this to improve our rates of compliance. We shall perform a peer review within 2024-25 to assure the progress made to improve compliance. Our compliance would be improved by greater system automation which shall feed into our requirements for future system changes.</w:t>
            </w:r>
          </w:p>
        </w:tc>
      </w:tr>
      <w:tr w:rsidR="00DC25AC" w:rsidRPr="00E42F40" w14:paraId="37CC9B62" w14:textId="77777777">
        <w:trPr>
          <w:cantSplit/>
          <w:trHeight w:val="578"/>
        </w:trPr>
        <w:tc>
          <w:tcPr>
            <w:tcW w:w="1879" w:type="dxa"/>
          </w:tcPr>
          <w:p w14:paraId="356E740F" w14:textId="77777777" w:rsidR="00DC25AC" w:rsidRPr="00E42F40" w:rsidRDefault="00DC25AC">
            <w:pPr>
              <w:rPr>
                <w:rFonts w:ascii="Arial" w:hAnsi="Arial" w:cs="Arial"/>
                <w:b/>
                <w:bCs/>
              </w:rPr>
            </w:pPr>
            <w:r w:rsidRPr="00E42F40">
              <w:rPr>
                <w:rFonts w:ascii="Arial" w:hAnsi="Arial" w:cs="Arial"/>
                <w:b/>
                <w:bCs/>
              </w:rPr>
              <w:t>GovS 015: Grants</w:t>
            </w:r>
          </w:p>
        </w:tc>
        <w:tc>
          <w:tcPr>
            <w:tcW w:w="7193" w:type="dxa"/>
          </w:tcPr>
          <w:p w14:paraId="69673797" w14:textId="77777777" w:rsidR="00DC25AC" w:rsidRPr="00E42F40" w:rsidRDefault="00DC25AC">
            <w:pPr>
              <w:rPr>
                <w:rFonts w:ascii="Arial" w:hAnsi="Arial" w:cs="Arial"/>
              </w:rPr>
            </w:pPr>
            <w:r w:rsidRPr="00E42F40">
              <w:rPr>
                <w:rFonts w:ascii="Arial" w:hAnsi="Arial" w:cs="Arial"/>
              </w:rPr>
              <w:t>The Agency does not issue grants and as such is not subject to GOVS 015 Grants. Therefore, no assessment, peer review, or improvement plan is required for this Standard.</w:t>
            </w:r>
          </w:p>
        </w:tc>
      </w:tr>
    </w:tbl>
    <w:p w14:paraId="36E22DA0" w14:textId="77777777" w:rsidR="00DC25AC" w:rsidRPr="00AC09E7" w:rsidRDefault="00DC25AC" w:rsidP="00DC25AC">
      <w:pPr>
        <w:pStyle w:val="Heading4"/>
        <w:rPr>
          <w:rFonts w:eastAsia="Calibri" w:cs="Arial"/>
          <w:b w:val="0"/>
          <w:color w:val="FF0000"/>
          <w:sz w:val="24"/>
          <w:szCs w:val="24"/>
          <w:u w:color="000000"/>
        </w:rPr>
      </w:pPr>
      <w:r w:rsidRPr="00AC09E7">
        <w:rPr>
          <w:u w:color="000000"/>
        </w:rPr>
        <w:lastRenderedPageBreak/>
        <w:t xml:space="preserve">Accounting Officer Annual Review of Governance Effectiveness </w:t>
      </w:r>
    </w:p>
    <w:p w14:paraId="1DFD18E3" w14:textId="77777777" w:rsidR="00DC25AC" w:rsidRPr="00AC09E7" w:rsidRDefault="00DC25AC" w:rsidP="00DC25AC">
      <w:pPr>
        <w:spacing w:after="0" w:line="240" w:lineRule="auto"/>
        <w:rPr>
          <w:rFonts w:ascii="Arial" w:eastAsia="Calibri" w:hAnsi="Arial" w:cs="Arial"/>
          <w:i/>
          <w:iCs/>
          <w:kern w:val="0"/>
          <w:sz w:val="24"/>
          <w:szCs w:val="24"/>
          <w14:ligatures w14:val="none"/>
        </w:rPr>
      </w:pPr>
      <w:r w:rsidRPr="00AC09E7">
        <w:rPr>
          <w:rFonts w:ascii="Arial" w:hAnsi="Arial" w:cs="Arial"/>
          <w:kern w:val="0"/>
          <w:sz w:val="24"/>
          <w:szCs w:val="24"/>
          <w:shd w:val="clear" w:color="auto" w:fill="FFFFFF"/>
          <w14:ligatures w14:val="none"/>
        </w:rPr>
        <w:t xml:space="preserve">As Accounting Officer, I have responsibility for reviewing the effectiveness of the system of internal control. My review is informed by internal audit activities together with directors’ and senior leaders’ annual statement declarations on governance, risk management and the internal control framework. This is measured against </w:t>
      </w:r>
      <w:r>
        <w:rPr>
          <w:rFonts w:ascii="Arial" w:hAnsi="Arial" w:cs="Arial"/>
          <w:kern w:val="0"/>
          <w:sz w:val="24"/>
          <w:szCs w:val="24"/>
          <w:shd w:val="clear" w:color="auto" w:fill="FFFFFF"/>
          <w14:ligatures w14:val="none"/>
        </w:rPr>
        <w:t>six</w:t>
      </w:r>
      <w:r w:rsidRPr="00AC09E7">
        <w:rPr>
          <w:rFonts w:ascii="Arial" w:hAnsi="Arial" w:cs="Arial"/>
          <w:kern w:val="0"/>
          <w:sz w:val="24"/>
          <w:szCs w:val="24"/>
          <w:shd w:val="clear" w:color="auto" w:fill="FFFFFF"/>
          <w14:ligatures w14:val="none"/>
        </w:rPr>
        <w:t xml:space="preserve"> key indicators (Leadership</w:t>
      </w:r>
      <w:r>
        <w:rPr>
          <w:rFonts w:ascii="Arial" w:hAnsi="Arial" w:cs="Arial"/>
          <w:kern w:val="0"/>
          <w:sz w:val="24"/>
          <w:szCs w:val="24"/>
          <w:shd w:val="clear" w:color="auto" w:fill="FFFFFF"/>
          <w14:ligatures w14:val="none"/>
        </w:rPr>
        <w:t xml:space="preserve">, </w:t>
      </w:r>
      <w:r w:rsidRPr="00AC09E7">
        <w:rPr>
          <w:rFonts w:ascii="Arial" w:hAnsi="Arial" w:cs="Arial"/>
          <w:kern w:val="0"/>
          <w:sz w:val="24"/>
          <w:szCs w:val="24"/>
          <w:shd w:val="clear" w:color="auto" w:fill="FFFFFF"/>
          <w14:ligatures w14:val="none"/>
        </w:rPr>
        <w:t xml:space="preserve">Governance, Culture and Capability, Partnership and Stakeholder Management, Risk Management, and Financial Management) for the areas of the business for which they have responsibility. Reviews are conducted in collaboration with the Corporate Governance Team. The Head of the Corporate Governance Team, Head of Internal Audit and Chair of the ARAC also met with Directors to discuss any key issues arising from the </w:t>
      </w:r>
      <w:r>
        <w:rPr>
          <w:rFonts w:ascii="Arial" w:hAnsi="Arial" w:cs="Arial"/>
          <w:kern w:val="0"/>
          <w:sz w:val="24"/>
          <w:szCs w:val="24"/>
          <w:shd w:val="clear" w:color="auto" w:fill="FFFFFF"/>
          <w14:ligatures w14:val="none"/>
        </w:rPr>
        <w:t>six</w:t>
      </w:r>
      <w:r w:rsidRPr="00AC09E7">
        <w:rPr>
          <w:rFonts w:ascii="Arial" w:hAnsi="Arial" w:cs="Arial"/>
          <w:kern w:val="0"/>
          <w:sz w:val="24"/>
          <w:szCs w:val="24"/>
          <w:shd w:val="clear" w:color="auto" w:fill="FFFFFF"/>
          <w14:ligatures w14:val="none"/>
        </w:rPr>
        <w:t xml:space="preserve"> key indicators.</w:t>
      </w:r>
    </w:p>
    <w:p w14:paraId="11B07411" w14:textId="77777777" w:rsidR="00DC25AC" w:rsidRPr="00AC09E7" w:rsidRDefault="00DC25AC" w:rsidP="00DC25AC">
      <w:pPr>
        <w:spacing w:after="0" w:line="240" w:lineRule="auto"/>
        <w:rPr>
          <w:rFonts w:ascii="Arial" w:eastAsia="Calibri" w:hAnsi="Arial" w:cs="Arial"/>
          <w:b/>
          <w:color w:val="4472C4" w:themeColor="accent1"/>
          <w:kern w:val="0"/>
          <w:sz w:val="28"/>
          <w:szCs w:val="28"/>
          <w:u w:val="single"/>
          <w14:ligatures w14:val="none"/>
        </w:rPr>
      </w:pPr>
    </w:p>
    <w:p w14:paraId="39615B1C" w14:textId="77777777" w:rsidR="00DC25AC" w:rsidRPr="00AC09E7" w:rsidRDefault="00DC25AC" w:rsidP="00DC25AC">
      <w:pPr>
        <w:pStyle w:val="Heading4"/>
        <w:rPr>
          <w:rFonts w:eastAsia="Calibri" w:cs="Arial"/>
          <w:b w:val="0"/>
          <w:color w:val="4472C4" w:themeColor="accent1"/>
          <w:szCs w:val="28"/>
        </w:rPr>
      </w:pPr>
      <w:r w:rsidRPr="00AC09E7">
        <w:t>Internal Audit</w:t>
      </w:r>
    </w:p>
    <w:p w14:paraId="66F11E15" w14:textId="77777777" w:rsidR="00DC25AC" w:rsidRPr="00AC09E7" w:rsidRDefault="00DC25AC" w:rsidP="00DC25AC">
      <w:pPr>
        <w:spacing w:after="0" w:line="240" w:lineRule="auto"/>
        <w:rPr>
          <w:rFonts w:ascii="Arial" w:eastAsia="Calibri" w:hAnsi="Arial" w:cs="Arial"/>
          <w:i/>
          <w:iCs/>
          <w:kern w:val="0"/>
          <w:sz w:val="24"/>
          <w:szCs w:val="24"/>
          <w14:ligatures w14:val="none"/>
        </w:rPr>
      </w:pPr>
      <w:r w:rsidRPr="00AC09E7">
        <w:rPr>
          <w:rFonts w:ascii="Arial" w:hAnsi="Arial" w:cs="Arial"/>
          <w:kern w:val="0"/>
          <w:sz w:val="24"/>
          <w:szCs w:val="24"/>
          <w:shd w:val="clear" w:color="auto" w:fill="FFFFFF"/>
          <w14:ligatures w14:val="none"/>
        </w:rPr>
        <w:t xml:space="preserve">The audit programme is prepared by the Executive team and the GIAA. The programme complies with government internal audit standards. The annual audit plan is informed by the </w:t>
      </w:r>
      <w:r>
        <w:rPr>
          <w:rFonts w:ascii="Arial" w:hAnsi="Arial" w:cs="Arial"/>
          <w:kern w:val="0"/>
          <w:sz w:val="24"/>
          <w:szCs w:val="24"/>
          <w:shd w:val="clear" w:color="auto" w:fill="FFFFFF"/>
          <w14:ligatures w14:val="none"/>
        </w:rPr>
        <w:t>Agency</w:t>
      </w:r>
      <w:r w:rsidRPr="00AC09E7">
        <w:rPr>
          <w:rFonts w:ascii="Arial" w:hAnsi="Arial" w:cs="Arial"/>
          <w:kern w:val="0"/>
          <w:sz w:val="24"/>
          <w:szCs w:val="24"/>
          <w:shd w:val="clear" w:color="auto" w:fill="FFFFFF"/>
          <w14:ligatures w14:val="none"/>
        </w:rPr>
        <w:t>’s key risks and is reassessed throughout the year to ensure assignments due are still in areas deemed at highest risk. The internal audit plan is approved annually by ARAC which receives copies of all reports and reviews progress at each meeting. </w:t>
      </w:r>
    </w:p>
    <w:p w14:paraId="4B1BEE75" w14:textId="77777777" w:rsidR="00DC25AC" w:rsidRPr="00AC09E7" w:rsidRDefault="00DC25AC" w:rsidP="00DC25AC">
      <w:pPr>
        <w:tabs>
          <w:tab w:val="num" w:pos="0"/>
        </w:tabs>
        <w:spacing w:after="0" w:line="240" w:lineRule="auto"/>
        <w:rPr>
          <w:rFonts w:ascii="Arial" w:eastAsia="Calibri" w:hAnsi="Arial" w:cs="Arial"/>
          <w:bCs/>
          <w:i/>
          <w:iCs/>
          <w:color w:val="FF0000"/>
          <w:kern w:val="0"/>
          <w:sz w:val="24"/>
          <w:szCs w:val="24"/>
          <w:u w:color="000000"/>
          <w14:ligatures w14:val="none"/>
        </w:rPr>
      </w:pPr>
    </w:p>
    <w:p w14:paraId="0997EEC0" w14:textId="77777777" w:rsidR="00DC25AC" w:rsidRPr="00AC09E7" w:rsidRDefault="00DC25AC" w:rsidP="00DC25AC">
      <w:pPr>
        <w:pStyle w:val="Heading4"/>
        <w:rPr>
          <w:rFonts w:eastAsia="Calibri" w:cs="Arial"/>
          <w:b w:val="0"/>
          <w:color w:val="4472C4" w:themeColor="accent1"/>
          <w:sz w:val="24"/>
          <w:szCs w:val="24"/>
          <w:u w:color="000000"/>
        </w:rPr>
      </w:pPr>
      <w:r w:rsidRPr="00AC09E7">
        <w:rPr>
          <w:u w:color="000000"/>
        </w:rPr>
        <w:t xml:space="preserve">Internal Audit Annual Assurance Opinion </w:t>
      </w:r>
    </w:p>
    <w:p w14:paraId="24AEF2F9" w14:textId="77777777" w:rsidR="00DC25AC" w:rsidRPr="00AC09E7" w:rsidRDefault="00DC25AC" w:rsidP="00DC25AC">
      <w:pPr>
        <w:spacing w:after="0" w:line="240" w:lineRule="auto"/>
        <w:rPr>
          <w:rFonts w:ascii="Arial" w:hAnsi="Arial" w:cs="Arial"/>
          <w:kern w:val="0"/>
          <w:sz w:val="24"/>
          <w:szCs w:val="24"/>
          <w:shd w:val="clear" w:color="auto" w:fill="FFFFFF"/>
          <w14:ligatures w14:val="none"/>
        </w:rPr>
      </w:pPr>
      <w:r w:rsidRPr="00AC09E7">
        <w:rPr>
          <w:rFonts w:ascii="Arial" w:hAnsi="Arial" w:cs="Arial"/>
          <w:kern w:val="0"/>
          <w:sz w:val="24"/>
          <w:szCs w:val="24"/>
          <w:shd w:val="clear" w:color="auto" w:fill="FFFFFF"/>
          <w14:ligatures w14:val="none"/>
        </w:rPr>
        <w:t>The Head of Internal Audit provides a report annually on the internal audit activity during the year. The report provides an opinion on the adequacy and effectiveness of internal control and for 2023</w:t>
      </w:r>
      <w:r>
        <w:rPr>
          <w:rFonts w:ascii="Arial" w:hAnsi="Arial" w:cs="Arial"/>
          <w:kern w:val="0"/>
          <w:sz w:val="24"/>
          <w:szCs w:val="24"/>
          <w:shd w:val="clear" w:color="auto" w:fill="FFFFFF"/>
          <w14:ligatures w14:val="none"/>
        </w:rPr>
        <w:t>-</w:t>
      </w:r>
      <w:r w:rsidRPr="00AC09E7">
        <w:rPr>
          <w:rFonts w:ascii="Arial" w:hAnsi="Arial" w:cs="Arial"/>
          <w:kern w:val="0"/>
          <w:sz w:val="24"/>
          <w:szCs w:val="24"/>
          <w:shd w:val="clear" w:color="auto" w:fill="FFFFFF"/>
          <w14:ligatures w14:val="none"/>
        </w:rPr>
        <w:t xml:space="preserve">24 the overall audit opinion given is Moderate. </w:t>
      </w:r>
    </w:p>
    <w:p w14:paraId="66AC0F46" w14:textId="77777777" w:rsidR="00DC25AC" w:rsidRPr="00AC09E7" w:rsidRDefault="00DC25AC" w:rsidP="00DC25AC">
      <w:pPr>
        <w:autoSpaceDE w:val="0"/>
        <w:autoSpaceDN w:val="0"/>
        <w:adjustRightInd w:val="0"/>
        <w:spacing w:after="0" w:line="240" w:lineRule="auto"/>
        <w:rPr>
          <w:rFonts w:ascii="Arial" w:eastAsia="Times New Roman" w:hAnsi="Arial" w:cs="Arial"/>
          <w:kern w:val="0"/>
          <w:u w:color="000000"/>
          <w14:ligatures w14:val="none"/>
        </w:rPr>
      </w:pPr>
    </w:p>
    <w:p w14:paraId="71D2E1F1" w14:textId="77777777" w:rsidR="00DC25AC" w:rsidRPr="00AC09E7" w:rsidRDefault="00DC25AC" w:rsidP="00DC25AC">
      <w:pPr>
        <w:autoSpaceDE w:val="0"/>
        <w:autoSpaceDN w:val="0"/>
        <w:adjustRightInd w:val="0"/>
        <w:spacing w:after="0" w:line="240" w:lineRule="auto"/>
        <w:rPr>
          <w:rFonts w:ascii="Arial" w:hAnsi="Arial" w:cs="Arial"/>
          <w:kern w:val="0"/>
          <w:sz w:val="24"/>
          <w:szCs w:val="24"/>
          <w:shd w:val="clear" w:color="auto" w:fill="FFFFFF"/>
          <w14:ligatures w14:val="none"/>
        </w:rPr>
      </w:pPr>
      <w:r w:rsidRPr="00AC09E7">
        <w:rPr>
          <w:rFonts w:ascii="Arial" w:hAnsi="Arial" w:cs="Arial"/>
          <w:kern w:val="0"/>
          <w:sz w:val="24"/>
          <w:szCs w:val="24"/>
          <w:shd w:val="clear" w:color="auto" w:fill="FFFFFF"/>
          <w14:ligatures w14:val="none"/>
        </w:rPr>
        <w:t>This opinion is based on the results of individual audit engagements undertaken throughout the year, attendance of boards and committees, and regular meetings with senior management.</w:t>
      </w:r>
    </w:p>
    <w:p w14:paraId="4232E1DF" w14:textId="77777777" w:rsidR="00DC25AC" w:rsidRPr="00AC09E7" w:rsidRDefault="00DC25AC" w:rsidP="00DC25AC">
      <w:pPr>
        <w:autoSpaceDE w:val="0"/>
        <w:autoSpaceDN w:val="0"/>
        <w:adjustRightInd w:val="0"/>
        <w:spacing w:after="0" w:line="240" w:lineRule="auto"/>
        <w:rPr>
          <w:rFonts w:ascii="Arial" w:hAnsi="Arial" w:cs="Arial"/>
          <w:kern w:val="0"/>
          <w:sz w:val="24"/>
          <w:szCs w:val="24"/>
          <w:shd w:val="clear" w:color="auto" w:fill="FFFFFF"/>
          <w14:ligatures w14:val="none"/>
        </w:rPr>
      </w:pPr>
    </w:p>
    <w:p w14:paraId="4268D6C3" w14:textId="77777777" w:rsidR="00DC25AC" w:rsidRPr="00AC09E7" w:rsidRDefault="00DC25AC" w:rsidP="00DC25AC">
      <w:pPr>
        <w:autoSpaceDE w:val="0"/>
        <w:autoSpaceDN w:val="0"/>
        <w:adjustRightInd w:val="0"/>
        <w:spacing w:after="0" w:line="240" w:lineRule="auto"/>
        <w:rPr>
          <w:rFonts w:ascii="Arial" w:hAnsi="Arial" w:cs="Arial"/>
          <w:kern w:val="0"/>
          <w:sz w:val="24"/>
          <w:szCs w:val="24"/>
          <w:shd w:val="clear" w:color="auto" w:fill="FFFFFF"/>
          <w14:ligatures w14:val="none"/>
        </w:rPr>
      </w:pPr>
      <w:r w:rsidRPr="00AC09E7">
        <w:rPr>
          <w:rFonts w:ascii="Arial" w:hAnsi="Arial" w:cs="Arial"/>
          <w:kern w:val="0"/>
          <w:sz w:val="24"/>
          <w:szCs w:val="24"/>
          <w:shd w:val="clear" w:color="auto" w:fill="FFFFFF"/>
          <w14:ligatures w14:val="none"/>
        </w:rPr>
        <w:t xml:space="preserve">The </w:t>
      </w:r>
      <w:r>
        <w:rPr>
          <w:rFonts w:ascii="Arial" w:hAnsi="Arial" w:cs="Arial"/>
          <w:kern w:val="0"/>
          <w:sz w:val="24"/>
          <w:szCs w:val="24"/>
          <w:shd w:val="clear" w:color="auto" w:fill="FFFFFF"/>
          <w14:ligatures w14:val="none"/>
        </w:rPr>
        <w:t>Agency</w:t>
      </w:r>
      <w:r w:rsidRPr="00AC09E7">
        <w:rPr>
          <w:rFonts w:ascii="Arial" w:hAnsi="Arial" w:cs="Arial"/>
          <w:kern w:val="0"/>
          <w:sz w:val="24"/>
          <w:szCs w:val="24"/>
          <w:shd w:val="clear" w:color="auto" w:fill="FFFFFF"/>
          <w14:ligatures w14:val="none"/>
        </w:rPr>
        <w:t xml:space="preserve"> has made good progress in the third year of its five-year strategy, continuing their activity on transforming operations and the insolvency framework to better support performance and customer delivery. The risk landscape remains challenging given the</w:t>
      </w:r>
      <w:r w:rsidRPr="00AC09E7">
        <w:rPr>
          <w:rFonts w:ascii="Calibri" w:hAnsi="Calibri" w:cs="Calibri"/>
          <w:kern w:val="0"/>
          <w:sz w:val="24"/>
          <w:szCs w:val="24"/>
          <w:shd w:val="clear" w:color="auto" w:fill="FFFFFF"/>
          <w14:ligatures w14:val="none"/>
        </w:rPr>
        <w:t xml:space="preserve"> </w:t>
      </w:r>
      <w:r w:rsidRPr="00AC09E7">
        <w:rPr>
          <w:rFonts w:ascii="Arial" w:hAnsi="Arial" w:cs="Arial"/>
          <w:kern w:val="0"/>
          <w:sz w:val="24"/>
          <w:szCs w:val="24"/>
          <w:shd w:val="clear" w:color="auto" w:fill="FFFFFF"/>
          <w14:ligatures w14:val="none"/>
        </w:rPr>
        <w:t xml:space="preserve">political environment, impacts from the cost-of-living crisis, Agency’s transformation agenda, increasingly competitive recruitment market and a reported data breach incident which resulted in staff dismissal. </w:t>
      </w:r>
    </w:p>
    <w:p w14:paraId="4B03E06A" w14:textId="77777777" w:rsidR="00DC25AC" w:rsidRPr="00AC09E7" w:rsidRDefault="00DC25AC" w:rsidP="00DC25AC">
      <w:pPr>
        <w:autoSpaceDE w:val="0"/>
        <w:autoSpaceDN w:val="0"/>
        <w:adjustRightInd w:val="0"/>
        <w:spacing w:after="0" w:line="240" w:lineRule="auto"/>
        <w:rPr>
          <w:rFonts w:ascii="Arial" w:hAnsi="Arial" w:cs="Arial"/>
          <w:kern w:val="0"/>
          <w:sz w:val="24"/>
          <w:szCs w:val="24"/>
          <w:shd w:val="clear" w:color="auto" w:fill="FFFFFF"/>
          <w14:ligatures w14:val="none"/>
        </w:rPr>
      </w:pPr>
    </w:p>
    <w:p w14:paraId="6EC519B9" w14:textId="77777777" w:rsidR="00DC25AC" w:rsidRPr="00AC09E7" w:rsidRDefault="00DC25AC" w:rsidP="00DC25AC">
      <w:pPr>
        <w:spacing w:after="0" w:line="240" w:lineRule="auto"/>
        <w:rPr>
          <w:rFonts w:ascii="Arial" w:eastAsia="Times New Roman" w:hAnsi="Arial" w:cs="Arial"/>
          <w:kern w:val="0"/>
          <w:sz w:val="24"/>
          <w:szCs w:val="24"/>
          <w:u w:color="000000"/>
          <w14:ligatures w14:val="none"/>
        </w:rPr>
      </w:pPr>
      <w:r w:rsidRPr="00AC09E7">
        <w:rPr>
          <w:rFonts w:ascii="Arial" w:eastAsia="Times New Roman" w:hAnsi="Arial" w:cs="Arial"/>
          <w:kern w:val="0"/>
          <w:sz w:val="24"/>
          <w:szCs w:val="24"/>
          <w:u w:color="000000"/>
          <w14:ligatures w14:val="none"/>
        </w:rPr>
        <w:t xml:space="preserve">The </w:t>
      </w:r>
      <w:r>
        <w:rPr>
          <w:rFonts w:ascii="Arial" w:eastAsia="Times New Roman" w:hAnsi="Arial" w:cs="Arial"/>
          <w:kern w:val="0"/>
          <w:sz w:val="24"/>
          <w:szCs w:val="24"/>
          <w:u w:color="000000"/>
          <w14:ligatures w14:val="none"/>
        </w:rPr>
        <w:t>Agency</w:t>
      </w:r>
      <w:r w:rsidRPr="00AC09E7">
        <w:rPr>
          <w:rFonts w:ascii="Arial" w:eastAsia="Times New Roman" w:hAnsi="Arial" w:cs="Arial"/>
          <w:kern w:val="0"/>
          <w:sz w:val="24"/>
          <w:szCs w:val="24"/>
          <w:u w:color="000000"/>
          <w14:ligatures w14:val="none"/>
        </w:rPr>
        <w:t xml:space="preserve"> continues to maintain a proportionate level of key controls, and no significant weaknesses were identified. Encouragingly, and in contrast to previous years, no ‘Limited’ assurance opinions were issued this year.</w:t>
      </w:r>
    </w:p>
    <w:p w14:paraId="1A78B888" w14:textId="77777777" w:rsidR="00DC25AC" w:rsidRPr="00AC09E7" w:rsidRDefault="00DC25AC" w:rsidP="00DC25AC">
      <w:pPr>
        <w:spacing w:after="0" w:line="240" w:lineRule="auto"/>
        <w:rPr>
          <w:rFonts w:ascii="Arial" w:eastAsia="Times New Roman" w:hAnsi="Arial" w:cs="Arial"/>
          <w:kern w:val="0"/>
          <w:u w:color="000000"/>
          <w14:ligatures w14:val="none"/>
        </w:rPr>
      </w:pPr>
    </w:p>
    <w:p w14:paraId="5D88F526" w14:textId="77777777" w:rsidR="00161D3D" w:rsidRDefault="00161D3D">
      <w:pPr>
        <w:rPr>
          <w:rFonts w:ascii="Arial" w:eastAsia="Times New Roman" w:hAnsi="Arial" w:cs="Arial"/>
          <w:kern w:val="0"/>
          <w:sz w:val="24"/>
          <w:szCs w:val="24"/>
          <w:u w:color="000000"/>
          <w14:ligatures w14:val="none"/>
        </w:rPr>
      </w:pPr>
      <w:r>
        <w:rPr>
          <w:rFonts w:ascii="Arial" w:eastAsia="Times New Roman" w:hAnsi="Arial" w:cs="Arial"/>
          <w:kern w:val="0"/>
          <w:sz w:val="24"/>
          <w:szCs w:val="24"/>
          <w:u w:color="000000"/>
          <w14:ligatures w14:val="none"/>
        </w:rPr>
        <w:br w:type="page"/>
      </w:r>
    </w:p>
    <w:p w14:paraId="244C09A8" w14:textId="1B2E6297" w:rsidR="00DC25AC" w:rsidRPr="00AC09E7" w:rsidRDefault="00DC25AC" w:rsidP="00DC25AC">
      <w:pPr>
        <w:spacing w:after="0" w:line="240" w:lineRule="auto"/>
        <w:rPr>
          <w:rFonts w:ascii="Arial" w:eastAsia="Times New Roman" w:hAnsi="Arial" w:cs="Arial"/>
          <w:kern w:val="0"/>
          <w:sz w:val="24"/>
          <w:szCs w:val="24"/>
          <w:u w:color="000000"/>
          <w14:ligatures w14:val="none"/>
        </w:rPr>
      </w:pPr>
      <w:r w:rsidRPr="00AC09E7">
        <w:rPr>
          <w:rFonts w:ascii="Arial" w:eastAsia="Times New Roman" w:hAnsi="Arial" w:cs="Arial"/>
          <w:kern w:val="0"/>
          <w:sz w:val="24"/>
          <w:szCs w:val="24"/>
          <w:u w:color="000000"/>
          <w14:ligatures w14:val="none"/>
        </w:rPr>
        <w:lastRenderedPageBreak/>
        <w:t xml:space="preserve">Looking forward, areas for continued focus by the </w:t>
      </w:r>
      <w:r>
        <w:rPr>
          <w:rFonts w:ascii="Arial" w:eastAsia="Times New Roman" w:hAnsi="Arial" w:cs="Arial"/>
          <w:kern w:val="0"/>
          <w:sz w:val="24"/>
          <w:szCs w:val="24"/>
          <w:u w:color="000000"/>
          <w14:ligatures w14:val="none"/>
        </w:rPr>
        <w:t>Agency</w:t>
      </w:r>
      <w:r w:rsidRPr="00AC09E7">
        <w:rPr>
          <w:rFonts w:ascii="Arial" w:eastAsia="Times New Roman" w:hAnsi="Arial" w:cs="Arial"/>
          <w:kern w:val="0"/>
          <w:sz w:val="24"/>
          <w:szCs w:val="24"/>
          <w:u w:color="000000"/>
          <w14:ligatures w14:val="none"/>
        </w:rPr>
        <w:t>, which are reflected in the 2024</w:t>
      </w:r>
      <w:r>
        <w:rPr>
          <w:rFonts w:ascii="Arial" w:eastAsia="Times New Roman" w:hAnsi="Arial" w:cs="Arial"/>
          <w:kern w:val="0"/>
          <w:sz w:val="24"/>
          <w:szCs w:val="24"/>
          <w:u w:color="000000"/>
          <w14:ligatures w14:val="none"/>
        </w:rPr>
        <w:t>-</w:t>
      </w:r>
      <w:r w:rsidRPr="00AC09E7">
        <w:rPr>
          <w:rFonts w:ascii="Arial" w:eastAsia="Times New Roman" w:hAnsi="Arial" w:cs="Arial"/>
          <w:kern w:val="0"/>
          <w:sz w:val="24"/>
          <w:szCs w:val="24"/>
          <w:u w:color="000000"/>
          <w14:ligatures w14:val="none"/>
        </w:rPr>
        <w:t>25 Customer Audit Plan, include: ensuring the first line of defence is robust and effective; that governance continues along the current improving trajectory; ensuring IT controls are in compliance with data protection and information security requirements; and supporting ongoing business change as part of the wider transformation programme in line with our strategy.</w:t>
      </w:r>
    </w:p>
    <w:p w14:paraId="141B3A1E" w14:textId="77777777" w:rsidR="00DC25AC" w:rsidRPr="00AC09E7" w:rsidRDefault="00DC25AC" w:rsidP="00DC25AC">
      <w:pPr>
        <w:spacing w:after="0" w:line="240" w:lineRule="auto"/>
        <w:rPr>
          <w:rFonts w:ascii="Arial" w:eastAsia="Times New Roman" w:hAnsi="Arial" w:cs="Arial"/>
          <w:kern w:val="0"/>
          <w:sz w:val="24"/>
          <w:szCs w:val="24"/>
          <w:u w:color="000000"/>
          <w14:ligatures w14:val="none"/>
        </w:rPr>
      </w:pPr>
    </w:p>
    <w:p w14:paraId="73913A55" w14:textId="77777777" w:rsidR="00DC25AC" w:rsidRPr="00AC09E7" w:rsidRDefault="00DC25AC" w:rsidP="00DC25AC">
      <w:pPr>
        <w:spacing w:after="0" w:line="240" w:lineRule="auto"/>
        <w:rPr>
          <w:rFonts w:ascii="Arial" w:eastAsia="Times New Roman" w:hAnsi="Arial" w:cs="Arial"/>
          <w:kern w:val="0"/>
          <w:sz w:val="24"/>
          <w:szCs w:val="24"/>
          <w:u w:color="000000"/>
          <w14:ligatures w14:val="none"/>
        </w:rPr>
      </w:pPr>
      <w:r w:rsidRPr="00AC09E7">
        <w:rPr>
          <w:rFonts w:ascii="Arial" w:eastAsia="Times New Roman" w:hAnsi="Arial" w:cs="Arial"/>
          <w:kern w:val="0"/>
          <w:sz w:val="24"/>
          <w:szCs w:val="24"/>
          <w:u w:color="000000"/>
          <w14:ligatures w14:val="none"/>
        </w:rPr>
        <w:t>In addition, being able to flex and build internal capability and capacity will be crucial to support the operational readiness for the new Case Management System and scaling-up of enforcement and legal resources, as a result of the Companies House reform activity.</w:t>
      </w:r>
    </w:p>
    <w:p w14:paraId="2577B9E1" w14:textId="77777777" w:rsidR="00DC25AC" w:rsidRPr="00AC09E7" w:rsidRDefault="00DC25AC" w:rsidP="00DC25AC">
      <w:pPr>
        <w:tabs>
          <w:tab w:val="num" w:pos="0"/>
        </w:tabs>
        <w:spacing w:after="0" w:line="240" w:lineRule="auto"/>
        <w:rPr>
          <w:rFonts w:ascii="Arial" w:eastAsia="Calibri" w:hAnsi="Arial" w:cs="Arial"/>
          <w:b/>
          <w:color w:val="4472C4" w:themeColor="accent1"/>
          <w:kern w:val="0"/>
          <w:sz w:val="28"/>
          <w:szCs w:val="28"/>
          <w14:ligatures w14:val="none"/>
        </w:rPr>
      </w:pPr>
    </w:p>
    <w:p w14:paraId="7D22AEE6" w14:textId="77777777" w:rsidR="00DC25AC" w:rsidRPr="00AC09E7" w:rsidRDefault="00DC25AC" w:rsidP="00DC25AC">
      <w:pPr>
        <w:pStyle w:val="Heading4"/>
        <w:rPr>
          <w:rFonts w:eastAsia="Calibri" w:cs="Arial"/>
          <w:b w:val="0"/>
          <w:color w:val="4472C4" w:themeColor="accent1"/>
          <w:szCs w:val="28"/>
        </w:rPr>
      </w:pPr>
      <w:r w:rsidRPr="00AC09E7">
        <w:t>Accounting Officer Conclusion</w:t>
      </w:r>
    </w:p>
    <w:p w14:paraId="369C964E" w14:textId="77777777" w:rsidR="00DC25AC" w:rsidRPr="009F708A" w:rsidRDefault="00DC25AC" w:rsidP="00DC25AC">
      <w:pPr>
        <w:spacing w:after="0" w:line="240" w:lineRule="auto"/>
        <w:rPr>
          <w:rFonts w:ascii="Arial" w:eastAsia="Times New Roman" w:hAnsi="Arial" w:cs="Arial"/>
          <w:kern w:val="0"/>
          <w:sz w:val="24"/>
          <w:szCs w:val="24"/>
          <w:u w:color="000000"/>
          <w14:ligatures w14:val="none"/>
        </w:rPr>
      </w:pPr>
      <w:r w:rsidRPr="00AC09E7">
        <w:rPr>
          <w:rFonts w:ascii="Arial" w:eastAsia="Times New Roman" w:hAnsi="Arial" w:cs="Arial"/>
          <w:kern w:val="0"/>
          <w:sz w:val="24"/>
          <w:szCs w:val="24"/>
          <w:u w:color="000000"/>
          <w14:ligatures w14:val="none"/>
        </w:rPr>
        <w:t xml:space="preserve">I have considered the evidence provided for the production of the Annual Governance Statement and the independent advice and assurance provided by the Audit and Risk Assurance Committee. From my review of this evidence, I am satisfied that the </w:t>
      </w:r>
      <w:r>
        <w:rPr>
          <w:rFonts w:ascii="Arial" w:eastAsia="Times New Roman" w:hAnsi="Arial" w:cs="Arial"/>
          <w:kern w:val="0"/>
          <w:sz w:val="24"/>
          <w:szCs w:val="24"/>
          <w:u w:color="000000"/>
          <w14:ligatures w14:val="none"/>
        </w:rPr>
        <w:t>Agency</w:t>
      </w:r>
      <w:r w:rsidRPr="00AC09E7">
        <w:rPr>
          <w:rFonts w:ascii="Arial" w:eastAsia="Times New Roman" w:hAnsi="Arial" w:cs="Arial"/>
          <w:kern w:val="0"/>
          <w:sz w:val="24"/>
          <w:szCs w:val="24"/>
          <w:u w:color="000000"/>
          <w14:ligatures w14:val="none"/>
        </w:rPr>
        <w:t xml:space="preserve"> has satisfactory governance and risk management systems in place.</w:t>
      </w:r>
    </w:p>
    <w:p w14:paraId="17C7549F" w14:textId="77777777" w:rsidR="00980851" w:rsidRDefault="00980851" w:rsidP="0039322C">
      <w:pPr>
        <w:keepNext/>
        <w:keepLines/>
        <w:spacing w:before="160" w:after="120" w:line="240" w:lineRule="auto"/>
        <w:outlineLvl w:val="2"/>
        <w:rPr>
          <w:rFonts w:ascii="Arial" w:eastAsiaTheme="majorEastAsia" w:hAnsi="Arial" w:cstheme="majorBidi"/>
          <w:bCs/>
          <w:color w:val="FF0000"/>
          <w:kern w:val="0"/>
          <w:sz w:val="24"/>
          <w:szCs w:val="24"/>
          <w14:ligatures w14:val="none"/>
        </w:rPr>
      </w:pPr>
    </w:p>
    <w:p w14:paraId="634EBBD0" w14:textId="77777777" w:rsidR="00980851" w:rsidRDefault="00980851" w:rsidP="0039322C">
      <w:pPr>
        <w:keepNext/>
        <w:keepLines/>
        <w:spacing w:before="160" w:after="120" w:line="240" w:lineRule="auto"/>
        <w:outlineLvl w:val="2"/>
        <w:rPr>
          <w:rFonts w:ascii="Arial" w:eastAsiaTheme="majorEastAsia" w:hAnsi="Arial" w:cstheme="majorBidi"/>
          <w:bCs/>
          <w:color w:val="FF0000"/>
          <w:kern w:val="0"/>
          <w:sz w:val="24"/>
          <w:szCs w:val="24"/>
          <w14:ligatures w14:val="none"/>
        </w:rPr>
      </w:pPr>
    </w:p>
    <w:p w14:paraId="254130D8" w14:textId="77777777" w:rsidR="00980851" w:rsidRDefault="00980851" w:rsidP="0039322C">
      <w:pPr>
        <w:keepNext/>
        <w:keepLines/>
        <w:spacing w:before="160" w:after="120" w:line="240" w:lineRule="auto"/>
        <w:outlineLvl w:val="2"/>
        <w:rPr>
          <w:rFonts w:ascii="Arial" w:eastAsiaTheme="majorEastAsia" w:hAnsi="Arial" w:cstheme="majorBidi"/>
          <w:bCs/>
          <w:color w:val="FF0000"/>
          <w:kern w:val="0"/>
          <w:sz w:val="24"/>
          <w:szCs w:val="24"/>
          <w14:ligatures w14:val="none"/>
        </w:rPr>
      </w:pPr>
    </w:p>
    <w:p w14:paraId="5F190B87" w14:textId="77777777" w:rsidR="00980851" w:rsidRDefault="00980851" w:rsidP="0039322C">
      <w:pPr>
        <w:keepNext/>
        <w:keepLines/>
        <w:spacing w:before="160" w:after="120" w:line="240" w:lineRule="auto"/>
        <w:outlineLvl w:val="2"/>
        <w:rPr>
          <w:rFonts w:ascii="Arial" w:eastAsiaTheme="majorEastAsia" w:hAnsi="Arial" w:cstheme="majorBidi"/>
          <w:bCs/>
          <w:color w:val="FF0000"/>
          <w:kern w:val="0"/>
          <w:sz w:val="24"/>
          <w:szCs w:val="24"/>
          <w14:ligatures w14:val="none"/>
        </w:rPr>
      </w:pPr>
    </w:p>
    <w:p w14:paraId="3F187290" w14:textId="77777777" w:rsidR="00980851" w:rsidRDefault="00980851" w:rsidP="0039322C">
      <w:pPr>
        <w:keepNext/>
        <w:keepLines/>
        <w:spacing w:before="160" w:after="120" w:line="240" w:lineRule="auto"/>
        <w:outlineLvl w:val="2"/>
        <w:rPr>
          <w:rFonts w:ascii="Arial" w:eastAsiaTheme="majorEastAsia" w:hAnsi="Arial" w:cstheme="majorBidi"/>
          <w:bCs/>
          <w:color w:val="FF0000"/>
          <w:kern w:val="0"/>
          <w:sz w:val="24"/>
          <w:szCs w:val="24"/>
          <w14:ligatures w14:val="none"/>
        </w:rPr>
      </w:pPr>
    </w:p>
    <w:p w14:paraId="7658FE17" w14:textId="77777777" w:rsidR="005412DE" w:rsidRDefault="005412DE">
      <w:pPr>
        <w:rPr>
          <w:rFonts w:ascii="Arial" w:eastAsiaTheme="majorEastAsia" w:hAnsi="Arial" w:cstheme="majorBidi"/>
          <w:bCs/>
          <w:color w:val="FF0000"/>
          <w:kern w:val="0"/>
          <w:sz w:val="24"/>
          <w:szCs w:val="24"/>
          <w14:ligatures w14:val="none"/>
        </w:rPr>
      </w:pPr>
      <w:r>
        <w:rPr>
          <w:rFonts w:ascii="Arial" w:eastAsiaTheme="majorEastAsia" w:hAnsi="Arial" w:cstheme="majorBidi"/>
          <w:bCs/>
          <w:color w:val="FF0000"/>
          <w:kern w:val="0"/>
          <w:sz w:val="24"/>
          <w:szCs w:val="24"/>
          <w14:ligatures w14:val="none"/>
        </w:rPr>
        <w:br w:type="page"/>
      </w:r>
    </w:p>
    <w:p w14:paraId="65E66D86" w14:textId="6143852D" w:rsidR="001A0B49" w:rsidRDefault="001A0B49" w:rsidP="00EF1E9A">
      <w:pPr>
        <w:pStyle w:val="Heading3"/>
        <w:rPr>
          <w:b w:val="0"/>
          <w:color w:val="4472C4" w:themeColor="accent1"/>
        </w:rPr>
      </w:pPr>
      <w:r w:rsidRPr="001A0B49">
        <w:lastRenderedPageBreak/>
        <w:t>Remuneration and Staff Report</w:t>
      </w:r>
    </w:p>
    <w:p w14:paraId="320C4864" w14:textId="77777777" w:rsidR="007F1533" w:rsidRPr="007F1533" w:rsidRDefault="007F1533" w:rsidP="00EF1E9A">
      <w:pPr>
        <w:pStyle w:val="Heading4"/>
        <w:rPr>
          <w:rFonts w:eastAsia="Times New Roman" w:cs="Arial"/>
          <w:b w:val="0"/>
          <w:szCs w:val="28"/>
        </w:rPr>
      </w:pPr>
      <w:r w:rsidRPr="007F1533">
        <w:t>Remuneration report</w:t>
      </w:r>
    </w:p>
    <w:p w14:paraId="1C41EFA2" w14:textId="77777777" w:rsidR="007F1533" w:rsidRPr="00EF1E9A" w:rsidRDefault="007F1533" w:rsidP="00EF1E9A">
      <w:pPr>
        <w:pStyle w:val="Heading4"/>
      </w:pPr>
      <w:r w:rsidRPr="00EF1E9A">
        <w:t xml:space="preserve">Service Contracts </w:t>
      </w:r>
    </w:p>
    <w:p w14:paraId="2892E262" w14:textId="77777777" w:rsidR="007F1533" w:rsidRPr="007F1533" w:rsidRDefault="007F1533" w:rsidP="007F1533">
      <w:pPr>
        <w:spacing w:line="240" w:lineRule="auto"/>
        <w:rPr>
          <w:rFonts w:ascii="Arial" w:eastAsia="Calibri" w:hAnsi="Arial" w:cs="Arial"/>
          <w:sz w:val="24"/>
          <w:szCs w:val="24"/>
        </w:rPr>
      </w:pPr>
      <w:r w:rsidRPr="007F1533">
        <w:rPr>
          <w:rFonts w:ascii="Arial" w:eastAsia="Calibri" w:hAnsi="Arial" w:cs="Arial"/>
          <w:sz w:val="24"/>
          <w:szCs w:val="24"/>
        </w:rPr>
        <w:t>The Constitutional Reform and Governance Act 2010 requires Civil Service appointments to be made on merit on the basis of fair and open competition. The Recruitment Principles published by the Civil Service Commission specify the circumstances when appointments may be made otherwise.</w:t>
      </w:r>
    </w:p>
    <w:p w14:paraId="26039CD9" w14:textId="77777777" w:rsidR="007F1533" w:rsidRPr="007F1533" w:rsidRDefault="007F1533" w:rsidP="007F1533">
      <w:pPr>
        <w:spacing w:line="240" w:lineRule="auto"/>
        <w:rPr>
          <w:rFonts w:ascii="Arial" w:eastAsia="Calibri" w:hAnsi="Arial" w:cs="Arial"/>
          <w:sz w:val="24"/>
          <w:szCs w:val="24"/>
        </w:rPr>
      </w:pPr>
      <w:r w:rsidRPr="007F1533">
        <w:rPr>
          <w:rFonts w:ascii="Arial" w:eastAsia="Calibri" w:hAnsi="Arial" w:cs="Arial"/>
          <w:sz w:val="24"/>
          <w:szCs w:val="24"/>
        </w:rPr>
        <w:t>Unless otherwise stated below, the officials covered by this report hold appointments which are open-ended.  Early termination, other than for misconduct, would result in the individual receiving compensation as set out in the Civil Service Compensation Scheme.</w:t>
      </w:r>
    </w:p>
    <w:p w14:paraId="73A5031A" w14:textId="77777777" w:rsidR="007F1533" w:rsidRPr="007F1533" w:rsidRDefault="007F1533" w:rsidP="007F1533">
      <w:pPr>
        <w:spacing w:line="240" w:lineRule="auto"/>
        <w:rPr>
          <w:rFonts w:ascii="Arial" w:eastAsia="Calibri" w:hAnsi="Arial" w:cs="Arial"/>
          <w:sz w:val="24"/>
          <w:szCs w:val="24"/>
        </w:rPr>
      </w:pPr>
      <w:r w:rsidRPr="007F1533">
        <w:rPr>
          <w:rFonts w:ascii="Arial" w:eastAsia="Calibri" w:hAnsi="Arial" w:cs="Arial"/>
          <w:sz w:val="24"/>
          <w:szCs w:val="24"/>
        </w:rPr>
        <w:t xml:space="preserve">Further information about the work of the Civil Service Commission can be found at </w:t>
      </w:r>
      <w:hyperlink r:id="rId48" w:history="1">
        <w:r w:rsidRPr="007F1533">
          <w:rPr>
            <w:rStyle w:val="Hyperlink"/>
            <w:rFonts w:ascii="Arial" w:eastAsia="Calibri" w:hAnsi="Arial" w:cs="Arial"/>
            <w:sz w:val="24"/>
            <w:szCs w:val="24"/>
          </w:rPr>
          <w:t>www.civilservicecommission.org.uk</w:t>
        </w:r>
      </w:hyperlink>
      <w:r w:rsidRPr="007F1533">
        <w:rPr>
          <w:rFonts w:ascii="Arial" w:eastAsia="Calibri" w:hAnsi="Arial" w:cs="Arial"/>
          <w:sz w:val="24"/>
          <w:szCs w:val="24"/>
        </w:rPr>
        <w:t xml:space="preserve"> </w:t>
      </w:r>
    </w:p>
    <w:p w14:paraId="1C74E738" w14:textId="77777777" w:rsidR="007F1533" w:rsidRPr="007F1533" w:rsidRDefault="007F1533" w:rsidP="007F1533">
      <w:pPr>
        <w:spacing w:line="240" w:lineRule="auto"/>
        <w:rPr>
          <w:rFonts w:ascii="Arial" w:eastAsia="Calibri" w:hAnsi="Arial" w:cs="Arial"/>
          <w:b/>
          <w:bCs/>
          <w:color w:val="44546A" w:themeColor="text2"/>
        </w:rPr>
      </w:pPr>
    </w:p>
    <w:p w14:paraId="4BD7230A" w14:textId="77777777" w:rsidR="007F1533" w:rsidRPr="00EF1E9A" w:rsidRDefault="007F1533" w:rsidP="00EF1E9A">
      <w:pPr>
        <w:pStyle w:val="Heading4"/>
      </w:pPr>
      <w:r w:rsidRPr="00EF1E9A">
        <w:t xml:space="preserve">Remuneration Policy </w:t>
      </w:r>
    </w:p>
    <w:p w14:paraId="17680C5B" w14:textId="77777777" w:rsidR="007F1533" w:rsidRPr="007F1533" w:rsidRDefault="007F1533" w:rsidP="007F1533">
      <w:pPr>
        <w:spacing w:line="240" w:lineRule="auto"/>
        <w:rPr>
          <w:rFonts w:ascii="Arial" w:eastAsia="Calibri" w:hAnsi="Arial" w:cs="Arial"/>
          <w:sz w:val="24"/>
          <w:szCs w:val="24"/>
        </w:rPr>
      </w:pPr>
      <w:r w:rsidRPr="007F1533">
        <w:rPr>
          <w:rFonts w:ascii="Arial" w:eastAsia="Calibri" w:hAnsi="Arial" w:cs="Arial"/>
          <w:sz w:val="24"/>
          <w:szCs w:val="24"/>
        </w:rPr>
        <w:t xml:space="preserve">The remuneration of senior civil servants is set by the government following independent advice from the Review Body on Senior Salaries. </w:t>
      </w:r>
    </w:p>
    <w:p w14:paraId="0DAEAABF" w14:textId="77777777" w:rsidR="007F1533" w:rsidRPr="007F1533" w:rsidRDefault="007F1533" w:rsidP="007F1533">
      <w:pPr>
        <w:spacing w:line="240" w:lineRule="auto"/>
        <w:rPr>
          <w:rFonts w:ascii="Arial" w:eastAsia="Calibri" w:hAnsi="Arial" w:cs="Arial"/>
          <w:sz w:val="24"/>
          <w:szCs w:val="24"/>
        </w:rPr>
      </w:pPr>
      <w:r w:rsidRPr="007F1533">
        <w:rPr>
          <w:rFonts w:ascii="Arial" w:eastAsia="Calibri" w:hAnsi="Arial" w:cs="Arial"/>
          <w:sz w:val="24"/>
          <w:szCs w:val="24"/>
        </w:rPr>
        <w:t xml:space="preserve">In reaching its recommendations, the review body is to have regard to the following considerations: </w:t>
      </w:r>
    </w:p>
    <w:p w14:paraId="00D910E5" w14:textId="18D749D7" w:rsidR="007F1533" w:rsidRPr="007F1533" w:rsidRDefault="009371E5" w:rsidP="007F1533">
      <w:pPr>
        <w:numPr>
          <w:ilvl w:val="0"/>
          <w:numId w:val="15"/>
        </w:numPr>
        <w:spacing w:after="0" w:line="240" w:lineRule="auto"/>
        <w:ind w:left="714" w:hanging="357"/>
        <w:rPr>
          <w:rFonts w:ascii="Arial" w:eastAsia="Calibri" w:hAnsi="Arial" w:cs="Arial"/>
          <w:sz w:val="24"/>
          <w:szCs w:val="24"/>
        </w:rPr>
      </w:pPr>
      <w:r>
        <w:rPr>
          <w:rFonts w:ascii="Arial" w:eastAsia="Calibri" w:hAnsi="Arial" w:cs="Arial"/>
          <w:sz w:val="24"/>
          <w:szCs w:val="24"/>
        </w:rPr>
        <w:t>T</w:t>
      </w:r>
      <w:r w:rsidR="007F1533" w:rsidRPr="007F1533">
        <w:rPr>
          <w:rFonts w:ascii="Arial" w:eastAsia="Calibri" w:hAnsi="Arial" w:cs="Arial"/>
          <w:sz w:val="24"/>
          <w:szCs w:val="24"/>
        </w:rPr>
        <w:t>he need to recruit, retain and motivate suitably able and qualified people to exercise their different responsibilities</w:t>
      </w:r>
    </w:p>
    <w:p w14:paraId="2269DAD0" w14:textId="0F354AF1" w:rsidR="007F1533" w:rsidRPr="007F1533" w:rsidRDefault="009371E5" w:rsidP="007F1533">
      <w:pPr>
        <w:numPr>
          <w:ilvl w:val="0"/>
          <w:numId w:val="15"/>
        </w:numPr>
        <w:spacing w:after="0" w:line="240" w:lineRule="auto"/>
        <w:ind w:left="714" w:hanging="357"/>
        <w:rPr>
          <w:rFonts w:ascii="Arial" w:eastAsia="Calibri" w:hAnsi="Arial" w:cs="Arial"/>
          <w:sz w:val="24"/>
          <w:szCs w:val="24"/>
        </w:rPr>
      </w:pPr>
      <w:r>
        <w:rPr>
          <w:rFonts w:ascii="Arial" w:eastAsia="Calibri" w:hAnsi="Arial" w:cs="Arial"/>
          <w:sz w:val="24"/>
          <w:szCs w:val="24"/>
        </w:rPr>
        <w:t>R</w:t>
      </w:r>
      <w:r w:rsidR="007F1533" w:rsidRPr="007F1533">
        <w:rPr>
          <w:rFonts w:ascii="Arial" w:eastAsia="Calibri" w:hAnsi="Arial" w:cs="Arial"/>
          <w:sz w:val="24"/>
          <w:szCs w:val="24"/>
        </w:rPr>
        <w:t>egional/local variations in labour markets and their effects on the recruitment and retention of staff</w:t>
      </w:r>
    </w:p>
    <w:p w14:paraId="51FC2B30" w14:textId="3915278B" w:rsidR="007F1533" w:rsidRPr="007F1533" w:rsidRDefault="009371E5" w:rsidP="007F1533">
      <w:pPr>
        <w:numPr>
          <w:ilvl w:val="0"/>
          <w:numId w:val="15"/>
        </w:numPr>
        <w:spacing w:after="0" w:line="240" w:lineRule="auto"/>
        <w:ind w:left="714" w:hanging="357"/>
        <w:rPr>
          <w:rFonts w:ascii="Arial" w:eastAsia="Calibri" w:hAnsi="Arial" w:cs="Arial"/>
          <w:sz w:val="24"/>
          <w:szCs w:val="24"/>
        </w:rPr>
      </w:pPr>
      <w:r>
        <w:rPr>
          <w:rFonts w:ascii="Arial" w:eastAsia="Calibri" w:hAnsi="Arial" w:cs="Arial"/>
          <w:sz w:val="24"/>
          <w:szCs w:val="24"/>
        </w:rPr>
        <w:t>G</w:t>
      </w:r>
      <w:r w:rsidR="007F1533" w:rsidRPr="007F1533">
        <w:rPr>
          <w:rFonts w:ascii="Arial" w:eastAsia="Calibri" w:hAnsi="Arial" w:cs="Arial"/>
          <w:sz w:val="24"/>
          <w:szCs w:val="24"/>
        </w:rPr>
        <w:t>overnment policies for improving the public services including the requirement on departments to meet the output targets for the delivery of departmental services</w:t>
      </w:r>
    </w:p>
    <w:p w14:paraId="5211BCAC" w14:textId="7E1D8F15" w:rsidR="007F1533" w:rsidRPr="007F1533" w:rsidRDefault="009371E5" w:rsidP="007F1533">
      <w:pPr>
        <w:numPr>
          <w:ilvl w:val="0"/>
          <w:numId w:val="15"/>
        </w:numPr>
        <w:spacing w:after="0" w:line="240" w:lineRule="auto"/>
        <w:ind w:left="714" w:hanging="357"/>
        <w:rPr>
          <w:rFonts w:ascii="Arial" w:eastAsia="Calibri" w:hAnsi="Arial" w:cs="Arial"/>
          <w:sz w:val="24"/>
          <w:szCs w:val="24"/>
        </w:rPr>
      </w:pPr>
      <w:r>
        <w:rPr>
          <w:rFonts w:ascii="Arial" w:eastAsia="Calibri" w:hAnsi="Arial" w:cs="Arial"/>
          <w:sz w:val="24"/>
          <w:szCs w:val="24"/>
        </w:rPr>
        <w:t>T</w:t>
      </w:r>
      <w:r w:rsidR="007F1533" w:rsidRPr="007F1533">
        <w:rPr>
          <w:rFonts w:ascii="Arial" w:eastAsia="Calibri" w:hAnsi="Arial" w:cs="Arial"/>
          <w:sz w:val="24"/>
          <w:szCs w:val="24"/>
        </w:rPr>
        <w:t>he funds available to departments as set out in the government’s departmental expenditure limits</w:t>
      </w:r>
    </w:p>
    <w:p w14:paraId="0D7FE7C2" w14:textId="5FF9E1FC" w:rsidR="007F1533" w:rsidRPr="007F1533" w:rsidRDefault="009371E5" w:rsidP="007F1533">
      <w:pPr>
        <w:numPr>
          <w:ilvl w:val="0"/>
          <w:numId w:val="15"/>
        </w:numPr>
        <w:spacing w:after="0" w:line="240" w:lineRule="auto"/>
        <w:ind w:left="714" w:hanging="357"/>
        <w:rPr>
          <w:rFonts w:ascii="Arial" w:eastAsia="Calibri" w:hAnsi="Arial" w:cs="Arial"/>
          <w:sz w:val="24"/>
          <w:szCs w:val="24"/>
        </w:rPr>
      </w:pPr>
      <w:r>
        <w:rPr>
          <w:rFonts w:ascii="Arial" w:eastAsia="Calibri" w:hAnsi="Arial" w:cs="Arial"/>
          <w:sz w:val="24"/>
          <w:szCs w:val="24"/>
        </w:rPr>
        <w:t>T</w:t>
      </w:r>
      <w:r w:rsidR="007F1533" w:rsidRPr="007F1533">
        <w:rPr>
          <w:rFonts w:ascii="Arial" w:eastAsia="Calibri" w:hAnsi="Arial" w:cs="Arial"/>
          <w:sz w:val="24"/>
          <w:szCs w:val="24"/>
        </w:rPr>
        <w:t>he government’s inflation target</w:t>
      </w:r>
    </w:p>
    <w:p w14:paraId="7EEAA5B6" w14:textId="77777777" w:rsidR="007F1533" w:rsidRPr="007F1533" w:rsidRDefault="007F1533" w:rsidP="007F1533">
      <w:pPr>
        <w:spacing w:line="240" w:lineRule="auto"/>
        <w:rPr>
          <w:rFonts w:ascii="Arial" w:eastAsia="Calibri" w:hAnsi="Arial" w:cs="Arial"/>
          <w:sz w:val="24"/>
          <w:szCs w:val="24"/>
        </w:rPr>
      </w:pPr>
    </w:p>
    <w:p w14:paraId="0AE425B7" w14:textId="77777777" w:rsidR="007F1533" w:rsidRPr="007F1533" w:rsidRDefault="007F1533" w:rsidP="007F1533">
      <w:pPr>
        <w:spacing w:line="240" w:lineRule="auto"/>
        <w:rPr>
          <w:rFonts w:ascii="Arial" w:eastAsia="Calibri" w:hAnsi="Arial" w:cs="Arial"/>
          <w:sz w:val="24"/>
          <w:szCs w:val="24"/>
        </w:rPr>
      </w:pPr>
      <w:r w:rsidRPr="007F1533">
        <w:rPr>
          <w:rFonts w:ascii="Arial" w:eastAsia="Calibri" w:hAnsi="Arial" w:cs="Arial"/>
          <w:sz w:val="24"/>
          <w:szCs w:val="24"/>
        </w:rPr>
        <w:t>The review body will also take account of the evidence it receives about wider economic considerations and the affordability of its recommendations.</w:t>
      </w:r>
    </w:p>
    <w:p w14:paraId="6D8794DA" w14:textId="77777777" w:rsidR="007F1533" w:rsidRPr="007F1533" w:rsidRDefault="007F1533" w:rsidP="007F1533">
      <w:pPr>
        <w:spacing w:line="240" w:lineRule="auto"/>
        <w:rPr>
          <w:rFonts w:ascii="Arial" w:eastAsia="Calibri" w:hAnsi="Arial" w:cs="Arial"/>
          <w:b/>
          <w:u w:val="single"/>
        </w:rPr>
      </w:pPr>
      <w:r w:rsidRPr="007F1533">
        <w:rPr>
          <w:rFonts w:ascii="Arial" w:eastAsia="Calibri" w:hAnsi="Arial" w:cs="Arial"/>
          <w:sz w:val="24"/>
          <w:szCs w:val="24"/>
        </w:rPr>
        <w:t xml:space="preserve">Further information about the work of the review body can be found at </w:t>
      </w:r>
      <w:hyperlink r:id="rId49" w:history="1">
        <w:r w:rsidRPr="007F1533">
          <w:rPr>
            <w:rStyle w:val="Hyperlink"/>
            <w:rFonts w:ascii="Arial" w:eastAsia="Calibri" w:hAnsi="Arial" w:cs="Arial"/>
            <w:sz w:val="24"/>
            <w:szCs w:val="24"/>
          </w:rPr>
          <w:t>www.gov.uk/government/organisations/review-body-on-senior-salaries</w:t>
        </w:r>
      </w:hyperlink>
      <w:r w:rsidRPr="007F1533">
        <w:rPr>
          <w:rFonts w:ascii="Arial" w:eastAsia="Calibri" w:hAnsi="Arial" w:cs="Arial"/>
          <w:sz w:val="24"/>
          <w:szCs w:val="24"/>
          <w:u w:val="single"/>
        </w:rPr>
        <w:t xml:space="preserve"> </w:t>
      </w:r>
      <w:r w:rsidRPr="007F1533">
        <w:rPr>
          <w:rFonts w:ascii="Arial" w:eastAsia="Calibri" w:hAnsi="Arial" w:cs="Arial"/>
        </w:rPr>
        <w:br/>
      </w:r>
    </w:p>
    <w:p w14:paraId="056651F4" w14:textId="77777777" w:rsidR="007F1533" w:rsidRPr="007F1533" w:rsidRDefault="007F1533" w:rsidP="007F1533">
      <w:pPr>
        <w:spacing w:after="200"/>
        <w:rPr>
          <w:rFonts w:ascii="Arial" w:eastAsia="Calibri" w:hAnsi="Arial" w:cs="Arial"/>
        </w:rPr>
        <w:sectPr w:rsidR="007F1533" w:rsidRPr="007F1533" w:rsidSect="003B3E75">
          <w:footerReference w:type="default" r:id="rId50"/>
          <w:type w:val="continuous"/>
          <w:pgSz w:w="11906" w:h="16838"/>
          <w:pgMar w:top="1440" w:right="1440" w:bottom="1440" w:left="1440" w:header="708" w:footer="708" w:gutter="0"/>
          <w:cols w:space="708"/>
          <w:docGrid w:linePitch="360"/>
        </w:sectPr>
      </w:pPr>
      <w:r w:rsidRPr="00EF1E9A">
        <w:rPr>
          <w:rStyle w:val="Heading4Char"/>
        </w:rPr>
        <w:t>Remuneration (including salary) and pensions entitlements</w:t>
      </w:r>
      <w:r w:rsidRPr="00EF1E9A">
        <w:rPr>
          <w:rStyle w:val="Heading4Char"/>
        </w:rPr>
        <w:br/>
      </w:r>
      <w:r w:rsidRPr="007F1533">
        <w:rPr>
          <w:rFonts w:ascii="Arial" w:eastAsia="Calibri" w:hAnsi="Arial" w:cs="Arial"/>
          <w:sz w:val="24"/>
          <w:szCs w:val="24"/>
        </w:rPr>
        <w:t>The following sections provide details of the remuneration and pension interests of the most senior management of the Insolvency Service: the members of the Insolvency Service Board.</w:t>
      </w:r>
      <w:r w:rsidRPr="007F1533">
        <w:rPr>
          <w:rFonts w:ascii="Arial" w:eastAsia="Calibri" w:hAnsi="Arial" w:cs="Arial"/>
        </w:rPr>
        <w:br/>
      </w:r>
    </w:p>
    <w:p w14:paraId="4162C0B4" w14:textId="77777777" w:rsidR="007F1533" w:rsidRPr="00A73CF0" w:rsidRDefault="007F1533" w:rsidP="00EF1E9A">
      <w:pPr>
        <w:pStyle w:val="Heading4"/>
        <w:rPr>
          <w:rFonts w:cs="Arial"/>
          <w:b w:val="0"/>
          <w:color w:val="2E74B5" w:themeColor="accent5" w:themeShade="BF"/>
        </w:rPr>
      </w:pPr>
      <w:r w:rsidRPr="00A73CF0">
        <w:lastRenderedPageBreak/>
        <w:t>Remuneration – including salary, benefits in kind and pensions (audited)</w:t>
      </w:r>
    </w:p>
    <w:tbl>
      <w:tblPr>
        <w:tblpPr w:leftFromText="180" w:rightFromText="180" w:vertAnchor="text" w:tblpY="1"/>
        <w:tblOverlap w:val="neve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34"/>
        <w:gridCol w:w="1134"/>
        <w:gridCol w:w="1134"/>
        <w:gridCol w:w="1116"/>
        <w:gridCol w:w="1152"/>
        <w:gridCol w:w="1134"/>
        <w:gridCol w:w="1134"/>
        <w:gridCol w:w="1134"/>
        <w:gridCol w:w="1134"/>
        <w:gridCol w:w="1134"/>
      </w:tblGrid>
      <w:tr w:rsidR="007F1533" w:rsidRPr="00A73CF0" w14:paraId="056D76E0" w14:textId="77777777">
        <w:trPr>
          <w:trHeight w:val="338"/>
        </w:trPr>
        <w:tc>
          <w:tcPr>
            <w:tcW w:w="2547" w:type="dxa"/>
            <w:tcBorders>
              <w:top w:val="single" w:sz="4" w:space="0" w:color="auto"/>
              <w:left w:val="single" w:sz="4" w:space="0" w:color="auto"/>
              <w:bottom w:val="nil"/>
              <w:right w:val="single" w:sz="4" w:space="0" w:color="auto"/>
            </w:tcBorders>
            <w:shd w:val="clear" w:color="auto" w:fill="DCE6F1"/>
            <w:noWrap/>
            <w:vAlign w:val="center"/>
            <w:hideMark/>
          </w:tcPr>
          <w:p w14:paraId="048782AD" w14:textId="77777777" w:rsidR="007F1533" w:rsidRPr="00A73CF0" w:rsidRDefault="007F1533">
            <w:pPr>
              <w:spacing w:line="240" w:lineRule="auto"/>
              <w:jc w:val="center"/>
              <w:rPr>
                <w:rFonts w:ascii="Arial" w:eastAsia="Times New Roman" w:hAnsi="Arial" w:cs="Arial"/>
                <w:b/>
                <w:bCs/>
                <w:color w:val="000000"/>
                <w:lang w:eastAsia="en-GB"/>
              </w:rPr>
            </w:pPr>
            <w:r w:rsidRPr="00A73CF0">
              <w:rPr>
                <w:rFonts w:ascii="Arial" w:eastAsia="Times New Roman" w:hAnsi="Arial" w:cs="Arial"/>
                <w:b/>
                <w:bCs/>
                <w:color w:val="000000"/>
                <w:lang w:eastAsia="en-GB"/>
              </w:rPr>
              <w:t>Officials</w:t>
            </w:r>
          </w:p>
        </w:tc>
        <w:tc>
          <w:tcPr>
            <w:tcW w:w="2268"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5DACCCAF" w14:textId="77777777" w:rsidR="007F1533" w:rsidRPr="00A73CF0" w:rsidRDefault="007F1533">
            <w:pPr>
              <w:spacing w:line="240" w:lineRule="auto"/>
              <w:jc w:val="center"/>
              <w:rPr>
                <w:rFonts w:ascii="Arial" w:eastAsia="Times New Roman" w:hAnsi="Arial" w:cs="Arial"/>
                <w:b/>
                <w:bCs/>
                <w:color w:val="000000"/>
                <w:lang w:eastAsia="en-GB"/>
              </w:rPr>
            </w:pPr>
            <w:r w:rsidRPr="00A73CF0">
              <w:rPr>
                <w:rFonts w:ascii="Arial" w:eastAsia="Times New Roman" w:hAnsi="Arial" w:cs="Arial"/>
                <w:b/>
                <w:bCs/>
                <w:color w:val="000000"/>
                <w:lang w:eastAsia="en-GB"/>
              </w:rPr>
              <w:t>Salary</w:t>
            </w:r>
          </w:p>
        </w:tc>
        <w:tc>
          <w:tcPr>
            <w:tcW w:w="2250"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49354B5C" w14:textId="77777777" w:rsidR="007F1533" w:rsidRPr="00A73CF0" w:rsidRDefault="007F1533">
            <w:pPr>
              <w:spacing w:line="240" w:lineRule="auto"/>
              <w:jc w:val="center"/>
              <w:rPr>
                <w:rFonts w:ascii="Arial" w:eastAsia="Times New Roman" w:hAnsi="Arial" w:cs="Arial"/>
                <w:b/>
                <w:bCs/>
                <w:color w:val="000000"/>
                <w:lang w:eastAsia="en-GB"/>
              </w:rPr>
            </w:pPr>
            <w:r w:rsidRPr="00A73CF0">
              <w:rPr>
                <w:rFonts w:ascii="Arial" w:eastAsia="Times New Roman" w:hAnsi="Arial" w:cs="Arial"/>
                <w:b/>
                <w:bCs/>
                <w:color w:val="000000"/>
                <w:lang w:eastAsia="en-GB"/>
              </w:rPr>
              <w:t>Bonus Payments</w:t>
            </w:r>
          </w:p>
        </w:tc>
        <w:tc>
          <w:tcPr>
            <w:tcW w:w="2286"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1C98F6F2" w14:textId="77777777" w:rsidR="007F1533" w:rsidRPr="00A73CF0" w:rsidRDefault="007F1533">
            <w:pPr>
              <w:spacing w:line="240" w:lineRule="auto"/>
              <w:jc w:val="center"/>
              <w:rPr>
                <w:rFonts w:ascii="Arial" w:eastAsia="Times New Roman" w:hAnsi="Arial" w:cs="Arial"/>
                <w:b/>
                <w:bCs/>
                <w:color w:val="000000"/>
                <w:lang w:eastAsia="en-GB"/>
              </w:rPr>
            </w:pPr>
            <w:r w:rsidRPr="00A73CF0">
              <w:rPr>
                <w:rFonts w:ascii="Arial" w:eastAsia="Times New Roman" w:hAnsi="Arial" w:cs="Arial"/>
                <w:b/>
                <w:bCs/>
                <w:color w:val="000000"/>
                <w:lang w:eastAsia="en-GB"/>
              </w:rPr>
              <w:t>Benefits in Kind</w:t>
            </w:r>
          </w:p>
        </w:tc>
        <w:tc>
          <w:tcPr>
            <w:tcW w:w="2268"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33465252" w14:textId="5CCC2DC6" w:rsidR="007F1533" w:rsidRPr="00A73CF0" w:rsidRDefault="007F1533">
            <w:pPr>
              <w:spacing w:line="240" w:lineRule="auto"/>
              <w:jc w:val="center"/>
              <w:rPr>
                <w:rFonts w:ascii="Arial" w:eastAsia="Times New Roman" w:hAnsi="Arial" w:cs="Arial"/>
                <w:b/>
                <w:bCs/>
                <w:color w:val="000000"/>
                <w:lang w:eastAsia="en-GB"/>
              </w:rPr>
            </w:pPr>
            <w:r w:rsidRPr="00A73CF0">
              <w:rPr>
                <w:rFonts w:ascii="Arial" w:eastAsia="Times New Roman" w:hAnsi="Arial" w:cs="Arial"/>
                <w:b/>
                <w:bCs/>
                <w:color w:val="000000"/>
                <w:lang w:eastAsia="en-GB"/>
              </w:rPr>
              <w:t xml:space="preserve">Pension </w:t>
            </w:r>
            <w:r w:rsidR="00A011D5">
              <w:rPr>
                <w:rFonts w:ascii="Arial" w:eastAsia="Times New Roman" w:hAnsi="Arial" w:cs="Arial"/>
                <w:b/>
                <w:bCs/>
                <w:color w:val="000000"/>
                <w:lang w:eastAsia="en-GB"/>
              </w:rPr>
              <w:t>B</w:t>
            </w:r>
            <w:r w:rsidRPr="00A73CF0">
              <w:rPr>
                <w:rFonts w:ascii="Arial" w:eastAsia="Times New Roman" w:hAnsi="Arial" w:cs="Arial"/>
                <w:b/>
                <w:bCs/>
                <w:color w:val="000000"/>
                <w:lang w:eastAsia="en-GB"/>
              </w:rPr>
              <w:t>enefits</w:t>
            </w:r>
            <w:r w:rsidRPr="00A73CF0">
              <w:rPr>
                <w:rFonts w:ascii="Arial" w:hAnsi="Arial" w:cs="Arial"/>
                <w:vertAlign w:val="superscript"/>
              </w:rPr>
              <w:footnoteRef/>
            </w:r>
            <w:r w:rsidRPr="00A73CF0">
              <w:rPr>
                <w:rFonts w:ascii="Arial" w:hAnsi="Arial" w:cs="Arial"/>
                <w:vertAlign w:val="superscript"/>
              </w:rPr>
              <w:t>,2</w:t>
            </w:r>
          </w:p>
        </w:tc>
        <w:tc>
          <w:tcPr>
            <w:tcW w:w="2268"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2BD0D44E" w14:textId="77777777" w:rsidR="007F1533" w:rsidRPr="00A73CF0" w:rsidRDefault="007F1533">
            <w:pPr>
              <w:spacing w:line="240" w:lineRule="auto"/>
              <w:jc w:val="center"/>
              <w:rPr>
                <w:rFonts w:ascii="Arial" w:eastAsia="Times New Roman" w:hAnsi="Arial" w:cs="Arial"/>
                <w:b/>
                <w:bCs/>
                <w:color w:val="000000"/>
                <w:lang w:eastAsia="en-GB"/>
              </w:rPr>
            </w:pPr>
            <w:r w:rsidRPr="00A73CF0">
              <w:rPr>
                <w:rFonts w:ascii="Arial" w:eastAsia="Times New Roman" w:hAnsi="Arial" w:cs="Arial"/>
                <w:b/>
                <w:bCs/>
                <w:color w:val="000000"/>
                <w:lang w:eastAsia="en-GB"/>
              </w:rPr>
              <w:t>Total</w:t>
            </w:r>
          </w:p>
        </w:tc>
      </w:tr>
      <w:tr w:rsidR="007F1533" w:rsidRPr="00A73CF0" w14:paraId="398DF74A" w14:textId="77777777">
        <w:trPr>
          <w:trHeight w:val="565"/>
        </w:trPr>
        <w:tc>
          <w:tcPr>
            <w:tcW w:w="2547" w:type="dxa"/>
            <w:tcBorders>
              <w:top w:val="nil"/>
              <w:left w:val="single" w:sz="4" w:space="0" w:color="auto"/>
              <w:bottom w:val="nil"/>
              <w:right w:val="single" w:sz="4" w:space="0" w:color="auto"/>
            </w:tcBorders>
            <w:shd w:val="clear" w:color="auto" w:fill="DCE6F1"/>
            <w:noWrap/>
            <w:vAlign w:val="bottom"/>
            <w:hideMark/>
          </w:tcPr>
          <w:p w14:paraId="53762E3D" w14:textId="77777777" w:rsidR="007F1533" w:rsidRPr="00A73CF0" w:rsidRDefault="007F1533">
            <w:pPr>
              <w:spacing w:line="240" w:lineRule="auto"/>
              <w:rPr>
                <w:rFonts w:ascii="Arial" w:eastAsia="Times New Roman" w:hAnsi="Arial" w:cs="Arial"/>
                <w:b/>
                <w:bCs/>
                <w:color w:val="000000"/>
                <w:lang w:eastAsia="en-GB"/>
              </w:rPr>
            </w:pPr>
            <w:r w:rsidRPr="00A73CF0">
              <w:rPr>
                <w:rFonts w:ascii="Arial" w:eastAsia="Times New Roman" w:hAnsi="Arial" w:cs="Arial"/>
                <w:b/>
                <w:bCs/>
                <w:color w:val="000000"/>
                <w:lang w:eastAsia="en-GB"/>
              </w:rPr>
              <w:t> </w:t>
            </w:r>
          </w:p>
        </w:tc>
        <w:tc>
          <w:tcPr>
            <w:tcW w:w="2268" w:type="dxa"/>
            <w:gridSpan w:val="2"/>
            <w:tcBorders>
              <w:top w:val="nil"/>
              <w:left w:val="single" w:sz="4" w:space="0" w:color="auto"/>
              <w:bottom w:val="nil"/>
              <w:right w:val="single" w:sz="4" w:space="0" w:color="auto"/>
            </w:tcBorders>
            <w:shd w:val="clear" w:color="auto" w:fill="DCE6F1"/>
            <w:noWrap/>
            <w:vAlign w:val="bottom"/>
            <w:hideMark/>
          </w:tcPr>
          <w:p w14:paraId="77D8C335" w14:textId="77777777" w:rsidR="007F1533" w:rsidRPr="00A73CF0" w:rsidRDefault="007F1533">
            <w:pPr>
              <w:spacing w:line="240" w:lineRule="auto"/>
              <w:jc w:val="center"/>
              <w:rPr>
                <w:rFonts w:ascii="Arial" w:eastAsia="Times New Roman" w:hAnsi="Arial" w:cs="Arial"/>
                <w:b/>
                <w:bCs/>
                <w:color w:val="000000"/>
                <w:lang w:eastAsia="en-GB"/>
              </w:rPr>
            </w:pPr>
            <w:r w:rsidRPr="00A73CF0">
              <w:rPr>
                <w:rFonts w:ascii="Arial" w:eastAsia="Times New Roman" w:hAnsi="Arial" w:cs="Arial"/>
                <w:b/>
                <w:bCs/>
                <w:color w:val="000000"/>
                <w:lang w:eastAsia="en-GB"/>
              </w:rPr>
              <w:t>(£'000)</w:t>
            </w:r>
          </w:p>
        </w:tc>
        <w:tc>
          <w:tcPr>
            <w:tcW w:w="2250" w:type="dxa"/>
            <w:gridSpan w:val="2"/>
            <w:tcBorders>
              <w:top w:val="nil"/>
              <w:left w:val="single" w:sz="4" w:space="0" w:color="auto"/>
              <w:bottom w:val="nil"/>
              <w:right w:val="single" w:sz="4" w:space="0" w:color="auto"/>
            </w:tcBorders>
            <w:shd w:val="clear" w:color="auto" w:fill="DCE6F1"/>
            <w:noWrap/>
            <w:vAlign w:val="bottom"/>
            <w:hideMark/>
          </w:tcPr>
          <w:p w14:paraId="51C5BB6B" w14:textId="77777777" w:rsidR="007F1533" w:rsidRPr="00A73CF0" w:rsidRDefault="007F1533">
            <w:pPr>
              <w:spacing w:line="240" w:lineRule="auto"/>
              <w:jc w:val="center"/>
              <w:rPr>
                <w:rFonts w:ascii="Arial" w:eastAsia="Times New Roman" w:hAnsi="Arial" w:cs="Arial"/>
                <w:b/>
                <w:bCs/>
                <w:color w:val="000000"/>
                <w:lang w:eastAsia="en-GB"/>
              </w:rPr>
            </w:pPr>
            <w:r w:rsidRPr="00A73CF0">
              <w:rPr>
                <w:rFonts w:ascii="Arial" w:eastAsia="Times New Roman" w:hAnsi="Arial" w:cs="Arial"/>
                <w:b/>
                <w:bCs/>
                <w:color w:val="000000"/>
                <w:lang w:eastAsia="en-GB"/>
              </w:rPr>
              <w:t>(£'000)</w:t>
            </w:r>
          </w:p>
        </w:tc>
        <w:tc>
          <w:tcPr>
            <w:tcW w:w="2286" w:type="dxa"/>
            <w:gridSpan w:val="2"/>
            <w:tcBorders>
              <w:top w:val="nil"/>
              <w:left w:val="single" w:sz="4" w:space="0" w:color="auto"/>
              <w:bottom w:val="nil"/>
              <w:right w:val="single" w:sz="4" w:space="0" w:color="auto"/>
            </w:tcBorders>
            <w:shd w:val="clear" w:color="auto" w:fill="DCE6F1"/>
            <w:noWrap/>
            <w:vAlign w:val="bottom"/>
            <w:hideMark/>
          </w:tcPr>
          <w:p w14:paraId="29B3D8C1" w14:textId="77777777" w:rsidR="007F1533" w:rsidRPr="00A73CF0" w:rsidRDefault="007F1533">
            <w:pPr>
              <w:spacing w:line="240" w:lineRule="auto"/>
              <w:jc w:val="center"/>
              <w:rPr>
                <w:rFonts w:ascii="Arial" w:eastAsia="Times New Roman" w:hAnsi="Arial" w:cs="Arial"/>
                <w:b/>
                <w:bCs/>
                <w:color w:val="000000"/>
                <w:lang w:eastAsia="en-GB"/>
              </w:rPr>
            </w:pPr>
            <w:r w:rsidRPr="00A73CF0">
              <w:rPr>
                <w:rFonts w:ascii="Arial" w:eastAsia="Times New Roman" w:hAnsi="Arial" w:cs="Arial"/>
                <w:b/>
                <w:bCs/>
                <w:color w:val="000000"/>
                <w:lang w:eastAsia="en-GB"/>
              </w:rPr>
              <w:t>(to nearest £100)</w:t>
            </w:r>
          </w:p>
        </w:tc>
        <w:tc>
          <w:tcPr>
            <w:tcW w:w="2268" w:type="dxa"/>
            <w:gridSpan w:val="2"/>
            <w:tcBorders>
              <w:top w:val="nil"/>
              <w:left w:val="single" w:sz="4" w:space="0" w:color="auto"/>
              <w:bottom w:val="nil"/>
              <w:right w:val="single" w:sz="4" w:space="0" w:color="auto"/>
            </w:tcBorders>
            <w:shd w:val="clear" w:color="auto" w:fill="DCE6F1"/>
            <w:noWrap/>
            <w:vAlign w:val="bottom"/>
            <w:hideMark/>
          </w:tcPr>
          <w:p w14:paraId="738F38A1" w14:textId="77777777" w:rsidR="007F1533" w:rsidRPr="00A73CF0" w:rsidRDefault="007F1533">
            <w:pPr>
              <w:spacing w:line="240" w:lineRule="auto"/>
              <w:jc w:val="center"/>
              <w:rPr>
                <w:rFonts w:ascii="Arial" w:eastAsia="Times New Roman" w:hAnsi="Arial" w:cs="Arial"/>
                <w:b/>
                <w:bCs/>
                <w:color w:val="000000"/>
                <w:lang w:eastAsia="en-GB"/>
              </w:rPr>
            </w:pPr>
            <w:r w:rsidRPr="00A73CF0">
              <w:rPr>
                <w:rFonts w:ascii="Arial" w:eastAsia="Times New Roman" w:hAnsi="Arial" w:cs="Arial"/>
                <w:b/>
                <w:bCs/>
                <w:color w:val="000000"/>
                <w:lang w:eastAsia="en-GB"/>
              </w:rPr>
              <w:t>(£'000)</w:t>
            </w:r>
          </w:p>
        </w:tc>
        <w:tc>
          <w:tcPr>
            <w:tcW w:w="2268" w:type="dxa"/>
            <w:gridSpan w:val="2"/>
            <w:tcBorders>
              <w:top w:val="nil"/>
              <w:left w:val="single" w:sz="4" w:space="0" w:color="auto"/>
              <w:bottom w:val="nil"/>
              <w:right w:val="single" w:sz="4" w:space="0" w:color="auto"/>
            </w:tcBorders>
            <w:shd w:val="clear" w:color="auto" w:fill="DCE6F1"/>
            <w:noWrap/>
            <w:vAlign w:val="bottom"/>
            <w:hideMark/>
          </w:tcPr>
          <w:p w14:paraId="587C747E" w14:textId="77777777" w:rsidR="007F1533" w:rsidRPr="00A73CF0" w:rsidRDefault="007F1533">
            <w:pPr>
              <w:spacing w:line="240" w:lineRule="auto"/>
              <w:jc w:val="center"/>
              <w:rPr>
                <w:rFonts w:ascii="Arial" w:eastAsia="Times New Roman" w:hAnsi="Arial" w:cs="Arial"/>
                <w:b/>
                <w:bCs/>
                <w:color w:val="000000"/>
                <w:lang w:eastAsia="en-GB"/>
              </w:rPr>
            </w:pPr>
            <w:r w:rsidRPr="00A73CF0">
              <w:rPr>
                <w:rFonts w:ascii="Arial" w:eastAsia="Times New Roman" w:hAnsi="Arial" w:cs="Arial"/>
                <w:b/>
                <w:bCs/>
                <w:color w:val="000000"/>
                <w:lang w:eastAsia="en-GB"/>
              </w:rPr>
              <w:t>(£'000)</w:t>
            </w:r>
          </w:p>
        </w:tc>
      </w:tr>
      <w:tr w:rsidR="007F1533" w:rsidRPr="00A73CF0" w14:paraId="4DE20D6F" w14:textId="77777777">
        <w:trPr>
          <w:trHeight w:val="300"/>
        </w:trPr>
        <w:tc>
          <w:tcPr>
            <w:tcW w:w="2547" w:type="dxa"/>
            <w:tcBorders>
              <w:top w:val="nil"/>
              <w:left w:val="single" w:sz="4" w:space="0" w:color="auto"/>
              <w:bottom w:val="single" w:sz="4" w:space="0" w:color="auto"/>
              <w:right w:val="single" w:sz="4" w:space="0" w:color="auto"/>
            </w:tcBorders>
            <w:shd w:val="clear" w:color="auto" w:fill="DCE6F1"/>
            <w:noWrap/>
            <w:vAlign w:val="bottom"/>
            <w:hideMark/>
          </w:tcPr>
          <w:p w14:paraId="1654B2D8" w14:textId="77777777" w:rsidR="007F1533" w:rsidRPr="00A73CF0" w:rsidRDefault="007F1533">
            <w:pPr>
              <w:spacing w:line="240" w:lineRule="auto"/>
              <w:rPr>
                <w:rFonts w:ascii="Arial" w:eastAsia="Times New Roman" w:hAnsi="Arial" w:cs="Arial"/>
                <w:b/>
                <w:bCs/>
                <w:color w:val="000000"/>
                <w:lang w:eastAsia="en-GB"/>
              </w:rPr>
            </w:pPr>
            <w:r w:rsidRPr="00A73CF0">
              <w:rPr>
                <w:rFonts w:ascii="Arial" w:eastAsia="Times New Roman" w:hAnsi="Arial" w:cs="Arial"/>
                <w:b/>
                <w:bCs/>
                <w:color w:val="000000"/>
                <w:lang w:eastAsia="en-GB"/>
              </w:rPr>
              <w:t> </w:t>
            </w:r>
          </w:p>
        </w:tc>
        <w:tc>
          <w:tcPr>
            <w:tcW w:w="1134" w:type="dxa"/>
            <w:tcBorders>
              <w:top w:val="nil"/>
              <w:left w:val="single" w:sz="4" w:space="0" w:color="auto"/>
              <w:bottom w:val="single" w:sz="4" w:space="0" w:color="auto"/>
              <w:right w:val="nil"/>
            </w:tcBorders>
            <w:shd w:val="clear" w:color="auto" w:fill="DCE6F1"/>
            <w:noWrap/>
            <w:vAlign w:val="bottom"/>
            <w:hideMark/>
          </w:tcPr>
          <w:p w14:paraId="4A5DBD98" w14:textId="77777777" w:rsidR="007F1533" w:rsidRPr="00A73CF0" w:rsidRDefault="007F1533">
            <w:pPr>
              <w:spacing w:line="240" w:lineRule="auto"/>
              <w:rPr>
                <w:rFonts w:ascii="Arial" w:eastAsia="Times New Roman" w:hAnsi="Arial" w:cs="Arial"/>
                <w:b/>
                <w:bCs/>
                <w:color w:val="000000"/>
                <w:lang w:eastAsia="en-GB"/>
              </w:rPr>
            </w:pPr>
            <w:r w:rsidRPr="00A73CF0">
              <w:rPr>
                <w:rFonts w:ascii="Arial" w:eastAsia="Times New Roman" w:hAnsi="Arial" w:cs="Arial"/>
                <w:b/>
                <w:bCs/>
                <w:color w:val="000000"/>
                <w:lang w:eastAsia="en-GB"/>
              </w:rPr>
              <w:t>2023-24</w:t>
            </w:r>
          </w:p>
        </w:tc>
        <w:tc>
          <w:tcPr>
            <w:tcW w:w="1134" w:type="dxa"/>
            <w:tcBorders>
              <w:top w:val="nil"/>
              <w:left w:val="nil"/>
              <w:bottom w:val="single" w:sz="4" w:space="0" w:color="auto"/>
              <w:right w:val="single" w:sz="4" w:space="0" w:color="auto"/>
            </w:tcBorders>
            <w:shd w:val="clear" w:color="auto" w:fill="DCE6F1"/>
            <w:noWrap/>
            <w:vAlign w:val="bottom"/>
            <w:hideMark/>
          </w:tcPr>
          <w:p w14:paraId="093F41BF" w14:textId="77777777" w:rsidR="007F1533" w:rsidRPr="00A73CF0" w:rsidRDefault="007F1533">
            <w:pPr>
              <w:spacing w:line="240" w:lineRule="auto"/>
              <w:rPr>
                <w:rFonts w:ascii="Arial" w:eastAsia="Times New Roman" w:hAnsi="Arial" w:cs="Arial"/>
                <w:b/>
                <w:bCs/>
                <w:color w:val="000000"/>
                <w:lang w:eastAsia="en-GB"/>
              </w:rPr>
            </w:pPr>
            <w:r w:rsidRPr="00A73CF0">
              <w:rPr>
                <w:rFonts w:ascii="Arial" w:eastAsia="Times New Roman" w:hAnsi="Arial" w:cs="Arial"/>
                <w:b/>
                <w:bCs/>
                <w:color w:val="000000"/>
                <w:lang w:eastAsia="en-GB"/>
              </w:rPr>
              <w:t>2022-23</w:t>
            </w:r>
          </w:p>
        </w:tc>
        <w:tc>
          <w:tcPr>
            <w:tcW w:w="1134" w:type="dxa"/>
            <w:tcBorders>
              <w:top w:val="nil"/>
              <w:left w:val="single" w:sz="4" w:space="0" w:color="auto"/>
              <w:bottom w:val="single" w:sz="4" w:space="0" w:color="auto"/>
              <w:right w:val="nil"/>
            </w:tcBorders>
            <w:shd w:val="clear" w:color="auto" w:fill="DCE6F1"/>
            <w:noWrap/>
            <w:vAlign w:val="bottom"/>
            <w:hideMark/>
          </w:tcPr>
          <w:p w14:paraId="5AC9E17A" w14:textId="77777777" w:rsidR="007F1533" w:rsidRPr="00A73CF0" w:rsidRDefault="007F1533">
            <w:pPr>
              <w:spacing w:line="240" w:lineRule="auto"/>
              <w:rPr>
                <w:rFonts w:ascii="Arial" w:eastAsia="Times New Roman" w:hAnsi="Arial" w:cs="Arial"/>
                <w:b/>
                <w:bCs/>
                <w:color w:val="000000"/>
                <w:lang w:eastAsia="en-GB"/>
              </w:rPr>
            </w:pPr>
            <w:r w:rsidRPr="00A73CF0">
              <w:rPr>
                <w:rFonts w:ascii="Arial" w:eastAsia="Times New Roman" w:hAnsi="Arial" w:cs="Arial"/>
                <w:b/>
                <w:bCs/>
                <w:color w:val="000000"/>
                <w:lang w:eastAsia="en-GB"/>
              </w:rPr>
              <w:t>2023-24</w:t>
            </w:r>
          </w:p>
        </w:tc>
        <w:tc>
          <w:tcPr>
            <w:tcW w:w="1116" w:type="dxa"/>
            <w:tcBorders>
              <w:top w:val="nil"/>
              <w:left w:val="nil"/>
              <w:bottom w:val="single" w:sz="4" w:space="0" w:color="auto"/>
              <w:right w:val="single" w:sz="4" w:space="0" w:color="auto"/>
            </w:tcBorders>
            <w:shd w:val="clear" w:color="auto" w:fill="DCE6F1"/>
            <w:noWrap/>
            <w:vAlign w:val="bottom"/>
            <w:hideMark/>
          </w:tcPr>
          <w:p w14:paraId="0DDBDBCA" w14:textId="77777777" w:rsidR="007F1533" w:rsidRPr="00A73CF0" w:rsidRDefault="007F1533">
            <w:pPr>
              <w:spacing w:line="240" w:lineRule="auto"/>
              <w:rPr>
                <w:rFonts w:ascii="Arial" w:eastAsia="Times New Roman" w:hAnsi="Arial" w:cs="Arial"/>
                <w:b/>
                <w:bCs/>
                <w:color w:val="000000"/>
                <w:lang w:eastAsia="en-GB"/>
              </w:rPr>
            </w:pPr>
            <w:r w:rsidRPr="00A73CF0">
              <w:rPr>
                <w:rFonts w:ascii="Arial" w:eastAsia="Times New Roman" w:hAnsi="Arial" w:cs="Arial"/>
                <w:b/>
                <w:bCs/>
                <w:color w:val="000000"/>
                <w:lang w:eastAsia="en-GB"/>
              </w:rPr>
              <w:t>2022-23</w:t>
            </w:r>
          </w:p>
        </w:tc>
        <w:tc>
          <w:tcPr>
            <w:tcW w:w="1152" w:type="dxa"/>
            <w:tcBorders>
              <w:top w:val="nil"/>
              <w:left w:val="single" w:sz="4" w:space="0" w:color="auto"/>
              <w:bottom w:val="single" w:sz="4" w:space="0" w:color="auto"/>
              <w:right w:val="nil"/>
            </w:tcBorders>
            <w:shd w:val="clear" w:color="auto" w:fill="DCE6F1"/>
            <w:noWrap/>
            <w:vAlign w:val="bottom"/>
            <w:hideMark/>
          </w:tcPr>
          <w:p w14:paraId="468B9F63" w14:textId="77777777" w:rsidR="007F1533" w:rsidRPr="00A73CF0" w:rsidRDefault="007F1533">
            <w:pPr>
              <w:spacing w:line="240" w:lineRule="auto"/>
              <w:rPr>
                <w:rFonts w:ascii="Arial" w:eastAsia="Times New Roman" w:hAnsi="Arial" w:cs="Arial"/>
                <w:b/>
                <w:bCs/>
                <w:color w:val="000000"/>
                <w:lang w:eastAsia="en-GB"/>
              </w:rPr>
            </w:pPr>
            <w:r w:rsidRPr="00A73CF0">
              <w:rPr>
                <w:rFonts w:ascii="Arial" w:eastAsia="Times New Roman" w:hAnsi="Arial" w:cs="Arial"/>
                <w:b/>
                <w:bCs/>
                <w:color w:val="000000"/>
                <w:lang w:eastAsia="en-GB"/>
              </w:rPr>
              <w:t>2023-24</w:t>
            </w:r>
          </w:p>
        </w:tc>
        <w:tc>
          <w:tcPr>
            <w:tcW w:w="1134" w:type="dxa"/>
            <w:tcBorders>
              <w:top w:val="nil"/>
              <w:left w:val="nil"/>
              <w:bottom w:val="single" w:sz="4" w:space="0" w:color="auto"/>
              <w:right w:val="single" w:sz="4" w:space="0" w:color="auto"/>
            </w:tcBorders>
            <w:shd w:val="clear" w:color="auto" w:fill="DCE6F1"/>
            <w:noWrap/>
            <w:vAlign w:val="bottom"/>
            <w:hideMark/>
          </w:tcPr>
          <w:p w14:paraId="756E6BFC" w14:textId="77777777" w:rsidR="007F1533" w:rsidRPr="00A73CF0" w:rsidRDefault="007F1533">
            <w:pPr>
              <w:spacing w:line="240" w:lineRule="auto"/>
              <w:rPr>
                <w:rFonts w:ascii="Arial" w:eastAsia="Times New Roman" w:hAnsi="Arial" w:cs="Arial"/>
                <w:b/>
                <w:bCs/>
                <w:color w:val="000000"/>
                <w:lang w:eastAsia="en-GB"/>
              </w:rPr>
            </w:pPr>
            <w:r w:rsidRPr="00A73CF0">
              <w:rPr>
                <w:rFonts w:ascii="Arial" w:eastAsia="Times New Roman" w:hAnsi="Arial" w:cs="Arial"/>
                <w:b/>
                <w:bCs/>
                <w:color w:val="000000"/>
                <w:lang w:eastAsia="en-GB"/>
              </w:rPr>
              <w:t>2022-23</w:t>
            </w:r>
          </w:p>
        </w:tc>
        <w:tc>
          <w:tcPr>
            <w:tcW w:w="1134" w:type="dxa"/>
            <w:tcBorders>
              <w:top w:val="nil"/>
              <w:left w:val="single" w:sz="4" w:space="0" w:color="auto"/>
              <w:bottom w:val="single" w:sz="4" w:space="0" w:color="auto"/>
              <w:right w:val="nil"/>
            </w:tcBorders>
            <w:shd w:val="clear" w:color="auto" w:fill="DCE6F1"/>
            <w:noWrap/>
            <w:vAlign w:val="bottom"/>
            <w:hideMark/>
          </w:tcPr>
          <w:p w14:paraId="28318647" w14:textId="77777777" w:rsidR="007F1533" w:rsidRPr="00A73CF0" w:rsidRDefault="007F1533">
            <w:pPr>
              <w:spacing w:line="240" w:lineRule="auto"/>
              <w:rPr>
                <w:rFonts w:ascii="Arial" w:eastAsia="Times New Roman" w:hAnsi="Arial" w:cs="Arial"/>
                <w:b/>
                <w:bCs/>
                <w:color w:val="000000"/>
                <w:lang w:eastAsia="en-GB"/>
              </w:rPr>
            </w:pPr>
            <w:r w:rsidRPr="00A73CF0">
              <w:rPr>
                <w:rFonts w:ascii="Arial" w:eastAsia="Times New Roman" w:hAnsi="Arial" w:cs="Arial"/>
                <w:b/>
                <w:bCs/>
                <w:color w:val="000000"/>
                <w:lang w:eastAsia="en-GB"/>
              </w:rPr>
              <w:t>2023-24</w:t>
            </w:r>
          </w:p>
        </w:tc>
        <w:tc>
          <w:tcPr>
            <w:tcW w:w="1134" w:type="dxa"/>
            <w:tcBorders>
              <w:top w:val="nil"/>
              <w:left w:val="nil"/>
              <w:bottom w:val="single" w:sz="4" w:space="0" w:color="auto"/>
              <w:right w:val="single" w:sz="4" w:space="0" w:color="auto"/>
            </w:tcBorders>
            <w:shd w:val="clear" w:color="auto" w:fill="DCE6F1"/>
            <w:noWrap/>
            <w:vAlign w:val="bottom"/>
            <w:hideMark/>
          </w:tcPr>
          <w:p w14:paraId="0EF922A5" w14:textId="77777777" w:rsidR="007F1533" w:rsidRPr="00A73CF0" w:rsidRDefault="007F1533">
            <w:pPr>
              <w:spacing w:line="240" w:lineRule="auto"/>
              <w:rPr>
                <w:rFonts w:ascii="Arial" w:eastAsia="Times New Roman" w:hAnsi="Arial" w:cs="Arial"/>
                <w:b/>
                <w:bCs/>
                <w:color w:val="000000"/>
                <w:lang w:eastAsia="en-GB"/>
              </w:rPr>
            </w:pPr>
            <w:r w:rsidRPr="00A73CF0">
              <w:rPr>
                <w:rFonts w:ascii="Arial" w:eastAsia="Times New Roman" w:hAnsi="Arial" w:cs="Arial"/>
                <w:b/>
                <w:bCs/>
                <w:color w:val="000000"/>
                <w:lang w:eastAsia="en-GB"/>
              </w:rPr>
              <w:t>2022-23</w:t>
            </w:r>
          </w:p>
        </w:tc>
        <w:tc>
          <w:tcPr>
            <w:tcW w:w="1134" w:type="dxa"/>
            <w:tcBorders>
              <w:top w:val="nil"/>
              <w:left w:val="single" w:sz="4" w:space="0" w:color="auto"/>
              <w:bottom w:val="single" w:sz="4" w:space="0" w:color="auto"/>
              <w:right w:val="nil"/>
            </w:tcBorders>
            <w:shd w:val="clear" w:color="auto" w:fill="DCE6F1"/>
            <w:noWrap/>
            <w:vAlign w:val="bottom"/>
            <w:hideMark/>
          </w:tcPr>
          <w:p w14:paraId="06B2C70C" w14:textId="77777777" w:rsidR="007F1533" w:rsidRPr="00A73CF0" w:rsidRDefault="007F1533">
            <w:pPr>
              <w:spacing w:line="240" w:lineRule="auto"/>
              <w:rPr>
                <w:rFonts w:ascii="Arial" w:eastAsia="Times New Roman" w:hAnsi="Arial" w:cs="Arial"/>
                <w:b/>
                <w:bCs/>
                <w:color w:val="000000"/>
                <w:lang w:eastAsia="en-GB"/>
              </w:rPr>
            </w:pPr>
            <w:r w:rsidRPr="00A73CF0">
              <w:rPr>
                <w:rFonts w:ascii="Arial" w:eastAsia="Times New Roman" w:hAnsi="Arial" w:cs="Arial"/>
                <w:b/>
                <w:bCs/>
                <w:color w:val="000000"/>
                <w:lang w:eastAsia="en-GB"/>
              </w:rPr>
              <w:t>2023-24</w:t>
            </w:r>
          </w:p>
        </w:tc>
        <w:tc>
          <w:tcPr>
            <w:tcW w:w="1134" w:type="dxa"/>
            <w:tcBorders>
              <w:top w:val="nil"/>
              <w:left w:val="nil"/>
              <w:bottom w:val="single" w:sz="4" w:space="0" w:color="auto"/>
              <w:right w:val="single" w:sz="4" w:space="0" w:color="auto"/>
            </w:tcBorders>
            <w:shd w:val="clear" w:color="auto" w:fill="DCE6F1"/>
            <w:noWrap/>
            <w:vAlign w:val="bottom"/>
            <w:hideMark/>
          </w:tcPr>
          <w:p w14:paraId="138AC631" w14:textId="77777777" w:rsidR="007F1533" w:rsidRPr="00A73CF0" w:rsidRDefault="007F1533">
            <w:pPr>
              <w:spacing w:line="240" w:lineRule="auto"/>
              <w:rPr>
                <w:rFonts w:ascii="Arial" w:eastAsia="Times New Roman" w:hAnsi="Arial" w:cs="Arial"/>
                <w:b/>
                <w:bCs/>
                <w:color w:val="000000"/>
                <w:lang w:eastAsia="en-GB"/>
              </w:rPr>
            </w:pPr>
            <w:r w:rsidRPr="00A73CF0">
              <w:rPr>
                <w:rFonts w:ascii="Arial" w:eastAsia="Times New Roman" w:hAnsi="Arial" w:cs="Arial"/>
                <w:b/>
                <w:bCs/>
                <w:color w:val="000000"/>
                <w:lang w:eastAsia="en-GB"/>
              </w:rPr>
              <w:t>2022-23</w:t>
            </w:r>
          </w:p>
        </w:tc>
      </w:tr>
      <w:tr w:rsidR="007F1533" w:rsidRPr="00A73CF0" w14:paraId="7982E4DF" w14:textId="77777777">
        <w:trPr>
          <w:trHeight w:val="300"/>
        </w:trPr>
        <w:tc>
          <w:tcPr>
            <w:tcW w:w="2547" w:type="dxa"/>
            <w:shd w:val="clear" w:color="auto" w:fill="auto"/>
            <w:noWrap/>
            <w:vAlign w:val="bottom"/>
          </w:tcPr>
          <w:p w14:paraId="742A27AC" w14:textId="77777777" w:rsidR="007F1533" w:rsidRPr="00A73CF0" w:rsidRDefault="007F1533">
            <w:pPr>
              <w:spacing w:after="0"/>
              <w:rPr>
                <w:rFonts w:ascii="Arial" w:hAnsi="Arial" w:cs="Arial"/>
                <w:lang w:eastAsia="en-GB"/>
              </w:rPr>
            </w:pPr>
            <w:r w:rsidRPr="00A73CF0">
              <w:rPr>
                <w:rFonts w:ascii="Arial" w:hAnsi="Arial" w:cs="Arial"/>
                <w:lang w:eastAsia="en-GB"/>
              </w:rPr>
              <w:t>Alec Pybus</w:t>
            </w:r>
          </w:p>
          <w:p w14:paraId="1040F536" w14:textId="77777777" w:rsidR="007F1533" w:rsidRPr="00A73CF0" w:rsidRDefault="007F1533">
            <w:pPr>
              <w:spacing w:after="0"/>
              <w:rPr>
                <w:rFonts w:ascii="Arial" w:hAnsi="Arial" w:cs="Arial"/>
                <w:lang w:eastAsia="en-GB"/>
              </w:rPr>
            </w:pPr>
            <w:r w:rsidRPr="00A73CF0">
              <w:rPr>
                <w:rFonts w:ascii="Arial" w:hAnsi="Arial" w:cs="Arial"/>
                <w:lang w:eastAsia="en-GB"/>
              </w:rPr>
              <w:t>Chief Operating Officer</w:t>
            </w:r>
          </w:p>
        </w:tc>
        <w:tc>
          <w:tcPr>
            <w:tcW w:w="1134" w:type="dxa"/>
            <w:shd w:val="clear" w:color="auto" w:fill="auto"/>
            <w:noWrap/>
            <w:vAlign w:val="center"/>
          </w:tcPr>
          <w:p w14:paraId="270BD8AF"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110-115</w:t>
            </w:r>
          </w:p>
        </w:tc>
        <w:tc>
          <w:tcPr>
            <w:tcW w:w="1134" w:type="dxa"/>
            <w:shd w:val="clear" w:color="auto" w:fill="auto"/>
            <w:noWrap/>
            <w:vAlign w:val="center"/>
          </w:tcPr>
          <w:p w14:paraId="0C8470AB"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100-105</w:t>
            </w:r>
          </w:p>
        </w:tc>
        <w:tc>
          <w:tcPr>
            <w:tcW w:w="1134" w:type="dxa"/>
            <w:shd w:val="clear" w:color="auto" w:fill="auto"/>
            <w:noWrap/>
            <w:vAlign w:val="center"/>
          </w:tcPr>
          <w:p w14:paraId="4FE30159"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5-10</w:t>
            </w:r>
          </w:p>
        </w:tc>
        <w:tc>
          <w:tcPr>
            <w:tcW w:w="1116" w:type="dxa"/>
            <w:shd w:val="clear" w:color="auto" w:fill="auto"/>
            <w:noWrap/>
            <w:vAlign w:val="center"/>
          </w:tcPr>
          <w:p w14:paraId="52B79A22"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0-5</w:t>
            </w:r>
          </w:p>
        </w:tc>
        <w:tc>
          <w:tcPr>
            <w:tcW w:w="1152" w:type="dxa"/>
            <w:shd w:val="clear" w:color="auto" w:fill="auto"/>
            <w:noWrap/>
            <w:vAlign w:val="center"/>
          </w:tcPr>
          <w:p w14:paraId="68A0EC48"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34" w:type="dxa"/>
            <w:shd w:val="clear" w:color="auto" w:fill="auto"/>
            <w:noWrap/>
            <w:vAlign w:val="center"/>
          </w:tcPr>
          <w:p w14:paraId="00956F82"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34" w:type="dxa"/>
            <w:shd w:val="clear" w:color="auto" w:fill="auto"/>
            <w:noWrap/>
            <w:vAlign w:val="center"/>
          </w:tcPr>
          <w:p w14:paraId="7FE39089"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w:t>
            </w:r>
          </w:p>
        </w:tc>
        <w:tc>
          <w:tcPr>
            <w:tcW w:w="1134" w:type="dxa"/>
            <w:shd w:val="clear" w:color="auto" w:fill="auto"/>
            <w:noWrap/>
            <w:vAlign w:val="center"/>
          </w:tcPr>
          <w:p w14:paraId="582CCE75"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40</w:t>
            </w:r>
          </w:p>
        </w:tc>
        <w:tc>
          <w:tcPr>
            <w:tcW w:w="1134" w:type="dxa"/>
            <w:shd w:val="clear" w:color="auto" w:fill="auto"/>
            <w:noWrap/>
            <w:vAlign w:val="center"/>
          </w:tcPr>
          <w:p w14:paraId="49F93918"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120-125</w:t>
            </w:r>
          </w:p>
        </w:tc>
        <w:tc>
          <w:tcPr>
            <w:tcW w:w="1134" w:type="dxa"/>
            <w:shd w:val="clear" w:color="auto" w:fill="auto"/>
            <w:noWrap/>
            <w:vAlign w:val="center"/>
          </w:tcPr>
          <w:p w14:paraId="79101858" w14:textId="49246A56" w:rsidR="007F1533" w:rsidRPr="00A73CF0" w:rsidRDefault="00F442DB">
            <w:pPr>
              <w:spacing w:after="0" w:line="240" w:lineRule="auto"/>
              <w:jc w:val="center"/>
              <w:rPr>
                <w:rFonts w:ascii="Arial" w:eastAsia="Times New Roman" w:hAnsi="Arial" w:cs="Arial"/>
                <w:color w:val="000000"/>
                <w:lang w:eastAsia="en-GB"/>
              </w:rPr>
            </w:pPr>
            <w:r>
              <w:rPr>
                <w:rFonts w:ascii="Arial" w:hAnsi="Arial" w:cs="Arial"/>
                <w:sz w:val="24"/>
                <w:szCs w:val="24"/>
              </w:rPr>
              <w:t>145</w:t>
            </w:r>
            <w:r w:rsidR="007F1533">
              <w:rPr>
                <w:rFonts w:ascii="Arial" w:hAnsi="Arial" w:cs="Arial"/>
                <w:sz w:val="24"/>
                <w:szCs w:val="24"/>
              </w:rPr>
              <w:t>-150</w:t>
            </w:r>
          </w:p>
        </w:tc>
      </w:tr>
      <w:tr w:rsidR="007F1533" w:rsidRPr="00A73CF0" w14:paraId="5AC61E99" w14:textId="77777777">
        <w:trPr>
          <w:trHeight w:val="583"/>
        </w:trPr>
        <w:tc>
          <w:tcPr>
            <w:tcW w:w="2547" w:type="dxa"/>
            <w:shd w:val="clear" w:color="auto" w:fill="auto"/>
            <w:noWrap/>
            <w:vAlign w:val="bottom"/>
          </w:tcPr>
          <w:p w14:paraId="2D93376C" w14:textId="77777777" w:rsidR="007F1533" w:rsidRPr="00A73CF0" w:rsidRDefault="007F1533">
            <w:pPr>
              <w:spacing w:after="0"/>
              <w:rPr>
                <w:rFonts w:ascii="Arial" w:hAnsi="Arial" w:cs="Arial"/>
                <w:lang w:eastAsia="en-GB"/>
              </w:rPr>
            </w:pPr>
            <w:r w:rsidRPr="00A73CF0">
              <w:rPr>
                <w:rFonts w:ascii="Arial" w:hAnsi="Arial" w:cs="Arial"/>
                <w:lang w:eastAsia="en-GB"/>
              </w:rPr>
              <w:t>Angela Crossley</w:t>
            </w:r>
          </w:p>
          <w:p w14:paraId="03C2002E" w14:textId="77777777" w:rsidR="007F1533" w:rsidRPr="00A73CF0" w:rsidRDefault="007F1533">
            <w:pPr>
              <w:spacing w:after="0" w:line="240" w:lineRule="auto"/>
              <w:rPr>
                <w:rFonts w:ascii="Arial" w:hAnsi="Arial" w:cs="Arial"/>
              </w:rPr>
            </w:pPr>
            <w:r w:rsidRPr="00A73CF0">
              <w:rPr>
                <w:rFonts w:ascii="Arial" w:hAnsi="Arial" w:cs="Arial"/>
              </w:rPr>
              <w:t>Strategy, Policy and Analysis Director</w:t>
            </w:r>
          </w:p>
        </w:tc>
        <w:tc>
          <w:tcPr>
            <w:tcW w:w="1134" w:type="dxa"/>
            <w:shd w:val="clear" w:color="auto" w:fill="auto"/>
            <w:noWrap/>
            <w:vAlign w:val="center"/>
          </w:tcPr>
          <w:p w14:paraId="448DA54D"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95-100</w:t>
            </w:r>
          </w:p>
        </w:tc>
        <w:tc>
          <w:tcPr>
            <w:tcW w:w="1134" w:type="dxa"/>
            <w:shd w:val="clear" w:color="auto" w:fill="auto"/>
            <w:noWrap/>
            <w:vAlign w:val="center"/>
          </w:tcPr>
          <w:p w14:paraId="090B447B" w14:textId="77777777" w:rsidR="007F1533" w:rsidRPr="00A73CF0" w:rsidRDefault="007F1533">
            <w:pPr>
              <w:spacing w:after="0" w:line="240" w:lineRule="auto"/>
              <w:jc w:val="center"/>
              <w:rPr>
                <w:rFonts w:ascii="Arial" w:eastAsia="Times New Roman" w:hAnsi="Arial" w:cs="Arial"/>
                <w:color w:val="000000"/>
                <w:vertAlign w:val="superscript"/>
                <w:lang w:eastAsia="en-GB"/>
              </w:rPr>
            </w:pPr>
            <w:r w:rsidRPr="00A73CF0">
              <w:rPr>
                <w:rFonts w:ascii="Arial" w:eastAsia="Times New Roman" w:hAnsi="Arial" w:cs="Arial"/>
                <w:color w:val="000000"/>
                <w:lang w:eastAsia="en-GB"/>
              </w:rPr>
              <w:t>90-95</w:t>
            </w:r>
          </w:p>
        </w:tc>
        <w:tc>
          <w:tcPr>
            <w:tcW w:w="1134" w:type="dxa"/>
            <w:shd w:val="clear" w:color="auto" w:fill="auto"/>
            <w:noWrap/>
            <w:vAlign w:val="center"/>
          </w:tcPr>
          <w:p w14:paraId="104EDD6E"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16" w:type="dxa"/>
            <w:shd w:val="clear" w:color="auto" w:fill="auto"/>
            <w:noWrap/>
            <w:vAlign w:val="center"/>
          </w:tcPr>
          <w:p w14:paraId="3C918806"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52" w:type="dxa"/>
            <w:shd w:val="clear" w:color="auto" w:fill="auto"/>
            <w:noWrap/>
            <w:vAlign w:val="center"/>
          </w:tcPr>
          <w:p w14:paraId="361C1776"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34" w:type="dxa"/>
            <w:shd w:val="clear" w:color="auto" w:fill="auto"/>
            <w:noWrap/>
            <w:vAlign w:val="center"/>
          </w:tcPr>
          <w:p w14:paraId="6EBCD611"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34" w:type="dxa"/>
            <w:shd w:val="clear" w:color="auto" w:fill="auto"/>
            <w:noWrap/>
            <w:vAlign w:val="center"/>
          </w:tcPr>
          <w:p w14:paraId="5D6D3FF6"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w:t>
            </w:r>
          </w:p>
        </w:tc>
        <w:tc>
          <w:tcPr>
            <w:tcW w:w="1134" w:type="dxa"/>
            <w:shd w:val="clear" w:color="auto" w:fill="auto"/>
            <w:noWrap/>
            <w:vAlign w:val="center"/>
          </w:tcPr>
          <w:p w14:paraId="433BAEE3"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(13)</w:t>
            </w:r>
          </w:p>
        </w:tc>
        <w:tc>
          <w:tcPr>
            <w:tcW w:w="1134" w:type="dxa"/>
            <w:shd w:val="clear" w:color="auto" w:fill="auto"/>
            <w:noWrap/>
            <w:vAlign w:val="center"/>
          </w:tcPr>
          <w:p w14:paraId="63B1113B"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95-100</w:t>
            </w:r>
          </w:p>
        </w:tc>
        <w:tc>
          <w:tcPr>
            <w:tcW w:w="1134" w:type="dxa"/>
            <w:shd w:val="clear" w:color="auto" w:fill="auto"/>
            <w:noWrap/>
            <w:vAlign w:val="center"/>
          </w:tcPr>
          <w:p w14:paraId="1AEEEB50"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hAnsi="Arial" w:cs="Arial"/>
              </w:rPr>
              <w:t>75-80</w:t>
            </w:r>
          </w:p>
        </w:tc>
      </w:tr>
      <w:tr w:rsidR="007F1533" w:rsidRPr="00A73CF0" w14:paraId="6819A36A" w14:textId="77777777">
        <w:trPr>
          <w:trHeight w:val="300"/>
        </w:trPr>
        <w:tc>
          <w:tcPr>
            <w:tcW w:w="2547" w:type="dxa"/>
            <w:shd w:val="clear" w:color="auto" w:fill="auto"/>
            <w:noWrap/>
            <w:vAlign w:val="bottom"/>
          </w:tcPr>
          <w:p w14:paraId="7D90B8CF" w14:textId="77777777" w:rsidR="007F1533" w:rsidRPr="00A73CF0" w:rsidRDefault="007F1533">
            <w:pPr>
              <w:spacing w:after="0"/>
              <w:rPr>
                <w:rFonts w:ascii="Arial" w:hAnsi="Arial" w:cs="Arial"/>
                <w:lang w:eastAsia="en-GB"/>
              </w:rPr>
            </w:pPr>
            <w:r w:rsidRPr="00A73CF0">
              <w:rPr>
                <w:rFonts w:ascii="Arial" w:hAnsi="Arial" w:cs="Arial"/>
                <w:lang w:eastAsia="en-GB"/>
              </w:rPr>
              <w:t>Christopher Pleass</w:t>
            </w:r>
          </w:p>
          <w:p w14:paraId="340EC640" w14:textId="77777777" w:rsidR="007F1533" w:rsidRPr="00A73CF0" w:rsidRDefault="007F1533">
            <w:pPr>
              <w:spacing w:after="0" w:line="240" w:lineRule="auto"/>
              <w:rPr>
                <w:rFonts w:ascii="Arial" w:hAnsi="Arial" w:cs="Arial"/>
              </w:rPr>
            </w:pPr>
            <w:r w:rsidRPr="00A73CF0">
              <w:rPr>
                <w:rFonts w:ascii="Arial" w:hAnsi="Arial" w:cs="Arial"/>
              </w:rPr>
              <w:t xml:space="preserve">Finance, Commercial, </w:t>
            </w:r>
            <w:r w:rsidRPr="00A73CF0">
              <w:rPr>
                <w:rFonts w:ascii="Arial" w:hAnsi="Arial" w:cs="Arial"/>
                <w:color w:val="000000"/>
                <w:shd w:val="clear" w:color="auto" w:fill="FFFFFF"/>
              </w:rPr>
              <w:t>Sustainability and Property</w:t>
            </w:r>
            <w:r w:rsidRPr="00A73CF0">
              <w:rPr>
                <w:rFonts w:ascii="Arial" w:hAnsi="Arial" w:cs="Arial"/>
              </w:rPr>
              <w:t xml:space="preserve"> Director</w:t>
            </w:r>
          </w:p>
        </w:tc>
        <w:tc>
          <w:tcPr>
            <w:tcW w:w="1134" w:type="dxa"/>
            <w:shd w:val="clear" w:color="auto" w:fill="auto"/>
            <w:noWrap/>
            <w:vAlign w:val="center"/>
          </w:tcPr>
          <w:p w14:paraId="35D85234"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100-105</w:t>
            </w:r>
          </w:p>
        </w:tc>
        <w:tc>
          <w:tcPr>
            <w:tcW w:w="1134" w:type="dxa"/>
            <w:shd w:val="clear" w:color="auto" w:fill="auto"/>
            <w:noWrap/>
            <w:vAlign w:val="center"/>
          </w:tcPr>
          <w:p w14:paraId="46D65D45"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95-100</w:t>
            </w:r>
          </w:p>
        </w:tc>
        <w:tc>
          <w:tcPr>
            <w:tcW w:w="1134" w:type="dxa"/>
            <w:shd w:val="clear" w:color="auto" w:fill="auto"/>
            <w:noWrap/>
            <w:vAlign w:val="center"/>
          </w:tcPr>
          <w:p w14:paraId="28C50BBD"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16" w:type="dxa"/>
            <w:shd w:val="clear" w:color="auto" w:fill="auto"/>
            <w:noWrap/>
            <w:vAlign w:val="center"/>
          </w:tcPr>
          <w:p w14:paraId="2A602C2D"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5-10</w:t>
            </w:r>
          </w:p>
        </w:tc>
        <w:tc>
          <w:tcPr>
            <w:tcW w:w="1152" w:type="dxa"/>
            <w:shd w:val="clear" w:color="auto" w:fill="auto"/>
            <w:noWrap/>
            <w:vAlign w:val="center"/>
          </w:tcPr>
          <w:p w14:paraId="468B7E02"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34" w:type="dxa"/>
            <w:shd w:val="clear" w:color="auto" w:fill="auto"/>
            <w:noWrap/>
            <w:vAlign w:val="center"/>
          </w:tcPr>
          <w:p w14:paraId="706DED63"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34" w:type="dxa"/>
            <w:shd w:val="clear" w:color="auto" w:fill="auto"/>
            <w:noWrap/>
            <w:vAlign w:val="center"/>
          </w:tcPr>
          <w:p w14:paraId="4438E6ED"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w:t>
            </w:r>
          </w:p>
        </w:tc>
        <w:tc>
          <w:tcPr>
            <w:tcW w:w="1134" w:type="dxa"/>
            <w:shd w:val="clear" w:color="auto" w:fill="auto"/>
            <w:noWrap/>
            <w:vAlign w:val="center"/>
          </w:tcPr>
          <w:p w14:paraId="55FFE498"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17</w:t>
            </w:r>
          </w:p>
        </w:tc>
        <w:tc>
          <w:tcPr>
            <w:tcW w:w="1134" w:type="dxa"/>
            <w:shd w:val="clear" w:color="auto" w:fill="auto"/>
            <w:noWrap/>
            <w:vAlign w:val="center"/>
          </w:tcPr>
          <w:p w14:paraId="54F17488"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100-105</w:t>
            </w:r>
          </w:p>
        </w:tc>
        <w:tc>
          <w:tcPr>
            <w:tcW w:w="1134" w:type="dxa"/>
            <w:shd w:val="clear" w:color="auto" w:fill="auto"/>
            <w:noWrap/>
            <w:vAlign w:val="center"/>
          </w:tcPr>
          <w:p w14:paraId="4E107307"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hAnsi="Arial" w:cs="Arial"/>
              </w:rPr>
              <w:t>115-120</w:t>
            </w:r>
          </w:p>
        </w:tc>
      </w:tr>
      <w:tr w:rsidR="007F1533" w:rsidRPr="00A73CF0" w14:paraId="52396E1E" w14:textId="77777777">
        <w:trPr>
          <w:trHeight w:val="300"/>
        </w:trPr>
        <w:tc>
          <w:tcPr>
            <w:tcW w:w="2547" w:type="dxa"/>
            <w:tcBorders>
              <w:top w:val="single" w:sz="4" w:space="0" w:color="auto"/>
            </w:tcBorders>
            <w:shd w:val="clear" w:color="auto" w:fill="auto"/>
            <w:noWrap/>
            <w:vAlign w:val="bottom"/>
          </w:tcPr>
          <w:p w14:paraId="3A9F0B79" w14:textId="77777777" w:rsidR="007F1533" w:rsidRPr="00A73CF0" w:rsidRDefault="007F1533">
            <w:pPr>
              <w:spacing w:after="0"/>
              <w:rPr>
                <w:rFonts w:ascii="Arial" w:hAnsi="Arial" w:cs="Arial"/>
                <w:lang w:eastAsia="en-GB"/>
              </w:rPr>
            </w:pPr>
            <w:r w:rsidRPr="00A73CF0">
              <w:rPr>
                <w:rFonts w:ascii="Arial" w:hAnsi="Arial" w:cs="Arial"/>
                <w:lang w:eastAsia="en-GB"/>
              </w:rPr>
              <w:t xml:space="preserve">Daniel Goad </w:t>
            </w:r>
          </w:p>
          <w:p w14:paraId="0288055D" w14:textId="77777777" w:rsidR="007F1533" w:rsidRPr="00A73CF0" w:rsidRDefault="007F1533">
            <w:pPr>
              <w:spacing w:after="0"/>
              <w:rPr>
                <w:rFonts w:ascii="Arial" w:hAnsi="Arial" w:cs="Arial"/>
                <w:lang w:eastAsia="en-GB"/>
              </w:rPr>
            </w:pPr>
            <w:r w:rsidRPr="00A73CF0">
              <w:rPr>
                <w:rFonts w:ascii="Arial" w:hAnsi="Arial" w:cs="Arial"/>
                <w:lang w:eastAsia="en-GB"/>
              </w:rPr>
              <w:t xml:space="preserve">People &amp; Capability Director </w:t>
            </w:r>
          </w:p>
        </w:tc>
        <w:tc>
          <w:tcPr>
            <w:tcW w:w="1134" w:type="dxa"/>
            <w:tcBorders>
              <w:top w:val="single" w:sz="4" w:space="0" w:color="auto"/>
            </w:tcBorders>
            <w:shd w:val="clear" w:color="auto" w:fill="auto"/>
            <w:noWrap/>
            <w:vAlign w:val="center"/>
          </w:tcPr>
          <w:p w14:paraId="3742838C"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105-110</w:t>
            </w:r>
          </w:p>
        </w:tc>
        <w:tc>
          <w:tcPr>
            <w:tcW w:w="1134" w:type="dxa"/>
            <w:tcBorders>
              <w:top w:val="single" w:sz="4" w:space="0" w:color="auto"/>
            </w:tcBorders>
            <w:shd w:val="clear" w:color="auto" w:fill="auto"/>
            <w:noWrap/>
            <w:vAlign w:val="center"/>
          </w:tcPr>
          <w:p w14:paraId="0DBD65A3"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95-100</w:t>
            </w:r>
          </w:p>
        </w:tc>
        <w:tc>
          <w:tcPr>
            <w:tcW w:w="1134" w:type="dxa"/>
            <w:tcBorders>
              <w:top w:val="single" w:sz="4" w:space="0" w:color="auto"/>
            </w:tcBorders>
            <w:shd w:val="clear" w:color="auto" w:fill="auto"/>
            <w:noWrap/>
            <w:vAlign w:val="center"/>
          </w:tcPr>
          <w:p w14:paraId="35F0C52E"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0-5</w:t>
            </w:r>
          </w:p>
        </w:tc>
        <w:tc>
          <w:tcPr>
            <w:tcW w:w="1116" w:type="dxa"/>
            <w:tcBorders>
              <w:top w:val="single" w:sz="4" w:space="0" w:color="auto"/>
            </w:tcBorders>
            <w:shd w:val="clear" w:color="auto" w:fill="auto"/>
            <w:noWrap/>
            <w:vAlign w:val="center"/>
          </w:tcPr>
          <w:p w14:paraId="70C93A91"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52" w:type="dxa"/>
            <w:tcBorders>
              <w:top w:val="single" w:sz="4" w:space="0" w:color="auto"/>
            </w:tcBorders>
            <w:shd w:val="clear" w:color="auto" w:fill="auto"/>
            <w:noWrap/>
            <w:vAlign w:val="center"/>
          </w:tcPr>
          <w:p w14:paraId="72D8CA1A"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34" w:type="dxa"/>
            <w:tcBorders>
              <w:top w:val="single" w:sz="4" w:space="0" w:color="auto"/>
            </w:tcBorders>
            <w:shd w:val="clear" w:color="auto" w:fill="auto"/>
            <w:noWrap/>
            <w:vAlign w:val="center"/>
          </w:tcPr>
          <w:p w14:paraId="01CE4A59"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34" w:type="dxa"/>
            <w:tcBorders>
              <w:top w:val="single" w:sz="4" w:space="0" w:color="auto"/>
            </w:tcBorders>
            <w:shd w:val="clear" w:color="auto" w:fill="auto"/>
            <w:noWrap/>
            <w:vAlign w:val="center"/>
          </w:tcPr>
          <w:p w14:paraId="6206F865"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w:t>
            </w:r>
          </w:p>
        </w:tc>
        <w:tc>
          <w:tcPr>
            <w:tcW w:w="1134" w:type="dxa"/>
            <w:tcBorders>
              <w:top w:val="single" w:sz="4" w:space="0" w:color="auto"/>
            </w:tcBorders>
            <w:shd w:val="clear" w:color="auto" w:fill="auto"/>
            <w:noWrap/>
            <w:vAlign w:val="center"/>
          </w:tcPr>
          <w:p w14:paraId="40742026"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38</w:t>
            </w:r>
          </w:p>
        </w:tc>
        <w:tc>
          <w:tcPr>
            <w:tcW w:w="1134" w:type="dxa"/>
            <w:tcBorders>
              <w:top w:val="single" w:sz="4" w:space="0" w:color="auto"/>
            </w:tcBorders>
            <w:shd w:val="clear" w:color="auto" w:fill="auto"/>
            <w:noWrap/>
            <w:vAlign w:val="center"/>
          </w:tcPr>
          <w:p w14:paraId="42021A09"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105-110</w:t>
            </w:r>
          </w:p>
        </w:tc>
        <w:tc>
          <w:tcPr>
            <w:tcW w:w="1134" w:type="dxa"/>
            <w:tcBorders>
              <w:top w:val="single" w:sz="4" w:space="0" w:color="auto"/>
            </w:tcBorders>
            <w:shd w:val="clear" w:color="auto" w:fill="auto"/>
            <w:noWrap/>
            <w:vAlign w:val="center"/>
          </w:tcPr>
          <w:p w14:paraId="65ADA901"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hAnsi="Arial" w:cs="Arial"/>
              </w:rPr>
              <w:t>135-140</w:t>
            </w:r>
          </w:p>
        </w:tc>
      </w:tr>
      <w:tr w:rsidR="007F1533" w:rsidRPr="00A73CF0" w14:paraId="5AF1B6C1" w14:textId="77777777">
        <w:trPr>
          <w:trHeight w:val="435"/>
        </w:trPr>
        <w:tc>
          <w:tcPr>
            <w:tcW w:w="2547" w:type="dxa"/>
            <w:shd w:val="clear" w:color="auto" w:fill="auto"/>
            <w:noWrap/>
            <w:vAlign w:val="bottom"/>
          </w:tcPr>
          <w:p w14:paraId="00425E2D" w14:textId="77777777" w:rsidR="007F1533" w:rsidRPr="00A73CF0" w:rsidRDefault="007F1533">
            <w:pPr>
              <w:spacing w:after="0"/>
              <w:rPr>
                <w:rFonts w:ascii="Arial" w:hAnsi="Arial" w:cs="Arial"/>
                <w:lang w:eastAsia="en-GB"/>
              </w:rPr>
            </w:pPr>
            <w:r w:rsidRPr="00A73CF0">
              <w:rPr>
                <w:rFonts w:ascii="Arial" w:hAnsi="Arial" w:cs="Arial"/>
                <w:lang w:eastAsia="en-GB"/>
              </w:rPr>
              <w:t>Dean Beale</w:t>
            </w:r>
          </w:p>
          <w:p w14:paraId="0D239FB2" w14:textId="77777777" w:rsidR="007F1533" w:rsidRPr="00A73CF0" w:rsidRDefault="007F1533">
            <w:pPr>
              <w:spacing w:after="0"/>
              <w:rPr>
                <w:rFonts w:ascii="Arial" w:hAnsi="Arial" w:cs="Arial"/>
                <w:lang w:eastAsia="en-GB"/>
              </w:rPr>
            </w:pPr>
            <w:r w:rsidRPr="00A73CF0">
              <w:rPr>
                <w:rFonts w:ascii="Arial" w:hAnsi="Arial" w:cs="Arial"/>
                <w:lang w:eastAsia="en-GB"/>
              </w:rPr>
              <w:t>Chief Executive</w:t>
            </w:r>
          </w:p>
        </w:tc>
        <w:tc>
          <w:tcPr>
            <w:tcW w:w="1134" w:type="dxa"/>
            <w:shd w:val="clear" w:color="auto" w:fill="auto"/>
            <w:noWrap/>
            <w:vAlign w:val="center"/>
          </w:tcPr>
          <w:p w14:paraId="2AB21DC0"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110-115</w:t>
            </w:r>
          </w:p>
        </w:tc>
        <w:tc>
          <w:tcPr>
            <w:tcW w:w="1134" w:type="dxa"/>
            <w:shd w:val="clear" w:color="auto" w:fill="auto"/>
            <w:noWrap/>
            <w:vAlign w:val="center"/>
          </w:tcPr>
          <w:p w14:paraId="0E2C0571" w14:textId="77777777" w:rsidR="007F1533" w:rsidRPr="00A73CF0" w:rsidRDefault="007F1533">
            <w:pPr>
              <w:spacing w:after="0" w:line="240" w:lineRule="auto"/>
              <w:jc w:val="center"/>
              <w:rPr>
                <w:rFonts w:ascii="Arial" w:eastAsia="Times New Roman" w:hAnsi="Arial" w:cs="Arial"/>
                <w:color w:val="000000"/>
                <w:vertAlign w:val="superscript"/>
                <w:lang w:eastAsia="en-GB"/>
              </w:rPr>
            </w:pPr>
            <w:r w:rsidRPr="00A73CF0">
              <w:rPr>
                <w:rFonts w:ascii="Arial" w:eastAsia="Times New Roman" w:hAnsi="Arial" w:cs="Arial"/>
                <w:color w:val="000000"/>
                <w:lang w:eastAsia="en-GB"/>
              </w:rPr>
              <w:t>100-105</w:t>
            </w:r>
          </w:p>
        </w:tc>
        <w:tc>
          <w:tcPr>
            <w:tcW w:w="1134" w:type="dxa"/>
            <w:shd w:val="clear" w:color="auto" w:fill="auto"/>
            <w:noWrap/>
            <w:vAlign w:val="center"/>
          </w:tcPr>
          <w:p w14:paraId="49D97B35"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16" w:type="dxa"/>
            <w:shd w:val="clear" w:color="auto" w:fill="auto"/>
            <w:noWrap/>
            <w:vAlign w:val="center"/>
          </w:tcPr>
          <w:p w14:paraId="37587676"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5-10</w:t>
            </w:r>
          </w:p>
        </w:tc>
        <w:tc>
          <w:tcPr>
            <w:tcW w:w="1152" w:type="dxa"/>
            <w:shd w:val="clear" w:color="auto" w:fill="auto"/>
            <w:noWrap/>
            <w:vAlign w:val="center"/>
          </w:tcPr>
          <w:p w14:paraId="57C552B3"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34" w:type="dxa"/>
            <w:shd w:val="clear" w:color="auto" w:fill="auto"/>
            <w:noWrap/>
            <w:vAlign w:val="center"/>
          </w:tcPr>
          <w:p w14:paraId="480281F5"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Nil</w:t>
            </w:r>
          </w:p>
        </w:tc>
        <w:tc>
          <w:tcPr>
            <w:tcW w:w="1134" w:type="dxa"/>
            <w:shd w:val="clear" w:color="auto" w:fill="auto"/>
            <w:noWrap/>
            <w:vAlign w:val="center"/>
          </w:tcPr>
          <w:p w14:paraId="2340612F"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w:t>
            </w:r>
          </w:p>
        </w:tc>
        <w:tc>
          <w:tcPr>
            <w:tcW w:w="1134" w:type="dxa"/>
            <w:shd w:val="clear" w:color="auto" w:fill="auto"/>
            <w:noWrap/>
            <w:vAlign w:val="center"/>
          </w:tcPr>
          <w:p w14:paraId="77DCFEFE"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(3)</w:t>
            </w:r>
          </w:p>
        </w:tc>
        <w:tc>
          <w:tcPr>
            <w:tcW w:w="1134" w:type="dxa"/>
            <w:shd w:val="clear" w:color="auto" w:fill="auto"/>
            <w:noWrap/>
            <w:vAlign w:val="center"/>
          </w:tcPr>
          <w:p w14:paraId="742F5BF1"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110-115</w:t>
            </w:r>
          </w:p>
        </w:tc>
        <w:tc>
          <w:tcPr>
            <w:tcW w:w="1134" w:type="dxa"/>
            <w:shd w:val="clear" w:color="auto" w:fill="auto"/>
            <w:noWrap/>
            <w:vAlign w:val="center"/>
          </w:tcPr>
          <w:p w14:paraId="57E72E8D" w14:textId="77777777" w:rsidR="007F1533" w:rsidRPr="00A73CF0" w:rsidRDefault="007F1533">
            <w:pPr>
              <w:spacing w:after="0" w:line="240" w:lineRule="auto"/>
              <w:jc w:val="center"/>
              <w:rPr>
                <w:rFonts w:ascii="Arial" w:eastAsia="Times New Roman" w:hAnsi="Arial" w:cs="Arial"/>
                <w:color w:val="000000"/>
                <w:lang w:eastAsia="en-GB"/>
              </w:rPr>
            </w:pPr>
            <w:r w:rsidRPr="00A73CF0">
              <w:rPr>
                <w:rFonts w:ascii="Arial" w:hAnsi="Arial" w:cs="Arial"/>
              </w:rPr>
              <w:t>105-110</w:t>
            </w:r>
          </w:p>
        </w:tc>
      </w:tr>
    </w:tbl>
    <w:p w14:paraId="05FCFAA9" w14:textId="3278D781" w:rsidR="007F1533" w:rsidRPr="00A73CF0" w:rsidRDefault="007F1533" w:rsidP="007F1533">
      <w:pPr>
        <w:pStyle w:val="NoSpacing"/>
        <w:rPr>
          <w:rFonts w:ascii="Arial" w:hAnsi="Arial" w:cs="Arial"/>
          <w:sz w:val="18"/>
          <w:szCs w:val="18"/>
        </w:rPr>
      </w:pPr>
      <w:r w:rsidRPr="00A73CF0">
        <w:rPr>
          <w:rFonts w:ascii="Arial" w:hAnsi="Arial" w:cs="Arial"/>
          <w:sz w:val="18"/>
          <w:szCs w:val="18"/>
          <w:vertAlign w:val="superscript"/>
        </w:rPr>
        <w:br w:type="textWrapping" w:clear="all"/>
      </w:r>
      <w:r w:rsidRPr="00A73CF0">
        <w:rPr>
          <w:rFonts w:ascii="Arial" w:hAnsi="Arial" w:cs="Arial"/>
          <w:sz w:val="18"/>
          <w:szCs w:val="18"/>
          <w:vertAlign w:val="superscript"/>
        </w:rPr>
        <w:footnoteRef/>
      </w:r>
      <w:r w:rsidRPr="00A73CF0">
        <w:rPr>
          <w:rFonts w:ascii="Arial" w:hAnsi="Arial" w:cs="Arial"/>
          <w:sz w:val="18"/>
          <w:szCs w:val="18"/>
        </w:rPr>
        <w:t>Accrued pension benefits for directors are not included in this table for 2023</w:t>
      </w:r>
      <w:r w:rsidR="00A01F7B">
        <w:rPr>
          <w:rFonts w:ascii="Arial" w:hAnsi="Arial" w:cs="Arial"/>
          <w:sz w:val="18"/>
          <w:szCs w:val="18"/>
        </w:rPr>
        <w:t>-</w:t>
      </w:r>
      <w:r w:rsidRPr="00A73CF0">
        <w:rPr>
          <w:rFonts w:ascii="Arial" w:hAnsi="Arial" w:cs="Arial"/>
          <w:sz w:val="18"/>
          <w:szCs w:val="18"/>
        </w:rPr>
        <w:t xml:space="preserve">24 due </w:t>
      </w:r>
      <w:r w:rsidR="004346D7">
        <w:rPr>
          <w:rFonts w:ascii="Arial" w:hAnsi="Arial" w:cs="Arial"/>
          <w:sz w:val="18"/>
          <w:szCs w:val="18"/>
        </w:rPr>
        <w:t xml:space="preserve">to </w:t>
      </w:r>
      <w:r w:rsidRPr="00A73CF0">
        <w:rPr>
          <w:rFonts w:ascii="Arial" w:hAnsi="Arial" w:cs="Arial"/>
          <w:sz w:val="18"/>
          <w:szCs w:val="18"/>
        </w:rPr>
        <w:t>an exceptional delay in the calculation of these figures following the application of the public service pension remedy.</w:t>
      </w:r>
    </w:p>
    <w:p w14:paraId="5528D220" w14:textId="1CA644ED" w:rsidR="007F1533" w:rsidRPr="007F1533" w:rsidRDefault="007F1533" w:rsidP="007F1533">
      <w:pPr>
        <w:pStyle w:val="NoSpacing"/>
        <w:rPr>
          <w:rFonts w:ascii="Arial" w:hAnsi="Arial" w:cs="Arial"/>
          <w:sz w:val="18"/>
          <w:szCs w:val="18"/>
        </w:rPr>
      </w:pPr>
      <w:r w:rsidRPr="00A73CF0">
        <w:rPr>
          <w:rFonts w:ascii="Arial" w:hAnsi="Arial" w:cs="Arial"/>
          <w:sz w:val="18"/>
          <w:szCs w:val="18"/>
          <w:vertAlign w:val="superscript"/>
        </w:rPr>
        <w:t>2</w:t>
      </w:r>
      <w:r w:rsidRPr="00A73CF0">
        <w:rPr>
          <w:rFonts w:ascii="Arial" w:hAnsi="Arial" w:cs="Arial"/>
          <w:sz w:val="18"/>
          <w:szCs w:val="18"/>
        </w:rPr>
        <w:t>The value of pension benefits accrued during the year is calculated as (the real increase in pension multiplied by 20) plus (the real increase in any lump sum) less (the contributions made by the individual). The value of pension benefits accrued during the year is calculated by My CSP for each individual. The movement exclude increases due to inflation or any increase or decreases due to a transfer of pension rights. Taking account of inflation, the CETV funded by the employer can decreas</w:t>
      </w:r>
      <w:r w:rsidR="008A3817">
        <w:rPr>
          <w:rFonts w:ascii="Arial" w:hAnsi="Arial" w:cs="Arial"/>
          <w:sz w:val="18"/>
          <w:szCs w:val="18"/>
        </w:rPr>
        <w:t>e</w:t>
      </w:r>
      <w:r w:rsidRPr="00A73CF0">
        <w:rPr>
          <w:rFonts w:ascii="Arial" w:hAnsi="Arial" w:cs="Arial"/>
          <w:sz w:val="18"/>
          <w:szCs w:val="18"/>
        </w:rPr>
        <w:t xml:space="preserve"> in real terms. Any members affected by the Public Service Pensions Remedy were reported in the 2015 scheme for the period between 1 April 2015 and 31 March 2022 in </w:t>
      </w:r>
      <w:r w:rsidR="00AB41B0" w:rsidRPr="00A73CF0">
        <w:rPr>
          <w:rFonts w:ascii="Arial" w:hAnsi="Arial" w:cs="Arial"/>
          <w:sz w:val="18"/>
          <w:szCs w:val="18"/>
        </w:rPr>
        <w:t>2022-23 but</w:t>
      </w:r>
      <w:r w:rsidRPr="00A73CF0">
        <w:rPr>
          <w:rFonts w:ascii="Arial" w:hAnsi="Arial" w:cs="Arial"/>
          <w:sz w:val="18"/>
          <w:szCs w:val="18"/>
        </w:rPr>
        <w:t xml:space="preserve"> are reported in the legacy scheme for the same period in 2023-24.</w:t>
      </w:r>
    </w:p>
    <w:p w14:paraId="1A120053" w14:textId="77777777" w:rsidR="007F1533" w:rsidRPr="007F1533" w:rsidRDefault="007F1533" w:rsidP="007F1533">
      <w:pPr>
        <w:rPr>
          <w:rFonts w:ascii="Arial" w:eastAsia="Times New Roman" w:hAnsi="Arial" w:cs="Arial"/>
        </w:rPr>
      </w:pPr>
    </w:p>
    <w:p w14:paraId="3FA33CCE" w14:textId="77777777" w:rsidR="007F1533" w:rsidRPr="007F1533" w:rsidRDefault="007F1533" w:rsidP="007F1533">
      <w:pPr>
        <w:rPr>
          <w:rFonts w:ascii="Arial" w:eastAsia="Times New Roman" w:hAnsi="Arial" w:cs="Arial"/>
        </w:rPr>
        <w:sectPr w:rsidR="007F1533" w:rsidRPr="007F1533">
          <w:pgSz w:w="16838" w:h="11906" w:orient="landscape"/>
          <w:pgMar w:top="1440" w:right="1440" w:bottom="1276" w:left="1440" w:header="709" w:footer="709" w:gutter="0"/>
          <w:cols w:space="708"/>
          <w:docGrid w:linePitch="360"/>
        </w:sectPr>
      </w:pPr>
    </w:p>
    <w:p w14:paraId="74607DB4" w14:textId="77777777" w:rsidR="007F1533" w:rsidRPr="007F1533" w:rsidRDefault="007F1533" w:rsidP="007F1533">
      <w:pPr>
        <w:pStyle w:val="Heading4"/>
        <w:rPr>
          <w:rFonts w:cs="Arial"/>
        </w:rPr>
      </w:pPr>
      <w:r w:rsidRPr="007F1533">
        <w:rPr>
          <w:rFonts w:cs="Arial"/>
        </w:rPr>
        <w:lastRenderedPageBreak/>
        <w:t>Salary</w:t>
      </w:r>
    </w:p>
    <w:p w14:paraId="34C35E8C" w14:textId="77777777" w:rsidR="007F1533" w:rsidRPr="007F1533" w:rsidRDefault="007F1533" w:rsidP="007F1533">
      <w:pPr>
        <w:spacing w:line="240" w:lineRule="auto"/>
        <w:rPr>
          <w:rFonts w:ascii="Arial" w:hAnsi="Arial" w:cs="Arial"/>
          <w:sz w:val="24"/>
          <w:szCs w:val="24"/>
        </w:rPr>
      </w:pPr>
      <w:r w:rsidRPr="007F1533">
        <w:rPr>
          <w:rFonts w:ascii="Arial" w:hAnsi="Arial" w:cs="Arial"/>
          <w:sz w:val="24"/>
          <w:szCs w:val="24"/>
        </w:rPr>
        <w:t xml:space="preserve">‘Salary’ includes gross salary, overtime, reserved rights to London weighting or London allowances; recruitment and retention allowances, private office allowances, and any other allowance to the extent that it is subject to UK taxation. This report is based on accrued payments made by the Insolvency Service and thus recorded in these accounts.  </w:t>
      </w:r>
    </w:p>
    <w:p w14:paraId="460EF9F3" w14:textId="125F274F" w:rsidR="007F1533" w:rsidRPr="007F1533" w:rsidRDefault="007F1533" w:rsidP="007F1533">
      <w:pPr>
        <w:pStyle w:val="Heading4"/>
        <w:rPr>
          <w:rFonts w:cs="Arial"/>
        </w:rPr>
      </w:pPr>
      <w:r w:rsidRPr="007F1533">
        <w:rPr>
          <w:rFonts w:cs="Arial"/>
        </w:rPr>
        <w:t xml:space="preserve">Benefits in </w:t>
      </w:r>
      <w:r w:rsidR="004275E0">
        <w:rPr>
          <w:rFonts w:cs="Arial"/>
        </w:rPr>
        <w:t>K</w:t>
      </w:r>
      <w:r w:rsidRPr="007F1533">
        <w:rPr>
          <w:rFonts w:cs="Arial"/>
        </w:rPr>
        <w:t xml:space="preserve">ind  </w:t>
      </w:r>
    </w:p>
    <w:p w14:paraId="4797B7FE" w14:textId="77777777" w:rsidR="007F1533" w:rsidRPr="007F1533" w:rsidRDefault="007F1533" w:rsidP="007F1533">
      <w:pPr>
        <w:spacing w:line="240" w:lineRule="auto"/>
        <w:rPr>
          <w:rFonts w:ascii="Arial" w:hAnsi="Arial" w:cs="Arial"/>
          <w:sz w:val="24"/>
          <w:szCs w:val="24"/>
        </w:rPr>
      </w:pPr>
      <w:r w:rsidRPr="007F1533">
        <w:rPr>
          <w:rFonts w:ascii="Arial" w:hAnsi="Arial" w:cs="Arial"/>
          <w:sz w:val="24"/>
          <w:szCs w:val="24"/>
        </w:rPr>
        <w:t xml:space="preserve">The monetary value of benefits in kind covers any benefits provided by the Insolvency Service and treated by HM Revenue and Customs as a taxable emolument.  </w:t>
      </w:r>
    </w:p>
    <w:p w14:paraId="227A6783" w14:textId="77777777" w:rsidR="007F1533" w:rsidRPr="007F1533" w:rsidRDefault="007F1533" w:rsidP="007F1533">
      <w:pPr>
        <w:pStyle w:val="Heading4"/>
        <w:rPr>
          <w:rFonts w:cs="Arial"/>
        </w:rPr>
      </w:pPr>
      <w:r w:rsidRPr="007F1533">
        <w:rPr>
          <w:rFonts w:cs="Arial"/>
        </w:rPr>
        <w:t>Bonuses</w:t>
      </w:r>
    </w:p>
    <w:p w14:paraId="4CE1D711" w14:textId="77777777" w:rsidR="007F1533" w:rsidRPr="007F1533" w:rsidRDefault="007F1533" w:rsidP="007F1533">
      <w:pPr>
        <w:spacing w:line="240" w:lineRule="auto"/>
        <w:rPr>
          <w:rFonts w:ascii="Arial" w:hAnsi="Arial" w:cs="Arial"/>
          <w:sz w:val="24"/>
          <w:szCs w:val="24"/>
        </w:rPr>
      </w:pPr>
      <w:r w:rsidRPr="007F1533">
        <w:rPr>
          <w:rFonts w:ascii="Arial" w:hAnsi="Arial" w:cs="Arial"/>
          <w:sz w:val="24"/>
          <w:szCs w:val="24"/>
        </w:rPr>
        <w:t>Bonuses are based on performance levels attained and are made as part of the appraisal process.  Bonuses relate to the performance in the year in which they become payable to the individual.  The bonuses reported in 2023-24 relate to performance in 2023-24 and the comparative bonuses reported for 2022-23 relate to the performance in 2022-23.</w:t>
      </w:r>
    </w:p>
    <w:p w14:paraId="0F049626" w14:textId="77777777" w:rsidR="007F1533" w:rsidRPr="007F1533" w:rsidRDefault="007F1533" w:rsidP="007F1533">
      <w:pPr>
        <w:pStyle w:val="Heading4"/>
        <w:rPr>
          <w:rFonts w:cs="Arial"/>
        </w:rPr>
      </w:pPr>
      <w:bookmarkStart w:id="12" w:name="_Hlk83115204"/>
      <w:r w:rsidRPr="007F1533">
        <w:rPr>
          <w:rFonts w:cs="Arial"/>
        </w:rPr>
        <w:t>Pay multiples (audited)</w:t>
      </w:r>
      <w:bookmarkEnd w:id="12"/>
      <w:r w:rsidRPr="007F1533">
        <w:rPr>
          <w:rFonts w:cs="Arial"/>
        </w:rPr>
        <w:t xml:space="preserve"> </w:t>
      </w:r>
    </w:p>
    <w:p w14:paraId="3E00E3A8" w14:textId="76F543B0" w:rsidR="007F1533" w:rsidRPr="007F1533" w:rsidRDefault="007F1533" w:rsidP="007F1533">
      <w:pPr>
        <w:rPr>
          <w:rFonts w:ascii="Arial" w:hAnsi="Arial" w:cs="Arial"/>
          <w:sz w:val="24"/>
          <w:szCs w:val="24"/>
        </w:rPr>
      </w:pPr>
      <w:bookmarkStart w:id="13" w:name="_Hlk102896095"/>
      <w:r w:rsidRPr="007F1533">
        <w:rPr>
          <w:rFonts w:ascii="Arial" w:hAnsi="Arial" w:cs="Arial"/>
          <w:sz w:val="24"/>
          <w:szCs w:val="24"/>
        </w:rPr>
        <w:t xml:space="preserve">Reporting bodies are required to disclose the banded percentage change from </w:t>
      </w:r>
      <w:r w:rsidR="00AB41B0">
        <w:rPr>
          <w:rFonts w:ascii="Arial" w:hAnsi="Arial" w:cs="Arial"/>
          <w:sz w:val="24"/>
          <w:szCs w:val="24"/>
        </w:rPr>
        <w:t xml:space="preserve">the </w:t>
      </w:r>
      <w:r w:rsidRPr="007F1533">
        <w:rPr>
          <w:rFonts w:ascii="Arial" w:hAnsi="Arial" w:cs="Arial"/>
          <w:sz w:val="24"/>
          <w:szCs w:val="24"/>
        </w:rPr>
        <w:t>previous financial year in respect of the highest paid director and an average in respect of all employees taken as a whole.</w:t>
      </w:r>
    </w:p>
    <w:p w14:paraId="432A722E" w14:textId="41CEBE1A" w:rsidR="007F1533" w:rsidRPr="00A73CF0" w:rsidRDefault="007F1533" w:rsidP="007F1533">
      <w:pPr>
        <w:rPr>
          <w:rFonts w:ascii="Arial" w:hAnsi="Arial" w:cs="Arial"/>
          <w:sz w:val="24"/>
          <w:szCs w:val="24"/>
        </w:rPr>
      </w:pPr>
      <w:r w:rsidRPr="00A73CF0">
        <w:rPr>
          <w:rFonts w:ascii="Arial" w:hAnsi="Arial" w:cs="Arial"/>
          <w:sz w:val="24"/>
          <w:szCs w:val="24"/>
        </w:rPr>
        <w:t xml:space="preserve">The </w:t>
      </w:r>
      <w:r w:rsidR="067BBD0F" w:rsidRPr="6FD6C02B">
        <w:rPr>
          <w:rFonts w:ascii="Arial" w:hAnsi="Arial" w:cs="Arial"/>
          <w:sz w:val="24"/>
          <w:szCs w:val="24"/>
        </w:rPr>
        <w:t>Agency</w:t>
      </w:r>
      <w:r w:rsidRPr="00A73CF0">
        <w:rPr>
          <w:rFonts w:ascii="Arial" w:hAnsi="Arial" w:cs="Arial"/>
          <w:sz w:val="24"/>
          <w:szCs w:val="24"/>
        </w:rPr>
        <w:t xml:space="preserve"> is currently negotiating a pay deal for staff from bands A to D, (Civil Service grades AA to Grade 6), with the Cabinet Office and HM Treasury, effective from 1st August 2023. These have yet to conclude and, as a result, the information presented in the following tables does not take account of any outcome from those negotiations.</w:t>
      </w:r>
    </w:p>
    <w:p w14:paraId="4E6B39DC" w14:textId="4EEB05C6" w:rsidR="007F1533" w:rsidRPr="007F1533" w:rsidRDefault="007F1533" w:rsidP="007F1533">
      <w:pPr>
        <w:rPr>
          <w:rFonts w:ascii="Arial" w:hAnsi="Arial" w:cs="Arial"/>
          <w:sz w:val="24"/>
          <w:szCs w:val="24"/>
        </w:rPr>
      </w:pPr>
      <w:r w:rsidRPr="00A73CF0">
        <w:rPr>
          <w:rFonts w:ascii="Arial" w:hAnsi="Arial" w:cs="Arial"/>
          <w:sz w:val="24"/>
          <w:szCs w:val="24"/>
        </w:rPr>
        <w:t xml:space="preserve">The tables reflect the gross payments received by staff during the 2023-24 reporting year. Staff turnover means that as more experienced, higher paid staff move on promotion or leave the </w:t>
      </w:r>
      <w:r w:rsidR="38239376" w:rsidRPr="6FD6C02B">
        <w:rPr>
          <w:rFonts w:ascii="Arial" w:hAnsi="Arial" w:cs="Arial"/>
          <w:sz w:val="24"/>
          <w:szCs w:val="24"/>
        </w:rPr>
        <w:t>Agency</w:t>
      </w:r>
      <w:r w:rsidRPr="00A73CF0">
        <w:rPr>
          <w:rFonts w:ascii="Arial" w:hAnsi="Arial" w:cs="Arial"/>
          <w:sz w:val="24"/>
          <w:szCs w:val="24"/>
        </w:rPr>
        <w:t xml:space="preserve">, they can be </w:t>
      </w:r>
      <w:r w:rsidR="00AB41B0" w:rsidRPr="00A73CF0">
        <w:rPr>
          <w:rFonts w:ascii="Arial" w:hAnsi="Arial" w:cs="Arial"/>
          <w:sz w:val="24"/>
          <w:szCs w:val="24"/>
        </w:rPr>
        <w:t>backfilled</w:t>
      </w:r>
      <w:r w:rsidRPr="00A73CF0">
        <w:rPr>
          <w:rFonts w:ascii="Arial" w:hAnsi="Arial" w:cs="Arial"/>
          <w:sz w:val="24"/>
          <w:szCs w:val="24"/>
        </w:rPr>
        <w:t xml:space="preserve"> by staff at lower “entry points” in grade. This causes our average employee staff salary to be lower than expected, though none of our staff working in the same grade have experienced any reduction in their annualised rate of pay.</w:t>
      </w:r>
    </w:p>
    <w:p w14:paraId="74E7EDAE" w14:textId="77777777" w:rsidR="004A2795" w:rsidRDefault="004A2795">
      <w:r>
        <w:br w:type="page"/>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2267"/>
        <w:gridCol w:w="2267"/>
      </w:tblGrid>
      <w:tr w:rsidR="007F1533" w:rsidRPr="007F1533" w14:paraId="4E63920B" w14:textId="77777777">
        <w:trPr>
          <w:trHeight w:val="283"/>
        </w:trPr>
        <w:tc>
          <w:tcPr>
            <w:tcW w:w="4533" w:type="dxa"/>
            <w:shd w:val="clear" w:color="auto" w:fill="DCE6F1"/>
            <w:noWrap/>
          </w:tcPr>
          <w:p w14:paraId="02977D06" w14:textId="77777777" w:rsidR="007F1533" w:rsidRPr="007F1533" w:rsidRDefault="007F1533">
            <w:pPr>
              <w:spacing w:line="240" w:lineRule="auto"/>
              <w:rPr>
                <w:rFonts w:ascii="Arial" w:eastAsia="Times New Roman" w:hAnsi="Arial" w:cs="Arial"/>
                <w:b/>
                <w:bCs/>
                <w:color w:val="000000"/>
                <w:lang w:eastAsia="en-GB"/>
              </w:rPr>
            </w:pPr>
            <w:r w:rsidRPr="007F1533">
              <w:rPr>
                <w:rFonts w:ascii="Arial" w:hAnsi="Arial" w:cs="Arial"/>
                <w:b/>
                <w:bCs/>
              </w:rPr>
              <w:lastRenderedPageBreak/>
              <w:t>Banded percentage change from prior year</w:t>
            </w:r>
          </w:p>
        </w:tc>
        <w:tc>
          <w:tcPr>
            <w:tcW w:w="2267" w:type="dxa"/>
            <w:shd w:val="clear" w:color="auto" w:fill="DCE6F1"/>
          </w:tcPr>
          <w:p w14:paraId="08A40954" w14:textId="77777777" w:rsidR="007F1533" w:rsidRPr="007F1533" w:rsidRDefault="007F1533">
            <w:pPr>
              <w:spacing w:line="240" w:lineRule="auto"/>
              <w:jc w:val="center"/>
              <w:rPr>
                <w:rFonts w:ascii="Arial" w:eastAsia="Times New Roman" w:hAnsi="Arial" w:cs="Arial"/>
                <w:b/>
                <w:bCs/>
                <w:color w:val="000000"/>
                <w:lang w:eastAsia="en-GB"/>
              </w:rPr>
            </w:pPr>
            <w:r w:rsidRPr="007F1533">
              <w:rPr>
                <w:rFonts w:ascii="Arial" w:hAnsi="Arial" w:cs="Arial"/>
                <w:b/>
                <w:bCs/>
              </w:rPr>
              <w:t>Salary and allowances</w:t>
            </w:r>
          </w:p>
        </w:tc>
        <w:tc>
          <w:tcPr>
            <w:tcW w:w="2267" w:type="dxa"/>
            <w:shd w:val="clear" w:color="auto" w:fill="DCE6F1"/>
            <w:noWrap/>
          </w:tcPr>
          <w:p w14:paraId="18068D33" w14:textId="77777777" w:rsidR="007F1533" w:rsidRPr="007F1533" w:rsidRDefault="007F1533">
            <w:pPr>
              <w:spacing w:line="240" w:lineRule="auto"/>
              <w:jc w:val="center"/>
              <w:rPr>
                <w:rFonts w:ascii="Arial" w:eastAsia="Times New Roman" w:hAnsi="Arial" w:cs="Arial"/>
                <w:b/>
                <w:bCs/>
                <w:color w:val="000000"/>
                <w:lang w:eastAsia="en-GB"/>
              </w:rPr>
            </w:pPr>
            <w:r w:rsidRPr="007F1533">
              <w:rPr>
                <w:rFonts w:ascii="Arial" w:hAnsi="Arial" w:cs="Arial"/>
                <w:b/>
                <w:bCs/>
              </w:rPr>
              <w:t>Performance Pay and bonuses</w:t>
            </w:r>
          </w:p>
        </w:tc>
      </w:tr>
      <w:tr w:rsidR="007F1533" w:rsidRPr="007F1533" w14:paraId="12DF7CEB" w14:textId="77777777">
        <w:trPr>
          <w:trHeight w:val="283"/>
        </w:trPr>
        <w:tc>
          <w:tcPr>
            <w:tcW w:w="9067" w:type="dxa"/>
            <w:gridSpan w:val="3"/>
            <w:shd w:val="clear" w:color="auto" w:fill="DCE6F1"/>
            <w:noWrap/>
            <w:vAlign w:val="bottom"/>
          </w:tcPr>
          <w:p w14:paraId="5CE68740" w14:textId="77777777" w:rsidR="007F1533" w:rsidRPr="007F1533" w:rsidRDefault="007F1533">
            <w:pPr>
              <w:spacing w:line="240" w:lineRule="auto"/>
              <w:rPr>
                <w:rFonts w:ascii="Arial" w:eastAsia="Times New Roman" w:hAnsi="Arial" w:cs="Arial"/>
                <w:b/>
                <w:bCs/>
                <w:color w:val="000000"/>
                <w:vertAlign w:val="superscript"/>
                <w:lang w:eastAsia="en-GB"/>
              </w:rPr>
            </w:pPr>
            <w:r w:rsidRPr="007F1533">
              <w:rPr>
                <w:rFonts w:ascii="Arial" w:eastAsia="Times New Roman" w:hAnsi="Arial" w:cs="Arial"/>
                <w:b/>
                <w:bCs/>
                <w:color w:val="000000"/>
                <w:lang w:eastAsia="en-GB"/>
              </w:rPr>
              <w:t>As at 31 March 2024</w:t>
            </w:r>
          </w:p>
        </w:tc>
      </w:tr>
      <w:tr w:rsidR="007F1533" w:rsidRPr="007F1533" w14:paraId="72FF1F9B" w14:textId="77777777">
        <w:trPr>
          <w:trHeight w:val="283"/>
        </w:trPr>
        <w:tc>
          <w:tcPr>
            <w:tcW w:w="4533" w:type="dxa"/>
            <w:shd w:val="clear" w:color="auto" w:fill="DCE6F1"/>
            <w:noWrap/>
            <w:vAlign w:val="bottom"/>
          </w:tcPr>
          <w:p w14:paraId="22C7EE9B" w14:textId="77777777" w:rsidR="007F1533" w:rsidRPr="007F1533" w:rsidRDefault="007F1533">
            <w:pPr>
              <w:spacing w:line="240" w:lineRule="auto"/>
              <w:rPr>
                <w:rFonts w:ascii="Arial" w:eastAsia="Times New Roman" w:hAnsi="Arial" w:cs="Arial"/>
                <w:color w:val="000000"/>
                <w:lang w:eastAsia="en-GB"/>
              </w:rPr>
            </w:pPr>
            <w:r w:rsidRPr="007F1533">
              <w:rPr>
                <w:rFonts w:ascii="Arial" w:hAnsi="Arial" w:cs="Arial"/>
              </w:rPr>
              <w:t>For highest paid director</w:t>
            </w:r>
            <w:r w:rsidRPr="007F1533">
              <w:rPr>
                <w:rFonts w:ascii="Arial" w:hAnsi="Arial" w:cs="Arial"/>
                <w:vertAlign w:val="superscript"/>
              </w:rPr>
              <w:t>1</w:t>
            </w:r>
          </w:p>
        </w:tc>
        <w:tc>
          <w:tcPr>
            <w:tcW w:w="2267" w:type="dxa"/>
          </w:tcPr>
          <w:p w14:paraId="6B1982BA" w14:textId="77777777" w:rsidR="007F1533" w:rsidRPr="007F1533" w:rsidRDefault="007F1533">
            <w:pPr>
              <w:spacing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5%</w:t>
            </w:r>
          </w:p>
        </w:tc>
        <w:tc>
          <w:tcPr>
            <w:tcW w:w="2267" w:type="dxa"/>
            <w:shd w:val="clear" w:color="auto" w:fill="auto"/>
            <w:noWrap/>
            <w:vAlign w:val="center"/>
          </w:tcPr>
          <w:p w14:paraId="4CB91248" w14:textId="77777777" w:rsidR="007F1533" w:rsidRPr="007F1533" w:rsidRDefault="007F1533">
            <w:pPr>
              <w:spacing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0%</w:t>
            </w:r>
          </w:p>
        </w:tc>
      </w:tr>
      <w:tr w:rsidR="007F1533" w:rsidRPr="007F1533" w14:paraId="3975C1D1" w14:textId="77777777">
        <w:trPr>
          <w:trHeight w:val="283"/>
        </w:trPr>
        <w:tc>
          <w:tcPr>
            <w:tcW w:w="4533" w:type="dxa"/>
            <w:shd w:val="clear" w:color="auto" w:fill="DCE6F1"/>
            <w:noWrap/>
            <w:vAlign w:val="bottom"/>
          </w:tcPr>
          <w:p w14:paraId="406C7A24" w14:textId="77777777" w:rsidR="007F1533" w:rsidRPr="007F1533" w:rsidRDefault="007F1533">
            <w:pPr>
              <w:spacing w:line="240" w:lineRule="auto"/>
              <w:rPr>
                <w:rFonts w:ascii="Arial" w:eastAsia="Times New Roman" w:hAnsi="Arial" w:cs="Arial"/>
                <w:color w:val="000000"/>
                <w:lang w:eastAsia="en-GB"/>
              </w:rPr>
            </w:pPr>
            <w:r w:rsidRPr="007F1533">
              <w:rPr>
                <w:rFonts w:ascii="Arial" w:eastAsia="Times New Roman" w:hAnsi="Arial" w:cs="Arial"/>
                <w:color w:val="000000"/>
                <w:lang w:eastAsia="en-GB"/>
              </w:rPr>
              <w:t>For average employee</w:t>
            </w:r>
            <w:r w:rsidRPr="007F1533">
              <w:rPr>
                <w:rFonts w:ascii="Arial" w:hAnsi="Arial" w:cs="Arial"/>
                <w:vertAlign w:val="superscript"/>
              </w:rPr>
              <w:t>2</w:t>
            </w:r>
          </w:p>
        </w:tc>
        <w:tc>
          <w:tcPr>
            <w:tcW w:w="2267" w:type="dxa"/>
          </w:tcPr>
          <w:p w14:paraId="1C96823C" w14:textId="77777777" w:rsidR="007F1533" w:rsidRPr="007F1533" w:rsidRDefault="007F1533">
            <w:pPr>
              <w:jc w:val="center"/>
              <w:rPr>
                <w:rFonts w:ascii="Arial" w:hAnsi="Arial" w:cs="Arial"/>
                <w:color w:val="000000"/>
              </w:rPr>
            </w:pPr>
            <w:r w:rsidRPr="00A73CF0">
              <w:rPr>
                <w:rFonts w:ascii="Arial" w:hAnsi="Arial" w:cs="Arial"/>
                <w:color w:val="000000"/>
              </w:rPr>
              <w:t>1%</w:t>
            </w:r>
          </w:p>
        </w:tc>
        <w:tc>
          <w:tcPr>
            <w:tcW w:w="2267" w:type="dxa"/>
            <w:shd w:val="clear" w:color="auto" w:fill="auto"/>
            <w:noWrap/>
          </w:tcPr>
          <w:p w14:paraId="550EF264" w14:textId="77777777" w:rsidR="007F1533" w:rsidRPr="007F1533" w:rsidRDefault="007F1533">
            <w:pPr>
              <w:jc w:val="center"/>
              <w:rPr>
                <w:rFonts w:ascii="Arial" w:hAnsi="Arial" w:cs="Arial"/>
                <w:color w:val="000000"/>
              </w:rPr>
            </w:pPr>
            <w:r w:rsidRPr="007F1533">
              <w:rPr>
                <w:rFonts w:ascii="Arial" w:hAnsi="Arial" w:cs="Arial"/>
                <w:color w:val="000000"/>
              </w:rPr>
              <w:t>(16%)</w:t>
            </w:r>
          </w:p>
        </w:tc>
      </w:tr>
      <w:tr w:rsidR="007F1533" w:rsidRPr="007F1533" w14:paraId="134A473C" w14:textId="77777777">
        <w:trPr>
          <w:trHeight w:val="283"/>
        </w:trPr>
        <w:tc>
          <w:tcPr>
            <w:tcW w:w="9067" w:type="dxa"/>
            <w:gridSpan w:val="3"/>
            <w:shd w:val="clear" w:color="auto" w:fill="DCE6F1"/>
            <w:noWrap/>
            <w:vAlign w:val="bottom"/>
          </w:tcPr>
          <w:p w14:paraId="75994072" w14:textId="77777777" w:rsidR="007F1533" w:rsidRPr="007F1533" w:rsidRDefault="007F1533">
            <w:pPr>
              <w:spacing w:line="240" w:lineRule="auto"/>
              <w:rPr>
                <w:rFonts w:ascii="Arial" w:eastAsia="Times New Roman" w:hAnsi="Arial" w:cs="Arial"/>
                <w:b/>
                <w:bCs/>
                <w:color w:val="000000"/>
                <w:lang w:eastAsia="en-GB"/>
              </w:rPr>
            </w:pPr>
            <w:r w:rsidRPr="007F1533">
              <w:rPr>
                <w:rFonts w:ascii="Arial" w:hAnsi="Arial" w:cs="Arial"/>
                <w:b/>
                <w:bCs/>
                <w:color w:val="000000"/>
                <w:lang w:eastAsia="en-GB"/>
              </w:rPr>
              <w:t>As at 31 March 2023</w:t>
            </w:r>
          </w:p>
        </w:tc>
      </w:tr>
      <w:tr w:rsidR="007F1533" w:rsidRPr="007F1533" w14:paraId="25E1900C" w14:textId="77777777">
        <w:trPr>
          <w:trHeight w:val="283"/>
        </w:trPr>
        <w:tc>
          <w:tcPr>
            <w:tcW w:w="4533" w:type="dxa"/>
            <w:shd w:val="clear" w:color="auto" w:fill="DCE6F1"/>
            <w:noWrap/>
            <w:vAlign w:val="bottom"/>
          </w:tcPr>
          <w:p w14:paraId="239B78FA" w14:textId="77777777" w:rsidR="007F1533" w:rsidRPr="007F1533" w:rsidRDefault="007F1533">
            <w:pPr>
              <w:spacing w:line="240" w:lineRule="auto"/>
              <w:rPr>
                <w:rFonts w:ascii="Arial" w:eastAsia="Times New Roman" w:hAnsi="Arial" w:cs="Arial"/>
                <w:color w:val="000000"/>
                <w:lang w:eastAsia="en-GB"/>
              </w:rPr>
            </w:pPr>
            <w:r w:rsidRPr="007F1533">
              <w:rPr>
                <w:rFonts w:ascii="Arial" w:hAnsi="Arial" w:cs="Arial"/>
              </w:rPr>
              <w:t>For highest paid director</w:t>
            </w:r>
            <w:r w:rsidRPr="007F1533">
              <w:rPr>
                <w:rFonts w:ascii="Arial" w:hAnsi="Arial" w:cs="Arial"/>
                <w:vertAlign w:val="superscript"/>
              </w:rPr>
              <w:t>1</w:t>
            </w:r>
          </w:p>
        </w:tc>
        <w:tc>
          <w:tcPr>
            <w:tcW w:w="2267" w:type="dxa"/>
          </w:tcPr>
          <w:p w14:paraId="1E7CE0CB" w14:textId="77777777" w:rsidR="007F1533" w:rsidRPr="007F1533" w:rsidRDefault="007F1533">
            <w:pPr>
              <w:spacing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0%</w:t>
            </w:r>
          </w:p>
        </w:tc>
        <w:tc>
          <w:tcPr>
            <w:tcW w:w="2267" w:type="dxa"/>
            <w:shd w:val="clear" w:color="auto" w:fill="auto"/>
            <w:noWrap/>
            <w:vAlign w:val="center"/>
          </w:tcPr>
          <w:p w14:paraId="37C89AA5" w14:textId="77777777" w:rsidR="007F1533" w:rsidRPr="007F1533" w:rsidRDefault="007F1533">
            <w:pPr>
              <w:spacing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0%</w:t>
            </w:r>
          </w:p>
        </w:tc>
      </w:tr>
      <w:tr w:rsidR="007F1533" w:rsidRPr="007F1533" w14:paraId="33594088" w14:textId="77777777">
        <w:trPr>
          <w:trHeight w:val="283"/>
        </w:trPr>
        <w:tc>
          <w:tcPr>
            <w:tcW w:w="4533" w:type="dxa"/>
            <w:shd w:val="clear" w:color="auto" w:fill="DCE6F1"/>
            <w:noWrap/>
            <w:vAlign w:val="bottom"/>
          </w:tcPr>
          <w:p w14:paraId="595FE99C" w14:textId="77777777" w:rsidR="007F1533" w:rsidRPr="007F1533" w:rsidRDefault="007F1533">
            <w:pPr>
              <w:spacing w:line="240" w:lineRule="auto"/>
              <w:rPr>
                <w:rFonts w:ascii="Arial" w:eastAsia="Times New Roman" w:hAnsi="Arial" w:cs="Arial"/>
                <w:color w:val="000000"/>
                <w:lang w:eastAsia="en-GB"/>
              </w:rPr>
            </w:pPr>
            <w:r w:rsidRPr="007F1533">
              <w:rPr>
                <w:rFonts w:ascii="Arial" w:eastAsia="Times New Roman" w:hAnsi="Arial" w:cs="Arial"/>
                <w:color w:val="000000"/>
                <w:lang w:eastAsia="en-GB"/>
              </w:rPr>
              <w:t>For average employee</w:t>
            </w:r>
            <w:r w:rsidRPr="007F1533">
              <w:rPr>
                <w:rFonts w:ascii="Arial" w:hAnsi="Arial" w:cs="Arial"/>
                <w:vertAlign w:val="superscript"/>
              </w:rPr>
              <w:t>2</w:t>
            </w:r>
          </w:p>
        </w:tc>
        <w:tc>
          <w:tcPr>
            <w:tcW w:w="2267" w:type="dxa"/>
          </w:tcPr>
          <w:p w14:paraId="4F91E9ED" w14:textId="77777777" w:rsidR="007F1533" w:rsidRPr="007F1533" w:rsidRDefault="007F1533">
            <w:pPr>
              <w:jc w:val="center"/>
              <w:rPr>
                <w:rFonts w:ascii="Arial" w:hAnsi="Arial" w:cs="Arial"/>
                <w:color w:val="000000"/>
              </w:rPr>
            </w:pPr>
            <w:r w:rsidRPr="007F1533">
              <w:rPr>
                <w:rFonts w:ascii="Arial" w:hAnsi="Arial" w:cs="Arial"/>
                <w:color w:val="000000"/>
              </w:rPr>
              <w:t>9%</w:t>
            </w:r>
          </w:p>
        </w:tc>
        <w:tc>
          <w:tcPr>
            <w:tcW w:w="2267" w:type="dxa"/>
            <w:shd w:val="clear" w:color="auto" w:fill="auto"/>
            <w:noWrap/>
          </w:tcPr>
          <w:p w14:paraId="2BC80449" w14:textId="77777777" w:rsidR="007F1533" w:rsidRPr="007F1533" w:rsidRDefault="007F1533">
            <w:pPr>
              <w:jc w:val="center"/>
              <w:rPr>
                <w:rFonts w:ascii="Arial" w:hAnsi="Arial" w:cs="Arial"/>
                <w:color w:val="000000"/>
              </w:rPr>
            </w:pPr>
            <w:r w:rsidRPr="007F1533">
              <w:rPr>
                <w:rFonts w:ascii="Arial" w:hAnsi="Arial" w:cs="Arial"/>
                <w:color w:val="000000"/>
              </w:rPr>
              <w:t>3%</w:t>
            </w:r>
          </w:p>
        </w:tc>
      </w:tr>
    </w:tbl>
    <w:p w14:paraId="020D7D59" w14:textId="77777777" w:rsidR="007F1533" w:rsidRPr="007F1533" w:rsidRDefault="007F1533" w:rsidP="007F1533">
      <w:pPr>
        <w:spacing w:after="0"/>
        <w:rPr>
          <w:rFonts w:ascii="Arial" w:eastAsia="Times New Roman" w:hAnsi="Arial" w:cs="Arial"/>
          <w:sz w:val="18"/>
          <w:szCs w:val="18"/>
          <w:lang w:eastAsia="en-GB"/>
        </w:rPr>
      </w:pPr>
      <w:r w:rsidRPr="007F1533">
        <w:rPr>
          <w:rFonts w:ascii="Arial" w:hAnsi="Arial" w:cs="Arial"/>
          <w:sz w:val="18"/>
          <w:szCs w:val="18"/>
          <w:vertAlign w:val="superscript"/>
        </w:rPr>
        <w:t xml:space="preserve">1 </w:t>
      </w:r>
      <w:r w:rsidRPr="007F1533">
        <w:rPr>
          <w:rFonts w:ascii="Arial" w:eastAsia="Times New Roman" w:hAnsi="Arial" w:cs="Arial"/>
          <w:sz w:val="18"/>
          <w:szCs w:val="18"/>
          <w:lang w:eastAsia="en-GB"/>
        </w:rPr>
        <w:t>Calculated on the midpoint of a rounded £5k pay band. The highest paid director as at 31 March 2024 is different to the individual used as at 31 March 2023.</w:t>
      </w:r>
    </w:p>
    <w:p w14:paraId="5A8E6DF0" w14:textId="77777777" w:rsidR="007F1533" w:rsidRPr="007F1533" w:rsidRDefault="007F1533" w:rsidP="007F1533">
      <w:pPr>
        <w:spacing w:after="0"/>
        <w:rPr>
          <w:rFonts w:ascii="Arial" w:eastAsia="Times New Roman" w:hAnsi="Arial" w:cs="Arial"/>
          <w:color w:val="000000"/>
          <w:sz w:val="18"/>
          <w:szCs w:val="18"/>
          <w:lang w:eastAsia="en-GB"/>
        </w:rPr>
      </w:pPr>
      <w:r w:rsidRPr="007F1533">
        <w:rPr>
          <w:rFonts w:ascii="Arial" w:hAnsi="Arial" w:cs="Arial"/>
          <w:sz w:val="18"/>
          <w:szCs w:val="18"/>
          <w:vertAlign w:val="superscript"/>
        </w:rPr>
        <w:t xml:space="preserve">2 </w:t>
      </w:r>
      <w:r w:rsidRPr="007F1533">
        <w:rPr>
          <w:rFonts w:ascii="Arial" w:eastAsia="Times New Roman" w:hAnsi="Arial" w:cs="Arial"/>
          <w:sz w:val="18"/>
          <w:szCs w:val="18"/>
          <w:lang w:eastAsia="en-GB"/>
        </w:rPr>
        <w:t xml:space="preserve">Based on the total pay for all employees on an annualised basis, excluding the highest </w:t>
      </w:r>
      <w:r w:rsidRPr="007F1533">
        <w:rPr>
          <w:rFonts w:ascii="Arial" w:eastAsia="Times New Roman" w:hAnsi="Arial" w:cs="Arial"/>
          <w:color w:val="000000"/>
          <w:sz w:val="18"/>
          <w:szCs w:val="18"/>
          <w:lang w:eastAsia="en-GB"/>
        </w:rPr>
        <w:t>paid director, divided by the full-time equivalent number of employees (also excluding the highest paid director). As at 31</w:t>
      </w:r>
      <w:r w:rsidRPr="007F1533">
        <w:rPr>
          <w:rFonts w:ascii="Arial" w:eastAsia="Times New Roman" w:hAnsi="Arial" w:cs="Arial"/>
          <w:color w:val="000000"/>
          <w:sz w:val="18"/>
          <w:szCs w:val="18"/>
          <w:vertAlign w:val="superscript"/>
          <w:lang w:eastAsia="en-GB"/>
        </w:rPr>
        <w:t xml:space="preserve"> </w:t>
      </w:r>
      <w:r w:rsidRPr="007F1533">
        <w:rPr>
          <w:rFonts w:ascii="Arial" w:hAnsi="Arial" w:cs="Arial"/>
          <w:sz w:val="18"/>
          <w:szCs w:val="18"/>
        </w:rPr>
        <w:t xml:space="preserve">March 2024 there is an outstanding pay award for staff below Senior Civil Service. This has the effect of making the figures for the average employee as at 31 March 2024 lower than they </w:t>
      </w:r>
      <w:r w:rsidRPr="00A73CF0">
        <w:rPr>
          <w:rFonts w:ascii="Arial" w:hAnsi="Arial" w:cs="Arial"/>
          <w:sz w:val="18"/>
          <w:szCs w:val="18"/>
        </w:rPr>
        <w:t>would otherwise be. The reduction reflects staff turnover where new entrants join at the bottom of their respective pay scales. The ‘Salary and Allowances’ column as at 31 March 2024 has been impacted by the</w:t>
      </w:r>
      <w:r w:rsidRPr="00A73CF0">
        <w:rPr>
          <w:rFonts w:ascii="Arial" w:eastAsia="Times New Roman" w:hAnsi="Arial" w:cs="Arial"/>
          <w:color w:val="000000"/>
          <w:sz w:val="18"/>
          <w:szCs w:val="18"/>
          <w:lang w:eastAsia="en-GB"/>
        </w:rPr>
        <w:t xml:space="preserve"> £1,500 non-consolidated payment announced in 2023 by Ministers to every member of the Civil Service below Senior Civil Service.</w:t>
      </w:r>
    </w:p>
    <w:p w14:paraId="251C6948" w14:textId="77777777" w:rsidR="007F1533" w:rsidRPr="007F1533" w:rsidRDefault="007F1533" w:rsidP="007F1533">
      <w:pPr>
        <w:spacing w:after="0"/>
        <w:rPr>
          <w:rFonts w:ascii="Arial" w:eastAsia="Times New Roman" w:hAnsi="Arial" w:cs="Arial"/>
          <w:color w:val="000000"/>
          <w:sz w:val="18"/>
          <w:szCs w:val="18"/>
          <w:lang w:eastAsia="en-GB"/>
        </w:rPr>
      </w:pPr>
    </w:p>
    <w:p w14:paraId="66564CC2" w14:textId="2698C0F4" w:rsidR="007F1533" w:rsidRDefault="007F1533" w:rsidP="007F1533">
      <w:pPr>
        <w:rPr>
          <w:rFonts w:ascii="Arial" w:hAnsi="Arial" w:cs="Arial"/>
          <w:sz w:val="24"/>
          <w:szCs w:val="24"/>
        </w:rPr>
      </w:pPr>
      <w:r w:rsidRPr="007F1533">
        <w:rPr>
          <w:rFonts w:ascii="Arial" w:hAnsi="Arial" w:cs="Arial"/>
          <w:sz w:val="24"/>
          <w:szCs w:val="24"/>
        </w:rPr>
        <w:t>Reporting bodies are also required to disclose the relationship between the remuneration of the highest-paid director in their organisation and the quartile remuneration of the organisation’s workforce.</w:t>
      </w:r>
    </w:p>
    <w:p w14:paraId="49EF01FB" w14:textId="77777777" w:rsidR="00D30BC9" w:rsidRPr="007F1533" w:rsidRDefault="00D30BC9" w:rsidP="007F1533">
      <w:pPr>
        <w:rPr>
          <w:rFonts w:ascii="Arial" w:hAnsi="Arial" w:cs="Arial"/>
          <w:sz w:val="24"/>
          <w:szCs w:val="24"/>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126"/>
        <w:gridCol w:w="2126"/>
        <w:gridCol w:w="2126"/>
      </w:tblGrid>
      <w:tr w:rsidR="007F1533" w:rsidRPr="007F1533" w14:paraId="77C59709" w14:textId="77777777">
        <w:trPr>
          <w:trHeight w:val="283"/>
        </w:trPr>
        <w:tc>
          <w:tcPr>
            <w:tcW w:w="2689" w:type="dxa"/>
            <w:shd w:val="clear" w:color="auto" w:fill="DCE6F1"/>
            <w:noWrap/>
            <w:vAlign w:val="bottom"/>
          </w:tcPr>
          <w:p w14:paraId="17CBA025" w14:textId="77777777" w:rsidR="007F1533" w:rsidRPr="007F1533" w:rsidRDefault="007F1533">
            <w:pPr>
              <w:rPr>
                <w:rFonts w:ascii="Arial" w:eastAsia="Times New Roman" w:hAnsi="Arial" w:cs="Arial"/>
                <w:b/>
                <w:bCs/>
                <w:color w:val="000000"/>
                <w:lang w:eastAsia="en-GB"/>
              </w:rPr>
            </w:pPr>
            <w:r w:rsidRPr="007F1533">
              <w:rPr>
                <w:rFonts w:ascii="Arial" w:eastAsia="Times New Roman" w:hAnsi="Arial" w:cs="Arial"/>
                <w:b/>
                <w:bCs/>
                <w:color w:val="000000"/>
                <w:lang w:eastAsia="en-GB"/>
              </w:rPr>
              <w:t>Year</w:t>
            </w:r>
          </w:p>
        </w:tc>
        <w:tc>
          <w:tcPr>
            <w:tcW w:w="2126" w:type="dxa"/>
            <w:shd w:val="clear" w:color="auto" w:fill="DCE6F1"/>
            <w:noWrap/>
          </w:tcPr>
          <w:p w14:paraId="79CB73F8" w14:textId="77777777" w:rsidR="007F1533" w:rsidRPr="007F1533" w:rsidRDefault="007F1533">
            <w:pPr>
              <w:spacing w:line="240" w:lineRule="auto"/>
              <w:jc w:val="center"/>
              <w:rPr>
                <w:rFonts w:ascii="Arial" w:eastAsia="Times New Roman" w:hAnsi="Arial" w:cs="Arial"/>
                <w:b/>
                <w:bCs/>
                <w:color w:val="000000"/>
                <w:lang w:eastAsia="en-GB"/>
              </w:rPr>
            </w:pPr>
            <w:r w:rsidRPr="007F1533">
              <w:rPr>
                <w:rFonts w:ascii="Arial" w:hAnsi="Arial" w:cs="Arial"/>
                <w:b/>
                <w:bCs/>
              </w:rPr>
              <w:t>25th percentile pay ratio</w:t>
            </w:r>
            <w:r w:rsidRPr="007F1533">
              <w:rPr>
                <w:rFonts w:ascii="Arial" w:hAnsi="Arial" w:cs="Arial"/>
                <w:b/>
                <w:bCs/>
                <w:vertAlign w:val="superscript"/>
              </w:rPr>
              <w:footnoteRef/>
            </w:r>
          </w:p>
        </w:tc>
        <w:tc>
          <w:tcPr>
            <w:tcW w:w="2126" w:type="dxa"/>
            <w:shd w:val="clear" w:color="auto" w:fill="DCE6F1"/>
          </w:tcPr>
          <w:p w14:paraId="0D2CEAB5" w14:textId="33C96C93" w:rsidR="007F1533" w:rsidRPr="007F1533" w:rsidRDefault="007F1533">
            <w:pPr>
              <w:spacing w:line="240" w:lineRule="auto"/>
              <w:jc w:val="center"/>
              <w:rPr>
                <w:rFonts w:ascii="Arial" w:eastAsia="Times New Roman" w:hAnsi="Arial" w:cs="Arial"/>
                <w:b/>
                <w:bCs/>
                <w:color w:val="000000"/>
                <w:lang w:eastAsia="en-GB"/>
              </w:rPr>
            </w:pPr>
            <w:r w:rsidRPr="007F1533">
              <w:rPr>
                <w:rFonts w:ascii="Arial" w:hAnsi="Arial" w:cs="Arial"/>
                <w:b/>
                <w:bCs/>
              </w:rPr>
              <w:t xml:space="preserve">50th percentile </w:t>
            </w:r>
            <w:r w:rsidR="00F318E4">
              <w:rPr>
                <w:rFonts w:ascii="Arial" w:hAnsi="Arial" w:cs="Arial"/>
                <w:b/>
                <w:bCs/>
              </w:rPr>
              <w:t>m</w:t>
            </w:r>
            <w:r w:rsidRPr="007F1533">
              <w:rPr>
                <w:rFonts w:ascii="Arial" w:hAnsi="Arial" w:cs="Arial"/>
                <w:b/>
                <w:bCs/>
              </w:rPr>
              <w:t>edian pay ratio</w:t>
            </w:r>
            <w:r w:rsidRPr="007F1533">
              <w:rPr>
                <w:rFonts w:ascii="Arial" w:hAnsi="Arial" w:cs="Arial"/>
                <w:b/>
                <w:bCs/>
                <w:vertAlign w:val="superscript"/>
              </w:rPr>
              <w:footnoteRef/>
            </w:r>
          </w:p>
        </w:tc>
        <w:tc>
          <w:tcPr>
            <w:tcW w:w="2126" w:type="dxa"/>
            <w:shd w:val="clear" w:color="auto" w:fill="DCE6F1"/>
            <w:noWrap/>
          </w:tcPr>
          <w:p w14:paraId="0F34CDBD" w14:textId="77777777" w:rsidR="007F1533" w:rsidRPr="007F1533" w:rsidRDefault="007F1533">
            <w:pPr>
              <w:spacing w:line="240" w:lineRule="auto"/>
              <w:jc w:val="center"/>
              <w:rPr>
                <w:rFonts w:ascii="Arial" w:eastAsia="Times New Roman" w:hAnsi="Arial" w:cs="Arial"/>
                <w:b/>
                <w:bCs/>
                <w:color w:val="000000"/>
                <w:lang w:eastAsia="en-GB"/>
              </w:rPr>
            </w:pPr>
            <w:r w:rsidRPr="007F1533">
              <w:rPr>
                <w:rFonts w:ascii="Arial" w:hAnsi="Arial" w:cs="Arial"/>
                <w:b/>
                <w:bCs/>
              </w:rPr>
              <w:t>75th percentile pay ratio</w:t>
            </w:r>
            <w:r w:rsidRPr="007F1533">
              <w:rPr>
                <w:rFonts w:ascii="Arial" w:hAnsi="Arial" w:cs="Arial"/>
                <w:b/>
                <w:bCs/>
                <w:vertAlign w:val="superscript"/>
              </w:rPr>
              <w:footnoteRef/>
            </w:r>
          </w:p>
        </w:tc>
      </w:tr>
      <w:tr w:rsidR="007F1533" w:rsidRPr="00A73CF0" w14:paraId="3E5A75A8" w14:textId="77777777">
        <w:trPr>
          <w:trHeight w:val="283"/>
        </w:trPr>
        <w:tc>
          <w:tcPr>
            <w:tcW w:w="2689" w:type="dxa"/>
            <w:shd w:val="clear" w:color="auto" w:fill="DCE6F1"/>
            <w:noWrap/>
            <w:vAlign w:val="bottom"/>
          </w:tcPr>
          <w:p w14:paraId="72402A21" w14:textId="77777777" w:rsidR="007F1533" w:rsidRPr="00A73CF0" w:rsidRDefault="007F1533">
            <w:pPr>
              <w:rPr>
                <w:rFonts w:ascii="Arial" w:eastAsia="Times New Roman" w:hAnsi="Arial" w:cs="Arial"/>
                <w:b/>
                <w:bCs/>
                <w:color w:val="000000"/>
                <w:vertAlign w:val="superscript"/>
                <w:lang w:eastAsia="en-GB"/>
              </w:rPr>
            </w:pPr>
            <w:r w:rsidRPr="00A73CF0">
              <w:rPr>
                <w:rFonts w:ascii="Arial" w:eastAsia="Times New Roman" w:hAnsi="Arial" w:cs="Arial"/>
                <w:b/>
                <w:bCs/>
                <w:color w:val="000000"/>
                <w:lang w:eastAsia="en-GB"/>
              </w:rPr>
              <w:t>As at 31 March 2024</w:t>
            </w:r>
            <w:r w:rsidRPr="00A73CF0">
              <w:rPr>
                <w:rFonts w:ascii="Arial" w:eastAsia="Times New Roman" w:hAnsi="Arial" w:cs="Arial"/>
                <w:b/>
                <w:bCs/>
                <w:color w:val="000000"/>
                <w:vertAlign w:val="superscript"/>
                <w:lang w:eastAsia="en-GB"/>
              </w:rPr>
              <w:t>2</w:t>
            </w:r>
          </w:p>
        </w:tc>
        <w:tc>
          <w:tcPr>
            <w:tcW w:w="2126" w:type="dxa"/>
            <w:shd w:val="clear" w:color="auto" w:fill="auto"/>
            <w:noWrap/>
          </w:tcPr>
          <w:p w14:paraId="229D298E" w14:textId="77777777" w:rsidR="007F1533" w:rsidRPr="00A73CF0" w:rsidRDefault="007F1533">
            <w:pPr>
              <w:spacing w:line="240" w:lineRule="auto"/>
              <w:jc w:val="center"/>
              <w:rPr>
                <w:rFonts w:ascii="Arial" w:eastAsia="Times New Roman" w:hAnsi="Arial" w:cs="Arial"/>
                <w:color w:val="000000"/>
                <w:lang w:eastAsia="en-GB"/>
              </w:rPr>
            </w:pPr>
            <w:r w:rsidRPr="00A73CF0">
              <w:rPr>
                <w:rFonts w:ascii="Arial" w:hAnsi="Arial" w:cs="Arial"/>
              </w:rPr>
              <w:t>4.4:1</w:t>
            </w:r>
          </w:p>
        </w:tc>
        <w:tc>
          <w:tcPr>
            <w:tcW w:w="2126" w:type="dxa"/>
          </w:tcPr>
          <w:p w14:paraId="024FDFEA" w14:textId="77777777" w:rsidR="007F1533" w:rsidRPr="00A73CF0" w:rsidRDefault="007F1533">
            <w:pPr>
              <w:spacing w:line="240" w:lineRule="auto"/>
              <w:jc w:val="center"/>
              <w:rPr>
                <w:rFonts w:ascii="Arial" w:eastAsia="Times New Roman" w:hAnsi="Arial" w:cs="Arial"/>
                <w:color w:val="000000"/>
                <w:lang w:eastAsia="en-GB"/>
              </w:rPr>
            </w:pPr>
            <w:r w:rsidRPr="00A73CF0">
              <w:rPr>
                <w:rFonts w:ascii="Arial" w:hAnsi="Arial" w:cs="Arial"/>
              </w:rPr>
              <w:t>3.3:1</w:t>
            </w:r>
          </w:p>
        </w:tc>
        <w:tc>
          <w:tcPr>
            <w:tcW w:w="2126" w:type="dxa"/>
            <w:shd w:val="clear" w:color="auto" w:fill="auto"/>
            <w:noWrap/>
          </w:tcPr>
          <w:p w14:paraId="4D4DD7BE" w14:textId="77777777" w:rsidR="007F1533" w:rsidRPr="00A73CF0" w:rsidRDefault="007F1533">
            <w:pPr>
              <w:spacing w:line="240" w:lineRule="auto"/>
              <w:jc w:val="center"/>
              <w:rPr>
                <w:rFonts w:ascii="Arial" w:eastAsia="Times New Roman" w:hAnsi="Arial" w:cs="Arial"/>
                <w:color w:val="000000"/>
                <w:lang w:eastAsia="en-GB"/>
              </w:rPr>
            </w:pPr>
            <w:r w:rsidRPr="00A73CF0">
              <w:rPr>
                <w:rFonts w:ascii="Arial" w:hAnsi="Arial" w:cs="Arial"/>
              </w:rPr>
              <w:t>2.5:1</w:t>
            </w:r>
          </w:p>
        </w:tc>
      </w:tr>
      <w:tr w:rsidR="007F1533" w:rsidRPr="00A73CF0" w14:paraId="25656B28" w14:textId="77777777">
        <w:trPr>
          <w:trHeight w:val="283"/>
        </w:trPr>
        <w:tc>
          <w:tcPr>
            <w:tcW w:w="2689" w:type="dxa"/>
            <w:shd w:val="clear" w:color="auto" w:fill="DCE6F1"/>
            <w:noWrap/>
            <w:vAlign w:val="bottom"/>
          </w:tcPr>
          <w:p w14:paraId="2F609283" w14:textId="77777777" w:rsidR="007F1533" w:rsidRPr="00A73CF0" w:rsidRDefault="007F1533">
            <w:pPr>
              <w:rPr>
                <w:rFonts w:ascii="Arial" w:eastAsia="Times New Roman" w:hAnsi="Arial" w:cs="Arial"/>
                <w:b/>
                <w:bCs/>
                <w:color w:val="000000"/>
                <w:lang w:eastAsia="en-GB"/>
              </w:rPr>
            </w:pPr>
            <w:r w:rsidRPr="00A73CF0">
              <w:rPr>
                <w:rFonts w:ascii="Arial" w:eastAsia="Times New Roman" w:hAnsi="Arial" w:cs="Arial"/>
                <w:b/>
                <w:bCs/>
                <w:color w:val="000000"/>
                <w:lang w:eastAsia="en-GB"/>
              </w:rPr>
              <w:t>As at 31 March 2023</w:t>
            </w:r>
          </w:p>
        </w:tc>
        <w:tc>
          <w:tcPr>
            <w:tcW w:w="2126" w:type="dxa"/>
            <w:shd w:val="clear" w:color="auto" w:fill="auto"/>
            <w:noWrap/>
            <w:vAlign w:val="center"/>
          </w:tcPr>
          <w:p w14:paraId="26E17552" w14:textId="77777777" w:rsidR="007F1533" w:rsidRPr="00A73CF0" w:rsidRDefault="007F1533">
            <w:pPr>
              <w:spacing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4.6:1</w:t>
            </w:r>
          </w:p>
        </w:tc>
        <w:tc>
          <w:tcPr>
            <w:tcW w:w="2126" w:type="dxa"/>
          </w:tcPr>
          <w:p w14:paraId="325E9A70" w14:textId="77777777" w:rsidR="007F1533" w:rsidRPr="00A73CF0" w:rsidRDefault="007F1533">
            <w:pPr>
              <w:spacing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3.4:1</w:t>
            </w:r>
          </w:p>
        </w:tc>
        <w:tc>
          <w:tcPr>
            <w:tcW w:w="2126" w:type="dxa"/>
            <w:shd w:val="clear" w:color="auto" w:fill="auto"/>
            <w:noWrap/>
            <w:vAlign w:val="center"/>
          </w:tcPr>
          <w:p w14:paraId="725797BF" w14:textId="77777777" w:rsidR="007F1533" w:rsidRPr="00A73CF0" w:rsidRDefault="007F1533">
            <w:pPr>
              <w:spacing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2.5:1</w:t>
            </w:r>
          </w:p>
        </w:tc>
      </w:tr>
    </w:tbl>
    <w:p w14:paraId="3ECC9F3E" w14:textId="77777777" w:rsidR="007F1533" w:rsidRPr="00A73CF0" w:rsidRDefault="007F1533" w:rsidP="007F1533">
      <w:pPr>
        <w:spacing w:after="0"/>
        <w:rPr>
          <w:rFonts w:ascii="Arial" w:eastAsia="Times New Roman" w:hAnsi="Arial" w:cs="Arial"/>
          <w:sz w:val="18"/>
          <w:szCs w:val="18"/>
          <w:lang w:eastAsia="en-GB"/>
        </w:rPr>
      </w:pPr>
      <w:r w:rsidRPr="00A73CF0">
        <w:rPr>
          <w:rFonts w:ascii="Arial" w:hAnsi="Arial" w:cs="Arial"/>
          <w:sz w:val="18"/>
          <w:szCs w:val="18"/>
          <w:vertAlign w:val="superscript"/>
        </w:rPr>
        <w:footnoteRef/>
      </w:r>
      <w:r w:rsidRPr="00A73CF0">
        <w:rPr>
          <w:rFonts w:ascii="Arial" w:eastAsia="Times New Roman" w:hAnsi="Arial" w:cs="Arial"/>
          <w:sz w:val="18"/>
          <w:szCs w:val="18"/>
          <w:lang w:eastAsia="en-GB"/>
        </w:rPr>
        <w:t xml:space="preserve"> Calculated on the midpoint of a £5k rounded pay band for the highest paid director.</w:t>
      </w:r>
    </w:p>
    <w:p w14:paraId="4B05F2D3" w14:textId="77777777" w:rsidR="007F1533" w:rsidRPr="007F1533" w:rsidRDefault="007F1533" w:rsidP="007F1533">
      <w:pPr>
        <w:spacing w:after="0"/>
        <w:rPr>
          <w:rFonts w:ascii="Arial" w:eastAsia="Times New Roman" w:hAnsi="Arial" w:cs="Arial"/>
          <w:sz w:val="18"/>
          <w:szCs w:val="18"/>
          <w:lang w:eastAsia="en-GB"/>
        </w:rPr>
      </w:pPr>
      <w:r w:rsidRPr="00A73CF0">
        <w:rPr>
          <w:rFonts w:ascii="Arial" w:eastAsia="Times New Roman" w:hAnsi="Arial" w:cs="Arial"/>
          <w:sz w:val="18"/>
          <w:szCs w:val="18"/>
          <w:vertAlign w:val="superscript"/>
          <w:lang w:eastAsia="en-GB"/>
        </w:rPr>
        <w:t xml:space="preserve">2 </w:t>
      </w:r>
      <w:r w:rsidRPr="00A73CF0">
        <w:rPr>
          <w:rFonts w:ascii="Arial" w:eastAsia="Times New Roman" w:hAnsi="Arial" w:cs="Arial"/>
          <w:color w:val="000000"/>
          <w:sz w:val="18"/>
          <w:szCs w:val="18"/>
          <w:lang w:eastAsia="en-GB"/>
        </w:rPr>
        <w:t>As at 31</w:t>
      </w:r>
      <w:r w:rsidRPr="00A73CF0">
        <w:rPr>
          <w:rFonts w:ascii="Arial" w:eastAsia="Times New Roman" w:hAnsi="Arial" w:cs="Arial"/>
          <w:color w:val="000000"/>
          <w:sz w:val="18"/>
          <w:szCs w:val="18"/>
          <w:vertAlign w:val="superscript"/>
          <w:lang w:eastAsia="en-GB"/>
        </w:rPr>
        <w:t xml:space="preserve"> </w:t>
      </w:r>
      <w:r w:rsidRPr="00A73CF0">
        <w:rPr>
          <w:rFonts w:ascii="Arial" w:hAnsi="Arial" w:cs="Arial"/>
          <w:sz w:val="18"/>
          <w:szCs w:val="18"/>
        </w:rPr>
        <w:t>March 2024 there is an outstanding pay award for staff below Senior Civil Service. This has the effect of making the figures for 31 March 2024 higher than they would otherwise be. These figures have been impacted by the</w:t>
      </w:r>
      <w:r w:rsidRPr="00A73CF0">
        <w:rPr>
          <w:rFonts w:ascii="Arial" w:eastAsia="Times New Roman" w:hAnsi="Arial" w:cs="Arial"/>
          <w:color w:val="000000"/>
          <w:sz w:val="18"/>
          <w:szCs w:val="18"/>
          <w:lang w:eastAsia="en-GB"/>
        </w:rPr>
        <w:t xml:space="preserve"> £1,500 non-consolidated payment announced in 2023 by Ministers to every member of the Civil Service below Senior Civil Service.</w:t>
      </w:r>
    </w:p>
    <w:p w14:paraId="3E4178AC" w14:textId="77777777" w:rsidR="007F1533" w:rsidRPr="007F1533" w:rsidRDefault="007F1533" w:rsidP="007F1533">
      <w:pPr>
        <w:rPr>
          <w:rFonts w:ascii="Arial" w:hAnsi="Arial" w:cs="Arial"/>
        </w:rPr>
      </w:pPr>
    </w:p>
    <w:p w14:paraId="704E5770" w14:textId="6487BEFE" w:rsidR="007F1533" w:rsidRDefault="007F1533" w:rsidP="007F1533">
      <w:pPr>
        <w:rPr>
          <w:rFonts w:ascii="Arial" w:hAnsi="Arial" w:cs="Arial"/>
          <w:sz w:val="24"/>
          <w:szCs w:val="24"/>
        </w:rPr>
      </w:pPr>
      <w:r w:rsidRPr="007F1533">
        <w:rPr>
          <w:rFonts w:ascii="Arial" w:hAnsi="Arial" w:cs="Arial"/>
          <w:sz w:val="24"/>
          <w:szCs w:val="24"/>
        </w:rPr>
        <w:t xml:space="preserve">The minimal changes in the current financial year’s pay ratios compared to the pay ratios of the previous financial year is due to the banded remuneration remaining identical and there not being a material change in the workforce, or a change in the highest paid director’s remuneration. The change in the ratios is consistent with the pay, reward and progression policies of the </w:t>
      </w:r>
      <w:r w:rsidR="2F007C92" w:rsidRPr="6FD6C02B">
        <w:rPr>
          <w:rFonts w:ascii="Arial" w:hAnsi="Arial" w:cs="Arial"/>
          <w:sz w:val="24"/>
          <w:szCs w:val="24"/>
        </w:rPr>
        <w:t>Agency</w:t>
      </w:r>
      <w:r w:rsidRPr="007F1533">
        <w:rPr>
          <w:rFonts w:ascii="Arial" w:hAnsi="Arial" w:cs="Arial"/>
          <w:sz w:val="24"/>
          <w:szCs w:val="24"/>
        </w:rPr>
        <w:t xml:space="preserve"> due to the outstanding pay award for staff below Senior Civil Service, therefore decreasing the 25</w:t>
      </w:r>
      <w:r w:rsidRPr="007F1533">
        <w:rPr>
          <w:rFonts w:ascii="Arial" w:hAnsi="Arial" w:cs="Arial"/>
          <w:sz w:val="24"/>
          <w:szCs w:val="24"/>
          <w:vertAlign w:val="superscript"/>
        </w:rPr>
        <w:t>th</w:t>
      </w:r>
      <w:r w:rsidRPr="007F1533">
        <w:rPr>
          <w:rFonts w:ascii="Arial" w:hAnsi="Arial" w:cs="Arial"/>
          <w:sz w:val="24"/>
          <w:szCs w:val="24"/>
        </w:rPr>
        <w:t xml:space="preserve"> and 50</w:t>
      </w:r>
      <w:r w:rsidRPr="007F1533">
        <w:rPr>
          <w:rFonts w:ascii="Arial" w:hAnsi="Arial" w:cs="Arial"/>
          <w:sz w:val="24"/>
          <w:szCs w:val="24"/>
          <w:vertAlign w:val="superscript"/>
        </w:rPr>
        <w:t>th</w:t>
      </w:r>
      <w:r w:rsidRPr="007F1533">
        <w:rPr>
          <w:rFonts w:ascii="Arial" w:hAnsi="Arial" w:cs="Arial"/>
          <w:sz w:val="24"/>
          <w:szCs w:val="24"/>
        </w:rPr>
        <w:t xml:space="preserve"> percentile and no change this year in the 75</w:t>
      </w:r>
      <w:r w:rsidRPr="007F1533">
        <w:rPr>
          <w:rFonts w:ascii="Arial" w:hAnsi="Arial" w:cs="Arial"/>
          <w:sz w:val="24"/>
          <w:szCs w:val="24"/>
          <w:vertAlign w:val="superscript"/>
        </w:rPr>
        <w:t>th</w:t>
      </w:r>
      <w:r w:rsidRPr="007F1533">
        <w:rPr>
          <w:rFonts w:ascii="Arial" w:hAnsi="Arial" w:cs="Arial"/>
          <w:sz w:val="24"/>
          <w:szCs w:val="24"/>
        </w:rPr>
        <w:t xml:space="preserve"> percentile.</w:t>
      </w:r>
    </w:p>
    <w:p w14:paraId="035E41EA" w14:textId="77777777" w:rsidR="00D30BC9" w:rsidRPr="007F1533" w:rsidRDefault="00D30BC9" w:rsidP="007F1533">
      <w:pPr>
        <w:rPr>
          <w:rFonts w:ascii="Arial" w:hAnsi="Arial" w:cs="Arial"/>
          <w:sz w:val="24"/>
          <w:szCs w:val="24"/>
        </w:rPr>
      </w:pPr>
    </w:p>
    <w:p w14:paraId="42A5948C" w14:textId="77777777" w:rsidR="00A03CF2" w:rsidRDefault="00A03CF2">
      <w:r>
        <w:br w:type="page"/>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126"/>
        <w:gridCol w:w="2126"/>
        <w:gridCol w:w="2126"/>
      </w:tblGrid>
      <w:tr w:rsidR="007F1533" w:rsidRPr="007F1533" w14:paraId="63BF3C8D" w14:textId="77777777">
        <w:trPr>
          <w:trHeight w:val="283"/>
        </w:trPr>
        <w:tc>
          <w:tcPr>
            <w:tcW w:w="2689" w:type="dxa"/>
            <w:shd w:val="clear" w:color="auto" w:fill="DCE6F1"/>
            <w:noWrap/>
            <w:vAlign w:val="bottom"/>
          </w:tcPr>
          <w:p w14:paraId="087D5429" w14:textId="59523AC6" w:rsidR="007F1533" w:rsidRPr="007F1533" w:rsidRDefault="007F1533">
            <w:pPr>
              <w:rPr>
                <w:rFonts w:ascii="Arial" w:eastAsia="Times New Roman" w:hAnsi="Arial" w:cs="Arial"/>
                <w:b/>
                <w:bCs/>
                <w:color w:val="000000"/>
                <w:lang w:eastAsia="en-GB"/>
              </w:rPr>
            </w:pPr>
          </w:p>
        </w:tc>
        <w:tc>
          <w:tcPr>
            <w:tcW w:w="2126" w:type="dxa"/>
            <w:shd w:val="clear" w:color="auto" w:fill="DCE6F1"/>
            <w:noWrap/>
          </w:tcPr>
          <w:p w14:paraId="4B124EBC" w14:textId="77777777" w:rsidR="007F1533" w:rsidRPr="007F1533" w:rsidRDefault="007F1533">
            <w:pPr>
              <w:spacing w:line="240" w:lineRule="auto"/>
              <w:jc w:val="center"/>
              <w:rPr>
                <w:rFonts w:ascii="Arial" w:eastAsia="Times New Roman" w:hAnsi="Arial" w:cs="Arial"/>
                <w:b/>
                <w:bCs/>
                <w:color w:val="000000"/>
                <w:lang w:eastAsia="en-GB"/>
              </w:rPr>
            </w:pPr>
            <w:r w:rsidRPr="007F1533">
              <w:rPr>
                <w:rFonts w:ascii="Arial" w:hAnsi="Arial" w:cs="Arial"/>
                <w:b/>
                <w:bCs/>
              </w:rPr>
              <w:t>25th percentile pay</w:t>
            </w:r>
          </w:p>
        </w:tc>
        <w:tc>
          <w:tcPr>
            <w:tcW w:w="2126" w:type="dxa"/>
            <w:shd w:val="clear" w:color="auto" w:fill="DCE6F1"/>
          </w:tcPr>
          <w:p w14:paraId="186351B9" w14:textId="0479F502" w:rsidR="007F1533" w:rsidRPr="007F1533" w:rsidRDefault="007F1533">
            <w:pPr>
              <w:spacing w:line="240" w:lineRule="auto"/>
              <w:jc w:val="center"/>
              <w:rPr>
                <w:rFonts w:ascii="Arial" w:eastAsia="Times New Roman" w:hAnsi="Arial" w:cs="Arial"/>
                <w:b/>
                <w:bCs/>
                <w:color w:val="000000"/>
                <w:lang w:eastAsia="en-GB"/>
              </w:rPr>
            </w:pPr>
            <w:r w:rsidRPr="007F1533">
              <w:rPr>
                <w:rFonts w:ascii="Arial" w:hAnsi="Arial" w:cs="Arial"/>
                <w:b/>
                <w:bCs/>
              </w:rPr>
              <w:t xml:space="preserve">50th percentile </w:t>
            </w:r>
            <w:r w:rsidR="00F318E4">
              <w:rPr>
                <w:rFonts w:ascii="Arial" w:hAnsi="Arial" w:cs="Arial"/>
                <w:b/>
                <w:bCs/>
              </w:rPr>
              <w:t>m</w:t>
            </w:r>
            <w:r w:rsidRPr="007F1533">
              <w:rPr>
                <w:rFonts w:ascii="Arial" w:hAnsi="Arial" w:cs="Arial"/>
                <w:b/>
                <w:bCs/>
              </w:rPr>
              <w:t>edian pay</w:t>
            </w:r>
          </w:p>
        </w:tc>
        <w:tc>
          <w:tcPr>
            <w:tcW w:w="2126" w:type="dxa"/>
            <w:shd w:val="clear" w:color="auto" w:fill="DCE6F1"/>
            <w:noWrap/>
          </w:tcPr>
          <w:p w14:paraId="3542EE5D" w14:textId="77777777" w:rsidR="007F1533" w:rsidRPr="007F1533" w:rsidRDefault="007F1533">
            <w:pPr>
              <w:spacing w:line="240" w:lineRule="auto"/>
              <w:jc w:val="center"/>
              <w:rPr>
                <w:rFonts w:ascii="Arial" w:eastAsia="Times New Roman" w:hAnsi="Arial" w:cs="Arial"/>
                <w:b/>
                <w:bCs/>
                <w:color w:val="000000"/>
                <w:lang w:eastAsia="en-GB"/>
              </w:rPr>
            </w:pPr>
            <w:r w:rsidRPr="007F1533">
              <w:rPr>
                <w:rFonts w:ascii="Arial" w:hAnsi="Arial" w:cs="Arial"/>
                <w:b/>
                <w:bCs/>
              </w:rPr>
              <w:t>75th percentile pay</w:t>
            </w:r>
          </w:p>
        </w:tc>
      </w:tr>
      <w:tr w:rsidR="007F1533" w:rsidRPr="007F1533" w14:paraId="480FABFB" w14:textId="77777777">
        <w:trPr>
          <w:trHeight w:val="283"/>
        </w:trPr>
        <w:tc>
          <w:tcPr>
            <w:tcW w:w="9067" w:type="dxa"/>
            <w:gridSpan w:val="4"/>
            <w:shd w:val="clear" w:color="auto" w:fill="DCE6F1"/>
            <w:noWrap/>
            <w:vAlign w:val="bottom"/>
          </w:tcPr>
          <w:p w14:paraId="3A82D41A" w14:textId="77777777" w:rsidR="007F1533" w:rsidRPr="007F1533" w:rsidRDefault="007F1533">
            <w:pPr>
              <w:spacing w:line="240" w:lineRule="auto"/>
              <w:rPr>
                <w:rFonts w:ascii="Arial" w:eastAsia="Times New Roman" w:hAnsi="Arial" w:cs="Arial"/>
                <w:b/>
                <w:bCs/>
                <w:color w:val="000000"/>
                <w:vertAlign w:val="superscript"/>
                <w:lang w:eastAsia="en-GB"/>
              </w:rPr>
            </w:pPr>
            <w:r w:rsidRPr="007F1533">
              <w:rPr>
                <w:rFonts w:ascii="Arial" w:eastAsia="Times New Roman" w:hAnsi="Arial" w:cs="Arial"/>
                <w:b/>
                <w:bCs/>
                <w:color w:val="000000"/>
                <w:lang w:eastAsia="en-GB"/>
              </w:rPr>
              <w:t>As at 31 March 2024</w:t>
            </w:r>
            <w:r w:rsidRPr="007F1533">
              <w:rPr>
                <w:rFonts w:ascii="Arial" w:eastAsia="Times New Roman" w:hAnsi="Arial" w:cs="Arial"/>
                <w:b/>
                <w:bCs/>
                <w:color w:val="000000"/>
                <w:vertAlign w:val="superscript"/>
                <w:lang w:eastAsia="en-GB"/>
              </w:rPr>
              <w:t>1</w:t>
            </w:r>
          </w:p>
        </w:tc>
      </w:tr>
      <w:tr w:rsidR="007F1533" w:rsidRPr="00A73CF0" w14:paraId="77C013AE" w14:textId="77777777">
        <w:trPr>
          <w:trHeight w:val="283"/>
        </w:trPr>
        <w:tc>
          <w:tcPr>
            <w:tcW w:w="2689" w:type="dxa"/>
            <w:shd w:val="clear" w:color="auto" w:fill="DCE6F1"/>
            <w:noWrap/>
            <w:vAlign w:val="bottom"/>
          </w:tcPr>
          <w:p w14:paraId="1C45A16A" w14:textId="77777777" w:rsidR="007F1533" w:rsidRPr="00A73CF0" w:rsidRDefault="007F1533">
            <w:pPr>
              <w:rPr>
                <w:rFonts w:ascii="Arial" w:eastAsia="Times New Roman" w:hAnsi="Arial" w:cs="Arial"/>
                <w:color w:val="000000"/>
                <w:vertAlign w:val="superscript"/>
                <w:lang w:eastAsia="en-GB"/>
              </w:rPr>
            </w:pPr>
            <w:r w:rsidRPr="00A73CF0">
              <w:rPr>
                <w:rFonts w:ascii="Arial" w:hAnsi="Arial" w:cs="Arial"/>
              </w:rPr>
              <w:t>Total remuneration</w:t>
            </w:r>
            <w:r w:rsidRPr="00A73CF0">
              <w:rPr>
                <w:rFonts w:ascii="Arial" w:hAnsi="Arial" w:cs="Arial"/>
                <w:vertAlign w:val="superscript"/>
              </w:rPr>
              <w:t>2</w:t>
            </w:r>
          </w:p>
        </w:tc>
        <w:tc>
          <w:tcPr>
            <w:tcW w:w="2126" w:type="dxa"/>
            <w:shd w:val="clear" w:color="auto" w:fill="auto"/>
            <w:noWrap/>
          </w:tcPr>
          <w:p w14:paraId="364E2232" w14:textId="7A032EDA" w:rsidR="007F1533" w:rsidRPr="00A73CF0" w:rsidRDefault="007F1533">
            <w:pPr>
              <w:spacing w:line="240" w:lineRule="auto"/>
              <w:jc w:val="center"/>
              <w:rPr>
                <w:rFonts w:ascii="Arial" w:eastAsia="Times New Roman" w:hAnsi="Arial" w:cs="Arial"/>
                <w:color w:val="000000"/>
                <w:lang w:eastAsia="en-GB"/>
              </w:rPr>
            </w:pPr>
            <w:r w:rsidRPr="00A73CF0">
              <w:rPr>
                <w:rFonts w:ascii="Arial" w:hAnsi="Arial" w:cs="Arial"/>
              </w:rPr>
              <w:t>£25,</w:t>
            </w:r>
            <w:r w:rsidR="009C0671" w:rsidRPr="00A73CF0">
              <w:rPr>
                <w:rFonts w:ascii="Arial" w:hAnsi="Arial" w:cs="Arial"/>
              </w:rPr>
              <w:t>791</w:t>
            </w:r>
          </w:p>
        </w:tc>
        <w:tc>
          <w:tcPr>
            <w:tcW w:w="2126" w:type="dxa"/>
          </w:tcPr>
          <w:p w14:paraId="6E82A4F7" w14:textId="77777777" w:rsidR="007F1533" w:rsidRPr="00A73CF0" w:rsidRDefault="007F1533">
            <w:pPr>
              <w:spacing w:line="240" w:lineRule="auto"/>
              <w:jc w:val="center"/>
              <w:rPr>
                <w:rFonts w:ascii="Arial" w:eastAsia="Times New Roman" w:hAnsi="Arial" w:cs="Arial"/>
                <w:color w:val="000000"/>
                <w:lang w:eastAsia="en-GB"/>
              </w:rPr>
            </w:pPr>
            <w:r w:rsidRPr="00A73CF0">
              <w:rPr>
                <w:rFonts w:ascii="Arial" w:hAnsi="Arial" w:cs="Arial"/>
              </w:rPr>
              <w:t>£34,399</w:t>
            </w:r>
          </w:p>
        </w:tc>
        <w:tc>
          <w:tcPr>
            <w:tcW w:w="2126" w:type="dxa"/>
            <w:shd w:val="clear" w:color="auto" w:fill="auto"/>
            <w:noWrap/>
          </w:tcPr>
          <w:p w14:paraId="24FF788A" w14:textId="4322A5CF" w:rsidR="007F1533" w:rsidRPr="00A73CF0" w:rsidRDefault="007F1533">
            <w:pPr>
              <w:spacing w:line="240" w:lineRule="auto"/>
              <w:jc w:val="center"/>
              <w:rPr>
                <w:rFonts w:ascii="Arial" w:eastAsia="Times New Roman" w:hAnsi="Arial" w:cs="Arial"/>
                <w:color w:val="000000"/>
                <w:lang w:eastAsia="en-GB"/>
              </w:rPr>
            </w:pPr>
            <w:r w:rsidRPr="00A73CF0">
              <w:rPr>
                <w:rFonts w:ascii="Arial" w:hAnsi="Arial" w:cs="Arial"/>
              </w:rPr>
              <w:t>£45,6</w:t>
            </w:r>
            <w:r w:rsidR="009C0671" w:rsidRPr="00A73CF0">
              <w:rPr>
                <w:rFonts w:ascii="Arial" w:hAnsi="Arial" w:cs="Arial"/>
              </w:rPr>
              <w:t>12</w:t>
            </w:r>
          </w:p>
        </w:tc>
      </w:tr>
      <w:tr w:rsidR="007F1533" w:rsidRPr="00A73CF0" w14:paraId="6B082E45" w14:textId="77777777">
        <w:trPr>
          <w:trHeight w:val="283"/>
        </w:trPr>
        <w:tc>
          <w:tcPr>
            <w:tcW w:w="2689" w:type="dxa"/>
            <w:shd w:val="clear" w:color="auto" w:fill="DCE6F1"/>
            <w:noWrap/>
            <w:vAlign w:val="bottom"/>
          </w:tcPr>
          <w:p w14:paraId="1EBFFA57" w14:textId="77777777" w:rsidR="007F1533" w:rsidRPr="00A73CF0" w:rsidRDefault="007F1533">
            <w:pPr>
              <w:rPr>
                <w:rFonts w:ascii="Arial" w:eastAsia="Times New Roman" w:hAnsi="Arial" w:cs="Arial"/>
                <w:color w:val="000000"/>
                <w:lang w:eastAsia="en-GB"/>
              </w:rPr>
            </w:pPr>
            <w:r w:rsidRPr="00A73CF0">
              <w:rPr>
                <w:rFonts w:ascii="Arial" w:hAnsi="Arial" w:cs="Arial"/>
              </w:rPr>
              <w:t>Salary component only</w:t>
            </w:r>
          </w:p>
        </w:tc>
        <w:tc>
          <w:tcPr>
            <w:tcW w:w="2126" w:type="dxa"/>
            <w:shd w:val="clear" w:color="auto" w:fill="auto"/>
            <w:noWrap/>
          </w:tcPr>
          <w:p w14:paraId="45F3A675" w14:textId="77777777" w:rsidR="007F1533" w:rsidRPr="00A73CF0" w:rsidRDefault="007F1533">
            <w:pPr>
              <w:spacing w:line="240" w:lineRule="auto"/>
              <w:jc w:val="center"/>
              <w:rPr>
                <w:rFonts w:ascii="Arial" w:eastAsia="Times New Roman" w:hAnsi="Arial" w:cs="Arial"/>
                <w:color w:val="000000"/>
                <w:lang w:eastAsia="en-GB"/>
              </w:rPr>
            </w:pPr>
            <w:r w:rsidRPr="00A73CF0">
              <w:rPr>
                <w:rFonts w:ascii="Arial" w:hAnsi="Arial" w:cs="Arial"/>
              </w:rPr>
              <w:t>£22,183</w:t>
            </w:r>
          </w:p>
        </w:tc>
        <w:tc>
          <w:tcPr>
            <w:tcW w:w="2126" w:type="dxa"/>
          </w:tcPr>
          <w:p w14:paraId="2F45C1F4" w14:textId="77777777" w:rsidR="007F1533" w:rsidRPr="00A73CF0" w:rsidRDefault="007F1533">
            <w:pPr>
              <w:jc w:val="center"/>
              <w:rPr>
                <w:rFonts w:ascii="Arial" w:hAnsi="Arial" w:cs="Arial"/>
                <w:color w:val="000000"/>
              </w:rPr>
            </w:pPr>
            <w:r w:rsidRPr="00A73CF0">
              <w:rPr>
                <w:rFonts w:ascii="Arial" w:hAnsi="Arial" w:cs="Arial"/>
              </w:rPr>
              <w:t>£31,620</w:t>
            </w:r>
          </w:p>
        </w:tc>
        <w:tc>
          <w:tcPr>
            <w:tcW w:w="2126" w:type="dxa"/>
            <w:shd w:val="clear" w:color="auto" w:fill="auto"/>
            <w:noWrap/>
          </w:tcPr>
          <w:p w14:paraId="222E7340" w14:textId="77777777" w:rsidR="007F1533" w:rsidRPr="00A73CF0" w:rsidRDefault="007F1533">
            <w:pPr>
              <w:jc w:val="center"/>
              <w:rPr>
                <w:rFonts w:ascii="Arial" w:hAnsi="Arial" w:cs="Arial"/>
                <w:color w:val="000000"/>
              </w:rPr>
            </w:pPr>
            <w:r w:rsidRPr="00A73CF0">
              <w:rPr>
                <w:rFonts w:ascii="Arial" w:hAnsi="Arial" w:cs="Arial"/>
              </w:rPr>
              <w:t>£42,456</w:t>
            </w:r>
          </w:p>
        </w:tc>
      </w:tr>
      <w:tr w:rsidR="007F1533" w:rsidRPr="00A73CF0" w14:paraId="4ED26254" w14:textId="77777777">
        <w:trPr>
          <w:trHeight w:val="283"/>
        </w:trPr>
        <w:tc>
          <w:tcPr>
            <w:tcW w:w="9067" w:type="dxa"/>
            <w:gridSpan w:val="4"/>
            <w:shd w:val="clear" w:color="auto" w:fill="DCE6F1"/>
            <w:noWrap/>
            <w:vAlign w:val="bottom"/>
          </w:tcPr>
          <w:p w14:paraId="33E40CF8" w14:textId="77777777" w:rsidR="007F1533" w:rsidRPr="00A73CF0" w:rsidRDefault="007F1533">
            <w:pPr>
              <w:spacing w:line="240" w:lineRule="auto"/>
              <w:rPr>
                <w:rFonts w:ascii="Arial" w:eastAsia="Times New Roman" w:hAnsi="Arial" w:cs="Arial"/>
                <w:color w:val="000000"/>
                <w:lang w:eastAsia="en-GB"/>
              </w:rPr>
            </w:pPr>
            <w:r w:rsidRPr="00A73CF0">
              <w:rPr>
                <w:rFonts w:ascii="Arial" w:hAnsi="Arial" w:cs="Arial"/>
                <w:b/>
                <w:bCs/>
                <w:color w:val="000000"/>
                <w:lang w:eastAsia="en-GB"/>
              </w:rPr>
              <w:t>As at 31 March 2023</w:t>
            </w:r>
          </w:p>
        </w:tc>
      </w:tr>
      <w:tr w:rsidR="007F1533" w:rsidRPr="00A73CF0" w14:paraId="3313102A" w14:textId="77777777">
        <w:trPr>
          <w:trHeight w:val="283"/>
        </w:trPr>
        <w:tc>
          <w:tcPr>
            <w:tcW w:w="2689" w:type="dxa"/>
            <w:shd w:val="clear" w:color="auto" w:fill="DCE6F1"/>
            <w:noWrap/>
            <w:vAlign w:val="bottom"/>
          </w:tcPr>
          <w:p w14:paraId="7813215B" w14:textId="77777777" w:rsidR="007F1533" w:rsidRPr="00A73CF0" w:rsidRDefault="007F1533">
            <w:pPr>
              <w:rPr>
                <w:rFonts w:ascii="Arial" w:eastAsia="Times New Roman" w:hAnsi="Arial" w:cs="Arial"/>
                <w:color w:val="000000"/>
                <w:lang w:eastAsia="en-GB"/>
              </w:rPr>
            </w:pPr>
            <w:r w:rsidRPr="00A73CF0">
              <w:rPr>
                <w:rFonts w:ascii="Arial" w:hAnsi="Arial" w:cs="Arial"/>
              </w:rPr>
              <w:t>Total remuneration</w:t>
            </w:r>
          </w:p>
        </w:tc>
        <w:tc>
          <w:tcPr>
            <w:tcW w:w="2126" w:type="dxa"/>
            <w:shd w:val="clear" w:color="auto" w:fill="auto"/>
            <w:noWrap/>
            <w:vAlign w:val="center"/>
          </w:tcPr>
          <w:p w14:paraId="10F38F08" w14:textId="77777777" w:rsidR="007F1533" w:rsidRPr="00A73CF0" w:rsidRDefault="007F1533">
            <w:pPr>
              <w:spacing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£24,006</w:t>
            </w:r>
          </w:p>
        </w:tc>
        <w:tc>
          <w:tcPr>
            <w:tcW w:w="2126" w:type="dxa"/>
          </w:tcPr>
          <w:p w14:paraId="6AC2D9D4" w14:textId="77777777" w:rsidR="007F1533" w:rsidRPr="00A73CF0" w:rsidRDefault="007F1533">
            <w:pPr>
              <w:spacing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£33,073</w:t>
            </w:r>
          </w:p>
        </w:tc>
        <w:tc>
          <w:tcPr>
            <w:tcW w:w="2126" w:type="dxa"/>
            <w:shd w:val="clear" w:color="auto" w:fill="auto"/>
            <w:noWrap/>
            <w:vAlign w:val="center"/>
          </w:tcPr>
          <w:p w14:paraId="502B957F" w14:textId="77777777" w:rsidR="007F1533" w:rsidRPr="00A73CF0" w:rsidRDefault="007F1533">
            <w:pPr>
              <w:spacing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£44,501</w:t>
            </w:r>
          </w:p>
        </w:tc>
      </w:tr>
      <w:tr w:rsidR="007F1533" w:rsidRPr="00A73CF0" w14:paraId="50A5B7E0" w14:textId="77777777">
        <w:trPr>
          <w:trHeight w:val="283"/>
        </w:trPr>
        <w:tc>
          <w:tcPr>
            <w:tcW w:w="2689" w:type="dxa"/>
            <w:shd w:val="clear" w:color="auto" w:fill="DCE6F1"/>
            <w:noWrap/>
            <w:vAlign w:val="bottom"/>
          </w:tcPr>
          <w:p w14:paraId="7D5FEBBA" w14:textId="77777777" w:rsidR="007F1533" w:rsidRPr="00A73CF0" w:rsidRDefault="007F1533">
            <w:pPr>
              <w:rPr>
                <w:rFonts w:ascii="Arial" w:eastAsia="Times New Roman" w:hAnsi="Arial" w:cs="Arial"/>
                <w:color w:val="000000"/>
                <w:lang w:eastAsia="en-GB"/>
              </w:rPr>
            </w:pPr>
            <w:r w:rsidRPr="00A73CF0">
              <w:rPr>
                <w:rFonts w:ascii="Arial" w:hAnsi="Arial" w:cs="Arial"/>
              </w:rPr>
              <w:t>Salary component only</w:t>
            </w:r>
          </w:p>
        </w:tc>
        <w:tc>
          <w:tcPr>
            <w:tcW w:w="2126" w:type="dxa"/>
            <w:shd w:val="clear" w:color="auto" w:fill="auto"/>
            <w:noWrap/>
            <w:vAlign w:val="center"/>
          </w:tcPr>
          <w:p w14:paraId="63E341EB" w14:textId="77777777" w:rsidR="007F1533" w:rsidRPr="00A73CF0" w:rsidRDefault="007F1533">
            <w:pPr>
              <w:spacing w:line="240" w:lineRule="auto"/>
              <w:jc w:val="center"/>
              <w:rPr>
                <w:rFonts w:ascii="Arial" w:eastAsia="Times New Roman" w:hAnsi="Arial" w:cs="Arial"/>
                <w:color w:val="000000"/>
                <w:lang w:eastAsia="en-GB"/>
              </w:rPr>
            </w:pPr>
            <w:r w:rsidRPr="00A73CF0">
              <w:rPr>
                <w:rFonts w:ascii="Arial" w:eastAsia="Times New Roman" w:hAnsi="Arial" w:cs="Arial"/>
                <w:color w:val="000000"/>
                <w:lang w:eastAsia="en-GB"/>
              </w:rPr>
              <w:t>£22,183</w:t>
            </w:r>
          </w:p>
        </w:tc>
        <w:tc>
          <w:tcPr>
            <w:tcW w:w="2126" w:type="dxa"/>
          </w:tcPr>
          <w:p w14:paraId="2064BE3F" w14:textId="77777777" w:rsidR="007F1533" w:rsidRPr="00A73CF0" w:rsidRDefault="007F1533">
            <w:pPr>
              <w:jc w:val="center"/>
              <w:rPr>
                <w:rFonts w:ascii="Arial" w:hAnsi="Arial" w:cs="Arial"/>
                <w:color w:val="000000"/>
              </w:rPr>
            </w:pPr>
            <w:r w:rsidRPr="00A73CF0">
              <w:rPr>
                <w:rFonts w:ascii="Arial" w:hAnsi="Arial" w:cs="Arial"/>
                <w:color w:val="000000"/>
              </w:rPr>
              <w:t>£31,730</w:t>
            </w:r>
          </w:p>
        </w:tc>
        <w:tc>
          <w:tcPr>
            <w:tcW w:w="2126" w:type="dxa"/>
            <w:shd w:val="clear" w:color="auto" w:fill="auto"/>
            <w:noWrap/>
            <w:vAlign w:val="center"/>
          </w:tcPr>
          <w:p w14:paraId="53E3439D" w14:textId="77777777" w:rsidR="007F1533" w:rsidRPr="00A73CF0" w:rsidRDefault="007F1533">
            <w:pPr>
              <w:jc w:val="center"/>
              <w:rPr>
                <w:rFonts w:ascii="Arial" w:hAnsi="Arial" w:cs="Arial"/>
                <w:color w:val="000000"/>
              </w:rPr>
            </w:pPr>
            <w:r w:rsidRPr="00A73CF0">
              <w:rPr>
                <w:rFonts w:ascii="Arial" w:hAnsi="Arial" w:cs="Arial"/>
                <w:color w:val="000000"/>
              </w:rPr>
              <w:t>£43,296</w:t>
            </w:r>
          </w:p>
        </w:tc>
      </w:tr>
    </w:tbl>
    <w:p w14:paraId="008BDE0D" w14:textId="77777777" w:rsidR="007F1533" w:rsidRPr="00A73CF0" w:rsidRDefault="007F1533" w:rsidP="007F1533">
      <w:pPr>
        <w:spacing w:after="0"/>
        <w:rPr>
          <w:rFonts w:ascii="Arial" w:hAnsi="Arial" w:cs="Arial"/>
          <w:sz w:val="18"/>
          <w:szCs w:val="18"/>
        </w:rPr>
      </w:pPr>
      <w:r w:rsidRPr="00A73CF0">
        <w:rPr>
          <w:rFonts w:ascii="Arial" w:eastAsia="Times New Roman" w:hAnsi="Arial" w:cs="Arial"/>
          <w:color w:val="000000"/>
          <w:sz w:val="18"/>
          <w:szCs w:val="18"/>
          <w:vertAlign w:val="superscript"/>
          <w:lang w:eastAsia="en-GB"/>
        </w:rPr>
        <w:t>1</w:t>
      </w:r>
      <w:r w:rsidRPr="00A73CF0">
        <w:rPr>
          <w:rFonts w:ascii="Arial" w:eastAsia="Times New Roman" w:hAnsi="Arial" w:cs="Arial"/>
          <w:color w:val="000000"/>
          <w:sz w:val="18"/>
          <w:szCs w:val="18"/>
          <w:lang w:eastAsia="en-GB"/>
        </w:rPr>
        <w:t xml:space="preserve"> As at 31</w:t>
      </w:r>
      <w:r w:rsidRPr="00A73CF0">
        <w:rPr>
          <w:rFonts w:ascii="Arial" w:eastAsia="Times New Roman" w:hAnsi="Arial" w:cs="Arial"/>
          <w:color w:val="000000"/>
          <w:sz w:val="18"/>
          <w:szCs w:val="18"/>
          <w:vertAlign w:val="superscript"/>
          <w:lang w:eastAsia="en-GB"/>
        </w:rPr>
        <w:t xml:space="preserve"> </w:t>
      </w:r>
      <w:r w:rsidRPr="00A73CF0">
        <w:rPr>
          <w:rFonts w:ascii="Arial" w:hAnsi="Arial" w:cs="Arial"/>
          <w:sz w:val="18"/>
          <w:szCs w:val="18"/>
        </w:rPr>
        <w:t>March 2024 there is an outstanding pay award for staff below Senior Civil Service. This has the effect of making the figures for 31 March 2024 lower than they would otherwise be.</w:t>
      </w:r>
    </w:p>
    <w:p w14:paraId="10D24BC1" w14:textId="77777777" w:rsidR="007F1533" w:rsidRPr="007F1533" w:rsidRDefault="007F1533" w:rsidP="007F1533">
      <w:pPr>
        <w:spacing w:after="0"/>
        <w:rPr>
          <w:rFonts w:ascii="Arial" w:hAnsi="Arial" w:cs="Arial"/>
          <w:sz w:val="18"/>
          <w:szCs w:val="18"/>
          <w:vertAlign w:val="superscript"/>
        </w:rPr>
      </w:pPr>
      <w:r w:rsidRPr="00A73CF0">
        <w:rPr>
          <w:rFonts w:ascii="Arial" w:hAnsi="Arial" w:cs="Arial"/>
          <w:sz w:val="18"/>
          <w:szCs w:val="18"/>
          <w:vertAlign w:val="superscript"/>
        </w:rPr>
        <w:t>2</w:t>
      </w:r>
      <w:r w:rsidRPr="00A73CF0">
        <w:rPr>
          <w:rFonts w:ascii="Arial" w:hAnsi="Arial" w:cs="Arial"/>
          <w:sz w:val="18"/>
          <w:szCs w:val="18"/>
        </w:rPr>
        <w:t xml:space="preserve"> These figures have been impacted by the</w:t>
      </w:r>
      <w:r w:rsidRPr="00A73CF0">
        <w:rPr>
          <w:rFonts w:ascii="Arial" w:eastAsia="Times New Roman" w:hAnsi="Arial" w:cs="Arial"/>
          <w:color w:val="000000"/>
          <w:sz w:val="18"/>
          <w:szCs w:val="18"/>
          <w:lang w:eastAsia="en-GB"/>
        </w:rPr>
        <w:t xml:space="preserve"> £1,500 non-consolidated payment announced in 2023 by Ministers to every member of the Civil Service below Senior Civil Service.</w:t>
      </w:r>
    </w:p>
    <w:p w14:paraId="5C49B012" w14:textId="77777777" w:rsidR="000D6644" w:rsidRDefault="000D6644" w:rsidP="007F1533">
      <w:pPr>
        <w:rPr>
          <w:rFonts w:ascii="Arial" w:hAnsi="Arial" w:cs="Arial"/>
          <w:sz w:val="24"/>
          <w:szCs w:val="24"/>
        </w:rPr>
      </w:pPr>
      <w:bookmarkStart w:id="14" w:name="_Hlk83115242"/>
      <w:bookmarkStart w:id="15" w:name="_Hlk83115251"/>
    </w:p>
    <w:p w14:paraId="109A9814" w14:textId="115DF341" w:rsidR="007F1533" w:rsidRPr="007F1533" w:rsidRDefault="007F1533" w:rsidP="007F1533">
      <w:pPr>
        <w:rPr>
          <w:rFonts w:ascii="Arial" w:hAnsi="Arial" w:cs="Arial"/>
          <w:sz w:val="24"/>
          <w:szCs w:val="24"/>
        </w:rPr>
      </w:pPr>
      <w:r w:rsidRPr="007F1533">
        <w:rPr>
          <w:rFonts w:ascii="Arial" w:hAnsi="Arial" w:cs="Arial"/>
          <w:sz w:val="24"/>
          <w:szCs w:val="24"/>
        </w:rPr>
        <w:t>As at 31 March 2024</w:t>
      </w:r>
      <w:r w:rsidR="000E21ED">
        <w:rPr>
          <w:rFonts w:ascii="Arial" w:hAnsi="Arial" w:cs="Arial"/>
          <w:sz w:val="24"/>
          <w:szCs w:val="24"/>
        </w:rPr>
        <w:t>,</w:t>
      </w:r>
      <w:r w:rsidRPr="007F1533">
        <w:rPr>
          <w:rFonts w:ascii="Arial" w:hAnsi="Arial" w:cs="Arial"/>
          <w:sz w:val="24"/>
          <w:szCs w:val="24"/>
        </w:rPr>
        <w:t xml:space="preserve"> remuneration ranged from £16,000 to £200,000 (31 March 2023, £16,000-£</w:t>
      </w:r>
      <w:bookmarkEnd w:id="14"/>
      <w:r w:rsidRPr="007F1533">
        <w:rPr>
          <w:rFonts w:ascii="Arial" w:hAnsi="Arial" w:cs="Arial"/>
          <w:sz w:val="24"/>
          <w:szCs w:val="24"/>
        </w:rPr>
        <w:t>200,000). This range includes agency workers and contractors where a derived annualised salary has been calculated as if they were employed for a full year. As at 31 March 2024, 29 people (31 March 2023: 41 people) received remuneration in excess of the highest paid director.</w:t>
      </w:r>
    </w:p>
    <w:bookmarkEnd w:id="15"/>
    <w:p w14:paraId="5DACD6CB" w14:textId="77777777" w:rsidR="005412DE" w:rsidRDefault="007F1533" w:rsidP="005412DE">
      <w:pPr>
        <w:rPr>
          <w:rFonts w:ascii="Arial" w:hAnsi="Arial" w:cs="Arial"/>
          <w:sz w:val="24"/>
          <w:szCs w:val="24"/>
        </w:rPr>
      </w:pPr>
      <w:r w:rsidRPr="007F1533">
        <w:rPr>
          <w:rFonts w:ascii="Arial" w:hAnsi="Arial" w:cs="Arial"/>
          <w:sz w:val="24"/>
          <w:szCs w:val="24"/>
        </w:rPr>
        <w:t>Total remuneration includes salary, allowances, overtime, non-consolidated performance-related pay and benefits-in-kind. It does not include severance payments, employer pension contributions and the cash equivalent transfer value of pensions.</w:t>
      </w:r>
      <w:bookmarkEnd w:id="13"/>
    </w:p>
    <w:p w14:paraId="3AA836AD" w14:textId="77777777" w:rsidR="005412DE" w:rsidRDefault="005412DE" w:rsidP="005412DE">
      <w:pPr>
        <w:rPr>
          <w:rFonts w:ascii="Arial" w:hAnsi="Arial" w:cs="Arial"/>
          <w:sz w:val="24"/>
          <w:szCs w:val="24"/>
        </w:rPr>
      </w:pPr>
    </w:p>
    <w:p w14:paraId="44AC03BF" w14:textId="691AC061" w:rsidR="007F1533" w:rsidRPr="00D30BC9" w:rsidRDefault="007F1533" w:rsidP="00FA2B44">
      <w:pPr>
        <w:rPr>
          <w:rFonts w:ascii="Arial" w:hAnsi="Arial" w:cs="Arial"/>
          <w:sz w:val="24"/>
          <w:szCs w:val="24"/>
        </w:rPr>
      </w:pPr>
      <w:r w:rsidRPr="007F1533">
        <w:rPr>
          <w:rStyle w:val="Heading4Char"/>
          <w:rFonts w:cs="Arial"/>
        </w:rPr>
        <w:t>Remuneration of Insolvency Service Board Members (audited)</w:t>
      </w:r>
      <w:r w:rsidRPr="007F1533">
        <w:rPr>
          <w:rStyle w:val="Heading4Char"/>
          <w:rFonts w:cs="Arial"/>
        </w:rPr>
        <w:br/>
      </w:r>
      <w:r w:rsidRPr="00D30BC9">
        <w:rPr>
          <w:rFonts w:ascii="Arial" w:hAnsi="Arial" w:cs="Arial"/>
          <w:sz w:val="24"/>
          <w:szCs w:val="24"/>
        </w:rPr>
        <w:t>The Insolvency Service Board comprises 11 members although there have been movements throughout the year where members have joined and left the Insolvency Service Board and/or the Insolvency Service.</w:t>
      </w:r>
    </w:p>
    <w:p w14:paraId="16187E3F" w14:textId="77777777" w:rsidR="007F1533" w:rsidRPr="00D30BC9" w:rsidRDefault="007F1533" w:rsidP="007F1533">
      <w:pPr>
        <w:spacing w:line="240" w:lineRule="auto"/>
        <w:rPr>
          <w:rFonts w:ascii="Arial" w:hAnsi="Arial" w:cs="Arial"/>
          <w:sz w:val="24"/>
          <w:szCs w:val="24"/>
        </w:rPr>
      </w:pPr>
      <w:r w:rsidRPr="00D30BC9">
        <w:rPr>
          <w:rFonts w:ascii="Arial" w:hAnsi="Arial" w:cs="Arial"/>
          <w:sz w:val="24"/>
          <w:szCs w:val="24"/>
        </w:rPr>
        <w:t xml:space="preserve">5 of the roles are civil servants, shown on earlier pages: </w:t>
      </w:r>
    </w:p>
    <w:p w14:paraId="44AFF1C8" w14:textId="77777777" w:rsidR="007F1533" w:rsidRPr="00D30BC9" w:rsidRDefault="007F1533" w:rsidP="007F1533">
      <w:pPr>
        <w:numPr>
          <w:ilvl w:val="0"/>
          <w:numId w:val="16"/>
        </w:numPr>
        <w:spacing w:after="0" w:line="240" w:lineRule="auto"/>
        <w:ind w:left="714" w:hanging="357"/>
        <w:rPr>
          <w:rFonts w:ascii="Arial" w:hAnsi="Arial" w:cs="Arial"/>
          <w:sz w:val="24"/>
          <w:szCs w:val="24"/>
        </w:rPr>
      </w:pPr>
      <w:r w:rsidRPr="00D30BC9">
        <w:rPr>
          <w:rFonts w:ascii="Arial" w:hAnsi="Arial" w:cs="Arial"/>
          <w:sz w:val="24"/>
          <w:szCs w:val="24"/>
        </w:rPr>
        <w:t>Agency Chief Executive</w:t>
      </w:r>
    </w:p>
    <w:p w14:paraId="2CDB56A8" w14:textId="77777777" w:rsidR="007F1533" w:rsidRPr="00D30BC9" w:rsidRDefault="007F1533" w:rsidP="007F1533">
      <w:pPr>
        <w:numPr>
          <w:ilvl w:val="0"/>
          <w:numId w:val="16"/>
        </w:numPr>
        <w:spacing w:after="0" w:line="240" w:lineRule="auto"/>
        <w:ind w:left="714" w:hanging="357"/>
        <w:rPr>
          <w:rFonts w:ascii="Arial" w:hAnsi="Arial" w:cs="Arial"/>
          <w:sz w:val="24"/>
          <w:szCs w:val="24"/>
        </w:rPr>
      </w:pPr>
      <w:r w:rsidRPr="00D30BC9">
        <w:rPr>
          <w:rFonts w:ascii="Arial" w:hAnsi="Arial" w:cs="Arial"/>
          <w:sz w:val="24"/>
          <w:szCs w:val="24"/>
        </w:rPr>
        <w:t>Chief Operating Officer</w:t>
      </w:r>
    </w:p>
    <w:p w14:paraId="75982C11" w14:textId="77777777" w:rsidR="007F1533" w:rsidRPr="00D30BC9" w:rsidRDefault="007F1533" w:rsidP="007F1533">
      <w:pPr>
        <w:numPr>
          <w:ilvl w:val="0"/>
          <w:numId w:val="16"/>
        </w:numPr>
        <w:spacing w:after="0" w:line="240" w:lineRule="auto"/>
        <w:ind w:left="714" w:hanging="357"/>
        <w:rPr>
          <w:rFonts w:ascii="Arial" w:hAnsi="Arial" w:cs="Arial"/>
          <w:sz w:val="24"/>
          <w:szCs w:val="24"/>
        </w:rPr>
      </w:pPr>
      <w:r w:rsidRPr="00D30BC9">
        <w:rPr>
          <w:rFonts w:ascii="Arial" w:hAnsi="Arial" w:cs="Arial"/>
          <w:sz w:val="24"/>
          <w:szCs w:val="24"/>
        </w:rPr>
        <w:t>People &amp; Capability Director</w:t>
      </w:r>
    </w:p>
    <w:p w14:paraId="69DF7B7D" w14:textId="77777777" w:rsidR="007F1533" w:rsidRPr="00D30BC9" w:rsidRDefault="007F1533" w:rsidP="007F1533">
      <w:pPr>
        <w:numPr>
          <w:ilvl w:val="0"/>
          <w:numId w:val="16"/>
        </w:numPr>
        <w:spacing w:after="0" w:line="240" w:lineRule="auto"/>
        <w:ind w:left="714" w:hanging="357"/>
        <w:rPr>
          <w:rFonts w:ascii="Arial" w:hAnsi="Arial" w:cs="Arial"/>
          <w:sz w:val="24"/>
          <w:szCs w:val="24"/>
        </w:rPr>
      </w:pPr>
      <w:r w:rsidRPr="00D30BC9">
        <w:rPr>
          <w:rFonts w:ascii="Arial" w:hAnsi="Arial" w:cs="Arial"/>
          <w:sz w:val="24"/>
          <w:szCs w:val="24"/>
        </w:rPr>
        <w:t xml:space="preserve">Finance, Commercial, </w:t>
      </w:r>
      <w:r w:rsidRPr="00D30BC9">
        <w:rPr>
          <w:rFonts w:ascii="Arial" w:hAnsi="Arial" w:cs="Arial"/>
          <w:color w:val="000000"/>
          <w:sz w:val="24"/>
          <w:szCs w:val="24"/>
          <w:shd w:val="clear" w:color="auto" w:fill="FFFFFF"/>
        </w:rPr>
        <w:t>Sustainability and Property</w:t>
      </w:r>
      <w:r w:rsidRPr="00D30BC9">
        <w:rPr>
          <w:rFonts w:ascii="Arial" w:hAnsi="Arial" w:cs="Arial"/>
          <w:sz w:val="24"/>
          <w:szCs w:val="24"/>
        </w:rPr>
        <w:t xml:space="preserve"> Director</w:t>
      </w:r>
    </w:p>
    <w:p w14:paraId="3D91593B" w14:textId="77777777" w:rsidR="007F1533" w:rsidRPr="00D30BC9" w:rsidRDefault="007F1533" w:rsidP="007F1533">
      <w:pPr>
        <w:numPr>
          <w:ilvl w:val="0"/>
          <w:numId w:val="16"/>
        </w:numPr>
        <w:spacing w:after="0" w:line="240" w:lineRule="auto"/>
        <w:ind w:left="714" w:hanging="357"/>
        <w:rPr>
          <w:rFonts w:ascii="Arial" w:hAnsi="Arial" w:cs="Arial"/>
          <w:sz w:val="24"/>
          <w:szCs w:val="24"/>
        </w:rPr>
      </w:pPr>
      <w:r w:rsidRPr="00D30BC9">
        <w:rPr>
          <w:rFonts w:ascii="Arial" w:hAnsi="Arial" w:cs="Arial"/>
          <w:sz w:val="24"/>
          <w:szCs w:val="24"/>
        </w:rPr>
        <w:t>Strategy, Policy and Analysis Director</w:t>
      </w:r>
    </w:p>
    <w:p w14:paraId="0C18F8B7" w14:textId="77777777" w:rsidR="007F1533" w:rsidRPr="00D30BC9" w:rsidRDefault="007F1533" w:rsidP="007F1533">
      <w:pPr>
        <w:spacing w:after="0" w:line="240" w:lineRule="auto"/>
        <w:ind w:left="714"/>
        <w:rPr>
          <w:rFonts w:ascii="Arial" w:hAnsi="Arial" w:cs="Arial"/>
          <w:sz w:val="24"/>
          <w:szCs w:val="24"/>
        </w:rPr>
      </w:pPr>
    </w:p>
    <w:p w14:paraId="350A3483" w14:textId="77777777" w:rsidR="007F1533" w:rsidRPr="00D30BC9" w:rsidRDefault="007F1533" w:rsidP="007F1533">
      <w:pPr>
        <w:spacing w:line="240" w:lineRule="auto"/>
        <w:rPr>
          <w:rFonts w:ascii="Arial" w:hAnsi="Arial" w:cs="Arial"/>
          <w:sz w:val="24"/>
          <w:szCs w:val="24"/>
        </w:rPr>
      </w:pPr>
      <w:r w:rsidRPr="00D30BC9">
        <w:rPr>
          <w:rFonts w:ascii="Arial" w:hAnsi="Arial" w:cs="Arial"/>
          <w:sz w:val="24"/>
          <w:szCs w:val="24"/>
        </w:rPr>
        <w:t>Their remuneration is borne by the Insolvency Service and is disclosed above.</w:t>
      </w:r>
    </w:p>
    <w:p w14:paraId="41C54348" w14:textId="77777777" w:rsidR="005412DE" w:rsidRDefault="005412DE">
      <w:bookmarkStart w:id="16" w:name="_Hlk39672272"/>
      <w:r>
        <w:br w:type="page"/>
      </w:r>
    </w:p>
    <w:tbl>
      <w:tblPr>
        <w:tblpPr w:leftFromText="180" w:rightFromText="180" w:vertAnchor="text" w:tblpY="1"/>
        <w:tblOverlap w:val="never"/>
        <w:tblW w:w="9067" w:type="dxa"/>
        <w:tblLook w:val="04A0" w:firstRow="1" w:lastRow="0" w:firstColumn="1" w:lastColumn="0" w:noHBand="0" w:noVBand="1"/>
      </w:tblPr>
      <w:tblGrid>
        <w:gridCol w:w="4957"/>
        <w:gridCol w:w="1984"/>
        <w:gridCol w:w="2126"/>
      </w:tblGrid>
      <w:tr w:rsidR="007F1533" w:rsidRPr="007F1533" w14:paraId="222FCF0B" w14:textId="77777777">
        <w:trPr>
          <w:trHeight w:val="458"/>
        </w:trPr>
        <w:tc>
          <w:tcPr>
            <w:tcW w:w="4957" w:type="dxa"/>
            <w:vMerge w:val="restart"/>
            <w:tcBorders>
              <w:top w:val="single" w:sz="4" w:space="0" w:color="auto"/>
              <w:left w:val="single" w:sz="4" w:space="0" w:color="auto"/>
              <w:bottom w:val="single" w:sz="4" w:space="0" w:color="000000"/>
              <w:right w:val="single" w:sz="4" w:space="0" w:color="auto"/>
            </w:tcBorders>
            <w:shd w:val="clear" w:color="auto" w:fill="DCE6F1"/>
            <w:vAlign w:val="center"/>
            <w:hideMark/>
          </w:tcPr>
          <w:p w14:paraId="3E4E5644" w14:textId="62466609" w:rsidR="007F1533" w:rsidRPr="007F1533" w:rsidRDefault="007F1533">
            <w:pPr>
              <w:spacing w:after="0" w:line="240" w:lineRule="auto"/>
              <w:rPr>
                <w:rFonts w:ascii="Arial" w:eastAsia="Times New Roman" w:hAnsi="Arial" w:cs="Arial"/>
                <w:b/>
                <w:bCs/>
                <w:color w:val="000000"/>
                <w:lang w:eastAsia="en-GB"/>
              </w:rPr>
            </w:pPr>
            <w:r w:rsidRPr="007F1533">
              <w:rPr>
                <w:rFonts w:ascii="Arial" w:eastAsia="Times New Roman" w:hAnsi="Arial" w:cs="Arial"/>
                <w:b/>
                <w:bCs/>
                <w:color w:val="000000"/>
                <w:lang w:eastAsia="en-GB"/>
              </w:rPr>
              <w:lastRenderedPageBreak/>
              <w:t>Non-Executive Board Members</w:t>
            </w:r>
          </w:p>
          <w:p w14:paraId="5E50520E" w14:textId="77777777" w:rsidR="007F1533" w:rsidRPr="007F1533" w:rsidRDefault="007F1533">
            <w:pPr>
              <w:spacing w:after="0" w:line="240" w:lineRule="auto"/>
              <w:rPr>
                <w:rFonts w:ascii="Arial" w:eastAsia="Times New Roman" w:hAnsi="Arial" w:cs="Arial"/>
                <w:b/>
                <w:bCs/>
                <w:color w:val="000000"/>
                <w:lang w:eastAsia="en-GB"/>
              </w:rPr>
            </w:pP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DCE6F1"/>
            <w:vAlign w:val="center"/>
            <w:hideMark/>
          </w:tcPr>
          <w:p w14:paraId="4A68DDBE" w14:textId="77777777" w:rsidR="007F1533" w:rsidRPr="007F1533" w:rsidRDefault="007F1533">
            <w:pPr>
              <w:spacing w:after="0" w:line="240" w:lineRule="auto"/>
              <w:jc w:val="center"/>
              <w:rPr>
                <w:rFonts w:ascii="Arial" w:eastAsia="Times New Roman" w:hAnsi="Arial" w:cs="Arial"/>
                <w:b/>
                <w:bCs/>
                <w:color w:val="000000"/>
                <w:lang w:eastAsia="en-GB"/>
              </w:rPr>
            </w:pPr>
            <w:r w:rsidRPr="007F1533">
              <w:rPr>
                <w:rFonts w:ascii="Arial" w:eastAsia="Times New Roman" w:hAnsi="Arial" w:cs="Arial"/>
                <w:b/>
                <w:bCs/>
                <w:color w:val="000000"/>
                <w:lang w:eastAsia="en-GB"/>
              </w:rPr>
              <w:t>Salary</w:t>
            </w:r>
          </w:p>
          <w:p w14:paraId="340FA920" w14:textId="77777777" w:rsidR="007F1533" w:rsidRPr="007F1533" w:rsidRDefault="007F1533">
            <w:pPr>
              <w:spacing w:after="0" w:line="240" w:lineRule="auto"/>
              <w:jc w:val="center"/>
              <w:rPr>
                <w:rFonts w:ascii="Arial" w:eastAsia="Times New Roman" w:hAnsi="Arial" w:cs="Arial"/>
                <w:b/>
                <w:bCs/>
                <w:color w:val="000000"/>
                <w:lang w:eastAsia="en-GB"/>
              </w:rPr>
            </w:pPr>
            <w:r w:rsidRPr="007F1533">
              <w:rPr>
                <w:rFonts w:ascii="Arial" w:eastAsia="Times New Roman" w:hAnsi="Arial" w:cs="Arial"/>
                <w:b/>
                <w:bCs/>
                <w:color w:val="000000"/>
                <w:lang w:eastAsia="en-GB"/>
              </w:rPr>
              <w:t>2023-24</w:t>
            </w:r>
          </w:p>
          <w:p w14:paraId="57D80811" w14:textId="77777777" w:rsidR="007F1533" w:rsidRPr="007F1533" w:rsidRDefault="007F1533">
            <w:pPr>
              <w:spacing w:after="0" w:line="240" w:lineRule="auto"/>
              <w:jc w:val="center"/>
              <w:rPr>
                <w:rFonts w:ascii="Arial" w:eastAsia="Times New Roman" w:hAnsi="Arial" w:cs="Arial"/>
                <w:b/>
                <w:bCs/>
                <w:color w:val="000000"/>
                <w:lang w:eastAsia="en-GB"/>
              </w:rPr>
            </w:pPr>
            <w:r w:rsidRPr="007F1533">
              <w:rPr>
                <w:rFonts w:ascii="Arial" w:eastAsia="Times New Roman" w:hAnsi="Arial" w:cs="Arial"/>
                <w:b/>
                <w:bCs/>
                <w:color w:val="000000"/>
                <w:lang w:eastAsia="en-GB"/>
              </w:rPr>
              <w:t>£000</w:t>
            </w:r>
          </w:p>
        </w:tc>
        <w:tc>
          <w:tcPr>
            <w:tcW w:w="2126" w:type="dxa"/>
            <w:vMerge w:val="restart"/>
            <w:tcBorders>
              <w:top w:val="single" w:sz="4" w:space="0" w:color="auto"/>
              <w:left w:val="nil"/>
              <w:bottom w:val="single" w:sz="4" w:space="0" w:color="000000"/>
              <w:right w:val="single" w:sz="4" w:space="0" w:color="auto"/>
            </w:tcBorders>
            <w:shd w:val="clear" w:color="auto" w:fill="DCE6F1"/>
            <w:vAlign w:val="center"/>
            <w:hideMark/>
          </w:tcPr>
          <w:p w14:paraId="15BA4D0B" w14:textId="77777777" w:rsidR="007F1533" w:rsidRPr="007F1533" w:rsidRDefault="007F1533">
            <w:pPr>
              <w:spacing w:after="0" w:line="240" w:lineRule="auto"/>
              <w:jc w:val="center"/>
              <w:rPr>
                <w:rFonts w:ascii="Arial" w:eastAsia="Times New Roman" w:hAnsi="Arial" w:cs="Arial"/>
                <w:b/>
                <w:bCs/>
                <w:color w:val="000000"/>
                <w:lang w:eastAsia="en-GB"/>
              </w:rPr>
            </w:pPr>
            <w:r w:rsidRPr="007F1533">
              <w:rPr>
                <w:rFonts w:ascii="Arial" w:eastAsia="Times New Roman" w:hAnsi="Arial" w:cs="Arial"/>
                <w:b/>
                <w:bCs/>
                <w:color w:val="000000"/>
                <w:lang w:eastAsia="en-GB"/>
              </w:rPr>
              <w:t>Salary</w:t>
            </w:r>
          </w:p>
          <w:p w14:paraId="272A62CF" w14:textId="77777777" w:rsidR="007F1533" w:rsidRPr="007F1533" w:rsidRDefault="007F1533">
            <w:pPr>
              <w:spacing w:after="0" w:line="240" w:lineRule="auto"/>
              <w:jc w:val="center"/>
              <w:rPr>
                <w:rFonts w:ascii="Arial" w:eastAsia="Times New Roman" w:hAnsi="Arial" w:cs="Arial"/>
                <w:b/>
                <w:bCs/>
                <w:color w:val="000000"/>
                <w:lang w:eastAsia="en-GB"/>
              </w:rPr>
            </w:pPr>
            <w:r w:rsidRPr="007F1533">
              <w:rPr>
                <w:rFonts w:ascii="Arial" w:eastAsia="Times New Roman" w:hAnsi="Arial" w:cs="Arial"/>
                <w:b/>
                <w:bCs/>
                <w:color w:val="000000"/>
                <w:lang w:eastAsia="en-GB"/>
              </w:rPr>
              <w:t>2022-23</w:t>
            </w:r>
          </w:p>
          <w:p w14:paraId="201D6170" w14:textId="77777777" w:rsidR="007F1533" w:rsidRPr="007F1533" w:rsidRDefault="007F1533">
            <w:pPr>
              <w:spacing w:after="0" w:line="240" w:lineRule="auto"/>
              <w:jc w:val="center"/>
              <w:rPr>
                <w:rFonts w:ascii="Arial" w:eastAsia="Times New Roman" w:hAnsi="Arial" w:cs="Arial"/>
                <w:b/>
                <w:bCs/>
                <w:color w:val="000000"/>
                <w:lang w:eastAsia="en-GB"/>
              </w:rPr>
            </w:pPr>
            <w:r w:rsidRPr="007F1533">
              <w:rPr>
                <w:rFonts w:ascii="Arial" w:eastAsia="Times New Roman" w:hAnsi="Arial" w:cs="Arial"/>
                <w:b/>
                <w:bCs/>
                <w:color w:val="000000"/>
                <w:lang w:eastAsia="en-GB"/>
              </w:rPr>
              <w:t>£000</w:t>
            </w:r>
          </w:p>
        </w:tc>
      </w:tr>
      <w:tr w:rsidR="007F1533" w:rsidRPr="007F1533" w14:paraId="768007BB" w14:textId="77777777">
        <w:trPr>
          <w:trHeight w:val="436"/>
        </w:trPr>
        <w:tc>
          <w:tcPr>
            <w:tcW w:w="4957" w:type="dxa"/>
            <w:vMerge/>
            <w:tcBorders>
              <w:top w:val="single" w:sz="4" w:space="0" w:color="auto"/>
              <w:left w:val="single" w:sz="4" w:space="0" w:color="auto"/>
              <w:bottom w:val="single" w:sz="4" w:space="0" w:color="000000"/>
              <w:right w:val="single" w:sz="4" w:space="0" w:color="auto"/>
            </w:tcBorders>
            <w:shd w:val="clear" w:color="auto" w:fill="DCE6F1"/>
            <w:vAlign w:val="center"/>
          </w:tcPr>
          <w:p w14:paraId="1F26AC2B" w14:textId="77777777" w:rsidR="007F1533" w:rsidRPr="007F1533" w:rsidRDefault="007F1533">
            <w:pPr>
              <w:spacing w:line="240" w:lineRule="auto"/>
              <w:jc w:val="center"/>
              <w:rPr>
                <w:rFonts w:ascii="Arial" w:eastAsia="Times New Roman" w:hAnsi="Arial" w:cs="Arial"/>
                <w:b/>
                <w:bCs/>
                <w:color w:val="000000"/>
                <w:lang w:eastAsia="en-GB"/>
              </w:rPr>
            </w:pPr>
          </w:p>
        </w:tc>
        <w:tc>
          <w:tcPr>
            <w:tcW w:w="1984" w:type="dxa"/>
            <w:vMerge/>
            <w:tcBorders>
              <w:top w:val="single" w:sz="4" w:space="0" w:color="auto"/>
              <w:left w:val="single" w:sz="4" w:space="0" w:color="auto"/>
              <w:bottom w:val="single" w:sz="4" w:space="0" w:color="000000"/>
              <w:right w:val="single" w:sz="4" w:space="0" w:color="auto"/>
            </w:tcBorders>
            <w:shd w:val="clear" w:color="auto" w:fill="DCE6F1"/>
            <w:vAlign w:val="center"/>
          </w:tcPr>
          <w:p w14:paraId="29A7B8ED" w14:textId="77777777" w:rsidR="007F1533" w:rsidRPr="007F1533" w:rsidRDefault="007F1533">
            <w:pPr>
              <w:spacing w:line="240" w:lineRule="auto"/>
              <w:jc w:val="center"/>
              <w:rPr>
                <w:rFonts w:ascii="Arial" w:eastAsia="Times New Roman" w:hAnsi="Arial" w:cs="Arial"/>
                <w:b/>
                <w:bCs/>
                <w:color w:val="000000"/>
                <w:lang w:eastAsia="en-GB"/>
              </w:rPr>
            </w:pPr>
          </w:p>
        </w:tc>
        <w:tc>
          <w:tcPr>
            <w:tcW w:w="2126" w:type="dxa"/>
            <w:vMerge/>
            <w:tcBorders>
              <w:top w:val="single" w:sz="4" w:space="0" w:color="auto"/>
              <w:left w:val="nil"/>
              <w:bottom w:val="single" w:sz="4" w:space="0" w:color="000000"/>
              <w:right w:val="single" w:sz="4" w:space="0" w:color="auto"/>
            </w:tcBorders>
            <w:shd w:val="clear" w:color="auto" w:fill="DCE6F1"/>
            <w:vAlign w:val="center"/>
          </w:tcPr>
          <w:p w14:paraId="226E24A1" w14:textId="77777777" w:rsidR="007F1533" w:rsidRPr="007F1533" w:rsidRDefault="007F1533">
            <w:pPr>
              <w:spacing w:line="240" w:lineRule="auto"/>
              <w:jc w:val="center"/>
              <w:rPr>
                <w:rFonts w:ascii="Arial" w:eastAsia="Times New Roman" w:hAnsi="Arial" w:cs="Arial"/>
                <w:b/>
                <w:bCs/>
                <w:color w:val="000000"/>
                <w:lang w:eastAsia="en-GB"/>
              </w:rPr>
            </w:pPr>
          </w:p>
        </w:tc>
      </w:tr>
      <w:tr w:rsidR="007F1533" w:rsidRPr="007F1533" w14:paraId="50F88969" w14:textId="77777777">
        <w:trPr>
          <w:trHeight w:hRule="exact" w:val="75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28B58992" w14:textId="77777777" w:rsidR="007F1533" w:rsidRPr="007F1533" w:rsidRDefault="007F1533">
            <w:pPr>
              <w:spacing w:after="80" w:line="240" w:lineRule="auto"/>
              <w:rPr>
                <w:rFonts w:ascii="Arial" w:eastAsia="Times New Roman" w:hAnsi="Arial" w:cs="Arial"/>
                <w:color w:val="000000"/>
                <w:vertAlign w:val="superscript"/>
                <w:lang w:eastAsia="en-GB"/>
              </w:rPr>
            </w:pPr>
            <w:r w:rsidRPr="007F1533">
              <w:rPr>
                <w:rFonts w:ascii="Arial" w:eastAsia="Times New Roman" w:hAnsi="Arial" w:cs="Arial"/>
                <w:color w:val="000000"/>
                <w:lang w:eastAsia="en-GB"/>
              </w:rPr>
              <w:t>Mary Chapman</w:t>
            </w:r>
            <w:r w:rsidRPr="007F1533">
              <w:rPr>
                <w:rFonts w:ascii="Arial" w:eastAsia="Times New Roman" w:hAnsi="Arial" w:cs="Arial"/>
                <w:color w:val="000000"/>
                <w:vertAlign w:val="superscript"/>
                <w:lang w:eastAsia="en-GB"/>
              </w:rPr>
              <w:t>1</w:t>
            </w:r>
          </w:p>
          <w:p w14:paraId="576B6A99" w14:textId="77777777" w:rsidR="007F1533" w:rsidRPr="007F1533" w:rsidRDefault="007F1533">
            <w:pPr>
              <w:spacing w:after="80" w:line="240" w:lineRule="auto"/>
              <w:rPr>
                <w:rFonts w:ascii="Arial" w:eastAsia="Times New Roman" w:hAnsi="Arial" w:cs="Arial"/>
                <w:color w:val="000000"/>
                <w:lang w:eastAsia="en-GB"/>
              </w:rPr>
            </w:pPr>
            <w:r w:rsidRPr="007F1533">
              <w:rPr>
                <w:rFonts w:ascii="Arial" w:eastAsia="Times New Roman" w:hAnsi="Arial" w:cs="Arial"/>
                <w:color w:val="000000"/>
                <w:lang w:eastAsia="en-GB"/>
              </w:rPr>
              <w:t>(from 1 August 2017- 31 May 2023)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55123"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0-5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69896"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10-15</w:t>
            </w:r>
          </w:p>
        </w:tc>
      </w:tr>
      <w:tr w:rsidR="007F1533" w:rsidRPr="007F1533" w14:paraId="49B8FA37" w14:textId="77777777">
        <w:trPr>
          <w:trHeight w:val="24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69BC4F98" w14:textId="77777777" w:rsidR="007F1533" w:rsidRPr="007F1533" w:rsidRDefault="007F1533">
            <w:pPr>
              <w:spacing w:after="80" w:line="240" w:lineRule="auto"/>
              <w:rPr>
                <w:rFonts w:ascii="Arial" w:hAnsi="Arial" w:cs="Arial"/>
              </w:rPr>
            </w:pPr>
            <w:r w:rsidRPr="007F1533">
              <w:rPr>
                <w:rFonts w:ascii="Arial" w:hAnsi="Arial" w:cs="Arial"/>
              </w:rPr>
              <w:t>Mark Austen</w:t>
            </w:r>
          </w:p>
          <w:p w14:paraId="78465AE0" w14:textId="104F27CB" w:rsidR="007F1533" w:rsidRPr="007F1533" w:rsidRDefault="007F1533">
            <w:pPr>
              <w:spacing w:after="80" w:line="240" w:lineRule="auto"/>
              <w:rPr>
                <w:rFonts w:ascii="Arial" w:hAnsi="Arial" w:cs="Arial"/>
              </w:rPr>
            </w:pPr>
            <w:r w:rsidRPr="007F1533">
              <w:rPr>
                <w:rFonts w:ascii="Arial" w:hAnsi="Arial" w:cs="Arial"/>
              </w:rPr>
              <w:t xml:space="preserve">(from </w:t>
            </w:r>
            <w:r w:rsidR="00E141DE">
              <w:rPr>
                <w:rFonts w:ascii="Arial" w:hAnsi="Arial" w:cs="Arial"/>
              </w:rPr>
              <w:t>6</w:t>
            </w:r>
            <w:r w:rsidRPr="007F1533">
              <w:rPr>
                <w:rFonts w:ascii="Arial" w:hAnsi="Arial" w:cs="Arial"/>
              </w:rPr>
              <w:t xml:space="preserve"> April 2021, Chair from 16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9295A"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15-20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43C6"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15-20</w:t>
            </w:r>
          </w:p>
        </w:tc>
      </w:tr>
      <w:tr w:rsidR="007F1533" w:rsidRPr="007F1533" w14:paraId="1783B99E" w14:textId="77777777">
        <w:trPr>
          <w:trHeight w:val="285"/>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5863F069" w14:textId="77777777" w:rsidR="007F1533" w:rsidRPr="007F1533" w:rsidRDefault="007F1533">
            <w:pPr>
              <w:spacing w:after="80" w:line="240" w:lineRule="auto"/>
              <w:rPr>
                <w:rFonts w:ascii="Arial" w:hAnsi="Arial" w:cs="Arial"/>
              </w:rPr>
            </w:pPr>
            <w:r w:rsidRPr="007F1533">
              <w:rPr>
                <w:rFonts w:ascii="Arial" w:hAnsi="Arial" w:cs="Arial"/>
              </w:rPr>
              <w:t>Robert Hunt</w:t>
            </w:r>
          </w:p>
          <w:p w14:paraId="0D0AE395" w14:textId="77777777" w:rsidR="007F1533" w:rsidRPr="007F1533" w:rsidRDefault="007F1533">
            <w:pPr>
              <w:spacing w:after="80" w:line="240" w:lineRule="auto"/>
              <w:rPr>
                <w:rFonts w:ascii="Arial" w:hAnsi="Arial" w:cs="Arial"/>
              </w:rPr>
            </w:pPr>
            <w:r w:rsidRPr="007F1533">
              <w:rPr>
                <w:rFonts w:ascii="Arial" w:hAnsi="Arial" w:cs="Arial"/>
              </w:rPr>
              <w:t>(from 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99322"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E6E8B"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10-15</w:t>
            </w:r>
          </w:p>
        </w:tc>
      </w:tr>
      <w:tr w:rsidR="007F1533" w:rsidRPr="007F1533" w14:paraId="28D07A0D" w14:textId="77777777">
        <w:trPr>
          <w:trHeight w:val="36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3374A430" w14:textId="77777777" w:rsidR="007F1533" w:rsidRPr="007F1533" w:rsidRDefault="007F1533">
            <w:pPr>
              <w:spacing w:after="80" w:line="240" w:lineRule="auto"/>
              <w:rPr>
                <w:rFonts w:ascii="Arial" w:hAnsi="Arial" w:cs="Arial"/>
              </w:rPr>
            </w:pPr>
            <w:r w:rsidRPr="007F1533">
              <w:rPr>
                <w:rFonts w:ascii="Arial" w:hAnsi="Arial" w:cs="Arial"/>
              </w:rPr>
              <w:t>Samantha Durrant</w:t>
            </w:r>
          </w:p>
          <w:p w14:paraId="1CCB8B59" w14:textId="77777777" w:rsidR="007F1533" w:rsidRPr="007F1533" w:rsidRDefault="007F1533">
            <w:pPr>
              <w:spacing w:after="80" w:line="240" w:lineRule="auto"/>
              <w:rPr>
                <w:rFonts w:ascii="Arial" w:hAnsi="Arial" w:cs="Arial"/>
              </w:rPr>
            </w:pPr>
            <w:r w:rsidRPr="007F1533">
              <w:rPr>
                <w:rFonts w:ascii="Arial" w:hAnsi="Arial" w:cs="Arial"/>
              </w:rPr>
              <w:t>(from 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D9ADE"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AFFB4"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10-15</w:t>
            </w:r>
          </w:p>
        </w:tc>
      </w:tr>
      <w:tr w:rsidR="007F1533" w:rsidRPr="007F1533" w14:paraId="00A611DC" w14:textId="77777777">
        <w:trPr>
          <w:trHeight w:val="568"/>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60E72082" w14:textId="77777777" w:rsidR="007F1533" w:rsidRPr="007F1533" w:rsidRDefault="007F1533">
            <w:pPr>
              <w:spacing w:after="80" w:line="240" w:lineRule="auto"/>
              <w:rPr>
                <w:rFonts w:ascii="Arial" w:hAnsi="Arial" w:cs="Arial"/>
              </w:rPr>
            </w:pPr>
            <w:r w:rsidRPr="007F1533">
              <w:rPr>
                <w:rFonts w:ascii="Arial" w:hAnsi="Arial" w:cs="Arial"/>
              </w:rPr>
              <w:t>Gary Kildare</w:t>
            </w:r>
          </w:p>
          <w:p w14:paraId="1DD708A0" w14:textId="77777777" w:rsidR="007F1533" w:rsidRPr="007F1533" w:rsidRDefault="007F1533">
            <w:pPr>
              <w:spacing w:after="80" w:line="240" w:lineRule="auto"/>
              <w:rPr>
                <w:rFonts w:ascii="Arial" w:hAnsi="Arial" w:cs="Arial"/>
              </w:rPr>
            </w:pPr>
            <w:r w:rsidRPr="007F1533">
              <w:rPr>
                <w:rFonts w:ascii="Arial" w:hAnsi="Arial" w:cs="Arial"/>
              </w:rPr>
              <w:t>(from 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29D18"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179B0"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10-15</w:t>
            </w:r>
          </w:p>
        </w:tc>
      </w:tr>
      <w:tr w:rsidR="007F1533" w:rsidRPr="007F1533" w14:paraId="6E42A266" w14:textId="77777777">
        <w:trPr>
          <w:trHeight w:val="484"/>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7E07CBE2" w14:textId="77777777" w:rsidR="007F1533" w:rsidRPr="007F1533" w:rsidRDefault="007F1533">
            <w:pPr>
              <w:spacing w:after="80" w:line="240" w:lineRule="auto"/>
              <w:rPr>
                <w:rFonts w:ascii="Arial" w:hAnsi="Arial" w:cs="Arial"/>
              </w:rPr>
            </w:pPr>
            <w:r w:rsidRPr="007F1533">
              <w:rPr>
                <w:rFonts w:ascii="Arial" w:hAnsi="Arial" w:cs="Arial"/>
              </w:rPr>
              <w:t xml:space="preserve">Frances Coulson </w:t>
            </w:r>
          </w:p>
          <w:p w14:paraId="0C258854" w14:textId="77777777" w:rsidR="007F1533" w:rsidRPr="007F1533" w:rsidRDefault="007F1533">
            <w:pPr>
              <w:spacing w:after="80" w:line="240" w:lineRule="auto"/>
              <w:rPr>
                <w:rFonts w:ascii="Arial" w:hAnsi="Arial" w:cs="Arial"/>
              </w:rPr>
            </w:pPr>
            <w:r w:rsidRPr="007F1533">
              <w:rPr>
                <w:rFonts w:ascii="Arial" w:hAnsi="Arial" w:cs="Arial"/>
              </w:rPr>
              <w:t>(from 6 April 2022)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BBAD6"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B5FAF"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10-15</w:t>
            </w:r>
          </w:p>
        </w:tc>
      </w:tr>
      <w:tr w:rsidR="007F1533" w:rsidRPr="007F1533" w14:paraId="475A05D1" w14:textId="77777777">
        <w:trPr>
          <w:trHeight w:val="18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0D5D1D91" w14:textId="77777777" w:rsidR="007F1533" w:rsidRPr="007F1533" w:rsidRDefault="007F1533">
            <w:pPr>
              <w:spacing w:after="80" w:line="240" w:lineRule="auto"/>
              <w:rPr>
                <w:rFonts w:ascii="Arial" w:hAnsi="Arial" w:cs="Arial"/>
                <w:vertAlign w:val="superscript"/>
              </w:rPr>
            </w:pPr>
            <w:r w:rsidRPr="007F1533">
              <w:rPr>
                <w:rFonts w:ascii="Arial" w:hAnsi="Arial" w:cs="Arial"/>
              </w:rPr>
              <w:t>Eoin Parker</w:t>
            </w:r>
            <w:r w:rsidRPr="007F1533">
              <w:rPr>
                <w:rFonts w:ascii="Arial" w:hAnsi="Arial" w:cs="Arial"/>
                <w:vertAlign w:val="superscript"/>
              </w:rPr>
              <w:t>2</w:t>
            </w:r>
          </w:p>
          <w:p w14:paraId="4843F68D" w14:textId="657DEDE4" w:rsidR="007F1533" w:rsidRPr="007F1533" w:rsidRDefault="007F1533">
            <w:pPr>
              <w:spacing w:after="80" w:line="240" w:lineRule="auto"/>
              <w:rPr>
                <w:rFonts w:ascii="Arial" w:hAnsi="Arial" w:cs="Arial"/>
              </w:rPr>
            </w:pPr>
            <w:r w:rsidRPr="007F1533">
              <w:rPr>
                <w:rFonts w:ascii="Arial" w:hAnsi="Arial" w:cs="Arial"/>
              </w:rPr>
              <w:t xml:space="preserve">(from </w:t>
            </w:r>
            <w:r w:rsidR="00AE2BAC">
              <w:rPr>
                <w:rFonts w:ascii="Arial" w:hAnsi="Arial" w:cs="Arial"/>
              </w:rPr>
              <w:t>20</w:t>
            </w:r>
            <w:r w:rsidRPr="007F1533">
              <w:rPr>
                <w:rFonts w:ascii="Arial" w:hAnsi="Arial" w:cs="Arial"/>
              </w:rPr>
              <w:t xml:space="preserve">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665DF"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Nil</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F165E" w14:textId="77777777" w:rsidR="007F1533" w:rsidRPr="007F1533" w:rsidRDefault="007F1533">
            <w:pPr>
              <w:spacing w:after="80" w:line="240" w:lineRule="auto"/>
              <w:jc w:val="center"/>
              <w:rPr>
                <w:rFonts w:ascii="Arial" w:eastAsia="Times New Roman" w:hAnsi="Arial" w:cs="Arial"/>
                <w:color w:val="000000"/>
                <w:lang w:eastAsia="en-GB"/>
              </w:rPr>
            </w:pPr>
            <w:r w:rsidRPr="007F1533">
              <w:rPr>
                <w:rFonts w:ascii="Arial" w:eastAsia="Times New Roman" w:hAnsi="Arial" w:cs="Arial"/>
                <w:color w:val="000000"/>
                <w:lang w:eastAsia="en-GB"/>
              </w:rPr>
              <w:t>Nil</w:t>
            </w:r>
          </w:p>
        </w:tc>
      </w:tr>
    </w:tbl>
    <w:bookmarkEnd w:id="16"/>
    <w:p w14:paraId="639DEB88" w14:textId="77777777" w:rsidR="007F1533" w:rsidRPr="007F1533" w:rsidRDefault="007F1533" w:rsidP="007F1533">
      <w:pPr>
        <w:pStyle w:val="NoSpacing"/>
        <w:rPr>
          <w:rFonts w:ascii="Arial" w:hAnsi="Arial" w:cs="Arial"/>
          <w:sz w:val="18"/>
          <w:szCs w:val="18"/>
        </w:rPr>
      </w:pPr>
      <w:r w:rsidRPr="007F1533">
        <w:rPr>
          <w:rFonts w:ascii="Arial" w:hAnsi="Arial" w:cs="Arial"/>
          <w:sz w:val="18"/>
          <w:szCs w:val="18"/>
          <w:vertAlign w:val="superscript"/>
        </w:rPr>
        <w:footnoteRef/>
      </w:r>
      <w:r w:rsidRPr="007F1533">
        <w:rPr>
          <w:rFonts w:ascii="Arial" w:hAnsi="Arial" w:cs="Arial"/>
          <w:sz w:val="18"/>
          <w:szCs w:val="18"/>
        </w:rPr>
        <w:t xml:space="preserve"> During 2023-24 Mary Chapman had a full year equivalent salary of £10-15k.</w:t>
      </w:r>
    </w:p>
    <w:p w14:paraId="3C619A9F" w14:textId="77777777" w:rsidR="007F1533" w:rsidRPr="007F1533" w:rsidRDefault="007F1533" w:rsidP="007F1533">
      <w:pPr>
        <w:pStyle w:val="NoSpacing"/>
        <w:rPr>
          <w:rFonts w:ascii="Arial" w:hAnsi="Arial" w:cs="Arial"/>
          <w:sz w:val="18"/>
          <w:szCs w:val="18"/>
        </w:rPr>
      </w:pPr>
      <w:r w:rsidRPr="007F1533">
        <w:rPr>
          <w:rFonts w:ascii="Arial" w:hAnsi="Arial" w:cs="Arial"/>
          <w:sz w:val="18"/>
          <w:szCs w:val="18"/>
          <w:vertAlign w:val="superscript"/>
        </w:rPr>
        <w:t xml:space="preserve">2 </w:t>
      </w:r>
      <w:r w:rsidRPr="007F1533">
        <w:rPr>
          <w:rFonts w:ascii="Arial" w:hAnsi="Arial" w:cs="Arial"/>
          <w:sz w:val="18"/>
          <w:szCs w:val="18"/>
        </w:rPr>
        <w:t>The costs of Eoin Parker were borne by DBT and they did not receive any additional amount for board duties from the Insolvency Service.</w:t>
      </w:r>
    </w:p>
    <w:p w14:paraId="077593EA" w14:textId="77777777" w:rsidR="007F1533" w:rsidRPr="00D30BC9" w:rsidRDefault="007F1533" w:rsidP="007F1533">
      <w:pPr>
        <w:spacing w:after="200"/>
        <w:rPr>
          <w:rFonts w:ascii="Arial" w:hAnsi="Arial" w:cs="Arial"/>
          <w:sz w:val="24"/>
          <w:szCs w:val="24"/>
        </w:rPr>
      </w:pPr>
      <w:r w:rsidRPr="007F1533">
        <w:rPr>
          <w:rFonts w:ascii="Arial" w:hAnsi="Arial" w:cs="Arial"/>
        </w:rPr>
        <w:br w:type="textWrapping" w:clear="all"/>
      </w:r>
      <w:bookmarkStart w:id="17" w:name="_Hlk39672850"/>
      <w:r w:rsidRPr="00D30BC9">
        <w:rPr>
          <w:rFonts w:ascii="Arial" w:hAnsi="Arial" w:cs="Arial"/>
          <w:sz w:val="24"/>
          <w:szCs w:val="24"/>
        </w:rPr>
        <w:t>None of the Non-Executive Board members received any benefits in kind.</w:t>
      </w:r>
      <w:bookmarkEnd w:id="17"/>
      <w:r w:rsidRPr="00D30BC9">
        <w:rPr>
          <w:rFonts w:ascii="Arial" w:hAnsi="Arial" w:cs="Arial"/>
          <w:sz w:val="24"/>
          <w:szCs w:val="24"/>
        </w:rPr>
        <w:t xml:space="preserve"> </w:t>
      </w:r>
    </w:p>
    <w:p w14:paraId="44B83CCB" w14:textId="77777777" w:rsidR="007F1533" w:rsidRPr="00D30BC9" w:rsidRDefault="007F1533" w:rsidP="007F1533">
      <w:pPr>
        <w:spacing w:after="200"/>
        <w:rPr>
          <w:rFonts w:ascii="Arial" w:hAnsi="Arial" w:cs="Arial"/>
          <w:sz w:val="24"/>
          <w:szCs w:val="24"/>
        </w:rPr>
      </w:pPr>
      <w:r w:rsidRPr="00D30BC9">
        <w:rPr>
          <w:rFonts w:ascii="Arial" w:hAnsi="Arial" w:cs="Arial"/>
          <w:sz w:val="24"/>
          <w:szCs w:val="24"/>
        </w:rPr>
        <w:t xml:space="preserve">There are no company directorships and other significant interests held by members of the management board which may conflict with their management responsibilities. </w:t>
      </w:r>
    </w:p>
    <w:p w14:paraId="6B0107D8" w14:textId="77777777" w:rsidR="007F1533" w:rsidRPr="007F1533" w:rsidRDefault="007F1533" w:rsidP="007F1533">
      <w:pPr>
        <w:pStyle w:val="Heading4"/>
        <w:rPr>
          <w:rFonts w:cs="Arial"/>
          <w:color w:val="FF0000"/>
        </w:rPr>
      </w:pPr>
      <w:r w:rsidRPr="007F1533">
        <w:rPr>
          <w:rFonts w:cs="Arial"/>
        </w:rPr>
        <w:t xml:space="preserve">Civil Service Pensions </w:t>
      </w:r>
    </w:p>
    <w:p w14:paraId="2196C9FB" w14:textId="77777777" w:rsidR="007F1533" w:rsidRPr="00D30BC9" w:rsidRDefault="007F1533" w:rsidP="007F1533">
      <w:pPr>
        <w:rPr>
          <w:rFonts w:ascii="Arial" w:hAnsi="Arial" w:cs="Arial"/>
          <w:sz w:val="24"/>
          <w:szCs w:val="24"/>
        </w:rPr>
      </w:pPr>
      <w:r w:rsidRPr="00D30BC9">
        <w:rPr>
          <w:rFonts w:ascii="Arial" w:hAnsi="Arial" w:cs="Arial"/>
          <w:sz w:val="24"/>
          <w:szCs w:val="24"/>
        </w:rPr>
        <w:t>Pension benefits are provided through the Civil Service pension arrangements. From 1 April 2015 a new pension scheme for civil servants was introduced – the Civil Servants and Others Pension Scheme or alpha, which provides benefits on a career average basis with a normal pension age equal to the member’s State Pension Age (or 65 if higher). From that date all newly appointed civil servants and the majority of those already in service joined alpha. Prior to that date, civil servants participated in the Principal Civil Service Pension Scheme (PCSPS). The PCSPS has four sections: 3 providing benefits on a final salary basis (classic, premium or classic plus) with a normal pension age of 60; and one providing benefits on a whole career basis (nuvos) with a normal pension age of 65.</w:t>
      </w:r>
    </w:p>
    <w:p w14:paraId="4DAF01C9" w14:textId="77777777" w:rsidR="0027233F" w:rsidRDefault="0027233F">
      <w:pPr>
        <w:rPr>
          <w:rFonts w:ascii="Arial" w:hAnsi="Arial" w:cs="Arial"/>
          <w:sz w:val="24"/>
          <w:szCs w:val="24"/>
        </w:rPr>
      </w:pPr>
      <w:r>
        <w:rPr>
          <w:rFonts w:ascii="Arial" w:hAnsi="Arial" w:cs="Arial"/>
          <w:sz w:val="24"/>
          <w:szCs w:val="24"/>
        </w:rPr>
        <w:br w:type="page"/>
      </w:r>
    </w:p>
    <w:p w14:paraId="30CF53DD" w14:textId="54B8B971" w:rsidR="007F1533" w:rsidRPr="00D30BC9" w:rsidRDefault="007F1533" w:rsidP="007F1533">
      <w:pPr>
        <w:rPr>
          <w:rFonts w:ascii="Arial" w:hAnsi="Arial" w:cs="Arial"/>
          <w:sz w:val="24"/>
          <w:szCs w:val="24"/>
        </w:rPr>
      </w:pPr>
      <w:r w:rsidRPr="00D30BC9">
        <w:rPr>
          <w:rFonts w:ascii="Arial" w:hAnsi="Arial" w:cs="Arial"/>
          <w:sz w:val="24"/>
          <w:szCs w:val="24"/>
        </w:rPr>
        <w:lastRenderedPageBreak/>
        <w:t>These statutory arrangements are unfunded with the cost of benefits met by monies voted by Parliament each year. Pensions payable under classic, premium, classic plus, nuvos and alpha are increased annually in line with Pensions Increase legislation. Existing members of the PCSPS who were within 10 years of their normal pension age on 1 April 2012 remained in the PCSPS after 1 April 2015. Those who were between 10 years and 13 years and 5 months from their normal pension age on 1 April 2012 switch into alpha sometime between 1 June 2015 and 1 February 2022. Because the Government plans to remove discrimination identified by the courts in the way that the 2015 pension reforms were introduced for some members, eligible members with relevant service between 1 April 2015 and 31 March 2022 may be entitled to different pension benefits in relation to that period (and this may affect the Cash Equivalent Transfer Values shown in this report – see below). All members who switch to alpha have their PCSPS benefits ‘banked’, with those with earlier benefits in one of the final salary sections of the PCSPS having those benefits based on their final salary when they leave alpha. (The pension figures quoted for officials show pension earned in PCSPS or alpha – as appropriate. Where the official has benefits in both the PCSPS and alpha the figure quoted is the combined value of their benefits in the two schemes.) Members joining from October 2002 may opt for either the appropriate defined benefit arrangement or a defined contribution (money purchase) pension with an employer contribution (partnership pension account).</w:t>
      </w:r>
    </w:p>
    <w:p w14:paraId="1CD1092C" w14:textId="77777777" w:rsidR="007F1533" w:rsidRPr="00D30BC9" w:rsidRDefault="007F1533" w:rsidP="007F1533">
      <w:pPr>
        <w:rPr>
          <w:rFonts w:ascii="Arial" w:hAnsi="Arial" w:cs="Arial"/>
          <w:sz w:val="24"/>
          <w:szCs w:val="24"/>
        </w:rPr>
      </w:pPr>
      <w:r w:rsidRPr="00D30BC9">
        <w:rPr>
          <w:rFonts w:ascii="Arial" w:hAnsi="Arial" w:cs="Arial"/>
          <w:sz w:val="24"/>
          <w:szCs w:val="24"/>
        </w:rPr>
        <w:t>Employee contributions are salary-related and range between 4.6% and 8.05% for members of classic, premium, classic plus, nuvos and alpha. Benefits in classic accrue at the rate of 1/80th of final pensionable earnings for each year of service. In addition, a lump sum equivalent to three years initial pension is payable on retirement. For premium, benefits accrue at the rate of 1/60th of final pensionable earnings for each year of service. Unlike classic, there is no automatic lump sum. classic plus is essentially a hybrid with benefits for service before 1 October 2002 calculated broadly as per classic and benefits for service from October 2002 worked out as in premium. In nuvos a member builds up a pension based on his pensionable earnings during their period of scheme membership. At the end of the scheme year (31 March) the member’s earned pension account is credited with 2.3% of their pensionable earnings in that scheme year and the accrued pension is uprated in line with Pensions Increase legislation. Benefits in alpha build up in a similar way to nuvos, except that the accrual rate in 2.32%. In all cases members may opt to give up (commute) pension for a lump sum up to the limits set by the Finance Act 2004.</w:t>
      </w:r>
    </w:p>
    <w:p w14:paraId="1A59A631" w14:textId="0F61FFBA" w:rsidR="007F1533" w:rsidRPr="00D30BC9" w:rsidRDefault="007F1533" w:rsidP="007F1533">
      <w:pPr>
        <w:rPr>
          <w:rFonts w:ascii="Arial" w:hAnsi="Arial" w:cs="Arial"/>
          <w:sz w:val="24"/>
          <w:szCs w:val="24"/>
        </w:rPr>
      </w:pPr>
      <w:r w:rsidRPr="00D30BC9">
        <w:rPr>
          <w:rFonts w:ascii="Arial" w:hAnsi="Arial" w:cs="Arial"/>
          <w:sz w:val="24"/>
          <w:szCs w:val="24"/>
        </w:rPr>
        <w:t xml:space="preserve">The partnership pension account is an occupational defined contribution pension arrangement which is part of the Legal &amp; General Mastertrust. The employer makes a basic contribution of between 8% and 14.75% (depending on the age of the member). The employee does not have to contribute, but where they do make contributions, the employer will match these up to a limit of 3% of pensionable salary (in addition to the employer’s basic contribution). Employers also contribute a further 0.5% of pensionable salary to cover the cost of </w:t>
      </w:r>
      <w:r w:rsidR="00AB3052" w:rsidRPr="00D30BC9">
        <w:rPr>
          <w:rFonts w:ascii="Arial" w:hAnsi="Arial" w:cs="Arial"/>
          <w:sz w:val="24"/>
          <w:szCs w:val="24"/>
        </w:rPr>
        <w:t>centrally provided</w:t>
      </w:r>
      <w:r w:rsidRPr="00D30BC9">
        <w:rPr>
          <w:rFonts w:ascii="Arial" w:hAnsi="Arial" w:cs="Arial"/>
          <w:sz w:val="24"/>
          <w:szCs w:val="24"/>
        </w:rPr>
        <w:t xml:space="preserve"> risk benefit cover (death in service and ill health retirement).</w:t>
      </w:r>
    </w:p>
    <w:p w14:paraId="3E961D32" w14:textId="77777777" w:rsidR="008C61E9" w:rsidRDefault="008C61E9">
      <w:pPr>
        <w:rPr>
          <w:rFonts w:ascii="Arial" w:hAnsi="Arial" w:cs="Arial"/>
          <w:sz w:val="24"/>
          <w:szCs w:val="24"/>
        </w:rPr>
      </w:pPr>
      <w:r>
        <w:rPr>
          <w:rFonts w:ascii="Arial" w:hAnsi="Arial" w:cs="Arial"/>
          <w:sz w:val="24"/>
          <w:szCs w:val="24"/>
        </w:rPr>
        <w:br w:type="page"/>
      </w:r>
    </w:p>
    <w:p w14:paraId="7C496B08" w14:textId="02C79B1B" w:rsidR="007F1533" w:rsidRPr="00D30BC9" w:rsidRDefault="007F1533" w:rsidP="007F1533">
      <w:pPr>
        <w:rPr>
          <w:rFonts w:ascii="Arial" w:hAnsi="Arial" w:cs="Arial"/>
          <w:sz w:val="24"/>
          <w:szCs w:val="24"/>
        </w:rPr>
      </w:pPr>
      <w:r w:rsidRPr="00D30BC9">
        <w:rPr>
          <w:rFonts w:ascii="Arial" w:hAnsi="Arial" w:cs="Arial"/>
          <w:sz w:val="24"/>
          <w:szCs w:val="24"/>
        </w:rPr>
        <w:lastRenderedPageBreak/>
        <w:t xml:space="preserve">The accrued pension quoted is the pension the member is entitled to receive when they reach pension age, or immediately on ceasing to be an active member of the scheme if they are already at or over pension age. Pension age is 60 for members of classic, premium and classic plus, 65 for members of nuvos, and the higher of 65 or State Pension Age for members of alpha. (The pension figures quoted for officials show pension earned in PCSPS or alpha – as appropriate. Where the official has benefits in both the PCSPS and alpha the figure quoted is the combined value of their benefits in the two </w:t>
      </w:r>
      <w:r w:rsidR="00AB3052" w:rsidRPr="00D30BC9">
        <w:rPr>
          <w:rFonts w:ascii="Arial" w:hAnsi="Arial" w:cs="Arial"/>
          <w:sz w:val="24"/>
          <w:szCs w:val="24"/>
        </w:rPr>
        <w:t>schemes but</w:t>
      </w:r>
      <w:r w:rsidRPr="00D30BC9">
        <w:rPr>
          <w:rFonts w:ascii="Arial" w:hAnsi="Arial" w:cs="Arial"/>
          <w:sz w:val="24"/>
          <w:szCs w:val="24"/>
        </w:rPr>
        <w:t xml:space="preserve"> note that part of that pension may be payable from different ages.)</w:t>
      </w:r>
    </w:p>
    <w:p w14:paraId="279C0BD1" w14:textId="77777777" w:rsidR="007F1533" w:rsidRPr="00D30BC9" w:rsidRDefault="007F1533" w:rsidP="007F1533">
      <w:pPr>
        <w:rPr>
          <w:rFonts w:ascii="Arial" w:hAnsi="Arial" w:cs="Arial"/>
          <w:sz w:val="24"/>
          <w:szCs w:val="24"/>
        </w:rPr>
      </w:pPr>
      <w:r w:rsidRPr="00D30BC9">
        <w:rPr>
          <w:rFonts w:ascii="Arial" w:hAnsi="Arial" w:cs="Arial"/>
          <w:sz w:val="24"/>
          <w:szCs w:val="24"/>
        </w:rPr>
        <w:t xml:space="preserve">Further details about the Civil Service pension arrangements can be found at the website </w:t>
      </w:r>
      <w:hyperlink r:id="rId51" w:history="1">
        <w:r w:rsidRPr="00D30BC9">
          <w:rPr>
            <w:rStyle w:val="Hyperlink"/>
            <w:rFonts w:ascii="Arial" w:hAnsi="Arial" w:cs="Arial"/>
            <w:sz w:val="24"/>
            <w:szCs w:val="24"/>
          </w:rPr>
          <w:t>www.civilservicepensionscheme.org.uk</w:t>
        </w:r>
      </w:hyperlink>
    </w:p>
    <w:p w14:paraId="287E18C9" w14:textId="77777777" w:rsidR="007F1533" w:rsidRPr="007F1533" w:rsidRDefault="007F1533" w:rsidP="007F1533">
      <w:pPr>
        <w:pStyle w:val="BodyText"/>
        <w:rPr>
          <w:rFonts w:eastAsiaTheme="majorEastAsia" w:cs="Arial"/>
          <w:b/>
          <w:bCs/>
          <w:color w:val="2E74B5" w:themeColor="accent5" w:themeShade="BF"/>
          <w:szCs w:val="24"/>
        </w:rPr>
      </w:pPr>
    </w:p>
    <w:p w14:paraId="088991EB" w14:textId="77777777" w:rsidR="007F1533" w:rsidRPr="007F1533" w:rsidRDefault="007F1533" w:rsidP="00EF1E9A">
      <w:pPr>
        <w:pStyle w:val="Heading4"/>
        <w:rPr>
          <w:rFonts w:cs="Arial"/>
          <w:b w:val="0"/>
          <w:color w:val="2E74B5" w:themeColor="accent5" w:themeShade="BF"/>
          <w:szCs w:val="24"/>
        </w:rPr>
      </w:pPr>
      <w:r w:rsidRPr="007F1533">
        <w:t>Cash Equivalent Transfer Values</w:t>
      </w:r>
    </w:p>
    <w:p w14:paraId="20AF8F02" w14:textId="2278CC59" w:rsidR="007F1533" w:rsidRPr="00D30BC9" w:rsidRDefault="007F1533" w:rsidP="007F1533">
      <w:pPr>
        <w:rPr>
          <w:rFonts w:ascii="Arial" w:hAnsi="Arial" w:cs="Arial"/>
          <w:color w:val="000000"/>
          <w:sz w:val="24"/>
          <w:szCs w:val="28"/>
        </w:rPr>
      </w:pPr>
      <w:r w:rsidRPr="00D30BC9">
        <w:rPr>
          <w:rFonts w:ascii="Arial" w:hAnsi="Arial" w:cs="Arial"/>
          <w:color w:val="000000"/>
          <w:sz w:val="24"/>
          <w:szCs w:val="28"/>
        </w:rPr>
        <w:t xml:space="preserve">This is the actuarially assessed capitalised value of the pension scheme benefits accrued by a member at a particular point in time. The benefits valued are the member’s accrued benefits and any contingent spouse’s pension payable from the scheme. A CETV is a payment made by a pension scheme or arrangement to secure pension benefits in another pension scheme or arrangement when the member leaves a scheme and chooses to transfer the pension </w:t>
      </w:r>
      <w:r w:rsidR="00AB3052" w:rsidRPr="00D30BC9">
        <w:rPr>
          <w:rFonts w:ascii="Arial" w:hAnsi="Arial" w:cs="Arial"/>
          <w:color w:val="000000"/>
          <w:sz w:val="24"/>
          <w:szCs w:val="28"/>
        </w:rPr>
        <w:t>benefits,</w:t>
      </w:r>
      <w:r w:rsidRPr="00D30BC9">
        <w:rPr>
          <w:rFonts w:ascii="Arial" w:hAnsi="Arial" w:cs="Arial"/>
          <w:color w:val="000000"/>
          <w:sz w:val="24"/>
          <w:szCs w:val="28"/>
        </w:rPr>
        <w:t xml:space="preserve"> they have accrued in their former scheme. The pension figures shown relate to the benefits that the individual has accrued as a consequence of their total membership of the pension scheme, not just their service in a senior capacity to which disclosure applies.</w:t>
      </w:r>
    </w:p>
    <w:p w14:paraId="0A0E00C5" w14:textId="77777777" w:rsidR="007F1533" w:rsidRPr="00D30BC9" w:rsidRDefault="007F1533" w:rsidP="007F1533">
      <w:pPr>
        <w:rPr>
          <w:rFonts w:ascii="Arial" w:hAnsi="Arial" w:cs="Arial"/>
          <w:color w:val="000000"/>
          <w:sz w:val="24"/>
          <w:szCs w:val="28"/>
        </w:rPr>
      </w:pPr>
      <w:r w:rsidRPr="00D30BC9">
        <w:rPr>
          <w:rFonts w:ascii="Arial" w:hAnsi="Arial" w:cs="Arial"/>
          <w:color w:val="000000"/>
          <w:sz w:val="24"/>
          <w:szCs w:val="28"/>
        </w:rPr>
        <w:t>CETVs are calculated in accordance with The Occupational Pension Schemes (Transfer Values) (Amendment) Regulations 2008 and do not take account of any actual or potential reduction to benefits resulting from Lifetime Allowance Tax which may be due when pension benefits are taken.</w:t>
      </w:r>
    </w:p>
    <w:p w14:paraId="76EAC2E9" w14:textId="77777777" w:rsidR="007F1533" w:rsidRPr="007F1533" w:rsidRDefault="007F1533" w:rsidP="00EF1E9A">
      <w:pPr>
        <w:pStyle w:val="Heading4"/>
        <w:rPr>
          <w:rFonts w:cs="Arial"/>
          <w:b w:val="0"/>
          <w:color w:val="2E74B5" w:themeColor="accent5" w:themeShade="BF"/>
          <w:szCs w:val="24"/>
        </w:rPr>
      </w:pPr>
      <w:r w:rsidRPr="007F1533">
        <w:t>Real Increase in CETV</w:t>
      </w:r>
    </w:p>
    <w:p w14:paraId="27445051" w14:textId="77777777" w:rsidR="007F1533" w:rsidRPr="00D30BC9" w:rsidRDefault="007F1533" w:rsidP="007F1533">
      <w:pPr>
        <w:rPr>
          <w:rFonts w:ascii="Arial" w:hAnsi="Arial" w:cs="Arial"/>
          <w:color w:val="000000"/>
          <w:sz w:val="24"/>
          <w:szCs w:val="28"/>
        </w:rPr>
      </w:pPr>
      <w:r w:rsidRPr="00D30BC9">
        <w:rPr>
          <w:rFonts w:ascii="Arial" w:hAnsi="Arial" w:cs="Arial"/>
          <w:color w:val="000000"/>
          <w:sz w:val="24"/>
          <w:szCs w:val="28"/>
        </w:rPr>
        <w:t>This is the element of the increase in accrued pension funded by the Exchequer. It excludes increases due to inflation and contributions paid by the employee. It is worked out using common market valuation factors for the start and end of the period.</w:t>
      </w:r>
    </w:p>
    <w:p w14:paraId="02CA0E05" w14:textId="77777777" w:rsidR="007F1533" w:rsidRPr="007F1533" w:rsidRDefault="007F1533" w:rsidP="007F1533">
      <w:pPr>
        <w:rPr>
          <w:rFonts w:ascii="Arial" w:hAnsi="Arial" w:cs="Arial"/>
          <w:color w:val="000000"/>
          <w:szCs w:val="24"/>
        </w:rPr>
      </w:pPr>
    </w:p>
    <w:p w14:paraId="1C887A16" w14:textId="114CF7F0" w:rsidR="007F1533" w:rsidRPr="007F1533" w:rsidRDefault="007F1533" w:rsidP="007F1533">
      <w:pPr>
        <w:rPr>
          <w:rStyle w:val="Heading4Char"/>
          <w:rFonts w:cs="Arial"/>
          <w:b w:val="0"/>
          <w:iCs w:val="0"/>
          <w:sz w:val="24"/>
          <w:szCs w:val="24"/>
        </w:rPr>
      </w:pPr>
      <w:r w:rsidRPr="007F1533">
        <w:rPr>
          <w:rStyle w:val="Heading4Char"/>
          <w:rFonts w:cs="Arial"/>
        </w:rPr>
        <w:t>Compensation for loss of office</w:t>
      </w:r>
      <w:r w:rsidR="0073705F">
        <w:rPr>
          <w:rStyle w:val="Heading4Char"/>
          <w:rFonts w:cs="Arial"/>
        </w:rPr>
        <w:t xml:space="preserve"> (audited)</w:t>
      </w:r>
    </w:p>
    <w:p w14:paraId="7E83D6F5" w14:textId="0CAB17A3" w:rsidR="007F1533" w:rsidRPr="00D30BC9" w:rsidRDefault="007F1533" w:rsidP="007F1533">
      <w:pPr>
        <w:rPr>
          <w:rFonts w:ascii="Arial" w:hAnsi="Arial" w:cs="Arial"/>
          <w:sz w:val="24"/>
          <w:szCs w:val="24"/>
        </w:rPr>
        <w:sectPr w:rsidR="007F1533" w:rsidRPr="00D30BC9">
          <w:pgSz w:w="11906" w:h="16838"/>
          <w:pgMar w:top="1440" w:right="1440" w:bottom="1440" w:left="1440" w:header="709" w:footer="709" w:gutter="0"/>
          <w:cols w:space="708"/>
          <w:docGrid w:linePitch="360"/>
        </w:sectPr>
      </w:pPr>
      <w:r w:rsidRPr="00D30BC9">
        <w:rPr>
          <w:rFonts w:ascii="Arial" w:hAnsi="Arial" w:cs="Arial"/>
          <w:sz w:val="24"/>
          <w:szCs w:val="24"/>
        </w:rPr>
        <w:t xml:space="preserve">As per 2022-23, no senior managers have received compensation for loss of office in 2023-24. </w:t>
      </w:r>
    </w:p>
    <w:p w14:paraId="22DA6134" w14:textId="77777777" w:rsidR="007F1533" w:rsidRPr="0050374D" w:rsidRDefault="007F1533" w:rsidP="00EF1E9A">
      <w:pPr>
        <w:pStyle w:val="Heading4"/>
        <w:rPr>
          <w:rFonts w:cs="Arial"/>
          <w:b w:val="0"/>
          <w:color w:val="2F5496" w:themeColor="accent1" w:themeShade="BF"/>
        </w:rPr>
      </w:pPr>
      <w:r w:rsidRPr="0050374D">
        <w:lastRenderedPageBreak/>
        <w:t>Pension benefits (audited)</w:t>
      </w:r>
    </w:p>
    <w:tbl>
      <w:tblPr>
        <w:tblW w:w="14121" w:type="dxa"/>
        <w:tblInd w:w="-5" w:type="dxa"/>
        <w:tblLook w:val="04A0" w:firstRow="1" w:lastRow="0" w:firstColumn="1" w:lastColumn="0" w:noHBand="0" w:noVBand="1"/>
      </w:tblPr>
      <w:tblGrid>
        <w:gridCol w:w="4380"/>
        <w:gridCol w:w="3051"/>
        <w:gridCol w:w="2663"/>
        <w:gridCol w:w="1336"/>
        <w:gridCol w:w="1336"/>
        <w:gridCol w:w="1355"/>
      </w:tblGrid>
      <w:tr w:rsidR="00923AF1" w:rsidRPr="0050374D" w14:paraId="717A1B7C" w14:textId="77777777">
        <w:trPr>
          <w:trHeight w:val="509"/>
        </w:trPr>
        <w:tc>
          <w:tcPr>
            <w:tcW w:w="4380" w:type="dxa"/>
            <w:vMerge w:val="restart"/>
            <w:tcBorders>
              <w:top w:val="single" w:sz="4" w:space="0" w:color="auto"/>
              <w:left w:val="single" w:sz="4" w:space="0" w:color="auto"/>
              <w:bottom w:val="nil"/>
              <w:right w:val="single" w:sz="4" w:space="0" w:color="000000"/>
            </w:tcBorders>
            <w:shd w:val="clear" w:color="auto" w:fill="DCE6F1"/>
            <w:noWrap/>
            <w:hideMark/>
          </w:tcPr>
          <w:p w14:paraId="2ECFC675" w14:textId="77777777" w:rsidR="007F1533" w:rsidRPr="0050374D" w:rsidRDefault="007F1533">
            <w:pPr>
              <w:spacing w:line="240" w:lineRule="auto"/>
              <w:jc w:val="center"/>
              <w:rPr>
                <w:rFonts w:ascii="Arial" w:eastAsia="Times New Roman" w:hAnsi="Arial" w:cs="Arial"/>
                <w:b/>
                <w:bCs/>
                <w:color w:val="000000"/>
                <w:lang w:eastAsia="en-GB"/>
              </w:rPr>
            </w:pPr>
            <w:r w:rsidRPr="0050374D">
              <w:rPr>
                <w:rFonts w:ascii="Arial" w:eastAsia="Times New Roman" w:hAnsi="Arial" w:cs="Arial"/>
                <w:b/>
                <w:bCs/>
                <w:color w:val="000000"/>
                <w:lang w:eastAsia="en-GB"/>
              </w:rPr>
              <w:t>Officials</w:t>
            </w:r>
            <w:r w:rsidRPr="0050374D">
              <w:rPr>
                <w:rFonts w:ascii="Arial" w:eastAsia="Times New Roman" w:hAnsi="Arial" w:cs="Arial"/>
                <w:b/>
                <w:bCs/>
                <w:color w:val="000000"/>
                <w:vertAlign w:val="superscript"/>
                <w:lang w:eastAsia="en-GB"/>
              </w:rPr>
              <w:t>1,2</w:t>
            </w:r>
          </w:p>
        </w:tc>
        <w:tc>
          <w:tcPr>
            <w:tcW w:w="3051" w:type="dxa"/>
            <w:vMerge w:val="restart"/>
            <w:tcBorders>
              <w:top w:val="single" w:sz="4" w:space="0" w:color="auto"/>
              <w:left w:val="single" w:sz="4" w:space="0" w:color="auto"/>
              <w:bottom w:val="nil"/>
              <w:right w:val="single" w:sz="4" w:space="0" w:color="000000"/>
            </w:tcBorders>
            <w:shd w:val="clear" w:color="auto" w:fill="DCE6F1"/>
            <w:hideMark/>
          </w:tcPr>
          <w:p w14:paraId="73FD43AD" w14:textId="77777777" w:rsidR="007F1533" w:rsidRPr="0050374D" w:rsidRDefault="007F1533">
            <w:pPr>
              <w:spacing w:line="240" w:lineRule="auto"/>
              <w:jc w:val="center"/>
              <w:rPr>
                <w:rFonts w:ascii="Arial" w:eastAsia="Times New Roman" w:hAnsi="Arial" w:cs="Arial"/>
                <w:b/>
                <w:bCs/>
                <w:color w:val="000000"/>
                <w:lang w:eastAsia="en-GB"/>
              </w:rPr>
            </w:pPr>
            <w:r w:rsidRPr="0050374D">
              <w:rPr>
                <w:rFonts w:ascii="Arial" w:eastAsia="Times New Roman" w:hAnsi="Arial" w:cs="Arial"/>
                <w:b/>
                <w:bCs/>
                <w:color w:val="000000"/>
                <w:lang w:eastAsia="en-GB"/>
              </w:rPr>
              <w:t>Accrued pension at pension age as at 31/3/24</w:t>
            </w:r>
          </w:p>
        </w:tc>
        <w:tc>
          <w:tcPr>
            <w:tcW w:w="2663" w:type="dxa"/>
            <w:vMerge w:val="restart"/>
            <w:tcBorders>
              <w:top w:val="single" w:sz="4" w:space="0" w:color="auto"/>
              <w:left w:val="single" w:sz="4" w:space="0" w:color="auto"/>
              <w:bottom w:val="nil"/>
              <w:right w:val="nil"/>
            </w:tcBorders>
            <w:shd w:val="clear" w:color="auto" w:fill="DCE6F1"/>
            <w:hideMark/>
          </w:tcPr>
          <w:p w14:paraId="561A477F" w14:textId="77777777" w:rsidR="007F1533" w:rsidRPr="0050374D" w:rsidRDefault="007F1533">
            <w:pPr>
              <w:spacing w:line="240" w:lineRule="auto"/>
              <w:jc w:val="center"/>
              <w:rPr>
                <w:rFonts w:ascii="Arial" w:eastAsia="Times New Roman" w:hAnsi="Arial" w:cs="Arial"/>
                <w:b/>
                <w:bCs/>
                <w:color w:val="000000"/>
                <w:lang w:eastAsia="en-GB"/>
              </w:rPr>
            </w:pPr>
            <w:r w:rsidRPr="0050374D">
              <w:rPr>
                <w:rFonts w:ascii="Arial" w:eastAsia="Times New Roman" w:hAnsi="Arial" w:cs="Arial"/>
                <w:b/>
                <w:bCs/>
                <w:color w:val="000000"/>
                <w:lang w:eastAsia="en-GB"/>
              </w:rPr>
              <w:t xml:space="preserve">Real increase in pension </w:t>
            </w:r>
          </w:p>
        </w:tc>
        <w:tc>
          <w:tcPr>
            <w:tcW w:w="1336" w:type="dxa"/>
            <w:vMerge w:val="restart"/>
            <w:tcBorders>
              <w:top w:val="single" w:sz="4" w:space="0" w:color="auto"/>
              <w:left w:val="single" w:sz="4" w:space="0" w:color="auto"/>
              <w:bottom w:val="nil"/>
              <w:right w:val="single" w:sz="4" w:space="0" w:color="auto"/>
            </w:tcBorders>
            <w:shd w:val="clear" w:color="auto" w:fill="DCE6F1"/>
            <w:hideMark/>
          </w:tcPr>
          <w:p w14:paraId="4935B285" w14:textId="77777777" w:rsidR="007F1533" w:rsidRPr="0050374D" w:rsidRDefault="007F1533">
            <w:pPr>
              <w:spacing w:line="240" w:lineRule="auto"/>
              <w:jc w:val="center"/>
              <w:rPr>
                <w:rFonts w:ascii="Arial" w:eastAsia="Times New Roman" w:hAnsi="Arial" w:cs="Arial"/>
                <w:b/>
                <w:bCs/>
                <w:color w:val="000000"/>
                <w:lang w:eastAsia="en-GB"/>
              </w:rPr>
            </w:pPr>
            <w:r w:rsidRPr="0050374D">
              <w:rPr>
                <w:rFonts w:ascii="Arial" w:eastAsia="Times New Roman" w:hAnsi="Arial" w:cs="Arial"/>
                <w:b/>
                <w:bCs/>
                <w:color w:val="000000"/>
                <w:lang w:eastAsia="en-GB"/>
              </w:rPr>
              <w:t>CETV</w:t>
            </w:r>
            <w:r w:rsidRPr="0050374D">
              <w:rPr>
                <w:rFonts w:ascii="Arial" w:eastAsia="Times New Roman" w:hAnsi="Arial" w:cs="Arial"/>
                <w:b/>
                <w:bCs/>
                <w:color w:val="000000"/>
                <w:vertAlign w:val="superscript"/>
                <w:lang w:eastAsia="en-GB"/>
              </w:rPr>
              <w:t>3</w:t>
            </w:r>
            <w:r w:rsidRPr="0050374D">
              <w:rPr>
                <w:rFonts w:ascii="Arial" w:eastAsia="Times New Roman" w:hAnsi="Arial" w:cs="Arial"/>
                <w:b/>
                <w:bCs/>
                <w:color w:val="000000"/>
                <w:lang w:eastAsia="en-GB"/>
              </w:rPr>
              <w:t xml:space="preserve"> at 31/3/24</w:t>
            </w:r>
          </w:p>
        </w:tc>
        <w:tc>
          <w:tcPr>
            <w:tcW w:w="1336" w:type="dxa"/>
            <w:vMerge w:val="restart"/>
            <w:tcBorders>
              <w:top w:val="single" w:sz="4" w:space="0" w:color="auto"/>
              <w:left w:val="single" w:sz="4" w:space="0" w:color="auto"/>
              <w:bottom w:val="nil"/>
              <w:right w:val="single" w:sz="4" w:space="0" w:color="auto"/>
            </w:tcBorders>
            <w:shd w:val="clear" w:color="auto" w:fill="DCE6F1"/>
            <w:hideMark/>
          </w:tcPr>
          <w:p w14:paraId="2C0E7AEC" w14:textId="77777777" w:rsidR="007F1533" w:rsidRPr="0050374D" w:rsidRDefault="007F1533">
            <w:pPr>
              <w:spacing w:line="240" w:lineRule="auto"/>
              <w:jc w:val="center"/>
              <w:rPr>
                <w:rFonts w:ascii="Arial" w:eastAsia="Times New Roman" w:hAnsi="Arial" w:cs="Arial"/>
                <w:b/>
                <w:bCs/>
                <w:color w:val="000000"/>
                <w:lang w:eastAsia="en-GB"/>
              </w:rPr>
            </w:pPr>
            <w:r w:rsidRPr="0050374D">
              <w:rPr>
                <w:rFonts w:ascii="Arial" w:eastAsia="Times New Roman" w:hAnsi="Arial" w:cs="Arial"/>
                <w:b/>
                <w:bCs/>
                <w:color w:val="000000"/>
                <w:lang w:eastAsia="en-GB"/>
              </w:rPr>
              <w:t>CETV</w:t>
            </w:r>
            <w:r w:rsidRPr="0050374D">
              <w:rPr>
                <w:rFonts w:ascii="Arial" w:eastAsia="Times New Roman" w:hAnsi="Arial" w:cs="Arial"/>
                <w:b/>
                <w:bCs/>
                <w:color w:val="000000"/>
                <w:vertAlign w:val="superscript"/>
                <w:lang w:eastAsia="en-GB"/>
              </w:rPr>
              <w:t>3</w:t>
            </w:r>
            <w:r w:rsidRPr="0050374D">
              <w:rPr>
                <w:rFonts w:ascii="Arial" w:eastAsia="Times New Roman" w:hAnsi="Arial" w:cs="Arial"/>
                <w:b/>
                <w:bCs/>
                <w:color w:val="000000"/>
                <w:lang w:eastAsia="en-GB"/>
              </w:rPr>
              <w:t>at 31/3/23</w:t>
            </w:r>
          </w:p>
        </w:tc>
        <w:tc>
          <w:tcPr>
            <w:tcW w:w="1355" w:type="dxa"/>
            <w:vMerge w:val="restart"/>
            <w:tcBorders>
              <w:top w:val="single" w:sz="4" w:space="0" w:color="auto"/>
              <w:left w:val="single" w:sz="4" w:space="0" w:color="auto"/>
              <w:bottom w:val="nil"/>
              <w:right w:val="single" w:sz="4" w:space="0" w:color="auto"/>
            </w:tcBorders>
            <w:shd w:val="clear" w:color="auto" w:fill="DCE6F1"/>
            <w:hideMark/>
          </w:tcPr>
          <w:p w14:paraId="428E8B12" w14:textId="77777777" w:rsidR="007F1533" w:rsidRPr="0050374D" w:rsidRDefault="007F1533">
            <w:pPr>
              <w:spacing w:line="240" w:lineRule="auto"/>
              <w:jc w:val="center"/>
              <w:rPr>
                <w:rFonts w:ascii="Arial" w:eastAsia="Times New Roman" w:hAnsi="Arial" w:cs="Arial"/>
                <w:b/>
                <w:bCs/>
                <w:color w:val="000000"/>
                <w:vertAlign w:val="superscript"/>
                <w:lang w:eastAsia="en-GB"/>
              </w:rPr>
            </w:pPr>
            <w:r w:rsidRPr="0050374D">
              <w:rPr>
                <w:rFonts w:ascii="Arial" w:eastAsia="Times New Roman" w:hAnsi="Arial" w:cs="Arial"/>
                <w:b/>
                <w:bCs/>
                <w:color w:val="000000"/>
                <w:lang w:eastAsia="en-GB"/>
              </w:rPr>
              <w:t>Real increase in CETV</w:t>
            </w:r>
            <w:r w:rsidRPr="0050374D">
              <w:rPr>
                <w:rFonts w:ascii="Arial" w:eastAsia="Times New Roman" w:hAnsi="Arial" w:cs="Arial"/>
                <w:b/>
                <w:bCs/>
                <w:color w:val="000000"/>
                <w:vertAlign w:val="superscript"/>
                <w:lang w:eastAsia="en-GB"/>
              </w:rPr>
              <w:t>4</w:t>
            </w:r>
          </w:p>
        </w:tc>
      </w:tr>
      <w:tr w:rsidR="00923AF1" w:rsidRPr="0050374D" w14:paraId="6527601B" w14:textId="77777777">
        <w:trPr>
          <w:trHeight w:val="509"/>
        </w:trPr>
        <w:tc>
          <w:tcPr>
            <w:tcW w:w="4380" w:type="dxa"/>
            <w:vMerge/>
            <w:tcBorders>
              <w:top w:val="single" w:sz="4" w:space="0" w:color="auto"/>
              <w:left w:val="single" w:sz="4" w:space="0" w:color="auto"/>
              <w:bottom w:val="nil"/>
              <w:right w:val="single" w:sz="4" w:space="0" w:color="000000"/>
            </w:tcBorders>
            <w:shd w:val="clear" w:color="auto" w:fill="DCE6F1"/>
            <w:vAlign w:val="center"/>
            <w:hideMark/>
          </w:tcPr>
          <w:p w14:paraId="747D5E1A" w14:textId="77777777" w:rsidR="007F1533" w:rsidRPr="0050374D" w:rsidRDefault="007F1533">
            <w:pPr>
              <w:spacing w:line="240" w:lineRule="auto"/>
              <w:rPr>
                <w:rFonts w:ascii="Arial" w:eastAsia="Times New Roman" w:hAnsi="Arial" w:cs="Arial"/>
                <w:b/>
                <w:bCs/>
                <w:color w:val="000000"/>
                <w:lang w:eastAsia="en-GB"/>
              </w:rPr>
            </w:pPr>
          </w:p>
        </w:tc>
        <w:tc>
          <w:tcPr>
            <w:tcW w:w="3051" w:type="dxa"/>
            <w:vMerge/>
            <w:tcBorders>
              <w:top w:val="single" w:sz="4" w:space="0" w:color="auto"/>
              <w:left w:val="single" w:sz="4" w:space="0" w:color="auto"/>
              <w:bottom w:val="nil"/>
              <w:right w:val="single" w:sz="4" w:space="0" w:color="000000"/>
            </w:tcBorders>
            <w:shd w:val="clear" w:color="auto" w:fill="DCE6F1"/>
            <w:vAlign w:val="center"/>
            <w:hideMark/>
          </w:tcPr>
          <w:p w14:paraId="0890079B" w14:textId="77777777" w:rsidR="007F1533" w:rsidRPr="0050374D" w:rsidRDefault="007F1533">
            <w:pPr>
              <w:spacing w:line="240" w:lineRule="auto"/>
              <w:rPr>
                <w:rFonts w:ascii="Arial" w:eastAsia="Times New Roman" w:hAnsi="Arial" w:cs="Arial"/>
                <w:b/>
                <w:bCs/>
                <w:color w:val="000000"/>
                <w:lang w:eastAsia="en-GB"/>
              </w:rPr>
            </w:pPr>
          </w:p>
        </w:tc>
        <w:tc>
          <w:tcPr>
            <w:tcW w:w="2663" w:type="dxa"/>
            <w:vMerge/>
            <w:tcBorders>
              <w:top w:val="single" w:sz="4" w:space="0" w:color="auto"/>
              <w:left w:val="single" w:sz="4" w:space="0" w:color="auto"/>
              <w:bottom w:val="nil"/>
              <w:right w:val="nil"/>
            </w:tcBorders>
            <w:shd w:val="clear" w:color="auto" w:fill="DCE6F1"/>
            <w:vAlign w:val="center"/>
            <w:hideMark/>
          </w:tcPr>
          <w:p w14:paraId="1880780A" w14:textId="77777777" w:rsidR="007F1533" w:rsidRPr="0050374D" w:rsidRDefault="007F1533">
            <w:pPr>
              <w:spacing w:line="240" w:lineRule="auto"/>
              <w:rPr>
                <w:rFonts w:ascii="Arial" w:eastAsia="Times New Roman" w:hAnsi="Arial" w:cs="Arial"/>
                <w:b/>
                <w:bCs/>
                <w:color w:val="000000"/>
                <w:lang w:eastAsia="en-GB"/>
              </w:rPr>
            </w:pPr>
          </w:p>
        </w:tc>
        <w:tc>
          <w:tcPr>
            <w:tcW w:w="1336" w:type="dxa"/>
            <w:vMerge/>
            <w:tcBorders>
              <w:top w:val="single" w:sz="4" w:space="0" w:color="auto"/>
              <w:left w:val="single" w:sz="4" w:space="0" w:color="auto"/>
              <w:bottom w:val="nil"/>
              <w:right w:val="single" w:sz="4" w:space="0" w:color="auto"/>
            </w:tcBorders>
            <w:shd w:val="clear" w:color="auto" w:fill="DCE6F1"/>
            <w:vAlign w:val="center"/>
            <w:hideMark/>
          </w:tcPr>
          <w:p w14:paraId="1389C9FD" w14:textId="77777777" w:rsidR="007F1533" w:rsidRPr="0050374D" w:rsidRDefault="007F1533">
            <w:pPr>
              <w:spacing w:line="240" w:lineRule="auto"/>
              <w:rPr>
                <w:rFonts w:ascii="Arial" w:eastAsia="Times New Roman" w:hAnsi="Arial" w:cs="Arial"/>
                <w:b/>
                <w:bCs/>
                <w:color w:val="000000"/>
                <w:lang w:eastAsia="en-GB"/>
              </w:rPr>
            </w:pPr>
          </w:p>
        </w:tc>
        <w:tc>
          <w:tcPr>
            <w:tcW w:w="1336" w:type="dxa"/>
            <w:vMerge/>
            <w:tcBorders>
              <w:top w:val="single" w:sz="4" w:space="0" w:color="auto"/>
              <w:left w:val="single" w:sz="4" w:space="0" w:color="auto"/>
              <w:bottom w:val="nil"/>
              <w:right w:val="single" w:sz="4" w:space="0" w:color="auto"/>
            </w:tcBorders>
            <w:shd w:val="clear" w:color="auto" w:fill="DCE6F1"/>
            <w:vAlign w:val="center"/>
            <w:hideMark/>
          </w:tcPr>
          <w:p w14:paraId="2816A4C9" w14:textId="77777777" w:rsidR="007F1533" w:rsidRPr="0050374D" w:rsidRDefault="007F1533">
            <w:pPr>
              <w:spacing w:line="240" w:lineRule="auto"/>
              <w:rPr>
                <w:rFonts w:ascii="Arial" w:eastAsia="Times New Roman" w:hAnsi="Arial" w:cs="Arial"/>
                <w:b/>
                <w:bCs/>
                <w:color w:val="000000"/>
                <w:lang w:eastAsia="en-GB"/>
              </w:rPr>
            </w:pPr>
          </w:p>
        </w:tc>
        <w:tc>
          <w:tcPr>
            <w:tcW w:w="1355" w:type="dxa"/>
            <w:vMerge/>
            <w:tcBorders>
              <w:top w:val="single" w:sz="4" w:space="0" w:color="auto"/>
              <w:left w:val="single" w:sz="4" w:space="0" w:color="auto"/>
              <w:bottom w:val="nil"/>
              <w:right w:val="single" w:sz="4" w:space="0" w:color="auto"/>
            </w:tcBorders>
            <w:shd w:val="clear" w:color="auto" w:fill="DCE6F1"/>
            <w:vAlign w:val="center"/>
            <w:hideMark/>
          </w:tcPr>
          <w:p w14:paraId="07BC7D81" w14:textId="77777777" w:rsidR="007F1533" w:rsidRPr="0050374D" w:rsidRDefault="007F1533">
            <w:pPr>
              <w:spacing w:line="240" w:lineRule="auto"/>
              <w:rPr>
                <w:rFonts w:ascii="Arial" w:eastAsia="Times New Roman" w:hAnsi="Arial" w:cs="Arial"/>
                <w:b/>
                <w:bCs/>
                <w:color w:val="000000"/>
                <w:lang w:eastAsia="en-GB"/>
              </w:rPr>
            </w:pPr>
          </w:p>
        </w:tc>
      </w:tr>
      <w:tr w:rsidR="00923AF1" w:rsidRPr="0050374D" w14:paraId="7C90F63A" w14:textId="77777777">
        <w:trPr>
          <w:trHeight w:val="80"/>
        </w:trPr>
        <w:tc>
          <w:tcPr>
            <w:tcW w:w="4380" w:type="dxa"/>
            <w:tcBorders>
              <w:top w:val="nil"/>
              <w:left w:val="single" w:sz="4" w:space="0" w:color="auto"/>
              <w:bottom w:val="nil"/>
              <w:right w:val="single" w:sz="4" w:space="0" w:color="000000"/>
            </w:tcBorders>
            <w:shd w:val="clear" w:color="auto" w:fill="DCE6F1"/>
            <w:noWrap/>
            <w:vAlign w:val="bottom"/>
            <w:hideMark/>
          </w:tcPr>
          <w:p w14:paraId="329EC606" w14:textId="77777777" w:rsidR="007F1533" w:rsidRPr="0050374D" w:rsidRDefault="007F1533">
            <w:pPr>
              <w:spacing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 </w:t>
            </w:r>
          </w:p>
        </w:tc>
        <w:tc>
          <w:tcPr>
            <w:tcW w:w="3051" w:type="dxa"/>
            <w:tcBorders>
              <w:top w:val="nil"/>
              <w:left w:val="single" w:sz="4" w:space="0" w:color="auto"/>
              <w:bottom w:val="nil"/>
              <w:right w:val="single" w:sz="4" w:space="0" w:color="000000"/>
            </w:tcBorders>
            <w:shd w:val="clear" w:color="auto" w:fill="DCE6F1"/>
            <w:noWrap/>
            <w:vAlign w:val="bottom"/>
            <w:hideMark/>
          </w:tcPr>
          <w:p w14:paraId="101FA255" w14:textId="77777777" w:rsidR="007F1533" w:rsidRPr="0050374D" w:rsidRDefault="007F1533">
            <w:pPr>
              <w:spacing w:line="240" w:lineRule="auto"/>
              <w:jc w:val="center"/>
              <w:rPr>
                <w:rFonts w:ascii="Arial" w:eastAsia="Times New Roman" w:hAnsi="Arial" w:cs="Arial"/>
                <w:b/>
                <w:bCs/>
                <w:color w:val="000000"/>
                <w:lang w:eastAsia="en-GB"/>
              </w:rPr>
            </w:pPr>
            <w:r w:rsidRPr="0050374D">
              <w:rPr>
                <w:rFonts w:ascii="Arial" w:eastAsia="Times New Roman" w:hAnsi="Arial" w:cs="Arial"/>
                <w:b/>
                <w:bCs/>
                <w:color w:val="000000"/>
                <w:lang w:eastAsia="en-GB"/>
              </w:rPr>
              <w:t>£'000</w:t>
            </w:r>
          </w:p>
        </w:tc>
        <w:tc>
          <w:tcPr>
            <w:tcW w:w="2663" w:type="dxa"/>
            <w:tcBorders>
              <w:top w:val="nil"/>
              <w:left w:val="single" w:sz="4" w:space="0" w:color="auto"/>
              <w:bottom w:val="nil"/>
              <w:right w:val="nil"/>
            </w:tcBorders>
            <w:shd w:val="clear" w:color="auto" w:fill="DCE6F1"/>
            <w:noWrap/>
            <w:vAlign w:val="bottom"/>
            <w:hideMark/>
          </w:tcPr>
          <w:p w14:paraId="28A35BAA" w14:textId="77777777" w:rsidR="007F1533" w:rsidRPr="0050374D" w:rsidRDefault="007F1533">
            <w:pPr>
              <w:spacing w:line="240" w:lineRule="auto"/>
              <w:jc w:val="center"/>
              <w:rPr>
                <w:rFonts w:ascii="Arial" w:eastAsia="Times New Roman" w:hAnsi="Arial" w:cs="Arial"/>
                <w:b/>
                <w:bCs/>
                <w:color w:val="000000"/>
                <w:lang w:eastAsia="en-GB"/>
              </w:rPr>
            </w:pPr>
            <w:r w:rsidRPr="0050374D">
              <w:rPr>
                <w:rFonts w:ascii="Arial" w:eastAsia="Times New Roman" w:hAnsi="Arial" w:cs="Arial"/>
                <w:b/>
                <w:bCs/>
                <w:color w:val="000000"/>
                <w:lang w:eastAsia="en-GB"/>
              </w:rPr>
              <w:t>£'000</w:t>
            </w:r>
          </w:p>
        </w:tc>
        <w:tc>
          <w:tcPr>
            <w:tcW w:w="1336" w:type="dxa"/>
            <w:tcBorders>
              <w:top w:val="nil"/>
              <w:left w:val="single" w:sz="4" w:space="0" w:color="auto"/>
              <w:bottom w:val="single" w:sz="4" w:space="0" w:color="auto"/>
              <w:right w:val="single" w:sz="4" w:space="0" w:color="auto"/>
            </w:tcBorders>
            <w:shd w:val="clear" w:color="auto" w:fill="DCE6F1"/>
            <w:noWrap/>
            <w:vAlign w:val="center"/>
            <w:hideMark/>
          </w:tcPr>
          <w:p w14:paraId="1E0058DC" w14:textId="77777777" w:rsidR="007F1533" w:rsidRPr="0050374D" w:rsidRDefault="007F1533">
            <w:pPr>
              <w:spacing w:line="240" w:lineRule="auto"/>
              <w:jc w:val="center"/>
              <w:rPr>
                <w:rFonts w:ascii="Arial" w:eastAsia="Times New Roman" w:hAnsi="Arial" w:cs="Arial"/>
                <w:b/>
                <w:bCs/>
                <w:color w:val="000000"/>
                <w:lang w:eastAsia="en-GB"/>
              </w:rPr>
            </w:pPr>
            <w:r w:rsidRPr="0050374D">
              <w:rPr>
                <w:rFonts w:ascii="Arial" w:eastAsia="Times New Roman" w:hAnsi="Arial" w:cs="Arial"/>
                <w:b/>
                <w:bCs/>
                <w:color w:val="000000"/>
                <w:lang w:eastAsia="en-GB"/>
              </w:rPr>
              <w:t>£'000</w:t>
            </w:r>
          </w:p>
        </w:tc>
        <w:tc>
          <w:tcPr>
            <w:tcW w:w="1336" w:type="dxa"/>
            <w:tcBorders>
              <w:top w:val="nil"/>
              <w:left w:val="nil"/>
              <w:bottom w:val="single" w:sz="4" w:space="0" w:color="auto"/>
              <w:right w:val="single" w:sz="4" w:space="0" w:color="auto"/>
            </w:tcBorders>
            <w:shd w:val="clear" w:color="auto" w:fill="DCE6F1"/>
            <w:noWrap/>
            <w:vAlign w:val="center"/>
            <w:hideMark/>
          </w:tcPr>
          <w:p w14:paraId="0E5DAA12" w14:textId="77777777" w:rsidR="007F1533" w:rsidRPr="0050374D" w:rsidRDefault="007F1533">
            <w:pPr>
              <w:spacing w:line="240" w:lineRule="auto"/>
              <w:jc w:val="center"/>
              <w:rPr>
                <w:rFonts w:ascii="Arial" w:eastAsia="Times New Roman" w:hAnsi="Arial" w:cs="Arial"/>
                <w:b/>
                <w:bCs/>
                <w:color w:val="000000"/>
                <w:lang w:eastAsia="en-GB"/>
              </w:rPr>
            </w:pPr>
            <w:r w:rsidRPr="0050374D">
              <w:rPr>
                <w:rFonts w:ascii="Arial" w:eastAsia="Times New Roman" w:hAnsi="Arial" w:cs="Arial"/>
                <w:b/>
                <w:bCs/>
                <w:color w:val="000000"/>
                <w:lang w:eastAsia="en-GB"/>
              </w:rPr>
              <w:t>£'000</w:t>
            </w:r>
          </w:p>
        </w:tc>
        <w:tc>
          <w:tcPr>
            <w:tcW w:w="1355" w:type="dxa"/>
            <w:tcBorders>
              <w:top w:val="nil"/>
              <w:left w:val="nil"/>
              <w:bottom w:val="single" w:sz="4" w:space="0" w:color="auto"/>
              <w:right w:val="single" w:sz="4" w:space="0" w:color="auto"/>
            </w:tcBorders>
            <w:shd w:val="clear" w:color="auto" w:fill="DCE6F1"/>
            <w:noWrap/>
            <w:vAlign w:val="center"/>
            <w:hideMark/>
          </w:tcPr>
          <w:p w14:paraId="3A522638" w14:textId="77777777" w:rsidR="007F1533" w:rsidRPr="0050374D" w:rsidRDefault="007F1533">
            <w:pPr>
              <w:spacing w:line="240" w:lineRule="auto"/>
              <w:jc w:val="center"/>
              <w:rPr>
                <w:rFonts w:ascii="Arial" w:eastAsia="Times New Roman" w:hAnsi="Arial" w:cs="Arial"/>
                <w:b/>
                <w:bCs/>
                <w:color w:val="000000"/>
                <w:lang w:eastAsia="en-GB"/>
              </w:rPr>
            </w:pPr>
            <w:r w:rsidRPr="0050374D">
              <w:rPr>
                <w:rFonts w:ascii="Arial" w:eastAsia="Times New Roman" w:hAnsi="Arial" w:cs="Arial"/>
                <w:b/>
                <w:bCs/>
                <w:color w:val="000000"/>
                <w:lang w:eastAsia="en-GB"/>
              </w:rPr>
              <w:t>£'000</w:t>
            </w:r>
          </w:p>
        </w:tc>
      </w:tr>
      <w:tr w:rsidR="00655EAF" w:rsidRPr="0050374D" w14:paraId="528E06B3" w14:textId="77777777">
        <w:trPr>
          <w:trHeight w:val="70"/>
        </w:trPr>
        <w:tc>
          <w:tcPr>
            <w:tcW w:w="4380" w:type="dxa"/>
            <w:tcBorders>
              <w:top w:val="single" w:sz="4" w:space="0" w:color="auto"/>
              <w:left w:val="single" w:sz="4" w:space="0" w:color="auto"/>
              <w:bottom w:val="nil"/>
              <w:right w:val="single" w:sz="4" w:space="0" w:color="000000"/>
            </w:tcBorders>
            <w:shd w:val="clear" w:color="auto" w:fill="auto"/>
            <w:noWrap/>
            <w:vAlign w:val="bottom"/>
            <w:hideMark/>
          </w:tcPr>
          <w:p w14:paraId="6042FEA3" w14:textId="77777777" w:rsidR="007F1533" w:rsidRPr="0050374D" w:rsidRDefault="007F1533">
            <w:pPr>
              <w:pStyle w:val="NoSpacing"/>
              <w:rPr>
                <w:rFonts w:ascii="Arial" w:hAnsi="Arial" w:cs="Arial"/>
                <w:lang w:eastAsia="en-GB"/>
              </w:rPr>
            </w:pPr>
            <w:r w:rsidRPr="0050374D">
              <w:rPr>
                <w:rFonts w:ascii="Arial" w:hAnsi="Arial" w:cs="Arial"/>
                <w:lang w:eastAsia="en-GB"/>
              </w:rPr>
              <w:t>Alec Pybus</w:t>
            </w:r>
          </w:p>
        </w:tc>
        <w:tc>
          <w:tcPr>
            <w:tcW w:w="3051" w:type="dxa"/>
            <w:tcBorders>
              <w:top w:val="single" w:sz="4" w:space="0" w:color="auto"/>
              <w:left w:val="nil"/>
              <w:bottom w:val="nil"/>
              <w:right w:val="single" w:sz="4" w:space="0" w:color="000000"/>
            </w:tcBorders>
            <w:shd w:val="clear" w:color="auto" w:fill="auto"/>
            <w:noWrap/>
            <w:vAlign w:val="bottom"/>
            <w:hideMark/>
          </w:tcPr>
          <w:p w14:paraId="052F9EE4" w14:textId="77777777" w:rsidR="007F1533" w:rsidRPr="0050374D" w:rsidRDefault="007F1533">
            <w:pPr>
              <w:spacing w:after="0" w:line="240" w:lineRule="auto"/>
              <w:jc w:val="center"/>
              <w:rPr>
                <w:rFonts w:ascii="Arial" w:eastAsia="Times New Roman" w:hAnsi="Arial" w:cs="Arial"/>
                <w:color w:val="000000"/>
                <w:lang w:eastAsia="en-GB"/>
              </w:rPr>
            </w:pPr>
          </w:p>
        </w:tc>
        <w:tc>
          <w:tcPr>
            <w:tcW w:w="2663" w:type="dxa"/>
            <w:tcBorders>
              <w:top w:val="single" w:sz="4" w:space="0" w:color="auto"/>
              <w:left w:val="nil"/>
              <w:bottom w:val="nil"/>
              <w:right w:val="single" w:sz="4" w:space="0" w:color="000000"/>
            </w:tcBorders>
            <w:shd w:val="clear" w:color="auto" w:fill="auto"/>
            <w:noWrap/>
            <w:vAlign w:val="bottom"/>
            <w:hideMark/>
          </w:tcPr>
          <w:p w14:paraId="0EEF44FB" w14:textId="77777777" w:rsidR="007F1533" w:rsidRPr="0050374D" w:rsidRDefault="007F1533">
            <w:pPr>
              <w:spacing w:after="0" w:line="240" w:lineRule="auto"/>
              <w:jc w:val="center"/>
              <w:rPr>
                <w:rFonts w:ascii="Arial" w:eastAsia="Times New Roman" w:hAnsi="Arial" w:cs="Arial"/>
                <w:color w:val="000000"/>
                <w:lang w:eastAsia="en-GB"/>
              </w:rPr>
            </w:pP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C3614D9"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1CA7D23"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201</w:t>
            </w:r>
          </w:p>
        </w:tc>
        <w:tc>
          <w:tcPr>
            <w:tcW w:w="13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02F52F3"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w:t>
            </w:r>
          </w:p>
        </w:tc>
      </w:tr>
      <w:tr w:rsidR="00655EAF" w:rsidRPr="0050374D" w14:paraId="6B1CA6A1" w14:textId="77777777">
        <w:trPr>
          <w:trHeight w:val="70"/>
        </w:trPr>
        <w:tc>
          <w:tcPr>
            <w:tcW w:w="4380" w:type="dxa"/>
            <w:vMerge w:val="restart"/>
            <w:tcBorders>
              <w:top w:val="nil"/>
              <w:left w:val="single" w:sz="4" w:space="0" w:color="auto"/>
              <w:bottom w:val="single" w:sz="4" w:space="0" w:color="000000"/>
              <w:right w:val="single" w:sz="4" w:space="0" w:color="000000"/>
            </w:tcBorders>
            <w:shd w:val="clear" w:color="auto" w:fill="auto"/>
            <w:hideMark/>
          </w:tcPr>
          <w:p w14:paraId="2DA3D360" w14:textId="77777777" w:rsidR="007F1533" w:rsidRPr="0050374D" w:rsidRDefault="007F1533">
            <w:pPr>
              <w:pStyle w:val="NoSpacing"/>
              <w:rPr>
                <w:rFonts w:ascii="Arial" w:hAnsi="Arial" w:cs="Arial"/>
                <w:lang w:eastAsia="en-GB"/>
              </w:rPr>
            </w:pPr>
            <w:r w:rsidRPr="0050374D">
              <w:rPr>
                <w:rFonts w:ascii="Arial" w:hAnsi="Arial" w:cs="Arial"/>
                <w:lang w:eastAsia="en-GB"/>
              </w:rPr>
              <w:t>Chief Operating Officer</w:t>
            </w:r>
          </w:p>
        </w:tc>
        <w:tc>
          <w:tcPr>
            <w:tcW w:w="3051" w:type="dxa"/>
            <w:tcBorders>
              <w:top w:val="nil"/>
              <w:left w:val="single" w:sz="4" w:space="0" w:color="auto"/>
              <w:bottom w:val="nil"/>
              <w:right w:val="single" w:sz="4" w:space="0" w:color="000000"/>
            </w:tcBorders>
            <w:shd w:val="clear" w:color="auto" w:fill="auto"/>
            <w:noWrap/>
            <w:vAlign w:val="center"/>
          </w:tcPr>
          <w:p w14:paraId="00F0D542" w14:textId="77777777" w:rsidR="007F1533" w:rsidRPr="0050374D" w:rsidRDefault="007F1533">
            <w:pPr>
              <w:spacing w:after="0" w:line="240" w:lineRule="auto"/>
              <w:jc w:val="center"/>
              <w:rPr>
                <w:rFonts w:ascii="Arial" w:eastAsia="Times New Roman" w:hAnsi="Arial" w:cs="Arial"/>
                <w:b/>
                <w:color w:val="000000"/>
                <w:lang w:eastAsia="en-GB"/>
              </w:rPr>
            </w:pPr>
            <w:r w:rsidRPr="0050374D">
              <w:rPr>
                <w:rFonts w:ascii="Arial" w:eastAsia="Times New Roman" w:hAnsi="Arial" w:cs="Arial"/>
                <w:b/>
                <w:color w:val="000000"/>
                <w:lang w:eastAsia="en-GB"/>
              </w:rPr>
              <w:t>-</w:t>
            </w:r>
          </w:p>
        </w:tc>
        <w:tc>
          <w:tcPr>
            <w:tcW w:w="2663" w:type="dxa"/>
            <w:tcBorders>
              <w:top w:val="nil"/>
              <w:left w:val="single" w:sz="4" w:space="0" w:color="auto"/>
              <w:bottom w:val="nil"/>
              <w:right w:val="single" w:sz="4" w:space="0" w:color="000000"/>
            </w:tcBorders>
            <w:shd w:val="clear" w:color="auto" w:fill="auto"/>
            <w:noWrap/>
            <w:vAlign w:val="center"/>
          </w:tcPr>
          <w:p w14:paraId="3231EE1D" w14:textId="77777777" w:rsidR="007F1533" w:rsidRPr="0050374D" w:rsidRDefault="007F1533">
            <w:pPr>
              <w:spacing w:after="0" w:line="240" w:lineRule="auto"/>
              <w:jc w:val="center"/>
              <w:rPr>
                <w:rFonts w:ascii="Arial" w:eastAsia="Times New Roman" w:hAnsi="Arial" w:cs="Arial"/>
                <w:b/>
                <w:color w:val="000000"/>
                <w:lang w:eastAsia="en-GB"/>
              </w:rPr>
            </w:pPr>
            <w:r w:rsidRPr="0050374D">
              <w:rPr>
                <w:rFonts w:ascii="Arial" w:eastAsia="Times New Roman" w:hAnsi="Arial" w:cs="Arial"/>
                <w:b/>
                <w:color w:val="000000"/>
                <w:lang w:eastAsia="en-GB"/>
              </w:rPr>
              <w:t>-</w:t>
            </w:r>
          </w:p>
        </w:tc>
        <w:tc>
          <w:tcPr>
            <w:tcW w:w="1336" w:type="dxa"/>
            <w:vMerge/>
            <w:tcBorders>
              <w:top w:val="nil"/>
              <w:left w:val="single" w:sz="4" w:space="0" w:color="auto"/>
              <w:bottom w:val="single" w:sz="4" w:space="0" w:color="000000"/>
              <w:right w:val="single" w:sz="4" w:space="0" w:color="auto"/>
            </w:tcBorders>
            <w:vAlign w:val="center"/>
          </w:tcPr>
          <w:p w14:paraId="40889DA9" w14:textId="77777777" w:rsidR="007F1533" w:rsidRPr="0050374D" w:rsidRDefault="007F1533">
            <w:pPr>
              <w:pStyle w:val="NoSpacing"/>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vAlign w:val="center"/>
          </w:tcPr>
          <w:p w14:paraId="54153A8B" w14:textId="77777777" w:rsidR="007F1533" w:rsidRPr="0050374D" w:rsidRDefault="007F1533">
            <w:pPr>
              <w:pStyle w:val="NoSpacing"/>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vAlign w:val="center"/>
          </w:tcPr>
          <w:p w14:paraId="4D73B612" w14:textId="77777777" w:rsidR="007F1533" w:rsidRPr="0050374D" w:rsidRDefault="007F1533">
            <w:pPr>
              <w:pStyle w:val="NoSpacing"/>
              <w:rPr>
                <w:rFonts w:ascii="Arial" w:hAnsi="Arial" w:cs="Arial"/>
                <w:lang w:eastAsia="en-GB"/>
              </w:rPr>
            </w:pPr>
          </w:p>
        </w:tc>
      </w:tr>
      <w:tr w:rsidR="00655EAF" w:rsidRPr="0050374D" w14:paraId="0C4E5036" w14:textId="77777777">
        <w:trPr>
          <w:trHeight w:val="70"/>
        </w:trPr>
        <w:tc>
          <w:tcPr>
            <w:tcW w:w="4380" w:type="dxa"/>
            <w:vMerge/>
            <w:tcBorders>
              <w:top w:val="nil"/>
              <w:left w:val="single" w:sz="4" w:space="0" w:color="auto"/>
              <w:bottom w:val="single" w:sz="4" w:space="0" w:color="000000"/>
              <w:right w:val="single" w:sz="4" w:space="0" w:color="000000"/>
            </w:tcBorders>
            <w:vAlign w:val="center"/>
            <w:hideMark/>
          </w:tcPr>
          <w:p w14:paraId="45316360" w14:textId="77777777" w:rsidR="007F1533" w:rsidRPr="0050374D" w:rsidRDefault="007F1533">
            <w:pPr>
              <w:pStyle w:val="NoSpacing"/>
              <w:rPr>
                <w:rFonts w:ascii="Arial" w:hAnsi="Arial" w:cs="Arial"/>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12BE4181" w14:textId="77777777" w:rsidR="007F1533" w:rsidRPr="0050374D" w:rsidRDefault="007F1533">
            <w:pPr>
              <w:spacing w:after="0" w:line="240" w:lineRule="auto"/>
              <w:jc w:val="center"/>
              <w:rPr>
                <w:rFonts w:ascii="Arial" w:eastAsia="Times New Roman" w:hAnsi="Arial" w:cs="Arial"/>
                <w:color w:val="000000"/>
                <w:lang w:eastAsia="en-GB"/>
              </w:rPr>
            </w:pPr>
          </w:p>
        </w:tc>
        <w:tc>
          <w:tcPr>
            <w:tcW w:w="2663" w:type="dxa"/>
            <w:tcBorders>
              <w:top w:val="nil"/>
              <w:left w:val="nil"/>
              <w:bottom w:val="single" w:sz="4" w:space="0" w:color="auto"/>
              <w:right w:val="single" w:sz="4" w:space="0" w:color="000000"/>
            </w:tcBorders>
            <w:shd w:val="clear" w:color="auto" w:fill="auto"/>
            <w:noWrap/>
            <w:vAlign w:val="bottom"/>
          </w:tcPr>
          <w:p w14:paraId="27E3AD5C" w14:textId="77777777" w:rsidR="007F1533" w:rsidRPr="0050374D" w:rsidRDefault="007F1533">
            <w:pPr>
              <w:spacing w:after="0" w:line="240" w:lineRule="auto"/>
              <w:jc w:val="center"/>
              <w:rPr>
                <w:rFonts w:ascii="Arial" w:eastAsia="Times New Roman" w:hAnsi="Arial" w:cs="Arial"/>
                <w:color w:val="000000"/>
                <w:lang w:eastAsia="en-GB"/>
              </w:rPr>
            </w:pPr>
          </w:p>
        </w:tc>
        <w:tc>
          <w:tcPr>
            <w:tcW w:w="1336" w:type="dxa"/>
            <w:vMerge/>
            <w:tcBorders>
              <w:top w:val="nil"/>
              <w:left w:val="single" w:sz="4" w:space="0" w:color="auto"/>
              <w:bottom w:val="single" w:sz="4" w:space="0" w:color="000000"/>
              <w:right w:val="single" w:sz="4" w:space="0" w:color="auto"/>
            </w:tcBorders>
            <w:vAlign w:val="center"/>
          </w:tcPr>
          <w:p w14:paraId="647E5E70" w14:textId="77777777" w:rsidR="007F1533" w:rsidRPr="0050374D" w:rsidRDefault="007F1533">
            <w:pPr>
              <w:pStyle w:val="NoSpacing"/>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vAlign w:val="center"/>
          </w:tcPr>
          <w:p w14:paraId="5EF9DB7B" w14:textId="77777777" w:rsidR="007F1533" w:rsidRPr="0050374D" w:rsidRDefault="007F1533">
            <w:pPr>
              <w:pStyle w:val="NoSpacing"/>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vAlign w:val="center"/>
          </w:tcPr>
          <w:p w14:paraId="3265F3FF" w14:textId="77777777" w:rsidR="007F1533" w:rsidRPr="0050374D" w:rsidRDefault="007F1533">
            <w:pPr>
              <w:pStyle w:val="NoSpacing"/>
              <w:rPr>
                <w:rFonts w:ascii="Arial" w:hAnsi="Arial" w:cs="Arial"/>
                <w:lang w:eastAsia="en-GB"/>
              </w:rPr>
            </w:pPr>
          </w:p>
        </w:tc>
      </w:tr>
      <w:tr w:rsidR="00655EAF" w:rsidRPr="0050374D" w14:paraId="5F6B7ADF" w14:textId="77777777">
        <w:trPr>
          <w:trHeight w:val="70"/>
        </w:trPr>
        <w:tc>
          <w:tcPr>
            <w:tcW w:w="4380" w:type="dxa"/>
            <w:tcBorders>
              <w:top w:val="single" w:sz="4" w:space="0" w:color="auto"/>
              <w:left w:val="single" w:sz="4" w:space="0" w:color="auto"/>
              <w:bottom w:val="nil"/>
              <w:right w:val="single" w:sz="4" w:space="0" w:color="000000"/>
            </w:tcBorders>
            <w:shd w:val="clear" w:color="auto" w:fill="auto"/>
            <w:noWrap/>
            <w:hideMark/>
          </w:tcPr>
          <w:p w14:paraId="3367E18A" w14:textId="77777777" w:rsidR="007F1533" w:rsidRPr="0050374D" w:rsidRDefault="007F1533">
            <w:pPr>
              <w:pStyle w:val="NoSpacing"/>
              <w:rPr>
                <w:rFonts w:ascii="Arial" w:hAnsi="Arial" w:cs="Arial"/>
                <w:lang w:eastAsia="en-GB"/>
              </w:rPr>
            </w:pPr>
            <w:r w:rsidRPr="0050374D">
              <w:rPr>
                <w:rFonts w:ascii="Arial" w:hAnsi="Arial" w:cs="Arial"/>
                <w:lang w:eastAsia="en-GB"/>
              </w:rPr>
              <w:t>Angela Crossley</w:t>
            </w:r>
          </w:p>
        </w:tc>
        <w:tc>
          <w:tcPr>
            <w:tcW w:w="3051" w:type="dxa"/>
            <w:tcBorders>
              <w:top w:val="single" w:sz="4" w:space="0" w:color="auto"/>
              <w:left w:val="nil"/>
              <w:bottom w:val="nil"/>
              <w:right w:val="single" w:sz="4" w:space="0" w:color="000000"/>
            </w:tcBorders>
            <w:shd w:val="clear" w:color="auto" w:fill="auto"/>
            <w:noWrap/>
            <w:vAlign w:val="bottom"/>
          </w:tcPr>
          <w:p w14:paraId="33442E45" w14:textId="77777777" w:rsidR="007F1533" w:rsidRPr="0050374D" w:rsidRDefault="007F1533">
            <w:pPr>
              <w:spacing w:after="0" w:line="240" w:lineRule="auto"/>
              <w:jc w:val="center"/>
              <w:rPr>
                <w:rFonts w:ascii="Arial" w:eastAsia="Times New Roman" w:hAnsi="Arial" w:cs="Arial"/>
                <w:color w:val="000000"/>
                <w:lang w:eastAsia="en-GB"/>
              </w:rPr>
            </w:pPr>
          </w:p>
        </w:tc>
        <w:tc>
          <w:tcPr>
            <w:tcW w:w="2663" w:type="dxa"/>
            <w:tcBorders>
              <w:top w:val="single" w:sz="4" w:space="0" w:color="auto"/>
              <w:left w:val="nil"/>
              <w:bottom w:val="nil"/>
              <w:right w:val="single" w:sz="4" w:space="0" w:color="000000"/>
            </w:tcBorders>
            <w:shd w:val="clear" w:color="auto" w:fill="auto"/>
            <w:noWrap/>
            <w:vAlign w:val="bottom"/>
          </w:tcPr>
          <w:p w14:paraId="59AFDD50" w14:textId="77777777" w:rsidR="007F1533" w:rsidRPr="0050374D" w:rsidRDefault="007F1533">
            <w:pPr>
              <w:spacing w:after="0" w:line="240" w:lineRule="auto"/>
              <w:jc w:val="center"/>
              <w:rPr>
                <w:rFonts w:ascii="Arial" w:eastAsia="Times New Roman" w:hAnsi="Arial" w:cs="Arial"/>
                <w:color w:val="000000"/>
                <w:lang w:eastAsia="en-GB"/>
              </w:rPr>
            </w:pP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4ACA3482"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4A4D2F06"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839</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tcPr>
          <w:p w14:paraId="0E11E42E"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w:t>
            </w:r>
          </w:p>
        </w:tc>
      </w:tr>
      <w:tr w:rsidR="00655EAF" w:rsidRPr="0050374D" w14:paraId="14290204" w14:textId="77777777">
        <w:trPr>
          <w:trHeight w:val="70"/>
        </w:trPr>
        <w:tc>
          <w:tcPr>
            <w:tcW w:w="4380" w:type="dxa"/>
            <w:vMerge w:val="restart"/>
            <w:tcBorders>
              <w:top w:val="nil"/>
              <w:left w:val="single" w:sz="4" w:space="0" w:color="auto"/>
              <w:bottom w:val="single" w:sz="4" w:space="0" w:color="000000"/>
              <w:right w:val="single" w:sz="4" w:space="0" w:color="000000"/>
            </w:tcBorders>
            <w:shd w:val="clear" w:color="auto" w:fill="auto"/>
            <w:hideMark/>
          </w:tcPr>
          <w:p w14:paraId="3955A5C3" w14:textId="77777777" w:rsidR="007F1533" w:rsidRPr="0050374D" w:rsidRDefault="007F1533">
            <w:pPr>
              <w:pStyle w:val="NoSpacing"/>
              <w:rPr>
                <w:rFonts w:ascii="Arial" w:hAnsi="Arial" w:cs="Arial"/>
                <w:lang w:eastAsia="en-GB"/>
              </w:rPr>
            </w:pPr>
            <w:r w:rsidRPr="0050374D">
              <w:rPr>
                <w:rFonts w:ascii="Arial" w:hAnsi="Arial" w:cs="Arial"/>
                <w:lang w:eastAsia="en-GB"/>
              </w:rPr>
              <w:t>Strategy &amp; Change Director</w:t>
            </w:r>
          </w:p>
        </w:tc>
        <w:tc>
          <w:tcPr>
            <w:tcW w:w="3051" w:type="dxa"/>
            <w:tcBorders>
              <w:top w:val="nil"/>
              <w:left w:val="single" w:sz="4" w:space="0" w:color="auto"/>
              <w:bottom w:val="nil"/>
              <w:right w:val="single" w:sz="4" w:space="0" w:color="000000"/>
            </w:tcBorders>
            <w:shd w:val="clear" w:color="auto" w:fill="auto"/>
            <w:noWrap/>
            <w:vAlign w:val="center"/>
          </w:tcPr>
          <w:p w14:paraId="25C50122" w14:textId="77777777" w:rsidR="007F1533" w:rsidRPr="0050374D" w:rsidRDefault="007F1533">
            <w:pPr>
              <w:spacing w:after="0" w:line="240" w:lineRule="auto"/>
              <w:jc w:val="center"/>
              <w:rPr>
                <w:rFonts w:ascii="Arial" w:eastAsia="Times New Roman" w:hAnsi="Arial" w:cs="Arial"/>
                <w:b/>
                <w:color w:val="000000"/>
                <w:lang w:eastAsia="en-GB"/>
              </w:rPr>
            </w:pPr>
            <w:r w:rsidRPr="0050374D">
              <w:rPr>
                <w:rFonts w:ascii="Arial" w:eastAsia="Times New Roman" w:hAnsi="Arial" w:cs="Arial"/>
                <w:b/>
                <w:color w:val="000000"/>
                <w:lang w:eastAsia="en-GB"/>
              </w:rPr>
              <w:t>-</w:t>
            </w:r>
          </w:p>
        </w:tc>
        <w:tc>
          <w:tcPr>
            <w:tcW w:w="2663" w:type="dxa"/>
            <w:tcBorders>
              <w:top w:val="nil"/>
              <w:left w:val="single" w:sz="4" w:space="0" w:color="auto"/>
              <w:bottom w:val="nil"/>
              <w:right w:val="single" w:sz="4" w:space="0" w:color="000000"/>
            </w:tcBorders>
            <w:shd w:val="clear" w:color="auto" w:fill="auto"/>
            <w:noWrap/>
            <w:vAlign w:val="center"/>
          </w:tcPr>
          <w:p w14:paraId="11C94048" w14:textId="77777777" w:rsidR="007F1533" w:rsidRPr="0050374D" w:rsidRDefault="007F1533">
            <w:pPr>
              <w:spacing w:after="0" w:line="240" w:lineRule="auto"/>
              <w:jc w:val="center"/>
              <w:rPr>
                <w:rFonts w:ascii="Arial" w:eastAsia="Times New Roman" w:hAnsi="Arial" w:cs="Arial"/>
                <w:b/>
                <w:color w:val="000000"/>
                <w:lang w:eastAsia="en-GB"/>
              </w:rPr>
            </w:pPr>
            <w:r w:rsidRPr="0050374D">
              <w:rPr>
                <w:rFonts w:ascii="Arial" w:eastAsia="Times New Roman" w:hAnsi="Arial" w:cs="Arial"/>
                <w:b/>
                <w:color w:val="000000"/>
                <w:lang w:eastAsia="en-GB"/>
              </w:rPr>
              <w:t>-</w:t>
            </w:r>
          </w:p>
        </w:tc>
        <w:tc>
          <w:tcPr>
            <w:tcW w:w="1336" w:type="dxa"/>
            <w:vMerge/>
            <w:tcBorders>
              <w:top w:val="nil"/>
              <w:left w:val="single" w:sz="4" w:space="0" w:color="auto"/>
              <w:bottom w:val="single" w:sz="4" w:space="0" w:color="000000"/>
              <w:right w:val="single" w:sz="4" w:space="0" w:color="auto"/>
            </w:tcBorders>
            <w:vAlign w:val="center"/>
          </w:tcPr>
          <w:p w14:paraId="70B3D635" w14:textId="77777777" w:rsidR="007F1533" w:rsidRPr="0050374D" w:rsidRDefault="007F1533">
            <w:pPr>
              <w:pStyle w:val="NoSpacing"/>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vAlign w:val="center"/>
          </w:tcPr>
          <w:p w14:paraId="3E2D971B" w14:textId="77777777" w:rsidR="007F1533" w:rsidRPr="0050374D" w:rsidRDefault="007F1533">
            <w:pPr>
              <w:pStyle w:val="NoSpacing"/>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vAlign w:val="center"/>
          </w:tcPr>
          <w:p w14:paraId="760AB75B" w14:textId="77777777" w:rsidR="007F1533" w:rsidRPr="0050374D" w:rsidRDefault="007F1533">
            <w:pPr>
              <w:pStyle w:val="NoSpacing"/>
              <w:rPr>
                <w:rFonts w:ascii="Arial" w:hAnsi="Arial" w:cs="Arial"/>
                <w:lang w:eastAsia="en-GB"/>
              </w:rPr>
            </w:pPr>
          </w:p>
        </w:tc>
      </w:tr>
      <w:tr w:rsidR="00655EAF" w:rsidRPr="0050374D" w14:paraId="26F19487" w14:textId="77777777">
        <w:trPr>
          <w:trHeight w:val="70"/>
        </w:trPr>
        <w:tc>
          <w:tcPr>
            <w:tcW w:w="4380" w:type="dxa"/>
            <w:vMerge/>
            <w:tcBorders>
              <w:top w:val="nil"/>
              <w:left w:val="single" w:sz="4" w:space="0" w:color="auto"/>
              <w:bottom w:val="single" w:sz="4" w:space="0" w:color="000000"/>
              <w:right w:val="single" w:sz="4" w:space="0" w:color="000000"/>
            </w:tcBorders>
            <w:vAlign w:val="center"/>
            <w:hideMark/>
          </w:tcPr>
          <w:p w14:paraId="043F12EC" w14:textId="77777777" w:rsidR="007F1533" w:rsidRPr="0050374D" w:rsidRDefault="007F1533">
            <w:pPr>
              <w:pStyle w:val="NoSpacing"/>
              <w:rPr>
                <w:rFonts w:ascii="Arial" w:hAnsi="Arial" w:cs="Arial"/>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02C59572" w14:textId="77777777" w:rsidR="007F1533" w:rsidRPr="0050374D" w:rsidRDefault="007F1533">
            <w:pPr>
              <w:spacing w:after="0" w:line="240" w:lineRule="auto"/>
              <w:jc w:val="center"/>
              <w:rPr>
                <w:rFonts w:ascii="Arial" w:eastAsia="Times New Roman" w:hAnsi="Arial" w:cs="Arial"/>
                <w:color w:val="000000"/>
                <w:lang w:eastAsia="en-GB"/>
              </w:rPr>
            </w:pPr>
          </w:p>
        </w:tc>
        <w:tc>
          <w:tcPr>
            <w:tcW w:w="2663" w:type="dxa"/>
            <w:tcBorders>
              <w:top w:val="nil"/>
              <w:left w:val="nil"/>
              <w:bottom w:val="single" w:sz="4" w:space="0" w:color="auto"/>
              <w:right w:val="single" w:sz="4" w:space="0" w:color="000000"/>
            </w:tcBorders>
            <w:shd w:val="clear" w:color="auto" w:fill="auto"/>
            <w:noWrap/>
            <w:vAlign w:val="bottom"/>
          </w:tcPr>
          <w:p w14:paraId="7102E23F" w14:textId="77777777" w:rsidR="007F1533" w:rsidRPr="0050374D" w:rsidRDefault="007F1533">
            <w:pPr>
              <w:spacing w:after="0" w:line="240" w:lineRule="auto"/>
              <w:jc w:val="center"/>
              <w:rPr>
                <w:rFonts w:ascii="Arial" w:eastAsia="Times New Roman" w:hAnsi="Arial" w:cs="Arial"/>
                <w:color w:val="000000"/>
                <w:lang w:eastAsia="en-GB"/>
              </w:rPr>
            </w:pPr>
          </w:p>
        </w:tc>
        <w:tc>
          <w:tcPr>
            <w:tcW w:w="1336" w:type="dxa"/>
            <w:vMerge/>
            <w:tcBorders>
              <w:top w:val="nil"/>
              <w:left w:val="single" w:sz="4" w:space="0" w:color="auto"/>
              <w:bottom w:val="single" w:sz="4" w:space="0" w:color="000000"/>
              <w:right w:val="single" w:sz="4" w:space="0" w:color="auto"/>
            </w:tcBorders>
            <w:vAlign w:val="center"/>
          </w:tcPr>
          <w:p w14:paraId="16AE6EB2" w14:textId="77777777" w:rsidR="007F1533" w:rsidRPr="0050374D" w:rsidRDefault="007F1533">
            <w:pPr>
              <w:pStyle w:val="NoSpacing"/>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vAlign w:val="center"/>
          </w:tcPr>
          <w:p w14:paraId="3CD96B1F" w14:textId="77777777" w:rsidR="007F1533" w:rsidRPr="0050374D" w:rsidRDefault="007F1533">
            <w:pPr>
              <w:pStyle w:val="NoSpacing"/>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vAlign w:val="center"/>
          </w:tcPr>
          <w:p w14:paraId="7BEF5089" w14:textId="77777777" w:rsidR="007F1533" w:rsidRPr="0050374D" w:rsidRDefault="007F1533">
            <w:pPr>
              <w:pStyle w:val="NoSpacing"/>
              <w:rPr>
                <w:rFonts w:ascii="Arial" w:hAnsi="Arial" w:cs="Arial"/>
                <w:lang w:eastAsia="en-GB"/>
              </w:rPr>
            </w:pPr>
          </w:p>
        </w:tc>
      </w:tr>
      <w:tr w:rsidR="00655EAF" w:rsidRPr="0050374D" w14:paraId="756B2985" w14:textId="77777777">
        <w:trPr>
          <w:trHeight w:val="70"/>
        </w:trPr>
        <w:tc>
          <w:tcPr>
            <w:tcW w:w="4380" w:type="dxa"/>
            <w:tcBorders>
              <w:top w:val="single" w:sz="4" w:space="0" w:color="auto"/>
              <w:left w:val="single" w:sz="4" w:space="0" w:color="auto"/>
              <w:bottom w:val="nil"/>
              <w:right w:val="single" w:sz="4" w:space="0" w:color="000000"/>
            </w:tcBorders>
            <w:shd w:val="clear" w:color="auto" w:fill="auto"/>
            <w:noWrap/>
            <w:vAlign w:val="bottom"/>
          </w:tcPr>
          <w:p w14:paraId="1CDBC328" w14:textId="77777777" w:rsidR="007F1533" w:rsidRPr="0050374D" w:rsidRDefault="007F1533">
            <w:pPr>
              <w:pStyle w:val="NoSpacing"/>
              <w:rPr>
                <w:rFonts w:ascii="Arial" w:hAnsi="Arial" w:cs="Arial"/>
                <w:lang w:eastAsia="en-GB"/>
              </w:rPr>
            </w:pPr>
            <w:r w:rsidRPr="0050374D">
              <w:rPr>
                <w:rFonts w:ascii="Arial" w:hAnsi="Arial" w:cs="Arial"/>
                <w:lang w:eastAsia="en-GB"/>
              </w:rPr>
              <w:t>Daniel Goad</w:t>
            </w:r>
          </w:p>
        </w:tc>
        <w:tc>
          <w:tcPr>
            <w:tcW w:w="3051" w:type="dxa"/>
            <w:tcBorders>
              <w:top w:val="single" w:sz="4" w:space="0" w:color="auto"/>
              <w:left w:val="nil"/>
              <w:bottom w:val="nil"/>
              <w:right w:val="single" w:sz="4" w:space="0" w:color="000000"/>
            </w:tcBorders>
            <w:shd w:val="clear" w:color="auto" w:fill="auto"/>
            <w:noWrap/>
            <w:vAlign w:val="bottom"/>
          </w:tcPr>
          <w:p w14:paraId="35DA8D47" w14:textId="77777777" w:rsidR="007F1533" w:rsidRPr="0050374D" w:rsidRDefault="007F1533">
            <w:pPr>
              <w:spacing w:after="0" w:line="240" w:lineRule="auto"/>
              <w:jc w:val="center"/>
              <w:rPr>
                <w:rFonts w:ascii="Arial" w:eastAsia="Times New Roman" w:hAnsi="Arial" w:cs="Arial"/>
                <w:color w:val="000000"/>
                <w:lang w:eastAsia="en-GB"/>
              </w:rPr>
            </w:pPr>
          </w:p>
        </w:tc>
        <w:tc>
          <w:tcPr>
            <w:tcW w:w="2663" w:type="dxa"/>
            <w:tcBorders>
              <w:top w:val="single" w:sz="4" w:space="0" w:color="auto"/>
              <w:left w:val="nil"/>
              <w:bottom w:val="nil"/>
              <w:right w:val="single" w:sz="4" w:space="0" w:color="000000"/>
            </w:tcBorders>
            <w:shd w:val="clear" w:color="auto" w:fill="auto"/>
            <w:noWrap/>
            <w:vAlign w:val="bottom"/>
          </w:tcPr>
          <w:p w14:paraId="1C6ABC08" w14:textId="77777777" w:rsidR="007F1533" w:rsidRPr="0050374D" w:rsidRDefault="007F1533">
            <w:pPr>
              <w:spacing w:after="0" w:line="240" w:lineRule="auto"/>
              <w:jc w:val="center"/>
              <w:rPr>
                <w:rFonts w:ascii="Arial" w:eastAsia="Times New Roman" w:hAnsi="Arial" w:cs="Arial"/>
                <w:color w:val="000000"/>
                <w:lang w:eastAsia="en-GB"/>
              </w:rPr>
            </w:pP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45BC2D36"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5F1F5432"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226</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tcPr>
          <w:p w14:paraId="4FEDEB5D"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w:t>
            </w:r>
          </w:p>
        </w:tc>
      </w:tr>
      <w:tr w:rsidR="00655EAF" w:rsidRPr="0050374D" w14:paraId="4E26E722" w14:textId="77777777">
        <w:trPr>
          <w:trHeight w:val="70"/>
        </w:trPr>
        <w:tc>
          <w:tcPr>
            <w:tcW w:w="4380" w:type="dxa"/>
            <w:vMerge w:val="restart"/>
            <w:tcBorders>
              <w:top w:val="nil"/>
              <w:left w:val="single" w:sz="4" w:space="0" w:color="auto"/>
              <w:bottom w:val="single" w:sz="4" w:space="0" w:color="000000"/>
              <w:right w:val="single" w:sz="4" w:space="0" w:color="000000"/>
            </w:tcBorders>
            <w:shd w:val="clear" w:color="auto" w:fill="auto"/>
          </w:tcPr>
          <w:p w14:paraId="2B24D23F" w14:textId="77777777" w:rsidR="007F1533" w:rsidRPr="0050374D" w:rsidRDefault="007F1533">
            <w:pPr>
              <w:pStyle w:val="NoSpacing"/>
              <w:rPr>
                <w:rFonts w:ascii="Arial" w:hAnsi="Arial" w:cs="Arial"/>
                <w:lang w:eastAsia="en-GB"/>
              </w:rPr>
            </w:pPr>
            <w:r w:rsidRPr="0050374D">
              <w:rPr>
                <w:rFonts w:ascii="Arial" w:hAnsi="Arial" w:cs="Arial"/>
                <w:lang w:eastAsia="en-GB"/>
              </w:rPr>
              <w:t>People &amp; Capability Director</w:t>
            </w:r>
          </w:p>
          <w:p w14:paraId="3EA28956" w14:textId="77777777" w:rsidR="007F1533" w:rsidRPr="0050374D" w:rsidRDefault="007F1533">
            <w:pPr>
              <w:pStyle w:val="NoSpacing"/>
              <w:rPr>
                <w:rFonts w:ascii="Arial" w:hAnsi="Arial" w:cs="Arial"/>
                <w:b/>
                <w:color w:val="FF0000"/>
                <w:lang w:eastAsia="en-GB"/>
              </w:rPr>
            </w:pPr>
          </w:p>
        </w:tc>
        <w:tc>
          <w:tcPr>
            <w:tcW w:w="3051" w:type="dxa"/>
            <w:tcBorders>
              <w:top w:val="nil"/>
              <w:left w:val="single" w:sz="4" w:space="0" w:color="auto"/>
              <w:bottom w:val="nil"/>
              <w:right w:val="single" w:sz="4" w:space="0" w:color="000000"/>
            </w:tcBorders>
            <w:shd w:val="clear" w:color="auto" w:fill="auto"/>
            <w:noWrap/>
            <w:vAlign w:val="center"/>
          </w:tcPr>
          <w:p w14:paraId="7C7B88E5" w14:textId="77777777" w:rsidR="007F1533" w:rsidRPr="0050374D" w:rsidRDefault="007F1533">
            <w:pPr>
              <w:spacing w:after="0" w:line="240" w:lineRule="auto"/>
              <w:jc w:val="center"/>
              <w:rPr>
                <w:rFonts w:ascii="Arial" w:eastAsia="Times New Roman" w:hAnsi="Arial" w:cs="Arial"/>
                <w:bCs/>
                <w:color w:val="000000"/>
                <w:lang w:eastAsia="en-GB"/>
              </w:rPr>
            </w:pPr>
            <w:r w:rsidRPr="0050374D">
              <w:rPr>
                <w:rFonts w:ascii="Arial" w:eastAsia="Times New Roman" w:hAnsi="Arial" w:cs="Arial"/>
                <w:bCs/>
                <w:color w:val="000000"/>
                <w:lang w:eastAsia="en-GB"/>
              </w:rPr>
              <w:t>-</w:t>
            </w:r>
          </w:p>
        </w:tc>
        <w:tc>
          <w:tcPr>
            <w:tcW w:w="2663" w:type="dxa"/>
            <w:tcBorders>
              <w:top w:val="nil"/>
              <w:left w:val="single" w:sz="4" w:space="0" w:color="auto"/>
              <w:bottom w:val="nil"/>
              <w:right w:val="single" w:sz="4" w:space="0" w:color="000000"/>
            </w:tcBorders>
            <w:shd w:val="clear" w:color="auto" w:fill="auto"/>
            <w:noWrap/>
            <w:vAlign w:val="center"/>
          </w:tcPr>
          <w:p w14:paraId="2A3FC589" w14:textId="77777777" w:rsidR="007F1533" w:rsidRPr="0050374D" w:rsidRDefault="007F1533">
            <w:pPr>
              <w:spacing w:after="0" w:line="240" w:lineRule="auto"/>
              <w:jc w:val="center"/>
              <w:rPr>
                <w:rFonts w:ascii="Arial" w:eastAsia="Times New Roman" w:hAnsi="Arial" w:cs="Arial"/>
                <w:b/>
                <w:color w:val="000000"/>
                <w:lang w:eastAsia="en-GB"/>
              </w:rPr>
            </w:pPr>
            <w:r w:rsidRPr="0050374D">
              <w:rPr>
                <w:rFonts w:ascii="Arial" w:eastAsia="Times New Roman" w:hAnsi="Arial" w:cs="Arial"/>
                <w:b/>
                <w:color w:val="000000"/>
                <w:lang w:eastAsia="en-GB"/>
              </w:rPr>
              <w:t>-</w:t>
            </w:r>
          </w:p>
        </w:tc>
        <w:tc>
          <w:tcPr>
            <w:tcW w:w="1336" w:type="dxa"/>
            <w:vMerge/>
            <w:tcBorders>
              <w:top w:val="nil"/>
              <w:left w:val="single" w:sz="4" w:space="0" w:color="auto"/>
              <w:bottom w:val="single" w:sz="4" w:space="0" w:color="000000"/>
              <w:right w:val="single" w:sz="4" w:space="0" w:color="auto"/>
            </w:tcBorders>
            <w:vAlign w:val="center"/>
          </w:tcPr>
          <w:p w14:paraId="6B89D47C" w14:textId="77777777" w:rsidR="007F1533" w:rsidRPr="0050374D" w:rsidRDefault="007F1533">
            <w:pPr>
              <w:pStyle w:val="NoSpacing"/>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vAlign w:val="center"/>
          </w:tcPr>
          <w:p w14:paraId="21A99056" w14:textId="77777777" w:rsidR="007F1533" w:rsidRPr="0050374D" w:rsidRDefault="007F1533">
            <w:pPr>
              <w:pStyle w:val="NoSpacing"/>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vAlign w:val="center"/>
          </w:tcPr>
          <w:p w14:paraId="0112ED51" w14:textId="77777777" w:rsidR="007F1533" w:rsidRPr="0050374D" w:rsidRDefault="007F1533">
            <w:pPr>
              <w:pStyle w:val="NoSpacing"/>
              <w:rPr>
                <w:rFonts w:ascii="Arial" w:hAnsi="Arial" w:cs="Arial"/>
                <w:lang w:eastAsia="en-GB"/>
              </w:rPr>
            </w:pPr>
          </w:p>
        </w:tc>
      </w:tr>
      <w:tr w:rsidR="00655EAF" w:rsidRPr="0050374D" w14:paraId="309E190A" w14:textId="77777777">
        <w:trPr>
          <w:trHeight w:val="70"/>
        </w:trPr>
        <w:tc>
          <w:tcPr>
            <w:tcW w:w="4380" w:type="dxa"/>
            <w:vMerge/>
            <w:tcBorders>
              <w:top w:val="nil"/>
              <w:left w:val="single" w:sz="4" w:space="0" w:color="auto"/>
              <w:bottom w:val="single" w:sz="4" w:space="0" w:color="000000"/>
              <w:right w:val="single" w:sz="4" w:space="0" w:color="000000"/>
            </w:tcBorders>
            <w:vAlign w:val="center"/>
          </w:tcPr>
          <w:p w14:paraId="457DF1B9" w14:textId="77777777" w:rsidR="007F1533" w:rsidRPr="0050374D" w:rsidRDefault="007F1533">
            <w:pPr>
              <w:pStyle w:val="NoSpacing"/>
              <w:rPr>
                <w:rFonts w:ascii="Arial" w:hAnsi="Arial" w:cs="Arial"/>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0BAF1A81" w14:textId="77777777" w:rsidR="007F1533" w:rsidRPr="0050374D" w:rsidRDefault="007F1533">
            <w:pPr>
              <w:spacing w:after="0" w:line="240" w:lineRule="auto"/>
              <w:jc w:val="center"/>
              <w:rPr>
                <w:rFonts w:ascii="Arial" w:eastAsia="Times New Roman" w:hAnsi="Arial" w:cs="Arial"/>
                <w:color w:val="000000"/>
                <w:lang w:eastAsia="en-GB"/>
              </w:rPr>
            </w:pPr>
          </w:p>
        </w:tc>
        <w:tc>
          <w:tcPr>
            <w:tcW w:w="2663" w:type="dxa"/>
            <w:tcBorders>
              <w:top w:val="nil"/>
              <w:left w:val="nil"/>
              <w:bottom w:val="single" w:sz="4" w:space="0" w:color="auto"/>
              <w:right w:val="single" w:sz="4" w:space="0" w:color="000000"/>
            </w:tcBorders>
            <w:shd w:val="clear" w:color="auto" w:fill="auto"/>
            <w:noWrap/>
            <w:vAlign w:val="bottom"/>
          </w:tcPr>
          <w:p w14:paraId="5798879A" w14:textId="77777777" w:rsidR="007F1533" w:rsidRPr="0050374D" w:rsidRDefault="007F1533">
            <w:pPr>
              <w:spacing w:after="0" w:line="240" w:lineRule="auto"/>
              <w:jc w:val="center"/>
              <w:rPr>
                <w:rFonts w:ascii="Arial" w:eastAsia="Times New Roman" w:hAnsi="Arial" w:cs="Arial"/>
                <w:color w:val="000000"/>
                <w:lang w:eastAsia="en-GB"/>
              </w:rPr>
            </w:pPr>
          </w:p>
        </w:tc>
        <w:tc>
          <w:tcPr>
            <w:tcW w:w="1336" w:type="dxa"/>
            <w:vMerge/>
            <w:tcBorders>
              <w:top w:val="nil"/>
              <w:left w:val="single" w:sz="4" w:space="0" w:color="auto"/>
              <w:bottom w:val="single" w:sz="4" w:space="0" w:color="000000"/>
              <w:right w:val="single" w:sz="4" w:space="0" w:color="auto"/>
            </w:tcBorders>
            <w:vAlign w:val="center"/>
          </w:tcPr>
          <w:p w14:paraId="1196F664" w14:textId="77777777" w:rsidR="007F1533" w:rsidRPr="0050374D" w:rsidRDefault="007F1533">
            <w:pPr>
              <w:pStyle w:val="NoSpacing"/>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vAlign w:val="center"/>
          </w:tcPr>
          <w:p w14:paraId="67770CD4" w14:textId="77777777" w:rsidR="007F1533" w:rsidRPr="0050374D" w:rsidRDefault="007F1533">
            <w:pPr>
              <w:pStyle w:val="NoSpacing"/>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vAlign w:val="center"/>
          </w:tcPr>
          <w:p w14:paraId="5D340B30" w14:textId="77777777" w:rsidR="007F1533" w:rsidRPr="0050374D" w:rsidRDefault="007F1533">
            <w:pPr>
              <w:pStyle w:val="NoSpacing"/>
              <w:rPr>
                <w:rFonts w:ascii="Arial" w:hAnsi="Arial" w:cs="Arial"/>
                <w:lang w:eastAsia="en-GB"/>
              </w:rPr>
            </w:pPr>
          </w:p>
        </w:tc>
      </w:tr>
      <w:tr w:rsidR="00655EAF" w:rsidRPr="0050374D" w14:paraId="61A30014" w14:textId="77777777">
        <w:trPr>
          <w:trHeight w:val="70"/>
        </w:trPr>
        <w:tc>
          <w:tcPr>
            <w:tcW w:w="4380" w:type="dxa"/>
            <w:tcBorders>
              <w:top w:val="single" w:sz="4" w:space="0" w:color="auto"/>
              <w:left w:val="single" w:sz="4" w:space="0" w:color="auto"/>
              <w:bottom w:val="nil"/>
              <w:right w:val="single" w:sz="4" w:space="0" w:color="000000"/>
            </w:tcBorders>
            <w:shd w:val="clear" w:color="auto" w:fill="auto"/>
            <w:noWrap/>
            <w:vAlign w:val="bottom"/>
          </w:tcPr>
          <w:p w14:paraId="3C335DFD" w14:textId="77777777" w:rsidR="007F1533" w:rsidRPr="0050374D" w:rsidRDefault="007F1533">
            <w:pPr>
              <w:pStyle w:val="NoSpacing"/>
              <w:rPr>
                <w:rFonts w:ascii="Arial" w:hAnsi="Arial" w:cs="Arial"/>
                <w:lang w:eastAsia="en-GB"/>
              </w:rPr>
            </w:pPr>
            <w:r w:rsidRPr="0050374D">
              <w:rPr>
                <w:rFonts w:ascii="Arial" w:hAnsi="Arial" w:cs="Arial"/>
                <w:lang w:eastAsia="en-GB"/>
              </w:rPr>
              <w:t>Christopher Pleass</w:t>
            </w:r>
          </w:p>
        </w:tc>
        <w:tc>
          <w:tcPr>
            <w:tcW w:w="3051" w:type="dxa"/>
            <w:tcBorders>
              <w:top w:val="single" w:sz="4" w:space="0" w:color="auto"/>
              <w:left w:val="nil"/>
              <w:bottom w:val="nil"/>
              <w:right w:val="single" w:sz="4" w:space="0" w:color="000000"/>
            </w:tcBorders>
            <w:shd w:val="clear" w:color="auto" w:fill="auto"/>
            <w:noWrap/>
            <w:vAlign w:val="bottom"/>
          </w:tcPr>
          <w:p w14:paraId="19A98615" w14:textId="77777777" w:rsidR="007F1533" w:rsidRPr="0050374D" w:rsidRDefault="007F1533">
            <w:pPr>
              <w:spacing w:after="0" w:line="240" w:lineRule="auto"/>
              <w:jc w:val="center"/>
              <w:rPr>
                <w:rFonts w:ascii="Arial" w:eastAsia="Times New Roman" w:hAnsi="Arial" w:cs="Arial"/>
                <w:color w:val="000000"/>
                <w:lang w:eastAsia="en-GB"/>
              </w:rPr>
            </w:pPr>
          </w:p>
        </w:tc>
        <w:tc>
          <w:tcPr>
            <w:tcW w:w="2663" w:type="dxa"/>
            <w:tcBorders>
              <w:top w:val="single" w:sz="4" w:space="0" w:color="auto"/>
              <w:left w:val="nil"/>
              <w:bottom w:val="nil"/>
              <w:right w:val="single" w:sz="4" w:space="0" w:color="000000"/>
            </w:tcBorders>
            <w:shd w:val="clear" w:color="auto" w:fill="auto"/>
            <w:noWrap/>
            <w:vAlign w:val="bottom"/>
          </w:tcPr>
          <w:p w14:paraId="17899EEF" w14:textId="77777777" w:rsidR="007F1533" w:rsidRPr="0050374D" w:rsidRDefault="007F1533">
            <w:pPr>
              <w:spacing w:after="0" w:line="240" w:lineRule="auto"/>
              <w:jc w:val="center"/>
              <w:rPr>
                <w:rFonts w:ascii="Arial" w:eastAsia="Times New Roman" w:hAnsi="Arial" w:cs="Arial"/>
                <w:color w:val="000000"/>
                <w:lang w:eastAsia="en-GB"/>
              </w:rPr>
            </w:pP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15A2FF5C"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292B194E"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543</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tcPr>
          <w:p w14:paraId="7576979B"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w:t>
            </w:r>
          </w:p>
        </w:tc>
      </w:tr>
      <w:tr w:rsidR="00655EAF" w:rsidRPr="0050374D" w14:paraId="0C05EE4D" w14:textId="77777777">
        <w:trPr>
          <w:trHeight w:val="131"/>
        </w:trPr>
        <w:tc>
          <w:tcPr>
            <w:tcW w:w="4380" w:type="dxa"/>
            <w:vMerge w:val="restart"/>
            <w:tcBorders>
              <w:top w:val="nil"/>
              <w:left w:val="single" w:sz="4" w:space="0" w:color="auto"/>
              <w:bottom w:val="single" w:sz="4" w:space="0" w:color="000000"/>
              <w:right w:val="single" w:sz="4" w:space="0" w:color="000000"/>
            </w:tcBorders>
            <w:shd w:val="clear" w:color="auto" w:fill="auto"/>
          </w:tcPr>
          <w:p w14:paraId="4546F953" w14:textId="77777777" w:rsidR="007F1533" w:rsidRPr="0050374D" w:rsidRDefault="007F1533">
            <w:pPr>
              <w:pStyle w:val="NoSpacing"/>
              <w:rPr>
                <w:rFonts w:ascii="Arial" w:hAnsi="Arial" w:cs="Arial"/>
                <w:lang w:eastAsia="en-GB"/>
              </w:rPr>
            </w:pPr>
            <w:r w:rsidRPr="0050374D">
              <w:rPr>
                <w:rFonts w:ascii="Arial" w:hAnsi="Arial" w:cs="Arial"/>
                <w:lang w:eastAsia="en-GB"/>
              </w:rPr>
              <w:t xml:space="preserve">Finance &amp; Commercial Director          </w:t>
            </w:r>
          </w:p>
        </w:tc>
        <w:tc>
          <w:tcPr>
            <w:tcW w:w="3051" w:type="dxa"/>
            <w:tcBorders>
              <w:top w:val="nil"/>
              <w:left w:val="single" w:sz="4" w:space="0" w:color="auto"/>
              <w:bottom w:val="nil"/>
              <w:right w:val="single" w:sz="4" w:space="0" w:color="000000"/>
            </w:tcBorders>
            <w:shd w:val="clear" w:color="auto" w:fill="auto"/>
            <w:noWrap/>
            <w:vAlign w:val="center"/>
          </w:tcPr>
          <w:p w14:paraId="4ED7BADF" w14:textId="77777777" w:rsidR="007F1533" w:rsidRPr="0050374D" w:rsidRDefault="007F1533">
            <w:pPr>
              <w:spacing w:after="0" w:line="240" w:lineRule="auto"/>
              <w:jc w:val="center"/>
              <w:rPr>
                <w:rFonts w:ascii="Arial" w:eastAsia="Times New Roman" w:hAnsi="Arial" w:cs="Arial"/>
                <w:b/>
                <w:color w:val="000000"/>
                <w:lang w:eastAsia="en-GB"/>
              </w:rPr>
            </w:pPr>
            <w:r w:rsidRPr="0050374D">
              <w:rPr>
                <w:rFonts w:ascii="Arial" w:eastAsia="Times New Roman" w:hAnsi="Arial" w:cs="Arial"/>
                <w:b/>
                <w:color w:val="000000"/>
                <w:lang w:eastAsia="en-GB"/>
              </w:rPr>
              <w:t>-</w:t>
            </w:r>
          </w:p>
        </w:tc>
        <w:tc>
          <w:tcPr>
            <w:tcW w:w="2663" w:type="dxa"/>
            <w:tcBorders>
              <w:top w:val="nil"/>
              <w:left w:val="single" w:sz="4" w:space="0" w:color="auto"/>
              <w:bottom w:val="nil"/>
              <w:right w:val="single" w:sz="4" w:space="0" w:color="000000"/>
            </w:tcBorders>
            <w:shd w:val="clear" w:color="auto" w:fill="auto"/>
            <w:noWrap/>
            <w:vAlign w:val="center"/>
          </w:tcPr>
          <w:p w14:paraId="4528CF0F" w14:textId="77777777" w:rsidR="007F1533" w:rsidRPr="0050374D" w:rsidRDefault="007F1533">
            <w:pPr>
              <w:spacing w:after="0" w:line="240" w:lineRule="auto"/>
              <w:jc w:val="center"/>
              <w:rPr>
                <w:rFonts w:ascii="Arial" w:eastAsia="Times New Roman" w:hAnsi="Arial" w:cs="Arial"/>
                <w:b/>
                <w:color w:val="000000"/>
                <w:lang w:eastAsia="en-GB"/>
              </w:rPr>
            </w:pPr>
            <w:r w:rsidRPr="0050374D">
              <w:rPr>
                <w:rFonts w:ascii="Arial" w:eastAsia="Times New Roman" w:hAnsi="Arial" w:cs="Arial"/>
                <w:b/>
                <w:color w:val="000000"/>
                <w:lang w:eastAsia="en-GB"/>
              </w:rPr>
              <w:t>-</w:t>
            </w:r>
          </w:p>
        </w:tc>
        <w:tc>
          <w:tcPr>
            <w:tcW w:w="1336" w:type="dxa"/>
            <w:vMerge/>
            <w:tcBorders>
              <w:top w:val="nil"/>
              <w:left w:val="single" w:sz="4" w:space="0" w:color="auto"/>
              <w:bottom w:val="single" w:sz="4" w:space="0" w:color="000000"/>
              <w:right w:val="single" w:sz="4" w:space="0" w:color="auto"/>
            </w:tcBorders>
            <w:vAlign w:val="center"/>
          </w:tcPr>
          <w:p w14:paraId="499C4851" w14:textId="77777777" w:rsidR="007F1533" w:rsidRPr="0050374D" w:rsidRDefault="007F1533">
            <w:pPr>
              <w:pStyle w:val="NoSpacing"/>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shd w:val="clear" w:color="auto" w:fill="auto"/>
            <w:vAlign w:val="center"/>
          </w:tcPr>
          <w:p w14:paraId="0B8F2B6A" w14:textId="77777777" w:rsidR="007F1533" w:rsidRPr="0050374D" w:rsidRDefault="007F1533">
            <w:pPr>
              <w:pStyle w:val="NoSpacing"/>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shd w:val="clear" w:color="auto" w:fill="auto"/>
            <w:vAlign w:val="center"/>
          </w:tcPr>
          <w:p w14:paraId="0E8128C6" w14:textId="77777777" w:rsidR="007F1533" w:rsidRPr="0050374D" w:rsidRDefault="007F1533">
            <w:pPr>
              <w:pStyle w:val="NoSpacing"/>
              <w:rPr>
                <w:rFonts w:ascii="Arial" w:hAnsi="Arial" w:cs="Arial"/>
                <w:lang w:eastAsia="en-GB"/>
              </w:rPr>
            </w:pPr>
          </w:p>
        </w:tc>
      </w:tr>
      <w:tr w:rsidR="00923AF1" w:rsidRPr="0050374D" w14:paraId="6CBDCFC0" w14:textId="77777777">
        <w:trPr>
          <w:trHeight w:val="70"/>
        </w:trPr>
        <w:tc>
          <w:tcPr>
            <w:tcW w:w="4380" w:type="dxa"/>
            <w:vMerge/>
            <w:tcBorders>
              <w:top w:val="nil"/>
              <w:left w:val="single" w:sz="4" w:space="0" w:color="auto"/>
              <w:bottom w:val="single" w:sz="4" w:space="0" w:color="000000"/>
              <w:right w:val="single" w:sz="4" w:space="0" w:color="000000"/>
            </w:tcBorders>
            <w:vAlign w:val="center"/>
          </w:tcPr>
          <w:p w14:paraId="5A93C68E" w14:textId="77777777" w:rsidR="007F1533" w:rsidRPr="0050374D" w:rsidRDefault="007F1533">
            <w:pPr>
              <w:pStyle w:val="NoSpacing"/>
              <w:rPr>
                <w:rFonts w:ascii="Arial" w:hAnsi="Arial" w:cs="Arial"/>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72351378" w14:textId="77777777" w:rsidR="007F1533" w:rsidRPr="0050374D" w:rsidRDefault="007F1533">
            <w:pPr>
              <w:spacing w:after="0" w:line="240" w:lineRule="auto"/>
              <w:jc w:val="center"/>
              <w:rPr>
                <w:rFonts w:ascii="Arial" w:eastAsia="Times New Roman" w:hAnsi="Arial" w:cs="Arial"/>
                <w:color w:val="000000"/>
                <w:lang w:eastAsia="en-GB"/>
              </w:rPr>
            </w:pPr>
          </w:p>
        </w:tc>
        <w:tc>
          <w:tcPr>
            <w:tcW w:w="2663" w:type="dxa"/>
            <w:tcBorders>
              <w:top w:val="nil"/>
              <w:left w:val="nil"/>
              <w:bottom w:val="single" w:sz="4" w:space="0" w:color="auto"/>
              <w:right w:val="nil"/>
            </w:tcBorders>
            <w:shd w:val="clear" w:color="auto" w:fill="auto"/>
            <w:noWrap/>
            <w:vAlign w:val="bottom"/>
          </w:tcPr>
          <w:p w14:paraId="7938D348" w14:textId="77777777" w:rsidR="007F1533" w:rsidRPr="0050374D" w:rsidRDefault="007F1533">
            <w:pPr>
              <w:spacing w:after="0" w:line="240" w:lineRule="auto"/>
              <w:jc w:val="center"/>
              <w:rPr>
                <w:rFonts w:ascii="Arial" w:eastAsia="Times New Roman" w:hAnsi="Arial" w:cs="Arial"/>
                <w:color w:val="000000"/>
                <w:lang w:eastAsia="en-GB"/>
              </w:rPr>
            </w:pPr>
          </w:p>
        </w:tc>
        <w:tc>
          <w:tcPr>
            <w:tcW w:w="1336" w:type="dxa"/>
            <w:vMerge/>
            <w:tcBorders>
              <w:top w:val="nil"/>
              <w:left w:val="single" w:sz="4" w:space="0" w:color="auto"/>
              <w:bottom w:val="single" w:sz="4" w:space="0" w:color="000000"/>
              <w:right w:val="single" w:sz="4" w:space="0" w:color="auto"/>
            </w:tcBorders>
            <w:vAlign w:val="center"/>
          </w:tcPr>
          <w:p w14:paraId="140E788E" w14:textId="77777777" w:rsidR="007F1533" w:rsidRPr="0050374D" w:rsidRDefault="007F1533">
            <w:pPr>
              <w:pStyle w:val="NoSpacing"/>
              <w:rPr>
                <w:rFonts w:ascii="Arial" w:hAnsi="Arial" w:cs="Arial"/>
                <w:lang w:eastAsia="en-GB"/>
              </w:rPr>
            </w:pPr>
          </w:p>
        </w:tc>
        <w:tc>
          <w:tcPr>
            <w:tcW w:w="1336" w:type="dxa"/>
            <w:vMerge/>
            <w:tcBorders>
              <w:top w:val="nil"/>
              <w:left w:val="single" w:sz="4" w:space="0" w:color="auto"/>
              <w:bottom w:val="single" w:sz="4" w:space="0" w:color="000000"/>
              <w:right w:val="single" w:sz="4" w:space="0" w:color="auto"/>
            </w:tcBorders>
            <w:shd w:val="clear" w:color="auto" w:fill="auto"/>
            <w:vAlign w:val="center"/>
          </w:tcPr>
          <w:p w14:paraId="0A339BC2" w14:textId="77777777" w:rsidR="007F1533" w:rsidRPr="0050374D" w:rsidRDefault="007F1533">
            <w:pPr>
              <w:pStyle w:val="NoSpacing"/>
              <w:rPr>
                <w:rFonts w:ascii="Arial" w:hAnsi="Arial" w:cs="Arial"/>
                <w:lang w:eastAsia="en-GB"/>
              </w:rPr>
            </w:pPr>
          </w:p>
        </w:tc>
        <w:tc>
          <w:tcPr>
            <w:tcW w:w="1355" w:type="dxa"/>
            <w:vMerge/>
            <w:tcBorders>
              <w:top w:val="nil"/>
              <w:left w:val="single" w:sz="4" w:space="0" w:color="auto"/>
              <w:bottom w:val="single" w:sz="4" w:space="0" w:color="000000"/>
              <w:right w:val="single" w:sz="4" w:space="0" w:color="auto"/>
            </w:tcBorders>
            <w:shd w:val="clear" w:color="auto" w:fill="auto"/>
            <w:vAlign w:val="center"/>
          </w:tcPr>
          <w:p w14:paraId="78EB0F7B" w14:textId="77777777" w:rsidR="007F1533" w:rsidRPr="0050374D" w:rsidRDefault="007F1533">
            <w:pPr>
              <w:pStyle w:val="NoSpacing"/>
              <w:rPr>
                <w:rFonts w:ascii="Arial" w:hAnsi="Arial" w:cs="Arial"/>
                <w:lang w:eastAsia="en-GB"/>
              </w:rPr>
            </w:pPr>
          </w:p>
        </w:tc>
      </w:tr>
      <w:tr w:rsidR="007F1533" w:rsidRPr="0050374D" w14:paraId="3687D7C3" w14:textId="77777777">
        <w:trPr>
          <w:trHeight w:val="113"/>
        </w:trPr>
        <w:tc>
          <w:tcPr>
            <w:tcW w:w="4380" w:type="dxa"/>
            <w:tcBorders>
              <w:top w:val="single" w:sz="4" w:space="0" w:color="auto"/>
              <w:left w:val="single" w:sz="4" w:space="0" w:color="auto"/>
              <w:right w:val="single" w:sz="4" w:space="0" w:color="auto"/>
            </w:tcBorders>
            <w:vAlign w:val="center"/>
          </w:tcPr>
          <w:p w14:paraId="48D7F282" w14:textId="77777777" w:rsidR="007F1533" w:rsidRPr="0050374D" w:rsidRDefault="007F1533">
            <w:pPr>
              <w:pStyle w:val="NoSpacing"/>
              <w:rPr>
                <w:rFonts w:ascii="Arial" w:hAnsi="Arial" w:cs="Arial"/>
                <w:lang w:eastAsia="en-GB"/>
              </w:rPr>
            </w:pPr>
            <w:r w:rsidRPr="0050374D">
              <w:rPr>
                <w:rFonts w:ascii="Arial" w:hAnsi="Arial" w:cs="Arial"/>
                <w:lang w:eastAsia="en-GB"/>
              </w:rPr>
              <w:t>Dean Beale</w:t>
            </w:r>
          </w:p>
        </w:tc>
        <w:tc>
          <w:tcPr>
            <w:tcW w:w="3051" w:type="dxa"/>
            <w:tcBorders>
              <w:top w:val="single" w:sz="4" w:space="0" w:color="auto"/>
              <w:left w:val="single" w:sz="4" w:space="0" w:color="auto"/>
              <w:right w:val="single" w:sz="4" w:space="0" w:color="000000"/>
            </w:tcBorders>
            <w:shd w:val="clear" w:color="auto" w:fill="auto"/>
            <w:noWrap/>
            <w:vAlign w:val="bottom"/>
          </w:tcPr>
          <w:p w14:paraId="1F7F4583" w14:textId="77777777" w:rsidR="007F1533" w:rsidRPr="0050374D" w:rsidRDefault="007F1533">
            <w:pPr>
              <w:spacing w:after="0" w:line="240" w:lineRule="auto"/>
              <w:jc w:val="center"/>
              <w:rPr>
                <w:rFonts w:ascii="Arial" w:eastAsia="Times New Roman" w:hAnsi="Arial" w:cs="Arial"/>
                <w:color w:val="000000"/>
                <w:lang w:eastAsia="en-GB"/>
              </w:rPr>
            </w:pPr>
          </w:p>
        </w:tc>
        <w:tc>
          <w:tcPr>
            <w:tcW w:w="2663" w:type="dxa"/>
            <w:vMerge w:val="restart"/>
            <w:tcBorders>
              <w:top w:val="single" w:sz="4" w:space="0" w:color="auto"/>
              <w:left w:val="nil"/>
              <w:right w:val="nil"/>
            </w:tcBorders>
            <w:shd w:val="clear" w:color="auto" w:fill="auto"/>
            <w:noWrap/>
            <w:vAlign w:val="bottom"/>
          </w:tcPr>
          <w:p w14:paraId="709A75B9" w14:textId="77777777" w:rsidR="007F1533" w:rsidRPr="0050374D" w:rsidRDefault="007F1533">
            <w:pPr>
              <w:spacing w:after="0" w:line="240" w:lineRule="auto"/>
              <w:rPr>
                <w:rFonts w:ascii="Arial" w:eastAsia="Times New Roman" w:hAnsi="Arial" w:cs="Arial"/>
                <w:bCs/>
                <w:color w:val="000000"/>
                <w:lang w:eastAsia="en-GB"/>
              </w:rPr>
            </w:pPr>
          </w:p>
          <w:p w14:paraId="70A330D1" w14:textId="77777777" w:rsidR="007F1533" w:rsidRPr="0050374D" w:rsidRDefault="007F1533">
            <w:pPr>
              <w:spacing w:after="0" w:line="240" w:lineRule="auto"/>
              <w:jc w:val="center"/>
              <w:rPr>
                <w:rFonts w:ascii="Arial" w:eastAsia="Times New Roman" w:hAnsi="Arial" w:cs="Arial"/>
                <w:bCs/>
                <w:color w:val="000000"/>
                <w:u w:val="single"/>
                <w:lang w:eastAsia="en-GB"/>
              </w:rPr>
            </w:pPr>
            <w:r w:rsidRPr="0050374D">
              <w:rPr>
                <w:rFonts w:ascii="Arial" w:eastAsia="Times New Roman" w:hAnsi="Arial" w:cs="Arial"/>
                <w:b/>
                <w:color w:val="000000"/>
                <w:lang w:eastAsia="en-GB"/>
              </w:rPr>
              <w:t>-</w:t>
            </w:r>
          </w:p>
          <w:p w14:paraId="3F94B072" w14:textId="77777777" w:rsidR="007F1533" w:rsidRPr="0050374D" w:rsidRDefault="007F1533">
            <w:pPr>
              <w:spacing w:after="0" w:line="240" w:lineRule="auto"/>
              <w:rPr>
                <w:rFonts w:ascii="Arial" w:eastAsia="Times New Roman" w:hAnsi="Arial" w:cs="Arial"/>
                <w:bCs/>
                <w:color w:val="000000"/>
                <w:lang w:eastAsia="en-GB"/>
              </w:rPr>
            </w:pPr>
          </w:p>
        </w:tc>
        <w:tc>
          <w:tcPr>
            <w:tcW w:w="1336" w:type="dxa"/>
            <w:vMerge w:val="restart"/>
            <w:tcBorders>
              <w:top w:val="single" w:sz="4" w:space="0" w:color="auto"/>
              <w:left w:val="single" w:sz="4" w:space="0" w:color="auto"/>
              <w:right w:val="single" w:sz="4" w:space="0" w:color="auto"/>
            </w:tcBorders>
            <w:vAlign w:val="center"/>
          </w:tcPr>
          <w:p w14:paraId="4641DC42"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w:t>
            </w:r>
          </w:p>
        </w:tc>
        <w:tc>
          <w:tcPr>
            <w:tcW w:w="1336" w:type="dxa"/>
            <w:vMerge w:val="restart"/>
            <w:tcBorders>
              <w:top w:val="single" w:sz="4" w:space="0" w:color="auto"/>
              <w:left w:val="single" w:sz="4" w:space="0" w:color="auto"/>
              <w:right w:val="single" w:sz="4" w:space="0" w:color="auto"/>
            </w:tcBorders>
            <w:vAlign w:val="center"/>
          </w:tcPr>
          <w:p w14:paraId="67AB9775"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803</w:t>
            </w:r>
          </w:p>
        </w:tc>
        <w:tc>
          <w:tcPr>
            <w:tcW w:w="1355" w:type="dxa"/>
            <w:vMerge w:val="restart"/>
            <w:tcBorders>
              <w:top w:val="single" w:sz="4" w:space="0" w:color="auto"/>
              <w:left w:val="single" w:sz="4" w:space="0" w:color="auto"/>
              <w:right w:val="single" w:sz="4" w:space="0" w:color="auto"/>
            </w:tcBorders>
            <w:vAlign w:val="center"/>
          </w:tcPr>
          <w:p w14:paraId="3CDE4848" w14:textId="77777777" w:rsidR="007F1533" w:rsidRPr="0050374D" w:rsidRDefault="007F1533">
            <w:pPr>
              <w:spacing w:after="0" w:line="240" w:lineRule="auto"/>
              <w:jc w:val="center"/>
              <w:rPr>
                <w:rFonts w:ascii="Arial" w:eastAsia="Times New Roman" w:hAnsi="Arial" w:cs="Arial"/>
                <w:color w:val="000000"/>
                <w:lang w:eastAsia="en-GB"/>
              </w:rPr>
            </w:pPr>
            <w:r w:rsidRPr="0050374D">
              <w:rPr>
                <w:rFonts w:ascii="Arial" w:eastAsia="Times New Roman" w:hAnsi="Arial" w:cs="Arial"/>
                <w:color w:val="000000"/>
                <w:lang w:eastAsia="en-GB"/>
              </w:rPr>
              <w:t>-</w:t>
            </w:r>
          </w:p>
        </w:tc>
      </w:tr>
      <w:tr w:rsidR="007F1533" w:rsidRPr="0050374D" w14:paraId="1A24A741" w14:textId="77777777">
        <w:trPr>
          <w:trHeight w:val="189"/>
        </w:trPr>
        <w:tc>
          <w:tcPr>
            <w:tcW w:w="4380" w:type="dxa"/>
            <w:tcBorders>
              <w:left w:val="single" w:sz="4" w:space="0" w:color="auto"/>
              <w:right w:val="single" w:sz="4" w:space="0" w:color="auto"/>
            </w:tcBorders>
            <w:vAlign w:val="center"/>
          </w:tcPr>
          <w:p w14:paraId="146D1302" w14:textId="77777777" w:rsidR="007F1533" w:rsidRPr="0050374D" w:rsidRDefault="007F1533">
            <w:pPr>
              <w:pStyle w:val="NoSpacing"/>
              <w:rPr>
                <w:rFonts w:ascii="Arial" w:hAnsi="Arial" w:cs="Arial"/>
                <w:lang w:eastAsia="en-GB"/>
              </w:rPr>
            </w:pPr>
            <w:r w:rsidRPr="0050374D">
              <w:rPr>
                <w:rFonts w:ascii="Arial" w:hAnsi="Arial" w:cs="Arial"/>
                <w:lang w:eastAsia="en-GB"/>
              </w:rPr>
              <w:t>Chief Executive</w:t>
            </w:r>
          </w:p>
        </w:tc>
        <w:tc>
          <w:tcPr>
            <w:tcW w:w="3051" w:type="dxa"/>
            <w:tcBorders>
              <w:left w:val="single" w:sz="4" w:space="0" w:color="auto"/>
              <w:right w:val="single" w:sz="4" w:space="0" w:color="000000"/>
            </w:tcBorders>
            <w:shd w:val="clear" w:color="auto" w:fill="auto"/>
            <w:noWrap/>
            <w:vAlign w:val="center"/>
          </w:tcPr>
          <w:p w14:paraId="377EEBEC" w14:textId="77777777" w:rsidR="007F1533" w:rsidRPr="0050374D" w:rsidRDefault="007F1533">
            <w:pPr>
              <w:spacing w:after="0" w:line="240" w:lineRule="auto"/>
              <w:jc w:val="center"/>
              <w:rPr>
                <w:rFonts w:ascii="Arial" w:eastAsia="Times New Roman" w:hAnsi="Arial" w:cs="Arial"/>
                <w:b/>
                <w:color w:val="FF0000"/>
                <w:lang w:eastAsia="en-GB"/>
              </w:rPr>
            </w:pPr>
            <w:r w:rsidRPr="0050374D">
              <w:rPr>
                <w:rFonts w:ascii="Arial" w:eastAsia="Times New Roman" w:hAnsi="Arial" w:cs="Arial"/>
                <w:b/>
                <w:color w:val="000000"/>
                <w:lang w:eastAsia="en-GB"/>
              </w:rPr>
              <w:t>-</w:t>
            </w:r>
          </w:p>
        </w:tc>
        <w:tc>
          <w:tcPr>
            <w:tcW w:w="2663" w:type="dxa"/>
            <w:vMerge/>
            <w:tcBorders>
              <w:left w:val="nil"/>
              <w:right w:val="nil"/>
            </w:tcBorders>
            <w:shd w:val="clear" w:color="auto" w:fill="auto"/>
            <w:noWrap/>
            <w:vAlign w:val="center"/>
          </w:tcPr>
          <w:p w14:paraId="1B2D9F6B" w14:textId="77777777" w:rsidR="007F1533" w:rsidRPr="0050374D" w:rsidRDefault="007F1533">
            <w:pPr>
              <w:pStyle w:val="NoSpacing"/>
              <w:jc w:val="center"/>
              <w:rPr>
                <w:rFonts w:ascii="Arial" w:hAnsi="Arial" w:cs="Arial"/>
                <w:b/>
                <w:lang w:eastAsia="en-GB"/>
              </w:rPr>
            </w:pPr>
          </w:p>
        </w:tc>
        <w:tc>
          <w:tcPr>
            <w:tcW w:w="1336" w:type="dxa"/>
            <w:vMerge/>
            <w:tcBorders>
              <w:left w:val="single" w:sz="4" w:space="0" w:color="auto"/>
              <w:right w:val="single" w:sz="4" w:space="0" w:color="auto"/>
            </w:tcBorders>
            <w:vAlign w:val="center"/>
          </w:tcPr>
          <w:p w14:paraId="404987D0" w14:textId="77777777" w:rsidR="007F1533" w:rsidRPr="0050374D" w:rsidRDefault="007F1533">
            <w:pPr>
              <w:pStyle w:val="NoSpacing"/>
              <w:rPr>
                <w:rFonts w:ascii="Arial" w:hAnsi="Arial" w:cs="Arial"/>
                <w:lang w:eastAsia="en-GB"/>
              </w:rPr>
            </w:pPr>
          </w:p>
        </w:tc>
        <w:tc>
          <w:tcPr>
            <w:tcW w:w="1336" w:type="dxa"/>
            <w:vMerge/>
            <w:tcBorders>
              <w:left w:val="single" w:sz="4" w:space="0" w:color="auto"/>
              <w:right w:val="single" w:sz="4" w:space="0" w:color="auto"/>
            </w:tcBorders>
            <w:vAlign w:val="center"/>
          </w:tcPr>
          <w:p w14:paraId="5FEC1C63" w14:textId="77777777" w:rsidR="007F1533" w:rsidRPr="0050374D" w:rsidRDefault="007F1533">
            <w:pPr>
              <w:pStyle w:val="NoSpacing"/>
              <w:rPr>
                <w:rFonts w:ascii="Arial" w:hAnsi="Arial" w:cs="Arial"/>
                <w:lang w:eastAsia="en-GB"/>
              </w:rPr>
            </w:pPr>
          </w:p>
        </w:tc>
        <w:tc>
          <w:tcPr>
            <w:tcW w:w="1355" w:type="dxa"/>
            <w:vMerge/>
            <w:tcBorders>
              <w:left w:val="single" w:sz="4" w:space="0" w:color="auto"/>
              <w:right w:val="single" w:sz="4" w:space="0" w:color="auto"/>
            </w:tcBorders>
            <w:vAlign w:val="center"/>
          </w:tcPr>
          <w:p w14:paraId="0009FC67" w14:textId="77777777" w:rsidR="007F1533" w:rsidRPr="0050374D" w:rsidRDefault="007F1533">
            <w:pPr>
              <w:pStyle w:val="NoSpacing"/>
              <w:rPr>
                <w:rFonts w:ascii="Arial" w:hAnsi="Arial" w:cs="Arial"/>
                <w:lang w:eastAsia="en-GB"/>
              </w:rPr>
            </w:pPr>
          </w:p>
        </w:tc>
      </w:tr>
      <w:tr w:rsidR="007F1533" w:rsidRPr="0050374D" w14:paraId="38BEF917" w14:textId="77777777">
        <w:trPr>
          <w:trHeight w:val="80"/>
        </w:trPr>
        <w:tc>
          <w:tcPr>
            <w:tcW w:w="4380" w:type="dxa"/>
            <w:tcBorders>
              <w:left w:val="single" w:sz="4" w:space="0" w:color="auto"/>
              <w:bottom w:val="single" w:sz="4" w:space="0" w:color="auto"/>
              <w:right w:val="single" w:sz="4" w:space="0" w:color="auto"/>
            </w:tcBorders>
            <w:vAlign w:val="center"/>
          </w:tcPr>
          <w:p w14:paraId="0B31260F" w14:textId="77777777" w:rsidR="007F1533" w:rsidRPr="0050374D" w:rsidRDefault="007F1533">
            <w:pPr>
              <w:pStyle w:val="NoSpacing"/>
              <w:rPr>
                <w:rFonts w:ascii="Arial" w:eastAsia="Times New Roman" w:hAnsi="Arial" w:cs="Arial"/>
                <w:strike/>
                <w:color w:val="000000"/>
                <w:lang w:eastAsia="en-GB"/>
              </w:rPr>
            </w:pPr>
          </w:p>
        </w:tc>
        <w:tc>
          <w:tcPr>
            <w:tcW w:w="3051" w:type="dxa"/>
            <w:tcBorders>
              <w:left w:val="single" w:sz="4" w:space="0" w:color="auto"/>
              <w:bottom w:val="single" w:sz="4" w:space="0" w:color="auto"/>
              <w:right w:val="single" w:sz="4" w:space="0" w:color="000000"/>
            </w:tcBorders>
            <w:shd w:val="clear" w:color="auto" w:fill="auto"/>
            <w:noWrap/>
            <w:vAlign w:val="bottom"/>
          </w:tcPr>
          <w:p w14:paraId="778DCC7B" w14:textId="77777777" w:rsidR="007F1533" w:rsidRPr="0050374D" w:rsidRDefault="007F1533">
            <w:pPr>
              <w:spacing w:after="0" w:line="240" w:lineRule="auto"/>
              <w:jc w:val="center"/>
              <w:rPr>
                <w:rFonts w:ascii="Arial" w:eastAsia="Times New Roman" w:hAnsi="Arial" w:cs="Arial"/>
                <w:color w:val="000000"/>
                <w:lang w:eastAsia="en-GB"/>
              </w:rPr>
            </w:pPr>
          </w:p>
        </w:tc>
        <w:tc>
          <w:tcPr>
            <w:tcW w:w="2663" w:type="dxa"/>
            <w:vMerge/>
            <w:tcBorders>
              <w:left w:val="nil"/>
              <w:bottom w:val="single" w:sz="4" w:space="0" w:color="auto"/>
              <w:right w:val="nil"/>
            </w:tcBorders>
            <w:shd w:val="clear" w:color="auto" w:fill="auto"/>
            <w:noWrap/>
            <w:vAlign w:val="bottom"/>
          </w:tcPr>
          <w:p w14:paraId="15EA79D3" w14:textId="77777777" w:rsidR="007F1533" w:rsidRPr="0050374D" w:rsidRDefault="007F1533">
            <w:pPr>
              <w:pStyle w:val="NoSpacing"/>
              <w:jc w:val="center"/>
              <w:rPr>
                <w:rFonts w:ascii="Arial" w:eastAsia="Times New Roman" w:hAnsi="Arial" w:cs="Arial"/>
                <w:color w:val="000000"/>
                <w:lang w:eastAsia="en-GB"/>
              </w:rPr>
            </w:pPr>
          </w:p>
        </w:tc>
        <w:tc>
          <w:tcPr>
            <w:tcW w:w="1336" w:type="dxa"/>
            <w:vMerge/>
            <w:tcBorders>
              <w:left w:val="single" w:sz="4" w:space="0" w:color="auto"/>
              <w:bottom w:val="single" w:sz="4" w:space="0" w:color="auto"/>
              <w:right w:val="single" w:sz="4" w:space="0" w:color="auto"/>
            </w:tcBorders>
            <w:vAlign w:val="center"/>
          </w:tcPr>
          <w:p w14:paraId="5F504DB8" w14:textId="77777777" w:rsidR="007F1533" w:rsidRPr="0050374D" w:rsidRDefault="007F1533">
            <w:pPr>
              <w:pStyle w:val="NoSpacing"/>
              <w:rPr>
                <w:rFonts w:ascii="Arial" w:eastAsia="Times New Roman" w:hAnsi="Arial" w:cs="Arial"/>
                <w:color w:val="000000"/>
                <w:lang w:eastAsia="en-GB"/>
              </w:rPr>
            </w:pPr>
          </w:p>
        </w:tc>
        <w:tc>
          <w:tcPr>
            <w:tcW w:w="1336" w:type="dxa"/>
            <w:vMerge/>
            <w:tcBorders>
              <w:left w:val="single" w:sz="4" w:space="0" w:color="auto"/>
              <w:bottom w:val="single" w:sz="4" w:space="0" w:color="auto"/>
              <w:right w:val="single" w:sz="4" w:space="0" w:color="auto"/>
            </w:tcBorders>
            <w:vAlign w:val="center"/>
          </w:tcPr>
          <w:p w14:paraId="26C28348" w14:textId="77777777" w:rsidR="007F1533" w:rsidRPr="0050374D" w:rsidRDefault="007F1533">
            <w:pPr>
              <w:pStyle w:val="NoSpacing"/>
              <w:rPr>
                <w:rFonts w:ascii="Arial" w:eastAsia="Times New Roman" w:hAnsi="Arial" w:cs="Arial"/>
                <w:color w:val="000000"/>
                <w:lang w:eastAsia="en-GB"/>
              </w:rPr>
            </w:pPr>
          </w:p>
        </w:tc>
        <w:tc>
          <w:tcPr>
            <w:tcW w:w="1355" w:type="dxa"/>
            <w:vMerge/>
            <w:tcBorders>
              <w:left w:val="single" w:sz="4" w:space="0" w:color="auto"/>
              <w:bottom w:val="single" w:sz="4" w:space="0" w:color="auto"/>
              <w:right w:val="single" w:sz="4" w:space="0" w:color="auto"/>
            </w:tcBorders>
            <w:vAlign w:val="center"/>
          </w:tcPr>
          <w:p w14:paraId="0F33292A" w14:textId="77777777" w:rsidR="007F1533" w:rsidRPr="0050374D" w:rsidRDefault="007F1533">
            <w:pPr>
              <w:pStyle w:val="NoSpacing"/>
              <w:rPr>
                <w:rFonts w:ascii="Arial" w:eastAsia="Times New Roman" w:hAnsi="Arial" w:cs="Arial"/>
                <w:color w:val="000000"/>
                <w:lang w:eastAsia="en-GB"/>
              </w:rPr>
            </w:pPr>
          </w:p>
        </w:tc>
      </w:tr>
    </w:tbl>
    <w:p w14:paraId="1166B01D" w14:textId="77C36B09" w:rsidR="007F1533" w:rsidRPr="0050374D" w:rsidRDefault="007F1533" w:rsidP="007F1533">
      <w:pPr>
        <w:pStyle w:val="NoSpacing"/>
        <w:rPr>
          <w:rFonts w:ascii="Arial" w:hAnsi="Arial" w:cs="Arial"/>
          <w:sz w:val="18"/>
          <w:szCs w:val="18"/>
        </w:rPr>
      </w:pPr>
      <w:r w:rsidRPr="0050374D">
        <w:rPr>
          <w:rFonts w:ascii="Arial" w:hAnsi="Arial" w:cs="Arial"/>
          <w:sz w:val="18"/>
          <w:szCs w:val="18"/>
          <w:vertAlign w:val="superscript"/>
        </w:rPr>
        <w:br w:type="textWrapping" w:clear="all"/>
      </w:r>
      <w:r w:rsidRPr="0050374D">
        <w:rPr>
          <w:rFonts w:ascii="Arial" w:hAnsi="Arial" w:cs="Arial"/>
          <w:sz w:val="18"/>
          <w:szCs w:val="18"/>
          <w:vertAlign w:val="superscript"/>
        </w:rPr>
        <w:footnoteRef/>
      </w:r>
      <w:r w:rsidRPr="0050374D">
        <w:rPr>
          <w:rFonts w:ascii="Arial" w:hAnsi="Arial" w:cs="Arial"/>
          <w:sz w:val="18"/>
          <w:szCs w:val="18"/>
        </w:rPr>
        <w:t xml:space="preserve"> Accrued pension benefits for directors are not included in this table for 2023</w:t>
      </w:r>
      <w:r w:rsidR="00A01F7B">
        <w:rPr>
          <w:rFonts w:ascii="Arial" w:hAnsi="Arial" w:cs="Arial"/>
          <w:sz w:val="18"/>
          <w:szCs w:val="18"/>
        </w:rPr>
        <w:t>-</w:t>
      </w:r>
      <w:r w:rsidRPr="0050374D">
        <w:rPr>
          <w:rFonts w:ascii="Arial" w:hAnsi="Arial" w:cs="Arial"/>
          <w:sz w:val="18"/>
          <w:szCs w:val="18"/>
        </w:rPr>
        <w:t xml:space="preserve">24 due </w:t>
      </w:r>
      <w:r w:rsidR="00C50885">
        <w:rPr>
          <w:rFonts w:ascii="Arial" w:hAnsi="Arial" w:cs="Arial"/>
          <w:sz w:val="18"/>
          <w:szCs w:val="18"/>
        </w:rPr>
        <w:t xml:space="preserve">to </w:t>
      </w:r>
      <w:r w:rsidRPr="0050374D">
        <w:rPr>
          <w:rFonts w:ascii="Arial" w:hAnsi="Arial" w:cs="Arial"/>
          <w:sz w:val="18"/>
          <w:szCs w:val="18"/>
        </w:rPr>
        <w:t>an exceptional delay in the calculation of these figures following the application of the public service pension remedy.</w:t>
      </w:r>
    </w:p>
    <w:p w14:paraId="2B7F0A53" w14:textId="44D2C337" w:rsidR="007F1533" w:rsidRPr="0050374D" w:rsidRDefault="007F1533" w:rsidP="007F1533">
      <w:pPr>
        <w:pStyle w:val="NoSpacing"/>
        <w:rPr>
          <w:rFonts w:ascii="Arial" w:hAnsi="Arial" w:cs="Arial"/>
          <w:sz w:val="18"/>
          <w:szCs w:val="18"/>
        </w:rPr>
      </w:pPr>
      <w:r w:rsidRPr="0050374D">
        <w:rPr>
          <w:rFonts w:ascii="Arial" w:hAnsi="Arial" w:cs="Arial"/>
          <w:sz w:val="18"/>
          <w:szCs w:val="18"/>
          <w:vertAlign w:val="superscript"/>
        </w:rPr>
        <w:t>2</w:t>
      </w:r>
      <w:r w:rsidRPr="0050374D">
        <w:rPr>
          <w:rFonts w:ascii="Arial" w:hAnsi="Arial" w:cs="Arial"/>
          <w:sz w:val="18"/>
          <w:szCs w:val="18"/>
        </w:rPr>
        <w:t xml:space="preserve">Any members affected by the Public Service Pensions Remedy were reported in the 2015 scheme for the period between 1 April 2015 and 31 March 2022 in </w:t>
      </w:r>
      <w:r w:rsidR="00AB3052" w:rsidRPr="0050374D">
        <w:rPr>
          <w:rFonts w:ascii="Arial" w:hAnsi="Arial" w:cs="Arial"/>
          <w:sz w:val="18"/>
          <w:szCs w:val="18"/>
        </w:rPr>
        <w:t>2022-23 but</w:t>
      </w:r>
      <w:r w:rsidRPr="0050374D">
        <w:rPr>
          <w:rFonts w:ascii="Arial" w:hAnsi="Arial" w:cs="Arial"/>
          <w:sz w:val="18"/>
          <w:szCs w:val="18"/>
        </w:rPr>
        <w:t xml:space="preserve"> are reported in the legacy scheme for the same period in 2023-24.</w:t>
      </w:r>
    </w:p>
    <w:p w14:paraId="43BBD80F" w14:textId="77777777" w:rsidR="007F1533" w:rsidRPr="0050374D" w:rsidRDefault="007F1533" w:rsidP="007F1533">
      <w:pPr>
        <w:pStyle w:val="NoSpacing"/>
        <w:rPr>
          <w:rFonts w:ascii="Arial" w:hAnsi="Arial" w:cs="Arial"/>
          <w:sz w:val="18"/>
          <w:szCs w:val="18"/>
        </w:rPr>
      </w:pPr>
      <w:r w:rsidRPr="0050374D">
        <w:rPr>
          <w:rFonts w:ascii="Arial" w:hAnsi="Arial" w:cs="Arial"/>
          <w:sz w:val="18"/>
          <w:szCs w:val="18"/>
          <w:vertAlign w:val="superscript"/>
        </w:rPr>
        <w:t>3</w:t>
      </w:r>
      <w:r w:rsidRPr="0050374D">
        <w:rPr>
          <w:rFonts w:ascii="Arial" w:hAnsi="Arial" w:cs="Arial"/>
          <w:sz w:val="18"/>
          <w:szCs w:val="18"/>
        </w:rPr>
        <w:t xml:space="preserve"> CETV figures are calculated using the guidance on discount rates for calculating unfunded public service pension contribution rates that was extant at 31 March 2024. HM Treasury published updated guidance on 27 April 2023; this guidance will be used in the calculation of 2023-24 CETV figures.</w:t>
      </w:r>
    </w:p>
    <w:p w14:paraId="185CA359" w14:textId="77777777" w:rsidR="007F1533" w:rsidRPr="007F1533" w:rsidRDefault="007F1533" w:rsidP="007F1533">
      <w:pPr>
        <w:pStyle w:val="NoSpacing"/>
        <w:rPr>
          <w:rFonts w:ascii="Arial" w:hAnsi="Arial" w:cs="Arial"/>
          <w:sz w:val="18"/>
          <w:szCs w:val="18"/>
        </w:rPr>
      </w:pPr>
      <w:r w:rsidRPr="0050374D">
        <w:rPr>
          <w:rFonts w:ascii="Arial" w:hAnsi="Arial" w:cs="Arial"/>
          <w:sz w:val="18"/>
          <w:szCs w:val="18"/>
          <w:vertAlign w:val="superscript"/>
        </w:rPr>
        <w:t>4</w:t>
      </w:r>
      <w:r w:rsidRPr="0050374D">
        <w:rPr>
          <w:rFonts w:ascii="Arial" w:hAnsi="Arial" w:cs="Arial"/>
          <w:sz w:val="18"/>
          <w:szCs w:val="18"/>
        </w:rPr>
        <w:t xml:space="preserve"> The final salary pension of a person in employment is calculated by reference to their pay and length of service. The pension will increase from one year to the next by virtue of any pay rise during the year. Where there is no or a small pay rise, the increase in pension due to extra service may not be sufficient to offset the inflation increase. This means that in real terms, the pension value can reduce, hence the negative values.</w:t>
      </w:r>
    </w:p>
    <w:p w14:paraId="34F35663" w14:textId="77777777" w:rsidR="007F1533" w:rsidRPr="007F1533" w:rsidRDefault="007F1533" w:rsidP="007F1533">
      <w:pPr>
        <w:pStyle w:val="NoSpacing"/>
        <w:rPr>
          <w:rFonts w:ascii="Arial" w:eastAsia="Times New Roman" w:hAnsi="Arial" w:cs="Arial"/>
        </w:rPr>
      </w:pPr>
    </w:p>
    <w:p w14:paraId="7645F19F" w14:textId="77777777" w:rsidR="007F1533" w:rsidRPr="007F1533" w:rsidRDefault="007F1533" w:rsidP="007F1533">
      <w:pPr>
        <w:rPr>
          <w:rFonts w:ascii="Arial" w:hAnsi="Arial" w:cs="Arial"/>
          <w:szCs w:val="24"/>
        </w:rPr>
      </w:pPr>
    </w:p>
    <w:p w14:paraId="745362E9" w14:textId="77777777" w:rsidR="007F1533" w:rsidRPr="007F1533" w:rsidRDefault="007F1533" w:rsidP="007F1533">
      <w:pPr>
        <w:rPr>
          <w:rFonts w:ascii="Arial" w:hAnsi="Arial" w:cs="Arial"/>
          <w:szCs w:val="24"/>
        </w:rPr>
      </w:pPr>
    </w:p>
    <w:p w14:paraId="3E06721D" w14:textId="77777777" w:rsidR="007F1533" w:rsidRPr="007F1533" w:rsidRDefault="007F1533" w:rsidP="007F1533">
      <w:pPr>
        <w:pStyle w:val="NoSpacing"/>
        <w:rPr>
          <w:rFonts w:ascii="Arial" w:eastAsia="Times New Roman" w:hAnsi="Arial" w:cs="Arial"/>
        </w:rPr>
        <w:sectPr w:rsidR="007F1533" w:rsidRPr="007F1533">
          <w:pgSz w:w="16838" w:h="11906" w:orient="landscape"/>
          <w:pgMar w:top="1440" w:right="1440" w:bottom="1276" w:left="1440" w:header="709" w:footer="709" w:gutter="0"/>
          <w:cols w:space="708"/>
          <w:docGrid w:linePitch="360"/>
        </w:sectPr>
      </w:pPr>
    </w:p>
    <w:p w14:paraId="032D8776" w14:textId="77777777" w:rsidR="007F1533" w:rsidRPr="007F1533" w:rsidRDefault="007F1533" w:rsidP="007F1533">
      <w:pPr>
        <w:pStyle w:val="Heading3"/>
        <w:rPr>
          <w:rFonts w:cs="Arial"/>
        </w:rPr>
      </w:pPr>
      <w:r w:rsidRPr="007F1533">
        <w:rPr>
          <w:rFonts w:cs="Arial"/>
        </w:rPr>
        <w:lastRenderedPageBreak/>
        <w:t xml:space="preserve">Staff Report </w:t>
      </w:r>
    </w:p>
    <w:p w14:paraId="04B2730B" w14:textId="77777777" w:rsidR="007F1533" w:rsidRPr="007F1533" w:rsidRDefault="007F1533" w:rsidP="007F1533">
      <w:pPr>
        <w:pStyle w:val="Heading4"/>
        <w:rPr>
          <w:rFonts w:cs="Arial"/>
        </w:rPr>
      </w:pPr>
      <w:r w:rsidRPr="007F1533">
        <w:rPr>
          <w:rFonts w:cs="Arial"/>
        </w:rPr>
        <w:t>Senior Staff by pay-band</w:t>
      </w:r>
    </w:p>
    <w:p w14:paraId="4CF410D0" w14:textId="77777777" w:rsidR="007F1533" w:rsidRPr="00D30BC9" w:rsidRDefault="007F1533" w:rsidP="007F1533">
      <w:pPr>
        <w:spacing w:line="240" w:lineRule="auto"/>
        <w:rPr>
          <w:rFonts w:ascii="Arial" w:hAnsi="Arial" w:cs="Arial"/>
          <w:sz w:val="24"/>
          <w:szCs w:val="24"/>
        </w:rPr>
      </w:pPr>
      <w:r w:rsidRPr="00D30BC9">
        <w:rPr>
          <w:rFonts w:ascii="Arial" w:hAnsi="Arial" w:cs="Arial"/>
          <w:sz w:val="24"/>
          <w:szCs w:val="24"/>
        </w:rPr>
        <w:t>The table below provides the number of Senior Civil Servants or equivalent by pay-band: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9"/>
        <w:gridCol w:w="2552"/>
        <w:gridCol w:w="2551"/>
      </w:tblGrid>
      <w:tr w:rsidR="007F1533" w:rsidRPr="007F1533" w14:paraId="61C3E8E0" w14:textId="77777777">
        <w:trPr>
          <w:trHeight w:val="255"/>
        </w:trPr>
        <w:tc>
          <w:tcPr>
            <w:tcW w:w="3969" w:type="dxa"/>
            <w:shd w:val="clear" w:color="auto" w:fill="DCE6F1"/>
            <w:noWrap/>
            <w:tcMar>
              <w:top w:w="0" w:type="dxa"/>
              <w:left w:w="108" w:type="dxa"/>
              <w:bottom w:w="0" w:type="dxa"/>
              <w:right w:w="108" w:type="dxa"/>
            </w:tcMar>
            <w:vAlign w:val="bottom"/>
            <w:hideMark/>
          </w:tcPr>
          <w:p w14:paraId="4A35E5A7" w14:textId="77777777" w:rsidR="007F1533" w:rsidRPr="007F1533" w:rsidRDefault="007F1533">
            <w:pPr>
              <w:rPr>
                <w:rFonts w:ascii="Arial" w:hAnsi="Arial" w:cs="Arial"/>
                <w:color w:val="000000"/>
                <w:lang w:eastAsia="en-GB"/>
              </w:rPr>
            </w:pPr>
            <w:r w:rsidRPr="007F1533">
              <w:rPr>
                <w:rFonts w:ascii="Arial" w:hAnsi="Arial" w:cs="Arial"/>
                <w:color w:val="000000"/>
                <w:lang w:eastAsia="en-GB"/>
              </w:rPr>
              <w:t> </w:t>
            </w:r>
          </w:p>
        </w:tc>
        <w:tc>
          <w:tcPr>
            <w:tcW w:w="2552" w:type="dxa"/>
            <w:shd w:val="clear" w:color="auto" w:fill="DCE6F1"/>
            <w:noWrap/>
            <w:tcMar>
              <w:top w:w="0" w:type="dxa"/>
              <w:left w:w="108" w:type="dxa"/>
              <w:bottom w:w="0" w:type="dxa"/>
              <w:right w:w="108" w:type="dxa"/>
            </w:tcMar>
            <w:vAlign w:val="bottom"/>
            <w:hideMark/>
          </w:tcPr>
          <w:p w14:paraId="10B80A04"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As at 31 March 2024</w:t>
            </w:r>
          </w:p>
        </w:tc>
        <w:tc>
          <w:tcPr>
            <w:tcW w:w="2551" w:type="dxa"/>
            <w:shd w:val="clear" w:color="auto" w:fill="DCE6F1"/>
            <w:noWrap/>
            <w:tcMar>
              <w:top w:w="0" w:type="dxa"/>
              <w:left w:w="108" w:type="dxa"/>
              <w:bottom w:w="0" w:type="dxa"/>
              <w:right w:w="108" w:type="dxa"/>
            </w:tcMar>
            <w:vAlign w:val="bottom"/>
            <w:hideMark/>
          </w:tcPr>
          <w:p w14:paraId="7F6506D4"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As at 31 March 2023</w:t>
            </w:r>
          </w:p>
        </w:tc>
      </w:tr>
      <w:tr w:rsidR="007F1533" w:rsidRPr="007F1533" w14:paraId="7BC19EB2" w14:textId="77777777">
        <w:trPr>
          <w:trHeight w:val="300"/>
        </w:trPr>
        <w:tc>
          <w:tcPr>
            <w:tcW w:w="3969" w:type="dxa"/>
            <w:shd w:val="clear" w:color="auto" w:fill="DCE6F1"/>
            <w:noWrap/>
            <w:tcMar>
              <w:top w:w="0" w:type="dxa"/>
              <w:left w:w="108" w:type="dxa"/>
              <w:bottom w:w="0" w:type="dxa"/>
              <w:right w:w="108" w:type="dxa"/>
            </w:tcMar>
            <w:vAlign w:val="bottom"/>
            <w:hideMark/>
          </w:tcPr>
          <w:p w14:paraId="33C9CEF0" w14:textId="77777777" w:rsidR="007F1533" w:rsidRPr="007F1533" w:rsidRDefault="007F1533">
            <w:pPr>
              <w:rPr>
                <w:rFonts w:ascii="Arial" w:hAnsi="Arial" w:cs="Arial"/>
                <w:b/>
                <w:bCs/>
                <w:color w:val="000000"/>
                <w:lang w:eastAsia="en-GB"/>
              </w:rPr>
            </w:pPr>
            <w:r w:rsidRPr="007F1533">
              <w:rPr>
                <w:rFonts w:ascii="Arial" w:hAnsi="Arial" w:cs="Arial"/>
                <w:b/>
                <w:bCs/>
                <w:color w:val="000000"/>
                <w:lang w:eastAsia="en-GB"/>
              </w:rPr>
              <w:t>SCS Pay-band 2</w:t>
            </w:r>
          </w:p>
        </w:tc>
        <w:tc>
          <w:tcPr>
            <w:tcW w:w="2552" w:type="dxa"/>
            <w:noWrap/>
            <w:tcMar>
              <w:top w:w="0" w:type="dxa"/>
              <w:left w:w="108" w:type="dxa"/>
              <w:bottom w:w="0" w:type="dxa"/>
              <w:right w:w="108" w:type="dxa"/>
            </w:tcMar>
            <w:vAlign w:val="bottom"/>
          </w:tcPr>
          <w:p w14:paraId="6014A6CD"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w:t>
            </w:r>
          </w:p>
        </w:tc>
        <w:tc>
          <w:tcPr>
            <w:tcW w:w="2551" w:type="dxa"/>
            <w:noWrap/>
            <w:tcMar>
              <w:top w:w="0" w:type="dxa"/>
              <w:left w:w="108" w:type="dxa"/>
              <w:bottom w:w="0" w:type="dxa"/>
              <w:right w:w="108" w:type="dxa"/>
            </w:tcMar>
            <w:vAlign w:val="bottom"/>
          </w:tcPr>
          <w:p w14:paraId="134FE99B"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w:t>
            </w:r>
          </w:p>
        </w:tc>
      </w:tr>
      <w:tr w:rsidR="007F1533" w:rsidRPr="007F1533" w14:paraId="2D38315C" w14:textId="77777777">
        <w:trPr>
          <w:trHeight w:val="300"/>
        </w:trPr>
        <w:tc>
          <w:tcPr>
            <w:tcW w:w="3969" w:type="dxa"/>
            <w:shd w:val="clear" w:color="auto" w:fill="DCE6F1"/>
            <w:noWrap/>
            <w:tcMar>
              <w:top w:w="0" w:type="dxa"/>
              <w:left w:w="108" w:type="dxa"/>
              <w:bottom w:w="0" w:type="dxa"/>
              <w:right w:w="108" w:type="dxa"/>
            </w:tcMar>
            <w:vAlign w:val="bottom"/>
            <w:hideMark/>
          </w:tcPr>
          <w:p w14:paraId="4DF20621" w14:textId="77777777" w:rsidR="007F1533" w:rsidRPr="007F1533" w:rsidRDefault="007F1533">
            <w:pPr>
              <w:rPr>
                <w:rFonts w:ascii="Arial" w:hAnsi="Arial" w:cs="Arial"/>
                <w:b/>
                <w:bCs/>
                <w:color w:val="000000"/>
                <w:lang w:eastAsia="en-GB"/>
              </w:rPr>
            </w:pPr>
            <w:r w:rsidRPr="007F1533">
              <w:rPr>
                <w:rFonts w:ascii="Arial" w:hAnsi="Arial" w:cs="Arial"/>
                <w:b/>
                <w:bCs/>
                <w:color w:val="000000"/>
                <w:lang w:eastAsia="en-GB"/>
              </w:rPr>
              <w:t>SCS Pay-band 1</w:t>
            </w:r>
          </w:p>
        </w:tc>
        <w:tc>
          <w:tcPr>
            <w:tcW w:w="2552" w:type="dxa"/>
            <w:noWrap/>
            <w:tcMar>
              <w:top w:w="0" w:type="dxa"/>
              <w:left w:w="108" w:type="dxa"/>
              <w:bottom w:w="0" w:type="dxa"/>
              <w:right w:w="108" w:type="dxa"/>
            </w:tcMar>
            <w:vAlign w:val="bottom"/>
          </w:tcPr>
          <w:p w14:paraId="58E1F661"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10</w:t>
            </w:r>
          </w:p>
        </w:tc>
        <w:tc>
          <w:tcPr>
            <w:tcW w:w="2551" w:type="dxa"/>
            <w:noWrap/>
            <w:tcMar>
              <w:top w:w="0" w:type="dxa"/>
              <w:left w:w="108" w:type="dxa"/>
              <w:bottom w:w="0" w:type="dxa"/>
              <w:right w:w="108" w:type="dxa"/>
            </w:tcMar>
            <w:vAlign w:val="bottom"/>
          </w:tcPr>
          <w:p w14:paraId="6FB5D1A2"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11</w:t>
            </w:r>
          </w:p>
        </w:tc>
      </w:tr>
    </w:tbl>
    <w:p w14:paraId="20EEF229" w14:textId="3B9D8F4D" w:rsidR="00FC3309" w:rsidRDefault="00A46C02" w:rsidP="00BD1F5B">
      <w:pPr>
        <w:rPr>
          <w:rFonts w:ascii="Arial" w:hAnsi="Arial" w:cs="Arial"/>
          <w:sz w:val="24"/>
          <w:szCs w:val="24"/>
        </w:rPr>
      </w:pPr>
      <w:r>
        <w:rPr>
          <w:rFonts w:ascii="Arial" w:hAnsi="Arial" w:cs="Arial"/>
          <w:sz w:val="24"/>
          <w:szCs w:val="24"/>
        </w:rPr>
        <w:br/>
        <w:t>I</w:t>
      </w:r>
      <w:r w:rsidR="00FC3309">
        <w:rPr>
          <w:rFonts w:ascii="Arial" w:hAnsi="Arial" w:cs="Arial"/>
          <w:sz w:val="24"/>
          <w:szCs w:val="24"/>
        </w:rPr>
        <w:t>n the year to 31 March 2024, one SCS Pay-band 1 member of staff retired from the Agency.</w:t>
      </w:r>
    </w:p>
    <w:p w14:paraId="63784171" w14:textId="77777777" w:rsidR="007F1533" w:rsidRDefault="007F1533" w:rsidP="00BD1F5B">
      <w:pPr>
        <w:rPr>
          <w:rFonts w:ascii="Arial" w:hAnsi="Arial" w:cs="Arial"/>
          <w:sz w:val="24"/>
          <w:szCs w:val="24"/>
        </w:rPr>
      </w:pPr>
    </w:p>
    <w:p w14:paraId="6FF1BDAC" w14:textId="77777777" w:rsidR="007F1533" w:rsidRPr="007F1533" w:rsidRDefault="007F1533" w:rsidP="007F1533">
      <w:pPr>
        <w:pStyle w:val="Heading4"/>
        <w:rPr>
          <w:rFonts w:cs="Arial"/>
        </w:rPr>
      </w:pPr>
      <w:r w:rsidRPr="007F1533">
        <w:rPr>
          <w:rFonts w:cs="Arial"/>
        </w:rPr>
        <w:t xml:space="preserve">Staff composition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993"/>
        <w:gridCol w:w="992"/>
        <w:gridCol w:w="992"/>
        <w:gridCol w:w="992"/>
        <w:gridCol w:w="993"/>
        <w:gridCol w:w="992"/>
        <w:gridCol w:w="992"/>
        <w:gridCol w:w="992"/>
      </w:tblGrid>
      <w:tr w:rsidR="007F1533" w:rsidRPr="007F1533" w14:paraId="4821F6FD" w14:textId="77777777">
        <w:trPr>
          <w:trHeight w:val="300"/>
        </w:trPr>
        <w:tc>
          <w:tcPr>
            <w:tcW w:w="1134" w:type="dxa"/>
            <w:vMerge w:val="restart"/>
            <w:shd w:val="clear" w:color="auto" w:fill="DCE6F1"/>
            <w:noWrap/>
            <w:tcMar>
              <w:top w:w="0" w:type="dxa"/>
              <w:left w:w="108" w:type="dxa"/>
              <w:bottom w:w="0" w:type="dxa"/>
              <w:right w:w="108" w:type="dxa"/>
            </w:tcMar>
            <w:vAlign w:val="bottom"/>
            <w:hideMark/>
          </w:tcPr>
          <w:p w14:paraId="28065277" w14:textId="77777777" w:rsidR="007F1533" w:rsidRPr="007F1533" w:rsidRDefault="007F1533">
            <w:pPr>
              <w:rPr>
                <w:rFonts w:ascii="Arial" w:hAnsi="Arial" w:cs="Arial"/>
                <w:color w:val="000000"/>
                <w:lang w:eastAsia="en-GB"/>
              </w:rPr>
            </w:pPr>
            <w:r w:rsidRPr="007F1533">
              <w:rPr>
                <w:rFonts w:ascii="Arial" w:hAnsi="Arial" w:cs="Arial"/>
                <w:color w:val="000000"/>
                <w:lang w:eastAsia="en-GB"/>
              </w:rPr>
              <w:t> </w:t>
            </w:r>
          </w:p>
          <w:p w14:paraId="15967720" w14:textId="77777777" w:rsidR="007F1533" w:rsidRPr="007F1533" w:rsidRDefault="007F1533">
            <w:pPr>
              <w:rPr>
                <w:rFonts w:ascii="Arial" w:hAnsi="Arial" w:cs="Arial"/>
                <w:color w:val="000000"/>
                <w:lang w:eastAsia="en-GB"/>
              </w:rPr>
            </w:pPr>
            <w:r w:rsidRPr="007F1533">
              <w:rPr>
                <w:rFonts w:ascii="Arial" w:hAnsi="Arial" w:cs="Arial"/>
                <w:color w:val="000000"/>
                <w:lang w:eastAsia="en-GB"/>
              </w:rPr>
              <w:t> </w:t>
            </w:r>
          </w:p>
        </w:tc>
        <w:tc>
          <w:tcPr>
            <w:tcW w:w="1985" w:type="dxa"/>
            <w:gridSpan w:val="2"/>
            <w:shd w:val="clear" w:color="auto" w:fill="DCE6F1"/>
            <w:noWrap/>
            <w:tcMar>
              <w:top w:w="0" w:type="dxa"/>
              <w:left w:w="108" w:type="dxa"/>
              <w:bottom w:w="0" w:type="dxa"/>
              <w:right w:w="108" w:type="dxa"/>
            </w:tcMar>
          </w:tcPr>
          <w:p w14:paraId="4864BC93" w14:textId="77777777" w:rsidR="007F1533" w:rsidRPr="007F1533" w:rsidRDefault="007F1533">
            <w:pPr>
              <w:jc w:val="center"/>
              <w:rPr>
                <w:rFonts w:ascii="Arial" w:hAnsi="Arial" w:cs="Arial"/>
                <w:color w:val="000000"/>
                <w:lang w:eastAsia="en-GB"/>
              </w:rPr>
            </w:pPr>
            <w:r w:rsidRPr="007F1533">
              <w:rPr>
                <w:rFonts w:ascii="Arial" w:hAnsi="Arial" w:cs="Arial"/>
                <w:b/>
                <w:bCs/>
                <w:color w:val="000000"/>
                <w:lang w:eastAsia="en-GB"/>
              </w:rPr>
              <w:t>Employees</w:t>
            </w:r>
          </w:p>
        </w:tc>
        <w:tc>
          <w:tcPr>
            <w:tcW w:w="1984" w:type="dxa"/>
            <w:gridSpan w:val="2"/>
            <w:shd w:val="clear" w:color="auto" w:fill="DCE6F1"/>
            <w:noWrap/>
            <w:tcMar>
              <w:top w:w="0" w:type="dxa"/>
              <w:left w:w="108" w:type="dxa"/>
              <w:bottom w:w="0" w:type="dxa"/>
              <w:right w:w="108" w:type="dxa"/>
            </w:tcMar>
          </w:tcPr>
          <w:p w14:paraId="5BA324D9" w14:textId="77777777" w:rsidR="007F1533" w:rsidRPr="007F1533" w:rsidRDefault="007F1533">
            <w:pPr>
              <w:jc w:val="center"/>
              <w:rPr>
                <w:rFonts w:ascii="Arial" w:hAnsi="Arial" w:cs="Arial"/>
                <w:color w:val="000000"/>
                <w:lang w:eastAsia="en-GB"/>
              </w:rPr>
            </w:pPr>
            <w:r w:rsidRPr="007F1533">
              <w:rPr>
                <w:rFonts w:ascii="Arial" w:hAnsi="Arial" w:cs="Arial"/>
                <w:b/>
                <w:bCs/>
                <w:color w:val="000000"/>
                <w:lang w:eastAsia="en-GB"/>
              </w:rPr>
              <w:t>SCS</w:t>
            </w:r>
            <w:r w:rsidRPr="007F1533">
              <w:rPr>
                <w:rFonts w:ascii="Arial" w:hAnsi="Arial" w:cs="Arial"/>
                <w:b/>
                <w:bCs/>
                <w:color w:val="000000"/>
                <w:lang w:eastAsia="en-GB"/>
              </w:rPr>
              <w:br/>
              <w:t>(incl ISB Members)</w:t>
            </w:r>
          </w:p>
        </w:tc>
        <w:tc>
          <w:tcPr>
            <w:tcW w:w="1985" w:type="dxa"/>
            <w:gridSpan w:val="2"/>
            <w:shd w:val="clear" w:color="auto" w:fill="DCE6F1"/>
          </w:tcPr>
          <w:p w14:paraId="1CC983AF"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ISB Members</w:t>
            </w:r>
          </w:p>
          <w:p w14:paraId="79CD84CC"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All Staff</w:t>
            </w:r>
          </w:p>
        </w:tc>
        <w:tc>
          <w:tcPr>
            <w:tcW w:w="1984" w:type="dxa"/>
            <w:gridSpan w:val="2"/>
            <w:shd w:val="clear" w:color="auto" w:fill="DCE6F1"/>
            <w:noWrap/>
            <w:tcMar>
              <w:top w:w="0" w:type="dxa"/>
              <w:left w:w="108" w:type="dxa"/>
              <w:bottom w:w="0" w:type="dxa"/>
              <w:right w:w="108" w:type="dxa"/>
            </w:tcMar>
          </w:tcPr>
          <w:p w14:paraId="5C6C771A" w14:textId="77777777" w:rsidR="007F1533" w:rsidRPr="007F1533" w:rsidRDefault="007F1533">
            <w:pPr>
              <w:jc w:val="center"/>
              <w:rPr>
                <w:rFonts w:ascii="Arial" w:hAnsi="Arial" w:cs="Arial"/>
                <w:color w:val="000000"/>
                <w:lang w:eastAsia="en-GB"/>
              </w:rPr>
            </w:pPr>
            <w:r w:rsidRPr="007F1533">
              <w:rPr>
                <w:rFonts w:ascii="Arial" w:hAnsi="Arial" w:cs="Arial"/>
                <w:b/>
                <w:bCs/>
                <w:color w:val="000000"/>
                <w:lang w:eastAsia="en-GB"/>
              </w:rPr>
              <w:t>All Staff</w:t>
            </w:r>
          </w:p>
        </w:tc>
      </w:tr>
      <w:tr w:rsidR="007F1533" w:rsidRPr="007F1533" w14:paraId="0911346B" w14:textId="77777777">
        <w:trPr>
          <w:trHeight w:val="300"/>
        </w:trPr>
        <w:tc>
          <w:tcPr>
            <w:tcW w:w="1134" w:type="dxa"/>
            <w:vMerge/>
            <w:shd w:val="clear" w:color="auto" w:fill="DCE6F1"/>
            <w:noWrap/>
            <w:tcMar>
              <w:top w:w="0" w:type="dxa"/>
              <w:left w:w="108" w:type="dxa"/>
              <w:bottom w:w="0" w:type="dxa"/>
              <w:right w:w="108" w:type="dxa"/>
            </w:tcMar>
            <w:vAlign w:val="bottom"/>
            <w:hideMark/>
          </w:tcPr>
          <w:p w14:paraId="5A0D19E1" w14:textId="77777777" w:rsidR="007F1533" w:rsidRPr="007F1533" w:rsidRDefault="007F1533">
            <w:pPr>
              <w:rPr>
                <w:rFonts w:ascii="Arial" w:hAnsi="Arial" w:cs="Arial"/>
                <w:color w:val="000000"/>
                <w:lang w:eastAsia="en-GB"/>
              </w:rPr>
            </w:pPr>
          </w:p>
        </w:tc>
        <w:tc>
          <w:tcPr>
            <w:tcW w:w="993" w:type="dxa"/>
            <w:shd w:val="clear" w:color="auto" w:fill="DCE6F1"/>
            <w:noWrap/>
            <w:tcMar>
              <w:top w:w="0" w:type="dxa"/>
              <w:left w:w="108" w:type="dxa"/>
              <w:bottom w:w="0" w:type="dxa"/>
              <w:right w:w="108" w:type="dxa"/>
            </w:tcMar>
            <w:vAlign w:val="bottom"/>
            <w:hideMark/>
          </w:tcPr>
          <w:p w14:paraId="43A6C200"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No</w:t>
            </w:r>
          </w:p>
        </w:tc>
        <w:tc>
          <w:tcPr>
            <w:tcW w:w="992" w:type="dxa"/>
            <w:shd w:val="clear" w:color="auto" w:fill="DCE6F1"/>
            <w:noWrap/>
            <w:tcMar>
              <w:top w:w="0" w:type="dxa"/>
              <w:left w:w="108" w:type="dxa"/>
              <w:bottom w:w="0" w:type="dxa"/>
              <w:right w:w="108" w:type="dxa"/>
            </w:tcMar>
            <w:vAlign w:val="bottom"/>
            <w:hideMark/>
          </w:tcPr>
          <w:p w14:paraId="6F6D5E1A"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w:t>
            </w:r>
          </w:p>
        </w:tc>
        <w:tc>
          <w:tcPr>
            <w:tcW w:w="992" w:type="dxa"/>
            <w:shd w:val="clear" w:color="auto" w:fill="DCE6F1"/>
            <w:noWrap/>
            <w:tcMar>
              <w:top w:w="0" w:type="dxa"/>
              <w:left w:w="108" w:type="dxa"/>
              <w:bottom w:w="0" w:type="dxa"/>
              <w:right w:w="108" w:type="dxa"/>
            </w:tcMar>
            <w:vAlign w:val="bottom"/>
            <w:hideMark/>
          </w:tcPr>
          <w:p w14:paraId="51BFFF0F"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No</w:t>
            </w:r>
          </w:p>
        </w:tc>
        <w:tc>
          <w:tcPr>
            <w:tcW w:w="992" w:type="dxa"/>
            <w:shd w:val="clear" w:color="auto" w:fill="DCE6F1"/>
            <w:noWrap/>
            <w:tcMar>
              <w:top w:w="0" w:type="dxa"/>
              <w:left w:w="108" w:type="dxa"/>
              <w:bottom w:w="0" w:type="dxa"/>
              <w:right w:w="108" w:type="dxa"/>
            </w:tcMar>
            <w:vAlign w:val="bottom"/>
            <w:hideMark/>
          </w:tcPr>
          <w:p w14:paraId="4DA8C6C7"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w:t>
            </w:r>
          </w:p>
        </w:tc>
        <w:tc>
          <w:tcPr>
            <w:tcW w:w="993" w:type="dxa"/>
            <w:shd w:val="clear" w:color="auto" w:fill="DCE6F1"/>
            <w:vAlign w:val="bottom"/>
          </w:tcPr>
          <w:p w14:paraId="5EDEA273"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No</w:t>
            </w:r>
          </w:p>
        </w:tc>
        <w:tc>
          <w:tcPr>
            <w:tcW w:w="992" w:type="dxa"/>
            <w:shd w:val="clear" w:color="auto" w:fill="DCE6F1"/>
            <w:vAlign w:val="bottom"/>
          </w:tcPr>
          <w:p w14:paraId="1E0AEDAC"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w:t>
            </w:r>
          </w:p>
        </w:tc>
        <w:tc>
          <w:tcPr>
            <w:tcW w:w="992" w:type="dxa"/>
            <w:shd w:val="clear" w:color="auto" w:fill="DCE6F1"/>
            <w:noWrap/>
            <w:tcMar>
              <w:top w:w="0" w:type="dxa"/>
              <w:left w:w="108" w:type="dxa"/>
              <w:bottom w:w="0" w:type="dxa"/>
              <w:right w:w="108" w:type="dxa"/>
            </w:tcMar>
            <w:vAlign w:val="bottom"/>
            <w:hideMark/>
          </w:tcPr>
          <w:p w14:paraId="244C956F"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No</w:t>
            </w:r>
          </w:p>
        </w:tc>
        <w:tc>
          <w:tcPr>
            <w:tcW w:w="992" w:type="dxa"/>
            <w:shd w:val="clear" w:color="auto" w:fill="DCE6F1"/>
            <w:noWrap/>
            <w:tcMar>
              <w:top w:w="0" w:type="dxa"/>
              <w:left w:w="108" w:type="dxa"/>
              <w:bottom w:w="0" w:type="dxa"/>
              <w:right w:w="108" w:type="dxa"/>
            </w:tcMar>
            <w:vAlign w:val="bottom"/>
            <w:hideMark/>
          </w:tcPr>
          <w:p w14:paraId="290D94C6"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w:t>
            </w:r>
          </w:p>
        </w:tc>
      </w:tr>
      <w:tr w:rsidR="007F1533" w:rsidRPr="007F1533" w14:paraId="567506B6" w14:textId="77777777">
        <w:trPr>
          <w:trHeight w:val="300"/>
        </w:trPr>
        <w:tc>
          <w:tcPr>
            <w:tcW w:w="9072" w:type="dxa"/>
            <w:gridSpan w:val="9"/>
            <w:shd w:val="clear" w:color="auto" w:fill="DCE6F1"/>
          </w:tcPr>
          <w:p w14:paraId="7414A118" w14:textId="77777777" w:rsidR="007F1533" w:rsidRPr="007F1533" w:rsidRDefault="007F1533">
            <w:pPr>
              <w:rPr>
                <w:rFonts w:ascii="Arial" w:hAnsi="Arial" w:cs="Arial"/>
                <w:b/>
                <w:color w:val="000000"/>
                <w:lang w:eastAsia="en-GB"/>
              </w:rPr>
            </w:pPr>
            <w:r w:rsidRPr="007F1533">
              <w:rPr>
                <w:rFonts w:ascii="Arial" w:hAnsi="Arial" w:cs="Arial"/>
                <w:b/>
                <w:bCs/>
                <w:color w:val="000000"/>
                <w:lang w:eastAsia="en-GB"/>
              </w:rPr>
              <w:t xml:space="preserve">  As at 31 March 2024</w:t>
            </w:r>
          </w:p>
        </w:tc>
      </w:tr>
      <w:tr w:rsidR="007F1533" w:rsidRPr="007F1533" w14:paraId="18E0B877" w14:textId="77777777">
        <w:trPr>
          <w:trHeight w:val="300"/>
        </w:trPr>
        <w:tc>
          <w:tcPr>
            <w:tcW w:w="1134" w:type="dxa"/>
            <w:shd w:val="clear" w:color="auto" w:fill="DCE6F1"/>
            <w:noWrap/>
            <w:tcMar>
              <w:top w:w="0" w:type="dxa"/>
              <w:left w:w="108" w:type="dxa"/>
              <w:bottom w:w="0" w:type="dxa"/>
              <w:right w:w="108" w:type="dxa"/>
            </w:tcMar>
            <w:vAlign w:val="bottom"/>
            <w:hideMark/>
          </w:tcPr>
          <w:p w14:paraId="628F4AA8" w14:textId="77777777" w:rsidR="007F1533" w:rsidRPr="007F1533" w:rsidRDefault="007F1533">
            <w:pPr>
              <w:rPr>
                <w:rFonts w:ascii="Arial" w:hAnsi="Arial" w:cs="Arial"/>
                <w:b/>
                <w:bCs/>
                <w:color w:val="000000"/>
                <w:lang w:eastAsia="en-GB"/>
              </w:rPr>
            </w:pPr>
            <w:r w:rsidRPr="007F1533">
              <w:rPr>
                <w:rFonts w:ascii="Arial" w:hAnsi="Arial" w:cs="Arial"/>
                <w:b/>
                <w:bCs/>
                <w:color w:val="000000"/>
                <w:lang w:eastAsia="en-GB"/>
              </w:rPr>
              <w:t>Female</w:t>
            </w:r>
          </w:p>
        </w:tc>
        <w:tc>
          <w:tcPr>
            <w:tcW w:w="993" w:type="dxa"/>
            <w:noWrap/>
            <w:tcMar>
              <w:top w:w="0" w:type="dxa"/>
              <w:left w:w="108" w:type="dxa"/>
              <w:bottom w:w="0" w:type="dxa"/>
              <w:right w:w="108" w:type="dxa"/>
            </w:tcMar>
            <w:vAlign w:val="center"/>
          </w:tcPr>
          <w:p w14:paraId="2E30075E"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977</w:t>
            </w:r>
          </w:p>
        </w:tc>
        <w:tc>
          <w:tcPr>
            <w:tcW w:w="992" w:type="dxa"/>
            <w:noWrap/>
            <w:tcMar>
              <w:top w:w="0" w:type="dxa"/>
              <w:left w:w="108" w:type="dxa"/>
              <w:bottom w:w="0" w:type="dxa"/>
              <w:right w:w="108" w:type="dxa"/>
            </w:tcMar>
            <w:vAlign w:val="center"/>
          </w:tcPr>
          <w:p w14:paraId="0397700D"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56.97%</w:t>
            </w:r>
          </w:p>
        </w:tc>
        <w:tc>
          <w:tcPr>
            <w:tcW w:w="992" w:type="dxa"/>
            <w:noWrap/>
            <w:tcMar>
              <w:top w:w="0" w:type="dxa"/>
              <w:left w:w="108" w:type="dxa"/>
              <w:bottom w:w="0" w:type="dxa"/>
              <w:right w:w="108" w:type="dxa"/>
            </w:tcMar>
            <w:vAlign w:val="center"/>
          </w:tcPr>
          <w:p w14:paraId="63B26076"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2</w:t>
            </w:r>
          </w:p>
        </w:tc>
        <w:tc>
          <w:tcPr>
            <w:tcW w:w="992" w:type="dxa"/>
            <w:noWrap/>
            <w:tcMar>
              <w:top w:w="0" w:type="dxa"/>
              <w:left w:w="108" w:type="dxa"/>
              <w:bottom w:w="0" w:type="dxa"/>
              <w:right w:w="108" w:type="dxa"/>
            </w:tcMar>
            <w:vAlign w:val="center"/>
          </w:tcPr>
          <w:p w14:paraId="4D2B827B"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18.18%</w:t>
            </w:r>
          </w:p>
        </w:tc>
        <w:tc>
          <w:tcPr>
            <w:tcW w:w="993" w:type="dxa"/>
            <w:vAlign w:val="bottom"/>
          </w:tcPr>
          <w:p w14:paraId="19398CF1"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w:t>
            </w:r>
          </w:p>
        </w:tc>
        <w:tc>
          <w:tcPr>
            <w:tcW w:w="992" w:type="dxa"/>
            <w:vAlign w:val="bottom"/>
          </w:tcPr>
          <w:p w14:paraId="4FE0AE60"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20.00%</w:t>
            </w:r>
          </w:p>
        </w:tc>
        <w:tc>
          <w:tcPr>
            <w:tcW w:w="992" w:type="dxa"/>
            <w:noWrap/>
            <w:tcMar>
              <w:top w:w="0" w:type="dxa"/>
              <w:left w:w="108" w:type="dxa"/>
              <w:bottom w:w="0" w:type="dxa"/>
              <w:right w:w="108" w:type="dxa"/>
            </w:tcMar>
            <w:vAlign w:val="bottom"/>
          </w:tcPr>
          <w:p w14:paraId="798E74E2"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979</w:t>
            </w:r>
          </w:p>
        </w:tc>
        <w:tc>
          <w:tcPr>
            <w:tcW w:w="992" w:type="dxa"/>
            <w:noWrap/>
            <w:tcMar>
              <w:top w:w="0" w:type="dxa"/>
              <w:left w:w="108" w:type="dxa"/>
              <w:bottom w:w="0" w:type="dxa"/>
              <w:right w:w="108" w:type="dxa"/>
            </w:tcMar>
            <w:vAlign w:val="bottom"/>
          </w:tcPr>
          <w:p w14:paraId="69270466"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56.72%</w:t>
            </w:r>
          </w:p>
        </w:tc>
      </w:tr>
      <w:tr w:rsidR="007F1533" w:rsidRPr="007F1533" w14:paraId="2590ECA0" w14:textId="77777777">
        <w:trPr>
          <w:trHeight w:val="300"/>
        </w:trPr>
        <w:tc>
          <w:tcPr>
            <w:tcW w:w="1134" w:type="dxa"/>
            <w:shd w:val="clear" w:color="auto" w:fill="DCE6F1"/>
            <w:noWrap/>
            <w:tcMar>
              <w:top w:w="0" w:type="dxa"/>
              <w:left w:w="108" w:type="dxa"/>
              <w:bottom w:w="0" w:type="dxa"/>
              <w:right w:w="108" w:type="dxa"/>
            </w:tcMar>
            <w:vAlign w:val="bottom"/>
            <w:hideMark/>
          </w:tcPr>
          <w:p w14:paraId="001166EE" w14:textId="77777777" w:rsidR="007F1533" w:rsidRPr="007F1533" w:rsidRDefault="007F1533">
            <w:pPr>
              <w:rPr>
                <w:rFonts w:ascii="Arial" w:hAnsi="Arial" w:cs="Arial"/>
                <w:b/>
                <w:bCs/>
                <w:color w:val="000000"/>
                <w:lang w:eastAsia="en-GB"/>
              </w:rPr>
            </w:pPr>
            <w:r w:rsidRPr="007F1533">
              <w:rPr>
                <w:rFonts w:ascii="Arial" w:hAnsi="Arial" w:cs="Arial"/>
                <w:b/>
                <w:bCs/>
                <w:color w:val="000000"/>
                <w:lang w:eastAsia="en-GB"/>
              </w:rPr>
              <w:t>Male</w:t>
            </w:r>
          </w:p>
        </w:tc>
        <w:tc>
          <w:tcPr>
            <w:tcW w:w="993" w:type="dxa"/>
            <w:noWrap/>
            <w:tcMar>
              <w:top w:w="0" w:type="dxa"/>
              <w:left w:w="108" w:type="dxa"/>
              <w:bottom w:w="0" w:type="dxa"/>
              <w:right w:w="108" w:type="dxa"/>
            </w:tcMar>
            <w:vAlign w:val="center"/>
          </w:tcPr>
          <w:p w14:paraId="36A666B1"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738</w:t>
            </w:r>
          </w:p>
        </w:tc>
        <w:tc>
          <w:tcPr>
            <w:tcW w:w="992" w:type="dxa"/>
            <w:noWrap/>
            <w:tcMar>
              <w:top w:w="0" w:type="dxa"/>
              <w:left w:w="108" w:type="dxa"/>
              <w:bottom w:w="0" w:type="dxa"/>
              <w:right w:w="108" w:type="dxa"/>
            </w:tcMar>
            <w:vAlign w:val="center"/>
          </w:tcPr>
          <w:p w14:paraId="28BE70EA"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43.03%</w:t>
            </w:r>
          </w:p>
        </w:tc>
        <w:tc>
          <w:tcPr>
            <w:tcW w:w="992" w:type="dxa"/>
            <w:noWrap/>
            <w:tcMar>
              <w:top w:w="0" w:type="dxa"/>
              <w:left w:w="108" w:type="dxa"/>
              <w:bottom w:w="0" w:type="dxa"/>
              <w:right w:w="108" w:type="dxa"/>
            </w:tcMar>
            <w:vAlign w:val="center"/>
          </w:tcPr>
          <w:p w14:paraId="2CFE959A"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9</w:t>
            </w:r>
          </w:p>
        </w:tc>
        <w:tc>
          <w:tcPr>
            <w:tcW w:w="992" w:type="dxa"/>
            <w:noWrap/>
            <w:tcMar>
              <w:top w:w="0" w:type="dxa"/>
              <w:left w:w="108" w:type="dxa"/>
              <w:bottom w:w="0" w:type="dxa"/>
              <w:right w:w="108" w:type="dxa"/>
            </w:tcMar>
            <w:vAlign w:val="center"/>
          </w:tcPr>
          <w:p w14:paraId="3DBE118F"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81.82%</w:t>
            </w:r>
          </w:p>
        </w:tc>
        <w:tc>
          <w:tcPr>
            <w:tcW w:w="993" w:type="dxa"/>
            <w:vAlign w:val="bottom"/>
          </w:tcPr>
          <w:p w14:paraId="3FB461E8"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4</w:t>
            </w:r>
          </w:p>
        </w:tc>
        <w:tc>
          <w:tcPr>
            <w:tcW w:w="992" w:type="dxa"/>
            <w:vAlign w:val="bottom"/>
          </w:tcPr>
          <w:p w14:paraId="061CDBA6"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80.00%</w:t>
            </w:r>
          </w:p>
        </w:tc>
        <w:tc>
          <w:tcPr>
            <w:tcW w:w="992" w:type="dxa"/>
            <w:noWrap/>
            <w:tcMar>
              <w:top w:w="0" w:type="dxa"/>
              <w:left w:w="108" w:type="dxa"/>
              <w:bottom w:w="0" w:type="dxa"/>
              <w:right w:w="108" w:type="dxa"/>
            </w:tcMar>
            <w:vAlign w:val="bottom"/>
          </w:tcPr>
          <w:p w14:paraId="1C232508"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747</w:t>
            </w:r>
          </w:p>
        </w:tc>
        <w:tc>
          <w:tcPr>
            <w:tcW w:w="992" w:type="dxa"/>
            <w:noWrap/>
            <w:tcMar>
              <w:top w:w="0" w:type="dxa"/>
              <w:left w:w="108" w:type="dxa"/>
              <w:bottom w:w="0" w:type="dxa"/>
              <w:right w:w="108" w:type="dxa"/>
            </w:tcMar>
            <w:vAlign w:val="bottom"/>
          </w:tcPr>
          <w:p w14:paraId="0B506074"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43.28%</w:t>
            </w:r>
          </w:p>
        </w:tc>
      </w:tr>
      <w:tr w:rsidR="007F1533" w:rsidRPr="007F1533" w14:paraId="45FB4A0E" w14:textId="77777777">
        <w:trPr>
          <w:trHeight w:val="300"/>
        </w:trPr>
        <w:tc>
          <w:tcPr>
            <w:tcW w:w="1134" w:type="dxa"/>
            <w:shd w:val="clear" w:color="auto" w:fill="DCE6F1"/>
            <w:noWrap/>
            <w:tcMar>
              <w:top w:w="0" w:type="dxa"/>
              <w:left w:w="108" w:type="dxa"/>
              <w:bottom w:w="0" w:type="dxa"/>
              <w:right w:w="108" w:type="dxa"/>
            </w:tcMar>
            <w:vAlign w:val="bottom"/>
            <w:hideMark/>
          </w:tcPr>
          <w:p w14:paraId="43D28F97" w14:textId="77777777" w:rsidR="007F1533" w:rsidRPr="007F1533" w:rsidRDefault="007F1533">
            <w:pPr>
              <w:rPr>
                <w:rFonts w:ascii="Arial" w:hAnsi="Arial" w:cs="Arial"/>
                <w:b/>
                <w:color w:val="000000"/>
                <w:lang w:eastAsia="en-GB"/>
              </w:rPr>
            </w:pPr>
            <w:r w:rsidRPr="007F1533">
              <w:rPr>
                <w:rFonts w:ascii="Arial" w:hAnsi="Arial" w:cs="Arial"/>
                <w:b/>
                <w:color w:val="000000"/>
                <w:lang w:eastAsia="en-GB"/>
              </w:rPr>
              <w:t> </w:t>
            </w:r>
          </w:p>
        </w:tc>
        <w:tc>
          <w:tcPr>
            <w:tcW w:w="993" w:type="dxa"/>
            <w:shd w:val="clear" w:color="auto" w:fill="DCE6F1"/>
            <w:noWrap/>
            <w:tcMar>
              <w:top w:w="0" w:type="dxa"/>
              <w:left w:w="108" w:type="dxa"/>
              <w:bottom w:w="0" w:type="dxa"/>
              <w:right w:w="108" w:type="dxa"/>
            </w:tcMar>
            <w:vAlign w:val="center"/>
          </w:tcPr>
          <w:p w14:paraId="7FDB690C"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1,715</w:t>
            </w:r>
          </w:p>
        </w:tc>
        <w:tc>
          <w:tcPr>
            <w:tcW w:w="992" w:type="dxa"/>
            <w:shd w:val="clear" w:color="auto" w:fill="DCE6F1"/>
            <w:noWrap/>
            <w:tcMar>
              <w:top w:w="0" w:type="dxa"/>
              <w:left w:w="108" w:type="dxa"/>
              <w:bottom w:w="0" w:type="dxa"/>
              <w:right w:w="108" w:type="dxa"/>
            </w:tcMar>
            <w:vAlign w:val="center"/>
          </w:tcPr>
          <w:p w14:paraId="1F59DF5B"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 </w:t>
            </w:r>
          </w:p>
        </w:tc>
        <w:tc>
          <w:tcPr>
            <w:tcW w:w="992" w:type="dxa"/>
            <w:shd w:val="clear" w:color="auto" w:fill="DCE6F1"/>
            <w:noWrap/>
            <w:tcMar>
              <w:top w:w="0" w:type="dxa"/>
              <w:left w:w="108" w:type="dxa"/>
              <w:bottom w:w="0" w:type="dxa"/>
              <w:right w:w="108" w:type="dxa"/>
            </w:tcMar>
            <w:vAlign w:val="center"/>
          </w:tcPr>
          <w:p w14:paraId="55DA7269"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11</w:t>
            </w:r>
          </w:p>
        </w:tc>
        <w:tc>
          <w:tcPr>
            <w:tcW w:w="992" w:type="dxa"/>
            <w:shd w:val="clear" w:color="auto" w:fill="DCE6F1"/>
            <w:noWrap/>
            <w:tcMar>
              <w:top w:w="0" w:type="dxa"/>
              <w:left w:w="108" w:type="dxa"/>
              <w:bottom w:w="0" w:type="dxa"/>
              <w:right w:w="108" w:type="dxa"/>
            </w:tcMar>
            <w:vAlign w:val="center"/>
          </w:tcPr>
          <w:p w14:paraId="38640382"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 </w:t>
            </w:r>
          </w:p>
        </w:tc>
        <w:tc>
          <w:tcPr>
            <w:tcW w:w="993" w:type="dxa"/>
            <w:shd w:val="clear" w:color="auto" w:fill="DCE6F1"/>
          </w:tcPr>
          <w:p w14:paraId="6FE75223"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5</w:t>
            </w:r>
          </w:p>
        </w:tc>
        <w:tc>
          <w:tcPr>
            <w:tcW w:w="992" w:type="dxa"/>
            <w:shd w:val="clear" w:color="auto" w:fill="DCE6F1"/>
          </w:tcPr>
          <w:p w14:paraId="18470699" w14:textId="77777777" w:rsidR="007F1533" w:rsidRPr="007F1533" w:rsidRDefault="007F1533">
            <w:pPr>
              <w:jc w:val="center"/>
              <w:rPr>
                <w:rFonts w:ascii="Arial" w:hAnsi="Arial" w:cs="Arial"/>
                <w:b/>
                <w:bCs/>
                <w:color w:val="000000"/>
                <w:lang w:eastAsia="en-GB"/>
              </w:rPr>
            </w:pPr>
          </w:p>
        </w:tc>
        <w:tc>
          <w:tcPr>
            <w:tcW w:w="992" w:type="dxa"/>
            <w:shd w:val="clear" w:color="auto" w:fill="DCE6F1"/>
            <w:noWrap/>
            <w:tcMar>
              <w:top w:w="0" w:type="dxa"/>
              <w:left w:w="108" w:type="dxa"/>
              <w:bottom w:w="0" w:type="dxa"/>
              <w:right w:w="108" w:type="dxa"/>
            </w:tcMar>
            <w:vAlign w:val="bottom"/>
          </w:tcPr>
          <w:p w14:paraId="77D4D50D"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1,726</w:t>
            </w:r>
          </w:p>
        </w:tc>
        <w:tc>
          <w:tcPr>
            <w:tcW w:w="992" w:type="dxa"/>
            <w:shd w:val="clear" w:color="auto" w:fill="DCE6F1"/>
            <w:noWrap/>
            <w:tcMar>
              <w:top w:w="0" w:type="dxa"/>
              <w:left w:w="108" w:type="dxa"/>
              <w:bottom w:w="0" w:type="dxa"/>
              <w:right w:w="108" w:type="dxa"/>
            </w:tcMar>
            <w:vAlign w:val="bottom"/>
          </w:tcPr>
          <w:p w14:paraId="3AFE39C7" w14:textId="77777777" w:rsidR="007F1533" w:rsidRPr="007F1533" w:rsidRDefault="007F1533">
            <w:pPr>
              <w:jc w:val="center"/>
              <w:rPr>
                <w:rFonts w:ascii="Arial" w:hAnsi="Arial" w:cs="Arial"/>
                <w:color w:val="000000"/>
                <w:lang w:eastAsia="en-GB"/>
              </w:rPr>
            </w:pPr>
            <w:r w:rsidRPr="007F1533">
              <w:rPr>
                <w:rFonts w:ascii="Arial" w:hAnsi="Arial" w:cs="Arial"/>
                <w:b/>
                <w:color w:val="000000"/>
                <w:lang w:eastAsia="en-GB"/>
              </w:rPr>
              <w:t> </w:t>
            </w:r>
          </w:p>
        </w:tc>
      </w:tr>
      <w:tr w:rsidR="007F1533" w:rsidRPr="007F1533" w14:paraId="5490843E" w14:textId="77777777">
        <w:trPr>
          <w:trHeight w:val="300"/>
        </w:trPr>
        <w:tc>
          <w:tcPr>
            <w:tcW w:w="9072" w:type="dxa"/>
            <w:gridSpan w:val="9"/>
            <w:shd w:val="clear" w:color="auto" w:fill="DCE6F1"/>
          </w:tcPr>
          <w:p w14:paraId="5454CEDB" w14:textId="77777777" w:rsidR="007F1533" w:rsidRPr="007F1533" w:rsidRDefault="007F1533">
            <w:pPr>
              <w:rPr>
                <w:rFonts w:ascii="Arial" w:hAnsi="Arial" w:cs="Arial"/>
                <w:color w:val="000000"/>
                <w:lang w:eastAsia="en-GB"/>
              </w:rPr>
            </w:pPr>
            <w:r w:rsidRPr="007F1533">
              <w:rPr>
                <w:rFonts w:ascii="Arial" w:hAnsi="Arial" w:cs="Arial"/>
                <w:b/>
                <w:bCs/>
                <w:color w:val="000000"/>
                <w:lang w:eastAsia="en-GB"/>
              </w:rPr>
              <w:t xml:space="preserve">  As at 31 March 2023</w:t>
            </w:r>
          </w:p>
        </w:tc>
      </w:tr>
      <w:tr w:rsidR="007F1533" w:rsidRPr="007F1533" w14:paraId="46EB65E8" w14:textId="77777777">
        <w:trPr>
          <w:trHeight w:val="300"/>
        </w:trPr>
        <w:tc>
          <w:tcPr>
            <w:tcW w:w="1134" w:type="dxa"/>
            <w:shd w:val="clear" w:color="auto" w:fill="DCE6F1"/>
            <w:noWrap/>
            <w:tcMar>
              <w:top w:w="0" w:type="dxa"/>
              <w:left w:w="108" w:type="dxa"/>
              <w:bottom w:w="0" w:type="dxa"/>
              <w:right w:w="108" w:type="dxa"/>
            </w:tcMar>
            <w:vAlign w:val="bottom"/>
            <w:hideMark/>
          </w:tcPr>
          <w:p w14:paraId="472E32D0" w14:textId="77777777" w:rsidR="007F1533" w:rsidRPr="007F1533" w:rsidRDefault="007F1533">
            <w:pPr>
              <w:rPr>
                <w:rFonts w:ascii="Arial" w:hAnsi="Arial" w:cs="Arial"/>
                <w:b/>
                <w:bCs/>
                <w:color w:val="000000"/>
                <w:lang w:eastAsia="en-GB"/>
              </w:rPr>
            </w:pPr>
            <w:r w:rsidRPr="007F1533">
              <w:rPr>
                <w:rFonts w:ascii="Arial" w:hAnsi="Arial" w:cs="Arial"/>
                <w:b/>
                <w:bCs/>
                <w:color w:val="000000"/>
                <w:lang w:eastAsia="en-GB"/>
              </w:rPr>
              <w:t>Female</w:t>
            </w:r>
          </w:p>
        </w:tc>
        <w:tc>
          <w:tcPr>
            <w:tcW w:w="993" w:type="dxa"/>
            <w:noWrap/>
            <w:tcMar>
              <w:top w:w="0" w:type="dxa"/>
              <w:left w:w="108" w:type="dxa"/>
              <w:bottom w:w="0" w:type="dxa"/>
              <w:right w:w="108" w:type="dxa"/>
            </w:tcMar>
            <w:vAlign w:val="bottom"/>
            <w:hideMark/>
          </w:tcPr>
          <w:p w14:paraId="52602BCE"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948</w:t>
            </w:r>
          </w:p>
        </w:tc>
        <w:tc>
          <w:tcPr>
            <w:tcW w:w="992" w:type="dxa"/>
            <w:noWrap/>
            <w:tcMar>
              <w:top w:w="0" w:type="dxa"/>
              <w:left w:w="108" w:type="dxa"/>
              <w:bottom w:w="0" w:type="dxa"/>
              <w:right w:w="108" w:type="dxa"/>
            </w:tcMar>
            <w:vAlign w:val="bottom"/>
            <w:hideMark/>
          </w:tcPr>
          <w:p w14:paraId="4E7D5A4C"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57.91%</w:t>
            </w:r>
          </w:p>
        </w:tc>
        <w:tc>
          <w:tcPr>
            <w:tcW w:w="992" w:type="dxa"/>
            <w:noWrap/>
            <w:tcMar>
              <w:top w:w="0" w:type="dxa"/>
              <w:left w:w="108" w:type="dxa"/>
              <w:bottom w:w="0" w:type="dxa"/>
              <w:right w:w="108" w:type="dxa"/>
            </w:tcMar>
            <w:vAlign w:val="bottom"/>
            <w:hideMark/>
          </w:tcPr>
          <w:p w14:paraId="39FDF4FE"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2</w:t>
            </w:r>
          </w:p>
        </w:tc>
        <w:tc>
          <w:tcPr>
            <w:tcW w:w="992" w:type="dxa"/>
            <w:noWrap/>
            <w:tcMar>
              <w:top w:w="0" w:type="dxa"/>
              <w:left w:w="108" w:type="dxa"/>
              <w:bottom w:w="0" w:type="dxa"/>
              <w:right w:w="108" w:type="dxa"/>
            </w:tcMar>
            <w:vAlign w:val="bottom"/>
            <w:hideMark/>
          </w:tcPr>
          <w:p w14:paraId="5EAC96E1"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16.67%</w:t>
            </w:r>
          </w:p>
        </w:tc>
        <w:tc>
          <w:tcPr>
            <w:tcW w:w="993" w:type="dxa"/>
            <w:vAlign w:val="bottom"/>
          </w:tcPr>
          <w:p w14:paraId="1E251114"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w:t>
            </w:r>
          </w:p>
        </w:tc>
        <w:tc>
          <w:tcPr>
            <w:tcW w:w="992" w:type="dxa"/>
            <w:vAlign w:val="bottom"/>
          </w:tcPr>
          <w:p w14:paraId="0F0CEFDB"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20.00%</w:t>
            </w:r>
          </w:p>
        </w:tc>
        <w:tc>
          <w:tcPr>
            <w:tcW w:w="992" w:type="dxa"/>
            <w:noWrap/>
            <w:tcMar>
              <w:top w:w="0" w:type="dxa"/>
              <w:left w:w="108" w:type="dxa"/>
              <w:bottom w:w="0" w:type="dxa"/>
              <w:right w:w="108" w:type="dxa"/>
            </w:tcMar>
            <w:vAlign w:val="bottom"/>
          </w:tcPr>
          <w:p w14:paraId="7E5A51E3"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950</w:t>
            </w:r>
          </w:p>
        </w:tc>
        <w:tc>
          <w:tcPr>
            <w:tcW w:w="992" w:type="dxa"/>
            <w:noWrap/>
            <w:tcMar>
              <w:top w:w="0" w:type="dxa"/>
              <w:left w:w="108" w:type="dxa"/>
              <w:bottom w:w="0" w:type="dxa"/>
              <w:right w:w="108" w:type="dxa"/>
            </w:tcMar>
            <w:vAlign w:val="bottom"/>
          </w:tcPr>
          <w:p w14:paraId="6A046D8B"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57.61%</w:t>
            </w:r>
          </w:p>
        </w:tc>
      </w:tr>
      <w:tr w:rsidR="007F1533" w:rsidRPr="007F1533" w14:paraId="476724DD" w14:textId="77777777">
        <w:trPr>
          <w:trHeight w:val="300"/>
        </w:trPr>
        <w:tc>
          <w:tcPr>
            <w:tcW w:w="1134" w:type="dxa"/>
            <w:shd w:val="clear" w:color="auto" w:fill="DCE6F1"/>
            <w:noWrap/>
            <w:tcMar>
              <w:top w:w="0" w:type="dxa"/>
              <w:left w:w="108" w:type="dxa"/>
              <w:bottom w:w="0" w:type="dxa"/>
              <w:right w:w="108" w:type="dxa"/>
            </w:tcMar>
            <w:vAlign w:val="bottom"/>
            <w:hideMark/>
          </w:tcPr>
          <w:p w14:paraId="4FB14B26" w14:textId="77777777" w:rsidR="007F1533" w:rsidRPr="007F1533" w:rsidRDefault="007F1533">
            <w:pPr>
              <w:rPr>
                <w:rFonts w:ascii="Arial" w:hAnsi="Arial" w:cs="Arial"/>
                <w:b/>
                <w:bCs/>
                <w:color w:val="000000"/>
                <w:lang w:eastAsia="en-GB"/>
              </w:rPr>
            </w:pPr>
            <w:r w:rsidRPr="007F1533">
              <w:rPr>
                <w:rFonts w:ascii="Arial" w:hAnsi="Arial" w:cs="Arial"/>
                <w:b/>
                <w:bCs/>
                <w:color w:val="000000"/>
                <w:lang w:eastAsia="en-GB"/>
              </w:rPr>
              <w:t>Male</w:t>
            </w:r>
          </w:p>
        </w:tc>
        <w:tc>
          <w:tcPr>
            <w:tcW w:w="993" w:type="dxa"/>
            <w:noWrap/>
            <w:tcMar>
              <w:top w:w="0" w:type="dxa"/>
              <w:left w:w="108" w:type="dxa"/>
              <w:bottom w:w="0" w:type="dxa"/>
              <w:right w:w="108" w:type="dxa"/>
            </w:tcMar>
            <w:vAlign w:val="bottom"/>
            <w:hideMark/>
          </w:tcPr>
          <w:p w14:paraId="5F9CD0C9"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689</w:t>
            </w:r>
          </w:p>
        </w:tc>
        <w:tc>
          <w:tcPr>
            <w:tcW w:w="992" w:type="dxa"/>
            <w:noWrap/>
            <w:tcMar>
              <w:top w:w="0" w:type="dxa"/>
              <w:left w:w="108" w:type="dxa"/>
              <w:bottom w:w="0" w:type="dxa"/>
              <w:right w:w="108" w:type="dxa"/>
            </w:tcMar>
            <w:vAlign w:val="bottom"/>
            <w:hideMark/>
          </w:tcPr>
          <w:p w14:paraId="1E02A303"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42.09%</w:t>
            </w:r>
          </w:p>
        </w:tc>
        <w:tc>
          <w:tcPr>
            <w:tcW w:w="992" w:type="dxa"/>
            <w:noWrap/>
            <w:tcMar>
              <w:top w:w="0" w:type="dxa"/>
              <w:left w:w="108" w:type="dxa"/>
              <w:bottom w:w="0" w:type="dxa"/>
              <w:right w:w="108" w:type="dxa"/>
            </w:tcMar>
            <w:vAlign w:val="bottom"/>
            <w:hideMark/>
          </w:tcPr>
          <w:p w14:paraId="66346475"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10</w:t>
            </w:r>
          </w:p>
        </w:tc>
        <w:tc>
          <w:tcPr>
            <w:tcW w:w="992" w:type="dxa"/>
            <w:noWrap/>
            <w:tcMar>
              <w:top w:w="0" w:type="dxa"/>
              <w:left w:w="108" w:type="dxa"/>
              <w:bottom w:w="0" w:type="dxa"/>
              <w:right w:w="108" w:type="dxa"/>
            </w:tcMar>
            <w:vAlign w:val="bottom"/>
            <w:hideMark/>
          </w:tcPr>
          <w:p w14:paraId="02FEC974"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83.33%</w:t>
            </w:r>
          </w:p>
        </w:tc>
        <w:tc>
          <w:tcPr>
            <w:tcW w:w="993" w:type="dxa"/>
            <w:vAlign w:val="bottom"/>
          </w:tcPr>
          <w:p w14:paraId="03831EAB"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4</w:t>
            </w:r>
          </w:p>
        </w:tc>
        <w:tc>
          <w:tcPr>
            <w:tcW w:w="992" w:type="dxa"/>
            <w:vAlign w:val="bottom"/>
          </w:tcPr>
          <w:p w14:paraId="583C2A16"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80.00%</w:t>
            </w:r>
          </w:p>
        </w:tc>
        <w:tc>
          <w:tcPr>
            <w:tcW w:w="992" w:type="dxa"/>
            <w:noWrap/>
            <w:tcMar>
              <w:top w:w="0" w:type="dxa"/>
              <w:left w:w="108" w:type="dxa"/>
              <w:bottom w:w="0" w:type="dxa"/>
              <w:right w:w="108" w:type="dxa"/>
            </w:tcMar>
            <w:vAlign w:val="bottom"/>
          </w:tcPr>
          <w:p w14:paraId="17278605"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699</w:t>
            </w:r>
          </w:p>
        </w:tc>
        <w:tc>
          <w:tcPr>
            <w:tcW w:w="992" w:type="dxa"/>
            <w:noWrap/>
            <w:tcMar>
              <w:top w:w="0" w:type="dxa"/>
              <w:left w:w="108" w:type="dxa"/>
              <w:bottom w:w="0" w:type="dxa"/>
              <w:right w:w="108" w:type="dxa"/>
            </w:tcMar>
            <w:vAlign w:val="bottom"/>
          </w:tcPr>
          <w:p w14:paraId="624D37EB"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42.39%</w:t>
            </w:r>
          </w:p>
        </w:tc>
      </w:tr>
      <w:tr w:rsidR="007F1533" w:rsidRPr="007F1533" w14:paraId="1FD25BE6" w14:textId="77777777">
        <w:trPr>
          <w:trHeight w:val="300"/>
        </w:trPr>
        <w:tc>
          <w:tcPr>
            <w:tcW w:w="1134" w:type="dxa"/>
            <w:shd w:val="clear" w:color="auto" w:fill="DCE6F1"/>
            <w:noWrap/>
            <w:tcMar>
              <w:top w:w="0" w:type="dxa"/>
              <w:left w:w="108" w:type="dxa"/>
              <w:bottom w:w="0" w:type="dxa"/>
              <w:right w:w="108" w:type="dxa"/>
            </w:tcMar>
            <w:vAlign w:val="bottom"/>
            <w:hideMark/>
          </w:tcPr>
          <w:p w14:paraId="5AFDFABD" w14:textId="77777777" w:rsidR="007F1533" w:rsidRPr="007F1533" w:rsidRDefault="007F1533">
            <w:pPr>
              <w:rPr>
                <w:rFonts w:ascii="Arial" w:hAnsi="Arial" w:cs="Arial"/>
                <w:b/>
                <w:color w:val="000000"/>
                <w:lang w:eastAsia="en-GB"/>
              </w:rPr>
            </w:pPr>
            <w:r w:rsidRPr="007F1533">
              <w:rPr>
                <w:rFonts w:ascii="Arial" w:hAnsi="Arial" w:cs="Arial"/>
                <w:b/>
                <w:color w:val="000000"/>
                <w:lang w:eastAsia="en-GB"/>
              </w:rPr>
              <w:t> </w:t>
            </w:r>
          </w:p>
        </w:tc>
        <w:tc>
          <w:tcPr>
            <w:tcW w:w="993" w:type="dxa"/>
            <w:shd w:val="clear" w:color="auto" w:fill="DCE6F1"/>
            <w:noWrap/>
            <w:tcMar>
              <w:top w:w="0" w:type="dxa"/>
              <w:left w:w="108" w:type="dxa"/>
              <w:bottom w:w="0" w:type="dxa"/>
              <w:right w:w="108" w:type="dxa"/>
            </w:tcMar>
            <w:vAlign w:val="bottom"/>
            <w:hideMark/>
          </w:tcPr>
          <w:p w14:paraId="5C89174D" w14:textId="77777777" w:rsidR="007F1533" w:rsidRPr="007F1533" w:rsidRDefault="007F1533">
            <w:pPr>
              <w:jc w:val="center"/>
              <w:rPr>
                <w:rFonts w:ascii="Arial" w:hAnsi="Arial" w:cs="Arial"/>
                <w:b/>
                <w:color w:val="000000"/>
                <w:lang w:eastAsia="en-GB"/>
              </w:rPr>
            </w:pPr>
            <w:r w:rsidRPr="007F1533">
              <w:rPr>
                <w:rFonts w:ascii="Arial" w:hAnsi="Arial" w:cs="Arial"/>
                <w:b/>
                <w:bCs/>
                <w:color w:val="000000"/>
                <w:lang w:eastAsia="en-GB"/>
              </w:rPr>
              <w:t>1,637</w:t>
            </w:r>
          </w:p>
        </w:tc>
        <w:tc>
          <w:tcPr>
            <w:tcW w:w="992" w:type="dxa"/>
            <w:shd w:val="clear" w:color="auto" w:fill="DCE6F1"/>
            <w:noWrap/>
            <w:tcMar>
              <w:top w:w="0" w:type="dxa"/>
              <w:left w:w="108" w:type="dxa"/>
              <w:bottom w:w="0" w:type="dxa"/>
              <w:right w:w="108" w:type="dxa"/>
            </w:tcMar>
            <w:vAlign w:val="bottom"/>
            <w:hideMark/>
          </w:tcPr>
          <w:p w14:paraId="124FBB5E" w14:textId="77777777" w:rsidR="007F1533" w:rsidRPr="007F1533" w:rsidRDefault="007F1533">
            <w:pPr>
              <w:jc w:val="center"/>
              <w:rPr>
                <w:rFonts w:ascii="Arial" w:hAnsi="Arial" w:cs="Arial"/>
                <w:b/>
                <w:color w:val="000000"/>
                <w:lang w:eastAsia="en-GB"/>
              </w:rPr>
            </w:pPr>
            <w:r w:rsidRPr="007F1533">
              <w:rPr>
                <w:rFonts w:ascii="Arial" w:hAnsi="Arial" w:cs="Arial"/>
                <w:b/>
                <w:color w:val="000000"/>
                <w:lang w:eastAsia="en-GB"/>
              </w:rPr>
              <w:t> </w:t>
            </w:r>
          </w:p>
        </w:tc>
        <w:tc>
          <w:tcPr>
            <w:tcW w:w="992" w:type="dxa"/>
            <w:shd w:val="clear" w:color="auto" w:fill="DCE6F1"/>
            <w:noWrap/>
            <w:tcMar>
              <w:top w:w="0" w:type="dxa"/>
              <w:left w:w="108" w:type="dxa"/>
              <w:bottom w:w="0" w:type="dxa"/>
              <w:right w:w="108" w:type="dxa"/>
            </w:tcMar>
            <w:vAlign w:val="bottom"/>
            <w:hideMark/>
          </w:tcPr>
          <w:p w14:paraId="17D3C930" w14:textId="77777777" w:rsidR="007F1533" w:rsidRPr="007F1533" w:rsidRDefault="007F1533">
            <w:pPr>
              <w:jc w:val="center"/>
              <w:rPr>
                <w:rFonts w:ascii="Arial" w:hAnsi="Arial" w:cs="Arial"/>
                <w:b/>
                <w:color w:val="000000"/>
                <w:lang w:eastAsia="en-GB"/>
              </w:rPr>
            </w:pPr>
            <w:r w:rsidRPr="007F1533">
              <w:rPr>
                <w:rFonts w:ascii="Arial" w:hAnsi="Arial" w:cs="Arial"/>
                <w:b/>
                <w:bCs/>
                <w:color w:val="000000"/>
                <w:lang w:eastAsia="en-GB"/>
              </w:rPr>
              <w:t>12</w:t>
            </w:r>
          </w:p>
        </w:tc>
        <w:tc>
          <w:tcPr>
            <w:tcW w:w="992" w:type="dxa"/>
            <w:shd w:val="clear" w:color="auto" w:fill="DCE6F1"/>
            <w:noWrap/>
            <w:tcMar>
              <w:top w:w="0" w:type="dxa"/>
              <w:left w:w="108" w:type="dxa"/>
              <w:bottom w:w="0" w:type="dxa"/>
              <w:right w:w="108" w:type="dxa"/>
            </w:tcMar>
            <w:vAlign w:val="bottom"/>
            <w:hideMark/>
          </w:tcPr>
          <w:p w14:paraId="32D9E738" w14:textId="77777777" w:rsidR="007F1533" w:rsidRPr="007F1533" w:rsidRDefault="007F1533">
            <w:pPr>
              <w:jc w:val="center"/>
              <w:rPr>
                <w:rFonts w:ascii="Arial" w:hAnsi="Arial" w:cs="Arial"/>
                <w:b/>
                <w:color w:val="000000"/>
                <w:lang w:eastAsia="en-GB"/>
              </w:rPr>
            </w:pPr>
            <w:r w:rsidRPr="007F1533">
              <w:rPr>
                <w:rFonts w:ascii="Arial" w:hAnsi="Arial" w:cs="Arial"/>
                <w:b/>
                <w:color w:val="000000"/>
                <w:lang w:eastAsia="en-GB"/>
              </w:rPr>
              <w:t> </w:t>
            </w:r>
          </w:p>
        </w:tc>
        <w:tc>
          <w:tcPr>
            <w:tcW w:w="993" w:type="dxa"/>
            <w:shd w:val="clear" w:color="auto" w:fill="DCE6F1"/>
          </w:tcPr>
          <w:p w14:paraId="6C880C55" w14:textId="77777777" w:rsidR="007F1533" w:rsidRPr="007F1533" w:rsidRDefault="007F1533">
            <w:pPr>
              <w:jc w:val="center"/>
              <w:rPr>
                <w:rFonts w:ascii="Arial" w:hAnsi="Arial" w:cs="Arial"/>
                <w:b/>
                <w:color w:val="000000"/>
                <w:lang w:eastAsia="en-GB"/>
              </w:rPr>
            </w:pPr>
            <w:r w:rsidRPr="007F1533">
              <w:rPr>
                <w:rFonts w:ascii="Arial" w:hAnsi="Arial" w:cs="Arial"/>
                <w:b/>
                <w:bCs/>
                <w:color w:val="000000"/>
                <w:lang w:eastAsia="en-GB"/>
              </w:rPr>
              <w:t>5</w:t>
            </w:r>
          </w:p>
        </w:tc>
        <w:tc>
          <w:tcPr>
            <w:tcW w:w="992" w:type="dxa"/>
            <w:shd w:val="clear" w:color="auto" w:fill="DCE6F1"/>
          </w:tcPr>
          <w:p w14:paraId="3A4E138A" w14:textId="77777777" w:rsidR="007F1533" w:rsidRPr="007F1533" w:rsidRDefault="007F1533">
            <w:pPr>
              <w:jc w:val="center"/>
              <w:rPr>
                <w:rFonts w:ascii="Arial" w:hAnsi="Arial" w:cs="Arial"/>
                <w:b/>
                <w:color w:val="000000"/>
                <w:lang w:eastAsia="en-GB"/>
              </w:rPr>
            </w:pPr>
          </w:p>
        </w:tc>
        <w:tc>
          <w:tcPr>
            <w:tcW w:w="992" w:type="dxa"/>
            <w:shd w:val="clear" w:color="auto" w:fill="DCE6F1"/>
            <w:noWrap/>
            <w:tcMar>
              <w:top w:w="0" w:type="dxa"/>
              <w:left w:w="108" w:type="dxa"/>
              <w:bottom w:w="0" w:type="dxa"/>
              <w:right w:w="108" w:type="dxa"/>
            </w:tcMar>
            <w:vAlign w:val="bottom"/>
            <w:hideMark/>
          </w:tcPr>
          <w:p w14:paraId="605055F2" w14:textId="77777777" w:rsidR="007F1533" w:rsidRPr="007F1533" w:rsidRDefault="007F1533">
            <w:pPr>
              <w:jc w:val="center"/>
              <w:rPr>
                <w:rFonts w:ascii="Arial" w:hAnsi="Arial" w:cs="Arial"/>
                <w:b/>
                <w:color w:val="000000"/>
                <w:lang w:eastAsia="en-GB"/>
              </w:rPr>
            </w:pPr>
            <w:r w:rsidRPr="007F1533">
              <w:rPr>
                <w:rFonts w:ascii="Arial" w:hAnsi="Arial" w:cs="Arial"/>
                <w:b/>
                <w:bCs/>
                <w:color w:val="000000"/>
                <w:lang w:eastAsia="en-GB"/>
              </w:rPr>
              <w:t>1,649</w:t>
            </w:r>
          </w:p>
        </w:tc>
        <w:tc>
          <w:tcPr>
            <w:tcW w:w="992" w:type="dxa"/>
            <w:shd w:val="clear" w:color="auto" w:fill="DCE6F1"/>
            <w:noWrap/>
            <w:tcMar>
              <w:top w:w="0" w:type="dxa"/>
              <w:left w:w="108" w:type="dxa"/>
              <w:bottom w:w="0" w:type="dxa"/>
              <w:right w:w="108" w:type="dxa"/>
            </w:tcMar>
            <w:vAlign w:val="bottom"/>
            <w:hideMark/>
          </w:tcPr>
          <w:p w14:paraId="04FE0354" w14:textId="77777777" w:rsidR="007F1533" w:rsidRPr="007F1533" w:rsidRDefault="007F1533">
            <w:pPr>
              <w:jc w:val="center"/>
              <w:rPr>
                <w:rFonts w:ascii="Arial" w:hAnsi="Arial" w:cs="Arial"/>
                <w:b/>
                <w:color w:val="000000"/>
                <w:lang w:eastAsia="en-GB"/>
              </w:rPr>
            </w:pPr>
            <w:r w:rsidRPr="007F1533">
              <w:rPr>
                <w:rFonts w:ascii="Arial" w:hAnsi="Arial" w:cs="Arial"/>
                <w:b/>
                <w:color w:val="000000"/>
                <w:lang w:eastAsia="en-GB"/>
              </w:rPr>
              <w:t> </w:t>
            </w:r>
          </w:p>
        </w:tc>
      </w:tr>
    </w:tbl>
    <w:p w14:paraId="641C4ABD" w14:textId="77777777" w:rsidR="007F1533" w:rsidRPr="007F1533" w:rsidRDefault="007F1533" w:rsidP="007F1533">
      <w:pPr>
        <w:rPr>
          <w:rFonts w:ascii="Arial" w:hAnsi="Arial" w:cs="Arial"/>
        </w:rPr>
      </w:pPr>
    </w:p>
    <w:p w14:paraId="2C6C19BD" w14:textId="77777777" w:rsidR="007F1533" w:rsidRPr="007F1533" w:rsidRDefault="007F1533" w:rsidP="007F1533">
      <w:pPr>
        <w:rPr>
          <w:rFonts w:ascii="Arial" w:hAnsi="Arial" w:cs="Arial"/>
        </w:rPr>
      </w:pPr>
    </w:p>
    <w:p w14:paraId="26DD33C6" w14:textId="77777777" w:rsidR="007F1533" w:rsidRPr="007F1533" w:rsidRDefault="007F1533" w:rsidP="007F1533">
      <w:pPr>
        <w:rPr>
          <w:rFonts w:ascii="Arial" w:hAnsi="Arial" w:cs="Arial"/>
        </w:rPr>
      </w:pPr>
    </w:p>
    <w:p w14:paraId="7D138E87" w14:textId="77777777" w:rsidR="00456013" w:rsidRDefault="00456013">
      <w:pPr>
        <w:rPr>
          <w:rFonts w:ascii="Arial" w:eastAsiaTheme="majorEastAsia" w:hAnsi="Arial" w:cs="Arial"/>
          <w:b/>
          <w:iCs/>
          <w:color w:val="1F3864" w:themeColor="accent1" w:themeShade="80"/>
          <w:kern w:val="0"/>
          <w:sz w:val="28"/>
          <w14:ligatures w14:val="none"/>
        </w:rPr>
      </w:pPr>
      <w:r>
        <w:rPr>
          <w:rFonts w:cs="Arial"/>
        </w:rPr>
        <w:br w:type="page"/>
      </w:r>
    </w:p>
    <w:p w14:paraId="23DAAADA" w14:textId="477560E8" w:rsidR="007F1533" w:rsidRPr="007F1533" w:rsidRDefault="007F1533" w:rsidP="007F1533">
      <w:pPr>
        <w:pStyle w:val="Heading4"/>
        <w:rPr>
          <w:rFonts w:cs="Arial"/>
        </w:rPr>
      </w:pPr>
      <w:r w:rsidRPr="007F1533">
        <w:rPr>
          <w:rFonts w:cs="Arial"/>
        </w:rPr>
        <w:lastRenderedPageBreak/>
        <w:t>Staff Costs (audited)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4"/>
        <w:gridCol w:w="1559"/>
        <w:gridCol w:w="992"/>
        <w:gridCol w:w="992"/>
        <w:gridCol w:w="1560"/>
        <w:gridCol w:w="992"/>
        <w:gridCol w:w="963"/>
      </w:tblGrid>
      <w:tr w:rsidR="007F1533" w:rsidRPr="007F1533" w14:paraId="1722119E" w14:textId="77777777">
        <w:trPr>
          <w:trHeight w:val="300"/>
        </w:trPr>
        <w:tc>
          <w:tcPr>
            <w:tcW w:w="2014" w:type="dxa"/>
            <w:vMerge w:val="restart"/>
            <w:shd w:val="clear" w:color="auto" w:fill="DCE6F1"/>
            <w:noWrap/>
            <w:tcMar>
              <w:top w:w="0" w:type="dxa"/>
              <w:left w:w="108" w:type="dxa"/>
              <w:bottom w:w="0" w:type="dxa"/>
              <w:right w:w="108" w:type="dxa"/>
            </w:tcMar>
            <w:vAlign w:val="bottom"/>
          </w:tcPr>
          <w:p w14:paraId="16D92791" w14:textId="77777777" w:rsidR="007F1533" w:rsidRPr="007F1533" w:rsidRDefault="007F1533">
            <w:pPr>
              <w:rPr>
                <w:rFonts w:ascii="Arial" w:hAnsi="Arial" w:cs="Arial"/>
                <w:color w:val="000000"/>
                <w:lang w:eastAsia="en-GB"/>
              </w:rPr>
            </w:pPr>
            <w:bookmarkStart w:id="18" w:name="_Hlk146810739"/>
            <w:r w:rsidRPr="007F1533">
              <w:rPr>
                <w:rFonts w:ascii="Arial" w:hAnsi="Arial" w:cs="Arial"/>
                <w:color w:val="000000"/>
                <w:lang w:eastAsia="en-GB"/>
              </w:rPr>
              <w:t> </w:t>
            </w:r>
          </w:p>
        </w:tc>
        <w:tc>
          <w:tcPr>
            <w:tcW w:w="3543" w:type="dxa"/>
            <w:gridSpan w:val="3"/>
            <w:shd w:val="clear" w:color="auto" w:fill="DCE6F1"/>
            <w:noWrap/>
            <w:tcMar>
              <w:top w:w="0" w:type="dxa"/>
              <w:left w:w="108" w:type="dxa"/>
              <w:bottom w:w="0" w:type="dxa"/>
              <w:right w:w="108" w:type="dxa"/>
            </w:tcMar>
            <w:vAlign w:val="bottom"/>
          </w:tcPr>
          <w:p w14:paraId="23CFAC43"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2023-24</w:t>
            </w:r>
          </w:p>
        </w:tc>
        <w:tc>
          <w:tcPr>
            <w:tcW w:w="3515" w:type="dxa"/>
            <w:gridSpan w:val="3"/>
            <w:shd w:val="clear" w:color="auto" w:fill="DCE6F1"/>
            <w:noWrap/>
            <w:tcMar>
              <w:top w:w="0" w:type="dxa"/>
              <w:left w:w="108" w:type="dxa"/>
              <w:bottom w:w="0" w:type="dxa"/>
              <w:right w:w="108" w:type="dxa"/>
            </w:tcMar>
            <w:vAlign w:val="bottom"/>
          </w:tcPr>
          <w:p w14:paraId="71103DDC"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2022-23</w:t>
            </w:r>
          </w:p>
        </w:tc>
      </w:tr>
      <w:tr w:rsidR="007F1533" w:rsidRPr="007F1533" w14:paraId="6375BF20" w14:textId="77777777">
        <w:trPr>
          <w:trHeight w:val="300"/>
        </w:trPr>
        <w:tc>
          <w:tcPr>
            <w:tcW w:w="2014" w:type="dxa"/>
            <w:vMerge/>
            <w:shd w:val="clear" w:color="auto" w:fill="DCE6F1"/>
            <w:noWrap/>
            <w:tcMar>
              <w:top w:w="0" w:type="dxa"/>
              <w:left w:w="108" w:type="dxa"/>
              <w:bottom w:w="0" w:type="dxa"/>
              <w:right w:w="108" w:type="dxa"/>
            </w:tcMar>
            <w:vAlign w:val="bottom"/>
            <w:hideMark/>
          </w:tcPr>
          <w:p w14:paraId="110A9512" w14:textId="77777777" w:rsidR="007F1533" w:rsidRPr="007F1533" w:rsidRDefault="007F1533">
            <w:pPr>
              <w:rPr>
                <w:rFonts w:ascii="Arial" w:hAnsi="Arial" w:cs="Arial"/>
                <w:color w:val="000000"/>
                <w:lang w:eastAsia="en-GB"/>
              </w:rPr>
            </w:pPr>
          </w:p>
        </w:tc>
        <w:tc>
          <w:tcPr>
            <w:tcW w:w="1559" w:type="dxa"/>
            <w:shd w:val="clear" w:color="auto" w:fill="DCE6F1"/>
            <w:noWrap/>
            <w:tcMar>
              <w:top w:w="0" w:type="dxa"/>
              <w:left w:w="108" w:type="dxa"/>
              <w:bottom w:w="0" w:type="dxa"/>
              <w:right w:w="108" w:type="dxa"/>
            </w:tcMar>
            <w:hideMark/>
          </w:tcPr>
          <w:p w14:paraId="5E058FA1" w14:textId="77777777" w:rsidR="007F1533" w:rsidRPr="007F1533" w:rsidRDefault="007F1533">
            <w:pPr>
              <w:jc w:val="right"/>
              <w:rPr>
                <w:rFonts w:ascii="Arial" w:hAnsi="Arial" w:cs="Arial"/>
                <w:b/>
                <w:bCs/>
                <w:color w:val="000000"/>
                <w:lang w:eastAsia="en-GB"/>
              </w:rPr>
            </w:pPr>
            <w:r w:rsidRPr="007F1533">
              <w:rPr>
                <w:rFonts w:ascii="Arial" w:hAnsi="Arial" w:cs="Arial"/>
                <w:b/>
                <w:bCs/>
                <w:color w:val="000000"/>
                <w:lang w:eastAsia="en-GB"/>
              </w:rPr>
              <w:t>Permanently employed £'000</w:t>
            </w:r>
          </w:p>
        </w:tc>
        <w:tc>
          <w:tcPr>
            <w:tcW w:w="992" w:type="dxa"/>
            <w:shd w:val="clear" w:color="auto" w:fill="DCE6F1"/>
            <w:noWrap/>
            <w:tcMar>
              <w:top w:w="0" w:type="dxa"/>
              <w:left w:w="108" w:type="dxa"/>
              <w:bottom w:w="0" w:type="dxa"/>
              <w:right w:w="108" w:type="dxa"/>
            </w:tcMar>
            <w:hideMark/>
          </w:tcPr>
          <w:p w14:paraId="16640741" w14:textId="77777777" w:rsidR="007F1533" w:rsidRPr="007F1533" w:rsidRDefault="007F1533">
            <w:pPr>
              <w:jc w:val="right"/>
              <w:rPr>
                <w:rFonts w:ascii="Arial" w:hAnsi="Arial" w:cs="Arial"/>
                <w:b/>
                <w:bCs/>
                <w:color w:val="000000"/>
                <w:lang w:eastAsia="en-GB"/>
              </w:rPr>
            </w:pPr>
            <w:r w:rsidRPr="007F1533">
              <w:rPr>
                <w:rFonts w:ascii="Arial" w:hAnsi="Arial" w:cs="Arial"/>
                <w:b/>
                <w:bCs/>
                <w:color w:val="000000"/>
                <w:lang w:eastAsia="en-GB"/>
              </w:rPr>
              <w:t xml:space="preserve">Others   </w:t>
            </w:r>
          </w:p>
          <w:p w14:paraId="16771472" w14:textId="77777777" w:rsidR="007F1533" w:rsidRPr="007F1533" w:rsidRDefault="007F1533">
            <w:pPr>
              <w:jc w:val="right"/>
              <w:rPr>
                <w:rFonts w:ascii="Arial" w:hAnsi="Arial" w:cs="Arial"/>
                <w:b/>
                <w:bCs/>
                <w:color w:val="000000"/>
                <w:lang w:eastAsia="en-GB"/>
              </w:rPr>
            </w:pPr>
          </w:p>
          <w:p w14:paraId="715805FE" w14:textId="77777777" w:rsidR="007F1533" w:rsidRPr="007F1533" w:rsidRDefault="007F1533">
            <w:pPr>
              <w:jc w:val="right"/>
              <w:rPr>
                <w:rFonts w:ascii="Arial" w:hAnsi="Arial" w:cs="Arial"/>
                <w:b/>
                <w:bCs/>
                <w:color w:val="000000"/>
                <w:lang w:eastAsia="en-GB"/>
              </w:rPr>
            </w:pPr>
            <w:r w:rsidRPr="007F1533">
              <w:rPr>
                <w:rFonts w:ascii="Arial" w:hAnsi="Arial" w:cs="Arial"/>
                <w:b/>
                <w:bCs/>
                <w:color w:val="000000"/>
                <w:lang w:eastAsia="en-GB"/>
              </w:rPr>
              <w:t>£'000</w:t>
            </w:r>
          </w:p>
        </w:tc>
        <w:tc>
          <w:tcPr>
            <w:tcW w:w="992" w:type="dxa"/>
            <w:shd w:val="clear" w:color="auto" w:fill="DCE6F1"/>
            <w:noWrap/>
            <w:tcMar>
              <w:top w:w="0" w:type="dxa"/>
              <w:left w:w="108" w:type="dxa"/>
              <w:bottom w:w="0" w:type="dxa"/>
              <w:right w:w="108" w:type="dxa"/>
            </w:tcMar>
            <w:hideMark/>
          </w:tcPr>
          <w:p w14:paraId="58EAE466" w14:textId="77777777" w:rsidR="007F1533" w:rsidRPr="007F1533" w:rsidRDefault="007F1533">
            <w:pPr>
              <w:jc w:val="right"/>
              <w:rPr>
                <w:rFonts w:ascii="Arial" w:hAnsi="Arial" w:cs="Arial"/>
                <w:b/>
                <w:bCs/>
                <w:color w:val="000000"/>
                <w:lang w:eastAsia="en-GB"/>
              </w:rPr>
            </w:pPr>
            <w:r w:rsidRPr="007F1533">
              <w:rPr>
                <w:rFonts w:ascii="Arial" w:hAnsi="Arial" w:cs="Arial"/>
                <w:b/>
                <w:bCs/>
                <w:color w:val="000000"/>
                <w:lang w:eastAsia="en-GB"/>
              </w:rPr>
              <w:t xml:space="preserve">Total </w:t>
            </w:r>
          </w:p>
          <w:p w14:paraId="4648F219" w14:textId="77777777" w:rsidR="007F1533" w:rsidRPr="007F1533" w:rsidRDefault="007F1533">
            <w:pPr>
              <w:jc w:val="right"/>
              <w:rPr>
                <w:rFonts w:ascii="Arial" w:hAnsi="Arial" w:cs="Arial"/>
                <w:b/>
                <w:bCs/>
                <w:color w:val="000000"/>
                <w:lang w:eastAsia="en-GB"/>
              </w:rPr>
            </w:pPr>
          </w:p>
          <w:p w14:paraId="777C8923" w14:textId="77777777" w:rsidR="007F1533" w:rsidRPr="007F1533" w:rsidRDefault="007F1533">
            <w:pPr>
              <w:jc w:val="right"/>
              <w:rPr>
                <w:rFonts w:ascii="Arial" w:hAnsi="Arial" w:cs="Arial"/>
                <w:b/>
                <w:bCs/>
                <w:color w:val="000000"/>
                <w:lang w:eastAsia="en-GB"/>
              </w:rPr>
            </w:pPr>
            <w:r w:rsidRPr="007F1533">
              <w:rPr>
                <w:rFonts w:ascii="Arial" w:hAnsi="Arial" w:cs="Arial"/>
                <w:b/>
                <w:bCs/>
                <w:color w:val="000000"/>
                <w:lang w:eastAsia="en-GB"/>
              </w:rPr>
              <w:t>£'000</w:t>
            </w:r>
          </w:p>
        </w:tc>
        <w:tc>
          <w:tcPr>
            <w:tcW w:w="1560" w:type="dxa"/>
            <w:shd w:val="clear" w:color="auto" w:fill="DCE6F1"/>
            <w:noWrap/>
            <w:tcMar>
              <w:top w:w="0" w:type="dxa"/>
              <w:left w:w="108" w:type="dxa"/>
              <w:bottom w:w="0" w:type="dxa"/>
              <w:right w:w="108" w:type="dxa"/>
            </w:tcMar>
            <w:hideMark/>
          </w:tcPr>
          <w:p w14:paraId="7FA5FEAB" w14:textId="77777777" w:rsidR="007F1533" w:rsidRPr="007F1533" w:rsidRDefault="007F1533">
            <w:pPr>
              <w:jc w:val="right"/>
              <w:rPr>
                <w:rFonts w:ascii="Arial" w:hAnsi="Arial" w:cs="Arial"/>
                <w:b/>
                <w:bCs/>
                <w:color w:val="000000"/>
                <w:lang w:eastAsia="en-GB"/>
              </w:rPr>
            </w:pPr>
            <w:r w:rsidRPr="007F1533">
              <w:rPr>
                <w:rFonts w:ascii="Arial" w:hAnsi="Arial" w:cs="Arial"/>
                <w:b/>
                <w:bCs/>
                <w:color w:val="000000"/>
                <w:lang w:eastAsia="en-GB"/>
              </w:rPr>
              <w:t>Permanently employed £'000</w:t>
            </w:r>
          </w:p>
        </w:tc>
        <w:tc>
          <w:tcPr>
            <w:tcW w:w="992" w:type="dxa"/>
            <w:shd w:val="clear" w:color="auto" w:fill="DCE6F1"/>
            <w:noWrap/>
            <w:tcMar>
              <w:top w:w="0" w:type="dxa"/>
              <w:left w:w="108" w:type="dxa"/>
              <w:bottom w:w="0" w:type="dxa"/>
              <w:right w:w="108" w:type="dxa"/>
            </w:tcMar>
            <w:hideMark/>
          </w:tcPr>
          <w:p w14:paraId="1E27E92C" w14:textId="77777777" w:rsidR="007F1533" w:rsidRPr="007F1533" w:rsidRDefault="007F1533">
            <w:pPr>
              <w:jc w:val="right"/>
              <w:rPr>
                <w:rFonts w:ascii="Arial" w:hAnsi="Arial" w:cs="Arial"/>
                <w:b/>
                <w:bCs/>
                <w:color w:val="000000"/>
                <w:lang w:eastAsia="en-GB"/>
              </w:rPr>
            </w:pPr>
            <w:r w:rsidRPr="007F1533">
              <w:rPr>
                <w:rFonts w:ascii="Arial" w:hAnsi="Arial" w:cs="Arial"/>
                <w:b/>
                <w:bCs/>
                <w:color w:val="000000"/>
                <w:lang w:eastAsia="en-GB"/>
              </w:rPr>
              <w:t xml:space="preserve">Others   </w:t>
            </w:r>
          </w:p>
          <w:p w14:paraId="7C290AFB" w14:textId="77777777" w:rsidR="007F1533" w:rsidRPr="007F1533" w:rsidRDefault="007F1533">
            <w:pPr>
              <w:jc w:val="right"/>
              <w:rPr>
                <w:rFonts w:ascii="Arial" w:hAnsi="Arial" w:cs="Arial"/>
                <w:b/>
                <w:bCs/>
                <w:color w:val="000000"/>
                <w:lang w:eastAsia="en-GB"/>
              </w:rPr>
            </w:pPr>
          </w:p>
          <w:p w14:paraId="4D9742C2" w14:textId="77777777" w:rsidR="007F1533" w:rsidRPr="007F1533" w:rsidRDefault="007F1533">
            <w:pPr>
              <w:jc w:val="right"/>
              <w:rPr>
                <w:rFonts w:ascii="Arial" w:hAnsi="Arial" w:cs="Arial"/>
                <w:b/>
                <w:bCs/>
                <w:color w:val="000000"/>
                <w:lang w:eastAsia="en-GB"/>
              </w:rPr>
            </w:pPr>
            <w:r w:rsidRPr="007F1533">
              <w:rPr>
                <w:rFonts w:ascii="Arial" w:hAnsi="Arial" w:cs="Arial"/>
                <w:b/>
                <w:bCs/>
                <w:color w:val="000000"/>
                <w:lang w:eastAsia="en-GB"/>
              </w:rPr>
              <w:t>£'000</w:t>
            </w:r>
          </w:p>
        </w:tc>
        <w:tc>
          <w:tcPr>
            <w:tcW w:w="963" w:type="dxa"/>
            <w:shd w:val="clear" w:color="auto" w:fill="DCE6F1"/>
            <w:noWrap/>
            <w:tcMar>
              <w:top w:w="0" w:type="dxa"/>
              <w:left w:w="108" w:type="dxa"/>
              <w:bottom w:w="0" w:type="dxa"/>
              <w:right w:w="108" w:type="dxa"/>
            </w:tcMar>
            <w:hideMark/>
          </w:tcPr>
          <w:p w14:paraId="3EE8E4D1" w14:textId="77777777" w:rsidR="007F1533" w:rsidRPr="007F1533" w:rsidRDefault="007F1533">
            <w:pPr>
              <w:jc w:val="right"/>
              <w:rPr>
                <w:rFonts w:ascii="Arial" w:hAnsi="Arial" w:cs="Arial"/>
                <w:b/>
                <w:bCs/>
                <w:color w:val="000000"/>
                <w:lang w:eastAsia="en-GB"/>
              </w:rPr>
            </w:pPr>
            <w:r w:rsidRPr="007F1533">
              <w:rPr>
                <w:rFonts w:ascii="Arial" w:hAnsi="Arial" w:cs="Arial"/>
                <w:b/>
                <w:bCs/>
                <w:color w:val="000000"/>
                <w:lang w:eastAsia="en-GB"/>
              </w:rPr>
              <w:t xml:space="preserve">Total </w:t>
            </w:r>
          </w:p>
          <w:p w14:paraId="079F05B0" w14:textId="77777777" w:rsidR="007F1533" w:rsidRPr="007F1533" w:rsidRDefault="007F1533">
            <w:pPr>
              <w:jc w:val="right"/>
              <w:rPr>
                <w:rFonts w:ascii="Arial" w:hAnsi="Arial" w:cs="Arial"/>
                <w:b/>
                <w:bCs/>
                <w:color w:val="000000"/>
                <w:lang w:eastAsia="en-GB"/>
              </w:rPr>
            </w:pPr>
          </w:p>
          <w:p w14:paraId="7AA9E9A8" w14:textId="77777777" w:rsidR="007F1533" w:rsidRPr="007F1533" w:rsidRDefault="007F1533">
            <w:pPr>
              <w:jc w:val="right"/>
              <w:rPr>
                <w:rFonts w:ascii="Arial" w:hAnsi="Arial" w:cs="Arial"/>
                <w:b/>
                <w:bCs/>
                <w:color w:val="000000"/>
                <w:lang w:eastAsia="en-GB"/>
              </w:rPr>
            </w:pPr>
            <w:r w:rsidRPr="007F1533">
              <w:rPr>
                <w:rFonts w:ascii="Arial" w:hAnsi="Arial" w:cs="Arial"/>
                <w:b/>
                <w:bCs/>
                <w:color w:val="000000"/>
                <w:lang w:eastAsia="en-GB"/>
              </w:rPr>
              <w:t>£'000</w:t>
            </w:r>
          </w:p>
        </w:tc>
      </w:tr>
      <w:tr w:rsidR="007F1533" w:rsidRPr="007F1533" w14:paraId="7ADF7573" w14:textId="77777777">
        <w:trPr>
          <w:trHeight w:val="300"/>
        </w:trPr>
        <w:tc>
          <w:tcPr>
            <w:tcW w:w="2014" w:type="dxa"/>
            <w:shd w:val="clear" w:color="auto" w:fill="DCE6F1"/>
            <w:noWrap/>
            <w:tcMar>
              <w:top w:w="0" w:type="dxa"/>
              <w:left w:w="108" w:type="dxa"/>
              <w:bottom w:w="0" w:type="dxa"/>
              <w:right w:w="108" w:type="dxa"/>
            </w:tcMar>
            <w:vAlign w:val="bottom"/>
            <w:hideMark/>
          </w:tcPr>
          <w:p w14:paraId="37321A73" w14:textId="77777777" w:rsidR="007F1533" w:rsidRPr="007F1533" w:rsidRDefault="007F1533">
            <w:pPr>
              <w:rPr>
                <w:rFonts w:ascii="Arial" w:hAnsi="Arial" w:cs="Arial"/>
                <w:b/>
                <w:bCs/>
                <w:color w:val="000000"/>
                <w:lang w:eastAsia="en-GB"/>
              </w:rPr>
            </w:pPr>
            <w:r w:rsidRPr="007F1533">
              <w:rPr>
                <w:rFonts w:ascii="Arial" w:hAnsi="Arial" w:cs="Arial"/>
                <w:b/>
                <w:bCs/>
                <w:color w:val="000000"/>
                <w:lang w:eastAsia="en-GB"/>
              </w:rPr>
              <w:t>Wages and salaries</w:t>
            </w:r>
          </w:p>
        </w:tc>
        <w:tc>
          <w:tcPr>
            <w:tcW w:w="1559" w:type="dxa"/>
            <w:noWrap/>
            <w:tcMar>
              <w:top w:w="0" w:type="dxa"/>
              <w:left w:w="108" w:type="dxa"/>
              <w:bottom w:w="0" w:type="dxa"/>
              <w:right w:w="108" w:type="dxa"/>
            </w:tcMar>
          </w:tcPr>
          <w:p w14:paraId="182D6FDE" w14:textId="77777777" w:rsidR="007F1533" w:rsidRPr="007F1533" w:rsidRDefault="007F1533">
            <w:pPr>
              <w:jc w:val="right"/>
              <w:rPr>
                <w:rFonts w:ascii="Arial" w:hAnsi="Arial" w:cs="Arial"/>
              </w:rPr>
            </w:pPr>
            <w:r w:rsidRPr="007F1533">
              <w:rPr>
                <w:rFonts w:ascii="Arial" w:hAnsi="Arial" w:cs="Arial"/>
              </w:rPr>
              <w:t>63,816</w:t>
            </w:r>
          </w:p>
        </w:tc>
        <w:tc>
          <w:tcPr>
            <w:tcW w:w="992" w:type="dxa"/>
            <w:noWrap/>
            <w:tcMar>
              <w:top w:w="0" w:type="dxa"/>
              <w:left w:w="108" w:type="dxa"/>
              <w:bottom w:w="0" w:type="dxa"/>
              <w:right w:w="108" w:type="dxa"/>
            </w:tcMar>
          </w:tcPr>
          <w:p w14:paraId="22295312" w14:textId="77777777" w:rsidR="007F1533" w:rsidRPr="007F1533" w:rsidRDefault="007F1533">
            <w:pPr>
              <w:jc w:val="right"/>
              <w:rPr>
                <w:rFonts w:ascii="Arial" w:hAnsi="Arial" w:cs="Arial"/>
              </w:rPr>
            </w:pPr>
            <w:r w:rsidRPr="007F1533">
              <w:rPr>
                <w:rFonts w:ascii="Arial" w:hAnsi="Arial" w:cs="Arial"/>
              </w:rPr>
              <w:t>12,636</w:t>
            </w:r>
          </w:p>
        </w:tc>
        <w:tc>
          <w:tcPr>
            <w:tcW w:w="992" w:type="dxa"/>
            <w:noWrap/>
            <w:tcMar>
              <w:top w:w="0" w:type="dxa"/>
              <w:left w:w="108" w:type="dxa"/>
              <w:bottom w:w="0" w:type="dxa"/>
              <w:right w:w="108" w:type="dxa"/>
            </w:tcMar>
          </w:tcPr>
          <w:p w14:paraId="26648E97" w14:textId="77777777" w:rsidR="007F1533" w:rsidRPr="007F1533" w:rsidRDefault="007F1533">
            <w:pPr>
              <w:jc w:val="right"/>
              <w:rPr>
                <w:rFonts w:ascii="Arial" w:hAnsi="Arial" w:cs="Arial"/>
                <w:b/>
              </w:rPr>
            </w:pPr>
            <w:r w:rsidRPr="007F1533">
              <w:rPr>
                <w:rFonts w:ascii="Arial" w:hAnsi="Arial" w:cs="Arial"/>
                <w:b/>
              </w:rPr>
              <w:t>76,452</w:t>
            </w:r>
          </w:p>
        </w:tc>
        <w:tc>
          <w:tcPr>
            <w:tcW w:w="1560" w:type="dxa"/>
            <w:noWrap/>
            <w:tcMar>
              <w:top w:w="0" w:type="dxa"/>
              <w:left w:w="108" w:type="dxa"/>
              <w:bottom w:w="0" w:type="dxa"/>
              <w:right w:w="108" w:type="dxa"/>
            </w:tcMar>
          </w:tcPr>
          <w:p w14:paraId="7ABF0168" w14:textId="77777777" w:rsidR="007F1533" w:rsidRPr="007F1533" w:rsidRDefault="007F1533">
            <w:pPr>
              <w:jc w:val="right"/>
              <w:rPr>
                <w:rFonts w:ascii="Arial" w:hAnsi="Arial" w:cs="Arial"/>
                <w:highlight w:val="yellow"/>
              </w:rPr>
            </w:pPr>
            <w:r w:rsidRPr="007F1533">
              <w:rPr>
                <w:rFonts w:ascii="Arial" w:hAnsi="Arial" w:cs="Arial"/>
              </w:rPr>
              <w:t>56,512</w:t>
            </w:r>
          </w:p>
        </w:tc>
        <w:tc>
          <w:tcPr>
            <w:tcW w:w="992" w:type="dxa"/>
            <w:noWrap/>
            <w:tcMar>
              <w:top w:w="0" w:type="dxa"/>
              <w:left w:w="108" w:type="dxa"/>
              <w:bottom w:w="0" w:type="dxa"/>
              <w:right w:w="108" w:type="dxa"/>
            </w:tcMar>
          </w:tcPr>
          <w:p w14:paraId="0CA5E8B9" w14:textId="77777777" w:rsidR="007F1533" w:rsidRPr="007F1533" w:rsidRDefault="007F1533">
            <w:pPr>
              <w:jc w:val="right"/>
              <w:rPr>
                <w:rFonts w:ascii="Arial" w:hAnsi="Arial" w:cs="Arial"/>
                <w:highlight w:val="yellow"/>
              </w:rPr>
            </w:pPr>
            <w:r w:rsidRPr="007F1533">
              <w:rPr>
                <w:rFonts w:ascii="Arial" w:hAnsi="Arial" w:cs="Arial"/>
              </w:rPr>
              <w:t>10,400</w:t>
            </w:r>
            <w:r w:rsidRPr="007F1533">
              <w:rPr>
                <w:rFonts w:ascii="Arial" w:hAnsi="Arial" w:cs="Arial"/>
                <w:highlight w:val="yellow"/>
              </w:rPr>
              <w:t xml:space="preserve"> </w:t>
            </w:r>
          </w:p>
        </w:tc>
        <w:tc>
          <w:tcPr>
            <w:tcW w:w="963" w:type="dxa"/>
            <w:noWrap/>
            <w:tcMar>
              <w:top w:w="0" w:type="dxa"/>
              <w:left w:w="108" w:type="dxa"/>
              <w:bottom w:w="0" w:type="dxa"/>
              <w:right w:w="108" w:type="dxa"/>
            </w:tcMar>
          </w:tcPr>
          <w:p w14:paraId="53DDB116" w14:textId="77777777" w:rsidR="007F1533" w:rsidRPr="007F1533" w:rsidRDefault="007F1533">
            <w:pPr>
              <w:jc w:val="right"/>
              <w:rPr>
                <w:rFonts w:ascii="Arial" w:hAnsi="Arial" w:cs="Arial"/>
                <w:b/>
              </w:rPr>
            </w:pPr>
            <w:r w:rsidRPr="007F1533">
              <w:rPr>
                <w:rFonts w:ascii="Arial" w:hAnsi="Arial" w:cs="Arial"/>
                <w:b/>
              </w:rPr>
              <w:t>66,912</w:t>
            </w:r>
          </w:p>
        </w:tc>
      </w:tr>
      <w:tr w:rsidR="007F1533" w:rsidRPr="007F1533" w14:paraId="20D7B365" w14:textId="77777777">
        <w:trPr>
          <w:trHeight w:val="300"/>
        </w:trPr>
        <w:tc>
          <w:tcPr>
            <w:tcW w:w="2014" w:type="dxa"/>
            <w:shd w:val="clear" w:color="auto" w:fill="DCE6F1"/>
            <w:noWrap/>
            <w:tcMar>
              <w:top w:w="0" w:type="dxa"/>
              <w:left w:w="108" w:type="dxa"/>
              <w:bottom w:w="0" w:type="dxa"/>
              <w:right w:w="108" w:type="dxa"/>
            </w:tcMar>
            <w:vAlign w:val="bottom"/>
            <w:hideMark/>
          </w:tcPr>
          <w:p w14:paraId="69A9C286" w14:textId="77777777" w:rsidR="007F1533" w:rsidRPr="007F1533" w:rsidRDefault="007F1533">
            <w:pPr>
              <w:rPr>
                <w:rFonts w:ascii="Arial" w:hAnsi="Arial" w:cs="Arial"/>
                <w:b/>
                <w:bCs/>
                <w:color w:val="000000"/>
                <w:lang w:eastAsia="en-GB"/>
              </w:rPr>
            </w:pPr>
            <w:r w:rsidRPr="007F1533">
              <w:rPr>
                <w:rFonts w:ascii="Arial" w:hAnsi="Arial" w:cs="Arial"/>
                <w:b/>
                <w:bCs/>
                <w:color w:val="000000"/>
                <w:lang w:eastAsia="en-GB"/>
              </w:rPr>
              <w:t>Social security costs</w:t>
            </w:r>
          </w:p>
        </w:tc>
        <w:tc>
          <w:tcPr>
            <w:tcW w:w="1559" w:type="dxa"/>
            <w:noWrap/>
            <w:tcMar>
              <w:top w:w="0" w:type="dxa"/>
              <w:left w:w="108" w:type="dxa"/>
              <w:bottom w:w="0" w:type="dxa"/>
              <w:right w:w="108" w:type="dxa"/>
            </w:tcMar>
          </w:tcPr>
          <w:p w14:paraId="3098715D" w14:textId="77777777" w:rsidR="007F1533" w:rsidRPr="007F1533" w:rsidRDefault="007F1533">
            <w:pPr>
              <w:jc w:val="right"/>
              <w:rPr>
                <w:rFonts w:ascii="Arial" w:hAnsi="Arial" w:cs="Arial"/>
              </w:rPr>
            </w:pPr>
            <w:r w:rsidRPr="007F1533">
              <w:rPr>
                <w:rFonts w:ascii="Arial" w:hAnsi="Arial" w:cs="Arial"/>
              </w:rPr>
              <w:t>6,644</w:t>
            </w:r>
          </w:p>
        </w:tc>
        <w:tc>
          <w:tcPr>
            <w:tcW w:w="992" w:type="dxa"/>
            <w:noWrap/>
            <w:tcMar>
              <w:top w:w="0" w:type="dxa"/>
              <w:left w:w="108" w:type="dxa"/>
              <w:bottom w:w="0" w:type="dxa"/>
              <w:right w:w="108" w:type="dxa"/>
            </w:tcMar>
          </w:tcPr>
          <w:p w14:paraId="6341B8BA" w14:textId="77777777" w:rsidR="007F1533" w:rsidRPr="007F1533" w:rsidRDefault="007F1533">
            <w:pPr>
              <w:jc w:val="right"/>
              <w:rPr>
                <w:rFonts w:ascii="Arial" w:hAnsi="Arial" w:cs="Arial"/>
              </w:rPr>
            </w:pPr>
            <w:r w:rsidRPr="007F1533">
              <w:rPr>
                <w:rFonts w:ascii="Arial" w:hAnsi="Arial" w:cs="Arial"/>
              </w:rPr>
              <w:t xml:space="preserve">-   </w:t>
            </w:r>
          </w:p>
        </w:tc>
        <w:tc>
          <w:tcPr>
            <w:tcW w:w="992" w:type="dxa"/>
            <w:noWrap/>
            <w:tcMar>
              <w:top w:w="0" w:type="dxa"/>
              <w:left w:w="108" w:type="dxa"/>
              <w:bottom w:w="0" w:type="dxa"/>
              <w:right w:w="108" w:type="dxa"/>
            </w:tcMar>
          </w:tcPr>
          <w:p w14:paraId="6B589D65" w14:textId="77777777" w:rsidR="007F1533" w:rsidRPr="007F1533" w:rsidRDefault="007F1533">
            <w:pPr>
              <w:jc w:val="right"/>
              <w:rPr>
                <w:rFonts w:ascii="Arial" w:hAnsi="Arial" w:cs="Arial"/>
                <w:b/>
                <w:bCs/>
              </w:rPr>
            </w:pPr>
            <w:r w:rsidRPr="007F1533">
              <w:rPr>
                <w:rFonts w:ascii="Arial" w:hAnsi="Arial" w:cs="Arial"/>
                <w:b/>
                <w:bCs/>
              </w:rPr>
              <w:t>6,644</w:t>
            </w:r>
          </w:p>
        </w:tc>
        <w:tc>
          <w:tcPr>
            <w:tcW w:w="1560" w:type="dxa"/>
            <w:noWrap/>
            <w:tcMar>
              <w:top w:w="0" w:type="dxa"/>
              <w:left w:w="108" w:type="dxa"/>
              <w:bottom w:w="0" w:type="dxa"/>
              <w:right w:w="108" w:type="dxa"/>
            </w:tcMar>
          </w:tcPr>
          <w:p w14:paraId="419B2620" w14:textId="77777777" w:rsidR="007F1533" w:rsidRPr="007F1533" w:rsidRDefault="007F1533">
            <w:pPr>
              <w:jc w:val="right"/>
              <w:rPr>
                <w:rFonts w:ascii="Arial" w:hAnsi="Arial" w:cs="Arial"/>
              </w:rPr>
            </w:pPr>
            <w:r w:rsidRPr="007F1533">
              <w:rPr>
                <w:rFonts w:ascii="Arial" w:hAnsi="Arial" w:cs="Arial"/>
              </w:rPr>
              <w:t>6,071</w:t>
            </w:r>
          </w:p>
        </w:tc>
        <w:tc>
          <w:tcPr>
            <w:tcW w:w="992" w:type="dxa"/>
            <w:noWrap/>
            <w:tcMar>
              <w:top w:w="0" w:type="dxa"/>
              <w:left w:w="108" w:type="dxa"/>
              <w:bottom w:w="0" w:type="dxa"/>
              <w:right w:w="108" w:type="dxa"/>
            </w:tcMar>
          </w:tcPr>
          <w:p w14:paraId="78126BF8" w14:textId="77777777" w:rsidR="007F1533" w:rsidRPr="007F1533" w:rsidRDefault="007F1533">
            <w:pPr>
              <w:jc w:val="right"/>
              <w:rPr>
                <w:rFonts w:ascii="Arial" w:hAnsi="Arial" w:cs="Arial"/>
              </w:rPr>
            </w:pPr>
            <w:r w:rsidRPr="007F1533">
              <w:rPr>
                <w:rFonts w:ascii="Arial" w:hAnsi="Arial" w:cs="Arial"/>
              </w:rPr>
              <w:t xml:space="preserve">-   </w:t>
            </w:r>
          </w:p>
        </w:tc>
        <w:tc>
          <w:tcPr>
            <w:tcW w:w="963" w:type="dxa"/>
            <w:noWrap/>
            <w:tcMar>
              <w:top w:w="0" w:type="dxa"/>
              <w:left w:w="108" w:type="dxa"/>
              <w:bottom w:w="0" w:type="dxa"/>
              <w:right w:w="108" w:type="dxa"/>
            </w:tcMar>
          </w:tcPr>
          <w:p w14:paraId="75C4FAD5" w14:textId="77777777" w:rsidR="007F1533" w:rsidRPr="007F1533" w:rsidRDefault="007F1533">
            <w:pPr>
              <w:jc w:val="right"/>
              <w:rPr>
                <w:rFonts w:ascii="Arial" w:hAnsi="Arial" w:cs="Arial"/>
                <w:b/>
              </w:rPr>
            </w:pPr>
            <w:r w:rsidRPr="007F1533">
              <w:rPr>
                <w:rFonts w:ascii="Arial" w:hAnsi="Arial" w:cs="Arial"/>
                <w:b/>
                <w:bCs/>
              </w:rPr>
              <w:t>6,071</w:t>
            </w:r>
          </w:p>
        </w:tc>
      </w:tr>
      <w:tr w:rsidR="007F1533" w:rsidRPr="007F1533" w14:paraId="6B370F4A" w14:textId="77777777">
        <w:trPr>
          <w:trHeight w:val="300"/>
        </w:trPr>
        <w:tc>
          <w:tcPr>
            <w:tcW w:w="2014" w:type="dxa"/>
            <w:shd w:val="clear" w:color="auto" w:fill="DCE6F1"/>
            <w:noWrap/>
            <w:tcMar>
              <w:top w:w="0" w:type="dxa"/>
              <w:left w:w="108" w:type="dxa"/>
              <w:bottom w:w="0" w:type="dxa"/>
              <w:right w:w="108" w:type="dxa"/>
            </w:tcMar>
            <w:vAlign w:val="bottom"/>
            <w:hideMark/>
          </w:tcPr>
          <w:p w14:paraId="0E09E078" w14:textId="77777777" w:rsidR="007F1533" w:rsidRPr="007F1533" w:rsidRDefault="007F1533">
            <w:pPr>
              <w:rPr>
                <w:rFonts w:ascii="Arial" w:hAnsi="Arial" w:cs="Arial"/>
                <w:b/>
                <w:bCs/>
                <w:color w:val="000000"/>
                <w:lang w:eastAsia="en-GB"/>
              </w:rPr>
            </w:pPr>
            <w:r w:rsidRPr="007F1533">
              <w:rPr>
                <w:rFonts w:ascii="Arial" w:hAnsi="Arial" w:cs="Arial"/>
                <w:b/>
                <w:bCs/>
                <w:color w:val="000000"/>
                <w:lang w:eastAsia="en-GB"/>
              </w:rPr>
              <w:t>Other pension costs</w:t>
            </w:r>
          </w:p>
        </w:tc>
        <w:tc>
          <w:tcPr>
            <w:tcW w:w="1559" w:type="dxa"/>
            <w:noWrap/>
            <w:tcMar>
              <w:top w:w="0" w:type="dxa"/>
              <w:left w:w="108" w:type="dxa"/>
              <w:bottom w:w="0" w:type="dxa"/>
              <w:right w:w="108" w:type="dxa"/>
            </w:tcMar>
          </w:tcPr>
          <w:p w14:paraId="2BF5069B" w14:textId="77777777" w:rsidR="007F1533" w:rsidRPr="007F1533" w:rsidRDefault="007F1533">
            <w:pPr>
              <w:jc w:val="right"/>
              <w:rPr>
                <w:rFonts w:ascii="Arial" w:hAnsi="Arial" w:cs="Arial"/>
              </w:rPr>
            </w:pPr>
            <w:r w:rsidRPr="007F1533">
              <w:rPr>
                <w:rFonts w:ascii="Arial" w:hAnsi="Arial" w:cs="Arial"/>
              </w:rPr>
              <w:t>16,014</w:t>
            </w:r>
          </w:p>
        </w:tc>
        <w:tc>
          <w:tcPr>
            <w:tcW w:w="992" w:type="dxa"/>
            <w:noWrap/>
            <w:tcMar>
              <w:top w:w="0" w:type="dxa"/>
              <w:left w:w="108" w:type="dxa"/>
              <w:bottom w:w="0" w:type="dxa"/>
              <w:right w:w="108" w:type="dxa"/>
            </w:tcMar>
          </w:tcPr>
          <w:p w14:paraId="720B25D2" w14:textId="77777777" w:rsidR="007F1533" w:rsidRPr="007F1533" w:rsidRDefault="007F1533">
            <w:pPr>
              <w:jc w:val="right"/>
              <w:rPr>
                <w:rFonts w:ascii="Arial" w:hAnsi="Arial" w:cs="Arial"/>
              </w:rPr>
            </w:pPr>
            <w:r w:rsidRPr="007F1533">
              <w:rPr>
                <w:rFonts w:ascii="Arial" w:hAnsi="Arial" w:cs="Arial"/>
              </w:rPr>
              <w:t xml:space="preserve">-   </w:t>
            </w:r>
          </w:p>
        </w:tc>
        <w:tc>
          <w:tcPr>
            <w:tcW w:w="992" w:type="dxa"/>
            <w:noWrap/>
            <w:tcMar>
              <w:top w:w="0" w:type="dxa"/>
              <w:left w:w="108" w:type="dxa"/>
              <w:bottom w:w="0" w:type="dxa"/>
              <w:right w:w="108" w:type="dxa"/>
            </w:tcMar>
          </w:tcPr>
          <w:p w14:paraId="30B6EE5D" w14:textId="77777777" w:rsidR="007F1533" w:rsidRPr="007F1533" w:rsidRDefault="007F1533">
            <w:pPr>
              <w:jc w:val="right"/>
              <w:rPr>
                <w:rFonts w:ascii="Arial" w:hAnsi="Arial" w:cs="Arial"/>
                <w:b/>
              </w:rPr>
            </w:pPr>
            <w:r w:rsidRPr="007F1533">
              <w:rPr>
                <w:rFonts w:ascii="Arial" w:hAnsi="Arial" w:cs="Arial"/>
                <w:b/>
              </w:rPr>
              <w:t>16,014</w:t>
            </w:r>
          </w:p>
        </w:tc>
        <w:tc>
          <w:tcPr>
            <w:tcW w:w="1560" w:type="dxa"/>
            <w:noWrap/>
            <w:tcMar>
              <w:top w:w="0" w:type="dxa"/>
              <w:left w:w="108" w:type="dxa"/>
              <w:bottom w:w="0" w:type="dxa"/>
              <w:right w:w="108" w:type="dxa"/>
            </w:tcMar>
          </w:tcPr>
          <w:p w14:paraId="74E33009" w14:textId="77777777" w:rsidR="007F1533" w:rsidRPr="007F1533" w:rsidRDefault="007F1533">
            <w:pPr>
              <w:jc w:val="right"/>
              <w:rPr>
                <w:rFonts w:ascii="Arial" w:hAnsi="Arial" w:cs="Arial"/>
              </w:rPr>
            </w:pPr>
            <w:r w:rsidRPr="007F1533">
              <w:rPr>
                <w:rFonts w:ascii="Arial" w:hAnsi="Arial" w:cs="Arial"/>
              </w:rPr>
              <w:t>14,894</w:t>
            </w:r>
          </w:p>
        </w:tc>
        <w:tc>
          <w:tcPr>
            <w:tcW w:w="992" w:type="dxa"/>
            <w:noWrap/>
            <w:tcMar>
              <w:top w:w="0" w:type="dxa"/>
              <w:left w:w="108" w:type="dxa"/>
              <w:bottom w:w="0" w:type="dxa"/>
              <w:right w:w="108" w:type="dxa"/>
            </w:tcMar>
          </w:tcPr>
          <w:p w14:paraId="4AB6C9B2" w14:textId="77777777" w:rsidR="007F1533" w:rsidRPr="007F1533" w:rsidRDefault="007F1533">
            <w:pPr>
              <w:jc w:val="right"/>
              <w:rPr>
                <w:rFonts w:ascii="Arial" w:hAnsi="Arial" w:cs="Arial"/>
              </w:rPr>
            </w:pPr>
            <w:r w:rsidRPr="007F1533">
              <w:rPr>
                <w:rFonts w:ascii="Arial" w:hAnsi="Arial" w:cs="Arial"/>
              </w:rPr>
              <w:t xml:space="preserve">-   </w:t>
            </w:r>
          </w:p>
        </w:tc>
        <w:tc>
          <w:tcPr>
            <w:tcW w:w="963" w:type="dxa"/>
            <w:noWrap/>
            <w:tcMar>
              <w:top w:w="0" w:type="dxa"/>
              <w:left w:w="108" w:type="dxa"/>
              <w:bottom w:w="0" w:type="dxa"/>
              <w:right w:w="108" w:type="dxa"/>
            </w:tcMar>
          </w:tcPr>
          <w:p w14:paraId="61649864" w14:textId="77777777" w:rsidR="007F1533" w:rsidRPr="007F1533" w:rsidRDefault="007F1533">
            <w:pPr>
              <w:jc w:val="right"/>
              <w:rPr>
                <w:rFonts w:ascii="Arial" w:hAnsi="Arial" w:cs="Arial"/>
                <w:b/>
              </w:rPr>
            </w:pPr>
            <w:r w:rsidRPr="007F1533">
              <w:rPr>
                <w:rFonts w:ascii="Arial" w:hAnsi="Arial" w:cs="Arial"/>
                <w:b/>
              </w:rPr>
              <w:t>14,894</w:t>
            </w:r>
          </w:p>
        </w:tc>
      </w:tr>
      <w:tr w:rsidR="007F1533" w:rsidRPr="007F1533" w14:paraId="5A182C96" w14:textId="77777777">
        <w:trPr>
          <w:trHeight w:val="300"/>
        </w:trPr>
        <w:tc>
          <w:tcPr>
            <w:tcW w:w="2014" w:type="dxa"/>
            <w:shd w:val="clear" w:color="auto" w:fill="DCE6F1"/>
            <w:noWrap/>
            <w:tcMar>
              <w:top w:w="0" w:type="dxa"/>
              <w:left w:w="108" w:type="dxa"/>
              <w:bottom w:w="0" w:type="dxa"/>
              <w:right w:w="108" w:type="dxa"/>
            </w:tcMar>
            <w:vAlign w:val="bottom"/>
            <w:hideMark/>
          </w:tcPr>
          <w:p w14:paraId="3A52775B" w14:textId="77777777" w:rsidR="007F1533" w:rsidRPr="007F1533" w:rsidRDefault="007F1533">
            <w:pPr>
              <w:spacing w:after="200"/>
              <w:rPr>
                <w:rFonts w:ascii="Arial" w:hAnsi="Arial" w:cs="Arial"/>
                <w:b/>
                <w:lang w:eastAsia="en-GB"/>
              </w:rPr>
            </w:pPr>
            <w:r w:rsidRPr="007F1533">
              <w:rPr>
                <w:rFonts w:ascii="Arial" w:hAnsi="Arial" w:cs="Arial"/>
                <w:b/>
                <w:lang w:eastAsia="en-GB"/>
              </w:rPr>
              <w:t xml:space="preserve">Voluntary exit scheme </w:t>
            </w:r>
          </w:p>
        </w:tc>
        <w:tc>
          <w:tcPr>
            <w:tcW w:w="1559" w:type="dxa"/>
            <w:noWrap/>
            <w:tcMar>
              <w:top w:w="0" w:type="dxa"/>
              <w:left w:w="108" w:type="dxa"/>
              <w:bottom w:w="0" w:type="dxa"/>
              <w:right w:w="108" w:type="dxa"/>
            </w:tcMar>
          </w:tcPr>
          <w:p w14:paraId="08B9A013" w14:textId="77777777" w:rsidR="007F1533" w:rsidRPr="007F1533" w:rsidRDefault="007F1533">
            <w:pPr>
              <w:jc w:val="right"/>
              <w:rPr>
                <w:rFonts w:ascii="Arial" w:hAnsi="Arial" w:cs="Arial"/>
              </w:rPr>
            </w:pPr>
            <w:r w:rsidRPr="007F1533">
              <w:rPr>
                <w:rFonts w:ascii="Arial" w:hAnsi="Arial" w:cs="Arial"/>
                <w:lang w:eastAsia="en-GB"/>
              </w:rPr>
              <w:t>267</w:t>
            </w:r>
          </w:p>
        </w:tc>
        <w:tc>
          <w:tcPr>
            <w:tcW w:w="992" w:type="dxa"/>
            <w:noWrap/>
            <w:tcMar>
              <w:top w:w="0" w:type="dxa"/>
              <w:left w:w="108" w:type="dxa"/>
              <w:bottom w:w="0" w:type="dxa"/>
              <w:right w:w="108" w:type="dxa"/>
            </w:tcMar>
          </w:tcPr>
          <w:p w14:paraId="543EAD5A" w14:textId="77777777" w:rsidR="007F1533" w:rsidRPr="007F1533" w:rsidRDefault="007F1533">
            <w:pPr>
              <w:jc w:val="right"/>
              <w:rPr>
                <w:rFonts w:ascii="Arial" w:hAnsi="Arial" w:cs="Arial"/>
              </w:rPr>
            </w:pPr>
            <w:r w:rsidRPr="007F1533">
              <w:rPr>
                <w:rFonts w:ascii="Arial" w:hAnsi="Arial" w:cs="Arial"/>
              </w:rPr>
              <w:t xml:space="preserve">-   </w:t>
            </w:r>
          </w:p>
        </w:tc>
        <w:tc>
          <w:tcPr>
            <w:tcW w:w="992" w:type="dxa"/>
            <w:noWrap/>
            <w:tcMar>
              <w:top w:w="0" w:type="dxa"/>
              <w:left w:w="108" w:type="dxa"/>
              <w:bottom w:w="0" w:type="dxa"/>
              <w:right w:w="108" w:type="dxa"/>
            </w:tcMar>
          </w:tcPr>
          <w:p w14:paraId="038D353C" w14:textId="77777777" w:rsidR="007F1533" w:rsidRPr="007F1533" w:rsidRDefault="007F1533">
            <w:pPr>
              <w:jc w:val="right"/>
              <w:rPr>
                <w:rFonts w:ascii="Arial" w:hAnsi="Arial" w:cs="Arial"/>
                <w:b/>
                <w:bCs/>
              </w:rPr>
            </w:pPr>
            <w:r w:rsidRPr="007F1533">
              <w:rPr>
                <w:rFonts w:ascii="Arial" w:hAnsi="Arial" w:cs="Arial"/>
                <w:b/>
                <w:bCs/>
              </w:rPr>
              <w:t>267</w:t>
            </w:r>
          </w:p>
        </w:tc>
        <w:tc>
          <w:tcPr>
            <w:tcW w:w="1560" w:type="dxa"/>
            <w:noWrap/>
            <w:tcMar>
              <w:top w:w="0" w:type="dxa"/>
              <w:left w:w="108" w:type="dxa"/>
              <w:bottom w:w="0" w:type="dxa"/>
              <w:right w:w="108" w:type="dxa"/>
            </w:tcMar>
          </w:tcPr>
          <w:p w14:paraId="5B3FE29C" w14:textId="77777777" w:rsidR="007F1533" w:rsidRPr="007F1533" w:rsidRDefault="007F1533">
            <w:pPr>
              <w:jc w:val="right"/>
              <w:rPr>
                <w:rFonts w:ascii="Arial" w:hAnsi="Arial" w:cs="Arial"/>
              </w:rPr>
            </w:pPr>
            <w:r w:rsidRPr="007F1533">
              <w:rPr>
                <w:rFonts w:ascii="Arial" w:hAnsi="Arial" w:cs="Arial"/>
              </w:rPr>
              <w:t>-</w:t>
            </w:r>
          </w:p>
        </w:tc>
        <w:tc>
          <w:tcPr>
            <w:tcW w:w="992" w:type="dxa"/>
            <w:noWrap/>
            <w:tcMar>
              <w:top w:w="0" w:type="dxa"/>
              <w:left w:w="108" w:type="dxa"/>
              <w:bottom w:w="0" w:type="dxa"/>
              <w:right w:w="108" w:type="dxa"/>
            </w:tcMar>
          </w:tcPr>
          <w:p w14:paraId="3CE57422" w14:textId="77777777" w:rsidR="007F1533" w:rsidRPr="007F1533" w:rsidRDefault="007F1533">
            <w:pPr>
              <w:jc w:val="right"/>
              <w:rPr>
                <w:rFonts w:ascii="Arial" w:hAnsi="Arial" w:cs="Arial"/>
              </w:rPr>
            </w:pPr>
            <w:r w:rsidRPr="007F1533">
              <w:rPr>
                <w:rFonts w:ascii="Arial" w:hAnsi="Arial" w:cs="Arial"/>
              </w:rPr>
              <w:t xml:space="preserve">-   </w:t>
            </w:r>
          </w:p>
        </w:tc>
        <w:tc>
          <w:tcPr>
            <w:tcW w:w="963" w:type="dxa"/>
            <w:noWrap/>
            <w:tcMar>
              <w:top w:w="0" w:type="dxa"/>
              <w:left w:w="108" w:type="dxa"/>
              <w:bottom w:w="0" w:type="dxa"/>
              <w:right w:w="108" w:type="dxa"/>
            </w:tcMar>
          </w:tcPr>
          <w:p w14:paraId="49A500B0" w14:textId="77777777" w:rsidR="007F1533" w:rsidRPr="007F1533" w:rsidRDefault="007F1533">
            <w:pPr>
              <w:jc w:val="right"/>
              <w:rPr>
                <w:rFonts w:ascii="Arial" w:hAnsi="Arial" w:cs="Arial"/>
                <w:b/>
              </w:rPr>
            </w:pPr>
            <w:r w:rsidRPr="007F1533">
              <w:rPr>
                <w:rFonts w:ascii="Arial" w:hAnsi="Arial" w:cs="Arial"/>
                <w:b/>
              </w:rPr>
              <w:t>-</w:t>
            </w:r>
          </w:p>
        </w:tc>
      </w:tr>
      <w:tr w:rsidR="007F1533" w:rsidRPr="007F1533" w14:paraId="3FBE4911" w14:textId="77777777">
        <w:trPr>
          <w:trHeight w:val="300"/>
        </w:trPr>
        <w:tc>
          <w:tcPr>
            <w:tcW w:w="2014" w:type="dxa"/>
            <w:shd w:val="clear" w:color="auto" w:fill="DCE6F1"/>
            <w:noWrap/>
            <w:tcMar>
              <w:top w:w="0" w:type="dxa"/>
              <w:left w:w="108" w:type="dxa"/>
              <w:bottom w:w="0" w:type="dxa"/>
              <w:right w:w="108" w:type="dxa"/>
            </w:tcMar>
            <w:vAlign w:val="bottom"/>
            <w:hideMark/>
          </w:tcPr>
          <w:p w14:paraId="6C736FB9" w14:textId="77777777" w:rsidR="007F1533" w:rsidRPr="007F1533" w:rsidRDefault="007F1533">
            <w:pPr>
              <w:rPr>
                <w:rFonts w:ascii="Arial" w:hAnsi="Arial" w:cs="Arial"/>
                <w:b/>
                <w:color w:val="000000"/>
                <w:lang w:eastAsia="en-GB"/>
              </w:rPr>
            </w:pPr>
            <w:r w:rsidRPr="007F1533">
              <w:rPr>
                <w:rFonts w:ascii="Arial" w:hAnsi="Arial" w:cs="Arial"/>
                <w:b/>
                <w:color w:val="000000"/>
                <w:lang w:eastAsia="en-GB"/>
              </w:rPr>
              <w:t> Subtotal</w:t>
            </w:r>
          </w:p>
        </w:tc>
        <w:tc>
          <w:tcPr>
            <w:tcW w:w="1559" w:type="dxa"/>
            <w:shd w:val="clear" w:color="auto" w:fill="DCE6F1"/>
            <w:noWrap/>
            <w:tcMar>
              <w:top w:w="0" w:type="dxa"/>
              <w:left w:w="108" w:type="dxa"/>
              <w:bottom w:w="0" w:type="dxa"/>
              <w:right w:w="108" w:type="dxa"/>
            </w:tcMar>
          </w:tcPr>
          <w:p w14:paraId="2392085E" w14:textId="77777777" w:rsidR="007F1533" w:rsidRPr="007F1533" w:rsidRDefault="007F1533">
            <w:pPr>
              <w:jc w:val="right"/>
              <w:rPr>
                <w:rFonts w:ascii="Arial" w:hAnsi="Arial" w:cs="Arial"/>
                <w:b/>
              </w:rPr>
            </w:pPr>
            <w:r w:rsidRPr="007F1533">
              <w:rPr>
                <w:rFonts w:ascii="Arial" w:hAnsi="Arial" w:cs="Arial"/>
                <w:b/>
                <w:bCs/>
                <w:lang w:eastAsia="en-GB"/>
              </w:rPr>
              <w:t>86,741</w:t>
            </w:r>
          </w:p>
        </w:tc>
        <w:tc>
          <w:tcPr>
            <w:tcW w:w="992" w:type="dxa"/>
            <w:shd w:val="clear" w:color="auto" w:fill="DCE6F1"/>
            <w:noWrap/>
            <w:tcMar>
              <w:top w:w="0" w:type="dxa"/>
              <w:left w:w="108" w:type="dxa"/>
              <w:bottom w:w="0" w:type="dxa"/>
              <w:right w:w="108" w:type="dxa"/>
            </w:tcMar>
          </w:tcPr>
          <w:p w14:paraId="3457B0E0" w14:textId="77777777" w:rsidR="007F1533" w:rsidRPr="007F1533" w:rsidRDefault="007F1533">
            <w:pPr>
              <w:jc w:val="right"/>
              <w:rPr>
                <w:rFonts w:ascii="Arial" w:hAnsi="Arial" w:cs="Arial"/>
                <w:b/>
              </w:rPr>
            </w:pPr>
            <w:r w:rsidRPr="007F1533">
              <w:rPr>
                <w:rFonts w:ascii="Arial" w:hAnsi="Arial" w:cs="Arial"/>
                <w:b/>
                <w:bCs/>
                <w:lang w:eastAsia="en-GB"/>
              </w:rPr>
              <w:t>12,636</w:t>
            </w:r>
          </w:p>
        </w:tc>
        <w:tc>
          <w:tcPr>
            <w:tcW w:w="992" w:type="dxa"/>
            <w:shd w:val="clear" w:color="auto" w:fill="DCE6F1"/>
            <w:noWrap/>
            <w:tcMar>
              <w:top w:w="0" w:type="dxa"/>
              <w:left w:w="108" w:type="dxa"/>
              <w:bottom w:w="0" w:type="dxa"/>
              <w:right w:w="108" w:type="dxa"/>
            </w:tcMar>
          </w:tcPr>
          <w:p w14:paraId="23295A18" w14:textId="77777777" w:rsidR="007F1533" w:rsidRPr="007F1533" w:rsidRDefault="007F1533">
            <w:pPr>
              <w:jc w:val="center"/>
              <w:rPr>
                <w:rFonts w:ascii="Arial" w:hAnsi="Arial" w:cs="Arial"/>
                <w:b/>
                <w:bCs/>
                <w:lang w:eastAsia="en-GB"/>
              </w:rPr>
            </w:pPr>
            <w:r w:rsidRPr="007F1533">
              <w:rPr>
                <w:rFonts w:ascii="Arial" w:hAnsi="Arial" w:cs="Arial"/>
                <w:b/>
                <w:bCs/>
                <w:lang w:eastAsia="en-GB"/>
              </w:rPr>
              <w:t>99,377</w:t>
            </w:r>
          </w:p>
        </w:tc>
        <w:tc>
          <w:tcPr>
            <w:tcW w:w="1560" w:type="dxa"/>
            <w:shd w:val="clear" w:color="auto" w:fill="DCE6F1"/>
            <w:noWrap/>
            <w:tcMar>
              <w:top w:w="0" w:type="dxa"/>
              <w:left w:w="108" w:type="dxa"/>
              <w:bottom w:w="0" w:type="dxa"/>
              <w:right w:w="108" w:type="dxa"/>
            </w:tcMar>
          </w:tcPr>
          <w:p w14:paraId="04720099" w14:textId="77777777" w:rsidR="007F1533" w:rsidRPr="007F1533" w:rsidRDefault="007F1533">
            <w:pPr>
              <w:jc w:val="right"/>
              <w:rPr>
                <w:rFonts w:ascii="Arial" w:hAnsi="Arial" w:cs="Arial"/>
                <w:b/>
                <w:bCs/>
                <w:highlight w:val="yellow"/>
              </w:rPr>
            </w:pPr>
            <w:r w:rsidRPr="007F1533">
              <w:rPr>
                <w:rFonts w:ascii="Arial" w:hAnsi="Arial" w:cs="Arial"/>
                <w:b/>
              </w:rPr>
              <w:t>77,477</w:t>
            </w:r>
            <w:r w:rsidRPr="007F1533">
              <w:rPr>
                <w:rFonts w:ascii="Arial" w:hAnsi="Arial" w:cs="Arial"/>
                <w:b/>
                <w:bCs/>
                <w:highlight w:val="yellow"/>
              </w:rPr>
              <w:t xml:space="preserve"> </w:t>
            </w:r>
          </w:p>
        </w:tc>
        <w:tc>
          <w:tcPr>
            <w:tcW w:w="992" w:type="dxa"/>
            <w:shd w:val="clear" w:color="auto" w:fill="DCE6F1"/>
            <w:noWrap/>
            <w:tcMar>
              <w:top w:w="0" w:type="dxa"/>
              <w:left w:w="108" w:type="dxa"/>
              <w:bottom w:w="0" w:type="dxa"/>
              <w:right w:w="108" w:type="dxa"/>
            </w:tcMar>
          </w:tcPr>
          <w:p w14:paraId="248D91B3" w14:textId="77777777" w:rsidR="007F1533" w:rsidRPr="007F1533" w:rsidRDefault="007F1533">
            <w:pPr>
              <w:jc w:val="right"/>
              <w:rPr>
                <w:rFonts w:ascii="Arial" w:hAnsi="Arial" w:cs="Arial"/>
                <w:b/>
                <w:bCs/>
                <w:highlight w:val="yellow"/>
              </w:rPr>
            </w:pPr>
            <w:r w:rsidRPr="007F1533">
              <w:rPr>
                <w:rFonts w:ascii="Arial" w:hAnsi="Arial" w:cs="Arial"/>
                <w:b/>
              </w:rPr>
              <w:t>10,400</w:t>
            </w:r>
          </w:p>
        </w:tc>
        <w:tc>
          <w:tcPr>
            <w:tcW w:w="963" w:type="dxa"/>
            <w:shd w:val="clear" w:color="auto" w:fill="DCE6F1"/>
            <w:noWrap/>
            <w:tcMar>
              <w:top w:w="0" w:type="dxa"/>
              <w:left w:w="108" w:type="dxa"/>
              <w:bottom w:w="0" w:type="dxa"/>
              <w:right w:w="108" w:type="dxa"/>
            </w:tcMar>
          </w:tcPr>
          <w:p w14:paraId="661B48A2" w14:textId="77777777" w:rsidR="007F1533" w:rsidRPr="007F1533" w:rsidRDefault="007F1533">
            <w:pPr>
              <w:jc w:val="right"/>
              <w:rPr>
                <w:rFonts w:ascii="Arial" w:hAnsi="Arial" w:cs="Arial"/>
                <w:b/>
              </w:rPr>
            </w:pPr>
            <w:r w:rsidRPr="007F1533">
              <w:rPr>
                <w:rFonts w:ascii="Arial" w:hAnsi="Arial" w:cs="Arial"/>
                <w:b/>
                <w:bCs/>
                <w:lang w:eastAsia="en-GB"/>
              </w:rPr>
              <w:t>87,877</w:t>
            </w:r>
          </w:p>
        </w:tc>
      </w:tr>
      <w:tr w:rsidR="007F1533" w:rsidRPr="007F1533" w14:paraId="33479703" w14:textId="77777777">
        <w:trPr>
          <w:trHeight w:val="300"/>
        </w:trPr>
        <w:tc>
          <w:tcPr>
            <w:tcW w:w="2014" w:type="dxa"/>
            <w:shd w:val="clear" w:color="auto" w:fill="DCE6F1"/>
            <w:noWrap/>
            <w:tcMar>
              <w:top w:w="0" w:type="dxa"/>
              <w:left w:w="108" w:type="dxa"/>
              <w:bottom w:w="0" w:type="dxa"/>
              <w:right w:w="108" w:type="dxa"/>
            </w:tcMar>
            <w:vAlign w:val="bottom"/>
            <w:hideMark/>
          </w:tcPr>
          <w:p w14:paraId="0205DF55" w14:textId="77777777" w:rsidR="007F1533" w:rsidRPr="007F1533" w:rsidRDefault="007F1533">
            <w:pPr>
              <w:rPr>
                <w:rFonts w:ascii="Arial" w:hAnsi="Arial" w:cs="Arial"/>
                <w:b/>
                <w:bCs/>
                <w:color w:val="000000"/>
                <w:lang w:eastAsia="en-GB"/>
              </w:rPr>
            </w:pPr>
            <w:r w:rsidRPr="007F1533">
              <w:rPr>
                <w:rFonts w:ascii="Arial" w:hAnsi="Arial" w:cs="Arial"/>
                <w:b/>
                <w:bCs/>
                <w:color w:val="000000"/>
                <w:lang w:eastAsia="en-GB"/>
              </w:rPr>
              <w:t>Add cost / (Less recoveries) in respect of outward secondments</w:t>
            </w:r>
          </w:p>
        </w:tc>
        <w:tc>
          <w:tcPr>
            <w:tcW w:w="1559" w:type="dxa"/>
            <w:noWrap/>
            <w:tcMar>
              <w:top w:w="0" w:type="dxa"/>
              <w:left w:w="108" w:type="dxa"/>
              <w:bottom w:w="0" w:type="dxa"/>
              <w:right w:w="108" w:type="dxa"/>
            </w:tcMar>
          </w:tcPr>
          <w:p w14:paraId="36555E4D" w14:textId="77777777" w:rsidR="007F1533" w:rsidRPr="007F1533" w:rsidRDefault="007F1533">
            <w:pPr>
              <w:jc w:val="right"/>
              <w:rPr>
                <w:rFonts w:ascii="Arial" w:hAnsi="Arial" w:cs="Arial"/>
              </w:rPr>
            </w:pPr>
            <w:r w:rsidRPr="007F1533">
              <w:rPr>
                <w:rFonts w:ascii="Arial" w:hAnsi="Arial" w:cs="Arial"/>
                <w:lang w:eastAsia="en-GB"/>
              </w:rPr>
              <w:t>(90)</w:t>
            </w:r>
          </w:p>
        </w:tc>
        <w:tc>
          <w:tcPr>
            <w:tcW w:w="992" w:type="dxa"/>
            <w:noWrap/>
            <w:tcMar>
              <w:top w:w="0" w:type="dxa"/>
              <w:left w:w="108" w:type="dxa"/>
              <w:bottom w:w="0" w:type="dxa"/>
              <w:right w:w="108" w:type="dxa"/>
            </w:tcMar>
          </w:tcPr>
          <w:p w14:paraId="040F8014" w14:textId="77777777" w:rsidR="007F1533" w:rsidRPr="007F1533" w:rsidRDefault="007F1533">
            <w:pPr>
              <w:jc w:val="right"/>
              <w:rPr>
                <w:rFonts w:ascii="Arial" w:hAnsi="Arial" w:cs="Arial"/>
              </w:rPr>
            </w:pPr>
            <w:r w:rsidRPr="007F1533">
              <w:rPr>
                <w:rFonts w:ascii="Arial" w:hAnsi="Arial" w:cs="Arial"/>
              </w:rPr>
              <w:t xml:space="preserve">-   </w:t>
            </w:r>
          </w:p>
        </w:tc>
        <w:tc>
          <w:tcPr>
            <w:tcW w:w="992" w:type="dxa"/>
            <w:noWrap/>
            <w:tcMar>
              <w:top w:w="0" w:type="dxa"/>
              <w:left w:w="108" w:type="dxa"/>
              <w:bottom w:w="0" w:type="dxa"/>
              <w:right w:w="108" w:type="dxa"/>
            </w:tcMar>
          </w:tcPr>
          <w:p w14:paraId="61B12A0C" w14:textId="77777777" w:rsidR="007F1533" w:rsidRPr="007F1533" w:rsidRDefault="007F1533">
            <w:pPr>
              <w:jc w:val="right"/>
              <w:rPr>
                <w:rFonts w:ascii="Arial" w:hAnsi="Arial" w:cs="Arial"/>
                <w:b/>
              </w:rPr>
            </w:pPr>
            <w:r w:rsidRPr="007F1533">
              <w:rPr>
                <w:rFonts w:ascii="Arial" w:hAnsi="Arial" w:cs="Arial"/>
                <w:b/>
              </w:rPr>
              <w:t>(90)</w:t>
            </w:r>
          </w:p>
        </w:tc>
        <w:tc>
          <w:tcPr>
            <w:tcW w:w="1560" w:type="dxa"/>
            <w:noWrap/>
            <w:tcMar>
              <w:top w:w="0" w:type="dxa"/>
              <w:left w:w="108" w:type="dxa"/>
              <w:bottom w:w="0" w:type="dxa"/>
              <w:right w:w="108" w:type="dxa"/>
            </w:tcMar>
          </w:tcPr>
          <w:p w14:paraId="64A703B2" w14:textId="77777777" w:rsidR="007F1533" w:rsidRPr="007F1533" w:rsidRDefault="007F1533">
            <w:pPr>
              <w:jc w:val="right"/>
              <w:rPr>
                <w:rFonts w:ascii="Arial" w:hAnsi="Arial" w:cs="Arial"/>
              </w:rPr>
            </w:pPr>
            <w:r w:rsidRPr="007F1533">
              <w:rPr>
                <w:rFonts w:ascii="Arial" w:hAnsi="Arial" w:cs="Arial"/>
              </w:rPr>
              <w:t xml:space="preserve">(111)  </w:t>
            </w:r>
          </w:p>
        </w:tc>
        <w:tc>
          <w:tcPr>
            <w:tcW w:w="992" w:type="dxa"/>
            <w:noWrap/>
            <w:tcMar>
              <w:top w:w="0" w:type="dxa"/>
              <w:left w:w="108" w:type="dxa"/>
              <w:bottom w:w="0" w:type="dxa"/>
              <w:right w:w="108" w:type="dxa"/>
            </w:tcMar>
          </w:tcPr>
          <w:p w14:paraId="7645AEBC" w14:textId="77777777" w:rsidR="007F1533" w:rsidRPr="007F1533" w:rsidRDefault="007F1533">
            <w:pPr>
              <w:jc w:val="right"/>
              <w:rPr>
                <w:rFonts w:ascii="Arial" w:hAnsi="Arial" w:cs="Arial"/>
              </w:rPr>
            </w:pPr>
            <w:r w:rsidRPr="007F1533">
              <w:rPr>
                <w:rFonts w:ascii="Arial" w:hAnsi="Arial" w:cs="Arial"/>
              </w:rPr>
              <w:t xml:space="preserve">-   </w:t>
            </w:r>
          </w:p>
        </w:tc>
        <w:tc>
          <w:tcPr>
            <w:tcW w:w="963" w:type="dxa"/>
            <w:noWrap/>
            <w:tcMar>
              <w:top w:w="0" w:type="dxa"/>
              <w:left w:w="108" w:type="dxa"/>
              <w:bottom w:w="0" w:type="dxa"/>
              <w:right w:w="108" w:type="dxa"/>
            </w:tcMar>
          </w:tcPr>
          <w:p w14:paraId="6A4D51CA" w14:textId="77777777" w:rsidR="007F1533" w:rsidRPr="007F1533" w:rsidRDefault="007F1533">
            <w:pPr>
              <w:jc w:val="right"/>
              <w:rPr>
                <w:rFonts w:ascii="Arial" w:hAnsi="Arial" w:cs="Arial"/>
                <w:b/>
              </w:rPr>
            </w:pPr>
            <w:r w:rsidRPr="007F1533">
              <w:rPr>
                <w:rFonts w:ascii="Arial" w:hAnsi="Arial" w:cs="Arial"/>
                <w:b/>
              </w:rPr>
              <w:t xml:space="preserve">(111)  </w:t>
            </w:r>
          </w:p>
        </w:tc>
      </w:tr>
      <w:tr w:rsidR="007F1533" w:rsidRPr="007F1533" w14:paraId="43F922F1" w14:textId="77777777">
        <w:trPr>
          <w:trHeight w:val="300"/>
        </w:trPr>
        <w:tc>
          <w:tcPr>
            <w:tcW w:w="2014" w:type="dxa"/>
            <w:shd w:val="clear" w:color="auto" w:fill="DCE6F1"/>
            <w:noWrap/>
            <w:tcMar>
              <w:top w:w="0" w:type="dxa"/>
              <w:left w:w="108" w:type="dxa"/>
              <w:bottom w:w="0" w:type="dxa"/>
              <w:right w:w="108" w:type="dxa"/>
            </w:tcMar>
            <w:vAlign w:val="bottom"/>
            <w:hideMark/>
          </w:tcPr>
          <w:p w14:paraId="5C7925C1" w14:textId="77777777" w:rsidR="007F1533" w:rsidRPr="007F1533" w:rsidRDefault="007F1533">
            <w:pPr>
              <w:rPr>
                <w:rFonts w:ascii="Arial" w:hAnsi="Arial" w:cs="Arial"/>
                <w:b/>
                <w:color w:val="000000"/>
                <w:lang w:eastAsia="en-GB"/>
              </w:rPr>
            </w:pPr>
            <w:r w:rsidRPr="007F1533">
              <w:rPr>
                <w:rFonts w:ascii="Arial" w:hAnsi="Arial" w:cs="Arial"/>
                <w:b/>
                <w:color w:val="000000"/>
                <w:lang w:eastAsia="en-GB"/>
              </w:rPr>
              <w:t> Total net costs</w:t>
            </w:r>
          </w:p>
        </w:tc>
        <w:tc>
          <w:tcPr>
            <w:tcW w:w="1559" w:type="dxa"/>
            <w:shd w:val="clear" w:color="auto" w:fill="DCE6F1"/>
            <w:noWrap/>
            <w:tcMar>
              <w:top w:w="0" w:type="dxa"/>
              <w:left w:w="108" w:type="dxa"/>
              <w:bottom w:w="0" w:type="dxa"/>
              <w:right w:w="108" w:type="dxa"/>
            </w:tcMar>
          </w:tcPr>
          <w:p w14:paraId="2EAA4AE2" w14:textId="77777777" w:rsidR="007F1533" w:rsidRPr="007F1533" w:rsidRDefault="007F1533">
            <w:pPr>
              <w:jc w:val="right"/>
              <w:rPr>
                <w:rFonts w:ascii="Arial" w:hAnsi="Arial" w:cs="Arial"/>
                <w:b/>
              </w:rPr>
            </w:pPr>
            <w:r w:rsidRPr="007F1533">
              <w:rPr>
                <w:rFonts w:ascii="Arial" w:hAnsi="Arial" w:cs="Arial"/>
                <w:b/>
                <w:bCs/>
                <w:lang w:eastAsia="en-GB"/>
              </w:rPr>
              <w:t>86,651</w:t>
            </w:r>
          </w:p>
        </w:tc>
        <w:tc>
          <w:tcPr>
            <w:tcW w:w="992" w:type="dxa"/>
            <w:shd w:val="clear" w:color="auto" w:fill="DCE6F1"/>
            <w:noWrap/>
            <w:tcMar>
              <w:top w:w="0" w:type="dxa"/>
              <w:left w:w="108" w:type="dxa"/>
              <w:bottom w:w="0" w:type="dxa"/>
              <w:right w:w="108" w:type="dxa"/>
            </w:tcMar>
          </w:tcPr>
          <w:p w14:paraId="56079DE9" w14:textId="77777777" w:rsidR="007F1533" w:rsidRPr="007F1533" w:rsidRDefault="007F1533">
            <w:pPr>
              <w:jc w:val="right"/>
              <w:rPr>
                <w:rFonts w:ascii="Arial" w:hAnsi="Arial" w:cs="Arial"/>
                <w:b/>
              </w:rPr>
            </w:pPr>
            <w:r w:rsidRPr="007F1533">
              <w:rPr>
                <w:rFonts w:ascii="Arial" w:hAnsi="Arial" w:cs="Arial"/>
                <w:b/>
                <w:bCs/>
                <w:lang w:eastAsia="en-GB"/>
              </w:rPr>
              <w:t>12,636</w:t>
            </w:r>
          </w:p>
        </w:tc>
        <w:tc>
          <w:tcPr>
            <w:tcW w:w="992" w:type="dxa"/>
            <w:shd w:val="clear" w:color="auto" w:fill="DCE6F1"/>
            <w:noWrap/>
            <w:tcMar>
              <w:top w:w="0" w:type="dxa"/>
              <w:left w:w="108" w:type="dxa"/>
              <w:bottom w:w="0" w:type="dxa"/>
              <w:right w:w="108" w:type="dxa"/>
            </w:tcMar>
          </w:tcPr>
          <w:p w14:paraId="7D41DD5D" w14:textId="77777777" w:rsidR="007F1533" w:rsidRPr="007F1533" w:rsidRDefault="007F1533">
            <w:pPr>
              <w:jc w:val="right"/>
              <w:rPr>
                <w:rFonts w:ascii="Arial" w:hAnsi="Arial" w:cs="Arial"/>
                <w:b/>
                <w:bCs/>
                <w:lang w:eastAsia="en-GB"/>
              </w:rPr>
            </w:pPr>
            <w:r w:rsidRPr="007F1533">
              <w:rPr>
                <w:rFonts w:ascii="Arial" w:hAnsi="Arial" w:cs="Arial"/>
                <w:b/>
                <w:bCs/>
                <w:lang w:eastAsia="en-GB"/>
              </w:rPr>
              <w:t>99,287</w:t>
            </w:r>
          </w:p>
        </w:tc>
        <w:tc>
          <w:tcPr>
            <w:tcW w:w="1560" w:type="dxa"/>
            <w:shd w:val="clear" w:color="auto" w:fill="DCE6F1"/>
            <w:noWrap/>
            <w:tcMar>
              <w:top w:w="0" w:type="dxa"/>
              <w:left w:w="108" w:type="dxa"/>
              <w:bottom w:w="0" w:type="dxa"/>
              <w:right w:w="108" w:type="dxa"/>
            </w:tcMar>
          </w:tcPr>
          <w:p w14:paraId="62D6444D" w14:textId="77777777" w:rsidR="007F1533" w:rsidRPr="007F1533" w:rsidRDefault="007F1533">
            <w:pPr>
              <w:jc w:val="right"/>
              <w:rPr>
                <w:rFonts w:ascii="Arial" w:hAnsi="Arial" w:cs="Arial"/>
                <w:b/>
                <w:bCs/>
                <w:szCs w:val="20"/>
                <w:highlight w:val="yellow"/>
              </w:rPr>
            </w:pPr>
            <w:r w:rsidRPr="007F1533">
              <w:rPr>
                <w:rFonts w:ascii="Arial" w:hAnsi="Arial" w:cs="Arial"/>
                <w:b/>
              </w:rPr>
              <w:t>77,366</w:t>
            </w:r>
            <w:r w:rsidRPr="007F1533">
              <w:rPr>
                <w:rFonts w:ascii="Arial" w:hAnsi="Arial" w:cs="Arial"/>
                <w:b/>
                <w:bCs/>
                <w:szCs w:val="20"/>
                <w:highlight w:val="yellow"/>
              </w:rPr>
              <w:t xml:space="preserve"> </w:t>
            </w:r>
          </w:p>
        </w:tc>
        <w:tc>
          <w:tcPr>
            <w:tcW w:w="992" w:type="dxa"/>
            <w:shd w:val="clear" w:color="auto" w:fill="DCE6F1"/>
            <w:noWrap/>
            <w:tcMar>
              <w:top w:w="0" w:type="dxa"/>
              <w:left w:w="108" w:type="dxa"/>
              <w:bottom w:w="0" w:type="dxa"/>
              <w:right w:w="108" w:type="dxa"/>
            </w:tcMar>
          </w:tcPr>
          <w:p w14:paraId="51072034" w14:textId="77777777" w:rsidR="007F1533" w:rsidRPr="007F1533" w:rsidRDefault="007F1533">
            <w:pPr>
              <w:jc w:val="right"/>
              <w:rPr>
                <w:rFonts w:ascii="Arial" w:hAnsi="Arial" w:cs="Arial"/>
                <w:b/>
                <w:bCs/>
                <w:szCs w:val="20"/>
                <w:highlight w:val="yellow"/>
              </w:rPr>
            </w:pPr>
            <w:r w:rsidRPr="007F1533">
              <w:rPr>
                <w:rFonts w:ascii="Arial" w:hAnsi="Arial" w:cs="Arial"/>
                <w:b/>
              </w:rPr>
              <w:t>10,400</w:t>
            </w:r>
            <w:r w:rsidRPr="007F1533">
              <w:rPr>
                <w:rFonts w:ascii="Arial" w:hAnsi="Arial" w:cs="Arial"/>
                <w:b/>
                <w:bCs/>
                <w:szCs w:val="20"/>
                <w:highlight w:val="yellow"/>
              </w:rPr>
              <w:t xml:space="preserve"> </w:t>
            </w:r>
          </w:p>
        </w:tc>
        <w:tc>
          <w:tcPr>
            <w:tcW w:w="963" w:type="dxa"/>
            <w:shd w:val="clear" w:color="auto" w:fill="DCE6F1"/>
            <w:noWrap/>
            <w:tcMar>
              <w:top w:w="0" w:type="dxa"/>
              <w:left w:w="108" w:type="dxa"/>
              <w:bottom w:w="0" w:type="dxa"/>
              <w:right w:w="108" w:type="dxa"/>
            </w:tcMar>
          </w:tcPr>
          <w:p w14:paraId="196B49C1" w14:textId="77777777" w:rsidR="007F1533" w:rsidRPr="007F1533" w:rsidRDefault="007F1533">
            <w:pPr>
              <w:jc w:val="center"/>
              <w:rPr>
                <w:rFonts w:ascii="Arial" w:hAnsi="Arial" w:cs="Arial"/>
                <w:b/>
              </w:rPr>
            </w:pPr>
            <w:r w:rsidRPr="007F1533">
              <w:rPr>
                <w:rFonts w:ascii="Arial" w:hAnsi="Arial" w:cs="Arial"/>
                <w:b/>
                <w:bCs/>
                <w:lang w:eastAsia="en-GB"/>
              </w:rPr>
              <w:t>87,766</w:t>
            </w:r>
          </w:p>
        </w:tc>
      </w:tr>
      <w:bookmarkEnd w:id="18"/>
    </w:tbl>
    <w:p w14:paraId="47BE495F" w14:textId="77777777" w:rsidR="007F1533" w:rsidRPr="007F1533" w:rsidRDefault="007F1533" w:rsidP="007F1533">
      <w:pPr>
        <w:spacing w:line="240" w:lineRule="auto"/>
        <w:rPr>
          <w:rFonts w:ascii="Arial" w:hAnsi="Arial" w:cs="Arial"/>
        </w:rPr>
      </w:pPr>
    </w:p>
    <w:p w14:paraId="6A11A8D6" w14:textId="77777777" w:rsidR="007F1533" w:rsidRPr="007F1533" w:rsidRDefault="007F1533" w:rsidP="007F1533">
      <w:pPr>
        <w:pStyle w:val="Heading4"/>
        <w:rPr>
          <w:rFonts w:cs="Arial"/>
        </w:rPr>
      </w:pPr>
      <w:bookmarkStart w:id="19" w:name="_Hlk168923906"/>
      <w:r w:rsidRPr="007F1533">
        <w:rPr>
          <w:rFonts w:cs="Arial"/>
        </w:rPr>
        <w:t>Sickness absence data</w:t>
      </w:r>
    </w:p>
    <w:p w14:paraId="42870617" w14:textId="77777777" w:rsidR="007F1533" w:rsidRPr="00D30BC9" w:rsidRDefault="007F1533" w:rsidP="007F1533">
      <w:pPr>
        <w:spacing w:line="240" w:lineRule="auto"/>
        <w:rPr>
          <w:rFonts w:ascii="Arial" w:hAnsi="Arial" w:cs="Arial"/>
          <w:sz w:val="24"/>
          <w:szCs w:val="24"/>
        </w:rPr>
      </w:pPr>
      <w:r w:rsidRPr="00D30BC9">
        <w:rPr>
          <w:rFonts w:ascii="Arial" w:hAnsi="Arial" w:cs="Arial"/>
          <w:sz w:val="24"/>
          <w:szCs w:val="24"/>
        </w:rPr>
        <w:t>During the year, the number of average annual working days lost per employee was 8.1 days (2022-23: 7.0 days).</w:t>
      </w:r>
    </w:p>
    <w:p w14:paraId="51016CDB" w14:textId="77777777" w:rsidR="007F1533" w:rsidRPr="007F1533" w:rsidRDefault="007F1533" w:rsidP="007F1533">
      <w:pPr>
        <w:pStyle w:val="Heading4"/>
        <w:rPr>
          <w:rFonts w:cs="Arial"/>
          <w:color w:val="FF0000"/>
        </w:rPr>
      </w:pPr>
      <w:r w:rsidRPr="007F1533">
        <w:rPr>
          <w:rFonts w:cs="Arial"/>
        </w:rPr>
        <w:t>Staff Turnover percentage</w:t>
      </w:r>
    </w:p>
    <w:p w14:paraId="3EB9F8DB" w14:textId="77777777" w:rsidR="007F1533" w:rsidRPr="00D30BC9" w:rsidRDefault="007F1533" w:rsidP="007F1533">
      <w:pPr>
        <w:rPr>
          <w:rFonts w:ascii="Arial" w:hAnsi="Arial" w:cs="Arial"/>
          <w:sz w:val="24"/>
          <w:szCs w:val="24"/>
        </w:rPr>
      </w:pPr>
      <w:r w:rsidRPr="00D30BC9">
        <w:rPr>
          <w:rFonts w:ascii="Arial" w:hAnsi="Arial" w:cs="Arial"/>
          <w:sz w:val="24"/>
          <w:szCs w:val="24"/>
        </w:rPr>
        <w:t xml:space="preserve">During the year, the staff turnover percentage for the Agency was 10.4% (2022-23, 10.2%). </w:t>
      </w:r>
    </w:p>
    <w:bookmarkEnd w:id="19"/>
    <w:p w14:paraId="5B841106" w14:textId="77777777" w:rsidR="0027233F" w:rsidRDefault="0027233F">
      <w:pPr>
        <w:rPr>
          <w:rFonts w:ascii="Arial" w:eastAsiaTheme="majorEastAsia" w:hAnsi="Arial" w:cs="Arial"/>
          <w:b/>
          <w:iCs/>
          <w:color w:val="2F5496" w:themeColor="accent1" w:themeShade="BF"/>
          <w:kern w:val="0"/>
          <w:sz w:val="28"/>
          <w14:ligatures w14:val="none"/>
        </w:rPr>
      </w:pPr>
      <w:r>
        <w:rPr>
          <w:rFonts w:cs="Arial"/>
        </w:rPr>
        <w:br w:type="page"/>
      </w:r>
    </w:p>
    <w:p w14:paraId="7F8CC797" w14:textId="2F5E9B99" w:rsidR="007F1533" w:rsidRPr="007F1533" w:rsidRDefault="007F1533" w:rsidP="007F1533">
      <w:pPr>
        <w:pStyle w:val="Heading4"/>
        <w:rPr>
          <w:rFonts w:cs="Arial"/>
        </w:rPr>
      </w:pPr>
      <w:r w:rsidRPr="007F1533">
        <w:rPr>
          <w:rFonts w:cs="Arial"/>
        </w:rPr>
        <w:lastRenderedPageBreak/>
        <w:t>Staff policies applied during the year</w:t>
      </w:r>
    </w:p>
    <w:p w14:paraId="56D1EA7C" w14:textId="77777777" w:rsidR="007F1533" w:rsidRPr="00D30BC9" w:rsidRDefault="007F1533" w:rsidP="007F1533">
      <w:pPr>
        <w:rPr>
          <w:rFonts w:ascii="Arial" w:hAnsi="Arial" w:cs="Arial"/>
          <w:sz w:val="24"/>
          <w:szCs w:val="24"/>
        </w:rPr>
      </w:pPr>
      <w:r w:rsidRPr="00D30BC9">
        <w:rPr>
          <w:rFonts w:ascii="Arial" w:hAnsi="Arial" w:cs="Arial"/>
          <w:sz w:val="24"/>
          <w:szCs w:val="24"/>
        </w:rPr>
        <w:t>The Insolvency Service is committed to employing disabled people and we have achieved Disability Confident Leader (level three).</w:t>
      </w:r>
    </w:p>
    <w:p w14:paraId="4E1D6FFC" w14:textId="77777777" w:rsidR="007F1533" w:rsidRPr="00D30BC9" w:rsidRDefault="007F1533" w:rsidP="007F1533">
      <w:pPr>
        <w:rPr>
          <w:rFonts w:ascii="Arial" w:hAnsi="Arial" w:cs="Arial"/>
          <w:sz w:val="24"/>
          <w:szCs w:val="24"/>
        </w:rPr>
      </w:pPr>
      <w:r w:rsidRPr="00D30BC9">
        <w:rPr>
          <w:rFonts w:ascii="Arial" w:hAnsi="Arial" w:cs="Arial"/>
          <w:sz w:val="24"/>
          <w:szCs w:val="24"/>
        </w:rPr>
        <w:t>Where an applicant has indicated they have a disability and have demonstrated the minimum essential criteria for the post, we have chosen to continue to guarantee to progress to the next stage of the selection process. To reduce potential bias:</w:t>
      </w:r>
    </w:p>
    <w:p w14:paraId="5A5E07B0" w14:textId="77777777" w:rsidR="007F1533" w:rsidRPr="00D30BC9" w:rsidRDefault="007F1533" w:rsidP="007F1533">
      <w:pPr>
        <w:numPr>
          <w:ilvl w:val="0"/>
          <w:numId w:val="17"/>
        </w:numPr>
        <w:spacing w:after="200" w:line="240" w:lineRule="auto"/>
        <w:rPr>
          <w:rFonts w:ascii="Arial" w:eastAsia="Times New Roman" w:hAnsi="Arial" w:cs="Arial"/>
          <w:sz w:val="24"/>
          <w:szCs w:val="24"/>
        </w:rPr>
      </w:pPr>
      <w:r w:rsidRPr="00D30BC9">
        <w:rPr>
          <w:rFonts w:ascii="Arial" w:eastAsia="Times New Roman" w:hAnsi="Arial" w:cs="Arial"/>
          <w:sz w:val="24"/>
          <w:szCs w:val="24"/>
        </w:rPr>
        <w:t xml:space="preserve">We continue with the </w:t>
      </w:r>
      <w:r w:rsidRPr="00D30BC9">
        <w:rPr>
          <w:rFonts w:ascii="Arial" w:eastAsia="Times New Roman" w:hAnsi="Arial" w:cs="Arial"/>
          <w:sz w:val="24"/>
          <w:szCs w:val="24"/>
          <w:lang w:val="en"/>
        </w:rPr>
        <w:t>Success Profiles approach; adding four elements that combine to deliver a powerful and flexible recruitment framework. The Success Profiles Framework is part of the Civil Service Workforce Plan</w:t>
      </w:r>
    </w:p>
    <w:p w14:paraId="6459CF6A" w14:textId="77777777" w:rsidR="007F1533" w:rsidRPr="00D30BC9" w:rsidRDefault="007F1533" w:rsidP="007F1533">
      <w:pPr>
        <w:numPr>
          <w:ilvl w:val="0"/>
          <w:numId w:val="17"/>
        </w:numPr>
        <w:spacing w:after="200" w:line="240" w:lineRule="auto"/>
        <w:rPr>
          <w:rFonts w:ascii="Arial" w:eastAsia="Times New Roman" w:hAnsi="Arial" w:cs="Arial"/>
          <w:sz w:val="24"/>
          <w:szCs w:val="24"/>
        </w:rPr>
      </w:pPr>
      <w:r w:rsidRPr="00D30BC9">
        <w:rPr>
          <w:rFonts w:ascii="Arial" w:eastAsia="Times New Roman" w:hAnsi="Arial" w:cs="Arial"/>
          <w:sz w:val="24"/>
          <w:szCs w:val="24"/>
        </w:rPr>
        <w:t>when shortlisting applications, all application forms are anonymised</w:t>
      </w:r>
    </w:p>
    <w:p w14:paraId="64770599" w14:textId="5648DD41" w:rsidR="007F1533" w:rsidRPr="00D30BC9" w:rsidRDefault="007F1533" w:rsidP="007F1533">
      <w:pPr>
        <w:numPr>
          <w:ilvl w:val="0"/>
          <w:numId w:val="17"/>
        </w:numPr>
        <w:spacing w:after="200" w:line="240" w:lineRule="auto"/>
        <w:rPr>
          <w:rFonts w:ascii="Arial" w:eastAsia="Times New Roman" w:hAnsi="Arial" w:cs="Arial"/>
          <w:color w:val="4472C4"/>
          <w:sz w:val="24"/>
          <w:szCs w:val="24"/>
        </w:rPr>
      </w:pPr>
      <w:r w:rsidRPr="00D30BC9">
        <w:rPr>
          <w:rFonts w:ascii="Arial" w:eastAsia="Times New Roman" w:hAnsi="Arial" w:cs="Arial"/>
          <w:sz w:val="24"/>
          <w:szCs w:val="24"/>
        </w:rPr>
        <w:t>it is expected that all selection panel members should have an understanding of the new Success Profiles recruitment and</w:t>
      </w:r>
      <w:r w:rsidR="00B57CAE">
        <w:rPr>
          <w:rFonts w:ascii="Arial" w:eastAsia="Times New Roman" w:hAnsi="Arial" w:cs="Arial"/>
          <w:sz w:val="24"/>
          <w:szCs w:val="24"/>
        </w:rPr>
        <w:t xml:space="preserve"> include</w:t>
      </w:r>
      <w:r w:rsidRPr="00D30BC9">
        <w:rPr>
          <w:rFonts w:ascii="Arial" w:eastAsia="Times New Roman" w:hAnsi="Arial" w:cs="Arial"/>
          <w:sz w:val="24"/>
          <w:szCs w:val="24"/>
        </w:rPr>
        <w:t xml:space="preserve"> at least one member who has completed the recruitment and selection training. It is mandatory that all panel members have undertaken the new Civil Service training – Civil Service Expectations. This training will be mandatory for all Agency colleagues and will be completed annually</w:t>
      </w:r>
      <w:r w:rsidRPr="00D30BC9">
        <w:rPr>
          <w:rFonts w:ascii="Arial" w:eastAsia="Times New Roman" w:hAnsi="Arial" w:cs="Arial"/>
          <w:color w:val="4472C4"/>
          <w:sz w:val="24"/>
          <w:szCs w:val="24"/>
        </w:rPr>
        <w:t xml:space="preserve">. </w:t>
      </w:r>
    </w:p>
    <w:p w14:paraId="451EB498" w14:textId="77777777" w:rsidR="007F1533" w:rsidRPr="00D30BC9" w:rsidRDefault="007F1533" w:rsidP="007F1533">
      <w:pPr>
        <w:rPr>
          <w:rFonts w:ascii="Arial" w:hAnsi="Arial" w:cs="Arial"/>
          <w:sz w:val="24"/>
          <w:szCs w:val="24"/>
        </w:rPr>
      </w:pPr>
      <w:r w:rsidRPr="00D30BC9">
        <w:rPr>
          <w:rFonts w:ascii="Arial" w:hAnsi="Arial" w:cs="Arial"/>
          <w:sz w:val="24"/>
          <w:szCs w:val="24"/>
        </w:rPr>
        <w:t>Additionally, all disabled applicants may request reasonable adjustments at any stage of the recruitment process without disclosing the nature of their disability.</w:t>
      </w:r>
    </w:p>
    <w:p w14:paraId="46030848" w14:textId="77777777" w:rsidR="007F1533" w:rsidRPr="00D30BC9" w:rsidRDefault="007F1533" w:rsidP="007F1533">
      <w:pPr>
        <w:rPr>
          <w:rFonts w:ascii="Arial" w:hAnsi="Arial" w:cs="Arial"/>
          <w:sz w:val="24"/>
          <w:szCs w:val="24"/>
        </w:rPr>
      </w:pPr>
      <w:r w:rsidRPr="00D30BC9">
        <w:rPr>
          <w:rFonts w:ascii="Arial" w:hAnsi="Arial" w:cs="Arial"/>
          <w:sz w:val="24"/>
          <w:szCs w:val="24"/>
        </w:rPr>
        <w:t>We ensure we support our disabled employees and workers, including those who have recently become disabled by:</w:t>
      </w:r>
    </w:p>
    <w:p w14:paraId="7D617C8E" w14:textId="77777777" w:rsidR="007F1533" w:rsidRPr="00D30BC9" w:rsidRDefault="007F1533" w:rsidP="007F1533">
      <w:pPr>
        <w:numPr>
          <w:ilvl w:val="0"/>
          <w:numId w:val="18"/>
        </w:numPr>
        <w:spacing w:after="200" w:line="240" w:lineRule="auto"/>
        <w:rPr>
          <w:rFonts w:ascii="Arial" w:eastAsia="Times New Roman" w:hAnsi="Arial" w:cs="Arial"/>
          <w:sz w:val="24"/>
          <w:szCs w:val="24"/>
        </w:rPr>
      </w:pPr>
      <w:r w:rsidRPr="00D30BC9">
        <w:rPr>
          <w:rFonts w:ascii="Arial" w:eastAsia="Times New Roman" w:hAnsi="Arial" w:cs="Arial"/>
          <w:sz w:val="24"/>
          <w:szCs w:val="24"/>
        </w:rPr>
        <w:t>ensuring all our employees are aware of our Inclusion strategy and action plan – Inclusion First, the key provisions of which are to ensure that there is equality of opportunity for all and no discrimination against people on the grounds of any protected characteristics (age, disability, gender reassignment, marriage and civil partnership, pregnancy and maternity, race, religion or belief, sex, and sexual orientation) including colleagues from low socio economic backgrounds, so that colleagues can achieve their full potential and need not fear unfair treatment, bullying or harassment. People who do not adhere to these policies may be subject to disciplinary action</w:t>
      </w:r>
    </w:p>
    <w:p w14:paraId="1FF461F4" w14:textId="77777777" w:rsidR="007F1533" w:rsidRPr="00D30BC9" w:rsidRDefault="007F1533" w:rsidP="007F1533">
      <w:pPr>
        <w:numPr>
          <w:ilvl w:val="0"/>
          <w:numId w:val="18"/>
        </w:numPr>
        <w:spacing w:after="200" w:line="240" w:lineRule="auto"/>
        <w:rPr>
          <w:rFonts w:ascii="Arial" w:eastAsia="Times New Roman" w:hAnsi="Arial" w:cs="Arial"/>
          <w:sz w:val="24"/>
          <w:szCs w:val="24"/>
        </w:rPr>
      </w:pPr>
      <w:r w:rsidRPr="00D30BC9">
        <w:rPr>
          <w:rFonts w:ascii="Arial" w:eastAsia="Times New Roman" w:hAnsi="Arial" w:cs="Arial"/>
          <w:sz w:val="24"/>
          <w:szCs w:val="24"/>
        </w:rPr>
        <w:t>providing workplace adjustments when required and ensuring managers are equipped to support disabled employees with specific guidance on this topic</w:t>
      </w:r>
    </w:p>
    <w:p w14:paraId="7D5E859C" w14:textId="77777777" w:rsidR="007F1533" w:rsidRPr="00D30BC9" w:rsidRDefault="007F1533" w:rsidP="007F1533">
      <w:pPr>
        <w:numPr>
          <w:ilvl w:val="0"/>
          <w:numId w:val="18"/>
        </w:numPr>
        <w:spacing w:after="200" w:line="240" w:lineRule="auto"/>
        <w:rPr>
          <w:rFonts w:ascii="Arial" w:eastAsia="Times New Roman" w:hAnsi="Arial" w:cs="Arial"/>
          <w:sz w:val="24"/>
          <w:szCs w:val="24"/>
        </w:rPr>
      </w:pPr>
      <w:r w:rsidRPr="00D30BC9">
        <w:rPr>
          <w:rFonts w:ascii="Arial" w:eastAsia="Times New Roman" w:hAnsi="Arial" w:cs="Arial"/>
          <w:sz w:val="24"/>
          <w:szCs w:val="24"/>
        </w:rPr>
        <w:t>ensuring access to training materials, learning events and career development opportunities for disabled employees through accessible versions of materials or by making workplace adjustments</w:t>
      </w:r>
    </w:p>
    <w:p w14:paraId="2E38A5D0" w14:textId="77777777" w:rsidR="007F1533" w:rsidRPr="00D30BC9" w:rsidRDefault="007F1533" w:rsidP="007F1533">
      <w:pPr>
        <w:numPr>
          <w:ilvl w:val="0"/>
          <w:numId w:val="18"/>
        </w:numPr>
        <w:spacing w:after="200" w:line="240" w:lineRule="auto"/>
        <w:rPr>
          <w:rFonts w:ascii="Arial" w:eastAsia="Times New Roman" w:hAnsi="Arial" w:cs="Arial"/>
          <w:sz w:val="24"/>
          <w:szCs w:val="24"/>
        </w:rPr>
      </w:pPr>
      <w:r w:rsidRPr="00D30BC9">
        <w:rPr>
          <w:rFonts w:ascii="Arial" w:eastAsia="Times New Roman" w:hAnsi="Arial" w:cs="Arial"/>
          <w:sz w:val="24"/>
          <w:szCs w:val="24"/>
        </w:rPr>
        <w:t>by using the recruitment processes shown above when considering applications from disabled employees for promotion</w:t>
      </w:r>
    </w:p>
    <w:p w14:paraId="1F47FEB8" w14:textId="77777777" w:rsidR="0027233F" w:rsidRDefault="0027233F">
      <w:pPr>
        <w:rPr>
          <w:rFonts w:ascii="Arial" w:eastAsiaTheme="majorEastAsia" w:hAnsi="Arial" w:cs="Arial"/>
          <w:b/>
          <w:iCs/>
          <w:color w:val="2F5496" w:themeColor="accent1" w:themeShade="BF"/>
          <w:kern w:val="0"/>
          <w:sz w:val="28"/>
          <w14:ligatures w14:val="none"/>
        </w:rPr>
      </w:pPr>
      <w:r>
        <w:rPr>
          <w:rFonts w:cs="Arial"/>
        </w:rPr>
        <w:br w:type="page"/>
      </w:r>
    </w:p>
    <w:p w14:paraId="533CE0EB" w14:textId="77777777" w:rsidR="009720AB" w:rsidRDefault="001B1B45" w:rsidP="00B817C0">
      <w:pPr>
        <w:pStyle w:val="Heading4"/>
        <w:rPr>
          <w:lang w:eastAsia="en-GB"/>
        </w:rPr>
      </w:pPr>
      <w:r>
        <w:rPr>
          <w:lang w:eastAsia="en-GB"/>
        </w:rPr>
        <w:lastRenderedPageBreak/>
        <w:t>Business Appointment Rules</w:t>
      </w:r>
    </w:p>
    <w:p w14:paraId="7B87463C" w14:textId="3EC3B32F" w:rsidR="001B1B45" w:rsidRPr="00B817C0" w:rsidRDefault="001B1B45" w:rsidP="00B817C0">
      <w:pPr>
        <w:pStyle w:val="Heading4"/>
        <w:rPr>
          <w:lang w:eastAsia="en-GB"/>
        </w:rPr>
      </w:pPr>
      <w:r w:rsidRPr="17F2E2FE">
        <w:rPr>
          <w:rFonts w:cs="Arial"/>
          <w:b w:val="0"/>
          <w:color w:val="000000" w:themeColor="text1"/>
          <w:sz w:val="24"/>
          <w:szCs w:val="24"/>
          <w:lang w:eastAsia="en-GB"/>
        </w:rPr>
        <w:t>The Agency applies the </w:t>
      </w:r>
      <w:hyperlink r:id="rId52">
        <w:r w:rsidRPr="17F2E2FE">
          <w:rPr>
            <w:rStyle w:val="Hyperlink"/>
            <w:rFonts w:cs="Arial"/>
            <w:b w:val="0"/>
            <w:color w:val="000000" w:themeColor="text1"/>
            <w:sz w:val="24"/>
            <w:szCs w:val="24"/>
            <w:lang w:eastAsia="en-GB"/>
          </w:rPr>
          <w:t>Business Appointment Rules</w:t>
        </w:r>
      </w:hyperlink>
      <w:r w:rsidRPr="17F2E2FE">
        <w:rPr>
          <w:rFonts w:cs="Arial"/>
          <w:b w:val="0"/>
          <w:color w:val="000000" w:themeColor="text1"/>
          <w:sz w:val="24"/>
          <w:szCs w:val="24"/>
          <w:lang w:eastAsia="en-GB"/>
        </w:rPr>
        <w:t> in line with the guidance published on GOV.UK. In compliance with Business Appointment rules, the Agency is transparent in the advice given to individual applications for senior staff, including non-executive directors.</w:t>
      </w:r>
    </w:p>
    <w:p w14:paraId="0F9E596C" w14:textId="77777777" w:rsidR="001B1B45" w:rsidRPr="00B817C0" w:rsidRDefault="001B1B45" w:rsidP="00B817C0">
      <w:pPr>
        <w:shd w:val="clear" w:color="auto" w:fill="FFFFFF"/>
        <w:spacing w:before="100" w:beforeAutospacing="1" w:after="100" w:afterAutospacing="1"/>
        <w:rPr>
          <w:rFonts w:ascii="Arial" w:hAnsi="Arial" w:cs="Arial"/>
          <w:color w:val="000000"/>
          <w:sz w:val="24"/>
          <w:szCs w:val="24"/>
          <w:lang w:eastAsia="en-GB"/>
        </w:rPr>
      </w:pPr>
      <w:r w:rsidRPr="00B817C0">
        <w:rPr>
          <w:rFonts w:ascii="Arial" w:hAnsi="Arial" w:cs="Arial"/>
          <w:color w:val="000000"/>
          <w:sz w:val="24"/>
          <w:szCs w:val="24"/>
          <w:lang w:eastAsia="en-GB"/>
        </w:rPr>
        <w:t xml:space="preserve">The Agency’s internal guidance provides requirements on its staff with reference to the Business Appointment Rules. </w:t>
      </w:r>
    </w:p>
    <w:p w14:paraId="713CAA2A" w14:textId="77777777" w:rsidR="007F1533" w:rsidRDefault="007F1533" w:rsidP="007F1533">
      <w:pPr>
        <w:pStyle w:val="Heading4"/>
        <w:rPr>
          <w:rFonts w:cs="Arial"/>
        </w:rPr>
      </w:pPr>
      <w:r w:rsidRPr="007F1533">
        <w:rPr>
          <w:rFonts w:cs="Arial"/>
        </w:rPr>
        <w:t xml:space="preserve">Other employee matters </w:t>
      </w:r>
    </w:p>
    <w:p w14:paraId="3787BD18" w14:textId="0BAFC59C" w:rsidR="007F1533" w:rsidRPr="009720AB" w:rsidRDefault="007F1533" w:rsidP="007F1533">
      <w:pPr>
        <w:rPr>
          <w:rFonts w:ascii="Arial" w:hAnsi="Arial" w:cs="Arial"/>
          <w:color w:val="2F5496"/>
          <w:sz w:val="24"/>
          <w:szCs w:val="24"/>
        </w:rPr>
      </w:pPr>
      <w:r w:rsidRPr="00D30BC9">
        <w:rPr>
          <w:rFonts w:ascii="Arial" w:hAnsi="Arial" w:cs="Arial"/>
          <w:sz w:val="24"/>
          <w:szCs w:val="24"/>
        </w:rPr>
        <w:t>Other employee matters including information on health and safety, diversity, and Civil Service People Survey results can be found in the Performance Report and Governance Statement.</w:t>
      </w:r>
    </w:p>
    <w:p w14:paraId="7988621A" w14:textId="77777777" w:rsidR="007F1533" w:rsidRPr="007F1533" w:rsidRDefault="007F1533" w:rsidP="007F1533">
      <w:pPr>
        <w:pStyle w:val="Heading4"/>
        <w:rPr>
          <w:rFonts w:cs="Arial"/>
        </w:rPr>
      </w:pPr>
      <w:r w:rsidRPr="007F1533">
        <w:rPr>
          <w:rFonts w:cs="Arial"/>
        </w:rPr>
        <w:t>Off-payroll engagements</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41"/>
        <w:gridCol w:w="1701"/>
        <w:gridCol w:w="1559"/>
      </w:tblGrid>
      <w:tr w:rsidR="007F1533" w:rsidRPr="007F1533" w14:paraId="3E4BBDA5" w14:textId="77777777">
        <w:trPr>
          <w:trHeight w:val="255"/>
        </w:trPr>
        <w:tc>
          <w:tcPr>
            <w:tcW w:w="5841" w:type="dxa"/>
            <w:shd w:val="clear" w:color="auto" w:fill="DCE6F1"/>
            <w:noWrap/>
            <w:tcMar>
              <w:top w:w="0" w:type="dxa"/>
              <w:left w:w="108" w:type="dxa"/>
              <w:bottom w:w="0" w:type="dxa"/>
              <w:right w:w="108" w:type="dxa"/>
            </w:tcMar>
            <w:hideMark/>
          </w:tcPr>
          <w:p w14:paraId="00287EAE" w14:textId="77777777" w:rsidR="007F1533" w:rsidRPr="007F1533" w:rsidRDefault="007F1533">
            <w:pPr>
              <w:jc w:val="center"/>
              <w:rPr>
                <w:rFonts w:ascii="Arial" w:hAnsi="Arial" w:cs="Arial"/>
                <w:b/>
                <w:color w:val="000000"/>
                <w:lang w:eastAsia="en-GB"/>
              </w:rPr>
            </w:pPr>
          </w:p>
        </w:tc>
        <w:tc>
          <w:tcPr>
            <w:tcW w:w="1701" w:type="dxa"/>
            <w:shd w:val="clear" w:color="auto" w:fill="DCE6F1"/>
            <w:noWrap/>
            <w:tcMar>
              <w:top w:w="0" w:type="dxa"/>
              <w:left w:w="108" w:type="dxa"/>
              <w:bottom w:w="0" w:type="dxa"/>
              <w:right w:w="108" w:type="dxa"/>
            </w:tcMar>
            <w:hideMark/>
          </w:tcPr>
          <w:p w14:paraId="2C9076CF" w14:textId="77777777" w:rsidR="007F1533" w:rsidRPr="007F1533" w:rsidRDefault="007F1533">
            <w:pPr>
              <w:jc w:val="center"/>
              <w:rPr>
                <w:rFonts w:ascii="Arial" w:hAnsi="Arial" w:cs="Arial"/>
                <w:b/>
              </w:rPr>
            </w:pPr>
            <w:r w:rsidRPr="007F1533">
              <w:rPr>
                <w:rFonts w:ascii="Arial" w:hAnsi="Arial" w:cs="Arial"/>
                <w:b/>
              </w:rPr>
              <w:t>2023-24</w:t>
            </w:r>
          </w:p>
          <w:p w14:paraId="3D2AB360" w14:textId="77777777" w:rsidR="007F1533" w:rsidRPr="007F1533" w:rsidRDefault="007F1533">
            <w:pPr>
              <w:jc w:val="center"/>
              <w:rPr>
                <w:rFonts w:ascii="Arial" w:hAnsi="Arial" w:cs="Arial"/>
                <w:b/>
                <w:bCs/>
                <w:color w:val="000000"/>
                <w:lang w:eastAsia="en-GB"/>
              </w:rPr>
            </w:pPr>
            <w:r w:rsidRPr="007F1533">
              <w:rPr>
                <w:rFonts w:ascii="Arial" w:hAnsi="Arial" w:cs="Arial"/>
                <w:b/>
              </w:rPr>
              <w:t>£000’s</w:t>
            </w:r>
          </w:p>
        </w:tc>
        <w:tc>
          <w:tcPr>
            <w:tcW w:w="1559" w:type="dxa"/>
            <w:shd w:val="clear" w:color="auto" w:fill="DCE6F1"/>
            <w:noWrap/>
            <w:tcMar>
              <w:top w:w="0" w:type="dxa"/>
              <w:left w:w="108" w:type="dxa"/>
              <w:bottom w:w="0" w:type="dxa"/>
              <w:right w:w="108" w:type="dxa"/>
            </w:tcMar>
            <w:hideMark/>
          </w:tcPr>
          <w:p w14:paraId="2A303960" w14:textId="77777777" w:rsidR="007F1533" w:rsidRPr="007F1533" w:rsidRDefault="007F1533">
            <w:pPr>
              <w:jc w:val="center"/>
              <w:rPr>
                <w:rFonts w:ascii="Arial" w:hAnsi="Arial" w:cs="Arial"/>
                <w:b/>
              </w:rPr>
            </w:pPr>
            <w:r w:rsidRPr="007F1533">
              <w:rPr>
                <w:rFonts w:ascii="Arial" w:hAnsi="Arial" w:cs="Arial"/>
                <w:b/>
              </w:rPr>
              <w:t>2022-23</w:t>
            </w:r>
          </w:p>
          <w:p w14:paraId="1715E701" w14:textId="77777777" w:rsidR="007F1533" w:rsidRPr="007F1533" w:rsidRDefault="007F1533">
            <w:pPr>
              <w:jc w:val="center"/>
              <w:rPr>
                <w:rFonts w:ascii="Arial" w:hAnsi="Arial" w:cs="Arial"/>
                <w:b/>
                <w:bCs/>
                <w:color w:val="000000"/>
                <w:lang w:eastAsia="en-GB"/>
              </w:rPr>
            </w:pPr>
            <w:r w:rsidRPr="007F1533">
              <w:rPr>
                <w:rFonts w:ascii="Arial" w:hAnsi="Arial" w:cs="Arial"/>
                <w:b/>
              </w:rPr>
              <w:t>£000’s</w:t>
            </w:r>
          </w:p>
        </w:tc>
      </w:tr>
      <w:tr w:rsidR="007F1533" w:rsidRPr="007F1533" w14:paraId="2A749FAD" w14:textId="77777777">
        <w:trPr>
          <w:trHeight w:val="300"/>
        </w:trPr>
        <w:tc>
          <w:tcPr>
            <w:tcW w:w="5841" w:type="dxa"/>
            <w:shd w:val="clear" w:color="auto" w:fill="DCE6F1"/>
            <w:noWrap/>
            <w:tcMar>
              <w:top w:w="0" w:type="dxa"/>
              <w:left w:w="108" w:type="dxa"/>
              <w:bottom w:w="0" w:type="dxa"/>
              <w:right w:w="108" w:type="dxa"/>
            </w:tcMar>
            <w:vAlign w:val="bottom"/>
          </w:tcPr>
          <w:p w14:paraId="7AB74A30" w14:textId="77777777" w:rsidR="007F1533" w:rsidRPr="007F1533" w:rsidRDefault="007F1533">
            <w:pPr>
              <w:rPr>
                <w:rFonts w:ascii="Arial" w:hAnsi="Arial" w:cs="Arial"/>
                <w:bCs/>
                <w:color w:val="000000"/>
                <w:lang w:eastAsia="en-GB"/>
              </w:rPr>
            </w:pPr>
            <w:r w:rsidRPr="007F1533">
              <w:rPr>
                <w:rFonts w:ascii="Arial" w:hAnsi="Arial" w:cs="Arial"/>
              </w:rPr>
              <w:t>Cost of off-payroll engagements</w:t>
            </w:r>
          </w:p>
        </w:tc>
        <w:tc>
          <w:tcPr>
            <w:tcW w:w="1701" w:type="dxa"/>
            <w:noWrap/>
            <w:tcMar>
              <w:top w:w="0" w:type="dxa"/>
              <w:left w:w="108" w:type="dxa"/>
              <w:bottom w:w="0" w:type="dxa"/>
              <w:right w:w="108" w:type="dxa"/>
            </w:tcMar>
            <w:vAlign w:val="bottom"/>
          </w:tcPr>
          <w:p w14:paraId="64A61F2D"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£12,918</w:t>
            </w:r>
          </w:p>
        </w:tc>
        <w:tc>
          <w:tcPr>
            <w:tcW w:w="1559" w:type="dxa"/>
            <w:noWrap/>
            <w:tcMar>
              <w:top w:w="0" w:type="dxa"/>
              <w:left w:w="108" w:type="dxa"/>
              <w:bottom w:w="0" w:type="dxa"/>
              <w:right w:w="108" w:type="dxa"/>
            </w:tcMar>
            <w:vAlign w:val="bottom"/>
          </w:tcPr>
          <w:p w14:paraId="5406F868"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£11,815</w:t>
            </w:r>
          </w:p>
        </w:tc>
      </w:tr>
      <w:tr w:rsidR="007F1533" w:rsidRPr="007F1533" w14:paraId="27160DF5" w14:textId="77777777">
        <w:trPr>
          <w:trHeight w:val="300"/>
        </w:trPr>
        <w:tc>
          <w:tcPr>
            <w:tcW w:w="5841" w:type="dxa"/>
            <w:shd w:val="clear" w:color="auto" w:fill="DCE6F1"/>
            <w:noWrap/>
            <w:tcMar>
              <w:top w:w="0" w:type="dxa"/>
              <w:left w:w="108" w:type="dxa"/>
              <w:bottom w:w="0" w:type="dxa"/>
              <w:right w:w="108" w:type="dxa"/>
            </w:tcMar>
            <w:vAlign w:val="bottom"/>
          </w:tcPr>
          <w:p w14:paraId="571E66EB" w14:textId="77777777" w:rsidR="007F1533" w:rsidRPr="007F1533" w:rsidRDefault="007F1533">
            <w:pPr>
              <w:rPr>
                <w:rFonts w:ascii="Arial" w:hAnsi="Arial" w:cs="Arial"/>
                <w:bCs/>
                <w:color w:val="000000"/>
                <w:lang w:eastAsia="en-GB"/>
              </w:rPr>
            </w:pPr>
            <w:r w:rsidRPr="007F1533">
              <w:rPr>
                <w:rFonts w:ascii="Arial" w:hAnsi="Arial" w:cs="Arial"/>
              </w:rPr>
              <w:t>Average number of staff</w:t>
            </w:r>
          </w:p>
        </w:tc>
        <w:tc>
          <w:tcPr>
            <w:tcW w:w="1701" w:type="dxa"/>
            <w:noWrap/>
            <w:tcMar>
              <w:top w:w="0" w:type="dxa"/>
              <w:left w:w="108" w:type="dxa"/>
              <w:bottom w:w="0" w:type="dxa"/>
              <w:right w:w="108" w:type="dxa"/>
            </w:tcMar>
            <w:vAlign w:val="bottom"/>
          </w:tcPr>
          <w:p w14:paraId="445F329E"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310</w:t>
            </w:r>
          </w:p>
        </w:tc>
        <w:tc>
          <w:tcPr>
            <w:tcW w:w="1559" w:type="dxa"/>
            <w:noWrap/>
            <w:tcMar>
              <w:top w:w="0" w:type="dxa"/>
              <w:left w:w="108" w:type="dxa"/>
              <w:bottom w:w="0" w:type="dxa"/>
              <w:right w:w="108" w:type="dxa"/>
            </w:tcMar>
            <w:vAlign w:val="bottom"/>
          </w:tcPr>
          <w:p w14:paraId="1325AACC"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200</w:t>
            </w:r>
          </w:p>
        </w:tc>
      </w:tr>
      <w:tr w:rsidR="007F1533" w:rsidRPr="007F1533" w14:paraId="67855C99" w14:textId="77777777">
        <w:trPr>
          <w:trHeight w:val="255"/>
        </w:trPr>
        <w:tc>
          <w:tcPr>
            <w:tcW w:w="5841" w:type="dxa"/>
            <w:shd w:val="clear" w:color="auto" w:fill="DCE6F1"/>
            <w:noWrap/>
            <w:tcMar>
              <w:top w:w="0" w:type="dxa"/>
              <w:left w:w="108" w:type="dxa"/>
              <w:bottom w:w="0" w:type="dxa"/>
              <w:right w:w="108" w:type="dxa"/>
            </w:tcMar>
          </w:tcPr>
          <w:p w14:paraId="14222C2D" w14:textId="77777777" w:rsidR="007F1533" w:rsidRPr="007F1533" w:rsidRDefault="007F1533">
            <w:pPr>
              <w:rPr>
                <w:rFonts w:ascii="Arial" w:hAnsi="Arial" w:cs="Arial"/>
                <w:b/>
                <w:color w:val="000000"/>
                <w:lang w:eastAsia="en-GB"/>
              </w:rPr>
            </w:pPr>
            <w:r w:rsidRPr="007F1533">
              <w:rPr>
                <w:rFonts w:ascii="Arial" w:hAnsi="Arial" w:cs="Arial"/>
                <w:b/>
                <w:color w:val="000000"/>
                <w:lang w:eastAsia="en-GB"/>
              </w:rPr>
              <w:t>Of these:</w:t>
            </w:r>
          </w:p>
        </w:tc>
        <w:tc>
          <w:tcPr>
            <w:tcW w:w="1701" w:type="dxa"/>
            <w:shd w:val="clear" w:color="auto" w:fill="DCE6F1"/>
            <w:noWrap/>
            <w:tcMar>
              <w:top w:w="0" w:type="dxa"/>
              <w:left w:w="108" w:type="dxa"/>
              <w:bottom w:w="0" w:type="dxa"/>
              <w:right w:w="108" w:type="dxa"/>
            </w:tcMar>
          </w:tcPr>
          <w:p w14:paraId="7E05685A" w14:textId="77777777" w:rsidR="007F1533" w:rsidRPr="007F1533" w:rsidRDefault="007F1533">
            <w:pPr>
              <w:jc w:val="center"/>
              <w:rPr>
                <w:rFonts w:ascii="Arial" w:hAnsi="Arial" w:cs="Arial"/>
                <w:b/>
                <w:bCs/>
                <w:color w:val="000000"/>
                <w:lang w:eastAsia="en-GB"/>
              </w:rPr>
            </w:pPr>
          </w:p>
        </w:tc>
        <w:tc>
          <w:tcPr>
            <w:tcW w:w="1559" w:type="dxa"/>
            <w:shd w:val="clear" w:color="auto" w:fill="DCE6F1"/>
            <w:noWrap/>
            <w:tcMar>
              <w:top w:w="0" w:type="dxa"/>
              <w:left w:w="108" w:type="dxa"/>
              <w:bottom w:w="0" w:type="dxa"/>
              <w:right w:w="108" w:type="dxa"/>
            </w:tcMar>
          </w:tcPr>
          <w:p w14:paraId="308132C4" w14:textId="77777777" w:rsidR="007F1533" w:rsidRPr="007F1533" w:rsidRDefault="007F1533">
            <w:pPr>
              <w:jc w:val="center"/>
              <w:rPr>
                <w:rFonts w:ascii="Arial" w:hAnsi="Arial" w:cs="Arial"/>
                <w:b/>
                <w:bCs/>
                <w:color w:val="000000"/>
                <w:lang w:eastAsia="en-GB"/>
              </w:rPr>
            </w:pPr>
          </w:p>
        </w:tc>
      </w:tr>
      <w:tr w:rsidR="007F1533" w:rsidRPr="007F1533" w14:paraId="03EB54F4" w14:textId="77777777">
        <w:trPr>
          <w:trHeight w:val="300"/>
        </w:trPr>
        <w:tc>
          <w:tcPr>
            <w:tcW w:w="5841" w:type="dxa"/>
            <w:shd w:val="clear" w:color="auto" w:fill="DCE6F1"/>
            <w:noWrap/>
            <w:tcMar>
              <w:top w:w="0" w:type="dxa"/>
              <w:left w:w="108" w:type="dxa"/>
              <w:bottom w:w="0" w:type="dxa"/>
              <w:right w:w="108" w:type="dxa"/>
            </w:tcMar>
            <w:vAlign w:val="bottom"/>
          </w:tcPr>
          <w:p w14:paraId="023E39CB" w14:textId="77777777" w:rsidR="007F1533" w:rsidRPr="007F1533" w:rsidRDefault="007F1533">
            <w:pPr>
              <w:rPr>
                <w:rFonts w:ascii="Arial" w:hAnsi="Arial" w:cs="Arial"/>
                <w:bCs/>
                <w:color w:val="000000"/>
                <w:lang w:eastAsia="en-GB"/>
              </w:rPr>
            </w:pPr>
            <w:r w:rsidRPr="007F1533">
              <w:rPr>
                <w:rFonts w:ascii="Arial" w:hAnsi="Arial" w:cs="Arial"/>
                <w:bCs/>
                <w:color w:val="000000"/>
                <w:lang w:eastAsia="en-GB"/>
              </w:rPr>
              <w:t>Number paid more than £245 per day</w:t>
            </w:r>
          </w:p>
        </w:tc>
        <w:tc>
          <w:tcPr>
            <w:tcW w:w="1701" w:type="dxa"/>
            <w:noWrap/>
            <w:tcMar>
              <w:top w:w="0" w:type="dxa"/>
              <w:left w:w="108" w:type="dxa"/>
              <w:bottom w:w="0" w:type="dxa"/>
              <w:right w:w="108" w:type="dxa"/>
            </w:tcMar>
            <w:vAlign w:val="bottom"/>
          </w:tcPr>
          <w:p w14:paraId="283BDCEA"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100</w:t>
            </w:r>
          </w:p>
        </w:tc>
        <w:tc>
          <w:tcPr>
            <w:tcW w:w="1559" w:type="dxa"/>
            <w:noWrap/>
            <w:tcMar>
              <w:top w:w="0" w:type="dxa"/>
              <w:left w:w="108" w:type="dxa"/>
              <w:bottom w:w="0" w:type="dxa"/>
              <w:right w:w="108" w:type="dxa"/>
            </w:tcMar>
            <w:vAlign w:val="bottom"/>
          </w:tcPr>
          <w:p w14:paraId="1B96D162"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95</w:t>
            </w:r>
          </w:p>
        </w:tc>
      </w:tr>
      <w:tr w:rsidR="007F1533" w:rsidRPr="007F1533" w14:paraId="1C0529C1" w14:textId="77777777">
        <w:trPr>
          <w:trHeight w:val="300"/>
        </w:trPr>
        <w:tc>
          <w:tcPr>
            <w:tcW w:w="5841" w:type="dxa"/>
            <w:shd w:val="clear" w:color="auto" w:fill="DCE6F1"/>
            <w:noWrap/>
            <w:tcMar>
              <w:top w:w="0" w:type="dxa"/>
              <w:left w:w="108" w:type="dxa"/>
              <w:bottom w:w="0" w:type="dxa"/>
              <w:right w:w="108" w:type="dxa"/>
            </w:tcMar>
            <w:vAlign w:val="bottom"/>
          </w:tcPr>
          <w:p w14:paraId="7626B887" w14:textId="77777777" w:rsidR="007F1533" w:rsidRPr="007F1533" w:rsidRDefault="007F1533">
            <w:pPr>
              <w:rPr>
                <w:rFonts w:ascii="Arial" w:hAnsi="Arial" w:cs="Arial"/>
                <w:bCs/>
                <w:color w:val="000000"/>
                <w:lang w:eastAsia="en-GB"/>
              </w:rPr>
            </w:pPr>
            <w:r w:rsidRPr="007F1533">
              <w:rPr>
                <w:rFonts w:ascii="Arial" w:hAnsi="Arial" w:cs="Arial"/>
              </w:rPr>
              <w:t>Number that lasted less than 6 months</w:t>
            </w:r>
          </w:p>
        </w:tc>
        <w:tc>
          <w:tcPr>
            <w:tcW w:w="1701" w:type="dxa"/>
            <w:noWrap/>
            <w:tcMar>
              <w:top w:w="0" w:type="dxa"/>
              <w:left w:w="108" w:type="dxa"/>
              <w:bottom w:w="0" w:type="dxa"/>
              <w:right w:w="108" w:type="dxa"/>
            </w:tcMar>
            <w:vAlign w:val="bottom"/>
          </w:tcPr>
          <w:p w14:paraId="46821378"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22</w:t>
            </w:r>
          </w:p>
        </w:tc>
        <w:tc>
          <w:tcPr>
            <w:tcW w:w="1559" w:type="dxa"/>
            <w:noWrap/>
            <w:tcMar>
              <w:top w:w="0" w:type="dxa"/>
              <w:left w:w="108" w:type="dxa"/>
              <w:bottom w:w="0" w:type="dxa"/>
              <w:right w:w="108" w:type="dxa"/>
            </w:tcMar>
            <w:vAlign w:val="bottom"/>
          </w:tcPr>
          <w:p w14:paraId="0731C953"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35</w:t>
            </w:r>
          </w:p>
        </w:tc>
      </w:tr>
      <w:tr w:rsidR="007F1533" w:rsidRPr="007F1533" w14:paraId="73EFDFAC" w14:textId="77777777">
        <w:trPr>
          <w:trHeight w:val="300"/>
        </w:trPr>
        <w:tc>
          <w:tcPr>
            <w:tcW w:w="5841" w:type="dxa"/>
            <w:shd w:val="clear" w:color="auto" w:fill="DCE6F1"/>
            <w:noWrap/>
            <w:tcMar>
              <w:top w:w="0" w:type="dxa"/>
              <w:left w:w="108" w:type="dxa"/>
              <w:bottom w:w="0" w:type="dxa"/>
              <w:right w:w="108" w:type="dxa"/>
            </w:tcMar>
            <w:vAlign w:val="bottom"/>
          </w:tcPr>
          <w:p w14:paraId="0D1F9839" w14:textId="77777777" w:rsidR="007F1533" w:rsidRPr="007F1533" w:rsidRDefault="007F1533">
            <w:pPr>
              <w:rPr>
                <w:rFonts w:ascii="Arial" w:hAnsi="Arial" w:cs="Arial"/>
              </w:rPr>
            </w:pPr>
            <w:r w:rsidRPr="007F1533">
              <w:rPr>
                <w:rFonts w:ascii="Arial" w:hAnsi="Arial" w:cs="Arial"/>
              </w:rPr>
              <w:t>Number lasted longer than 6 months but less than a year</w:t>
            </w:r>
          </w:p>
        </w:tc>
        <w:tc>
          <w:tcPr>
            <w:tcW w:w="1701" w:type="dxa"/>
            <w:noWrap/>
            <w:tcMar>
              <w:top w:w="0" w:type="dxa"/>
              <w:left w:w="108" w:type="dxa"/>
              <w:bottom w:w="0" w:type="dxa"/>
              <w:right w:w="108" w:type="dxa"/>
            </w:tcMar>
            <w:vAlign w:val="bottom"/>
          </w:tcPr>
          <w:p w14:paraId="101F84A6"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17</w:t>
            </w:r>
          </w:p>
        </w:tc>
        <w:tc>
          <w:tcPr>
            <w:tcW w:w="1559" w:type="dxa"/>
            <w:noWrap/>
            <w:tcMar>
              <w:top w:w="0" w:type="dxa"/>
              <w:left w:w="108" w:type="dxa"/>
              <w:bottom w:w="0" w:type="dxa"/>
              <w:right w:w="108" w:type="dxa"/>
            </w:tcMar>
            <w:vAlign w:val="bottom"/>
          </w:tcPr>
          <w:p w14:paraId="243081CA"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31</w:t>
            </w:r>
          </w:p>
        </w:tc>
      </w:tr>
      <w:tr w:rsidR="007F1533" w:rsidRPr="007F1533" w14:paraId="62420A89" w14:textId="77777777">
        <w:trPr>
          <w:trHeight w:val="300"/>
        </w:trPr>
        <w:tc>
          <w:tcPr>
            <w:tcW w:w="5841" w:type="dxa"/>
            <w:shd w:val="clear" w:color="auto" w:fill="DCE6F1"/>
            <w:noWrap/>
            <w:tcMar>
              <w:top w:w="0" w:type="dxa"/>
              <w:left w:w="108" w:type="dxa"/>
              <w:bottom w:w="0" w:type="dxa"/>
              <w:right w:w="108" w:type="dxa"/>
            </w:tcMar>
            <w:vAlign w:val="bottom"/>
          </w:tcPr>
          <w:p w14:paraId="5464B9A7" w14:textId="77777777" w:rsidR="007F1533" w:rsidRPr="007F1533" w:rsidRDefault="007F1533">
            <w:pPr>
              <w:rPr>
                <w:rFonts w:ascii="Arial" w:hAnsi="Arial" w:cs="Arial"/>
              </w:rPr>
            </w:pPr>
            <w:r w:rsidRPr="007F1533">
              <w:rPr>
                <w:rFonts w:ascii="Arial" w:hAnsi="Arial" w:cs="Arial"/>
              </w:rPr>
              <w:t>Number paid more than £245 per day with a contract lasting more than 1 year but less than 2 years</w:t>
            </w:r>
          </w:p>
        </w:tc>
        <w:tc>
          <w:tcPr>
            <w:tcW w:w="1701" w:type="dxa"/>
            <w:noWrap/>
            <w:tcMar>
              <w:top w:w="0" w:type="dxa"/>
              <w:left w:w="108" w:type="dxa"/>
              <w:bottom w:w="0" w:type="dxa"/>
              <w:right w:w="108" w:type="dxa"/>
            </w:tcMar>
            <w:vAlign w:val="bottom"/>
          </w:tcPr>
          <w:p w14:paraId="3733125C"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53</w:t>
            </w:r>
          </w:p>
        </w:tc>
        <w:tc>
          <w:tcPr>
            <w:tcW w:w="1559" w:type="dxa"/>
            <w:noWrap/>
            <w:tcMar>
              <w:top w:w="0" w:type="dxa"/>
              <w:left w:w="108" w:type="dxa"/>
              <w:bottom w:w="0" w:type="dxa"/>
              <w:right w:w="108" w:type="dxa"/>
            </w:tcMar>
            <w:vAlign w:val="bottom"/>
          </w:tcPr>
          <w:p w14:paraId="3D543355"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22</w:t>
            </w:r>
          </w:p>
        </w:tc>
      </w:tr>
      <w:tr w:rsidR="007F1533" w:rsidRPr="007F1533" w14:paraId="246C3B75" w14:textId="77777777">
        <w:trPr>
          <w:trHeight w:val="300"/>
        </w:trPr>
        <w:tc>
          <w:tcPr>
            <w:tcW w:w="5841" w:type="dxa"/>
            <w:shd w:val="clear" w:color="auto" w:fill="DCE6F1"/>
            <w:noWrap/>
            <w:tcMar>
              <w:top w:w="0" w:type="dxa"/>
              <w:left w:w="108" w:type="dxa"/>
              <w:bottom w:w="0" w:type="dxa"/>
              <w:right w:w="108" w:type="dxa"/>
            </w:tcMar>
            <w:vAlign w:val="bottom"/>
          </w:tcPr>
          <w:p w14:paraId="1A9B0EA0" w14:textId="77777777" w:rsidR="007F1533" w:rsidRPr="007F1533" w:rsidRDefault="007F1533">
            <w:pPr>
              <w:rPr>
                <w:rFonts w:ascii="Arial" w:hAnsi="Arial" w:cs="Arial"/>
              </w:rPr>
            </w:pPr>
            <w:r w:rsidRPr="007F1533">
              <w:rPr>
                <w:rFonts w:ascii="Arial" w:hAnsi="Arial" w:cs="Arial"/>
              </w:rPr>
              <w:t>Number where contract lasted longer than 2 years</w:t>
            </w:r>
          </w:p>
        </w:tc>
        <w:tc>
          <w:tcPr>
            <w:tcW w:w="1701" w:type="dxa"/>
            <w:noWrap/>
            <w:tcMar>
              <w:top w:w="0" w:type="dxa"/>
              <w:left w:w="108" w:type="dxa"/>
              <w:bottom w:w="0" w:type="dxa"/>
              <w:right w:w="108" w:type="dxa"/>
            </w:tcMar>
            <w:vAlign w:val="bottom"/>
          </w:tcPr>
          <w:p w14:paraId="498CD655"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8</w:t>
            </w:r>
          </w:p>
        </w:tc>
        <w:tc>
          <w:tcPr>
            <w:tcW w:w="1559" w:type="dxa"/>
            <w:noWrap/>
            <w:tcMar>
              <w:top w:w="0" w:type="dxa"/>
              <w:left w:w="108" w:type="dxa"/>
              <w:bottom w:w="0" w:type="dxa"/>
              <w:right w:w="108" w:type="dxa"/>
            </w:tcMar>
            <w:vAlign w:val="bottom"/>
          </w:tcPr>
          <w:p w14:paraId="3B075C49"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7</w:t>
            </w:r>
          </w:p>
        </w:tc>
      </w:tr>
    </w:tbl>
    <w:p w14:paraId="784547AC" w14:textId="0D2590C0" w:rsidR="007F1533" w:rsidRDefault="009720AB" w:rsidP="007F1533">
      <w:pPr>
        <w:rPr>
          <w:rFonts w:ascii="Arial" w:hAnsi="Arial" w:cs="Arial"/>
          <w:sz w:val="24"/>
          <w:szCs w:val="24"/>
        </w:rPr>
      </w:pPr>
      <w:r>
        <w:rPr>
          <w:rFonts w:ascii="Arial" w:hAnsi="Arial" w:cs="Arial"/>
          <w:sz w:val="24"/>
          <w:szCs w:val="24"/>
        </w:rPr>
        <w:br/>
      </w:r>
      <w:r w:rsidR="007F1533" w:rsidRPr="00D30BC9">
        <w:rPr>
          <w:rFonts w:ascii="Arial" w:hAnsi="Arial" w:cs="Arial"/>
          <w:sz w:val="24"/>
          <w:szCs w:val="24"/>
        </w:rPr>
        <w:t>Between 1 April 2023 and 31 March 2024 there were 100 off-payroll engagements or those that reached 6 months in duration, for more than £245 per day. 99 of these were assessed as being caught by IR35. None of these were engaged directly (via PSC contracted to DBT) and on DBT payroll. All 100 were reassessed for consistency/assurance purposes during the year, and there were no changes to IR35 status following these consistency reviews.</w:t>
      </w:r>
    </w:p>
    <w:p w14:paraId="526C6387" w14:textId="3A945669" w:rsidR="00C27F44" w:rsidRPr="004841F1" w:rsidRDefault="002565DC" w:rsidP="004841F1">
      <w:pPr>
        <w:pStyle w:val="ListParagraph"/>
        <w:ind w:left="0"/>
        <w:rPr>
          <w:rFonts w:ascii="Arial" w:hAnsi="Arial" w:cs="Arial"/>
          <w:sz w:val="24"/>
          <w:szCs w:val="24"/>
        </w:rPr>
      </w:pPr>
      <w:r>
        <w:rPr>
          <w:rFonts w:ascii="Arial" w:hAnsi="Arial" w:cs="Arial"/>
          <w:sz w:val="24"/>
          <w:szCs w:val="24"/>
        </w:rPr>
        <w:t>During 2023-24 none of the off-payroll engagements were board members or senior officials with significant financial responsibility (2022-23: None).</w:t>
      </w:r>
      <w:bookmarkStart w:id="20" w:name="_Hlk102574545"/>
      <w:r w:rsidR="00C27F44">
        <w:rPr>
          <w:rFonts w:cs="Arial"/>
        </w:rPr>
        <w:br w:type="page"/>
      </w:r>
    </w:p>
    <w:p w14:paraId="14DB7930" w14:textId="77777777" w:rsidR="007F1533" w:rsidRPr="007F1533" w:rsidRDefault="007F1533" w:rsidP="007F1533">
      <w:pPr>
        <w:pStyle w:val="Heading4"/>
        <w:rPr>
          <w:rFonts w:cs="Arial"/>
        </w:rPr>
      </w:pPr>
      <w:r w:rsidRPr="007F1533">
        <w:rPr>
          <w:rFonts w:cs="Arial"/>
        </w:rPr>
        <w:lastRenderedPageBreak/>
        <w:t>Consultancy</w:t>
      </w:r>
    </w:p>
    <w:bookmarkEnd w:id="20"/>
    <w:p w14:paraId="55E3C921" w14:textId="685ECA9D" w:rsidR="001C5D83" w:rsidRDefault="007F1533" w:rsidP="007F1533">
      <w:pPr>
        <w:rPr>
          <w:rFonts w:ascii="Arial" w:hAnsi="Arial" w:cs="Arial"/>
          <w:sz w:val="24"/>
          <w:szCs w:val="24"/>
        </w:rPr>
      </w:pPr>
      <w:r w:rsidRPr="00D30BC9">
        <w:rPr>
          <w:rFonts w:ascii="Arial" w:hAnsi="Arial" w:cs="Arial"/>
          <w:sz w:val="24"/>
          <w:szCs w:val="24"/>
        </w:rPr>
        <w:t>Spend on consultancy was £580K (2022-23: £288K). These included costs</w:t>
      </w:r>
      <w:r w:rsidRPr="00D30BC9">
        <w:rPr>
          <w:rFonts w:ascii="Arial" w:hAnsi="Arial" w:cs="Arial"/>
          <w:sz w:val="24"/>
          <w:szCs w:val="28"/>
        </w:rPr>
        <w:t xml:space="preserve"> relating to a Board Effectiveness Review, </w:t>
      </w:r>
      <w:r w:rsidRPr="00D30BC9">
        <w:rPr>
          <w:rFonts w:ascii="Arial" w:hAnsi="Arial" w:cs="Arial"/>
          <w:sz w:val="24"/>
          <w:szCs w:val="24"/>
        </w:rPr>
        <w:t xml:space="preserve">provision of technical architecture support for our public facing services and integrations, </w:t>
      </w:r>
      <w:r w:rsidRPr="0050374D">
        <w:rPr>
          <w:rFonts w:ascii="Arial" w:hAnsi="Arial" w:cs="Arial"/>
          <w:sz w:val="24"/>
          <w:szCs w:val="24"/>
        </w:rPr>
        <w:t>including setting standards, leading on design and assuring implementation of improvements and fixes to our products</w:t>
      </w:r>
      <w:r w:rsidRPr="00D30BC9">
        <w:rPr>
          <w:rFonts w:ascii="Arial" w:hAnsi="Arial" w:cs="Arial"/>
          <w:sz w:val="24"/>
          <w:szCs w:val="24"/>
        </w:rPr>
        <w:t xml:space="preserve"> and the delivery of a programme of cost transparency activities across our IT estate.</w:t>
      </w:r>
    </w:p>
    <w:p w14:paraId="6347530A" w14:textId="77777777" w:rsidR="007F1533" w:rsidRPr="007F1533" w:rsidRDefault="007F1533" w:rsidP="007F1533">
      <w:pPr>
        <w:pStyle w:val="Heading4"/>
        <w:rPr>
          <w:rFonts w:cs="Arial"/>
        </w:rPr>
      </w:pPr>
      <w:r w:rsidRPr="007F1533">
        <w:rPr>
          <w:rFonts w:cs="Arial"/>
        </w:rPr>
        <w:t xml:space="preserve">Staff Exit packages (audited) </w:t>
      </w:r>
    </w:p>
    <w:p w14:paraId="424997A0" w14:textId="77777777" w:rsidR="007F1533" w:rsidRPr="007F1533" w:rsidRDefault="007F1533" w:rsidP="007F1533">
      <w:pPr>
        <w:spacing w:line="240" w:lineRule="auto"/>
        <w:rPr>
          <w:rFonts w:ascii="Arial" w:hAnsi="Arial" w:cs="Arial"/>
        </w:rPr>
      </w:pPr>
      <w:r w:rsidRPr="007F1533">
        <w:rPr>
          <w:rFonts w:ascii="Arial" w:hAnsi="Arial" w:cs="Arial"/>
        </w:rPr>
        <w:t>Reporting of Civil Service and other compensation schemes - exit packages (prior year comparator in brackets)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9"/>
        <w:gridCol w:w="1984"/>
        <w:gridCol w:w="1984"/>
        <w:gridCol w:w="1985"/>
      </w:tblGrid>
      <w:tr w:rsidR="007F1533" w:rsidRPr="007F1533" w14:paraId="247062FD" w14:textId="77777777">
        <w:trPr>
          <w:trHeight w:val="255"/>
        </w:trPr>
        <w:tc>
          <w:tcPr>
            <w:tcW w:w="3119" w:type="dxa"/>
            <w:shd w:val="clear" w:color="auto" w:fill="DCE6F1"/>
            <w:noWrap/>
            <w:tcMar>
              <w:top w:w="0" w:type="dxa"/>
              <w:left w:w="108" w:type="dxa"/>
              <w:bottom w:w="0" w:type="dxa"/>
              <w:right w:w="108" w:type="dxa"/>
            </w:tcMar>
            <w:hideMark/>
          </w:tcPr>
          <w:p w14:paraId="1C4AABAB" w14:textId="77777777" w:rsidR="007F1533" w:rsidRPr="007F1533" w:rsidRDefault="007F1533">
            <w:pPr>
              <w:jc w:val="center"/>
              <w:rPr>
                <w:rFonts w:ascii="Arial" w:hAnsi="Arial" w:cs="Arial"/>
                <w:b/>
                <w:color w:val="000000"/>
                <w:highlight w:val="yellow"/>
                <w:lang w:eastAsia="en-GB"/>
              </w:rPr>
            </w:pPr>
            <w:r w:rsidRPr="007F1533">
              <w:rPr>
                <w:rFonts w:ascii="Arial" w:hAnsi="Arial" w:cs="Arial"/>
                <w:b/>
                <w:color w:val="000000"/>
                <w:lang w:eastAsia="en-GB"/>
              </w:rPr>
              <w:t>Exit package by cost band</w:t>
            </w:r>
          </w:p>
        </w:tc>
        <w:tc>
          <w:tcPr>
            <w:tcW w:w="1984" w:type="dxa"/>
            <w:shd w:val="clear" w:color="auto" w:fill="DCE6F1"/>
            <w:noWrap/>
            <w:tcMar>
              <w:top w:w="0" w:type="dxa"/>
              <w:left w:w="108" w:type="dxa"/>
              <w:bottom w:w="0" w:type="dxa"/>
              <w:right w:w="108" w:type="dxa"/>
            </w:tcMar>
            <w:hideMark/>
          </w:tcPr>
          <w:p w14:paraId="77A89117"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Number of compulsory redundancies</w:t>
            </w:r>
          </w:p>
        </w:tc>
        <w:tc>
          <w:tcPr>
            <w:tcW w:w="1984" w:type="dxa"/>
            <w:shd w:val="clear" w:color="auto" w:fill="DCE6F1"/>
            <w:noWrap/>
            <w:tcMar>
              <w:top w:w="0" w:type="dxa"/>
              <w:left w:w="108" w:type="dxa"/>
              <w:bottom w:w="0" w:type="dxa"/>
              <w:right w:w="108" w:type="dxa"/>
            </w:tcMar>
            <w:hideMark/>
          </w:tcPr>
          <w:p w14:paraId="18D3149F"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Number of other departures agreed</w:t>
            </w:r>
          </w:p>
        </w:tc>
        <w:tc>
          <w:tcPr>
            <w:tcW w:w="1985" w:type="dxa"/>
            <w:shd w:val="clear" w:color="auto" w:fill="DCE6F1"/>
          </w:tcPr>
          <w:p w14:paraId="74CAD593" w14:textId="77777777" w:rsidR="007F1533" w:rsidRPr="007F1533" w:rsidRDefault="007F1533">
            <w:pPr>
              <w:jc w:val="center"/>
              <w:rPr>
                <w:rFonts w:ascii="Arial" w:hAnsi="Arial" w:cs="Arial"/>
                <w:b/>
                <w:bCs/>
                <w:color w:val="000000"/>
                <w:highlight w:val="yellow"/>
                <w:lang w:eastAsia="en-GB"/>
              </w:rPr>
            </w:pPr>
            <w:r w:rsidRPr="007F1533">
              <w:rPr>
                <w:rFonts w:ascii="Arial" w:hAnsi="Arial" w:cs="Arial"/>
                <w:b/>
                <w:bCs/>
                <w:color w:val="000000"/>
                <w:lang w:eastAsia="en-GB"/>
              </w:rPr>
              <w:t>Total number of exit packages by cost band</w:t>
            </w:r>
          </w:p>
        </w:tc>
      </w:tr>
      <w:tr w:rsidR="007F1533" w:rsidRPr="007F1533" w14:paraId="64A30684" w14:textId="77777777">
        <w:trPr>
          <w:trHeight w:val="413"/>
        </w:trPr>
        <w:tc>
          <w:tcPr>
            <w:tcW w:w="3119" w:type="dxa"/>
            <w:shd w:val="clear" w:color="auto" w:fill="DCE6F1"/>
            <w:noWrap/>
            <w:tcMar>
              <w:top w:w="0" w:type="dxa"/>
              <w:left w:w="108" w:type="dxa"/>
              <w:bottom w:w="0" w:type="dxa"/>
              <w:right w:w="108" w:type="dxa"/>
            </w:tcMar>
            <w:vAlign w:val="bottom"/>
          </w:tcPr>
          <w:p w14:paraId="06923DAF" w14:textId="77777777" w:rsidR="007F1533" w:rsidRPr="007F1533" w:rsidRDefault="007F1533">
            <w:pPr>
              <w:rPr>
                <w:rFonts w:ascii="Arial" w:hAnsi="Arial" w:cs="Arial"/>
                <w:b/>
                <w:bCs/>
                <w:color w:val="000000"/>
              </w:rPr>
            </w:pPr>
            <w:r w:rsidRPr="007F1533">
              <w:rPr>
                <w:rFonts w:ascii="Arial" w:hAnsi="Arial" w:cs="Arial"/>
                <w:b/>
                <w:bCs/>
                <w:color w:val="000000"/>
              </w:rPr>
              <w:t>&lt;£10,000</w:t>
            </w:r>
          </w:p>
        </w:tc>
        <w:tc>
          <w:tcPr>
            <w:tcW w:w="1984" w:type="dxa"/>
            <w:noWrap/>
            <w:tcMar>
              <w:top w:w="0" w:type="dxa"/>
              <w:left w:w="108" w:type="dxa"/>
              <w:bottom w:w="0" w:type="dxa"/>
              <w:right w:w="108" w:type="dxa"/>
            </w:tcMar>
            <w:vAlign w:val="center"/>
          </w:tcPr>
          <w:p w14:paraId="335517C6"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0 (0)</w:t>
            </w:r>
          </w:p>
        </w:tc>
        <w:tc>
          <w:tcPr>
            <w:tcW w:w="1984" w:type="dxa"/>
            <w:noWrap/>
            <w:tcMar>
              <w:top w:w="0" w:type="dxa"/>
              <w:left w:w="108" w:type="dxa"/>
              <w:bottom w:w="0" w:type="dxa"/>
              <w:right w:w="108" w:type="dxa"/>
            </w:tcMar>
            <w:vAlign w:val="center"/>
          </w:tcPr>
          <w:p w14:paraId="627DDF6B"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1 (0)</w:t>
            </w:r>
          </w:p>
        </w:tc>
        <w:tc>
          <w:tcPr>
            <w:tcW w:w="1985" w:type="dxa"/>
            <w:vAlign w:val="center"/>
          </w:tcPr>
          <w:p w14:paraId="11F0F992" w14:textId="77777777" w:rsidR="007F1533" w:rsidRPr="007F1533" w:rsidRDefault="007F1533">
            <w:pPr>
              <w:jc w:val="center"/>
              <w:rPr>
                <w:rFonts w:ascii="Arial" w:hAnsi="Arial" w:cs="Arial"/>
                <w:color w:val="000000"/>
                <w:highlight w:val="yellow"/>
                <w:lang w:eastAsia="en-GB"/>
              </w:rPr>
            </w:pPr>
            <w:r w:rsidRPr="007F1533">
              <w:rPr>
                <w:rFonts w:ascii="Arial" w:hAnsi="Arial" w:cs="Arial"/>
                <w:color w:val="000000"/>
                <w:lang w:eastAsia="en-GB"/>
              </w:rPr>
              <w:t>0 (0)</w:t>
            </w:r>
          </w:p>
        </w:tc>
      </w:tr>
      <w:tr w:rsidR="007F1533" w:rsidRPr="007F1533" w14:paraId="6F063FF3" w14:textId="77777777">
        <w:trPr>
          <w:trHeight w:val="525"/>
        </w:trPr>
        <w:tc>
          <w:tcPr>
            <w:tcW w:w="3119" w:type="dxa"/>
            <w:shd w:val="clear" w:color="auto" w:fill="DCE6F1"/>
            <w:noWrap/>
            <w:tcMar>
              <w:top w:w="0" w:type="dxa"/>
              <w:left w:w="108" w:type="dxa"/>
              <w:bottom w:w="0" w:type="dxa"/>
              <w:right w:w="108" w:type="dxa"/>
            </w:tcMar>
            <w:vAlign w:val="bottom"/>
          </w:tcPr>
          <w:p w14:paraId="5D3DE3CC" w14:textId="77777777" w:rsidR="007F1533" w:rsidRPr="007F1533" w:rsidRDefault="007F1533">
            <w:pPr>
              <w:rPr>
                <w:rFonts w:ascii="Arial" w:hAnsi="Arial" w:cs="Arial"/>
                <w:b/>
                <w:bCs/>
                <w:color w:val="000000"/>
              </w:rPr>
            </w:pPr>
            <w:r w:rsidRPr="007F1533">
              <w:rPr>
                <w:rFonts w:ascii="Arial" w:hAnsi="Arial" w:cs="Arial"/>
                <w:b/>
                <w:bCs/>
                <w:color w:val="000000"/>
              </w:rPr>
              <w:t>£10,000-£25,000</w:t>
            </w:r>
          </w:p>
        </w:tc>
        <w:tc>
          <w:tcPr>
            <w:tcW w:w="1984" w:type="dxa"/>
            <w:noWrap/>
            <w:tcMar>
              <w:top w:w="0" w:type="dxa"/>
              <w:left w:w="108" w:type="dxa"/>
              <w:bottom w:w="0" w:type="dxa"/>
              <w:right w:w="108" w:type="dxa"/>
            </w:tcMar>
            <w:vAlign w:val="center"/>
          </w:tcPr>
          <w:p w14:paraId="2A58EDE4" w14:textId="77777777" w:rsidR="007F1533" w:rsidRPr="007F1533" w:rsidRDefault="007F1533">
            <w:pPr>
              <w:jc w:val="center"/>
              <w:rPr>
                <w:rFonts w:ascii="Arial" w:hAnsi="Arial" w:cs="Arial"/>
                <w:color w:val="000000"/>
                <w:highlight w:val="yellow"/>
                <w:lang w:eastAsia="en-GB"/>
              </w:rPr>
            </w:pPr>
            <w:r w:rsidRPr="007F1533">
              <w:rPr>
                <w:rFonts w:ascii="Arial" w:hAnsi="Arial" w:cs="Arial"/>
                <w:color w:val="000000"/>
                <w:lang w:eastAsia="en-GB"/>
              </w:rPr>
              <w:t>0 (0)</w:t>
            </w:r>
          </w:p>
        </w:tc>
        <w:tc>
          <w:tcPr>
            <w:tcW w:w="1984" w:type="dxa"/>
            <w:noWrap/>
            <w:tcMar>
              <w:top w:w="0" w:type="dxa"/>
              <w:left w:w="108" w:type="dxa"/>
              <w:bottom w:w="0" w:type="dxa"/>
              <w:right w:w="108" w:type="dxa"/>
            </w:tcMar>
            <w:vAlign w:val="center"/>
          </w:tcPr>
          <w:p w14:paraId="30AB0312"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2 (0)</w:t>
            </w:r>
          </w:p>
        </w:tc>
        <w:tc>
          <w:tcPr>
            <w:tcW w:w="1985" w:type="dxa"/>
            <w:vAlign w:val="center"/>
          </w:tcPr>
          <w:p w14:paraId="2BA188B5" w14:textId="77777777" w:rsidR="007F1533" w:rsidRPr="007F1533" w:rsidRDefault="007F1533">
            <w:pPr>
              <w:jc w:val="center"/>
              <w:rPr>
                <w:rFonts w:ascii="Arial" w:hAnsi="Arial" w:cs="Arial"/>
                <w:color w:val="000000"/>
                <w:highlight w:val="yellow"/>
                <w:lang w:eastAsia="en-GB"/>
              </w:rPr>
            </w:pPr>
            <w:r w:rsidRPr="007F1533">
              <w:rPr>
                <w:rFonts w:ascii="Arial" w:hAnsi="Arial" w:cs="Arial"/>
                <w:color w:val="000000"/>
                <w:lang w:eastAsia="en-GB"/>
              </w:rPr>
              <w:t>0 (0)</w:t>
            </w:r>
          </w:p>
        </w:tc>
      </w:tr>
      <w:tr w:rsidR="007F1533" w:rsidRPr="007F1533" w14:paraId="4B30E5EF" w14:textId="77777777">
        <w:trPr>
          <w:trHeight w:val="270"/>
        </w:trPr>
        <w:tc>
          <w:tcPr>
            <w:tcW w:w="3119" w:type="dxa"/>
            <w:shd w:val="clear" w:color="auto" w:fill="DCE6F1"/>
            <w:noWrap/>
            <w:tcMar>
              <w:top w:w="0" w:type="dxa"/>
              <w:left w:w="108" w:type="dxa"/>
              <w:bottom w:w="0" w:type="dxa"/>
              <w:right w:w="108" w:type="dxa"/>
            </w:tcMar>
            <w:vAlign w:val="bottom"/>
          </w:tcPr>
          <w:p w14:paraId="5DD02FF5" w14:textId="77777777" w:rsidR="007F1533" w:rsidRPr="007F1533" w:rsidRDefault="007F1533">
            <w:pPr>
              <w:rPr>
                <w:rFonts w:ascii="Arial" w:hAnsi="Arial" w:cs="Arial"/>
                <w:b/>
                <w:bCs/>
                <w:color w:val="000000"/>
              </w:rPr>
            </w:pPr>
            <w:r w:rsidRPr="007F1533">
              <w:rPr>
                <w:rFonts w:ascii="Arial" w:hAnsi="Arial" w:cs="Arial"/>
                <w:b/>
                <w:bCs/>
                <w:color w:val="000000"/>
              </w:rPr>
              <w:t>£25,000-£50,000</w:t>
            </w:r>
          </w:p>
        </w:tc>
        <w:tc>
          <w:tcPr>
            <w:tcW w:w="1984" w:type="dxa"/>
            <w:noWrap/>
            <w:tcMar>
              <w:top w:w="0" w:type="dxa"/>
              <w:left w:w="108" w:type="dxa"/>
              <w:bottom w:w="0" w:type="dxa"/>
              <w:right w:w="108" w:type="dxa"/>
            </w:tcMar>
            <w:vAlign w:val="center"/>
          </w:tcPr>
          <w:p w14:paraId="16CCAC63" w14:textId="77777777" w:rsidR="007F1533" w:rsidRPr="007F1533" w:rsidRDefault="007F1533">
            <w:pPr>
              <w:jc w:val="center"/>
              <w:rPr>
                <w:rFonts w:ascii="Arial" w:hAnsi="Arial" w:cs="Arial"/>
                <w:color w:val="000000"/>
                <w:highlight w:val="yellow"/>
                <w:lang w:eastAsia="en-GB"/>
              </w:rPr>
            </w:pPr>
            <w:r w:rsidRPr="007F1533">
              <w:rPr>
                <w:rFonts w:ascii="Arial" w:hAnsi="Arial" w:cs="Arial"/>
                <w:color w:val="000000"/>
                <w:lang w:eastAsia="en-GB"/>
              </w:rPr>
              <w:t>0 (0)</w:t>
            </w:r>
          </w:p>
        </w:tc>
        <w:tc>
          <w:tcPr>
            <w:tcW w:w="1984" w:type="dxa"/>
            <w:noWrap/>
            <w:tcMar>
              <w:top w:w="0" w:type="dxa"/>
              <w:left w:w="108" w:type="dxa"/>
              <w:bottom w:w="0" w:type="dxa"/>
              <w:right w:w="108" w:type="dxa"/>
            </w:tcMar>
            <w:vAlign w:val="center"/>
          </w:tcPr>
          <w:p w14:paraId="44FE1866"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2 (0)</w:t>
            </w:r>
          </w:p>
        </w:tc>
        <w:tc>
          <w:tcPr>
            <w:tcW w:w="1985" w:type="dxa"/>
            <w:vAlign w:val="center"/>
          </w:tcPr>
          <w:p w14:paraId="62FAD100" w14:textId="77777777" w:rsidR="007F1533" w:rsidRPr="007F1533" w:rsidRDefault="007F1533">
            <w:pPr>
              <w:jc w:val="center"/>
              <w:rPr>
                <w:rFonts w:ascii="Arial" w:hAnsi="Arial" w:cs="Arial"/>
                <w:color w:val="000000"/>
                <w:highlight w:val="yellow"/>
                <w:lang w:eastAsia="en-GB"/>
              </w:rPr>
            </w:pPr>
            <w:r w:rsidRPr="007F1533">
              <w:rPr>
                <w:rFonts w:ascii="Arial" w:hAnsi="Arial" w:cs="Arial"/>
                <w:color w:val="000000"/>
                <w:lang w:eastAsia="en-GB"/>
              </w:rPr>
              <w:t>0 (0)</w:t>
            </w:r>
          </w:p>
        </w:tc>
      </w:tr>
      <w:tr w:rsidR="007F1533" w:rsidRPr="007F1533" w14:paraId="66726438" w14:textId="77777777">
        <w:trPr>
          <w:trHeight w:val="345"/>
        </w:trPr>
        <w:tc>
          <w:tcPr>
            <w:tcW w:w="3119" w:type="dxa"/>
            <w:shd w:val="clear" w:color="auto" w:fill="DCE6F1"/>
            <w:noWrap/>
            <w:tcMar>
              <w:top w:w="0" w:type="dxa"/>
              <w:left w:w="108" w:type="dxa"/>
              <w:bottom w:w="0" w:type="dxa"/>
              <w:right w:w="108" w:type="dxa"/>
            </w:tcMar>
            <w:vAlign w:val="bottom"/>
          </w:tcPr>
          <w:p w14:paraId="2DF1E21C" w14:textId="77777777" w:rsidR="007F1533" w:rsidRPr="007F1533" w:rsidRDefault="007F1533">
            <w:pPr>
              <w:rPr>
                <w:rFonts w:ascii="Arial" w:hAnsi="Arial" w:cs="Arial"/>
                <w:b/>
                <w:bCs/>
                <w:color w:val="000000"/>
                <w:highlight w:val="yellow"/>
                <w:lang w:eastAsia="en-GB"/>
              </w:rPr>
            </w:pPr>
            <w:r w:rsidRPr="007F1533">
              <w:rPr>
                <w:rFonts w:ascii="Arial" w:hAnsi="Arial" w:cs="Arial"/>
                <w:b/>
                <w:bCs/>
                <w:color w:val="000000"/>
              </w:rPr>
              <w:t>£50,000-£100,000</w:t>
            </w:r>
          </w:p>
        </w:tc>
        <w:tc>
          <w:tcPr>
            <w:tcW w:w="1984" w:type="dxa"/>
            <w:noWrap/>
            <w:tcMar>
              <w:top w:w="0" w:type="dxa"/>
              <w:left w:w="108" w:type="dxa"/>
              <w:bottom w:w="0" w:type="dxa"/>
              <w:right w:w="108" w:type="dxa"/>
            </w:tcMar>
            <w:vAlign w:val="center"/>
          </w:tcPr>
          <w:p w14:paraId="337C0F4F" w14:textId="77777777" w:rsidR="007F1533" w:rsidRPr="007F1533" w:rsidRDefault="007F1533">
            <w:pPr>
              <w:jc w:val="center"/>
              <w:rPr>
                <w:rFonts w:ascii="Arial" w:hAnsi="Arial" w:cs="Arial"/>
                <w:color w:val="000000"/>
                <w:highlight w:val="yellow"/>
                <w:lang w:eastAsia="en-GB"/>
              </w:rPr>
            </w:pPr>
            <w:r w:rsidRPr="007F1533">
              <w:rPr>
                <w:rFonts w:ascii="Arial" w:hAnsi="Arial" w:cs="Arial"/>
                <w:color w:val="000000"/>
                <w:lang w:eastAsia="en-GB"/>
              </w:rPr>
              <w:t>0 (0)</w:t>
            </w:r>
          </w:p>
        </w:tc>
        <w:tc>
          <w:tcPr>
            <w:tcW w:w="1984" w:type="dxa"/>
            <w:noWrap/>
            <w:tcMar>
              <w:top w:w="0" w:type="dxa"/>
              <w:left w:w="108" w:type="dxa"/>
              <w:bottom w:w="0" w:type="dxa"/>
              <w:right w:w="108" w:type="dxa"/>
            </w:tcMar>
            <w:vAlign w:val="center"/>
          </w:tcPr>
          <w:p w14:paraId="396419F3" w14:textId="77777777" w:rsidR="007F1533" w:rsidRPr="007F1533" w:rsidRDefault="007F1533">
            <w:pPr>
              <w:jc w:val="center"/>
              <w:rPr>
                <w:rFonts w:ascii="Arial" w:hAnsi="Arial" w:cs="Arial"/>
                <w:color w:val="000000"/>
                <w:lang w:eastAsia="en-GB"/>
              </w:rPr>
            </w:pPr>
            <w:r w:rsidRPr="007F1533">
              <w:rPr>
                <w:rFonts w:ascii="Arial" w:hAnsi="Arial" w:cs="Arial"/>
                <w:color w:val="000000"/>
                <w:lang w:eastAsia="en-GB"/>
              </w:rPr>
              <w:t>2 (0)</w:t>
            </w:r>
          </w:p>
        </w:tc>
        <w:tc>
          <w:tcPr>
            <w:tcW w:w="1985" w:type="dxa"/>
            <w:vAlign w:val="center"/>
          </w:tcPr>
          <w:p w14:paraId="5044475C" w14:textId="77777777" w:rsidR="007F1533" w:rsidRPr="007F1533" w:rsidRDefault="007F1533">
            <w:pPr>
              <w:jc w:val="center"/>
              <w:rPr>
                <w:rFonts w:ascii="Arial" w:hAnsi="Arial" w:cs="Arial"/>
                <w:color w:val="000000"/>
                <w:highlight w:val="yellow"/>
                <w:lang w:eastAsia="en-GB"/>
              </w:rPr>
            </w:pPr>
            <w:r w:rsidRPr="007F1533">
              <w:rPr>
                <w:rFonts w:ascii="Arial" w:hAnsi="Arial" w:cs="Arial"/>
                <w:color w:val="000000"/>
                <w:lang w:eastAsia="en-GB"/>
              </w:rPr>
              <w:t>0 (0)</w:t>
            </w:r>
          </w:p>
        </w:tc>
      </w:tr>
      <w:tr w:rsidR="007F1533" w:rsidRPr="007F1533" w14:paraId="4D483792" w14:textId="77777777">
        <w:trPr>
          <w:trHeight w:val="300"/>
        </w:trPr>
        <w:tc>
          <w:tcPr>
            <w:tcW w:w="3119" w:type="dxa"/>
            <w:shd w:val="clear" w:color="auto" w:fill="DCE6F1"/>
            <w:noWrap/>
            <w:tcMar>
              <w:top w:w="0" w:type="dxa"/>
              <w:left w:w="108" w:type="dxa"/>
              <w:bottom w:w="0" w:type="dxa"/>
              <w:right w:w="108" w:type="dxa"/>
            </w:tcMar>
            <w:vAlign w:val="bottom"/>
            <w:hideMark/>
          </w:tcPr>
          <w:p w14:paraId="4D7BA357" w14:textId="77777777" w:rsidR="007F1533" w:rsidRPr="007F1533" w:rsidRDefault="007F1533">
            <w:pPr>
              <w:rPr>
                <w:rFonts w:ascii="Arial" w:hAnsi="Arial" w:cs="Arial"/>
                <w:b/>
                <w:bCs/>
                <w:color w:val="000000"/>
                <w:lang w:eastAsia="en-GB"/>
              </w:rPr>
            </w:pPr>
            <w:r w:rsidRPr="007F1533">
              <w:rPr>
                <w:rFonts w:ascii="Arial" w:hAnsi="Arial" w:cs="Arial"/>
                <w:b/>
                <w:bCs/>
                <w:color w:val="000000"/>
                <w:lang w:eastAsia="en-GB"/>
              </w:rPr>
              <w:t>Total number of exit packages</w:t>
            </w:r>
          </w:p>
        </w:tc>
        <w:tc>
          <w:tcPr>
            <w:tcW w:w="1984" w:type="dxa"/>
            <w:noWrap/>
            <w:tcMar>
              <w:top w:w="0" w:type="dxa"/>
              <w:left w:w="108" w:type="dxa"/>
              <w:bottom w:w="0" w:type="dxa"/>
              <w:right w:w="108" w:type="dxa"/>
            </w:tcMar>
            <w:vAlign w:val="center"/>
          </w:tcPr>
          <w:p w14:paraId="1B362922"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0 (0)</w:t>
            </w:r>
          </w:p>
        </w:tc>
        <w:tc>
          <w:tcPr>
            <w:tcW w:w="1984" w:type="dxa"/>
            <w:noWrap/>
            <w:tcMar>
              <w:top w:w="0" w:type="dxa"/>
              <w:left w:w="108" w:type="dxa"/>
              <w:bottom w:w="0" w:type="dxa"/>
              <w:right w:w="108" w:type="dxa"/>
            </w:tcMar>
            <w:vAlign w:val="center"/>
          </w:tcPr>
          <w:p w14:paraId="07D4BFBE"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7 (0)</w:t>
            </w:r>
          </w:p>
        </w:tc>
        <w:tc>
          <w:tcPr>
            <w:tcW w:w="1985" w:type="dxa"/>
            <w:vAlign w:val="center"/>
          </w:tcPr>
          <w:p w14:paraId="07CC8CF5"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0 (0)</w:t>
            </w:r>
          </w:p>
        </w:tc>
      </w:tr>
      <w:tr w:rsidR="007F1533" w:rsidRPr="007F1533" w14:paraId="5823867E" w14:textId="77777777">
        <w:trPr>
          <w:trHeight w:val="203"/>
        </w:trPr>
        <w:tc>
          <w:tcPr>
            <w:tcW w:w="3119" w:type="dxa"/>
            <w:shd w:val="clear" w:color="auto" w:fill="DCE6F1"/>
            <w:noWrap/>
            <w:tcMar>
              <w:top w:w="0" w:type="dxa"/>
              <w:left w:w="108" w:type="dxa"/>
              <w:bottom w:w="0" w:type="dxa"/>
              <w:right w:w="108" w:type="dxa"/>
            </w:tcMar>
            <w:vAlign w:val="bottom"/>
            <w:hideMark/>
          </w:tcPr>
          <w:p w14:paraId="6688A817" w14:textId="77777777" w:rsidR="007F1533" w:rsidRPr="007F1533" w:rsidRDefault="007F1533">
            <w:pPr>
              <w:rPr>
                <w:rFonts w:ascii="Arial" w:hAnsi="Arial" w:cs="Arial"/>
                <w:b/>
                <w:bCs/>
                <w:color w:val="000000"/>
                <w:lang w:eastAsia="en-GB"/>
              </w:rPr>
            </w:pPr>
            <w:r w:rsidRPr="007F1533">
              <w:rPr>
                <w:rFonts w:ascii="Arial" w:hAnsi="Arial" w:cs="Arial"/>
                <w:b/>
                <w:bCs/>
                <w:color w:val="000000"/>
                <w:lang w:eastAsia="en-GB"/>
              </w:rPr>
              <w:t>Total Resource cost / £’000s</w:t>
            </w:r>
          </w:p>
        </w:tc>
        <w:tc>
          <w:tcPr>
            <w:tcW w:w="1984" w:type="dxa"/>
            <w:noWrap/>
            <w:tcMar>
              <w:top w:w="0" w:type="dxa"/>
              <w:left w:w="108" w:type="dxa"/>
              <w:bottom w:w="0" w:type="dxa"/>
              <w:right w:w="108" w:type="dxa"/>
            </w:tcMar>
            <w:vAlign w:val="center"/>
          </w:tcPr>
          <w:p w14:paraId="23A56235"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0 (0)</w:t>
            </w:r>
          </w:p>
        </w:tc>
        <w:tc>
          <w:tcPr>
            <w:tcW w:w="1984" w:type="dxa"/>
            <w:noWrap/>
            <w:tcMar>
              <w:top w:w="0" w:type="dxa"/>
              <w:left w:w="108" w:type="dxa"/>
              <w:bottom w:w="0" w:type="dxa"/>
              <w:right w:w="108" w:type="dxa"/>
            </w:tcMar>
            <w:vAlign w:val="center"/>
          </w:tcPr>
          <w:p w14:paraId="1AB55BA8"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267 (0)</w:t>
            </w:r>
          </w:p>
        </w:tc>
        <w:tc>
          <w:tcPr>
            <w:tcW w:w="1985" w:type="dxa"/>
            <w:vAlign w:val="center"/>
          </w:tcPr>
          <w:p w14:paraId="3A89EBB0" w14:textId="77777777" w:rsidR="007F1533" w:rsidRPr="007F1533" w:rsidRDefault="007F1533">
            <w:pPr>
              <w:jc w:val="center"/>
              <w:rPr>
                <w:rFonts w:ascii="Arial" w:hAnsi="Arial" w:cs="Arial"/>
                <w:b/>
                <w:bCs/>
                <w:color w:val="000000"/>
                <w:lang w:eastAsia="en-GB"/>
              </w:rPr>
            </w:pPr>
            <w:r w:rsidRPr="007F1533">
              <w:rPr>
                <w:rFonts w:ascii="Arial" w:hAnsi="Arial" w:cs="Arial"/>
                <w:b/>
                <w:bCs/>
                <w:color w:val="000000"/>
                <w:lang w:eastAsia="en-GB"/>
              </w:rPr>
              <w:t>0 (0)</w:t>
            </w:r>
          </w:p>
        </w:tc>
      </w:tr>
    </w:tbl>
    <w:p w14:paraId="65EB7B85" w14:textId="77777777" w:rsidR="007F1533" w:rsidRPr="007F1533" w:rsidRDefault="007F1533" w:rsidP="007F1533">
      <w:pPr>
        <w:spacing w:line="240" w:lineRule="auto"/>
        <w:rPr>
          <w:rFonts w:ascii="Arial" w:hAnsi="Arial" w:cs="Arial"/>
          <w:highlight w:val="yellow"/>
        </w:rPr>
      </w:pPr>
    </w:p>
    <w:p w14:paraId="15EE7ECD" w14:textId="27E8FB12" w:rsidR="007F1533" w:rsidRPr="00D30BC9" w:rsidRDefault="007F1533" w:rsidP="007F1533">
      <w:pPr>
        <w:spacing w:line="240" w:lineRule="auto"/>
        <w:rPr>
          <w:rFonts w:ascii="Arial" w:hAnsi="Arial" w:cs="Arial"/>
          <w:sz w:val="24"/>
          <w:szCs w:val="24"/>
        </w:rPr>
      </w:pPr>
      <w:r w:rsidRPr="00D30BC9">
        <w:rPr>
          <w:rFonts w:ascii="Arial" w:hAnsi="Arial" w:cs="Arial"/>
          <w:sz w:val="24"/>
          <w:szCs w:val="24"/>
        </w:rPr>
        <w:t xml:space="preserve">Redundancy and other departure costs have been paid in accordance with the provision of the Civil Service Compensation Scheme (CSCS), a statutory scheme made under the Superannuation Act 1972. Exit costs are accounted for in full in the year of departure. Where the </w:t>
      </w:r>
      <w:r w:rsidR="360B3345" w:rsidRPr="6FD6C02B">
        <w:rPr>
          <w:rFonts w:ascii="Arial" w:hAnsi="Arial" w:cs="Arial"/>
          <w:sz w:val="24"/>
          <w:szCs w:val="24"/>
        </w:rPr>
        <w:t>Agency</w:t>
      </w:r>
      <w:r w:rsidRPr="00D30BC9">
        <w:rPr>
          <w:rFonts w:ascii="Arial" w:hAnsi="Arial" w:cs="Arial"/>
          <w:sz w:val="24"/>
          <w:szCs w:val="24"/>
        </w:rPr>
        <w:t xml:space="preserve"> has agreed early retirements, the additional costs are met by the department and not by the Civil Service Pension Scheme. Ill-health retirement costs are met by the pension scheme and are not included in the table.</w:t>
      </w:r>
    </w:p>
    <w:p w14:paraId="79833E02" w14:textId="77777777" w:rsidR="007F1533" w:rsidRPr="009D1097" w:rsidRDefault="007F1533" w:rsidP="007F1533">
      <w:pPr>
        <w:pStyle w:val="Heading4"/>
        <w:rPr>
          <w:rFonts w:cs="Arial"/>
        </w:rPr>
      </w:pPr>
      <w:bookmarkStart w:id="21" w:name="_Hlk102980172"/>
      <w:r w:rsidRPr="009D1097">
        <w:rPr>
          <w:rFonts w:cs="Arial"/>
        </w:rPr>
        <w:t>Pension scheme details</w:t>
      </w:r>
    </w:p>
    <w:bookmarkEnd w:id="21"/>
    <w:p w14:paraId="3AEED421" w14:textId="77777777" w:rsidR="007F1533" w:rsidRPr="009D1097" w:rsidRDefault="007F1533" w:rsidP="007F1533">
      <w:pPr>
        <w:rPr>
          <w:rFonts w:ascii="Arial" w:hAnsi="Arial" w:cs="Arial"/>
          <w:sz w:val="24"/>
          <w:szCs w:val="24"/>
        </w:rPr>
      </w:pPr>
      <w:r w:rsidRPr="009D1097">
        <w:rPr>
          <w:rFonts w:ascii="Arial" w:hAnsi="Arial" w:cs="Arial"/>
          <w:sz w:val="24"/>
          <w:szCs w:val="24"/>
        </w:rPr>
        <w:t>The Principal Civil Service Pension Scheme (PCSPS) and the Civil Servant and Other Pension Scheme (CSOPS) – known as “alpha” – are unfunded multi-employer defined benefit schemes but the Agency is unable to identify its share of the underlying assets and liabilities. </w:t>
      </w:r>
    </w:p>
    <w:p w14:paraId="774CC423" w14:textId="3D801E81" w:rsidR="007F1533" w:rsidRPr="009D1097" w:rsidRDefault="007F1533" w:rsidP="007F1533">
      <w:pP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1097">
        <w:rPr>
          <w:rFonts w:ascii="Arial" w:hAnsi="Arial" w:cs="Arial"/>
          <w:sz w:val="24"/>
          <w:szCs w:val="24"/>
        </w:rPr>
        <w:t>The scheme actuary valued the PCSPS as at 31 March 20</w:t>
      </w:r>
      <w:r w:rsidR="00490F95">
        <w:rPr>
          <w:rFonts w:ascii="Arial" w:hAnsi="Arial" w:cs="Arial"/>
          <w:sz w:val="24"/>
          <w:szCs w:val="24"/>
        </w:rPr>
        <w:t>20</w:t>
      </w:r>
      <w:r w:rsidRPr="009D1097">
        <w:rPr>
          <w:rFonts w:ascii="Arial" w:hAnsi="Arial" w:cs="Arial"/>
          <w:sz w:val="24"/>
          <w:szCs w:val="24"/>
        </w:rPr>
        <w:t>. You can find details in the</w:t>
      </w:r>
      <w:hyperlink r:id="rId53" w:history="1">
        <w:r w:rsidRPr="009D1097">
          <w:rPr>
            <w:rStyle w:val="Hyperlink"/>
            <w:rFonts w:ascii="Arial" w:hAnsi="Arial" w:cs="Arial"/>
            <w:sz w:val="24"/>
            <w:szCs w:val="24"/>
          </w:rPr>
          <w:t xml:space="preserve"> resource accounts of the Cabinet Office: Civil Superannuation.</w:t>
        </w:r>
      </w:hyperlink>
    </w:p>
    <w:p w14:paraId="067AE044" w14:textId="77777777" w:rsidR="003F1713" w:rsidRDefault="007F1533" w:rsidP="007F1533">
      <w:pPr>
        <w:rPr>
          <w:rFonts w:ascii="Arial" w:hAnsi="Arial" w:cs="Arial"/>
          <w:sz w:val="24"/>
          <w:szCs w:val="24"/>
        </w:rPr>
      </w:pPr>
      <w:bookmarkStart w:id="22" w:name="_Hlk167104273"/>
      <w:r w:rsidRPr="00D30BC9">
        <w:rPr>
          <w:rFonts w:ascii="Arial" w:hAnsi="Arial" w:cs="Arial"/>
          <w:sz w:val="24"/>
          <w:szCs w:val="24"/>
        </w:rPr>
        <w:t xml:space="preserve">For 2023-24, employers’ contributions of £15.9m were payable to the PCSPS (2022-23: </w:t>
      </w:r>
      <w:bookmarkStart w:id="23" w:name="_Hlk41922064"/>
      <w:r w:rsidRPr="00D30BC9">
        <w:rPr>
          <w:rFonts w:ascii="Arial" w:hAnsi="Arial" w:cs="Arial"/>
          <w:sz w:val="24"/>
          <w:szCs w:val="24"/>
        </w:rPr>
        <w:t>£</w:t>
      </w:r>
      <w:bookmarkEnd w:id="23"/>
      <w:r w:rsidRPr="00D30BC9">
        <w:rPr>
          <w:rFonts w:ascii="Arial" w:hAnsi="Arial" w:cs="Arial"/>
          <w:sz w:val="24"/>
          <w:szCs w:val="24"/>
        </w:rPr>
        <w:t xml:space="preserve">14.8m) at one of four rates in the range 26.6 per cent to 30.3 per cent (2022-23: 26.6 per cent to 30.3 per cent) of pensionable pay, based on salary bands. </w:t>
      </w:r>
    </w:p>
    <w:p w14:paraId="570D5DDC" w14:textId="32FA575D" w:rsidR="007F1533" w:rsidRPr="00D30BC9" w:rsidRDefault="007F1533" w:rsidP="007F1533">
      <w:pPr>
        <w:rPr>
          <w:rFonts w:ascii="Arial" w:hAnsi="Arial" w:cs="Arial"/>
          <w:sz w:val="24"/>
          <w:szCs w:val="24"/>
          <w:highlight w:val="yellow"/>
        </w:rPr>
      </w:pPr>
      <w:r w:rsidRPr="00D30BC9">
        <w:rPr>
          <w:rFonts w:ascii="Arial" w:hAnsi="Arial" w:cs="Arial"/>
          <w:sz w:val="24"/>
          <w:szCs w:val="24"/>
        </w:rPr>
        <w:lastRenderedPageBreak/>
        <w:t>The scheme’s Actuary reviews employer contributions periodically following a full scheme valuation.  The contribution rates are set to meet the cost of the benefits accruing during 2023-24 to be paid when the members retire and not the benefits paid during this period to existing pensioners.</w:t>
      </w:r>
    </w:p>
    <w:p w14:paraId="36D6B789" w14:textId="5D6C8B5B" w:rsidR="007F1533" w:rsidRPr="00D30BC9" w:rsidRDefault="007F1533" w:rsidP="007F1533">
      <w:pPr>
        <w:rPr>
          <w:rFonts w:ascii="Arial" w:hAnsi="Arial" w:cs="Arial"/>
          <w:sz w:val="24"/>
          <w:szCs w:val="24"/>
        </w:rPr>
      </w:pPr>
      <w:r w:rsidRPr="00D30BC9">
        <w:rPr>
          <w:rFonts w:ascii="Arial" w:hAnsi="Arial" w:cs="Arial"/>
          <w:sz w:val="24"/>
          <w:szCs w:val="24"/>
        </w:rPr>
        <w:t>Employees can opt to open a partnership pension account, which is a stakeholder pension with an employer contribution. Employers’ contributions of £106K (2022-23: £107k rounded) were paid to 1 appointed stakeholder pension provider. Employer contributions are age-related and range from 8.00 per cent to 14.75 per cent (2022-23: 8.00 per cent to 14.75 per cent) of pensionable pay. Employers also match employee contributions up to 3% of pensionable pay. In addition, employer contributions of £3.5k (2022-23: £3.7k), 0.5 per cent of pensionable pay, were payable to the PCSPS to cover the cost of the future provision of lump sum benefits on death in service and ill health retirement of these employees.</w:t>
      </w:r>
    </w:p>
    <w:bookmarkEnd w:id="22"/>
    <w:p w14:paraId="664BCAD9" w14:textId="77777777" w:rsidR="007F1533" w:rsidRPr="00D30BC9" w:rsidRDefault="007F1533" w:rsidP="007F1533">
      <w:pPr>
        <w:spacing w:line="240" w:lineRule="auto"/>
        <w:rPr>
          <w:rFonts w:ascii="Arial" w:hAnsi="Arial" w:cs="Arial"/>
          <w:sz w:val="24"/>
          <w:szCs w:val="24"/>
        </w:rPr>
      </w:pPr>
      <w:r w:rsidRPr="00D30BC9">
        <w:rPr>
          <w:rFonts w:ascii="Arial" w:hAnsi="Arial" w:cs="Arial"/>
          <w:sz w:val="24"/>
          <w:szCs w:val="24"/>
        </w:rPr>
        <w:t>This year 2 employees (2022-23: no employees) retired early on ill-health grounds, incurring £19k additional</w:t>
      </w:r>
      <w:bookmarkStart w:id="24" w:name="_Hlk102655639"/>
      <w:r w:rsidRPr="00D30BC9">
        <w:rPr>
          <w:rFonts w:ascii="Arial" w:hAnsi="Arial" w:cs="Arial"/>
          <w:sz w:val="24"/>
          <w:szCs w:val="24"/>
        </w:rPr>
        <w:t xml:space="preserve"> accrued pension liability</w:t>
      </w:r>
      <w:bookmarkEnd w:id="24"/>
      <w:r w:rsidRPr="00D30BC9">
        <w:rPr>
          <w:rFonts w:ascii="Arial" w:hAnsi="Arial" w:cs="Arial"/>
          <w:sz w:val="24"/>
          <w:szCs w:val="24"/>
        </w:rPr>
        <w:t>.</w:t>
      </w:r>
    </w:p>
    <w:p w14:paraId="04B1DCFF" w14:textId="77777777" w:rsidR="007F1533" w:rsidRPr="007F1533" w:rsidRDefault="007F1533" w:rsidP="007F1533">
      <w:pPr>
        <w:pStyle w:val="Heading4"/>
        <w:rPr>
          <w:rFonts w:cs="Arial"/>
        </w:rPr>
      </w:pPr>
      <w:bookmarkStart w:id="25" w:name="_Hlk168923955"/>
      <w:r w:rsidRPr="007F1533">
        <w:rPr>
          <w:rFonts w:cs="Arial"/>
        </w:rPr>
        <w:t>Average number of persons employed (audited)</w:t>
      </w:r>
    </w:p>
    <w:p w14:paraId="30F02A98" w14:textId="42147990" w:rsidR="007F1533" w:rsidRDefault="007F1533" w:rsidP="007F1533">
      <w:pPr>
        <w:spacing w:line="240" w:lineRule="auto"/>
        <w:rPr>
          <w:rFonts w:ascii="Arial" w:hAnsi="Arial" w:cs="Arial"/>
          <w:sz w:val="24"/>
          <w:szCs w:val="24"/>
        </w:rPr>
      </w:pPr>
      <w:r w:rsidRPr="00D30BC9">
        <w:rPr>
          <w:rFonts w:ascii="Arial" w:hAnsi="Arial" w:cs="Arial"/>
          <w:sz w:val="24"/>
          <w:szCs w:val="24"/>
        </w:rPr>
        <w:t>The average number of whole-time equivalent persons employed during the year was as follows:</w:t>
      </w:r>
    </w:p>
    <w:p w14:paraId="57FD7019" w14:textId="77777777" w:rsidR="00E50841" w:rsidRPr="00E50841" w:rsidRDefault="00E50841" w:rsidP="007F1533">
      <w:pPr>
        <w:spacing w:line="240" w:lineRule="auto"/>
        <w:rPr>
          <w:rFonts w:ascii="Arial" w:hAnsi="Arial" w:cs="Arial"/>
          <w:sz w:val="24"/>
          <w:szCs w:val="24"/>
        </w:rPr>
      </w:pPr>
    </w:p>
    <w:tbl>
      <w:tblPr>
        <w:tblW w:w="6413" w:type="dxa"/>
        <w:tblInd w:w="108" w:type="dxa"/>
        <w:tblLook w:val="04A0" w:firstRow="1" w:lastRow="0" w:firstColumn="1" w:lastColumn="0" w:noHBand="0" w:noVBand="1"/>
      </w:tblPr>
      <w:tblGrid>
        <w:gridCol w:w="3861"/>
        <w:gridCol w:w="1276"/>
        <w:gridCol w:w="1276"/>
      </w:tblGrid>
      <w:tr w:rsidR="007F1533" w:rsidRPr="007F1533" w14:paraId="73BA536D" w14:textId="77777777">
        <w:trPr>
          <w:trHeight w:val="300"/>
        </w:trPr>
        <w:tc>
          <w:tcPr>
            <w:tcW w:w="3861" w:type="dxa"/>
            <w:tcBorders>
              <w:top w:val="nil"/>
              <w:left w:val="nil"/>
              <w:bottom w:val="nil"/>
              <w:right w:val="nil"/>
            </w:tcBorders>
            <w:shd w:val="clear" w:color="auto" w:fill="auto"/>
            <w:noWrap/>
            <w:vAlign w:val="bottom"/>
            <w:hideMark/>
          </w:tcPr>
          <w:p w14:paraId="089ECB9C" w14:textId="77777777" w:rsidR="007F1533" w:rsidRPr="007F1533" w:rsidRDefault="007F1533">
            <w:pPr>
              <w:spacing w:line="240" w:lineRule="auto"/>
              <w:rPr>
                <w:rFonts w:ascii="Arial" w:eastAsia="Times New Roman" w:hAnsi="Arial" w:cs="Arial"/>
                <w:b/>
                <w:bCs/>
                <w:lang w:eastAsia="en-GB"/>
              </w:rPr>
            </w:pPr>
            <w:r w:rsidRPr="007F1533">
              <w:rPr>
                <w:rFonts w:ascii="Arial" w:eastAsia="Times New Roman" w:hAnsi="Arial" w:cs="Arial"/>
                <w:b/>
                <w:bCs/>
                <w:lang w:eastAsia="en-GB"/>
              </w:rPr>
              <w:t>Number</w:t>
            </w:r>
          </w:p>
        </w:tc>
        <w:tc>
          <w:tcPr>
            <w:tcW w:w="1276" w:type="dxa"/>
            <w:tcBorders>
              <w:top w:val="nil"/>
              <w:left w:val="nil"/>
              <w:bottom w:val="nil"/>
              <w:right w:val="nil"/>
            </w:tcBorders>
            <w:shd w:val="clear" w:color="auto" w:fill="auto"/>
            <w:vAlign w:val="bottom"/>
          </w:tcPr>
          <w:p w14:paraId="4EF5D099" w14:textId="77777777" w:rsidR="007F1533" w:rsidRPr="007F1533" w:rsidRDefault="007F1533">
            <w:pPr>
              <w:spacing w:line="240" w:lineRule="auto"/>
              <w:jc w:val="right"/>
              <w:rPr>
                <w:rFonts w:ascii="Arial" w:eastAsia="Times New Roman" w:hAnsi="Arial" w:cs="Arial"/>
                <w:b/>
                <w:bCs/>
                <w:lang w:eastAsia="en-GB"/>
              </w:rPr>
            </w:pPr>
            <w:r w:rsidRPr="007F1533">
              <w:rPr>
                <w:rFonts w:ascii="Arial" w:eastAsia="Times New Roman" w:hAnsi="Arial" w:cs="Arial"/>
                <w:b/>
                <w:bCs/>
                <w:lang w:eastAsia="en-GB"/>
              </w:rPr>
              <w:t>2023-24</w:t>
            </w:r>
          </w:p>
        </w:tc>
        <w:tc>
          <w:tcPr>
            <w:tcW w:w="1276" w:type="dxa"/>
            <w:tcBorders>
              <w:top w:val="nil"/>
              <w:left w:val="nil"/>
              <w:bottom w:val="nil"/>
              <w:right w:val="nil"/>
            </w:tcBorders>
            <w:shd w:val="clear" w:color="auto" w:fill="auto"/>
            <w:noWrap/>
            <w:vAlign w:val="bottom"/>
            <w:hideMark/>
          </w:tcPr>
          <w:p w14:paraId="47506EE0" w14:textId="77777777" w:rsidR="007F1533" w:rsidRPr="007F1533" w:rsidRDefault="007F1533">
            <w:pPr>
              <w:spacing w:line="240" w:lineRule="auto"/>
              <w:jc w:val="right"/>
              <w:rPr>
                <w:rFonts w:ascii="Arial" w:eastAsia="Times New Roman" w:hAnsi="Arial" w:cs="Arial"/>
                <w:b/>
                <w:bCs/>
                <w:lang w:eastAsia="en-GB"/>
              </w:rPr>
            </w:pPr>
            <w:r w:rsidRPr="007F1533">
              <w:rPr>
                <w:rFonts w:ascii="Arial" w:eastAsia="Times New Roman" w:hAnsi="Arial" w:cs="Arial"/>
                <w:b/>
                <w:bCs/>
                <w:lang w:eastAsia="en-GB"/>
              </w:rPr>
              <w:t>2022-23</w:t>
            </w:r>
          </w:p>
        </w:tc>
      </w:tr>
      <w:tr w:rsidR="007F1533" w:rsidRPr="007F1533" w14:paraId="1BECD57D" w14:textId="77777777">
        <w:trPr>
          <w:trHeight w:val="315"/>
        </w:trPr>
        <w:tc>
          <w:tcPr>
            <w:tcW w:w="3861" w:type="dxa"/>
            <w:tcBorders>
              <w:top w:val="nil"/>
              <w:left w:val="nil"/>
              <w:bottom w:val="nil"/>
              <w:right w:val="nil"/>
            </w:tcBorders>
            <w:shd w:val="clear" w:color="auto" w:fill="auto"/>
            <w:noWrap/>
            <w:vAlign w:val="bottom"/>
            <w:hideMark/>
          </w:tcPr>
          <w:p w14:paraId="4E1F6473" w14:textId="77777777" w:rsidR="007F1533" w:rsidRPr="007F1533" w:rsidRDefault="007F1533">
            <w:pPr>
              <w:spacing w:line="240" w:lineRule="auto"/>
              <w:rPr>
                <w:rFonts w:ascii="Arial" w:eastAsia="Times New Roman" w:hAnsi="Arial" w:cs="Arial"/>
                <w:lang w:eastAsia="en-GB"/>
              </w:rPr>
            </w:pPr>
          </w:p>
        </w:tc>
        <w:tc>
          <w:tcPr>
            <w:tcW w:w="1276" w:type="dxa"/>
            <w:tcBorders>
              <w:top w:val="nil"/>
              <w:left w:val="nil"/>
              <w:bottom w:val="single" w:sz="8" w:space="0" w:color="auto"/>
              <w:right w:val="nil"/>
            </w:tcBorders>
            <w:shd w:val="clear" w:color="auto" w:fill="auto"/>
            <w:noWrap/>
            <w:vAlign w:val="bottom"/>
            <w:hideMark/>
          </w:tcPr>
          <w:p w14:paraId="255D6054" w14:textId="77777777" w:rsidR="007F1533" w:rsidRPr="007F1533" w:rsidRDefault="007F1533">
            <w:pPr>
              <w:spacing w:line="240" w:lineRule="auto"/>
              <w:rPr>
                <w:rFonts w:ascii="Arial" w:eastAsia="Times New Roman" w:hAnsi="Arial" w:cs="Arial"/>
                <w:lang w:eastAsia="en-GB"/>
              </w:rPr>
            </w:pPr>
            <w:r w:rsidRPr="007F1533">
              <w:rPr>
                <w:rFonts w:ascii="Arial" w:eastAsia="Times New Roman" w:hAnsi="Arial" w:cs="Arial"/>
                <w:lang w:eastAsia="en-GB"/>
              </w:rPr>
              <w:t> </w:t>
            </w:r>
          </w:p>
        </w:tc>
        <w:tc>
          <w:tcPr>
            <w:tcW w:w="1276" w:type="dxa"/>
            <w:tcBorders>
              <w:top w:val="nil"/>
              <w:left w:val="nil"/>
              <w:bottom w:val="single" w:sz="8" w:space="0" w:color="auto"/>
              <w:right w:val="nil"/>
            </w:tcBorders>
            <w:shd w:val="clear" w:color="auto" w:fill="auto"/>
            <w:noWrap/>
            <w:vAlign w:val="bottom"/>
            <w:hideMark/>
          </w:tcPr>
          <w:p w14:paraId="0A45341C" w14:textId="77777777" w:rsidR="007F1533" w:rsidRPr="007F1533" w:rsidRDefault="007F1533">
            <w:pPr>
              <w:spacing w:line="240" w:lineRule="auto"/>
              <w:rPr>
                <w:rFonts w:ascii="Arial" w:eastAsia="Times New Roman" w:hAnsi="Arial" w:cs="Arial"/>
                <w:lang w:eastAsia="en-GB"/>
              </w:rPr>
            </w:pPr>
            <w:r w:rsidRPr="007F1533">
              <w:rPr>
                <w:rFonts w:ascii="Arial" w:eastAsia="Times New Roman" w:hAnsi="Arial" w:cs="Arial"/>
                <w:lang w:eastAsia="en-GB"/>
              </w:rPr>
              <w:t> </w:t>
            </w:r>
          </w:p>
        </w:tc>
      </w:tr>
      <w:tr w:rsidR="007F1533" w:rsidRPr="007F1533" w14:paraId="60CBA585" w14:textId="77777777">
        <w:trPr>
          <w:trHeight w:val="300"/>
        </w:trPr>
        <w:tc>
          <w:tcPr>
            <w:tcW w:w="3861" w:type="dxa"/>
            <w:tcBorders>
              <w:top w:val="nil"/>
              <w:left w:val="nil"/>
              <w:bottom w:val="nil"/>
              <w:right w:val="nil"/>
            </w:tcBorders>
            <w:shd w:val="clear" w:color="auto" w:fill="auto"/>
            <w:noWrap/>
            <w:vAlign w:val="bottom"/>
            <w:hideMark/>
          </w:tcPr>
          <w:p w14:paraId="67C6E28A" w14:textId="77777777" w:rsidR="007F1533" w:rsidRPr="007F1533" w:rsidRDefault="007F1533">
            <w:pPr>
              <w:spacing w:line="240" w:lineRule="auto"/>
              <w:rPr>
                <w:rFonts w:ascii="Arial" w:eastAsia="Times New Roman" w:hAnsi="Arial" w:cs="Arial"/>
                <w:lang w:eastAsia="en-GB"/>
              </w:rPr>
            </w:pPr>
            <w:r w:rsidRPr="007F1533">
              <w:rPr>
                <w:rFonts w:ascii="Arial" w:eastAsia="Times New Roman" w:hAnsi="Arial" w:cs="Arial"/>
                <w:lang w:eastAsia="en-GB"/>
              </w:rPr>
              <w:t>Directly Employed</w:t>
            </w:r>
          </w:p>
        </w:tc>
        <w:tc>
          <w:tcPr>
            <w:tcW w:w="1276" w:type="dxa"/>
            <w:tcBorders>
              <w:top w:val="nil"/>
              <w:left w:val="nil"/>
              <w:bottom w:val="nil"/>
              <w:right w:val="nil"/>
            </w:tcBorders>
            <w:shd w:val="clear" w:color="auto" w:fill="auto"/>
            <w:noWrap/>
            <w:vAlign w:val="bottom"/>
            <w:hideMark/>
          </w:tcPr>
          <w:p w14:paraId="53EDC8EF" w14:textId="77777777" w:rsidR="007F1533" w:rsidRPr="007F1533" w:rsidRDefault="007F1533">
            <w:pPr>
              <w:spacing w:line="240" w:lineRule="auto"/>
              <w:jc w:val="right"/>
              <w:rPr>
                <w:rFonts w:ascii="Arial" w:eastAsia="Times New Roman" w:hAnsi="Arial" w:cs="Arial"/>
                <w:b/>
                <w:bCs/>
                <w:lang w:eastAsia="en-GB"/>
              </w:rPr>
            </w:pPr>
            <w:r w:rsidRPr="007F1533">
              <w:rPr>
                <w:rFonts w:ascii="Arial" w:eastAsia="Times New Roman" w:hAnsi="Arial" w:cs="Arial"/>
                <w:b/>
                <w:bCs/>
                <w:lang w:eastAsia="en-GB"/>
              </w:rPr>
              <w:t>1,595</w:t>
            </w:r>
          </w:p>
        </w:tc>
        <w:tc>
          <w:tcPr>
            <w:tcW w:w="1276" w:type="dxa"/>
            <w:tcBorders>
              <w:top w:val="nil"/>
              <w:left w:val="nil"/>
              <w:bottom w:val="nil"/>
              <w:right w:val="nil"/>
            </w:tcBorders>
            <w:shd w:val="clear" w:color="auto" w:fill="auto"/>
            <w:noWrap/>
            <w:vAlign w:val="bottom"/>
            <w:hideMark/>
          </w:tcPr>
          <w:p w14:paraId="64425BE1" w14:textId="77777777" w:rsidR="007F1533" w:rsidRPr="007F1533" w:rsidRDefault="007F1533">
            <w:pPr>
              <w:spacing w:line="240" w:lineRule="auto"/>
              <w:jc w:val="right"/>
              <w:rPr>
                <w:rFonts w:ascii="Arial" w:eastAsia="Times New Roman" w:hAnsi="Arial" w:cs="Arial"/>
                <w:b/>
                <w:bCs/>
                <w:lang w:eastAsia="en-GB"/>
              </w:rPr>
            </w:pPr>
            <w:r w:rsidRPr="007F1533">
              <w:rPr>
                <w:rFonts w:ascii="Arial" w:eastAsia="Times New Roman" w:hAnsi="Arial" w:cs="Arial"/>
                <w:b/>
                <w:bCs/>
                <w:lang w:eastAsia="en-GB"/>
              </w:rPr>
              <w:t>1,581</w:t>
            </w:r>
          </w:p>
        </w:tc>
      </w:tr>
      <w:tr w:rsidR="007F1533" w:rsidRPr="007F1533" w14:paraId="062859C1" w14:textId="77777777">
        <w:trPr>
          <w:trHeight w:val="300"/>
        </w:trPr>
        <w:tc>
          <w:tcPr>
            <w:tcW w:w="3861" w:type="dxa"/>
            <w:tcBorders>
              <w:top w:val="nil"/>
              <w:left w:val="nil"/>
              <w:bottom w:val="nil"/>
              <w:right w:val="nil"/>
            </w:tcBorders>
            <w:shd w:val="clear" w:color="auto" w:fill="auto"/>
            <w:noWrap/>
            <w:vAlign w:val="bottom"/>
            <w:hideMark/>
          </w:tcPr>
          <w:p w14:paraId="7F99D6E6" w14:textId="5618F9DC" w:rsidR="007F1533" w:rsidRPr="007F1533" w:rsidRDefault="007F1533">
            <w:pPr>
              <w:spacing w:line="240" w:lineRule="auto"/>
              <w:rPr>
                <w:rFonts w:ascii="Arial" w:eastAsia="Times New Roman" w:hAnsi="Arial" w:cs="Arial"/>
                <w:lang w:eastAsia="en-GB"/>
              </w:rPr>
            </w:pPr>
            <w:r w:rsidRPr="007F1533">
              <w:rPr>
                <w:rFonts w:ascii="Arial" w:eastAsia="Times New Roman" w:hAnsi="Arial" w:cs="Arial"/>
                <w:lang w:eastAsia="en-GB"/>
              </w:rPr>
              <w:t>Other</w:t>
            </w:r>
            <w:r w:rsidR="00BA319A" w:rsidRPr="0050374D">
              <w:rPr>
                <w:rFonts w:ascii="Arial" w:hAnsi="Arial" w:cs="Arial"/>
                <w:sz w:val="18"/>
                <w:szCs w:val="18"/>
                <w:vertAlign w:val="superscript"/>
              </w:rPr>
              <w:footnoteRef/>
            </w:r>
          </w:p>
        </w:tc>
        <w:tc>
          <w:tcPr>
            <w:tcW w:w="1276" w:type="dxa"/>
            <w:tcBorders>
              <w:top w:val="nil"/>
              <w:left w:val="nil"/>
              <w:bottom w:val="nil"/>
              <w:right w:val="nil"/>
            </w:tcBorders>
            <w:shd w:val="clear" w:color="auto" w:fill="auto"/>
            <w:noWrap/>
            <w:vAlign w:val="bottom"/>
            <w:hideMark/>
          </w:tcPr>
          <w:p w14:paraId="4BD631DC" w14:textId="77777777" w:rsidR="007F1533" w:rsidRPr="007F1533" w:rsidRDefault="007F1533">
            <w:pPr>
              <w:spacing w:line="240" w:lineRule="auto"/>
              <w:jc w:val="right"/>
              <w:rPr>
                <w:rFonts w:ascii="Arial" w:eastAsia="Times New Roman" w:hAnsi="Arial" w:cs="Arial"/>
                <w:b/>
                <w:bCs/>
                <w:lang w:eastAsia="en-GB"/>
              </w:rPr>
            </w:pPr>
            <w:r w:rsidRPr="007F1533">
              <w:rPr>
                <w:rFonts w:ascii="Arial" w:eastAsia="Times New Roman" w:hAnsi="Arial" w:cs="Arial"/>
                <w:b/>
                <w:bCs/>
                <w:lang w:eastAsia="en-GB"/>
              </w:rPr>
              <w:t>145</w:t>
            </w:r>
          </w:p>
        </w:tc>
        <w:tc>
          <w:tcPr>
            <w:tcW w:w="1276" w:type="dxa"/>
            <w:tcBorders>
              <w:top w:val="nil"/>
              <w:left w:val="nil"/>
              <w:bottom w:val="nil"/>
              <w:right w:val="nil"/>
            </w:tcBorders>
            <w:shd w:val="clear" w:color="auto" w:fill="auto"/>
            <w:noWrap/>
            <w:vAlign w:val="bottom"/>
            <w:hideMark/>
          </w:tcPr>
          <w:p w14:paraId="7343ABF2" w14:textId="77777777" w:rsidR="007F1533" w:rsidRPr="007F1533" w:rsidRDefault="007F1533">
            <w:pPr>
              <w:spacing w:line="240" w:lineRule="auto"/>
              <w:jc w:val="right"/>
              <w:rPr>
                <w:rFonts w:ascii="Arial" w:eastAsia="Times New Roman" w:hAnsi="Arial" w:cs="Arial"/>
                <w:b/>
                <w:bCs/>
                <w:lang w:eastAsia="en-GB"/>
              </w:rPr>
            </w:pPr>
            <w:r w:rsidRPr="007F1533">
              <w:rPr>
                <w:rFonts w:ascii="Arial" w:eastAsia="Times New Roman" w:hAnsi="Arial" w:cs="Arial"/>
                <w:b/>
                <w:bCs/>
                <w:lang w:eastAsia="en-GB"/>
              </w:rPr>
              <w:t>87</w:t>
            </w:r>
          </w:p>
        </w:tc>
      </w:tr>
      <w:tr w:rsidR="007F1533" w:rsidRPr="007F1533" w14:paraId="73FDC378" w14:textId="77777777">
        <w:trPr>
          <w:trHeight w:val="315"/>
        </w:trPr>
        <w:tc>
          <w:tcPr>
            <w:tcW w:w="3861" w:type="dxa"/>
            <w:tcBorders>
              <w:top w:val="nil"/>
              <w:left w:val="nil"/>
              <w:bottom w:val="nil"/>
              <w:right w:val="nil"/>
            </w:tcBorders>
            <w:shd w:val="clear" w:color="auto" w:fill="auto"/>
            <w:noWrap/>
            <w:vAlign w:val="bottom"/>
            <w:hideMark/>
          </w:tcPr>
          <w:p w14:paraId="5507F7E3" w14:textId="77777777" w:rsidR="007F1533" w:rsidRPr="007F1533" w:rsidRDefault="007F1533">
            <w:pPr>
              <w:spacing w:line="240" w:lineRule="auto"/>
              <w:rPr>
                <w:rFonts w:ascii="Arial" w:eastAsia="Times New Roman" w:hAnsi="Arial" w:cs="Arial"/>
                <w:b/>
                <w:bCs/>
                <w:lang w:eastAsia="en-GB"/>
              </w:rPr>
            </w:pPr>
            <w:r w:rsidRPr="007F1533">
              <w:rPr>
                <w:rFonts w:ascii="Arial" w:eastAsia="Times New Roman" w:hAnsi="Arial" w:cs="Arial"/>
                <w:b/>
                <w:bCs/>
                <w:lang w:eastAsia="en-GB"/>
              </w:rPr>
              <w:t>Total</w:t>
            </w:r>
          </w:p>
        </w:tc>
        <w:tc>
          <w:tcPr>
            <w:tcW w:w="1276" w:type="dxa"/>
            <w:tcBorders>
              <w:top w:val="single" w:sz="4" w:space="0" w:color="auto"/>
              <w:left w:val="nil"/>
              <w:bottom w:val="single" w:sz="8" w:space="0" w:color="auto"/>
              <w:right w:val="nil"/>
            </w:tcBorders>
            <w:shd w:val="clear" w:color="auto" w:fill="auto"/>
            <w:noWrap/>
            <w:vAlign w:val="bottom"/>
            <w:hideMark/>
          </w:tcPr>
          <w:p w14:paraId="2DBD90D7" w14:textId="77777777" w:rsidR="007F1533" w:rsidRPr="007F1533" w:rsidRDefault="007F1533">
            <w:pPr>
              <w:spacing w:line="240" w:lineRule="auto"/>
              <w:jc w:val="right"/>
              <w:rPr>
                <w:rFonts w:ascii="Arial" w:eastAsia="Times New Roman" w:hAnsi="Arial" w:cs="Arial"/>
                <w:b/>
                <w:bCs/>
                <w:lang w:eastAsia="en-GB"/>
              </w:rPr>
            </w:pPr>
            <w:r w:rsidRPr="007F1533">
              <w:rPr>
                <w:rFonts w:ascii="Arial" w:eastAsia="Times New Roman" w:hAnsi="Arial" w:cs="Arial"/>
                <w:b/>
                <w:bCs/>
                <w:lang w:eastAsia="en-GB"/>
              </w:rPr>
              <w:t>1,740</w:t>
            </w:r>
          </w:p>
        </w:tc>
        <w:tc>
          <w:tcPr>
            <w:tcW w:w="1276" w:type="dxa"/>
            <w:tcBorders>
              <w:top w:val="single" w:sz="4" w:space="0" w:color="auto"/>
              <w:left w:val="nil"/>
              <w:bottom w:val="single" w:sz="8" w:space="0" w:color="auto"/>
              <w:right w:val="nil"/>
            </w:tcBorders>
            <w:shd w:val="clear" w:color="auto" w:fill="auto"/>
            <w:noWrap/>
            <w:vAlign w:val="bottom"/>
            <w:hideMark/>
          </w:tcPr>
          <w:p w14:paraId="5C6A459F" w14:textId="77777777" w:rsidR="007F1533" w:rsidRPr="007F1533" w:rsidRDefault="007F1533">
            <w:pPr>
              <w:spacing w:line="240" w:lineRule="auto"/>
              <w:jc w:val="right"/>
              <w:rPr>
                <w:rFonts w:ascii="Arial" w:eastAsia="Times New Roman" w:hAnsi="Arial" w:cs="Arial"/>
                <w:b/>
                <w:bCs/>
                <w:lang w:eastAsia="en-GB"/>
              </w:rPr>
            </w:pPr>
            <w:r w:rsidRPr="007F1533">
              <w:rPr>
                <w:rFonts w:ascii="Arial" w:eastAsia="Times New Roman" w:hAnsi="Arial" w:cs="Arial"/>
                <w:b/>
                <w:bCs/>
                <w:lang w:eastAsia="en-GB"/>
              </w:rPr>
              <w:t>1,668</w:t>
            </w:r>
          </w:p>
        </w:tc>
      </w:tr>
      <w:bookmarkEnd w:id="25"/>
    </w:tbl>
    <w:p w14:paraId="3FDA9D77" w14:textId="77777777" w:rsidR="00D30BC9" w:rsidRDefault="00D30BC9" w:rsidP="000F3972">
      <w:pPr>
        <w:keepNext/>
        <w:keepLines/>
        <w:numPr>
          <w:ilvl w:val="2"/>
          <w:numId w:val="0"/>
        </w:numPr>
        <w:spacing w:before="40" w:after="0"/>
        <w:outlineLvl w:val="2"/>
        <w:rPr>
          <w:rFonts w:ascii="Arial" w:eastAsiaTheme="majorEastAsia" w:hAnsi="Arial" w:cs="Arial"/>
          <w:b/>
          <w:color w:val="4472C4" w:themeColor="accent1"/>
          <w:kern w:val="0"/>
          <w:sz w:val="32"/>
          <w:szCs w:val="24"/>
          <w14:ligatures w14:val="none"/>
        </w:rPr>
      </w:pPr>
    </w:p>
    <w:p w14:paraId="7027C5C1" w14:textId="46971D02" w:rsidR="00D30BC9" w:rsidRPr="00B84BE7" w:rsidRDefault="002438C7" w:rsidP="00B84BE7">
      <w:pPr>
        <w:pStyle w:val="NoSpacing"/>
        <w:rPr>
          <w:rFonts w:ascii="Arial" w:hAnsi="Arial" w:cs="Arial"/>
          <w:sz w:val="18"/>
          <w:szCs w:val="18"/>
        </w:rPr>
      </w:pPr>
      <w:r w:rsidRPr="0050374D">
        <w:rPr>
          <w:rFonts w:ascii="Arial" w:hAnsi="Arial" w:cs="Arial"/>
          <w:sz w:val="18"/>
          <w:szCs w:val="18"/>
          <w:vertAlign w:val="superscript"/>
        </w:rPr>
        <w:footnoteRef/>
      </w:r>
      <w:r w:rsidRPr="0050374D">
        <w:rPr>
          <w:rFonts w:ascii="Arial" w:hAnsi="Arial" w:cs="Arial"/>
          <w:sz w:val="18"/>
          <w:szCs w:val="18"/>
        </w:rPr>
        <w:t xml:space="preserve"> </w:t>
      </w:r>
      <w:r w:rsidR="00C95F4F" w:rsidRPr="00B84BE7">
        <w:rPr>
          <w:rFonts w:ascii="Arial" w:hAnsi="Arial" w:cs="Arial"/>
          <w:sz w:val="18"/>
          <w:szCs w:val="18"/>
        </w:rPr>
        <w:t>The increase in the use of Agency and Contractor staff, disclosed above as “Other”, is primarily driven by two demands for additional labour. The first need is to cover business critical roles whilst recruitment is ongoing. Due to difficulties with recruitment the Agency has made a greater use of contingent labour to ensure business critical activities can be delivered. Additionally, the Agency has recruited contractor resource for time-bound investigation work into Bounce Back Loans issued during the COVID-19 Pandemic.</w:t>
      </w:r>
    </w:p>
    <w:p w14:paraId="3E293CE7" w14:textId="77777777" w:rsidR="002438C7" w:rsidRDefault="002438C7">
      <w:pPr>
        <w:rPr>
          <w:rFonts w:ascii="Arial" w:eastAsiaTheme="majorEastAsia" w:hAnsi="Arial" w:cs="Arial"/>
          <w:b/>
          <w:bCs/>
          <w:color w:val="1F3763"/>
          <w:kern w:val="0"/>
          <w:sz w:val="28"/>
          <w:szCs w:val="28"/>
          <w14:ligatures w14:val="none"/>
        </w:rPr>
      </w:pPr>
      <w:r>
        <w:rPr>
          <w:rFonts w:ascii="Arial" w:eastAsiaTheme="majorEastAsia" w:hAnsi="Arial" w:cs="Arial"/>
          <w:b/>
          <w:bCs/>
          <w:color w:val="1F3763"/>
          <w:kern w:val="0"/>
          <w:sz w:val="28"/>
          <w:szCs w:val="28"/>
          <w14:ligatures w14:val="none"/>
        </w:rPr>
        <w:br w:type="page"/>
      </w:r>
    </w:p>
    <w:p w14:paraId="7560E0B6" w14:textId="5B1E8D8D" w:rsidR="000F3972" w:rsidRPr="000F3972" w:rsidRDefault="000F3972" w:rsidP="00EF1E9A">
      <w:pPr>
        <w:pStyle w:val="Heading3"/>
        <w:rPr>
          <w:rFonts w:cs="Arial"/>
          <w:b w:val="0"/>
          <w:color w:val="1F3763"/>
          <w:sz w:val="28"/>
          <w:szCs w:val="28"/>
        </w:rPr>
      </w:pPr>
      <w:r w:rsidRPr="000F3972">
        <w:lastRenderedPageBreak/>
        <w:t>Parliamentary Accountability and Audit Report</w:t>
      </w:r>
    </w:p>
    <w:p w14:paraId="405237C3" w14:textId="77777777" w:rsidR="000F3972" w:rsidRPr="000F3972" w:rsidRDefault="000F3972" w:rsidP="000B1B0B">
      <w:pPr>
        <w:pStyle w:val="Heading4"/>
        <w:rPr>
          <w:rFonts w:asciiTheme="majorHAnsi" w:hAnsiTheme="majorHAnsi"/>
          <w:b w:val="0"/>
          <w:color w:val="1F3763"/>
          <w:szCs w:val="28"/>
        </w:rPr>
      </w:pPr>
      <w:r w:rsidRPr="000F3972">
        <w:t>Parliamentary Accountability Disclosures</w:t>
      </w:r>
    </w:p>
    <w:p w14:paraId="2D320D28" w14:textId="77777777" w:rsidR="000F3972" w:rsidRPr="000F3972" w:rsidRDefault="000F3972" w:rsidP="000F3972">
      <w:pPr>
        <w:suppressAutoHyphens/>
        <w:autoSpaceDE w:val="0"/>
        <w:autoSpaceDN w:val="0"/>
        <w:spacing w:after="0" w:line="240" w:lineRule="auto"/>
        <w:textAlignment w:val="baseline"/>
        <w:rPr>
          <w:rFonts w:ascii="Arial" w:eastAsia="Calibri" w:hAnsi="Arial" w:cs="Arial"/>
          <w:color w:val="4472C4"/>
          <w:kern w:val="0"/>
          <w:sz w:val="28"/>
          <w:szCs w:val="28"/>
          <w14:ligatures w14:val="none"/>
        </w:rPr>
      </w:pPr>
    </w:p>
    <w:p w14:paraId="742F7EC9" w14:textId="77777777" w:rsidR="000F3972" w:rsidRPr="000F3972" w:rsidRDefault="000F3972" w:rsidP="00E87AB9">
      <w:pPr>
        <w:keepNext/>
        <w:keepLines/>
        <w:suppressAutoHyphens/>
        <w:autoSpaceDN w:val="0"/>
        <w:spacing w:line="254" w:lineRule="auto"/>
        <w:textAlignment w:val="baseline"/>
        <w:outlineLvl w:val="3"/>
        <w:rPr>
          <w:rFonts w:ascii="Arial" w:eastAsia="Calibri" w:hAnsi="Arial" w:cs="Arial"/>
          <w:b/>
          <w:bCs/>
          <w:color w:val="000000" w:themeColor="text1"/>
          <w:kern w:val="0"/>
          <w:sz w:val="24"/>
          <w:szCs w:val="24"/>
          <w14:ligatures w14:val="none"/>
        </w:rPr>
      </w:pPr>
      <w:r w:rsidRPr="000F3972">
        <w:rPr>
          <w:rFonts w:ascii="Arial" w:hAnsi="Arial" w:cs="Arial"/>
          <w:b/>
          <w:bCs/>
          <w:kern w:val="0"/>
          <w:sz w:val="24"/>
          <w:szCs w:val="24"/>
          <w14:ligatures w14:val="none"/>
        </w:rPr>
        <w:t>Regularity of expenditure (audited)</w:t>
      </w:r>
    </w:p>
    <w:p w14:paraId="5D1FDB41"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p>
    <w:p w14:paraId="2A2B3EBB" w14:textId="77777777" w:rsidR="000F3972" w:rsidRPr="000F3972" w:rsidRDefault="000F3972" w:rsidP="000F3972">
      <w:pPr>
        <w:suppressAutoHyphens/>
        <w:autoSpaceDN w:val="0"/>
        <w:spacing w:after="0" w:line="276" w:lineRule="auto"/>
        <w:textAlignment w:val="baseline"/>
        <w:rPr>
          <w:rFonts w:ascii="Arial" w:eastAsia="Calibri" w:hAnsi="Arial" w:cs="Arial"/>
          <w:color w:val="000000"/>
          <w:kern w:val="0"/>
          <w:sz w:val="24"/>
          <w:szCs w:val="24"/>
          <w14:ligatures w14:val="none"/>
        </w:rPr>
      </w:pPr>
      <w:r w:rsidRPr="000F3972">
        <w:rPr>
          <w:rFonts w:ascii="Arial" w:eastAsia="Calibri" w:hAnsi="Arial" w:cs="Arial"/>
          <w:kern w:val="0"/>
          <w:sz w:val="24"/>
          <w:szCs w:val="24"/>
          <w14:ligatures w14:val="none"/>
        </w:rPr>
        <w:t>Additional details can be found in the Governance Statement within the Corporate Governance Report, and the financial performance section within the Performance Report. There are also associated disclosures within Note 12 of our Financial Statements which provide details of the provision recognised in respect of the regularity of expenditure.</w:t>
      </w:r>
    </w:p>
    <w:p w14:paraId="581257E9" w14:textId="77777777" w:rsidR="000F3972" w:rsidRPr="000F3972" w:rsidRDefault="000F3972" w:rsidP="000F3972">
      <w:pPr>
        <w:suppressAutoHyphens/>
        <w:autoSpaceDE w:val="0"/>
        <w:autoSpaceDN w:val="0"/>
        <w:spacing w:after="0" w:line="276" w:lineRule="auto"/>
        <w:jc w:val="right"/>
        <w:textAlignment w:val="baseline"/>
        <w:rPr>
          <w:rFonts w:ascii="Arial" w:eastAsia="Calibri" w:hAnsi="Arial" w:cs="Arial"/>
          <w:kern w:val="0"/>
          <w:sz w:val="24"/>
          <w:szCs w:val="24"/>
          <w14:ligatures w14:val="none"/>
        </w:rPr>
      </w:pPr>
    </w:p>
    <w:p w14:paraId="52C36687" w14:textId="77777777" w:rsidR="000F3972" w:rsidRPr="000F3972" w:rsidRDefault="000F3972" w:rsidP="00E87AB9">
      <w:pPr>
        <w:keepNext/>
        <w:keepLines/>
        <w:numPr>
          <w:ilvl w:val="3"/>
          <w:numId w:val="0"/>
        </w:numPr>
        <w:outlineLvl w:val="3"/>
        <w:rPr>
          <w:rFonts w:ascii="Arial" w:eastAsia="Calibri" w:hAnsi="Arial" w:cs="Arial"/>
          <w:b/>
          <w:bCs/>
          <w:color w:val="000000" w:themeColor="text1"/>
          <w:kern w:val="0"/>
          <w:sz w:val="24"/>
          <w:szCs w:val="24"/>
          <w14:ligatures w14:val="none"/>
        </w:rPr>
      </w:pPr>
      <w:r w:rsidRPr="000F3972">
        <w:rPr>
          <w:rFonts w:ascii="Arial" w:hAnsi="Arial" w:cs="Arial"/>
          <w:b/>
          <w:bCs/>
          <w:kern w:val="0"/>
          <w:sz w:val="24"/>
          <w:szCs w:val="24"/>
          <w14:ligatures w14:val="none"/>
        </w:rPr>
        <w:t>Remote contingent liabilities (audited)</w:t>
      </w:r>
    </w:p>
    <w:p w14:paraId="2D411D90" w14:textId="77777777" w:rsidR="000F3972" w:rsidRPr="000F3972" w:rsidRDefault="000F3972" w:rsidP="000F3972">
      <w:pPr>
        <w:suppressAutoHyphens/>
        <w:autoSpaceDE w:val="0"/>
        <w:autoSpaceDN w:val="0"/>
        <w:spacing w:after="0" w:line="276" w:lineRule="auto"/>
        <w:textAlignment w:val="baseline"/>
        <w:rPr>
          <w:rFonts w:ascii="Arial" w:eastAsia="Calibri" w:hAnsi="Arial" w:cs="Arial"/>
          <w:b/>
          <w:bCs/>
          <w:color w:val="000000"/>
          <w:kern w:val="0"/>
          <w:sz w:val="24"/>
          <w:szCs w:val="24"/>
          <w14:ligatures w14:val="none"/>
        </w:rPr>
      </w:pPr>
    </w:p>
    <w:p w14:paraId="3617F2F5" w14:textId="0A5C9090" w:rsidR="000F3972" w:rsidRPr="000F3972" w:rsidRDefault="000F3972" w:rsidP="000F3972">
      <w:pPr>
        <w:suppressAutoHyphens/>
        <w:autoSpaceDE w:val="0"/>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kern w:val="0"/>
          <w:sz w:val="24"/>
          <w:szCs w:val="24"/>
          <w14:ligatures w14:val="none"/>
        </w:rPr>
        <w:t>In addition to those Contingent Liabilities disclosed within Note 14 of Financial Statements the Agency also has 107 active or soon to be active legal cases as at 31 March 2024 which carry a possibility that a liability might arise.</w:t>
      </w:r>
    </w:p>
    <w:p w14:paraId="4FD06C15" w14:textId="77777777" w:rsidR="000F3972" w:rsidRPr="000F3972" w:rsidRDefault="000F3972" w:rsidP="000F3972">
      <w:pPr>
        <w:suppressAutoHyphens/>
        <w:autoSpaceDE w:val="0"/>
        <w:autoSpaceDN w:val="0"/>
        <w:spacing w:after="0" w:line="276" w:lineRule="auto"/>
        <w:textAlignment w:val="baseline"/>
        <w:rPr>
          <w:rFonts w:ascii="Arial" w:eastAsia="Calibri" w:hAnsi="Arial" w:cs="Arial"/>
          <w:kern w:val="0"/>
          <w:sz w:val="24"/>
          <w:szCs w:val="24"/>
          <w14:ligatures w14:val="none"/>
        </w:rPr>
      </w:pPr>
    </w:p>
    <w:p w14:paraId="09CF3B9F" w14:textId="77777777" w:rsidR="000F3972" w:rsidRPr="000F3972" w:rsidRDefault="000F3972" w:rsidP="00E87AB9">
      <w:pPr>
        <w:keepNext/>
        <w:keepLines/>
        <w:numPr>
          <w:ilvl w:val="3"/>
          <w:numId w:val="0"/>
        </w:numPr>
        <w:outlineLvl w:val="3"/>
        <w:rPr>
          <w:rFonts w:ascii="Arial" w:eastAsia="Calibri" w:hAnsi="Arial" w:cs="Arial"/>
          <w:b/>
          <w:bCs/>
          <w:color w:val="000000" w:themeColor="text1"/>
          <w:kern w:val="0"/>
          <w:sz w:val="24"/>
          <w:szCs w:val="24"/>
          <w14:ligatures w14:val="none"/>
        </w:rPr>
      </w:pPr>
      <w:r w:rsidRPr="000F3972">
        <w:rPr>
          <w:rFonts w:ascii="Arial" w:hAnsi="Arial" w:cs="Arial"/>
          <w:b/>
          <w:bCs/>
          <w:kern w:val="0"/>
          <w:sz w:val="24"/>
          <w:szCs w:val="24"/>
          <w14:ligatures w14:val="none"/>
        </w:rPr>
        <w:t>Losses and Special Payments (audited)</w:t>
      </w:r>
    </w:p>
    <w:p w14:paraId="6E2EFC01" w14:textId="77777777" w:rsidR="000F3972" w:rsidRPr="000F3972" w:rsidRDefault="000F3972" w:rsidP="000F3972">
      <w:pPr>
        <w:suppressAutoHyphens/>
        <w:autoSpaceDE w:val="0"/>
        <w:autoSpaceDN w:val="0"/>
        <w:spacing w:after="0" w:line="276" w:lineRule="auto"/>
        <w:textAlignment w:val="baseline"/>
        <w:rPr>
          <w:rFonts w:ascii="Arial" w:eastAsia="Calibri" w:hAnsi="Arial" w:cs="Arial"/>
          <w:kern w:val="0"/>
          <w:sz w:val="24"/>
          <w:szCs w:val="24"/>
          <w14:ligatures w14:val="none"/>
        </w:rPr>
      </w:pPr>
    </w:p>
    <w:p w14:paraId="1B86A9E0" w14:textId="77777777" w:rsidR="000F3972" w:rsidRPr="000F3972" w:rsidRDefault="000F3972" w:rsidP="000F3972">
      <w:pPr>
        <w:suppressAutoHyphens/>
        <w:autoSpaceDE w:val="0"/>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kern w:val="0"/>
          <w:sz w:val="24"/>
          <w:szCs w:val="24"/>
          <w14:ligatures w14:val="none"/>
        </w:rPr>
        <w:t>The disclosures in this note are in accordance with Managing Public Money, the official guidance on handling public funds. In all cases, the Agency sought formal approval for its proposals and actions with regards to these matters from either HM Treasury directly or indirectly through DBT.</w:t>
      </w:r>
    </w:p>
    <w:p w14:paraId="182FC56D" w14:textId="77777777" w:rsidR="000F3972" w:rsidRPr="000F3972" w:rsidRDefault="000F3972" w:rsidP="000F3972">
      <w:pPr>
        <w:suppressAutoHyphens/>
        <w:autoSpaceDE w:val="0"/>
        <w:autoSpaceDN w:val="0"/>
        <w:spacing w:after="0" w:line="276" w:lineRule="auto"/>
        <w:textAlignment w:val="baseline"/>
        <w:rPr>
          <w:rFonts w:ascii="Arial" w:eastAsia="Calibri" w:hAnsi="Arial" w:cs="Arial"/>
          <w:kern w:val="0"/>
          <w:sz w:val="24"/>
          <w:szCs w:val="24"/>
          <w14:ligatures w14:val="none"/>
        </w:rPr>
      </w:pPr>
    </w:p>
    <w:p w14:paraId="7BB5B246" w14:textId="77777777" w:rsidR="000F3972" w:rsidRPr="000F3972" w:rsidRDefault="000F3972" w:rsidP="00E87AB9">
      <w:pPr>
        <w:keepNext/>
        <w:keepLines/>
        <w:numPr>
          <w:ilvl w:val="3"/>
          <w:numId w:val="0"/>
        </w:numPr>
        <w:outlineLvl w:val="3"/>
        <w:rPr>
          <w:rFonts w:ascii="Arial" w:eastAsia="Calibri" w:hAnsi="Arial" w:cs="Arial"/>
          <w:b/>
          <w:bCs/>
          <w:color w:val="000000" w:themeColor="text1"/>
          <w:kern w:val="0"/>
          <w:sz w:val="24"/>
          <w:szCs w:val="24"/>
          <w14:ligatures w14:val="none"/>
        </w:rPr>
      </w:pPr>
      <w:r w:rsidRPr="000F3972">
        <w:rPr>
          <w:rFonts w:ascii="Arial" w:hAnsi="Arial" w:cs="Arial"/>
          <w:b/>
          <w:bCs/>
          <w:kern w:val="0"/>
          <w:sz w:val="24"/>
          <w:szCs w:val="24"/>
          <w14:ligatures w14:val="none"/>
        </w:rPr>
        <w:t>Losses statement (audited)</w:t>
      </w:r>
    </w:p>
    <w:p w14:paraId="048512CE" w14:textId="77777777" w:rsidR="000F3972" w:rsidRPr="000F3972" w:rsidRDefault="000F3972" w:rsidP="000F3972">
      <w:pPr>
        <w:suppressAutoHyphens/>
        <w:autoSpaceDE w:val="0"/>
        <w:autoSpaceDN w:val="0"/>
        <w:spacing w:after="0" w:line="276" w:lineRule="auto"/>
        <w:textAlignment w:val="baseline"/>
        <w:rPr>
          <w:rFonts w:ascii="Arial" w:eastAsia="Calibri" w:hAnsi="Arial" w:cs="Arial"/>
          <w:color w:val="000000"/>
          <w:kern w:val="0"/>
          <w:sz w:val="24"/>
          <w:szCs w:val="24"/>
          <w14:ligatures w14:val="none"/>
        </w:rPr>
      </w:pPr>
    </w:p>
    <w:tbl>
      <w:tblPr>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126"/>
        <w:gridCol w:w="2127"/>
      </w:tblGrid>
      <w:tr w:rsidR="000F3972" w:rsidRPr="000F3972" w14:paraId="29DE55F7" w14:textId="77777777">
        <w:trPr>
          <w:trHeight w:val="283"/>
        </w:trPr>
        <w:tc>
          <w:tcPr>
            <w:tcW w:w="4673" w:type="dxa"/>
            <w:shd w:val="clear" w:color="auto" w:fill="DCE6F1"/>
            <w:noWrap/>
          </w:tcPr>
          <w:p w14:paraId="002F278E" w14:textId="77777777" w:rsidR="000F3972" w:rsidRPr="001845AA" w:rsidRDefault="000F3972" w:rsidP="000F3972">
            <w:pPr>
              <w:suppressAutoHyphens/>
              <w:autoSpaceDN w:val="0"/>
              <w:spacing w:after="0" w:line="254" w:lineRule="auto"/>
              <w:textAlignment w:val="baseline"/>
              <w:rPr>
                <w:rFonts w:ascii="Arial" w:eastAsia="Times New Roman" w:hAnsi="Arial" w:cs="Arial"/>
                <w:b/>
                <w:bCs/>
                <w:color w:val="000000"/>
                <w:kern w:val="0"/>
                <w:lang w:eastAsia="en-GB"/>
                <w14:ligatures w14:val="none"/>
              </w:rPr>
            </w:pPr>
          </w:p>
        </w:tc>
        <w:tc>
          <w:tcPr>
            <w:tcW w:w="2126" w:type="dxa"/>
            <w:shd w:val="clear" w:color="auto" w:fill="DCE6F1"/>
          </w:tcPr>
          <w:p w14:paraId="2C0D2756" w14:textId="77777777" w:rsidR="000F3972" w:rsidRPr="001845AA" w:rsidRDefault="000F3972" w:rsidP="000F3972">
            <w:pPr>
              <w:suppressAutoHyphens/>
              <w:autoSpaceDN w:val="0"/>
              <w:spacing w:line="240" w:lineRule="auto"/>
              <w:jc w:val="right"/>
              <w:textAlignment w:val="baseline"/>
              <w:rPr>
                <w:rFonts w:ascii="Arial" w:eastAsia="Calibri" w:hAnsi="Arial" w:cs="Arial"/>
                <w:b/>
                <w:bCs/>
                <w:kern w:val="0"/>
                <w14:ligatures w14:val="none"/>
              </w:rPr>
            </w:pPr>
            <w:r w:rsidRPr="001845AA">
              <w:rPr>
                <w:rFonts w:ascii="Arial" w:eastAsia="Times New Roman" w:hAnsi="Arial" w:cs="Arial"/>
                <w:b/>
                <w:bCs/>
                <w:color w:val="000000"/>
                <w:kern w:val="0"/>
                <w:lang w:eastAsia="en-GB"/>
                <w14:ligatures w14:val="none"/>
              </w:rPr>
              <w:t>2023-24</w:t>
            </w:r>
          </w:p>
        </w:tc>
        <w:tc>
          <w:tcPr>
            <w:tcW w:w="2127" w:type="dxa"/>
            <w:shd w:val="clear" w:color="auto" w:fill="DCE6F1"/>
          </w:tcPr>
          <w:p w14:paraId="0FAAE34A" w14:textId="77777777" w:rsidR="000F3972" w:rsidRPr="001845AA" w:rsidRDefault="000F3972" w:rsidP="000F3972">
            <w:pPr>
              <w:suppressAutoHyphens/>
              <w:autoSpaceDN w:val="0"/>
              <w:spacing w:after="0" w:line="240" w:lineRule="auto"/>
              <w:jc w:val="right"/>
              <w:textAlignment w:val="baseline"/>
              <w:rPr>
                <w:rFonts w:ascii="Arial" w:eastAsia="Times New Roman" w:hAnsi="Arial" w:cs="Arial"/>
                <w:b/>
                <w:bCs/>
                <w:color w:val="000000"/>
                <w:kern w:val="0"/>
                <w:lang w:eastAsia="en-GB"/>
                <w14:ligatures w14:val="none"/>
              </w:rPr>
            </w:pPr>
            <w:r w:rsidRPr="001845AA">
              <w:rPr>
                <w:rFonts w:ascii="Arial" w:eastAsia="Times New Roman" w:hAnsi="Arial" w:cs="Arial"/>
                <w:b/>
                <w:bCs/>
                <w:color w:val="000000"/>
                <w:kern w:val="0"/>
                <w:lang w:eastAsia="en-GB"/>
                <w14:ligatures w14:val="none"/>
              </w:rPr>
              <w:t>2022-23</w:t>
            </w:r>
          </w:p>
        </w:tc>
      </w:tr>
      <w:tr w:rsidR="000F3972" w:rsidRPr="000F3972" w14:paraId="535B0948" w14:textId="77777777">
        <w:trPr>
          <w:trHeight w:val="283"/>
        </w:trPr>
        <w:tc>
          <w:tcPr>
            <w:tcW w:w="4673" w:type="dxa"/>
            <w:shd w:val="clear" w:color="auto" w:fill="DCE6F1"/>
            <w:noWrap/>
            <w:vAlign w:val="bottom"/>
          </w:tcPr>
          <w:p w14:paraId="5194B487" w14:textId="77777777" w:rsidR="000F3972" w:rsidRPr="001845AA" w:rsidRDefault="000F3972" w:rsidP="000F3972">
            <w:pPr>
              <w:suppressAutoHyphens/>
              <w:autoSpaceDN w:val="0"/>
              <w:spacing w:line="254" w:lineRule="auto"/>
              <w:textAlignment w:val="baseline"/>
              <w:rPr>
                <w:rFonts w:ascii="Arial" w:eastAsia="Calibri" w:hAnsi="Arial" w:cs="Arial"/>
                <w:b/>
                <w:bCs/>
                <w:kern w:val="0"/>
                <w14:ligatures w14:val="none"/>
              </w:rPr>
            </w:pPr>
            <w:r w:rsidRPr="001845AA">
              <w:rPr>
                <w:rFonts w:ascii="Arial" w:eastAsia="Calibri" w:hAnsi="Arial" w:cs="Arial"/>
                <w:b/>
                <w:bCs/>
                <w:kern w:val="0"/>
                <w14:ligatures w14:val="none"/>
              </w:rPr>
              <w:t>Total number of losses</w:t>
            </w:r>
          </w:p>
        </w:tc>
        <w:tc>
          <w:tcPr>
            <w:tcW w:w="2126" w:type="dxa"/>
          </w:tcPr>
          <w:p w14:paraId="50DE8A0A" w14:textId="77777777" w:rsidR="000F3972" w:rsidRPr="001845AA" w:rsidRDefault="000F3972" w:rsidP="000F3972">
            <w:pPr>
              <w:autoSpaceDN w:val="0"/>
              <w:spacing w:line="254" w:lineRule="auto"/>
              <w:jc w:val="right"/>
              <w:textAlignment w:val="baseline"/>
              <w:rPr>
                <w:rFonts w:ascii="Arial" w:eastAsia="Calibri" w:hAnsi="Arial" w:cs="Arial"/>
                <w:b/>
                <w:bCs/>
                <w:color w:val="000000"/>
                <w:kern w:val="0"/>
                <w14:ligatures w14:val="none"/>
              </w:rPr>
            </w:pPr>
            <w:r w:rsidRPr="001845AA">
              <w:rPr>
                <w:rFonts w:ascii="Arial" w:eastAsia="Calibri" w:hAnsi="Arial" w:cs="Arial"/>
                <w:b/>
                <w:bCs/>
                <w:kern w:val="0"/>
                <w14:ligatures w14:val="none"/>
              </w:rPr>
              <w:t>9,776</w:t>
            </w:r>
          </w:p>
        </w:tc>
        <w:tc>
          <w:tcPr>
            <w:tcW w:w="2127" w:type="dxa"/>
          </w:tcPr>
          <w:p w14:paraId="04628A29" w14:textId="77777777" w:rsidR="000F3972" w:rsidRPr="001845AA" w:rsidRDefault="000F3972" w:rsidP="000F3972">
            <w:pPr>
              <w:suppressAutoHyphens/>
              <w:autoSpaceDN w:val="0"/>
              <w:spacing w:line="240" w:lineRule="auto"/>
              <w:jc w:val="right"/>
              <w:textAlignment w:val="baseline"/>
              <w:rPr>
                <w:rFonts w:ascii="Arial" w:eastAsia="Calibri" w:hAnsi="Arial" w:cs="Arial"/>
                <w:b/>
                <w:bCs/>
                <w:color w:val="000000"/>
                <w:kern w:val="0"/>
                <w14:ligatures w14:val="none"/>
              </w:rPr>
            </w:pPr>
            <w:r w:rsidRPr="001845AA">
              <w:rPr>
                <w:rFonts w:ascii="Arial" w:eastAsia="Times New Roman" w:hAnsi="Arial" w:cs="Arial"/>
                <w:b/>
                <w:bCs/>
                <w:color w:val="000000"/>
                <w:kern w:val="0"/>
                <w:lang w:eastAsia="en-GB"/>
                <w14:ligatures w14:val="none"/>
              </w:rPr>
              <w:t>6,642</w:t>
            </w:r>
          </w:p>
        </w:tc>
      </w:tr>
      <w:tr w:rsidR="000F3972" w:rsidRPr="000F3972" w14:paraId="52BE59B0" w14:textId="77777777">
        <w:trPr>
          <w:trHeight w:val="283"/>
        </w:trPr>
        <w:tc>
          <w:tcPr>
            <w:tcW w:w="4673" w:type="dxa"/>
            <w:shd w:val="clear" w:color="auto" w:fill="DCE6F1"/>
            <w:noWrap/>
            <w:vAlign w:val="bottom"/>
          </w:tcPr>
          <w:p w14:paraId="667FE672" w14:textId="77777777" w:rsidR="000F3972" w:rsidRPr="001845AA" w:rsidRDefault="000F3972" w:rsidP="000F3972">
            <w:pPr>
              <w:suppressAutoHyphens/>
              <w:autoSpaceDN w:val="0"/>
              <w:spacing w:line="254" w:lineRule="auto"/>
              <w:textAlignment w:val="baseline"/>
              <w:rPr>
                <w:rFonts w:ascii="Arial" w:eastAsia="Times New Roman" w:hAnsi="Arial" w:cs="Arial"/>
                <w:color w:val="000000"/>
                <w:kern w:val="0"/>
                <w:lang w:eastAsia="en-GB"/>
                <w14:ligatures w14:val="none"/>
              </w:rPr>
            </w:pPr>
            <w:r w:rsidRPr="001845AA">
              <w:rPr>
                <w:rFonts w:ascii="Arial" w:eastAsia="Calibri" w:hAnsi="Arial" w:cs="Arial"/>
                <w:kern w:val="0"/>
                <w14:ligatures w14:val="none"/>
              </w:rPr>
              <w:t xml:space="preserve">   RPS receivable loss (£'000)</w:t>
            </w:r>
          </w:p>
        </w:tc>
        <w:tc>
          <w:tcPr>
            <w:tcW w:w="2126" w:type="dxa"/>
          </w:tcPr>
          <w:p w14:paraId="53B894B4" w14:textId="65386534" w:rsidR="000F3972" w:rsidRPr="001845AA" w:rsidRDefault="000F3972" w:rsidP="000F3972">
            <w:pPr>
              <w:suppressAutoHyphens/>
              <w:autoSpaceDN w:val="0"/>
              <w:spacing w:line="240" w:lineRule="auto"/>
              <w:jc w:val="right"/>
              <w:textAlignment w:val="baseline"/>
              <w:rPr>
                <w:rFonts w:ascii="Arial" w:eastAsia="Times New Roman" w:hAnsi="Arial" w:cs="Arial"/>
                <w:color w:val="000000"/>
                <w:kern w:val="0"/>
                <w:lang w:eastAsia="en-GB"/>
                <w14:ligatures w14:val="none"/>
              </w:rPr>
            </w:pPr>
            <w:r w:rsidRPr="001845AA">
              <w:rPr>
                <w:rFonts w:ascii="Arial" w:eastAsia="Calibri" w:hAnsi="Arial" w:cs="Arial"/>
                <w:kern w:val="0"/>
                <w14:ligatures w14:val="none"/>
              </w:rPr>
              <w:t>454,</w:t>
            </w:r>
            <w:r w:rsidR="001845AA">
              <w:rPr>
                <w:rFonts w:ascii="Arial" w:eastAsia="Calibri" w:hAnsi="Arial" w:cs="Arial"/>
                <w:kern w:val="0"/>
                <w14:ligatures w14:val="none"/>
              </w:rPr>
              <w:t>365</w:t>
            </w:r>
            <w:r w:rsidRPr="001845AA">
              <w:rPr>
                <w:rFonts w:ascii="Arial" w:eastAsia="Calibri" w:hAnsi="Arial" w:cs="Arial"/>
                <w:kern w:val="0"/>
                <w14:ligatures w14:val="none"/>
              </w:rPr>
              <w:t xml:space="preserve"> </w:t>
            </w:r>
          </w:p>
        </w:tc>
        <w:tc>
          <w:tcPr>
            <w:tcW w:w="2127" w:type="dxa"/>
          </w:tcPr>
          <w:p w14:paraId="6B2DAFCE" w14:textId="77777777" w:rsidR="000F3972" w:rsidRPr="001845AA" w:rsidRDefault="000F3972" w:rsidP="000F3972">
            <w:pPr>
              <w:suppressAutoHyphens/>
              <w:autoSpaceDN w:val="0"/>
              <w:spacing w:line="240" w:lineRule="auto"/>
              <w:jc w:val="right"/>
              <w:textAlignment w:val="baseline"/>
              <w:rPr>
                <w:rFonts w:ascii="Arial" w:eastAsia="Times New Roman" w:hAnsi="Arial" w:cs="Arial"/>
                <w:color w:val="000000"/>
                <w:kern w:val="0"/>
                <w:lang w:eastAsia="en-GB"/>
                <w14:ligatures w14:val="none"/>
              </w:rPr>
            </w:pPr>
            <w:r w:rsidRPr="001845AA">
              <w:rPr>
                <w:rFonts w:ascii="Arial" w:eastAsia="Times New Roman" w:hAnsi="Arial" w:cs="Arial"/>
                <w:color w:val="000000"/>
                <w:kern w:val="0"/>
                <w:lang w:eastAsia="en-GB"/>
                <w14:ligatures w14:val="none"/>
              </w:rPr>
              <w:t>263,128</w:t>
            </w:r>
          </w:p>
        </w:tc>
      </w:tr>
      <w:tr w:rsidR="000F3972" w:rsidRPr="000F3972" w14:paraId="205E6416" w14:textId="77777777">
        <w:trPr>
          <w:trHeight w:val="283"/>
        </w:trPr>
        <w:tc>
          <w:tcPr>
            <w:tcW w:w="4673" w:type="dxa"/>
            <w:shd w:val="clear" w:color="auto" w:fill="DCE6F1"/>
            <w:noWrap/>
            <w:vAlign w:val="bottom"/>
          </w:tcPr>
          <w:p w14:paraId="6B83857C" w14:textId="77777777" w:rsidR="000F3972" w:rsidRPr="001845AA" w:rsidRDefault="000F3972" w:rsidP="000F3972">
            <w:pPr>
              <w:suppressAutoHyphens/>
              <w:autoSpaceDN w:val="0"/>
              <w:spacing w:line="254" w:lineRule="auto"/>
              <w:textAlignment w:val="baseline"/>
              <w:rPr>
                <w:rFonts w:ascii="Arial" w:eastAsia="Calibri" w:hAnsi="Arial" w:cs="Arial"/>
                <w:kern w:val="0"/>
                <w14:ligatures w14:val="none"/>
              </w:rPr>
            </w:pPr>
            <w:r w:rsidRPr="001845AA">
              <w:rPr>
                <w:rFonts w:ascii="Arial" w:eastAsia="Calibri" w:hAnsi="Arial" w:cs="Arial"/>
                <w:kern w:val="0"/>
                <w14:ligatures w14:val="none"/>
              </w:rPr>
              <w:t xml:space="preserve">   Other losses (£'000)</w:t>
            </w:r>
          </w:p>
        </w:tc>
        <w:tc>
          <w:tcPr>
            <w:tcW w:w="2126" w:type="dxa"/>
          </w:tcPr>
          <w:p w14:paraId="2FA4CA01" w14:textId="77777777" w:rsidR="000F3972" w:rsidRPr="001845AA" w:rsidRDefault="000F3972" w:rsidP="000F3972">
            <w:pPr>
              <w:suppressAutoHyphens/>
              <w:autoSpaceDN w:val="0"/>
              <w:spacing w:line="240" w:lineRule="auto"/>
              <w:jc w:val="right"/>
              <w:textAlignment w:val="baseline"/>
              <w:rPr>
                <w:rFonts w:ascii="Arial" w:eastAsia="Times New Roman" w:hAnsi="Arial" w:cs="Arial"/>
                <w:color w:val="000000"/>
                <w:kern w:val="0"/>
                <w:lang w:eastAsia="en-GB"/>
                <w14:ligatures w14:val="none"/>
              </w:rPr>
            </w:pPr>
            <w:r w:rsidRPr="001845AA">
              <w:rPr>
                <w:rFonts w:ascii="Arial" w:eastAsia="Calibri" w:hAnsi="Arial" w:cs="Arial"/>
                <w:kern w:val="0"/>
                <w14:ligatures w14:val="none"/>
              </w:rPr>
              <w:t xml:space="preserve">343 </w:t>
            </w:r>
          </w:p>
        </w:tc>
        <w:tc>
          <w:tcPr>
            <w:tcW w:w="2127" w:type="dxa"/>
          </w:tcPr>
          <w:p w14:paraId="5FE647D3" w14:textId="77777777" w:rsidR="000F3972" w:rsidRPr="001845AA" w:rsidRDefault="000F3972" w:rsidP="000F3972">
            <w:pPr>
              <w:suppressAutoHyphens/>
              <w:autoSpaceDN w:val="0"/>
              <w:spacing w:line="240" w:lineRule="auto"/>
              <w:jc w:val="right"/>
              <w:textAlignment w:val="baseline"/>
              <w:rPr>
                <w:rFonts w:ascii="Arial" w:eastAsia="Calibri" w:hAnsi="Arial" w:cs="Arial"/>
                <w:color w:val="000000"/>
                <w:kern w:val="0"/>
                <w14:ligatures w14:val="none"/>
              </w:rPr>
            </w:pPr>
            <w:r w:rsidRPr="001845AA">
              <w:rPr>
                <w:rFonts w:ascii="Arial" w:eastAsia="Times New Roman" w:hAnsi="Arial" w:cs="Arial"/>
                <w:color w:val="000000"/>
                <w:kern w:val="0"/>
                <w:lang w:eastAsia="en-GB"/>
                <w14:ligatures w14:val="none"/>
              </w:rPr>
              <w:t>3,558</w:t>
            </w:r>
          </w:p>
        </w:tc>
      </w:tr>
      <w:tr w:rsidR="000F3972" w:rsidRPr="000F3972" w14:paraId="3C7F1014" w14:textId="77777777">
        <w:trPr>
          <w:trHeight w:val="283"/>
        </w:trPr>
        <w:tc>
          <w:tcPr>
            <w:tcW w:w="4673" w:type="dxa"/>
            <w:shd w:val="clear" w:color="auto" w:fill="DCE6F1"/>
            <w:noWrap/>
            <w:vAlign w:val="bottom"/>
          </w:tcPr>
          <w:p w14:paraId="60327230" w14:textId="77777777" w:rsidR="000F3972" w:rsidRPr="001845AA" w:rsidRDefault="000F3972" w:rsidP="000F3972">
            <w:pPr>
              <w:suppressAutoHyphens/>
              <w:autoSpaceDN w:val="0"/>
              <w:spacing w:line="254" w:lineRule="auto"/>
              <w:textAlignment w:val="baseline"/>
              <w:rPr>
                <w:rFonts w:ascii="Arial" w:eastAsia="Calibri" w:hAnsi="Arial" w:cs="Arial"/>
                <w:b/>
                <w:bCs/>
                <w:kern w:val="0"/>
                <w14:ligatures w14:val="none"/>
              </w:rPr>
            </w:pPr>
            <w:r w:rsidRPr="001845AA">
              <w:rPr>
                <w:rFonts w:ascii="Arial" w:eastAsia="Calibri" w:hAnsi="Arial" w:cs="Arial"/>
                <w:b/>
                <w:bCs/>
                <w:kern w:val="0"/>
                <w14:ligatures w14:val="none"/>
              </w:rPr>
              <w:t>Total value of losses (£'000)</w:t>
            </w:r>
          </w:p>
        </w:tc>
        <w:tc>
          <w:tcPr>
            <w:tcW w:w="2126" w:type="dxa"/>
          </w:tcPr>
          <w:p w14:paraId="0A537F3F" w14:textId="4EBE046F" w:rsidR="000F3972" w:rsidRPr="001845AA" w:rsidRDefault="000F3972" w:rsidP="000F3972">
            <w:pPr>
              <w:suppressAutoHyphens/>
              <w:autoSpaceDN w:val="0"/>
              <w:spacing w:line="240" w:lineRule="auto"/>
              <w:jc w:val="right"/>
              <w:textAlignment w:val="baseline"/>
              <w:rPr>
                <w:rFonts w:ascii="Arial" w:eastAsia="Times New Roman" w:hAnsi="Arial" w:cs="Arial"/>
                <w:b/>
                <w:bCs/>
                <w:color w:val="000000"/>
                <w:kern w:val="0"/>
                <w:lang w:eastAsia="en-GB"/>
                <w14:ligatures w14:val="none"/>
              </w:rPr>
            </w:pPr>
            <w:r w:rsidRPr="001845AA">
              <w:rPr>
                <w:rFonts w:ascii="Arial" w:eastAsia="Calibri" w:hAnsi="Arial" w:cs="Arial"/>
                <w:b/>
                <w:bCs/>
                <w:kern w:val="0"/>
                <w14:ligatures w14:val="none"/>
              </w:rPr>
              <w:t>454,</w:t>
            </w:r>
            <w:r w:rsidR="000E1220">
              <w:rPr>
                <w:rFonts w:ascii="Arial" w:eastAsia="Calibri" w:hAnsi="Arial" w:cs="Arial"/>
                <w:b/>
                <w:bCs/>
                <w:kern w:val="0"/>
                <w14:ligatures w14:val="none"/>
              </w:rPr>
              <w:t>708</w:t>
            </w:r>
            <w:r w:rsidRPr="001845AA">
              <w:rPr>
                <w:rFonts w:ascii="Arial" w:eastAsia="Calibri" w:hAnsi="Arial" w:cs="Arial"/>
                <w:b/>
                <w:bCs/>
                <w:kern w:val="0"/>
                <w14:ligatures w14:val="none"/>
              </w:rPr>
              <w:t xml:space="preserve"> </w:t>
            </w:r>
          </w:p>
        </w:tc>
        <w:tc>
          <w:tcPr>
            <w:tcW w:w="2127" w:type="dxa"/>
          </w:tcPr>
          <w:p w14:paraId="40454544" w14:textId="77777777" w:rsidR="000F3972" w:rsidRPr="001845AA" w:rsidRDefault="000F3972" w:rsidP="000F3972">
            <w:pPr>
              <w:suppressAutoHyphens/>
              <w:autoSpaceDN w:val="0"/>
              <w:spacing w:line="240" w:lineRule="auto"/>
              <w:jc w:val="right"/>
              <w:textAlignment w:val="baseline"/>
              <w:rPr>
                <w:rFonts w:ascii="Arial" w:eastAsia="Calibri" w:hAnsi="Arial" w:cs="Arial"/>
                <w:b/>
                <w:bCs/>
                <w:color w:val="000000"/>
                <w:kern w:val="0"/>
                <w14:ligatures w14:val="none"/>
              </w:rPr>
            </w:pPr>
            <w:r w:rsidRPr="001845AA">
              <w:rPr>
                <w:rFonts w:ascii="Arial" w:eastAsia="Times New Roman" w:hAnsi="Arial" w:cs="Arial"/>
                <w:b/>
                <w:bCs/>
                <w:color w:val="000000"/>
                <w:kern w:val="0"/>
                <w:lang w:eastAsia="en-GB"/>
                <w14:ligatures w14:val="none"/>
              </w:rPr>
              <w:t>266,687</w:t>
            </w:r>
          </w:p>
        </w:tc>
      </w:tr>
    </w:tbl>
    <w:p w14:paraId="7198A8F4" w14:textId="77777777" w:rsidR="000F3972" w:rsidRPr="000F3972" w:rsidRDefault="000F3972" w:rsidP="000F3972">
      <w:pPr>
        <w:suppressAutoHyphens/>
        <w:autoSpaceDE w:val="0"/>
        <w:autoSpaceDN w:val="0"/>
        <w:spacing w:after="0" w:line="276" w:lineRule="auto"/>
        <w:textAlignment w:val="baseline"/>
        <w:rPr>
          <w:rFonts w:ascii="Arial" w:eastAsia="Calibri" w:hAnsi="Arial" w:cs="Arial"/>
          <w:kern w:val="0"/>
          <w:sz w:val="24"/>
          <w:szCs w:val="24"/>
          <w14:ligatures w14:val="none"/>
        </w:rPr>
      </w:pPr>
    </w:p>
    <w:p w14:paraId="089682BE" w14:textId="512947DD" w:rsidR="000F3972" w:rsidRPr="000F3972" w:rsidRDefault="000F3972" w:rsidP="000F3972">
      <w:pPr>
        <w:suppressAutoHyphens/>
        <w:autoSpaceDE w:val="0"/>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color w:val="000000"/>
          <w:kern w:val="0"/>
          <w:sz w:val="24"/>
          <w:szCs w:val="24"/>
          <w14:ligatures w14:val="none"/>
        </w:rPr>
        <w:t xml:space="preserve">Losses are any cash losses, claims abandoned and fruitless payments which have been made within the year. There were no losses with an individual value of more than £300k during the year </w:t>
      </w:r>
      <w:r w:rsidRPr="000F3972">
        <w:rPr>
          <w:rFonts w:ascii="Arial" w:eastAsia="Calibri" w:hAnsi="Arial" w:cs="Arial"/>
          <w:kern w:val="0"/>
          <w:sz w:val="24"/>
          <w:szCs w:val="24"/>
          <w14:ligatures w14:val="none"/>
        </w:rPr>
        <w:t>(202</w:t>
      </w:r>
      <w:r w:rsidR="009177F8">
        <w:rPr>
          <w:rFonts w:ascii="Arial" w:eastAsia="Calibri" w:hAnsi="Arial" w:cs="Arial"/>
          <w:kern w:val="0"/>
          <w:sz w:val="24"/>
          <w:szCs w:val="24"/>
          <w14:ligatures w14:val="none"/>
        </w:rPr>
        <w:t>2</w:t>
      </w:r>
      <w:r w:rsidRPr="000F3972">
        <w:rPr>
          <w:rFonts w:ascii="Arial" w:eastAsia="Calibri" w:hAnsi="Arial" w:cs="Arial"/>
          <w:kern w:val="0"/>
          <w:sz w:val="24"/>
          <w:szCs w:val="24"/>
          <w14:ligatures w14:val="none"/>
        </w:rPr>
        <w:t>-2</w:t>
      </w:r>
      <w:r w:rsidR="009177F8">
        <w:rPr>
          <w:rFonts w:ascii="Arial" w:eastAsia="Calibri" w:hAnsi="Arial" w:cs="Arial"/>
          <w:kern w:val="0"/>
          <w:sz w:val="24"/>
          <w:szCs w:val="24"/>
          <w14:ligatures w14:val="none"/>
        </w:rPr>
        <w:t>3</w:t>
      </w:r>
      <w:r w:rsidRPr="000F3972">
        <w:rPr>
          <w:rFonts w:ascii="Arial" w:eastAsia="Calibri" w:hAnsi="Arial" w:cs="Arial"/>
          <w:kern w:val="0"/>
          <w:sz w:val="24"/>
          <w:szCs w:val="24"/>
          <w14:ligatures w14:val="none"/>
        </w:rPr>
        <w:t>: one).</w:t>
      </w:r>
    </w:p>
    <w:p w14:paraId="11226E4B" w14:textId="77777777" w:rsidR="000F3972" w:rsidRPr="000F3972" w:rsidRDefault="000F3972" w:rsidP="000F3972">
      <w:pPr>
        <w:suppressAutoHyphens/>
        <w:autoSpaceDE w:val="0"/>
        <w:autoSpaceDN w:val="0"/>
        <w:spacing w:after="0" w:line="276" w:lineRule="auto"/>
        <w:textAlignment w:val="baseline"/>
        <w:rPr>
          <w:rFonts w:ascii="Arial" w:eastAsia="Calibri" w:hAnsi="Arial" w:cs="Arial"/>
          <w:kern w:val="0"/>
          <w:sz w:val="24"/>
          <w:szCs w:val="24"/>
          <w14:ligatures w14:val="none"/>
        </w:rPr>
      </w:pPr>
    </w:p>
    <w:p w14:paraId="76947D23" w14:textId="77777777" w:rsidR="000A49CD" w:rsidRDefault="000A49CD">
      <w:pPr>
        <w:rPr>
          <w:rFonts w:ascii="Arial" w:eastAsia="Calibri" w:hAnsi="Arial" w:cs="Arial"/>
          <w:color w:val="000000"/>
          <w:kern w:val="0"/>
          <w:sz w:val="24"/>
          <w:szCs w:val="24"/>
          <w14:ligatures w14:val="none"/>
        </w:rPr>
      </w:pPr>
      <w:r>
        <w:rPr>
          <w:rFonts w:ascii="Arial" w:eastAsia="Calibri" w:hAnsi="Arial" w:cs="Arial"/>
          <w:color w:val="000000"/>
          <w:kern w:val="0"/>
          <w:sz w:val="24"/>
          <w:szCs w:val="24"/>
          <w14:ligatures w14:val="none"/>
        </w:rPr>
        <w:br w:type="page"/>
      </w:r>
    </w:p>
    <w:p w14:paraId="70EE00B8" w14:textId="4A92A36E" w:rsidR="000F3972" w:rsidRPr="000F3972" w:rsidRDefault="000F3972" w:rsidP="000F3972">
      <w:pPr>
        <w:suppressAutoHyphens/>
        <w:autoSpaceDE w:val="0"/>
        <w:autoSpaceDN w:val="0"/>
        <w:spacing w:after="0" w:line="276" w:lineRule="auto"/>
        <w:textAlignment w:val="baseline"/>
        <w:rPr>
          <w:rFonts w:ascii="Arial" w:eastAsia="Calibri" w:hAnsi="Arial" w:cs="Arial"/>
          <w:color w:val="000000"/>
          <w:kern w:val="0"/>
          <w:sz w:val="24"/>
          <w:szCs w:val="24"/>
          <w14:ligatures w14:val="none"/>
        </w:rPr>
      </w:pPr>
      <w:r w:rsidRPr="000F3972">
        <w:rPr>
          <w:rFonts w:ascii="Arial" w:eastAsia="Calibri" w:hAnsi="Arial" w:cs="Arial"/>
          <w:color w:val="000000"/>
          <w:kern w:val="0"/>
          <w:sz w:val="24"/>
          <w:szCs w:val="24"/>
          <w14:ligatures w14:val="none"/>
        </w:rPr>
        <w:lastRenderedPageBreak/>
        <w:t>The RPS receivable loss shown above relates to the expected loss on Redundancy Payments Service included during the year. Most of the redundancy payments made from the National Insurance Fund (NIF) are in respect of employees of insolvent companies. Repayment of debt is recovered from the sale of the assets of the insolvent company, and as such most of the debt is irrecoverable. HMRC records the impairment of the RPS receivable in NIF accounts. Dividends from insolvencies can take many years to come to fruition, hence it is difficult to evaluate individual debtor losses within a given financial year. However, work is being performed to enable the value of all those debts which reached final loss stage to be estimated in the future.</w:t>
      </w:r>
    </w:p>
    <w:p w14:paraId="759E8C00" w14:textId="77777777" w:rsidR="000F3972" w:rsidRPr="000F3972" w:rsidRDefault="000F3972" w:rsidP="000F3972">
      <w:pPr>
        <w:suppressAutoHyphens/>
        <w:autoSpaceDE w:val="0"/>
        <w:autoSpaceDN w:val="0"/>
        <w:spacing w:after="0" w:line="276" w:lineRule="auto"/>
        <w:textAlignment w:val="baseline"/>
        <w:rPr>
          <w:rFonts w:ascii="Arial" w:eastAsia="Calibri" w:hAnsi="Arial" w:cs="Arial"/>
          <w:kern w:val="0"/>
          <w:sz w:val="24"/>
          <w:szCs w:val="24"/>
          <w14:ligatures w14:val="none"/>
        </w:rPr>
      </w:pPr>
    </w:p>
    <w:p w14:paraId="5E6DD143" w14:textId="77777777" w:rsidR="000F3972" w:rsidRPr="000F3972" w:rsidRDefault="000F3972" w:rsidP="00E87AB9">
      <w:pPr>
        <w:keepNext/>
        <w:keepLines/>
        <w:numPr>
          <w:ilvl w:val="3"/>
          <w:numId w:val="0"/>
        </w:numPr>
        <w:outlineLvl w:val="3"/>
        <w:rPr>
          <w:rFonts w:ascii="Arial" w:eastAsia="Calibri" w:hAnsi="Arial" w:cs="Arial"/>
          <w:b/>
          <w:bCs/>
          <w:kern w:val="0"/>
          <w:sz w:val="24"/>
          <w:szCs w:val="24"/>
          <w14:ligatures w14:val="none"/>
        </w:rPr>
      </w:pPr>
      <w:r w:rsidRPr="000F3972">
        <w:rPr>
          <w:rFonts w:ascii="Arial" w:hAnsi="Arial" w:cs="Arial"/>
          <w:b/>
          <w:bCs/>
          <w:kern w:val="0"/>
          <w:sz w:val="24"/>
          <w:szCs w:val="24"/>
          <w14:ligatures w14:val="none"/>
        </w:rPr>
        <w:t>Special Payments (audited)</w:t>
      </w:r>
    </w:p>
    <w:p w14:paraId="3601DB85" w14:textId="77777777" w:rsidR="000F3972" w:rsidRPr="000F3972" w:rsidRDefault="000F3972" w:rsidP="000F3972">
      <w:pPr>
        <w:suppressAutoHyphens/>
        <w:autoSpaceDE w:val="0"/>
        <w:autoSpaceDN w:val="0"/>
        <w:spacing w:after="0" w:line="276" w:lineRule="auto"/>
        <w:textAlignment w:val="baseline"/>
        <w:rPr>
          <w:rFonts w:ascii="Arial" w:eastAsia="Calibri" w:hAnsi="Arial" w:cs="Arial"/>
          <w:kern w:val="0"/>
          <w:sz w:val="24"/>
          <w:szCs w:val="24"/>
          <w14:ligatures w14:val="none"/>
        </w:rPr>
      </w:pPr>
    </w:p>
    <w:tbl>
      <w:tblPr>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126"/>
        <w:gridCol w:w="2127"/>
      </w:tblGrid>
      <w:tr w:rsidR="000F3972" w:rsidRPr="000F3972" w14:paraId="126DBE90" w14:textId="77777777">
        <w:trPr>
          <w:trHeight w:val="283"/>
        </w:trPr>
        <w:tc>
          <w:tcPr>
            <w:tcW w:w="4673" w:type="dxa"/>
            <w:shd w:val="clear" w:color="auto" w:fill="DCE6F1"/>
            <w:noWrap/>
          </w:tcPr>
          <w:p w14:paraId="004F518A" w14:textId="77777777" w:rsidR="000F3972" w:rsidRPr="000F3972" w:rsidRDefault="000F3972" w:rsidP="000F3972">
            <w:pPr>
              <w:suppressAutoHyphens/>
              <w:autoSpaceDN w:val="0"/>
              <w:spacing w:after="0" w:line="254" w:lineRule="auto"/>
              <w:textAlignment w:val="baseline"/>
              <w:rPr>
                <w:rFonts w:ascii="Arial" w:eastAsia="Times New Roman" w:hAnsi="Arial" w:cs="Arial"/>
                <w:b/>
                <w:bCs/>
                <w:color w:val="000000"/>
                <w:kern w:val="0"/>
                <w:lang w:eastAsia="en-GB"/>
                <w14:ligatures w14:val="none"/>
              </w:rPr>
            </w:pPr>
          </w:p>
        </w:tc>
        <w:tc>
          <w:tcPr>
            <w:tcW w:w="2126" w:type="dxa"/>
            <w:shd w:val="clear" w:color="auto" w:fill="DCE6F1"/>
          </w:tcPr>
          <w:p w14:paraId="7DF7D4E6" w14:textId="77777777" w:rsidR="000F3972" w:rsidRPr="000F3972" w:rsidRDefault="000F3972" w:rsidP="000F3972">
            <w:pPr>
              <w:suppressAutoHyphens/>
              <w:autoSpaceDN w:val="0"/>
              <w:spacing w:line="240" w:lineRule="auto"/>
              <w:jc w:val="right"/>
              <w:textAlignment w:val="baseline"/>
              <w:rPr>
                <w:rFonts w:ascii="Arial" w:eastAsia="Calibri" w:hAnsi="Arial" w:cs="Arial"/>
                <w:b/>
                <w:bCs/>
                <w:kern w:val="0"/>
                <w14:ligatures w14:val="none"/>
              </w:rPr>
            </w:pPr>
            <w:r w:rsidRPr="000F3972">
              <w:rPr>
                <w:rFonts w:ascii="Arial" w:eastAsia="Times New Roman" w:hAnsi="Arial" w:cs="Arial"/>
                <w:b/>
                <w:bCs/>
                <w:color w:val="000000"/>
                <w:kern w:val="0"/>
                <w:lang w:eastAsia="en-GB"/>
                <w14:ligatures w14:val="none"/>
              </w:rPr>
              <w:t>2023-24</w:t>
            </w:r>
          </w:p>
        </w:tc>
        <w:tc>
          <w:tcPr>
            <w:tcW w:w="2127" w:type="dxa"/>
            <w:shd w:val="clear" w:color="auto" w:fill="DCE6F1"/>
          </w:tcPr>
          <w:p w14:paraId="27AF7D7C" w14:textId="77777777" w:rsidR="000F3972" w:rsidRPr="000F3972" w:rsidRDefault="000F3972" w:rsidP="000F3972">
            <w:pPr>
              <w:suppressAutoHyphens/>
              <w:autoSpaceDN w:val="0"/>
              <w:spacing w:after="0" w:line="240" w:lineRule="auto"/>
              <w:jc w:val="right"/>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2022-23</w:t>
            </w:r>
          </w:p>
        </w:tc>
      </w:tr>
      <w:tr w:rsidR="000F3972" w:rsidRPr="000F3972" w14:paraId="5361894D" w14:textId="77777777">
        <w:trPr>
          <w:trHeight w:val="283"/>
        </w:trPr>
        <w:tc>
          <w:tcPr>
            <w:tcW w:w="4673" w:type="dxa"/>
            <w:shd w:val="clear" w:color="auto" w:fill="DCE6F1"/>
            <w:noWrap/>
            <w:vAlign w:val="bottom"/>
          </w:tcPr>
          <w:p w14:paraId="17345CDA" w14:textId="77777777" w:rsidR="000F3972" w:rsidRPr="000F3972" w:rsidRDefault="000F3972" w:rsidP="000F3972">
            <w:pPr>
              <w:suppressAutoHyphens/>
              <w:autoSpaceDN w:val="0"/>
              <w:spacing w:line="254" w:lineRule="auto"/>
              <w:textAlignment w:val="baseline"/>
              <w:rPr>
                <w:rFonts w:ascii="Arial" w:eastAsia="Calibri" w:hAnsi="Arial" w:cs="Arial"/>
                <w:b/>
                <w:bCs/>
                <w:kern w:val="0"/>
                <w14:ligatures w14:val="none"/>
              </w:rPr>
            </w:pPr>
            <w:r w:rsidRPr="000F3972">
              <w:rPr>
                <w:rFonts w:ascii="Arial" w:eastAsia="Calibri" w:hAnsi="Arial" w:cs="Arial"/>
                <w:b/>
                <w:bCs/>
                <w:kern w:val="0"/>
                <w14:ligatures w14:val="none"/>
              </w:rPr>
              <w:t>Total number of special payments</w:t>
            </w:r>
          </w:p>
        </w:tc>
        <w:tc>
          <w:tcPr>
            <w:tcW w:w="2126" w:type="dxa"/>
          </w:tcPr>
          <w:p w14:paraId="4EDAD60F" w14:textId="77777777" w:rsidR="000F3972" w:rsidRPr="0014396F" w:rsidRDefault="000F3972" w:rsidP="000F3972">
            <w:pPr>
              <w:suppressAutoHyphens/>
              <w:autoSpaceDN w:val="0"/>
              <w:spacing w:line="240" w:lineRule="auto"/>
              <w:jc w:val="right"/>
              <w:textAlignment w:val="baseline"/>
              <w:rPr>
                <w:rFonts w:ascii="Arial" w:eastAsia="Times New Roman" w:hAnsi="Arial" w:cs="Arial"/>
                <w:b/>
                <w:bCs/>
                <w:color w:val="000000"/>
                <w:kern w:val="0"/>
                <w:lang w:eastAsia="en-GB"/>
                <w14:ligatures w14:val="none"/>
              </w:rPr>
            </w:pPr>
            <w:r w:rsidRPr="0014396F">
              <w:rPr>
                <w:rFonts w:ascii="Arial" w:eastAsia="Calibri" w:hAnsi="Arial" w:cs="Arial"/>
                <w:b/>
                <w:bCs/>
                <w:kern w:val="0"/>
                <w14:ligatures w14:val="none"/>
              </w:rPr>
              <w:t>23</w:t>
            </w:r>
          </w:p>
        </w:tc>
        <w:tc>
          <w:tcPr>
            <w:tcW w:w="2127" w:type="dxa"/>
          </w:tcPr>
          <w:p w14:paraId="3C52E680" w14:textId="77777777" w:rsidR="000F3972" w:rsidRPr="0014396F" w:rsidRDefault="000F3972" w:rsidP="000F3972">
            <w:pPr>
              <w:suppressAutoHyphens/>
              <w:autoSpaceDN w:val="0"/>
              <w:spacing w:line="240" w:lineRule="auto"/>
              <w:jc w:val="right"/>
              <w:textAlignment w:val="baseline"/>
              <w:rPr>
                <w:rFonts w:ascii="Arial" w:eastAsia="Calibri" w:hAnsi="Arial" w:cs="Arial"/>
                <w:b/>
                <w:bCs/>
                <w:color w:val="000000"/>
                <w:kern w:val="0"/>
                <w14:ligatures w14:val="none"/>
              </w:rPr>
            </w:pPr>
            <w:r w:rsidRPr="0014396F">
              <w:rPr>
                <w:rFonts w:ascii="Arial" w:eastAsia="Times New Roman" w:hAnsi="Arial" w:cs="Arial"/>
                <w:b/>
                <w:bCs/>
                <w:color w:val="000000"/>
                <w:kern w:val="0"/>
                <w:lang w:eastAsia="en-GB"/>
                <w14:ligatures w14:val="none"/>
              </w:rPr>
              <w:t>31</w:t>
            </w:r>
          </w:p>
        </w:tc>
      </w:tr>
      <w:tr w:rsidR="000F3972" w:rsidRPr="000F3972" w14:paraId="138AAA86" w14:textId="77777777">
        <w:trPr>
          <w:trHeight w:val="283"/>
        </w:trPr>
        <w:tc>
          <w:tcPr>
            <w:tcW w:w="4673" w:type="dxa"/>
            <w:shd w:val="clear" w:color="auto" w:fill="DCE6F1"/>
            <w:noWrap/>
            <w:vAlign w:val="bottom"/>
          </w:tcPr>
          <w:p w14:paraId="5FDD2FC7" w14:textId="77777777" w:rsidR="000F3972" w:rsidRPr="000F3972" w:rsidRDefault="000F3972" w:rsidP="000F3972">
            <w:pPr>
              <w:suppressAutoHyphens/>
              <w:autoSpaceDN w:val="0"/>
              <w:spacing w:line="254" w:lineRule="auto"/>
              <w:textAlignment w:val="baseline"/>
              <w:rPr>
                <w:rFonts w:ascii="Arial" w:eastAsia="Calibri" w:hAnsi="Arial" w:cs="Arial"/>
                <w:b/>
                <w:bCs/>
                <w:kern w:val="0"/>
                <w14:ligatures w14:val="none"/>
              </w:rPr>
            </w:pPr>
            <w:r w:rsidRPr="000F3972">
              <w:rPr>
                <w:rFonts w:ascii="Arial" w:eastAsia="Calibri" w:hAnsi="Arial" w:cs="Arial"/>
                <w:b/>
                <w:bCs/>
                <w:kern w:val="0"/>
                <w14:ligatures w14:val="none"/>
              </w:rPr>
              <w:t>Total value of special payments (£'000)</w:t>
            </w:r>
          </w:p>
        </w:tc>
        <w:tc>
          <w:tcPr>
            <w:tcW w:w="2126" w:type="dxa"/>
          </w:tcPr>
          <w:p w14:paraId="437ED935" w14:textId="77777777" w:rsidR="000F3972" w:rsidRPr="0014396F" w:rsidRDefault="000F3972" w:rsidP="000F3972">
            <w:pPr>
              <w:suppressAutoHyphens/>
              <w:autoSpaceDN w:val="0"/>
              <w:spacing w:line="240" w:lineRule="auto"/>
              <w:jc w:val="right"/>
              <w:textAlignment w:val="baseline"/>
              <w:rPr>
                <w:rFonts w:ascii="Arial" w:eastAsia="Times New Roman" w:hAnsi="Arial" w:cs="Arial"/>
                <w:b/>
                <w:bCs/>
                <w:color w:val="000000"/>
                <w:kern w:val="0"/>
                <w:lang w:eastAsia="en-GB"/>
                <w14:ligatures w14:val="none"/>
              </w:rPr>
            </w:pPr>
            <w:r w:rsidRPr="0014396F">
              <w:rPr>
                <w:rFonts w:ascii="Arial" w:eastAsia="Calibri" w:hAnsi="Arial" w:cs="Arial"/>
                <w:b/>
                <w:bCs/>
                <w:kern w:val="0"/>
                <w14:ligatures w14:val="none"/>
              </w:rPr>
              <w:t xml:space="preserve">3 </w:t>
            </w:r>
          </w:p>
        </w:tc>
        <w:tc>
          <w:tcPr>
            <w:tcW w:w="2127" w:type="dxa"/>
          </w:tcPr>
          <w:p w14:paraId="745FA004" w14:textId="77777777" w:rsidR="000F3972" w:rsidRPr="0014396F" w:rsidRDefault="000F3972" w:rsidP="000F3972">
            <w:pPr>
              <w:suppressAutoHyphens/>
              <w:autoSpaceDN w:val="0"/>
              <w:spacing w:line="240" w:lineRule="auto"/>
              <w:jc w:val="right"/>
              <w:textAlignment w:val="baseline"/>
              <w:rPr>
                <w:rFonts w:ascii="Arial" w:eastAsia="Calibri" w:hAnsi="Arial" w:cs="Arial"/>
                <w:b/>
                <w:bCs/>
                <w:color w:val="000000"/>
                <w:kern w:val="0"/>
                <w14:ligatures w14:val="none"/>
              </w:rPr>
            </w:pPr>
            <w:r w:rsidRPr="0014396F">
              <w:rPr>
                <w:rFonts w:ascii="Arial" w:eastAsia="Times New Roman" w:hAnsi="Arial" w:cs="Arial"/>
                <w:b/>
                <w:bCs/>
                <w:color w:val="000000"/>
                <w:kern w:val="0"/>
                <w:lang w:eastAsia="en-GB"/>
                <w14:ligatures w14:val="none"/>
              </w:rPr>
              <w:t>4</w:t>
            </w:r>
          </w:p>
        </w:tc>
      </w:tr>
    </w:tbl>
    <w:p w14:paraId="49BC8DE7" w14:textId="77777777" w:rsidR="000F3972" w:rsidRPr="000F3972" w:rsidRDefault="000F3972" w:rsidP="000F3972">
      <w:pPr>
        <w:suppressAutoHyphens/>
        <w:autoSpaceDE w:val="0"/>
        <w:autoSpaceDN w:val="0"/>
        <w:spacing w:after="0" w:line="276" w:lineRule="auto"/>
        <w:textAlignment w:val="baseline"/>
        <w:rPr>
          <w:rFonts w:ascii="Arial" w:eastAsia="Calibri" w:hAnsi="Arial" w:cs="Arial"/>
          <w:kern w:val="0"/>
          <w:sz w:val="24"/>
          <w:szCs w:val="24"/>
          <w14:ligatures w14:val="none"/>
        </w:rPr>
      </w:pPr>
    </w:p>
    <w:p w14:paraId="619CABBC" w14:textId="04034B5C" w:rsidR="000F3972" w:rsidRPr="000F3972" w:rsidRDefault="000F3972" w:rsidP="000F3972">
      <w:pPr>
        <w:suppressAutoHyphens/>
        <w:autoSpaceDE w:val="0"/>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color w:val="000000"/>
          <w:kern w:val="0"/>
          <w:sz w:val="24"/>
          <w:szCs w:val="24"/>
          <w14:ligatures w14:val="none"/>
        </w:rPr>
        <w:t xml:space="preserve">There were no special payments with an individual value of more than £300k during the year </w:t>
      </w:r>
      <w:r w:rsidRPr="000F3972">
        <w:rPr>
          <w:rFonts w:ascii="Arial" w:eastAsia="Calibri" w:hAnsi="Arial" w:cs="Arial"/>
          <w:kern w:val="0"/>
          <w:sz w:val="24"/>
          <w:szCs w:val="24"/>
          <w14:ligatures w14:val="none"/>
        </w:rPr>
        <w:t>(202</w:t>
      </w:r>
      <w:r w:rsidR="009177F8">
        <w:rPr>
          <w:rFonts w:ascii="Arial" w:eastAsia="Calibri" w:hAnsi="Arial" w:cs="Arial"/>
          <w:kern w:val="0"/>
          <w:sz w:val="24"/>
          <w:szCs w:val="24"/>
          <w14:ligatures w14:val="none"/>
        </w:rPr>
        <w:t>2</w:t>
      </w:r>
      <w:r w:rsidRPr="000F3972">
        <w:rPr>
          <w:rFonts w:ascii="Arial" w:eastAsia="Calibri" w:hAnsi="Arial" w:cs="Arial"/>
          <w:kern w:val="0"/>
          <w:sz w:val="24"/>
          <w:szCs w:val="24"/>
          <w14:ligatures w14:val="none"/>
        </w:rPr>
        <w:t>-2</w:t>
      </w:r>
      <w:r w:rsidR="009177F8">
        <w:rPr>
          <w:rFonts w:ascii="Arial" w:eastAsia="Calibri" w:hAnsi="Arial" w:cs="Arial"/>
          <w:kern w:val="0"/>
          <w:sz w:val="24"/>
          <w:szCs w:val="24"/>
          <w14:ligatures w14:val="none"/>
        </w:rPr>
        <w:t>3</w:t>
      </w:r>
      <w:r w:rsidRPr="000F3972">
        <w:rPr>
          <w:rFonts w:ascii="Arial" w:eastAsia="Calibri" w:hAnsi="Arial" w:cs="Arial"/>
          <w:kern w:val="0"/>
          <w:sz w:val="24"/>
          <w:szCs w:val="24"/>
          <w14:ligatures w14:val="none"/>
        </w:rPr>
        <w:t>: None).</w:t>
      </w:r>
    </w:p>
    <w:p w14:paraId="52753CD0" w14:textId="77777777" w:rsidR="000F3972" w:rsidRPr="000F3972" w:rsidRDefault="000F3972" w:rsidP="000F3972">
      <w:pPr>
        <w:suppressAutoHyphens/>
        <w:autoSpaceDE w:val="0"/>
        <w:autoSpaceDN w:val="0"/>
        <w:spacing w:after="0" w:line="276" w:lineRule="auto"/>
        <w:textAlignment w:val="baseline"/>
        <w:rPr>
          <w:rFonts w:ascii="Arial" w:eastAsia="Calibri" w:hAnsi="Arial" w:cs="Arial"/>
          <w:color w:val="000000"/>
          <w:kern w:val="0"/>
          <w:sz w:val="24"/>
          <w:szCs w:val="24"/>
          <w14:ligatures w14:val="none"/>
        </w:rPr>
      </w:pPr>
    </w:p>
    <w:p w14:paraId="76AAD884" w14:textId="77777777" w:rsidR="000F3972" w:rsidRPr="000F3972" w:rsidRDefault="000F3972" w:rsidP="00E87AB9">
      <w:pPr>
        <w:keepNext/>
        <w:keepLines/>
        <w:numPr>
          <w:ilvl w:val="3"/>
          <w:numId w:val="0"/>
        </w:numPr>
        <w:outlineLvl w:val="3"/>
        <w:rPr>
          <w:rFonts w:ascii="Arial" w:eastAsia="Calibri" w:hAnsi="Arial" w:cs="Arial"/>
          <w:b/>
          <w:bCs/>
          <w:kern w:val="0"/>
          <w:sz w:val="24"/>
          <w:szCs w:val="24"/>
          <w14:ligatures w14:val="none"/>
        </w:rPr>
      </w:pPr>
      <w:bookmarkStart w:id="26" w:name="_Hlk43110653"/>
      <w:r w:rsidRPr="000F3972">
        <w:rPr>
          <w:rFonts w:ascii="Arial" w:hAnsi="Arial" w:cs="Arial"/>
          <w:b/>
          <w:bCs/>
          <w:kern w:val="0"/>
          <w:sz w:val="24"/>
          <w:szCs w:val="24"/>
          <w14:ligatures w14:val="none"/>
        </w:rPr>
        <w:t>Fees and charges income (audited)</w:t>
      </w:r>
    </w:p>
    <w:bookmarkEnd w:id="26"/>
    <w:p w14:paraId="28600ABC" w14:textId="57A045A1"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kern w:val="0"/>
          <w:sz w:val="24"/>
          <w:szCs w:val="24"/>
          <w14:ligatures w14:val="none"/>
        </w:rPr>
        <w:t xml:space="preserve">The Agency charges fees for work carried out by the Official Receivers (OR). These fees are set through legislation and are managed by the </w:t>
      </w:r>
      <w:r w:rsidR="1170D26C" w:rsidRPr="000F3972">
        <w:rPr>
          <w:rFonts w:ascii="Arial" w:eastAsia="Calibri" w:hAnsi="Arial" w:cs="Arial"/>
          <w:kern w:val="0"/>
          <w:sz w:val="24"/>
          <w:szCs w:val="24"/>
          <w14:ligatures w14:val="none"/>
        </w:rPr>
        <w:t>A</w:t>
      </w:r>
      <w:r w:rsidRPr="000F3972">
        <w:rPr>
          <w:rFonts w:ascii="Arial" w:eastAsia="Calibri" w:hAnsi="Arial" w:cs="Arial"/>
          <w:kern w:val="0"/>
          <w:sz w:val="24"/>
          <w:szCs w:val="24"/>
          <w14:ligatures w14:val="none"/>
        </w:rPr>
        <w:t xml:space="preserve">gency in accordance with the principles of ‘Managing Public Money’, whereby fees are set to cover full costs including the cost of capital. </w:t>
      </w:r>
    </w:p>
    <w:p w14:paraId="078899AE"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p>
    <w:p w14:paraId="1E7C5159"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kern w:val="0"/>
          <w:sz w:val="24"/>
          <w:szCs w:val="24"/>
          <w14:ligatures w14:val="none"/>
        </w:rPr>
        <w:t>These fees include principally an Administration Fee, General Fee (previously the Secretary of State fee for cases prior to 2016-17), Trustee Liquidator Fee, and a Distribution Fee.</w:t>
      </w:r>
    </w:p>
    <w:p w14:paraId="22499275"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p>
    <w:tbl>
      <w:tblPr>
        <w:tblW w:w="9062" w:type="dxa"/>
        <w:tblLook w:val="04A0" w:firstRow="1" w:lastRow="0" w:firstColumn="1" w:lastColumn="0" w:noHBand="0" w:noVBand="1"/>
      </w:tblPr>
      <w:tblGrid>
        <w:gridCol w:w="2117"/>
        <w:gridCol w:w="2268"/>
        <w:gridCol w:w="2268"/>
        <w:gridCol w:w="2409"/>
      </w:tblGrid>
      <w:tr w:rsidR="000F3972" w:rsidRPr="000F3972" w14:paraId="16443AE7" w14:textId="77777777">
        <w:trPr>
          <w:trHeight w:val="300"/>
        </w:trPr>
        <w:tc>
          <w:tcPr>
            <w:tcW w:w="2117" w:type="dxa"/>
            <w:vMerge w:val="restart"/>
            <w:tcBorders>
              <w:top w:val="single" w:sz="8" w:space="0" w:color="auto"/>
              <w:left w:val="single" w:sz="8" w:space="0" w:color="auto"/>
              <w:bottom w:val="single" w:sz="8" w:space="0" w:color="000000"/>
              <w:right w:val="single" w:sz="8" w:space="0" w:color="auto"/>
              <w:tl2br w:val="single" w:sz="8" w:space="0" w:color="auto"/>
            </w:tcBorders>
            <w:shd w:val="clear" w:color="auto" w:fill="DCE6F1"/>
            <w:vAlign w:val="center"/>
            <w:hideMark/>
          </w:tcPr>
          <w:p w14:paraId="7B846526" w14:textId="77777777" w:rsidR="000F3972" w:rsidRPr="000F3972" w:rsidRDefault="000F3972" w:rsidP="000F3972">
            <w:pPr>
              <w:suppressAutoHyphens/>
              <w:autoSpaceDN w:val="0"/>
              <w:spacing w:after="0" w:line="240" w:lineRule="auto"/>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 xml:space="preserve">                          Fee         </w:t>
            </w:r>
            <w:r w:rsidRPr="000F3972">
              <w:rPr>
                <w:rFonts w:ascii="Arial" w:eastAsia="Times New Roman" w:hAnsi="Arial" w:cs="Arial"/>
                <w:b/>
                <w:bCs/>
                <w:color w:val="000000"/>
                <w:kern w:val="0"/>
                <w:lang w:eastAsia="en-GB"/>
                <w14:ligatures w14:val="none"/>
              </w:rPr>
              <w:br/>
              <w:t>Case</w:t>
            </w:r>
          </w:p>
        </w:tc>
        <w:tc>
          <w:tcPr>
            <w:tcW w:w="2268" w:type="dxa"/>
            <w:tcBorders>
              <w:top w:val="single" w:sz="8" w:space="0" w:color="auto"/>
              <w:left w:val="nil"/>
              <w:bottom w:val="nil"/>
              <w:right w:val="single" w:sz="8" w:space="0" w:color="auto"/>
            </w:tcBorders>
            <w:shd w:val="clear" w:color="auto" w:fill="DCE6F1"/>
            <w:noWrap/>
            <w:vAlign w:val="center"/>
            <w:hideMark/>
          </w:tcPr>
          <w:p w14:paraId="21294A0F"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Administration</w:t>
            </w:r>
          </w:p>
        </w:tc>
        <w:tc>
          <w:tcPr>
            <w:tcW w:w="2268" w:type="dxa"/>
            <w:tcBorders>
              <w:top w:val="single" w:sz="8" w:space="0" w:color="auto"/>
              <w:left w:val="nil"/>
              <w:bottom w:val="nil"/>
              <w:right w:val="single" w:sz="8" w:space="0" w:color="auto"/>
            </w:tcBorders>
            <w:shd w:val="clear" w:color="auto" w:fill="DCE6F1"/>
            <w:noWrap/>
            <w:vAlign w:val="center"/>
            <w:hideMark/>
          </w:tcPr>
          <w:p w14:paraId="480AE09D"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General</w:t>
            </w:r>
          </w:p>
        </w:tc>
        <w:tc>
          <w:tcPr>
            <w:tcW w:w="2409" w:type="dxa"/>
            <w:tcBorders>
              <w:top w:val="single" w:sz="8" w:space="0" w:color="auto"/>
              <w:left w:val="nil"/>
              <w:bottom w:val="nil"/>
              <w:right w:val="single" w:sz="8" w:space="0" w:color="auto"/>
            </w:tcBorders>
            <w:shd w:val="clear" w:color="auto" w:fill="DCE6F1"/>
            <w:noWrap/>
            <w:vAlign w:val="center"/>
            <w:hideMark/>
          </w:tcPr>
          <w:p w14:paraId="6457C598"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Total</w:t>
            </w:r>
          </w:p>
        </w:tc>
      </w:tr>
      <w:tr w:rsidR="000F3972" w:rsidRPr="000F3972" w14:paraId="439627DA" w14:textId="77777777">
        <w:trPr>
          <w:trHeight w:val="315"/>
        </w:trPr>
        <w:tc>
          <w:tcPr>
            <w:tcW w:w="2117" w:type="dxa"/>
            <w:vMerge/>
            <w:tcBorders>
              <w:top w:val="single" w:sz="8" w:space="0" w:color="auto"/>
              <w:left w:val="single" w:sz="8" w:space="0" w:color="auto"/>
              <w:bottom w:val="single" w:sz="8" w:space="0" w:color="000000"/>
              <w:right w:val="single" w:sz="8" w:space="0" w:color="auto"/>
            </w:tcBorders>
            <w:shd w:val="clear" w:color="auto" w:fill="DCE6F1"/>
            <w:vAlign w:val="center"/>
            <w:hideMark/>
          </w:tcPr>
          <w:p w14:paraId="52946BDC" w14:textId="77777777" w:rsidR="000F3972" w:rsidRPr="000F3972" w:rsidRDefault="000F3972" w:rsidP="000F3972">
            <w:pPr>
              <w:suppressAutoHyphens/>
              <w:autoSpaceDN w:val="0"/>
              <w:spacing w:after="0" w:line="240" w:lineRule="auto"/>
              <w:textAlignment w:val="baseline"/>
              <w:rPr>
                <w:rFonts w:ascii="Arial" w:eastAsia="Times New Roman" w:hAnsi="Arial" w:cs="Arial"/>
                <w:color w:val="000000"/>
                <w:kern w:val="0"/>
                <w:lang w:eastAsia="en-GB"/>
                <w14:ligatures w14:val="none"/>
              </w:rPr>
            </w:pPr>
          </w:p>
        </w:tc>
        <w:tc>
          <w:tcPr>
            <w:tcW w:w="2268" w:type="dxa"/>
            <w:tcBorders>
              <w:top w:val="nil"/>
              <w:left w:val="nil"/>
              <w:bottom w:val="single" w:sz="8" w:space="0" w:color="auto"/>
              <w:right w:val="single" w:sz="8" w:space="0" w:color="auto"/>
            </w:tcBorders>
            <w:shd w:val="clear" w:color="auto" w:fill="DCE6F1"/>
            <w:noWrap/>
            <w:vAlign w:val="center"/>
            <w:hideMark/>
          </w:tcPr>
          <w:p w14:paraId="22FABCC0"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Fee</w:t>
            </w:r>
          </w:p>
        </w:tc>
        <w:tc>
          <w:tcPr>
            <w:tcW w:w="2268" w:type="dxa"/>
            <w:tcBorders>
              <w:top w:val="nil"/>
              <w:left w:val="nil"/>
              <w:bottom w:val="single" w:sz="8" w:space="0" w:color="auto"/>
              <w:right w:val="single" w:sz="8" w:space="0" w:color="auto"/>
            </w:tcBorders>
            <w:shd w:val="clear" w:color="auto" w:fill="DCE6F1"/>
            <w:noWrap/>
            <w:vAlign w:val="center"/>
            <w:hideMark/>
          </w:tcPr>
          <w:p w14:paraId="0827E5D3"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Fee</w:t>
            </w:r>
          </w:p>
        </w:tc>
        <w:tc>
          <w:tcPr>
            <w:tcW w:w="2409" w:type="dxa"/>
            <w:tcBorders>
              <w:top w:val="nil"/>
              <w:left w:val="nil"/>
              <w:bottom w:val="single" w:sz="8" w:space="0" w:color="auto"/>
              <w:right w:val="single" w:sz="8" w:space="0" w:color="auto"/>
            </w:tcBorders>
            <w:shd w:val="clear" w:color="auto" w:fill="DCE6F1"/>
            <w:noWrap/>
            <w:vAlign w:val="center"/>
            <w:hideMark/>
          </w:tcPr>
          <w:p w14:paraId="7DA87B7B"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 </w:t>
            </w:r>
          </w:p>
        </w:tc>
      </w:tr>
      <w:tr w:rsidR="000F3972" w:rsidRPr="000F3972" w14:paraId="1A3FEAA6" w14:textId="77777777">
        <w:trPr>
          <w:trHeight w:val="300"/>
        </w:trPr>
        <w:tc>
          <w:tcPr>
            <w:tcW w:w="2117" w:type="dxa"/>
            <w:tcBorders>
              <w:top w:val="nil"/>
              <w:left w:val="single" w:sz="8" w:space="0" w:color="auto"/>
              <w:bottom w:val="nil"/>
              <w:right w:val="single" w:sz="8" w:space="0" w:color="auto"/>
            </w:tcBorders>
            <w:shd w:val="clear" w:color="auto" w:fill="DCE6F1"/>
            <w:noWrap/>
            <w:vAlign w:val="center"/>
            <w:hideMark/>
          </w:tcPr>
          <w:p w14:paraId="7283ADEF" w14:textId="77777777" w:rsidR="000F3972" w:rsidRPr="000F3972" w:rsidRDefault="000F3972" w:rsidP="000F3972">
            <w:pPr>
              <w:suppressAutoHyphens/>
              <w:autoSpaceDN w:val="0"/>
              <w:spacing w:after="0" w:line="240" w:lineRule="auto"/>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Debtor</w:t>
            </w:r>
          </w:p>
        </w:tc>
        <w:tc>
          <w:tcPr>
            <w:tcW w:w="2268" w:type="dxa"/>
            <w:tcBorders>
              <w:top w:val="nil"/>
              <w:left w:val="nil"/>
              <w:bottom w:val="nil"/>
              <w:right w:val="single" w:sz="8" w:space="0" w:color="auto"/>
            </w:tcBorders>
            <w:shd w:val="clear" w:color="auto" w:fill="auto"/>
            <w:noWrap/>
            <w:vAlign w:val="center"/>
            <w:hideMark/>
          </w:tcPr>
          <w:p w14:paraId="40B49E90"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£1,990</w:t>
            </w:r>
          </w:p>
        </w:tc>
        <w:tc>
          <w:tcPr>
            <w:tcW w:w="2268" w:type="dxa"/>
            <w:tcBorders>
              <w:top w:val="nil"/>
              <w:left w:val="nil"/>
              <w:bottom w:val="nil"/>
              <w:right w:val="single" w:sz="8" w:space="0" w:color="auto"/>
            </w:tcBorders>
            <w:shd w:val="clear" w:color="auto" w:fill="auto"/>
            <w:noWrap/>
            <w:vAlign w:val="center"/>
            <w:hideMark/>
          </w:tcPr>
          <w:p w14:paraId="6C33D426"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£6,000</w:t>
            </w:r>
          </w:p>
        </w:tc>
        <w:tc>
          <w:tcPr>
            <w:tcW w:w="2409" w:type="dxa"/>
            <w:tcBorders>
              <w:top w:val="nil"/>
              <w:left w:val="nil"/>
              <w:bottom w:val="nil"/>
              <w:right w:val="single" w:sz="8" w:space="0" w:color="auto"/>
            </w:tcBorders>
            <w:shd w:val="clear" w:color="auto" w:fill="auto"/>
            <w:noWrap/>
            <w:vAlign w:val="center"/>
            <w:hideMark/>
          </w:tcPr>
          <w:p w14:paraId="1B5EADD8"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£7,990</w:t>
            </w:r>
          </w:p>
        </w:tc>
      </w:tr>
      <w:tr w:rsidR="000F3972" w:rsidRPr="000F3972" w14:paraId="1BF5236C" w14:textId="77777777">
        <w:trPr>
          <w:trHeight w:val="300"/>
        </w:trPr>
        <w:tc>
          <w:tcPr>
            <w:tcW w:w="2117" w:type="dxa"/>
            <w:tcBorders>
              <w:top w:val="nil"/>
              <w:left w:val="single" w:sz="8" w:space="0" w:color="auto"/>
              <w:bottom w:val="nil"/>
              <w:right w:val="single" w:sz="8" w:space="0" w:color="auto"/>
            </w:tcBorders>
            <w:shd w:val="clear" w:color="auto" w:fill="DCE6F1"/>
            <w:noWrap/>
            <w:vAlign w:val="center"/>
            <w:hideMark/>
          </w:tcPr>
          <w:p w14:paraId="2119981B" w14:textId="77777777" w:rsidR="000F3972" w:rsidRPr="000F3972" w:rsidRDefault="000F3972" w:rsidP="000F3972">
            <w:pPr>
              <w:suppressAutoHyphens/>
              <w:autoSpaceDN w:val="0"/>
              <w:spacing w:after="0" w:line="240" w:lineRule="auto"/>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Creditor</w:t>
            </w:r>
          </w:p>
        </w:tc>
        <w:tc>
          <w:tcPr>
            <w:tcW w:w="2268" w:type="dxa"/>
            <w:tcBorders>
              <w:top w:val="nil"/>
              <w:left w:val="nil"/>
              <w:bottom w:val="nil"/>
              <w:right w:val="single" w:sz="8" w:space="0" w:color="auto"/>
            </w:tcBorders>
            <w:shd w:val="clear" w:color="auto" w:fill="auto"/>
            <w:noWrap/>
            <w:vAlign w:val="center"/>
            <w:hideMark/>
          </w:tcPr>
          <w:p w14:paraId="6DED0751"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£2,775</w:t>
            </w:r>
          </w:p>
        </w:tc>
        <w:tc>
          <w:tcPr>
            <w:tcW w:w="2268" w:type="dxa"/>
            <w:tcBorders>
              <w:top w:val="nil"/>
              <w:left w:val="nil"/>
              <w:bottom w:val="nil"/>
              <w:right w:val="single" w:sz="8" w:space="0" w:color="auto"/>
            </w:tcBorders>
            <w:shd w:val="clear" w:color="auto" w:fill="auto"/>
            <w:noWrap/>
            <w:vAlign w:val="center"/>
            <w:hideMark/>
          </w:tcPr>
          <w:p w14:paraId="393EA184"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£6,000</w:t>
            </w:r>
          </w:p>
        </w:tc>
        <w:tc>
          <w:tcPr>
            <w:tcW w:w="2409" w:type="dxa"/>
            <w:tcBorders>
              <w:top w:val="nil"/>
              <w:left w:val="nil"/>
              <w:bottom w:val="nil"/>
              <w:right w:val="single" w:sz="8" w:space="0" w:color="auto"/>
            </w:tcBorders>
            <w:shd w:val="clear" w:color="auto" w:fill="auto"/>
            <w:noWrap/>
            <w:vAlign w:val="center"/>
            <w:hideMark/>
          </w:tcPr>
          <w:p w14:paraId="32C71ECB"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£8,775</w:t>
            </w:r>
          </w:p>
        </w:tc>
      </w:tr>
      <w:tr w:rsidR="000F3972" w:rsidRPr="000F3972" w14:paraId="2DC0FA39" w14:textId="77777777">
        <w:trPr>
          <w:trHeight w:val="315"/>
        </w:trPr>
        <w:tc>
          <w:tcPr>
            <w:tcW w:w="2117" w:type="dxa"/>
            <w:tcBorders>
              <w:top w:val="nil"/>
              <w:left w:val="single" w:sz="8" w:space="0" w:color="auto"/>
              <w:bottom w:val="single" w:sz="8" w:space="0" w:color="auto"/>
              <w:right w:val="single" w:sz="8" w:space="0" w:color="auto"/>
            </w:tcBorders>
            <w:shd w:val="clear" w:color="auto" w:fill="DCE6F1"/>
            <w:noWrap/>
            <w:vAlign w:val="center"/>
            <w:hideMark/>
          </w:tcPr>
          <w:p w14:paraId="265C9943" w14:textId="77777777" w:rsidR="000F3972" w:rsidRPr="000F3972" w:rsidRDefault="000F3972" w:rsidP="000F3972">
            <w:pPr>
              <w:suppressAutoHyphens/>
              <w:autoSpaceDN w:val="0"/>
              <w:spacing w:after="0" w:line="240" w:lineRule="auto"/>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Company</w:t>
            </w:r>
          </w:p>
        </w:tc>
        <w:tc>
          <w:tcPr>
            <w:tcW w:w="2268" w:type="dxa"/>
            <w:tcBorders>
              <w:top w:val="nil"/>
              <w:left w:val="nil"/>
              <w:bottom w:val="single" w:sz="8" w:space="0" w:color="auto"/>
              <w:right w:val="single" w:sz="8" w:space="0" w:color="auto"/>
            </w:tcBorders>
            <w:shd w:val="clear" w:color="auto" w:fill="auto"/>
            <w:noWrap/>
            <w:vAlign w:val="center"/>
            <w:hideMark/>
          </w:tcPr>
          <w:p w14:paraId="49706D91"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£5,000</w:t>
            </w:r>
          </w:p>
        </w:tc>
        <w:tc>
          <w:tcPr>
            <w:tcW w:w="2268" w:type="dxa"/>
            <w:tcBorders>
              <w:top w:val="nil"/>
              <w:left w:val="nil"/>
              <w:bottom w:val="single" w:sz="8" w:space="0" w:color="auto"/>
              <w:right w:val="single" w:sz="8" w:space="0" w:color="auto"/>
            </w:tcBorders>
            <w:shd w:val="clear" w:color="auto" w:fill="auto"/>
            <w:noWrap/>
            <w:vAlign w:val="center"/>
            <w:hideMark/>
          </w:tcPr>
          <w:p w14:paraId="79281F6D"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£6,000</w:t>
            </w:r>
          </w:p>
        </w:tc>
        <w:tc>
          <w:tcPr>
            <w:tcW w:w="2409" w:type="dxa"/>
            <w:tcBorders>
              <w:top w:val="nil"/>
              <w:left w:val="nil"/>
              <w:bottom w:val="single" w:sz="8" w:space="0" w:color="auto"/>
              <w:right w:val="single" w:sz="8" w:space="0" w:color="auto"/>
            </w:tcBorders>
            <w:shd w:val="clear" w:color="auto" w:fill="auto"/>
            <w:noWrap/>
            <w:vAlign w:val="center"/>
            <w:hideMark/>
          </w:tcPr>
          <w:p w14:paraId="134A8AF1"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£11,000</w:t>
            </w:r>
          </w:p>
        </w:tc>
      </w:tr>
      <w:tr w:rsidR="000F3972" w:rsidRPr="000F3972" w14:paraId="07912D82" w14:textId="77777777">
        <w:trPr>
          <w:trHeight w:val="315"/>
        </w:trPr>
        <w:tc>
          <w:tcPr>
            <w:tcW w:w="2117" w:type="dxa"/>
            <w:tcBorders>
              <w:top w:val="nil"/>
              <w:left w:val="nil"/>
              <w:bottom w:val="nil"/>
              <w:right w:val="nil"/>
            </w:tcBorders>
            <w:shd w:val="clear" w:color="auto" w:fill="auto"/>
            <w:noWrap/>
            <w:vAlign w:val="bottom"/>
            <w:hideMark/>
          </w:tcPr>
          <w:p w14:paraId="5F4C18CC"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p>
        </w:tc>
        <w:tc>
          <w:tcPr>
            <w:tcW w:w="2268" w:type="dxa"/>
            <w:tcBorders>
              <w:top w:val="nil"/>
              <w:left w:val="nil"/>
              <w:bottom w:val="nil"/>
              <w:right w:val="nil"/>
            </w:tcBorders>
            <w:shd w:val="clear" w:color="auto" w:fill="auto"/>
            <w:noWrap/>
            <w:vAlign w:val="bottom"/>
            <w:hideMark/>
          </w:tcPr>
          <w:p w14:paraId="05603DE1" w14:textId="77777777" w:rsidR="000F3972" w:rsidRPr="000F3972" w:rsidRDefault="000F3972" w:rsidP="000F3972">
            <w:pPr>
              <w:suppressAutoHyphens/>
              <w:autoSpaceDN w:val="0"/>
              <w:spacing w:after="0" w:line="240" w:lineRule="auto"/>
              <w:textAlignment w:val="baseline"/>
              <w:rPr>
                <w:rFonts w:ascii="Arial" w:eastAsia="Times New Roman" w:hAnsi="Arial" w:cs="Arial"/>
                <w:kern w:val="0"/>
                <w:sz w:val="20"/>
                <w:szCs w:val="20"/>
                <w:lang w:eastAsia="en-GB"/>
                <w14:ligatures w14:val="none"/>
              </w:rPr>
            </w:pPr>
          </w:p>
        </w:tc>
        <w:tc>
          <w:tcPr>
            <w:tcW w:w="2268" w:type="dxa"/>
            <w:tcBorders>
              <w:top w:val="nil"/>
              <w:left w:val="nil"/>
              <w:bottom w:val="nil"/>
              <w:right w:val="nil"/>
            </w:tcBorders>
            <w:shd w:val="clear" w:color="auto" w:fill="auto"/>
            <w:noWrap/>
            <w:vAlign w:val="bottom"/>
            <w:hideMark/>
          </w:tcPr>
          <w:p w14:paraId="58328634"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kern w:val="0"/>
                <w:sz w:val="20"/>
                <w:szCs w:val="20"/>
                <w:lang w:eastAsia="en-GB"/>
                <w14:ligatures w14:val="none"/>
              </w:rPr>
            </w:pPr>
          </w:p>
        </w:tc>
        <w:tc>
          <w:tcPr>
            <w:tcW w:w="2409" w:type="dxa"/>
            <w:tcBorders>
              <w:top w:val="nil"/>
              <w:left w:val="nil"/>
              <w:bottom w:val="nil"/>
              <w:right w:val="nil"/>
            </w:tcBorders>
            <w:shd w:val="clear" w:color="auto" w:fill="auto"/>
            <w:noWrap/>
            <w:vAlign w:val="bottom"/>
            <w:hideMark/>
          </w:tcPr>
          <w:p w14:paraId="25534BD7"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kern w:val="0"/>
                <w:sz w:val="20"/>
                <w:szCs w:val="20"/>
                <w:lang w:eastAsia="en-GB"/>
                <w14:ligatures w14:val="none"/>
              </w:rPr>
            </w:pPr>
          </w:p>
        </w:tc>
      </w:tr>
      <w:tr w:rsidR="000F3972" w:rsidRPr="000F3972" w14:paraId="7AB6B06A" w14:textId="77777777">
        <w:trPr>
          <w:trHeight w:val="315"/>
        </w:trPr>
        <w:tc>
          <w:tcPr>
            <w:tcW w:w="4385" w:type="dxa"/>
            <w:gridSpan w:val="2"/>
            <w:tcBorders>
              <w:top w:val="single" w:sz="8" w:space="0" w:color="auto"/>
              <w:left w:val="single" w:sz="8" w:space="0" w:color="auto"/>
              <w:bottom w:val="single" w:sz="8" w:space="0" w:color="auto"/>
              <w:right w:val="single" w:sz="8" w:space="0" w:color="000000"/>
            </w:tcBorders>
            <w:shd w:val="clear" w:color="auto" w:fill="DCE6F1"/>
            <w:noWrap/>
            <w:vAlign w:val="center"/>
            <w:hideMark/>
          </w:tcPr>
          <w:p w14:paraId="678B82C1" w14:textId="77777777" w:rsidR="000F3972" w:rsidRPr="000F3972" w:rsidRDefault="000F3972" w:rsidP="000F3972">
            <w:pPr>
              <w:suppressAutoHyphens/>
              <w:autoSpaceDN w:val="0"/>
              <w:spacing w:after="0" w:line="240" w:lineRule="auto"/>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 xml:space="preserve">Trustee Liquidator Fee </w:t>
            </w:r>
          </w:p>
        </w:tc>
        <w:tc>
          <w:tcPr>
            <w:tcW w:w="467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E241E98"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15% of the realised value</w:t>
            </w:r>
          </w:p>
        </w:tc>
      </w:tr>
      <w:tr w:rsidR="000F3972" w:rsidRPr="000F3972" w14:paraId="6574D094" w14:textId="77777777">
        <w:trPr>
          <w:trHeight w:val="315"/>
        </w:trPr>
        <w:tc>
          <w:tcPr>
            <w:tcW w:w="4385" w:type="dxa"/>
            <w:gridSpan w:val="2"/>
            <w:tcBorders>
              <w:top w:val="single" w:sz="8" w:space="0" w:color="auto"/>
              <w:left w:val="single" w:sz="8" w:space="0" w:color="auto"/>
              <w:bottom w:val="single" w:sz="8" w:space="0" w:color="auto"/>
              <w:right w:val="single" w:sz="8" w:space="0" w:color="000000"/>
            </w:tcBorders>
            <w:shd w:val="clear" w:color="auto" w:fill="DCE6F1"/>
            <w:noWrap/>
            <w:vAlign w:val="center"/>
            <w:hideMark/>
          </w:tcPr>
          <w:p w14:paraId="4D9AD4CF" w14:textId="77777777" w:rsidR="000F3972" w:rsidRPr="000F3972" w:rsidRDefault="000F3972" w:rsidP="000F3972">
            <w:pPr>
              <w:suppressAutoHyphens/>
              <w:autoSpaceDN w:val="0"/>
              <w:spacing w:after="0" w:line="240" w:lineRule="auto"/>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 xml:space="preserve">Distribution Fee </w:t>
            </w:r>
          </w:p>
        </w:tc>
        <w:tc>
          <w:tcPr>
            <w:tcW w:w="467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7E2DE3E"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Time &amp; Rate based</w:t>
            </w:r>
          </w:p>
        </w:tc>
      </w:tr>
    </w:tbl>
    <w:p w14:paraId="4D72B8B9"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p>
    <w:p w14:paraId="22E0FFC2" w14:textId="77777777" w:rsidR="000A49CD" w:rsidRDefault="000A49CD">
      <w:pPr>
        <w:rPr>
          <w:rFonts w:ascii="Arial" w:eastAsia="Calibri" w:hAnsi="Arial" w:cs="Arial"/>
          <w:kern w:val="0"/>
          <w:sz w:val="24"/>
          <w:szCs w:val="24"/>
          <w14:ligatures w14:val="none"/>
        </w:rPr>
      </w:pPr>
      <w:r>
        <w:rPr>
          <w:rFonts w:ascii="Arial" w:eastAsia="Calibri" w:hAnsi="Arial" w:cs="Arial"/>
          <w:kern w:val="0"/>
          <w:sz w:val="24"/>
          <w:szCs w:val="24"/>
          <w14:ligatures w14:val="none"/>
        </w:rPr>
        <w:br w:type="page"/>
      </w:r>
    </w:p>
    <w:p w14:paraId="45256DD2" w14:textId="282A5DFD"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kern w:val="0"/>
          <w:sz w:val="24"/>
          <w:szCs w:val="24"/>
          <w14:ligatures w14:val="none"/>
        </w:rPr>
        <w:lastRenderedPageBreak/>
        <w:t xml:space="preserve">As the </w:t>
      </w:r>
      <w:r w:rsidR="48061D22" w:rsidRPr="000F3972">
        <w:rPr>
          <w:rFonts w:ascii="Arial" w:eastAsia="Calibri" w:hAnsi="Arial" w:cs="Arial"/>
          <w:kern w:val="0"/>
          <w:sz w:val="24"/>
          <w:szCs w:val="24"/>
          <w14:ligatures w14:val="none"/>
        </w:rPr>
        <w:t>A</w:t>
      </w:r>
      <w:r w:rsidRPr="000F3972">
        <w:rPr>
          <w:rFonts w:ascii="Arial" w:eastAsia="Calibri" w:hAnsi="Arial" w:cs="Arial"/>
          <w:kern w:val="0"/>
          <w:sz w:val="24"/>
          <w:szCs w:val="24"/>
          <w14:ligatures w14:val="none"/>
        </w:rPr>
        <w:t>gency is unable to recover the full chargeable amount of the administration fee in many cases, resulting in shortfalls; the general fee is charged and recovered against those cases where assets are available above the amount of the administration fee. This results in a cross subsidy from cases where the general fee is paid to cases where the administration fee is not fully paid. See Notes 1(k), 1(I), and 1(n) for the accounting policies on case administration fees.</w:t>
      </w:r>
    </w:p>
    <w:p w14:paraId="47F2D83F"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p>
    <w:p w14:paraId="4A5EC340"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kern w:val="0"/>
          <w:sz w:val="24"/>
          <w:szCs w:val="24"/>
          <w14:ligatures w14:val="none"/>
        </w:rPr>
        <w:t xml:space="preserve">The objective of the fees is to cover the cost of the work carried out by the OR </w:t>
      </w:r>
    </w:p>
    <w:p w14:paraId="30754A57"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kern w:val="0"/>
          <w:sz w:val="24"/>
          <w:szCs w:val="24"/>
          <w14:ligatures w14:val="none"/>
        </w:rPr>
        <w:t xml:space="preserve">Teams. Measurement of the objective is based on the portfolio of cases received in each financial year, with any excess receipts treated as excess income due to the Consolidated Fund. During 2022-23 this objective was not achieved, as the income recognised, excluding the excess income recognised in relation to historic cases </w:t>
      </w:r>
    </w:p>
    <w:p w14:paraId="1EB1A826"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kern w:val="0"/>
          <w:sz w:val="24"/>
          <w:szCs w:val="24"/>
          <w14:ligatures w14:val="none"/>
        </w:rPr>
        <w:t>was insufficient to cover the cost of the OR service (see Note 1):</w:t>
      </w:r>
    </w:p>
    <w:p w14:paraId="208C8AA8"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p>
    <w:p w14:paraId="4AB00222" w14:textId="77777777" w:rsidR="000F3972" w:rsidRPr="000F3972" w:rsidRDefault="000F3972" w:rsidP="000F3972">
      <w:pPr>
        <w:numPr>
          <w:ilvl w:val="0"/>
          <w:numId w:val="22"/>
        </w:numPr>
        <w:suppressAutoHyphens/>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kern w:val="0"/>
          <w:sz w:val="24"/>
          <w:szCs w:val="24"/>
          <w14:ligatures w14:val="none"/>
        </w:rPr>
        <w:t>The cost of the OR service to which fees were applicable was £51 million (2022-23: £47 million).</w:t>
      </w:r>
    </w:p>
    <w:p w14:paraId="5D4EA78B" w14:textId="3AE0CF6D" w:rsidR="000F3972" w:rsidRPr="000F3972" w:rsidRDefault="000F3972" w:rsidP="000F3972">
      <w:pPr>
        <w:numPr>
          <w:ilvl w:val="0"/>
          <w:numId w:val="22"/>
        </w:numPr>
        <w:suppressAutoHyphens/>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kern w:val="0"/>
          <w:sz w:val="24"/>
          <w:szCs w:val="24"/>
          <w14:ligatures w14:val="none"/>
        </w:rPr>
        <w:t>The total income received from fees and recognised as income in the year was £6</w:t>
      </w:r>
      <w:r w:rsidR="000E6302">
        <w:rPr>
          <w:rFonts w:ascii="Arial" w:eastAsia="Calibri" w:hAnsi="Arial" w:cs="Arial"/>
          <w:kern w:val="0"/>
          <w:sz w:val="24"/>
          <w:szCs w:val="24"/>
          <w14:ligatures w14:val="none"/>
        </w:rPr>
        <w:t>5</w:t>
      </w:r>
      <w:r w:rsidR="00BE5FDA">
        <w:rPr>
          <w:rFonts w:ascii="Arial" w:eastAsia="Calibri" w:hAnsi="Arial" w:cs="Arial"/>
          <w:kern w:val="0"/>
          <w:sz w:val="24"/>
          <w:szCs w:val="24"/>
          <w14:ligatures w14:val="none"/>
        </w:rPr>
        <w:t>.7</w:t>
      </w:r>
      <w:r w:rsidRPr="000F3972">
        <w:rPr>
          <w:rFonts w:ascii="Arial" w:eastAsia="Calibri" w:hAnsi="Arial" w:cs="Arial"/>
          <w:kern w:val="0"/>
          <w:sz w:val="24"/>
          <w:szCs w:val="24"/>
          <w14:ligatures w14:val="none"/>
        </w:rPr>
        <w:t xml:space="preserve"> million (2022-23: £115.1 million). Part of this was recognised in relation to historic cases and classified as payable to the Consolidated Fund, excluding these the Agency received £48 million (202</w:t>
      </w:r>
      <w:r w:rsidR="009177F8">
        <w:rPr>
          <w:rFonts w:ascii="Arial" w:eastAsia="Calibri" w:hAnsi="Arial" w:cs="Arial"/>
          <w:kern w:val="0"/>
          <w:sz w:val="24"/>
          <w:szCs w:val="24"/>
          <w14:ligatures w14:val="none"/>
        </w:rPr>
        <w:t>2</w:t>
      </w:r>
      <w:r w:rsidRPr="000F3972">
        <w:rPr>
          <w:rFonts w:ascii="Arial" w:eastAsia="Calibri" w:hAnsi="Arial" w:cs="Arial"/>
          <w:kern w:val="0"/>
          <w:sz w:val="24"/>
          <w:szCs w:val="24"/>
          <w14:ligatures w14:val="none"/>
        </w:rPr>
        <w:t>-2</w:t>
      </w:r>
      <w:r w:rsidR="009177F8">
        <w:rPr>
          <w:rFonts w:ascii="Arial" w:eastAsia="Calibri" w:hAnsi="Arial" w:cs="Arial"/>
          <w:kern w:val="0"/>
          <w:sz w:val="24"/>
          <w:szCs w:val="24"/>
          <w14:ligatures w14:val="none"/>
        </w:rPr>
        <w:t>3</w:t>
      </w:r>
      <w:r w:rsidRPr="000F3972">
        <w:rPr>
          <w:rFonts w:ascii="Arial" w:eastAsia="Calibri" w:hAnsi="Arial" w:cs="Arial"/>
          <w:kern w:val="0"/>
          <w:sz w:val="24"/>
          <w:szCs w:val="24"/>
          <w14:ligatures w14:val="none"/>
        </w:rPr>
        <w:t>: £44 million).</w:t>
      </w:r>
    </w:p>
    <w:p w14:paraId="2D7E6D7E" w14:textId="77777777" w:rsidR="000F3972" w:rsidRPr="000F3972" w:rsidRDefault="000F3972" w:rsidP="000F3972">
      <w:pPr>
        <w:numPr>
          <w:ilvl w:val="0"/>
          <w:numId w:val="22"/>
        </w:numPr>
        <w:suppressAutoHyphens/>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kern w:val="0"/>
          <w:sz w:val="24"/>
          <w:szCs w:val="24"/>
          <w14:ligatures w14:val="none"/>
        </w:rPr>
        <w:t>Cross subsidy fees (General Fee) recognised within income was £9.7 million (2022-23 £7.7 million), within the agreed netting off limit approved by HMT.</w:t>
      </w:r>
    </w:p>
    <w:p w14:paraId="663B4720" w14:textId="77777777" w:rsidR="000F3972" w:rsidRPr="000F3972" w:rsidRDefault="000F3972" w:rsidP="000F3972">
      <w:pPr>
        <w:numPr>
          <w:ilvl w:val="0"/>
          <w:numId w:val="22"/>
        </w:numPr>
        <w:suppressAutoHyphens/>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kern w:val="0"/>
          <w:sz w:val="24"/>
          <w:szCs w:val="24"/>
          <w14:ligatures w14:val="none"/>
        </w:rPr>
        <w:t>£12.4 million (2022-23: £137 million) is due to be repaid to the Consolidated Fund. Fees received are surrendered to the Consolidated Fund when they exceed the amount we are able to retain.</w:t>
      </w:r>
    </w:p>
    <w:p w14:paraId="0B2473FD"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p>
    <w:p w14:paraId="108270D4" w14:textId="64C456FB"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r w:rsidRPr="000F3972">
        <w:rPr>
          <w:rFonts w:ascii="Arial" w:eastAsia="Calibri" w:hAnsi="Arial" w:cs="Arial"/>
          <w:kern w:val="0"/>
          <w:sz w:val="24"/>
          <w:szCs w:val="24"/>
          <w14:ligatures w14:val="none"/>
        </w:rPr>
        <w:t>There are some significant areas of judgement used in the revenue recognition for fees, these are explained in Notes 2(a), 2(b), and 2(c). For the values of fee income recognised, see Note 4, and receivable balance, see Note 9. Further details of the fees chargeable can be found in the Insolvency Proceedings (Fees) Order 2016 and the Insolvency Proceedings (Fees) (Amendment) Order 2022.</w:t>
      </w:r>
    </w:p>
    <w:p w14:paraId="5B49DAEF" w14:textId="47076506" w:rsidR="008722CD" w:rsidRDefault="008722CD">
      <w:pPr>
        <w:rPr>
          <w:rFonts w:ascii="Arial" w:eastAsia="Calibri" w:hAnsi="Arial" w:cs="Arial"/>
          <w:kern w:val="0"/>
          <w:sz w:val="24"/>
          <w:szCs w:val="24"/>
          <w14:ligatures w14:val="none"/>
        </w:rPr>
      </w:pPr>
    </w:p>
    <w:p w14:paraId="0D02F47A" w14:textId="77777777" w:rsidR="00ED6E14" w:rsidRDefault="00ED6E14">
      <w:pPr>
        <w:rPr>
          <w:rFonts w:ascii="Arial" w:eastAsia="Calibri" w:hAnsi="Arial" w:cs="Arial"/>
          <w:b/>
          <w:bCs/>
          <w:kern w:val="0"/>
          <w:sz w:val="24"/>
          <w:szCs w:val="24"/>
          <w14:ligatures w14:val="none"/>
        </w:rPr>
      </w:pPr>
      <w:r>
        <w:rPr>
          <w:rFonts w:ascii="Arial" w:eastAsia="Calibri" w:hAnsi="Arial" w:cs="Arial"/>
          <w:b/>
          <w:bCs/>
          <w:kern w:val="0"/>
          <w:sz w:val="24"/>
          <w:szCs w:val="24"/>
          <w14:ligatures w14:val="none"/>
        </w:rPr>
        <w:br w:type="page"/>
      </w:r>
    </w:p>
    <w:p w14:paraId="1B5F294B" w14:textId="01BB6449" w:rsidR="008722CD" w:rsidRPr="008722CD" w:rsidRDefault="008722CD" w:rsidP="008722CD">
      <w:pPr>
        <w:suppressAutoHyphens/>
        <w:autoSpaceDN w:val="0"/>
        <w:spacing w:after="0" w:line="276" w:lineRule="auto"/>
        <w:textAlignment w:val="baseline"/>
        <w:rPr>
          <w:rFonts w:ascii="Arial" w:eastAsia="Calibri" w:hAnsi="Arial" w:cs="Arial"/>
          <w:b/>
          <w:bCs/>
          <w:kern w:val="0"/>
          <w:sz w:val="24"/>
          <w:szCs w:val="24"/>
          <w14:ligatures w14:val="none"/>
        </w:rPr>
      </w:pPr>
      <w:r w:rsidRPr="008722CD">
        <w:rPr>
          <w:rFonts w:ascii="Arial" w:eastAsia="Calibri" w:hAnsi="Arial" w:cs="Arial"/>
          <w:b/>
          <w:bCs/>
          <w:kern w:val="0"/>
          <w:sz w:val="24"/>
          <w:szCs w:val="24"/>
          <w14:ligatures w14:val="none"/>
        </w:rPr>
        <w:lastRenderedPageBreak/>
        <w:t>Government Functional Standards</w:t>
      </w:r>
    </w:p>
    <w:p w14:paraId="2CBFDE0A" w14:textId="77777777" w:rsidR="008722CD" w:rsidRPr="008722CD" w:rsidRDefault="008722CD" w:rsidP="008722CD">
      <w:pPr>
        <w:suppressAutoHyphens/>
        <w:autoSpaceDN w:val="0"/>
        <w:spacing w:after="0" w:line="276" w:lineRule="auto"/>
        <w:textAlignment w:val="baseline"/>
        <w:rPr>
          <w:rFonts w:ascii="Arial" w:eastAsia="Calibri" w:hAnsi="Arial" w:cs="Arial"/>
          <w:kern w:val="0"/>
          <w:sz w:val="24"/>
          <w:szCs w:val="24"/>
          <w14:ligatures w14:val="none"/>
        </w:rPr>
      </w:pPr>
    </w:p>
    <w:p w14:paraId="1608A591" w14:textId="57B5FD86" w:rsidR="000F3972" w:rsidRPr="000F3972" w:rsidRDefault="008722CD" w:rsidP="008722CD">
      <w:pPr>
        <w:suppressAutoHyphens/>
        <w:autoSpaceDN w:val="0"/>
        <w:spacing w:after="0" w:line="276" w:lineRule="auto"/>
        <w:textAlignment w:val="baseline"/>
        <w:rPr>
          <w:rFonts w:ascii="Arial" w:eastAsia="Calibri" w:hAnsi="Arial" w:cs="Arial"/>
          <w:kern w:val="0"/>
          <w:sz w:val="24"/>
          <w:szCs w:val="24"/>
          <w14:ligatures w14:val="none"/>
        </w:rPr>
      </w:pPr>
      <w:r w:rsidRPr="008722CD">
        <w:rPr>
          <w:rFonts w:ascii="Arial" w:eastAsia="Calibri" w:hAnsi="Arial" w:cs="Arial"/>
          <w:kern w:val="0"/>
          <w:sz w:val="24"/>
          <w:szCs w:val="24"/>
          <w14:ligatures w14:val="none"/>
        </w:rPr>
        <w:t>A statement on our use of these standards can be found in the Governance Statement within the Corporate Governance Report.</w:t>
      </w:r>
    </w:p>
    <w:p w14:paraId="772F262A"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p>
    <w:p w14:paraId="66D81F74" w14:textId="77777777" w:rsidR="000F3972" w:rsidRPr="000F3972" w:rsidRDefault="000F3972" w:rsidP="000F3972">
      <w:pPr>
        <w:suppressAutoHyphens/>
        <w:autoSpaceDN w:val="0"/>
        <w:spacing w:after="0" w:line="240" w:lineRule="auto"/>
        <w:textAlignment w:val="baseline"/>
        <w:rPr>
          <w:rFonts w:ascii="Arial" w:eastAsia="Times New Roman" w:hAnsi="Arial" w:cs="Arial"/>
          <w:kern w:val="0"/>
          <w:sz w:val="24"/>
          <w:szCs w:val="24"/>
          <w:u w:color="000000"/>
          <w14:ligatures w14:val="none"/>
        </w:rPr>
      </w:pPr>
      <w:r w:rsidRPr="000F3972">
        <w:rPr>
          <w:rFonts w:ascii="Arial" w:eastAsia="Times New Roman" w:hAnsi="Arial" w:cs="Arial"/>
          <w:kern w:val="0"/>
          <w:sz w:val="24"/>
          <w:szCs w:val="24"/>
          <w:u w:color="000000"/>
          <w14:ligatures w14:val="none"/>
        </w:rPr>
        <w:t>Signed:</w:t>
      </w:r>
    </w:p>
    <w:p w14:paraId="0C3B8B45" w14:textId="7408F0E8" w:rsidR="000F3972" w:rsidRPr="000F3972" w:rsidRDefault="00E90A8F" w:rsidP="000F3972">
      <w:pPr>
        <w:suppressAutoHyphens/>
        <w:autoSpaceDN w:val="0"/>
        <w:spacing w:after="0" w:line="240" w:lineRule="auto"/>
        <w:textAlignment w:val="baseline"/>
        <w:rPr>
          <w:rFonts w:ascii="Arial" w:eastAsia="Times New Roman" w:hAnsi="Arial" w:cs="Arial"/>
          <w:kern w:val="0"/>
          <w:sz w:val="24"/>
          <w:szCs w:val="24"/>
          <w:u w:color="000000"/>
          <w14:ligatures w14:val="none"/>
        </w:rPr>
      </w:pPr>
      <w:r>
        <w:rPr>
          <w:noProof/>
        </w:rPr>
        <w:drawing>
          <wp:anchor distT="0" distB="0" distL="114300" distR="114300" simplePos="0" relativeHeight="251658257" behindDoc="0" locked="0" layoutInCell="1" allowOverlap="1" wp14:anchorId="5B6B0A5D" wp14:editId="24E4122C">
            <wp:simplePos x="0" y="0"/>
            <wp:positionH relativeFrom="margin">
              <wp:align>left</wp:align>
            </wp:positionH>
            <wp:positionV relativeFrom="paragraph">
              <wp:posOffset>177165</wp:posOffset>
            </wp:positionV>
            <wp:extent cx="1318260" cy="510540"/>
            <wp:effectExtent l="0" t="0" r="0" b="3810"/>
            <wp:wrapThrough wrapText="bothSides">
              <wp:wrapPolygon edited="0">
                <wp:start x="0" y="0"/>
                <wp:lineTo x="0" y="20955"/>
                <wp:lineTo x="21225" y="20955"/>
                <wp:lineTo x="21225"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1826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A9FA5" w14:textId="77777777" w:rsidR="000F3972" w:rsidRPr="000F3972" w:rsidRDefault="000F3972" w:rsidP="000F3972">
      <w:pPr>
        <w:suppressAutoHyphens/>
        <w:autoSpaceDN w:val="0"/>
        <w:spacing w:after="0" w:line="240" w:lineRule="auto"/>
        <w:textAlignment w:val="baseline"/>
        <w:rPr>
          <w:rFonts w:ascii="Arial" w:eastAsia="Times New Roman" w:hAnsi="Arial" w:cs="Arial"/>
          <w:kern w:val="0"/>
          <w:sz w:val="24"/>
          <w:szCs w:val="24"/>
          <w:u w:color="000000"/>
          <w14:ligatures w14:val="none"/>
        </w:rPr>
      </w:pPr>
    </w:p>
    <w:p w14:paraId="19A98779" w14:textId="77777777" w:rsidR="00E90A8F" w:rsidRDefault="00E90A8F" w:rsidP="000F3972">
      <w:pPr>
        <w:suppressAutoHyphens/>
        <w:autoSpaceDN w:val="0"/>
        <w:spacing w:after="0" w:line="240" w:lineRule="auto"/>
        <w:textAlignment w:val="baseline"/>
        <w:rPr>
          <w:rFonts w:ascii="Arial" w:eastAsia="Times New Roman" w:hAnsi="Arial" w:cs="Arial"/>
          <w:kern w:val="0"/>
          <w:sz w:val="24"/>
          <w:szCs w:val="24"/>
          <w:u w:color="000000"/>
          <w14:ligatures w14:val="none"/>
        </w:rPr>
      </w:pPr>
    </w:p>
    <w:p w14:paraId="150D41F3" w14:textId="77777777" w:rsidR="00E90A8F" w:rsidRDefault="00E90A8F" w:rsidP="000F3972">
      <w:pPr>
        <w:suppressAutoHyphens/>
        <w:autoSpaceDN w:val="0"/>
        <w:spacing w:after="0" w:line="240" w:lineRule="auto"/>
        <w:textAlignment w:val="baseline"/>
        <w:rPr>
          <w:rFonts w:ascii="Arial" w:eastAsia="Times New Roman" w:hAnsi="Arial" w:cs="Arial"/>
          <w:kern w:val="0"/>
          <w:sz w:val="24"/>
          <w:szCs w:val="24"/>
          <w:u w:color="000000"/>
          <w14:ligatures w14:val="none"/>
        </w:rPr>
      </w:pPr>
    </w:p>
    <w:p w14:paraId="26AB6505" w14:textId="17BEFD6F" w:rsidR="000F3972" w:rsidRPr="000F3972" w:rsidRDefault="000F3972" w:rsidP="000F3972">
      <w:pPr>
        <w:suppressAutoHyphens/>
        <w:autoSpaceDN w:val="0"/>
        <w:spacing w:after="0" w:line="240" w:lineRule="auto"/>
        <w:textAlignment w:val="baseline"/>
        <w:rPr>
          <w:rFonts w:ascii="Arial" w:eastAsia="Times New Roman" w:hAnsi="Arial" w:cs="Arial"/>
          <w:kern w:val="0"/>
          <w:sz w:val="24"/>
          <w:szCs w:val="24"/>
          <w:u w:color="000000"/>
          <w14:ligatures w14:val="none"/>
        </w:rPr>
      </w:pPr>
      <w:r w:rsidRPr="000F3972">
        <w:rPr>
          <w:rFonts w:ascii="Arial" w:eastAsia="Times New Roman" w:hAnsi="Arial" w:cs="Arial"/>
          <w:kern w:val="0"/>
          <w:sz w:val="24"/>
          <w:szCs w:val="24"/>
          <w:u w:color="000000"/>
          <w14:ligatures w14:val="none"/>
        </w:rPr>
        <w:t>Dean Beale</w:t>
      </w:r>
    </w:p>
    <w:p w14:paraId="184F2FC2" w14:textId="77777777" w:rsidR="000F3972" w:rsidRPr="000F3972" w:rsidRDefault="000F3972" w:rsidP="000F3972">
      <w:pPr>
        <w:suppressAutoHyphens/>
        <w:autoSpaceDN w:val="0"/>
        <w:spacing w:after="0" w:line="240" w:lineRule="auto"/>
        <w:textAlignment w:val="baseline"/>
        <w:rPr>
          <w:rFonts w:ascii="Arial" w:eastAsia="Times New Roman" w:hAnsi="Arial" w:cs="Arial"/>
          <w:kern w:val="0"/>
          <w:sz w:val="24"/>
          <w:szCs w:val="24"/>
          <w:u w:color="000000"/>
          <w14:ligatures w14:val="none"/>
        </w:rPr>
      </w:pPr>
      <w:r w:rsidRPr="000F3972">
        <w:rPr>
          <w:rFonts w:ascii="Arial" w:eastAsia="Times New Roman" w:hAnsi="Arial" w:cs="Arial"/>
          <w:kern w:val="0"/>
          <w:sz w:val="24"/>
          <w:szCs w:val="24"/>
          <w:u w:color="000000"/>
          <w14:ligatures w14:val="none"/>
        </w:rPr>
        <w:t>Chief Executive</w:t>
      </w:r>
    </w:p>
    <w:p w14:paraId="30E7EF22" w14:textId="7C0EA56C" w:rsidR="000F3972" w:rsidRPr="000F3972" w:rsidRDefault="000F3972" w:rsidP="000F3972">
      <w:pPr>
        <w:suppressAutoHyphens/>
        <w:autoSpaceDN w:val="0"/>
        <w:spacing w:line="254" w:lineRule="auto"/>
        <w:textAlignment w:val="baseline"/>
        <w:rPr>
          <w:rFonts w:ascii="Calibri" w:eastAsia="Calibri" w:hAnsi="Calibri" w:cs="Times New Roman"/>
          <w:kern w:val="0"/>
          <w14:ligatures w14:val="none"/>
        </w:rPr>
      </w:pPr>
      <w:r w:rsidRPr="000F3972">
        <w:rPr>
          <w:rFonts w:ascii="Arial" w:eastAsia="Times New Roman" w:hAnsi="Arial" w:cs="Arial"/>
          <w:kern w:val="0"/>
          <w:sz w:val="24"/>
          <w:szCs w:val="24"/>
          <w:u w:color="000000"/>
          <w14:ligatures w14:val="none"/>
        </w:rPr>
        <w:t>Date:</w:t>
      </w:r>
      <w:r w:rsidR="00E87AB9">
        <w:rPr>
          <w:rFonts w:ascii="Arial" w:eastAsia="Times New Roman" w:hAnsi="Arial" w:cs="Arial"/>
          <w:kern w:val="0"/>
          <w:sz w:val="24"/>
          <w:szCs w:val="24"/>
          <w:u w:color="000000"/>
          <w14:ligatures w14:val="none"/>
        </w:rPr>
        <w:t xml:space="preserve"> 16 July 2024</w:t>
      </w:r>
      <w:r w:rsidRPr="000F3972">
        <w:rPr>
          <w:rFonts w:ascii="Arial" w:eastAsia="Times New Roman" w:hAnsi="Arial" w:cs="Arial"/>
          <w:kern w:val="0"/>
          <w:sz w:val="24"/>
          <w:szCs w:val="24"/>
          <w:u w:color="000000"/>
          <w14:ligatures w14:val="none"/>
        </w:rPr>
        <w:t xml:space="preserve"> </w:t>
      </w:r>
    </w:p>
    <w:p w14:paraId="6037CDD5" w14:textId="77777777" w:rsidR="000F3972" w:rsidRDefault="000F3972" w:rsidP="00EC36DB">
      <w:pPr>
        <w:rPr>
          <w:rFonts w:ascii="Arial" w:hAnsi="Arial" w:cs="Arial"/>
          <w:sz w:val="24"/>
          <w:szCs w:val="24"/>
        </w:rPr>
      </w:pPr>
    </w:p>
    <w:p w14:paraId="6F6CEA21" w14:textId="77777777" w:rsidR="00EE0E5A" w:rsidRDefault="00EE0E5A" w:rsidP="00EC36DB">
      <w:pPr>
        <w:rPr>
          <w:rFonts w:ascii="Arial" w:hAnsi="Arial" w:cs="Arial"/>
          <w:sz w:val="24"/>
          <w:szCs w:val="24"/>
        </w:rPr>
      </w:pPr>
    </w:p>
    <w:p w14:paraId="01942D3A" w14:textId="77777777" w:rsidR="00ED6E14" w:rsidRDefault="00ED6E14">
      <w:pPr>
        <w:rPr>
          <w:rFonts w:ascii="Arial" w:eastAsiaTheme="majorEastAsia" w:hAnsi="Arial" w:cstheme="majorBidi"/>
          <w:b/>
          <w:iCs/>
          <w:color w:val="1F3864" w:themeColor="accent1" w:themeShade="80"/>
          <w:kern w:val="0"/>
          <w:sz w:val="28"/>
          <w14:ligatures w14:val="none"/>
        </w:rPr>
      </w:pPr>
      <w:r>
        <w:br w:type="page"/>
      </w:r>
    </w:p>
    <w:p w14:paraId="6084FA12" w14:textId="4569A964" w:rsidR="007C1957" w:rsidRPr="000E2597" w:rsidRDefault="007C1957" w:rsidP="000E2597">
      <w:pPr>
        <w:pStyle w:val="Heading4"/>
      </w:pPr>
      <w:r w:rsidRPr="007C1957">
        <w:lastRenderedPageBreak/>
        <w:t>THE CERTIFICATE AND REPORT OF THE COMPTROLLER AND AUDITOR GENERAL TO THE HOUSE OF COMMONS</w:t>
      </w:r>
    </w:p>
    <w:p w14:paraId="687A6605" w14:textId="77777777" w:rsidR="007C1957" w:rsidRPr="007C1957" w:rsidRDefault="007C1957" w:rsidP="000E2597">
      <w:pPr>
        <w:pStyle w:val="Heading4"/>
        <w:rPr>
          <w:rFonts w:cs="Arial"/>
          <w:b w:val="0"/>
          <w:szCs w:val="28"/>
        </w:rPr>
      </w:pPr>
      <w:r w:rsidRPr="007C1957">
        <w:t>Opinion on financial statements</w:t>
      </w:r>
    </w:p>
    <w:p w14:paraId="3AA8B3B8" w14:textId="77777777" w:rsidR="007C1957" w:rsidRPr="007C1957" w:rsidRDefault="007C1957" w:rsidP="007C1957">
      <w:pPr>
        <w:spacing w:after="0" w:line="240" w:lineRule="auto"/>
        <w:rPr>
          <w:rFonts w:ascii="Arial" w:hAnsi="Arial" w:cs="Arial"/>
        </w:rPr>
      </w:pPr>
    </w:p>
    <w:p w14:paraId="750374E1"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 certify that I have audited the financial statements of the Insolvency Service for the year ended 31 March 2024 under the Government Resources and Accounts Act 2000.</w:t>
      </w:r>
    </w:p>
    <w:p w14:paraId="20A7D02E" w14:textId="77777777" w:rsidR="007C1957" w:rsidRPr="007C1957" w:rsidRDefault="007C1957" w:rsidP="007C1957">
      <w:pPr>
        <w:spacing w:after="0" w:line="240" w:lineRule="auto"/>
        <w:rPr>
          <w:rFonts w:ascii="Arial" w:hAnsi="Arial" w:cs="Arial"/>
          <w:sz w:val="24"/>
          <w:szCs w:val="24"/>
        </w:rPr>
      </w:pPr>
    </w:p>
    <w:p w14:paraId="60EA32AD"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The financial statements comprise the Insolvency Service’s</w:t>
      </w:r>
    </w:p>
    <w:p w14:paraId="13A6F902" w14:textId="77777777" w:rsidR="007C1957" w:rsidRPr="007C1957" w:rsidRDefault="007C1957" w:rsidP="007C1957">
      <w:pPr>
        <w:pStyle w:val="ListParagraph"/>
        <w:numPr>
          <w:ilvl w:val="0"/>
          <w:numId w:val="30"/>
        </w:numPr>
        <w:spacing w:after="0" w:line="240" w:lineRule="auto"/>
        <w:rPr>
          <w:rFonts w:ascii="Arial" w:hAnsi="Arial" w:cs="Arial"/>
          <w:sz w:val="24"/>
          <w:szCs w:val="24"/>
        </w:rPr>
      </w:pPr>
      <w:r w:rsidRPr="007C1957">
        <w:rPr>
          <w:rFonts w:ascii="Arial" w:hAnsi="Arial" w:cs="Arial"/>
          <w:sz w:val="24"/>
          <w:szCs w:val="24"/>
        </w:rPr>
        <w:t>Statement of Financial Position as at 31 March 2024;</w:t>
      </w:r>
    </w:p>
    <w:p w14:paraId="07AB7342" w14:textId="77777777" w:rsidR="007C1957" w:rsidRPr="007C1957" w:rsidRDefault="007C1957" w:rsidP="007C1957">
      <w:pPr>
        <w:pStyle w:val="ListParagraph"/>
        <w:numPr>
          <w:ilvl w:val="0"/>
          <w:numId w:val="30"/>
        </w:numPr>
        <w:spacing w:after="0" w:line="240" w:lineRule="auto"/>
        <w:rPr>
          <w:rFonts w:ascii="Arial" w:hAnsi="Arial" w:cs="Arial"/>
          <w:sz w:val="24"/>
          <w:szCs w:val="24"/>
        </w:rPr>
      </w:pPr>
      <w:r w:rsidRPr="007C1957">
        <w:rPr>
          <w:rFonts w:ascii="Arial" w:hAnsi="Arial" w:cs="Arial"/>
          <w:sz w:val="24"/>
          <w:szCs w:val="24"/>
        </w:rPr>
        <w:t>Statement of Comprehensive Net Expenditure, Statement of Cash Flows and Statement of Changes in Taxpayers’ Equity for the year then ended; and</w:t>
      </w:r>
    </w:p>
    <w:p w14:paraId="577160ED" w14:textId="77777777" w:rsidR="007C1957" w:rsidRPr="007C1957" w:rsidRDefault="007C1957" w:rsidP="007C1957">
      <w:pPr>
        <w:pStyle w:val="ListParagraph"/>
        <w:numPr>
          <w:ilvl w:val="0"/>
          <w:numId w:val="30"/>
        </w:numPr>
        <w:spacing w:after="0" w:line="240" w:lineRule="auto"/>
        <w:rPr>
          <w:rFonts w:ascii="Arial" w:hAnsi="Arial" w:cs="Arial"/>
          <w:sz w:val="24"/>
          <w:szCs w:val="24"/>
        </w:rPr>
      </w:pPr>
      <w:r w:rsidRPr="007C1957">
        <w:rPr>
          <w:rFonts w:ascii="Arial" w:hAnsi="Arial" w:cs="Arial"/>
          <w:sz w:val="24"/>
          <w:szCs w:val="24"/>
        </w:rPr>
        <w:t>the related notes, including the significant accounting policies.</w:t>
      </w:r>
    </w:p>
    <w:p w14:paraId="33A0358C" w14:textId="77777777" w:rsidR="007C1957" w:rsidRPr="007C1957" w:rsidRDefault="007C1957" w:rsidP="007C1957">
      <w:pPr>
        <w:spacing w:after="0" w:line="240" w:lineRule="auto"/>
        <w:rPr>
          <w:rFonts w:ascii="Arial" w:hAnsi="Arial" w:cs="Arial"/>
          <w:sz w:val="24"/>
          <w:szCs w:val="24"/>
        </w:rPr>
      </w:pPr>
    </w:p>
    <w:p w14:paraId="24330059"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The financial reporting framework that has been applied in the preparation of the Insolvency Service’s financial statements is applicable law and UK adopted international accounting standards.</w:t>
      </w:r>
    </w:p>
    <w:p w14:paraId="53A10A8E" w14:textId="77777777" w:rsidR="007C1957" w:rsidRPr="007C1957" w:rsidRDefault="007C1957" w:rsidP="007C1957">
      <w:pPr>
        <w:spacing w:after="0" w:line="240" w:lineRule="auto"/>
        <w:rPr>
          <w:rFonts w:ascii="Arial" w:hAnsi="Arial" w:cs="Arial"/>
          <w:sz w:val="24"/>
          <w:szCs w:val="24"/>
        </w:rPr>
      </w:pPr>
    </w:p>
    <w:p w14:paraId="641EDA93"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In my opinion, the financial statements:</w:t>
      </w:r>
    </w:p>
    <w:p w14:paraId="0EB43650" w14:textId="77777777" w:rsidR="007C1957" w:rsidRPr="007C1957" w:rsidRDefault="007C1957" w:rsidP="007C1957">
      <w:pPr>
        <w:pStyle w:val="ListParagraph"/>
        <w:numPr>
          <w:ilvl w:val="0"/>
          <w:numId w:val="31"/>
        </w:numPr>
        <w:spacing w:after="0" w:line="240" w:lineRule="auto"/>
        <w:rPr>
          <w:rFonts w:ascii="Arial" w:hAnsi="Arial" w:cs="Arial"/>
          <w:sz w:val="24"/>
          <w:szCs w:val="24"/>
        </w:rPr>
      </w:pPr>
      <w:r w:rsidRPr="007C1957">
        <w:rPr>
          <w:rFonts w:ascii="Arial" w:hAnsi="Arial" w:cs="Arial"/>
          <w:sz w:val="24"/>
          <w:szCs w:val="24"/>
        </w:rPr>
        <w:t>give a true and fair view of the state of the Insolvency Service’s affairs as at 31 March 2024 and its net expenditure for the year then ended; and</w:t>
      </w:r>
    </w:p>
    <w:p w14:paraId="329446AC" w14:textId="77777777" w:rsidR="007C1957" w:rsidRPr="007C1957" w:rsidRDefault="007C1957" w:rsidP="007C1957">
      <w:pPr>
        <w:pStyle w:val="ListParagraph"/>
        <w:numPr>
          <w:ilvl w:val="0"/>
          <w:numId w:val="31"/>
        </w:numPr>
        <w:spacing w:after="0" w:line="240" w:lineRule="auto"/>
        <w:rPr>
          <w:rFonts w:ascii="Arial" w:hAnsi="Arial" w:cs="Arial"/>
          <w:sz w:val="24"/>
          <w:szCs w:val="24"/>
        </w:rPr>
      </w:pPr>
      <w:r w:rsidRPr="007C1957">
        <w:rPr>
          <w:rFonts w:ascii="Arial" w:hAnsi="Arial" w:cs="Arial"/>
          <w:sz w:val="24"/>
          <w:szCs w:val="24"/>
        </w:rPr>
        <w:t>have been properly prepared in accordance with the Government Resources and Accounts Act 2000 and HM Treasury directions issued thereunder.</w:t>
      </w:r>
    </w:p>
    <w:p w14:paraId="7D680361" w14:textId="77777777" w:rsidR="007C1957" w:rsidRPr="007C1957" w:rsidRDefault="007C1957" w:rsidP="007C1957">
      <w:pPr>
        <w:spacing w:after="0" w:line="240" w:lineRule="auto"/>
        <w:rPr>
          <w:rFonts w:ascii="Arial" w:hAnsi="Arial" w:cs="Arial"/>
        </w:rPr>
      </w:pPr>
    </w:p>
    <w:p w14:paraId="1A56AAB5" w14:textId="77777777" w:rsidR="007C1957" w:rsidRPr="007C1957" w:rsidRDefault="007C1957" w:rsidP="000E2597">
      <w:pPr>
        <w:pStyle w:val="Heading4"/>
        <w:rPr>
          <w:rFonts w:cs="Arial"/>
          <w:b w:val="0"/>
          <w:szCs w:val="28"/>
        </w:rPr>
      </w:pPr>
      <w:r w:rsidRPr="007C1957">
        <w:t>Opinion on regularity</w:t>
      </w:r>
    </w:p>
    <w:p w14:paraId="09DFAF02" w14:textId="77777777" w:rsidR="007C1957" w:rsidRPr="007C1957" w:rsidRDefault="007C1957" w:rsidP="007C1957">
      <w:pPr>
        <w:spacing w:after="0" w:line="240" w:lineRule="auto"/>
        <w:rPr>
          <w:rFonts w:ascii="Arial" w:hAnsi="Arial" w:cs="Arial"/>
        </w:rPr>
      </w:pPr>
    </w:p>
    <w:p w14:paraId="65499D9E"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In my opinion, in all material respects, the income and expenditure recorded in the financial statements have been applied to the purposes intended by Parliament and the financial transactions recorded in the financial statements conform to the authorities which govern them.</w:t>
      </w:r>
    </w:p>
    <w:p w14:paraId="54309196" w14:textId="77777777" w:rsidR="007C1957" w:rsidRPr="007C1957" w:rsidRDefault="007C1957" w:rsidP="007C1957">
      <w:pPr>
        <w:spacing w:after="0" w:line="240" w:lineRule="auto"/>
        <w:rPr>
          <w:rFonts w:ascii="Arial" w:hAnsi="Arial" w:cs="Arial"/>
        </w:rPr>
      </w:pPr>
    </w:p>
    <w:p w14:paraId="664E0381" w14:textId="77777777" w:rsidR="007C1957" w:rsidRPr="007C1957" w:rsidRDefault="007C1957" w:rsidP="000E2597">
      <w:pPr>
        <w:pStyle w:val="Heading4"/>
        <w:rPr>
          <w:rFonts w:cs="Arial"/>
          <w:b w:val="0"/>
          <w:szCs w:val="28"/>
        </w:rPr>
      </w:pPr>
      <w:r w:rsidRPr="007C1957">
        <w:t>Basis for opinions</w:t>
      </w:r>
    </w:p>
    <w:p w14:paraId="59E947CD" w14:textId="77777777" w:rsidR="007C1957" w:rsidRPr="007C1957" w:rsidRDefault="007C1957" w:rsidP="007C1957">
      <w:pPr>
        <w:spacing w:after="0" w:line="240" w:lineRule="auto"/>
        <w:rPr>
          <w:rFonts w:ascii="Arial" w:hAnsi="Arial" w:cs="Arial"/>
        </w:rPr>
      </w:pPr>
    </w:p>
    <w:p w14:paraId="65745870"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 xml:space="preserve">I conducted my audit in accordance with International Standards on Auditing (UK) (ISAs UK), applicable law and Practice Note 10 </w:t>
      </w:r>
      <w:r w:rsidRPr="007C1957">
        <w:rPr>
          <w:rFonts w:ascii="Arial" w:hAnsi="Arial" w:cs="Arial"/>
          <w:i/>
          <w:iCs/>
          <w:sz w:val="24"/>
          <w:szCs w:val="24"/>
        </w:rPr>
        <w:t>Audit of Financial Statements and Regularity of Public Sector Bodies in the United Kingdom (2022)</w:t>
      </w:r>
      <w:r w:rsidRPr="007C1957">
        <w:rPr>
          <w:rFonts w:ascii="Arial" w:hAnsi="Arial" w:cs="Arial"/>
          <w:sz w:val="24"/>
          <w:szCs w:val="24"/>
        </w:rPr>
        <w:t xml:space="preserve">. My responsibilities under those standards are further described in the </w:t>
      </w:r>
      <w:r w:rsidRPr="007C1957">
        <w:rPr>
          <w:rFonts w:ascii="Arial" w:hAnsi="Arial" w:cs="Arial"/>
          <w:i/>
          <w:iCs/>
          <w:sz w:val="24"/>
          <w:szCs w:val="24"/>
        </w:rPr>
        <w:t>Auditor’s responsibilities for the audit of the financial statements</w:t>
      </w:r>
      <w:r w:rsidRPr="007C1957">
        <w:rPr>
          <w:rFonts w:ascii="Arial" w:hAnsi="Arial" w:cs="Arial"/>
          <w:sz w:val="24"/>
          <w:szCs w:val="24"/>
        </w:rPr>
        <w:t xml:space="preserve"> section of my certificate.</w:t>
      </w:r>
    </w:p>
    <w:p w14:paraId="3B71C024" w14:textId="77777777" w:rsidR="007C1957" w:rsidRPr="007C1957" w:rsidRDefault="007C1957" w:rsidP="007C1957">
      <w:pPr>
        <w:spacing w:after="0" w:line="240" w:lineRule="auto"/>
        <w:rPr>
          <w:rFonts w:ascii="Arial" w:hAnsi="Arial" w:cs="Arial"/>
          <w:sz w:val="24"/>
          <w:szCs w:val="24"/>
        </w:rPr>
      </w:pPr>
    </w:p>
    <w:p w14:paraId="15E4FDCC"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 xml:space="preserve">Those standards require me and my staff to comply with the Financial Reporting Council’s </w:t>
      </w:r>
      <w:r w:rsidRPr="007C1957">
        <w:rPr>
          <w:rFonts w:ascii="Arial" w:hAnsi="Arial" w:cs="Arial"/>
          <w:i/>
          <w:iCs/>
          <w:sz w:val="24"/>
          <w:szCs w:val="24"/>
        </w:rPr>
        <w:t>Revised Ethical Standard 2019</w:t>
      </w:r>
      <w:r w:rsidRPr="007C1957">
        <w:rPr>
          <w:rFonts w:ascii="Arial" w:hAnsi="Arial" w:cs="Arial"/>
          <w:sz w:val="24"/>
          <w:szCs w:val="24"/>
        </w:rPr>
        <w:t>. I am independent of the Insolvency Service in accordance with the ethical requirements that are relevant to my audit of the financial statements in the UK. My staff and I have fulfilled our other ethical responsibilities in accordance with these requirements.</w:t>
      </w:r>
    </w:p>
    <w:p w14:paraId="0CE930FC" w14:textId="77777777" w:rsidR="007C1957" w:rsidRPr="007C1957" w:rsidRDefault="007C1957" w:rsidP="007C1957">
      <w:pPr>
        <w:spacing w:after="0" w:line="240" w:lineRule="auto"/>
        <w:rPr>
          <w:rFonts w:ascii="Arial" w:hAnsi="Arial" w:cs="Arial"/>
          <w:sz w:val="24"/>
          <w:szCs w:val="24"/>
        </w:rPr>
      </w:pPr>
    </w:p>
    <w:p w14:paraId="6908FE06" w14:textId="36A903A9"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 believe that the audit evidence I have obtained is sufficient and appropriate to provide a basis for my opinion.</w:t>
      </w:r>
      <w:r w:rsidR="00B55628">
        <w:rPr>
          <w:rFonts w:ascii="Arial" w:hAnsi="Arial" w:cs="Arial"/>
          <w:sz w:val="24"/>
          <w:szCs w:val="24"/>
        </w:rPr>
        <w:br w:type="page"/>
      </w:r>
    </w:p>
    <w:p w14:paraId="1A4C5B05" w14:textId="77777777" w:rsidR="007C1957" w:rsidRPr="007C1957" w:rsidRDefault="007C1957" w:rsidP="000E2597">
      <w:pPr>
        <w:pStyle w:val="Heading4"/>
        <w:rPr>
          <w:rFonts w:cs="Arial"/>
          <w:b w:val="0"/>
          <w:szCs w:val="28"/>
        </w:rPr>
      </w:pPr>
      <w:r w:rsidRPr="007C1957">
        <w:lastRenderedPageBreak/>
        <w:t>Conclusions relating to going concern</w:t>
      </w:r>
    </w:p>
    <w:p w14:paraId="7E4C9CF7" w14:textId="77777777" w:rsidR="007C1957" w:rsidRPr="007C1957" w:rsidRDefault="007C1957" w:rsidP="007C1957">
      <w:pPr>
        <w:spacing w:after="0" w:line="240" w:lineRule="auto"/>
        <w:rPr>
          <w:rFonts w:ascii="Arial" w:hAnsi="Arial" w:cs="Arial"/>
        </w:rPr>
      </w:pPr>
    </w:p>
    <w:p w14:paraId="5C2E9AE0"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In auditing the financial statements, I have concluded that the Insolvency Service’s use of the going concern basis of accounting in the preparation of the financial statements is appropriate.</w:t>
      </w:r>
    </w:p>
    <w:p w14:paraId="02F879FE" w14:textId="77777777" w:rsidR="007C1957" w:rsidRPr="007C1957" w:rsidRDefault="007C1957" w:rsidP="007C1957">
      <w:pPr>
        <w:spacing w:after="0" w:line="240" w:lineRule="auto"/>
        <w:rPr>
          <w:rFonts w:ascii="Arial" w:hAnsi="Arial" w:cs="Arial"/>
          <w:sz w:val="24"/>
          <w:szCs w:val="24"/>
        </w:rPr>
      </w:pPr>
    </w:p>
    <w:p w14:paraId="116CA6FF"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Based on the work I have performed, I have not identified any material uncertainties relating to events or conditions that, individually or collectively, may cast significant doubt on the Insolvency Service’s ability to continue as a going concern for a period of at least twelve months from when the financial statements are authorised for issue.</w:t>
      </w:r>
    </w:p>
    <w:p w14:paraId="104F2E14" w14:textId="77777777" w:rsidR="007C1957" w:rsidRPr="007C1957" w:rsidRDefault="007C1957" w:rsidP="007C1957">
      <w:pPr>
        <w:spacing w:after="0" w:line="240" w:lineRule="auto"/>
        <w:rPr>
          <w:rFonts w:ascii="Arial" w:hAnsi="Arial" w:cs="Arial"/>
          <w:sz w:val="24"/>
          <w:szCs w:val="24"/>
        </w:rPr>
      </w:pPr>
    </w:p>
    <w:p w14:paraId="48A76A8A"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My responsibilities and the responsibilities of the Accounting Officer with respect to going concern are described in the relevant sections of this certificate.</w:t>
      </w:r>
    </w:p>
    <w:p w14:paraId="59AF0F97" w14:textId="77777777" w:rsidR="007C1957" w:rsidRPr="007C1957" w:rsidRDefault="007C1957" w:rsidP="007C1957">
      <w:pPr>
        <w:spacing w:after="0" w:line="240" w:lineRule="auto"/>
        <w:rPr>
          <w:rFonts w:ascii="Arial" w:hAnsi="Arial" w:cs="Arial"/>
          <w:sz w:val="24"/>
          <w:szCs w:val="24"/>
        </w:rPr>
      </w:pPr>
    </w:p>
    <w:p w14:paraId="2BF5FD6E"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The going concern basis of accounting for the Insolvency Service is adopted in consideration of the requirements set out in HM Treasury’s Government Financial Reporting Manual, which requires entities to adopt the going concern basis of accounting in the preparation of the financial statements where it is anticipated that the services which they provide will continue into the future.</w:t>
      </w:r>
    </w:p>
    <w:p w14:paraId="17083C2E" w14:textId="77777777" w:rsidR="007C1957" w:rsidRPr="007C1957" w:rsidRDefault="007C1957" w:rsidP="007C1957">
      <w:pPr>
        <w:spacing w:after="0" w:line="240" w:lineRule="auto"/>
        <w:rPr>
          <w:rFonts w:ascii="Arial" w:hAnsi="Arial" w:cs="Arial"/>
        </w:rPr>
      </w:pPr>
    </w:p>
    <w:p w14:paraId="31F974AC" w14:textId="77777777" w:rsidR="007C1957" w:rsidRPr="007C1957" w:rsidRDefault="007C1957" w:rsidP="000E2597">
      <w:pPr>
        <w:pStyle w:val="Heading4"/>
        <w:rPr>
          <w:rFonts w:cs="Arial"/>
          <w:b w:val="0"/>
          <w:szCs w:val="28"/>
        </w:rPr>
      </w:pPr>
      <w:r w:rsidRPr="007C1957">
        <w:t>Other information</w:t>
      </w:r>
    </w:p>
    <w:p w14:paraId="49FDBAA8" w14:textId="77777777" w:rsidR="007C1957" w:rsidRPr="007C1957" w:rsidRDefault="007C1957" w:rsidP="007C1957">
      <w:pPr>
        <w:spacing w:after="0" w:line="240" w:lineRule="auto"/>
        <w:rPr>
          <w:rFonts w:ascii="Arial" w:hAnsi="Arial" w:cs="Arial"/>
        </w:rPr>
      </w:pPr>
    </w:p>
    <w:p w14:paraId="25EEA682" w14:textId="2F2E71A2"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 xml:space="preserve">The other information comprises information included in the Annual </w:t>
      </w:r>
      <w:r w:rsidR="00AB41B0" w:rsidRPr="007C1957">
        <w:rPr>
          <w:rFonts w:ascii="Arial" w:hAnsi="Arial" w:cs="Arial"/>
          <w:sz w:val="24"/>
          <w:szCs w:val="24"/>
        </w:rPr>
        <w:t>Report but</w:t>
      </w:r>
      <w:r w:rsidRPr="007C1957">
        <w:rPr>
          <w:rFonts w:ascii="Arial" w:hAnsi="Arial" w:cs="Arial"/>
          <w:sz w:val="24"/>
          <w:szCs w:val="24"/>
        </w:rPr>
        <w:t xml:space="preserve"> does not include the financial statements and my auditor’s certificate and report thereon. The Accounting Officer is responsible for the other information.</w:t>
      </w:r>
    </w:p>
    <w:p w14:paraId="4F769D25" w14:textId="77777777" w:rsidR="007C1957" w:rsidRPr="007C1957" w:rsidRDefault="007C1957" w:rsidP="007C1957">
      <w:pPr>
        <w:spacing w:after="0" w:line="240" w:lineRule="auto"/>
        <w:rPr>
          <w:rFonts w:ascii="Arial" w:hAnsi="Arial" w:cs="Arial"/>
          <w:sz w:val="24"/>
          <w:szCs w:val="24"/>
        </w:rPr>
      </w:pPr>
    </w:p>
    <w:p w14:paraId="14777F11"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My opinion on the financial statements does not cover the other information and, except to the extent otherwise explicitly stated in my certificate, I do not express any form of assurance conclusion thereon.</w:t>
      </w:r>
    </w:p>
    <w:p w14:paraId="475274DC" w14:textId="77777777" w:rsidR="007C1957" w:rsidRPr="007C1957" w:rsidRDefault="007C1957" w:rsidP="007C1957">
      <w:pPr>
        <w:spacing w:after="0" w:line="240" w:lineRule="auto"/>
        <w:rPr>
          <w:rFonts w:ascii="Arial" w:hAnsi="Arial" w:cs="Arial"/>
          <w:sz w:val="24"/>
          <w:szCs w:val="24"/>
        </w:rPr>
      </w:pPr>
    </w:p>
    <w:p w14:paraId="4159F2EA"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My responsibility is to read the other information and, in doing so, consider whether the other information is materially inconsistent with the financial statements or my knowledge obtained in the audit, or otherwise appears to be materially misstated.</w:t>
      </w:r>
    </w:p>
    <w:p w14:paraId="32C8D06D" w14:textId="77777777" w:rsidR="007C1957" w:rsidRPr="007C1957" w:rsidRDefault="007C1957" w:rsidP="007C1957">
      <w:pPr>
        <w:spacing w:after="0" w:line="240" w:lineRule="auto"/>
        <w:rPr>
          <w:rFonts w:ascii="Arial" w:hAnsi="Arial" w:cs="Arial"/>
          <w:sz w:val="24"/>
          <w:szCs w:val="24"/>
        </w:rPr>
      </w:pPr>
    </w:p>
    <w:p w14:paraId="5CF0C222"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If I identify such material inconsistencies or apparent material misstatements, I am required to determine whether this gives rise to a material misstatement in the financial statements themselves. If, based on the work I have performed, I conclude that there is a material misstatement of this other information, I am required to report that fact.</w:t>
      </w:r>
    </w:p>
    <w:p w14:paraId="1B5478B5" w14:textId="77777777" w:rsidR="007C1957" w:rsidRPr="007C1957" w:rsidRDefault="007C1957" w:rsidP="007C1957">
      <w:pPr>
        <w:spacing w:after="0" w:line="240" w:lineRule="auto"/>
        <w:rPr>
          <w:rFonts w:ascii="Arial" w:hAnsi="Arial" w:cs="Arial"/>
          <w:sz w:val="24"/>
          <w:szCs w:val="24"/>
        </w:rPr>
      </w:pPr>
    </w:p>
    <w:p w14:paraId="12A76FE1"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 have nothing to report in this regard.</w:t>
      </w:r>
    </w:p>
    <w:p w14:paraId="3C7BC016" w14:textId="77777777" w:rsidR="007C1957" w:rsidRPr="007C1957" w:rsidRDefault="007C1957" w:rsidP="007C1957">
      <w:pPr>
        <w:spacing w:after="0" w:line="240" w:lineRule="auto"/>
        <w:rPr>
          <w:rFonts w:ascii="Arial" w:hAnsi="Arial" w:cs="Arial"/>
        </w:rPr>
      </w:pPr>
    </w:p>
    <w:p w14:paraId="25367F05" w14:textId="77777777" w:rsidR="00E14AED" w:rsidRDefault="00E14AED">
      <w:pPr>
        <w:rPr>
          <w:rFonts w:ascii="Arial" w:eastAsiaTheme="majorEastAsia" w:hAnsi="Arial" w:cstheme="majorBidi"/>
          <w:b/>
          <w:iCs/>
          <w:color w:val="1F3864" w:themeColor="accent1" w:themeShade="80"/>
          <w:kern w:val="0"/>
          <w:sz w:val="28"/>
          <w14:ligatures w14:val="none"/>
        </w:rPr>
      </w:pPr>
      <w:r>
        <w:br w:type="page"/>
      </w:r>
    </w:p>
    <w:p w14:paraId="7284F26B" w14:textId="086852A0" w:rsidR="007C1957" w:rsidRPr="007C1957" w:rsidRDefault="007C1957" w:rsidP="000E2597">
      <w:pPr>
        <w:pStyle w:val="Heading4"/>
        <w:rPr>
          <w:rFonts w:cs="Arial"/>
          <w:b w:val="0"/>
          <w:szCs w:val="28"/>
        </w:rPr>
      </w:pPr>
      <w:r w:rsidRPr="007C1957">
        <w:lastRenderedPageBreak/>
        <w:t>Opinion on other matters</w:t>
      </w:r>
    </w:p>
    <w:p w14:paraId="7154D852" w14:textId="77777777" w:rsidR="007C1957" w:rsidRPr="007C1957" w:rsidRDefault="007C1957" w:rsidP="007C1957">
      <w:pPr>
        <w:spacing w:after="0" w:line="240" w:lineRule="auto"/>
        <w:rPr>
          <w:rFonts w:ascii="Arial" w:hAnsi="Arial" w:cs="Arial"/>
        </w:rPr>
      </w:pPr>
    </w:p>
    <w:p w14:paraId="5EFBBFE4"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In my opinion the part of the Remuneration and Staff Report to be audited has been properly prepared in accordance with HM Treasury directions issued under the Government Resources and Accounts Act 2000.</w:t>
      </w:r>
    </w:p>
    <w:p w14:paraId="7AFD82A3" w14:textId="77777777" w:rsidR="007C1957" w:rsidRPr="007C1957" w:rsidRDefault="007C1957" w:rsidP="007C1957">
      <w:pPr>
        <w:spacing w:after="0" w:line="240" w:lineRule="auto"/>
        <w:rPr>
          <w:rFonts w:ascii="Arial" w:hAnsi="Arial" w:cs="Arial"/>
          <w:sz w:val="24"/>
          <w:szCs w:val="24"/>
        </w:rPr>
      </w:pPr>
    </w:p>
    <w:p w14:paraId="6A89AE3C"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In my opinion, based on the work undertaken in the course of the audit:</w:t>
      </w:r>
    </w:p>
    <w:p w14:paraId="3EEE19ED" w14:textId="77777777" w:rsidR="007C1957" w:rsidRPr="007C1957" w:rsidRDefault="007C1957" w:rsidP="007C1957">
      <w:pPr>
        <w:pStyle w:val="ListParagraph"/>
        <w:numPr>
          <w:ilvl w:val="0"/>
          <w:numId w:val="32"/>
        </w:numPr>
        <w:spacing w:after="0" w:line="240" w:lineRule="auto"/>
        <w:rPr>
          <w:rFonts w:ascii="Arial" w:hAnsi="Arial" w:cs="Arial"/>
          <w:sz w:val="24"/>
          <w:szCs w:val="24"/>
        </w:rPr>
      </w:pPr>
      <w:r w:rsidRPr="007C1957">
        <w:rPr>
          <w:rFonts w:ascii="Arial" w:hAnsi="Arial" w:cs="Arial"/>
          <w:sz w:val="24"/>
          <w:szCs w:val="24"/>
        </w:rPr>
        <w:t>the parts of the Accountability Report subject to audit have been properly prepared in accordance with HM Treasury directions issued under the Government Resources and Accounts Act 2000;</w:t>
      </w:r>
    </w:p>
    <w:p w14:paraId="4F6562AD" w14:textId="77777777" w:rsidR="007C1957" w:rsidRPr="007C1957" w:rsidRDefault="007C1957" w:rsidP="007C1957">
      <w:pPr>
        <w:pStyle w:val="ListParagraph"/>
        <w:numPr>
          <w:ilvl w:val="0"/>
          <w:numId w:val="32"/>
        </w:numPr>
        <w:spacing w:after="0" w:line="240" w:lineRule="auto"/>
        <w:rPr>
          <w:rFonts w:ascii="Arial" w:hAnsi="Arial" w:cs="Arial"/>
          <w:sz w:val="24"/>
          <w:szCs w:val="24"/>
        </w:rPr>
      </w:pPr>
      <w:r w:rsidRPr="007C1957">
        <w:rPr>
          <w:rFonts w:ascii="Arial" w:hAnsi="Arial" w:cs="Arial"/>
          <w:sz w:val="24"/>
          <w:szCs w:val="24"/>
        </w:rPr>
        <w:t>the information given in the Performance and Accountability Reports for the financial year for which the financial statements are prepared is consistent with the financial statements and is in accordance with the applicable legal requirements.</w:t>
      </w:r>
    </w:p>
    <w:p w14:paraId="7F876EEB" w14:textId="77777777" w:rsidR="007C1957" w:rsidRPr="007C1957" w:rsidRDefault="007C1957" w:rsidP="007C1957">
      <w:pPr>
        <w:spacing w:after="0" w:line="240" w:lineRule="auto"/>
        <w:rPr>
          <w:rFonts w:ascii="Arial" w:hAnsi="Arial" w:cs="Arial"/>
        </w:rPr>
      </w:pPr>
    </w:p>
    <w:p w14:paraId="09B7390B" w14:textId="77777777" w:rsidR="007C1957" w:rsidRPr="007C1957" w:rsidRDefault="007C1957" w:rsidP="000E2597">
      <w:pPr>
        <w:pStyle w:val="Heading4"/>
        <w:rPr>
          <w:rFonts w:cs="Arial"/>
          <w:b w:val="0"/>
          <w:szCs w:val="28"/>
        </w:rPr>
      </w:pPr>
      <w:r w:rsidRPr="007C1957">
        <w:t>Matters on which I report by exception</w:t>
      </w:r>
    </w:p>
    <w:p w14:paraId="5513FE49" w14:textId="77777777" w:rsidR="007C1957" w:rsidRPr="007C1957" w:rsidRDefault="007C1957" w:rsidP="007C1957">
      <w:pPr>
        <w:spacing w:after="0" w:line="240" w:lineRule="auto"/>
        <w:rPr>
          <w:rFonts w:ascii="Arial" w:hAnsi="Arial" w:cs="Arial"/>
        </w:rPr>
      </w:pPr>
    </w:p>
    <w:p w14:paraId="7B0F258F"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In the light of the knowledge and understanding of the Insolvency Service and its environment obtained in the course of the audit, I have not identified material misstatements in the Performance and Accountability Reports.</w:t>
      </w:r>
    </w:p>
    <w:p w14:paraId="0F20E67F" w14:textId="77777777" w:rsidR="007C1957" w:rsidRPr="007C1957" w:rsidRDefault="007C1957" w:rsidP="007C1957">
      <w:pPr>
        <w:spacing w:after="0" w:line="240" w:lineRule="auto"/>
        <w:rPr>
          <w:rFonts w:ascii="Arial" w:hAnsi="Arial" w:cs="Arial"/>
          <w:sz w:val="24"/>
          <w:szCs w:val="24"/>
        </w:rPr>
      </w:pPr>
    </w:p>
    <w:p w14:paraId="7C37603D"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 have nothing to report in respect of the following matters which I report to you if, in my opinion:</w:t>
      </w:r>
    </w:p>
    <w:p w14:paraId="7373F6A6" w14:textId="77777777" w:rsidR="007C1957" w:rsidRPr="007C1957" w:rsidRDefault="007C1957" w:rsidP="007C1957">
      <w:pPr>
        <w:pStyle w:val="ListParagraph"/>
        <w:numPr>
          <w:ilvl w:val="0"/>
          <w:numId w:val="33"/>
        </w:numPr>
        <w:spacing w:after="0" w:line="240" w:lineRule="auto"/>
        <w:rPr>
          <w:rFonts w:ascii="Arial" w:hAnsi="Arial" w:cs="Arial"/>
          <w:sz w:val="24"/>
          <w:szCs w:val="24"/>
        </w:rPr>
      </w:pPr>
      <w:r w:rsidRPr="007C1957">
        <w:rPr>
          <w:rFonts w:ascii="Arial" w:hAnsi="Arial" w:cs="Arial"/>
          <w:sz w:val="24"/>
          <w:szCs w:val="24"/>
        </w:rPr>
        <w:t>adequate accounting records have not been kept by the Insolvency Service or returns adequate for my audit have not been received from branches not visited by my staff; or</w:t>
      </w:r>
    </w:p>
    <w:p w14:paraId="42CA2D20" w14:textId="77777777" w:rsidR="007C1957" w:rsidRPr="007C1957" w:rsidRDefault="007C1957" w:rsidP="007C1957">
      <w:pPr>
        <w:pStyle w:val="ListParagraph"/>
        <w:numPr>
          <w:ilvl w:val="0"/>
          <w:numId w:val="33"/>
        </w:numPr>
        <w:spacing w:after="0" w:line="240" w:lineRule="auto"/>
        <w:rPr>
          <w:rFonts w:ascii="Arial" w:hAnsi="Arial" w:cs="Arial"/>
          <w:sz w:val="24"/>
          <w:szCs w:val="24"/>
        </w:rPr>
      </w:pPr>
      <w:r w:rsidRPr="007C1957">
        <w:rPr>
          <w:rFonts w:ascii="Arial" w:hAnsi="Arial" w:cs="Arial"/>
          <w:sz w:val="24"/>
          <w:szCs w:val="24"/>
        </w:rPr>
        <w:t>I have not received all of the information and explanations I require for my audit; or</w:t>
      </w:r>
    </w:p>
    <w:p w14:paraId="6131F0FA" w14:textId="77777777" w:rsidR="007C1957" w:rsidRPr="007C1957" w:rsidRDefault="007C1957" w:rsidP="007C1957">
      <w:pPr>
        <w:pStyle w:val="ListParagraph"/>
        <w:numPr>
          <w:ilvl w:val="0"/>
          <w:numId w:val="33"/>
        </w:numPr>
        <w:spacing w:after="0" w:line="240" w:lineRule="auto"/>
        <w:rPr>
          <w:rFonts w:ascii="Arial" w:hAnsi="Arial" w:cs="Arial"/>
          <w:sz w:val="24"/>
          <w:szCs w:val="24"/>
        </w:rPr>
      </w:pPr>
      <w:r w:rsidRPr="007C1957">
        <w:rPr>
          <w:rFonts w:ascii="Arial" w:hAnsi="Arial" w:cs="Arial"/>
          <w:sz w:val="24"/>
          <w:szCs w:val="24"/>
        </w:rPr>
        <w:t>the financial statements and the parts of the Accountability Report subject to audit are not in agreement with the accounting records and returns; or</w:t>
      </w:r>
    </w:p>
    <w:p w14:paraId="53F6842E" w14:textId="77777777" w:rsidR="007C1957" w:rsidRPr="007C1957" w:rsidRDefault="007C1957" w:rsidP="007C1957">
      <w:pPr>
        <w:pStyle w:val="ListParagraph"/>
        <w:numPr>
          <w:ilvl w:val="0"/>
          <w:numId w:val="33"/>
        </w:numPr>
        <w:spacing w:after="0" w:line="240" w:lineRule="auto"/>
        <w:rPr>
          <w:rFonts w:ascii="Arial" w:hAnsi="Arial" w:cs="Arial"/>
          <w:sz w:val="24"/>
          <w:szCs w:val="24"/>
        </w:rPr>
      </w:pPr>
      <w:r w:rsidRPr="007C1957">
        <w:rPr>
          <w:rFonts w:ascii="Arial" w:hAnsi="Arial" w:cs="Arial"/>
          <w:sz w:val="24"/>
          <w:szCs w:val="24"/>
        </w:rPr>
        <w:t>certain disclosures of remuneration specified by HM Treasury’s Government Financial Reporting Manual have not been made or parts of the Remuneration and Staff Report to be audited is not in agreement with the accounting records and returns; or</w:t>
      </w:r>
    </w:p>
    <w:p w14:paraId="3339BEFD" w14:textId="77777777" w:rsidR="007C1957" w:rsidRPr="007C1957" w:rsidRDefault="007C1957" w:rsidP="007C1957">
      <w:pPr>
        <w:pStyle w:val="ListParagraph"/>
        <w:numPr>
          <w:ilvl w:val="0"/>
          <w:numId w:val="33"/>
        </w:numPr>
        <w:spacing w:after="0" w:line="240" w:lineRule="auto"/>
        <w:rPr>
          <w:rFonts w:ascii="Arial" w:hAnsi="Arial" w:cs="Arial"/>
          <w:sz w:val="24"/>
          <w:szCs w:val="24"/>
        </w:rPr>
      </w:pPr>
      <w:r w:rsidRPr="007C1957">
        <w:rPr>
          <w:rFonts w:ascii="Arial" w:hAnsi="Arial" w:cs="Arial"/>
          <w:sz w:val="24"/>
          <w:szCs w:val="24"/>
        </w:rPr>
        <w:t>the Governance Statement does not reflect compliance with HM Treasury’s guidance.</w:t>
      </w:r>
    </w:p>
    <w:p w14:paraId="4960C76D" w14:textId="77777777" w:rsidR="007C1957" w:rsidRPr="007C1957" w:rsidRDefault="007C1957" w:rsidP="007C1957">
      <w:pPr>
        <w:spacing w:after="0" w:line="240" w:lineRule="auto"/>
        <w:rPr>
          <w:rFonts w:ascii="Arial" w:hAnsi="Arial" w:cs="Arial"/>
        </w:rPr>
      </w:pPr>
    </w:p>
    <w:p w14:paraId="1ECF8D27" w14:textId="77777777" w:rsidR="00E50841" w:rsidRDefault="00E50841">
      <w:pPr>
        <w:rPr>
          <w:rFonts w:ascii="Arial" w:hAnsi="Arial" w:cs="Arial"/>
          <w:b/>
          <w:bCs/>
          <w:sz w:val="28"/>
          <w:szCs w:val="28"/>
        </w:rPr>
      </w:pPr>
      <w:r>
        <w:rPr>
          <w:rFonts w:ascii="Arial" w:hAnsi="Arial" w:cs="Arial"/>
          <w:b/>
          <w:bCs/>
          <w:sz w:val="28"/>
          <w:szCs w:val="28"/>
        </w:rPr>
        <w:br w:type="page"/>
      </w:r>
    </w:p>
    <w:p w14:paraId="20CF806F" w14:textId="07CEAD00" w:rsidR="007C1957" w:rsidRPr="007C1957" w:rsidRDefault="007C1957" w:rsidP="000E2597">
      <w:pPr>
        <w:pStyle w:val="Heading4"/>
        <w:rPr>
          <w:rFonts w:cs="Arial"/>
          <w:b w:val="0"/>
          <w:szCs w:val="28"/>
        </w:rPr>
      </w:pPr>
      <w:r w:rsidRPr="007C1957">
        <w:lastRenderedPageBreak/>
        <w:t>Responsibilities of the Accounting Officer for the financial statements</w:t>
      </w:r>
    </w:p>
    <w:p w14:paraId="537EE203" w14:textId="77777777" w:rsidR="007C1957" w:rsidRPr="007C1957" w:rsidRDefault="007C1957" w:rsidP="007C1957">
      <w:pPr>
        <w:spacing w:after="0" w:line="240" w:lineRule="auto"/>
        <w:rPr>
          <w:rFonts w:ascii="Arial" w:hAnsi="Arial" w:cs="Arial"/>
          <w:sz w:val="24"/>
          <w:szCs w:val="24"/>
        </w:rPr>
      </w:pPr>
    </w:p>
    <w:p w14:paraId="45B17610"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As explained more fully in the Statement of Accounting Officer’s Responsibilities, the Chief Executive as Accounting Officer is responsible for:</w:t>
      </w:r>
    </w:p>
    <w:p w14:paraId="440B3002" w14:textId="77777777" w:rsidR="007C1957" w:rsidRPr="007C1957" w:rsidRDefault="007C1957" w:rsidP="007C1957">
      <w:pPr>
        <w:pStyle w:val="ListParagraph"/>
        <w:numPr>
          <w:ilvl w:val="0"/>
          <w:numId w:val="34"/>
        </w:numPr>
        <w:spacing w:after="0" w:line="240" w:lineRule="auto"/>
        <w:rPr>
          <w:rFonts w:ascii="Arial" w:hAnsi="Arial" w:cs="Arial"/>
          <w:sz w:val="24"/>
          <w:szCs w:val="24"/>
        </w:rPr>
      </w:pPr>
      <w:r w:rsidRPr="007C1957">
        <w:rPr>
          <w:rFonts w:ascii="Arial" w:hAnsi="Arial" w:cs="Arial"/>
          <w:sz w:val="24"/>
          <w:szCs w:val="24"/>
        </w:rPr>
        <w:t>maintaining proper accounting records;</w:t>
      </w:r>
    </w:p>
    <w:p w14:paraId="7C3DA1A7" w14:textId="77777777" w:rsidR="007C1957" w:rsidRPr="007C1957" w:rsidRDefault="007C1957" w:rsidP="007C1957">
      <w:pPr>
        <w:pStyle w:val="ListParagraph"/>
        <w:numPr>
          <w:ilvl w:val="0"/>
          <w:numId w:val="34"/>
        </w:numPr>
        <w:spacing w:after="0" w:line="240" w:lineRule="auto"/>
        <w:rPr>
          <w:rFonts w:ascii="Arial" w:hAnsi="Arial" w:cs="Arial"/>
          <w:sz w:val="24"/>
          <w:szCs w:val="24"/>
        </w:rPr>
      </w:pPr>
      <w:r w:rsidRPr="007C1957">
        <w:rPr>
          <w:rFonts w:ascii="Arial" w:hAnsi="Arial" w:cs="Arial"/>
          <w:sz w:val="24"/>
          <w:szCs w:val="24"/>
        </w:rPr>
        <w:t>providing the C&amp;AG with access to all information of which management is aware that is relevant to the preparation of the financial statements such as records, documentation and other matters;</w:t>
      </w:r>
    </w:p>
    <w:p w14:paraId="636F7735" w14:textId="77777777" w:rsidR="007C1957" w:rsidRPr="007C1957" w:rsidRDefault="007C1957" w:rsidP="007C1957">
      <w:pPr>
        <w:pStyle w:val="ListParagraph"/>
        <w:numPr>
          <w:ilvl w:val="0"/>
          <w:numId w:val="34"/>
        </w:numPr>
        <w:spacing w:after="0" w:line="240" w:lineRule="auto"/>
        <w:rPr>
          <w:rFonts w:ascii="Arial" w:hAnsi="Arial" w:cs="Arial"/>
          <w:sz w:val="24"/>
          <w:szCs w:val="24"/>
        </w:rPr>
      </w:pPr>
      <w:r w:rsidRPr="007C1957">
        <w:rPr>
          <w:rFonts w:ascii="Arial" w:hAnsi="Arial" w:cs="Arial"/>
          <w:sz w:val="24"/>
          <w:szCs w:val="24"/>
        </w:rPr>
        <w:t>providing the C&amp;AG with additional information and explanations needed for his audit;</w:t>
      </w:r>
    </w:p>
    <w:p w14:paraId="463D09B0" w14:textId="77777777" w:rsidR="007C1957" w:rsidRPr="007C1957" w:rsidRDefault="007C1957" w:rsidP="007C1957">
      <w:pPr>
        <w:pStyle w:val="ListParagraph"/>
        <w:numPr>
          <w:ilvl w:val="0"/>
          <w:numId w:val="34"/>
        </w:numPr>
        <w:spacing w:after="0" w:line="240" w:lineRule="auto"/>
        <w:rPr>
          <w:rFonts w:ascii="Arial" w:hAnsi="Arial" w:cs="Arial"/>
          <w:sz w:val="24"/>
          <w:szCs w:val="24"/>
        </w:rPr>
      </w:pPr>
      <w:r w:rsidRPr="007C1957">
        <w:rPr>
          <w:rFonts w:ascii="Arial" w:hAnsi="Arial" w:cs="Arial"/>
          <w:sz w:val="24"/>
          <w:szCs w:val="24"/>
        </w:rPr>
        <w:t>providing the C&amp;AG with unrestricted access to persons within the Insolvency Service from whom the auditor determines it necessary to obtain audit evidence;</w:t>
      </w:r>
    </w:p>
    <w:p w14:paraId="2EA9922F" w14:textId="77777777" w:rsidR="007C1957" w:rsidRPr="007C1957" w:rsidRDefault="007C1957" w:rsidP="007C1957">
      <w:pPr>
        <w:pStyle w:val="ListParagraph"/>
        <w:numPr>
          <w:ilvl w:val="0"/>
          <w:numId w:val="34"/>
        </w:numPr>
        <w:spacing w:after="0" w:line="240" w:lineRule="auto"/>
        <w:rPr>
          <w:rFonts w:ascii="Arial" w:hAnsi="Arial" w:cs="Arial"/>
          <w:sz w:val="24"/>
          <w:szCs w:val="24"/>
        </w:rPr>
      </w:pPr>
      <w:r w:rsidRPr="007C1957">
        <w:rPr>
          <w:rFonts w:ascii="Arial" w:hAnsi="Arial" w:cs="Arial"/>
          <w:sz w:val="24"/>
          <w:szCs w:val="24"/>
        </w:rPr>
        <w:t>ensuring such internal controls are in place as deemed necessary to enable the preparation of financial statements to be free from material misstatement, whether due to fraud or error;</w:t>
      </w:r>
    </w:p>
    <w:p w14:paraId="3A59E878" w14:textId="77777777" w:rsidR="007C1957" w:rsidRPr="007C1957" w:rsidRDefault="007C1957" w:rsidP="007C1957">
      <w:pPr>
        <w:pStyle w:val="ListParagraph"/>
        <w:numPr>
          <w:ilvl w:val="0"/>
          <w:numId w:val="34"/>
        </w:numPr>
        <w:spacing w:after="0" w:line="240" w:lineRule="auto"/>
        <w:rPr>
          <w:rFonts w:ascii="Arial" w:hAnsi="Arial" w:cs="Arial"/>
          <w:sz w:val="24"/>
          <w:szCs w:val="24"/>
        </w:rPr>
      </w:pPr>
      <w:r w:rsidRPr="007C1957">
        <w:rPr>
          <w:rFonts w:ascii="Arial" w:hAnsi="Arial" w:cs="Arial"/>
          <w:sz w:val="24"/>
          <w:szCs w:val="24"/>
        </w:rPr>
        <w:t>preparing financial statements which give a true and fair view and are in accordance with HM Treasury directions issued under the Government Resources and Accounts Act 2000;</w:t>
      </w:r>
    </w:p>
    <w:p w14:paraId="263823CE" w14:textId="77777777" w:rsidR="007C1957" w:rsidRPr="007C1957" w:rsidRDefault="007C1957" w:rsidP="007C1957">
      <w:pPr>
        <w:pStyle w:val="ListParagraph"/>
        <w:numPr>
          <w:ilvl w:val="0"/>
          <w:numId w:val="34"/>
        </w:numPr>
        <w:spacing w:after="0" w:line="240" w:lineRule="auto"/>
        <w:rPr>
          <w:rFonts w:ascii="Arial" w:hAnsi="Arial" w:cs="Arial"/>
          <w:sz w:val="24"/>
          <w:szCs w:val="24"/>
        </w:rPr>
      </w:pPr>
      <w:r w:rsidRPr="007C1957">
        <w:rPr>
          <w:rFonts w:ascii="Arial" w:hAnsi="Arial" w:cs="Arial"/>
          <w:sz w:val="24"/>
          <w:szCs w:val="24"/>
        </w:rPr>
        <w:t>preparing the annual report, which includes the Remuneration and Staff Report, in accordance with HM Treasury directions issued under the Government Resources and Accounts Act 2000; and</w:t>
      </w:r>
    </w:p>
    <w:p w14:paraId="52C25201" w14:textId="77777777" w:rsidR="007C1957" w:rsidRPr="007C1957" w:rsidRDefault="007C1957" w:rsidP="007C1957">
      <w:pPr>
        <w:pStyle w:val="ListParagraph"/>
        <w:numPr>
          <w:ilvl w:val="0"/>
          <w:numId w:val="34"/>
        </w:numPr>
        <w:spacing w:after="0" w:line="240" w:lineRule="auto"/>
        <w:rPr>
          <w:rFonts w:ascii="Arial" w:hAnsi="Arial" w:cs="Arial"/>
          <w:sz w:val="24"/>
          <w:szCs w:val="24"/>
        </w:rPr>
      </w:pPr>
      <w:r w:rsidRPr="007C1957">
        <w:rPr>
          <w:rFonts w:ascii="Arial" w:hAnsi="Arial" w:cs="Arial"/>
          <w:sz w:val="24"/>
          <w:szCs w:val="24"/>
        </w:rPr>
        <w:t>assessing the Insolvency Service’s ability to continue as a going concern, disclosing, as applicable, matters related to going concern and using the going concern basis of accounting unless the Accounting Officer anticipates that the services provided by the Insolvency Service will not continue to be provided in the future.</w:t>
      </w:r>
    </w:p>
    <w:p w14:paraId="03D0C4BD" w14:textId="77777777" w:rsidR="007C1957" w:rsidRPr="007C1957" w:rsidRDefault="007C1957" w:rsidP="007C1957">
      <w:pPr>
        <w:spacing w:after="0" w:line="240" w:lineRule="auto"/>
        <w:rPr>
          <w:rFonts w:ascii="Arial" w:hAnsi="Arial" w:cs="Arial"/>
        </w:rPr>
      </w:pPr>
    </w:p>
    <w:p w14:paraId="7B182800" w14:textId="77777777" w:rsidR="007C1957" w:rsidRPr="007C1957" w:rsidRDefault="007C1957" w:rsidP="000E2597">
      <w:pPr>
        <w:pStyle w:val="Heading4"/>
        <w:rPr>
          <w:rFonts w:cs="Arial"/>
          <w:b w:val="0"/>
          <w:szCs w:val="28"/>
        </w:rPr>
      </w:pPr>
      <w:r w:rsidRPr="007C1957">
        <w:t>Auditor’s responsibilities for the audit of the financial statements</w:t>
      </w:r>
    </w:p>
    <w:p w14:paraId="68C381AE" w14:textId="77777777" w:rsidR="007C1957" w:rsidRPr="007C1957" w:rsidRDefault="007C1957" w:rsidP="007C1957">
      <w:pPr>
        <w:spacing w:after="0" w:line="240" w:lineRule="auto"/>
        <w:rPr>
          <w:rFonts w:ascii="Arial" w:hAnsi="Arial" w:cs="Arial"/>
        </w:rPr>
      </w:pPr>
    </w:p>
    <w:p w14:paraId="2F52EFD1"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My responsibility is to audit, certify and report on the financial statements in accordance with the Government Resources and Accounts Act 2000.</w:t>
      </w:r>
    </w:p>
    <w:p w14:paraId="1BC6E537" w14:textId="77777777" w:rsidR="007C1957" w:rsidRPr="007C1957" w:rsidRDefault="007C1957" w:rsidP="007C1957">
      <w:pPr>
        <w:spacing w:after="0" w:line="240" w:lineRule="auto"/>
        <w:rPr>
          <w:rFonts w:ascii="Arial" w:hAnsi="Arial" w:cs="Arial"/>
          <w:sz w:val="24"/>
          <w:szCs w:val="24"/>
        </w:rPr>
      </w:pPr>
    </w:p>
    <w:p w14:paraId="385442FA"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My objectives are to obtain reasonable assurance about whether the financial statements as a whole are free from material misstatement, whether due to fraud or error, and to issue a certificate that includes my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139A3C0D" w14:textId="77777777" w:rsidR="007C1957" w:rsidRPr="007C1957" w:rsidRDefault="007C1957" w:rsidP="007C1957">
      <w:pPr>
        <w:spacing w:after="0" w:line="240" w:lineRule="auto"/>
        <w:rPr>
          <w:rFonts w:ascii="Arial" w:hAnsi="Arial" w:cs="Arial"/>
        </w:rPr>
      </w:pPr>
    </w:p>
    <w:p w14:paraId="6AE48F6A" w14:textId="77777777" w:rsidR="000E2597" w:rsidRDefault="000E2597">
      <w:pPr>
        <w:rPr>
          <w:rFonts w:ascii="Arial" w:eastAsiaTheme="majorEastAsia" w:hAnsi="Arial" w:cstheme="majorBidi"/>
          <w:b/>
          <w:iCs/>
          <w:color w:val="1F3864" w:themeColor="accent1" w:themeShade="80"/>
          <w:kern w:val="0"/>
          <w:sz w:val="28"/>
          <w14:ligatures w14:val="none"/>
        </w:rPr>
      </w:pPr>
      <w:r>
        <w:br w:type="page"/>
      </w:r>
    </w:p>
    <w:p w14:paraId="1EFE804A" w14:textId="34458AA4" w:rsidR="007C1957" w:rsidRPr="007C1957" w:rsidRDefault="007C1957" w:rsidP="000E2597">
      <w:pPr>
        <w:pStyle w:val="Heading4"/>
        <w:rPr>
          <w:rFonts w:cs="Arial"/>
          <w:b w:val="0"/>
          <w:sz w:val="24"/>
          <w:szCs w:val="24"/>
        </w:rPr>
      </w:pPr>
      <w:r w:rsidRPr="007C1957">
        <w:lastRenderedPageBreak/>
        <w:t>Extent to which the audit was considered capable of detecting non-compliance with laws and regulations, including fraud</w:t>
      </w:r>
    </w:p>
    <w:p w14:paraId="248C47E3" w14:textId="77777777" w:rsidR="007C1957" w:rsidRPr="007C1957" w:rsidRDefault="007C1957" w:rsidP="007C1957">
      <w:pPr>
        <w:spacing w:after="0" w:line="240" w:lineRule="auto"/>
        <w:rPr>
          <w:rFonts w:ascii="Arial" w:hAnsi="Arial" w:cs="Arial"/>
        </w:rPr>
      </w:pPr>
    </w:p>
    <w:p w14:paraId="34AEA15D"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 design procedures in line with my responsibilities, outlined above, to detect material misstatements in respect of non-compliance with laws and regulations, including fraud. The extent to which my procedures are capable of detecting non-compliance with laws and regulations, including fraud is detailed below.</w:t>
      </w:r>
    </w:p>
    <w:p w14:paraId="2A7134B8" w14:textId="77777777" w:rsidR="007C1957" w:rsidRPr="007C1957" w:rsidRDefault="007C1957" w:rsidP="007C1957">
      <w:pPr>
        <w:spacing w:after="0" w:line="240" w:lineRule="auto"/>
        <w:rPr>
          <w:rFonts w:ascii="Arial" w:hAnsi="Arial" w:cs="Arial"/>
        </w:rPr>
      </w:pPr>
    </w:p>
    <w:p w14:paraId="540038B4" w14:textId="77777777" w:rsidR="007C1957" w:rsidRPr="007C1957" w:rsidRDefault="007C1957" w:rsidP="000E2597">
      <w:pPr>
        <w:pStyle w:val="Heading4"/>
        <w:rPr>
          <w:rFonts w:cs="Arial"/>
          <w:b w:val="0"/>
          <w:sz w:val="24"/>
          <w:szCs w:val="24"/>
        </w:rPr>
      </w:pPr>
      <w:r w:rsidRPr="007C1957">
        <w:t>Identifying and assessing potential risks related to non-compliance with laws and regulations, including fraud</w:t>
      </w:r>
    </w:p>
    <w:p w14:paraId="278C44A2" w14:textId="77777777" w:rsidR="007C1957" w:rsidRPr="007C1957" w:rsidRDefault="007C1957" w:rsidP="007C1957">
      <w:pPr>
        <w:spacing w:after="0" w:line="240" w:lineRule="auto"/>
        <w:rPr>
          <w:rFonts w:ascii="Arial" w:hAnsi="Arial" w:cs="Arial"/>
          <w:sz w:val="24"/>
          <w:szCs w:val="24"/>
        </w:rPr>
      </w:pPr>
    </w:p>
    <w:p w14:paraId="4B31BC43"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In identifying and assessing risks of material misstatement in respect of non-compliance with laws and regulations, including fraud, I:</w:t>
      </w:r>
    </w:p>
    <w:p w14:paraId="4E104622" w14:textId="2225B524" w:rsidR="007C1957" w:rsidRPr="007C1957" w:rsidRDefault="007C1957" w:rsidP="007C1957">
      <w:pPr>
        <w:pStyle w:val="ListParagraph"/>
        <w:numPr>
          <w:ilvl w:val="0"/>
          <w:numId w:val="35"/>
        </w:numPr>
        <w:spacing w:after="0" w:line="240" w:lineRule="auto"/>
        <w:rPr>
          <w:rFonts w:ascii="Arial" w:hAnsi="Arial" w:cs="Arial"/>
          <w:sz w:val="24"/>
          <w:szCs w:val="24"/>
        </w:rPr>
      </w:pPr>
      <w:r w:rsidRPr="007C1957">
        <w:rPr>
          <w:rFonts w:ascii="Arial" w:hAnsi="Arial" w:cs="Arial"/>
          <w:sz w:val="24"/>
          <w:szCs w:val="24"/>
        </w:rPr>
        <w:t>considered the nature of the sector, control environment and operational performance including the design of the Insolvency Service’s accounting policies.</w:t>
      </w:r>
    </w:p>
    <w:p w14:paraId="615F607D" w14:textId="77777777" w:rsidR="007C1957" w:rsidRPr="007C1957" w:rsidRDefault="007C1957" w:rsidP="007C1957">
      <w:pPr>
        <w:pStyle w:val="ListParagraph"/>
        <w:numPr>
          <w:ilvl w:val="0"/>
          <w:numId w:val="35"/>
        </w:numPr>
        <w:spacing w:after="0" w:line="240" w:lineRule="auto"/>
        <w:rPr>
          <w:rFonts w:ascii="Arial" w:hAnsi="Arial" w:cs="Arial"/>
          <w:sz w:val="24"/>
          <w:szCs w:val="24"/>
        </w:rPr>
      </w:pPr>
      <w:r w:rsidRPr="007C1957">
        <w:rPr>
          <w:rFonts w:ascii="Arial" w:hAnsi="Arial" w:cs="Arial"/>
          <w:sz w:val="24"/>
          <w:szCs w:val="24"/>
        </w:rPr>
        <w:t>enquired of management, the Government Internal Audit Agency and those charged with governance, including obtaining and reviewing supporting documentation relating to the Insolvency Service’s policies and procedures on:</w:t>
      </w:r>
    </w:p>
    <w:p w14:paraId="230588F5" w14:textId="77777777" w:rsidR="007C1957" w:rsidRPr="007C1957" w:rsidRDefault="007C1957" w:rsidP="007C1957">
      <w:pPr>
        <w:pStyle w:val="ListParagraph"/>
        <w:numPr>
          <w:ilvl w:val="1"/>
          <w:numId w:val="36"/>
        </w:numPr>
        <w:spacing w:after="0" w:line="240" w:lineRule="auto"/>
        <w:rPr>
          <w:rFonts w:ascii="Arial" w:hAnsi="Arial" w:cs="Arial"/>
          <w:sz w:val="24"/>
          <w:szCs w:val="24"/>
        </w:rPr>
      </w:pPr>
      <w:r w:rsidRPr="007C1957">
        <w:rPr>
          <w:rFonts w:ascii="Arial" w:hAnsi="Arial" w:cs="Arial"/>
          <w:sz w:val="24"/>
          <w:szCs w:val="24"/>
        </w:rPr>
        <w:t>identifying, evaluating and complying with laws and regulations;</w:t>
      </w:r>
    </w:p>
    <w:p w14:paraId="2663E7E9" w14:textId="77777777" w:rsidR="007C1957" w:rsidRPr="007C1957" w:rsidRDefault="007C1957" w:rsidP="007C1957">
      <w:pPr>
        <w:pStyle w:val="ListParagraph"/>
        <w:numPr>
          <w:ilvl w:val="1"/>
          <w:numId w:val="36"/>
        </w:numPr>
        <w:spacing w:after="0" w:line="240" w:lineRule="auto"/>
        <w:rPr>
          <w:rFonts w:ascii="Arial" w:hAnsi="Arial" w:cs="Arial"/>
          <w:sz w:val="24"/>
          <w:szCs w:val="24"/>
        </w:rPr>
      </w:pPr>
      <w:r w:rsidRPr="007C1957">
        <w:rPr>
          <w:rFonts w:ascii="Arial" w:hAnsi="Arial" w:cs="Arial"/>
          <w:sz w:val="24"/>
          <w:szCs w:val="24"/>
        </w:rPr>
        <w:t>detecting and responding to the risks of fraud; and</w:t>
      </w:r>
    </w:p>
    <w:p w14:paraId="61C4A55E" w14:textId="77777777" w:rsidR="007C1957" w:rsidRPr="007C1957" w:rsidRDefault="007C1957" w:rsidP="007C1957">
      <w:pPr>
        <w:pStyle w:val="ListParagraph"/>
        <w:numPr>
          <w:ilvl w:val="1"/>
          <w:numId w:val="36"/>
        </w:numPr>
        <w:spacing w:after="0" w:line="240" w:lineRule="auto"/>
        <w:rPr>
          <w:rFonts w:ascii="Arial" w:hAnsi="Arial" w:cs="Arial"/>
          <w:sz w:val="24"/>
          <w:szCs w:val="24"/>
        </w:rPr>
      </w:pPr>
      <w:r w:rsidRPr="007C1957">
        <w:rPr>
          <w:rFonts w:ascii="Arial" w:hAnsi="Arial" w:cs="Arial"/>
          <w:sz w:val="24"/>
          <w:szCs w:val="24"/>
        </w:rPr>
        <w:t>the internal controls established to mitigate risks related to fraud or non-compliance with laws and regulations including the Insolvency Service’s controls relating to the Insolvency Service’s compliance with the Government Resources and Accounts Act 2000 and Managing Public Money;</w:t>
      </w:r>
    </w:p>
    <w:p w14:paraId="5008EB2D" w14:textId="77777777" w:rsidR="007C1957" w:rsidRPr="007C1957" w:rsidRDefault="007C1957" w:rsidP="007C1957">
      <w:pPr>
        <w:pStyle w:val="ListParagraph"/>
        <w:numPr>
          <w:ilvl w:val="0"/>
          <w:numId w:val="35"/>
        </w:numPr>
        <w:spacing w:after="0" w:line="240" w:lineRule="auto"/>
        <w:rPr>
          <w:rFonts w:ascii="Arial" w:hAnsi="Arial" w:cs="Arial"/>
          <w:sz w:val="24"/>
          <w:szCs w:val="24"/>
        </w:rPr>
      </w:pPr>
      <w:r w:rsidRPr="007C1957">
        <w:rPr>
          <w:rFonts w:ascii="Arial" w:hAnsi="Arial" w:cs="Arial"/>
          <w:sz w:val="24"/>
          <w:szCs w:val="24"/>
        </w:rPr>
        <w:t>enquired of management, the Government Internal Audit Agency and those charged with governance whether:</w:t>
      </w:r>
    </w:p>
    <w:p w14:paraId="013309FF" w14:textId="77777777" w:rsidR="007C1957" w:rsidRPr="007C1957" w:rsidRDefault="007C1957" w:rsidP="007C1957">
      <w:pPr>
        <w:pStyle w:val="ListParagraph"/>
        <w:numPr>
          <w:ilvl w:val="0"/>
          <w:numId w:val="37"/>
        </w:numPr>
        <w:spacing w:after="0" w:line="240" w:lineRule="auto"/>
        <w:rPr>
          <w:rFonts w:ascii="Arial" w:hAnsi="Arial" w:cs="Arial"/>
          <w:sz w:val="24"/>
          <w:szCs w:val="24"/>
        </w:rPr>
      </w:pPr>
      <w:r w:rsidRPr="007C1957">
        <w:rPr>
          <w:rFonts w:ascii="Arial" w:hAnsi="Arial" w:cs="Arial"/>
          <w:sz w:val="24"/>
          <w:szCs w:val="24"/>
        </w:rPr>
        <w:t>they were aware of any instances of non-compliance with laws and regulations; and</w:t>
      </w:r>
    </w:p>
    <w:p w14:paraId="1E133DA7" w14:textId="77777777" w:rsidR="007C1957" w:rsidRPr="007C1957" w:rsidRDefault="007C1957" w:rsidP="007C1957">
      <w:pPr>
        <w:pStyle w:val="ListParagraph"/>
        <w:numPr>
          <w:ilvl w:val="0"/>
          <w:numId w:val="37"/>
        </w:numPr>
        <w:spacing w:after="0" w:line="240" w:lineRule="auto"/>
        <w:rPr>
          <w:rFonts w:ascii="Arial" w:hAnsi="Arial" w:cs="Arial"/>
          <w:sz w:val="24"/>
          <w:szCs w:val="24"/>
        </w:rPr>
      </w:pPr>
      <w:r w:rsidRPr="007C1957">
        <w:rPr>
          <w:rFonts w:ascii="Arial" w:hAnsi="Arial" w:cs="Arial"/>
          <w:sz w:val="24"/>
          <w:szCs w:val="24"/>
        </w:rPr>
        <w:t>they had knowledge of any actual, suspected, or alleged fraud;</w:t>
      </w:r>
    </w:p>
    <w:p w14:paraId="6330E41E" w14:textId="77777777" w:rsidR="007C1957" w:rsidRPr="007C1957" w:rsidRDefault="007C1957" w:rsidP="007C1957">
      <w:pPr>
        <w:pStyle w:val="ListParagraph"/>
        <w:numPr>
          <w:ilvl w:val="0"/>
          <w:numId w:val="35"/>
        </w:numPr>
        <w:spacing w:after="0" w:line="240" w:lineRule="auto"/>
        <w:rPr>
          <w:rFonts w:ascii="Arial" w:hAnsi="Arial" w:cs="Arial"/>
          <w:sz w:val="24"/>
          <w:szCs w:val="24"/>
        </w:rPr>
      </w:pPr>
      <w:r w:rsidRPr="007C1957">
        <w:rPr>
          <w:rFonts w:ascii="Arial" w:hAnsi="Arial" w:cs="Arial"/>
          <w:sz w:val="24"/>
          <w:szCs w:val="24"/>
        </w:rPr>
        <w:t>discussed with the engagement team regarding how and where fraud might occur in the financial statements and any potential indicators of fraud.</w:t>
      </w:r>
    </w:p>
    <w:p w14:paraId="65AC3DEE" w14:textId="77777777" w:rsidR="007C1957" w:rsidRPr="007C1957" w:rsidRDefault="007C1957" w:rsidP="007C1957">
      <w:pPr>
        <w:spacing w:after="0" w:line="240" w:lineRule="auto"/>
        <w:rPr>
          <w:rFonts w:ascii="Arial" w:hAnsi="Arial" w:cs="Arial"/>
          <w:sz w:val="24"/>
          <w:szCs w:val="24"/>
        </w:rPr>
      </w:pPr>
    </w:p>
    <w:p w14:paraId="1BD0D2B1"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As a result of these procedures, I considered the opportunities and incentives that may exist within the Insolvency Service for fraud and identified the greatest potential for fraud in the following areas: revenue recognition, posting of unusual journals, complex transactions, bias in management estimates and payments made by the Redundancy Payments Service. In common with all audits under ISAs (UK), I am required to perform specific procedures to respond to the risk of management override.</w:t>
      </w:r>
    </w:p>
    <w:p w14:paraId="352F941D" w14:textId="77777777" w:rsidR="007C1957" w:rsidRPr="007C1957" w:rsidRDefault="007C1957" w:rsidP="007C1957">
      <w:pPr>
        <w:spacing w:after="0" w:line="240" w:lineRule="auto"/>
        <w:rPr>
          <w:rFonts w:ascii="Arial" w:hAnsi="Arial" w:cs="Arial"/>
          <w:sz w:val="24"/>
          <w:szCs w:val="24"/>
        </w:rPr>
      </w:pPr>
    </w:p>
    <w:p w14:paraId="0507799B" w14:textId="77777777" w:rsidR="002A5AC5" w:rsidRDefault="002A5AC5">
      <w:pPr>
        <w:rPr>
          <w:rFonts w:ascii="Arial" w:hAnsi="Arial" w:cs="Arial"/>
          <w:sz w:val="24"/>
          <w:szCs w:val="24"/>
        </w:rPr>
      </w:pPr>
      <w:r>
        <w:rPr>
          <w:rFonts w:ascii="Arial" w:hAnsi="Arial" w:cs="Arial"/>
          <w:sz w:val="24"/>
          <w:szCs w:val="24"/>
        </w:rPr>
        <w:br w:type="page"/>
      </w:r>
    </w:p>
    <w:p w14:paraId="7D51DEC5" w14:textId="7BB5B5AC"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lastRenderedPageBreak/>
        <w:t>I obtained an understanding of the Insolvency Service’s framework of authority and other legal and regulatory frameworks in which the Insolvency Service operates. I focused on those laws and regulations that had a direct effect on material amounts and disclosures in the financial statements or that had a fundamental effect on the operations of the Insolvency Service. The key laws and regulations I considered in this context included the Government Resources and Accounts Act 2000, Managing Public Money, Supply and Appropriation (Main Estimates) Act 2023, relevant employment law and tax legislation.</w:t>
      </w:r>
    </w:p>
    <w:p w14:paraId="2A654371" w14:textId="77777777" w:rsidR="003E300C" w:rsidRDefault="003E300C" w:rsidP="000E2597">
      <w:pPr>
        <w:pStyle w:val="Heading4"/>
      </w:pPr>
    </w:p>
    <w:p w14:paraId="3F0F92C4" w14:textId="74062278" w:rsidR="007C1957" w:rsidRPr="007C1957" w:rsidRDefault="007C1957" w:rsidP="000E2597">
      <w:pPr>
        <w:pStyle w:val="Heading4"/>
        <w:rPr>
          <w:rFonts w:cs="Arial"/>
          <w:b w:val="0"/>
          <w:sz w:val="24"/>
          <w:szCs w:val="24"/>
        </w:rPr>
      </w:pPr>
      <w:r w:rsidRPr="007C1957">
        <w:t>Audit response to identified risk</w:t>
      </w:r>
    </w:p>
    <w:p w14:paraId="537E3B79" w14:textId="77777777" w:rsidR="007C1957" w:rsidRPr="007C1957" w:rsidRDefault="007C1957" w:rsidP="007C1957">
      <w:pPr>
        <w:spacing w:after="0" w:line="240" w:lineRule="auto"/>
        <w:rPr>
          <w:rFonts w:ascii="Arial" w:hAnsi="Arial" w:cs="Arial"/>
        </w:rPr>
      </w:pPr>
    </w:p>
    <w:p w14:paraId="2CBC7BBB"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To respond to the identified risks resulting from the above procedures:</w:t>
      </w:r>
    </w:p>
    <w:p w14:paraId="55E3888D" w14:textId="77777777" w:rsidR="007C1957" w:rsidRPr="007C1957" w:rsidRDefault="007C1957" w:rsidP="007C1957">
      <w:pPr>
        <w:pStyle w:val="ListParagraph"/>
        <w:numPr>
          <w:ilvl w:val="0"/>
          <w:numId w:val="38"/>
        </w:numPr>
        <w:spacing w:after="0" w:line="240" w:lineRule="auto"/>
        <w:rPr>
          <w:rFonts w:ascii="Arial" w:hAnsi="Arial" w:cs="Arial"/>
          <w:sz w:val="24"/>
          <w:szCs w:val="24"/>
        </w:rPr>
      </w:pPr>
      <w:r w:rsidRPr="007C1957">
        <w:rPr>
          <w:rFonts w:ascii="Arial" w:hAnsi="Arial" w:cs="Arial"/>
          <w:sz w:val="24"/>
          <w:szCs w:val="24"/>
        </w:rPr>
        <w:t>I reviewed the financial statement disclosures and testing to supporting documentation to assess compliance with provisions of relevant laws and regulations described above as having direct effect on the financial statements;</w:t>
      </w:r>
    </w:p>
    <w:p w14:paraId="14FA7E57" w14:textId="77777777" w:rsidR="007C1957" w:rsidRPr="007C1957" w:rsidRDefault="007C1957" w:rsidP="007C1957">
      <w:pPr>
        <w:pStyle w:val="ListParagraph"/>
        <w:numPr>
          <w:ilvl w:val="0"/>
          <w:numId w:val="38"/>
        </w:numPr>
        <w:spacing w:after="0" w:line="240" w:lineRule="auto"/>
        <w:rPr>
          <w:rFonts w:ascii="Arial" w:hAnsi="Arial" w:cs="Arial"/>
          <w:sz w:val="24"/>
          <w:szCs w:val="24"/>
        </w:rPr>
      </w:pPr>
      <w:r w:rsidRPr="007C1957">
        <w:rPr>
          <w:rFonts w:ascii="Arial" w:hAnsi="Arial" w:cs="Arial"/>
          <w:sz w:val="24"/>
          <w:szCs w:val="24"/>
        </w:rPr>
        <w:t>I enquired of management, the Audit and Risk Committee and in-house legal counsel concerning actual and potential litigation and claims;</w:t>
      </w:r>
    </w:p>
    <w:p w14:paraId="68CD7F68" w14:textId="77777777" w:rsidR="007C1957" w:rsidRPr="007C1957" w:rsidRDefault="007C1957" w:rsidP="007C1957">
      <w:pPr>
        <w:pStyle w:val="ListParagraph"/>
        <w:numPr>
          <w:ilvl w:val="0"/>
          <w:numId w:val="38"/>
        </w:numPr>
        <w:spacing w:after="0" w:line="240" w:lineRule="auto"/>
        <w:rPr>
          <w:rFonts w:ascii="Arial" w:hAnsi="Arial" w:cs="Arial"/>
          <w:sz w:val="24"/>
          <w:szCs w:val="24"/>
        </w:rPr>
      </w:pPr>
      <w:r w:rsidRPr="007C1957">
        <w:rPr>
          <w:rFonts w:ascii="Arial" w:hAnsi="Arial" w:cs="Arial"/>
          <w:sz w:val="24"/>
          <w:szCs w:val="24"/>
        </w:rPr>
        <w:t>I reviewed minutes of meetings of those charged with governance and the Board; and internal audit reports;</w:t>
      </w:r>
    </w:p>
    <w:p w14:paraId="2E9DB4A4" w14:textId="77777777" w:rsidR="007C1957" w:rsidRPr="007C1957" w:rsidRDefault="007C1957" w:rsidP="007C1957">
      <w:pPr>
        <w:pStyle w:val="ListParagraph"/>
        <w:numPr>
          <w:ilvl w:val="0"/>
          <w:numId w:val="38"/>
        </w:numPr>
        <w:spacing w:after="0" w:line="240" w:lineRule="auto"/>
        <w:rPr>
          <w:rFonts w:ascii="Arial" w:hAnsi="Arial" w:cs="Arial"/>
          <w:sz w:val="24"/>
          <w:szCs w:val="24"/>
        </w:rPr>
      </w:pPr>
      <w:r w:rsidRPr="007C1957">
        <w:rPr>
          <w:rFonts w:ascii="Arial" w:hAnsi="Arial" w:cs="Arial"/>
          <w:sz w:val="24"/>
          <w:szCs w:val="24"/>
        </w:rPr>
        <w:t>I addressed the risk of fraud through management override of controls by testing the appropriateness of journal entries and other adjustments; assessing whether the judgements on estimates are indicative of a potential bias; and evaluating the business rationale of any significant transactions that are unusual or outside the normal course of business; and</w:t>
      </w:r>
    </w:p>
    <w:p w14:paraId="7327B4B8" w14:textId="77777777" w:rsidR="007C1957" w:rsidRPr="007C1957" w:rsidRDefault="007C1957" w:rsidP="007C1957">
      <w:pPr>
        <w:pStyle w:val="ListParagraph"/>
        <w:numPr>
          <w:ilvl w:val="0"/>
          <w:numId w:val="38"/>
        </w:numPr>
        <w:spacing w:after="0" w:line="240" w:lineRule="auto"/>
        <w:rPr>
          <w:rFonts w:ascii="Arial" w:hAnsi="Arial" w:cs="Arial"/>
          <w:sz w:val="24"/>
          <w:szCs w:val="24"/>
        </w:rPr>
      </w:pPr>
      <w:r w:rsidRPr="007C1957">
        <w:rPr>
          <w:rFonts w:ascii="Arial" w:hAnsi="Arial" w:cs="Arial"/>
          <w:sz w:val="24"/>
          <w:szCs w:val="24"/>
        </w:rPr>
        <w:t>in response to non-compliance with laws and regulations identified, on the deduction of national insurance from payments made by the Redundancy Payments Service, I verified the estimated impact, reviewed the regularity implications and the associated disclosures made in the Accountability Report and the financial statements.</w:t>
      </w:r>
    </w:p>
    <w:p w14:paraId="554CD913" w14:textId="77777777" w:rsidR="007C1957" w:rsidRPr="007C1957" w:rsidRDefault="007C1957" w:rsidP="007C1957">
      <w:pPr>
        <w:spacing w:after="0" w:line="240" w:lineRule="auto"/>
        <w:rPr>
          <w:rFonts w:ascii="Arial" w:hAnsi="Arial" w:cs="Arial"/>
          <w:sz w:val="24"/>
          <w:szCs w:val="24"/>
        </w:rPr>
      </w:pPr>
    </w:p>
    <w:p w14:paraId="00308CD7"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 communicated relevant identified laws and regulations and potential risks of fraud to all engagement team members and remained alert to any indications of fraud or non-compliance with laws and regulations throughout the audit.</w:t>
      </w:r>
    </w:p>
    <w:p w14:paraId="6197CCE6" w14:textId="77777777" w:rsidR="007C1957" w:rsidRPr="007C1957" w:rsidRDefault="007C1957" w:rsidP="007C1957">
      <w:pPr>
        <w:spacing w:after="0" w:line="240" w:lineRule="auto"/>
        <w:rPr>
          <w:rFonts w:ascii="Arial" w:hAnsi="Arial" w:cs="Arial"/>
          <w:sz w:val="24"/>
          <w:szCs w:val="24"/>
        </w:rPr>
      </w:pPr>
    </w:p>
    <w:p w14:paraId="179C879F"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 xml:space="preserve">A further description of my responsibilities for the audit of the financial statements is located on the Financial Reporting Council’s website at: </w:t>
      </w:r>
      <w:hyperlink r:id="rId54" w:history="1">
        <w:r w:rsidRPr="007C1957">
          <w:rPr>
            <w:rStyle w:val="Hyperlink"/>
            <w:rFonts w:ascii="Arial" w:hAnsi="Arial" w:cs="Arial"/>
            <w:sz w:val="24"/>
            <w:szCs w:val="24"/>
          </w:rPr>
          <w:t>www.frc.org.uk/auditorsresponsibilities</w:t>
        </w:r>
      </w:hyperlink>
      <w:r w:rsidRPr="007C1957">
        <w:rPr>
          <w:rFonts w:ascii="Arial" w:hAnsi="Arial" w:cs="Arial"/>
          <w:sz w:val="24"/>
          <w:szCs w:val="24"/>
        </w:rPr>
        <w:t>. This description forms part of my certificate.</w:t>
      </w:r>
    </w:p>
    <w:p w14:paraId="6B0BAE7C" w14:textId="77777777" w:rsidR="007C1957" w:rsidRPr="007C1957" w:rsidRDefault="007C1957" w:rsidP="007C1957">
      <w:pPr>
        <w:spacing w:after="0" w:line="240" w:lineRule="auto"/>
        <w:rPr>
          <w:rFonts w:ascii="Arial" w:hAnsi="Arial" w:cs="Arial"/>
          <w:sz w:val="24"/>
          <w:szCs w:val="24"/>
        </w:rPr>
      </w:pPr>
    </w:p>
    <w:p w14:paraId="3A31AF14" w14:textId="77777777" w:rsidR="007C1957" w:rsidRPr="007C1957" w:rsidRDefault="007C1957" w:rsidP="000E2597">
      <w:pPr>
        <w:pStyle w:val="Heading4"/>
        <w:rPr>
          <w:rFonts w:cs="Arial"/>
          <w:b w:val="0"/>
          <w:sz w:val="24"/>
          <w:szCs w:val="24"/>
        </w:rPr>
      </w:pPr>
      <w:r w:rsidRPr="007C1957">
        <w:t>Other auditor’s responsibilities</w:t>
      </w:r>
    </w:p>
    <w:p w14:paraId="1F1658A0" w14:textId="77777777" w:rsidR="007C1957" w:rsidRPr="007C1957" w:rsidRDefault="007C1957" w:rsidP="007C1957">
      <w:pPr>
        <w:spacing w:after="0" w:line="240" w:lineRule="auto"/>
        <w:rPr>
          <w:rFonts w:ascii="Arial" w:hAnsi="Arial" w:cs="Arial"/>
        </w:rPr>
      </w:pPr>
    </w:p>
    <w:p w14:paraId="3752BB1B"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 am required to obtain sufficient appropriate audit evidence to give reasonable assurance that the expenditure and income recorded in the financial statements have been applied to the purposes intended by Parliament and the financial transactions recorded in the financial statements conform to the authorities which govern them.</w:t>
      </w:r>
    </w:p>
    <w:p w14:paraId="7BE0D17F" w14:textId="77777777" w:rsidR="007C1957" w:rsidRPr="007C1957" w:rsidRDefault="007C1957" w:rsidP="007C1957">
      <w:pPr>
        <w:spacing w:after="0" w:line="240" w:lineRule="auto"/>
        <w:rPr>
          <w:rFonts w:ascii="Arial" w:hAnsi="Arial" w:cs="Arial"/>
          <w:sz w:val="24"/>
          <w:szCs w:val="24"/>
        </w:rPr>
      </w:pPr>
    </w:p>
    <w:p w14:paraId="7AD1FB68"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lastRenderedPageBreak/>
        <w:t>I communicate with those charged with governance regarding, among other matters, the planned scope and timing of the audit and significant audit findings, including any significant deficiencies in internal control I identify during my audit.</w:t>
      </w:r>
    </w:p>
    <w:p w14:paraId="64A6B1CD" w14:textId="77777777" w:rsidR="007C1957" w:rsidRPr="007C1957" w:rsidRDefault="007C1957" w:rsidP="007C1957">
      <w:pPr>
        <w:spacing w:after="0" w:line="240" w:lineRule="auto"/>
        <w:rPr>
          <w:rFonts w:ascii="Arial" w:hAnsi="Arial" w:cs="Arial"/>
        </w:rPr>
      </w:pPr>
    </w:p>
    <w:p w14:paraId="69FFEA66" w14:textId="6EBDAAD6" w:rsidR="007C1957" w:rsidRPr="007C1957" w:rsidRDefault="007C1957" w:rsidP="000E2597">
      <w:pPr>
        <w:pStyle w:val="Heading4"/>
        <w:rPr>
          <w:rFonts w:cs="Arial"/>
          <w:b w:val="0"/>
          <w:szCs w:val="28"/>
        </w:rPr>
      </w:pPr>
      <w:r w:rsidRPr="007C1957">
        <w:t>Report</w:t>
      </w:r>
    </w:p>
    <w:p w14:paraId="19D03E99" w14:textId="77777777" w:rsidR="007C1957" w:rsidRPr="007C1957" w:rsidRDefault="007C1957" w:rsidP="007C1957">
      <w:pPr>
        <w:spacing w:after="0" w:line="240" w:lineRule="auto"/>
        <w:rPr>
          <w:rFonts w:ascii="Arial" w:hAnsi="Arial" w:cs="Arial"/>
        </w:rPr>
      </w:pPr>
    </w:p>
    <w:p w14:paraId="64FE2A81" w14:textId="77777777" w:rsidR="007C1957" w:rsidRPr="007C1957" w:rsidRDefault="007C1957" w:rsidP="007C1957">
      <w:pPr>
        <w:spacing w:after="0" w:line="240" w:lineRule="auto"/>
        <w:rPr>
          <w:rFonts w:ascii="Arial" w:hAnsi="Arial" w:cs="Arial"/>
          <w:sz w:val="24"/>
          <w:szCs w:val="24"/>
        </w:rPr>
      </w:pPr>
      <w:r w:rsidRPr="007C1957">
        <w:rPr>
          <w:rFonts w:ascii="Arial" w:hAnsi="Arial" w:cs="Arial"/>
          <w:sz w:val="24"/>
          <w:szCs w:val="24"/>
        </w:rPr>
        <w:t>I have no observations to make on these financial statements.</w:t>
      </w:r>
    </w:p>
    <w:p w14:paraId="05B1762D" w14:textId="77777777" w:rsidR="007C1957" w:rsidRPr="007C1957" w:rsidRDefault="007C1957" w:rsidP="007C1957">
      <w:pPr>
        <w:spacing w:after="0" w:line="240" w:lineRule="auto"/>
        <w:rPr>
          <w:rFonts w:ascii="Arial" w:hAnsi="Arial" w:cs="Arial"/>
        </w:rPr>
      </w:pPr>
    </w:p>
    <w:p w14:paraId="64E68FD0" w14:textId="01A58126" w:rsidR="007C1957" w:rsidRPr="007C1957" w:rsidRDefault="007C1957" w:rsidP="007050E6">
      <w:pPr>
        <w:tabs>
          <w:tab w:val="left" w:pos="7088"/>
        </w:tabs>
        <w:spacing w:after="0" w:line="240" w:lineRule="auto"/>
        <w:rPr>
          <w:rFonts w:ascii="Arial" w:hAnsi="Arial" w:cs="Arial"/>
          <w:b/>
          <w:bCs/>
        </w:rPr>
      </w:pPr>
      <w:r w:rsidRPr="007C1957">
        <w:rPr>
          <w:rFonts w:ascii="Arial" w:hAnsi="Arial" w:cs="Arial"/>
          <w:b/>
          <w:bCs/>
        </w:rPr>
        <w:t>Gareth Davies</w:t>
      </w:r>
      <w:r w:rsidRPr="007C1957">
        <w:rPr>
          <w:rFonts w:ascii="Arial" w:hAnsi="Arial" w:cs="Arial"/>
          <w:b/>
          <w:bCs/>
        </w:rPr>
        <w:tab/>
        <w:t>Date</w:t>
      </w:r>
      <w:r w:rsidR="00B46A56">
        <w:rPr>
          <w:rFonts w:ascii="Arial" w:hAnsi="Arial" w:cs="Arial"/>
          <w:b/>
          <w:bCs/>
        </w:rPr>
        <w:t>:</w:t>
      </w:r>
      <w:r w:rsidR="00AA292A">
        <w:rPr>
          <w:rFonts w:ascii="Arial" w:hAnsi="Arial" w:cs="Arial"/>
          <w:b/>
          <w:bCs/>
        </w:rPr>
        <w:t xml:space="preserve"> 17 </w:t>
      </w:r>
      <w:r w:rsidR="008D56DD">
        <w:rPr>
          <w:rFonts w:ascii="Arial" w:hAnsi="Arial" w:cs="Arial"/>
          <w:b/>
          <w:bCs/>
        </w:rPr>
        <w:t>July 202</w:t>
      </w:r>
      <w:r w:rsidR="005400B7">
        <w:rPr>
          <w:rFonts w:ascii="Arial" w:hAnsi="Arial" w:cs="Arial"/>
          <w:b/>
          <w:bCs/>
        </w:rPr>
        <w:t>4</w:t>
      </w:r>
    </w:p>
    <w:p w14:paraId="7C281519" w14:textId="77777777" w:rsidR="007C1957" w:rsidRPr="007C1957" w:rsidRDefault="007C1957" w:rsidP="007C1957">
      <w:pPr>
        <w:spacing w:after="0" w:line="240" w:lineRule="auto"/>
        <w:rPr>
          <w:rFonts w:ascii="Arial" w:hAnsi="Arial" w:cs="Arial"/>
          <w:b/>
          <w:bCs/>
        </w:rPr>
      </w:pPr>
      <w:r w:rsidRPr="007C1957">
        <w:rPr>
          <w:rFonts w:ascii="Arial" w:hAnsi="Arial" w:cs="Arial"/>
          <w:b/>
          <w:bCs/>
        </w:rPr>
        <w:t>Comptroller and Auditor General</w:t>
      </w:r>
    </w:p>
    <w:p w14:paraId="28BE478F" w14:textId="77777777" w:rsidR="007C1957" w:rsidRPr="007C1957" w:rsidRDefault="007C1957" w:rsidP="007C1957">
      <w:pPr>
        <w:spacing w:after="0" w:line="240" w:lineRule="auto"/>
        <w:rPr>
          <w:rFonts w:ascii="Arial" w:hAnsi="Arial" w:cs="Arial"/>
        </w:rPr>
      </w:pPr>
    </w:p>
    <w:p w14:paraId="26CC0CF2" w14:textId="77777777" w:rsidR="007C1957" w:rsidRPr="007C1957" w:rsidRDefault="007C1957" w:rsidP="007C1957">
      <w:pPr>
        <w:spacing w:after="0" w:line="240" w:lineRule="auto"/>
        <w:rPr>
          <w:rFonts w:ascii="Arial" w:hAnsi="Arial" w:cs="Arial"/>
        </w:rPr>
      </w:pPr>
      <w:r w:rsidRPr="007C1957">
        <w:rPr>
          <w:rFonts w:ascii="Arial" w:hAnsi="Arial" w:cs="Arial"/>
        </w:rPr>
        <w:t>National Audit Office</w:t>
      </w:r>
    </w:p>
    <w:p w14:paraId="7D196B23" w14:textId="77777777" w:rsidR="007C1957" w:rsidRPr="007C1957" w:rsidRDefault="007C1957" w:rsidP="007C1957">
      <w:pPr>
        <w:spacing w:after="0" w:line="240" w:lineRule="auto"/>
        <w:rPr>
          <w:rFonts w:ascii="Arial" w:hAnsi="Arial" w:cs="Arial"/>
        </w:rPr>
      </w:pPr>
      <w:r w:rsidRPr="007C1957">
        <w:rPr>
          <w:rFonts w:ascii="Arial" w:hAnsi="Arial" w:cs="Arial"/>
        </w:rPr>
        <w:t>157-197 Buckingham Palace Road</w:t>
      </w:r>
    </w:p>
    <w:p w14:paraId="53302C01" w14:textId="77777777" w:rsidR="007C1957" w:rsidRPr="007C1957" w:rsidRDefault="007C1957" w:rsidP="007C1957">
      <w:pPr>
        <w:spacing w:after="0" w:line="240" w:lineRule="auto"/>
        <w:rPr>
          <w:rFonts w:ascii="Arial" w:hAnsi="Arial" w:cs="Arial"/>
        </w:rPr>
      </w:pPr>
      <w:r w:rsidRPr="007C1957">
        <w:rPr>
          <w:rFonts w:ascii="Arial" w:hAnsi="Arial" w:cs="Arial"/>
        </w:rPr>
        <w:t>Victoria</w:t>
      </w:r>
    </w:p>
    <w:p w14:paraId="7A14F9CD" w14:textId="77777777" w:rsidR="007C1957" w:rsidRPr="007C1957" w:rsidRDefault="007C1957" w:rsidP="007C1957">
      <w:pPr>
        <w:spacing w:after="0" w:line="240" w:lineRule="auto"/>
        <w:rPr>
          <w:rFonts w:ascii="Arial" w:hAnsi="Arial" w:cs="Arial"/>
        </w:rPr>
      </w:pPr>
      <w:r w:rsidRPr="007C1957">
        <w:rPr>
          <w:rFonts w:ascii="Arial" w:hAnsi="Arial" w:cs="Arial"/>
        </w:rPr>
        <w:t>London</w:t>
      </w:r>
    </w:p>
    <w:p w14:paraId="400F168A" w14:textId="6B3CAEF8" w:rsidR="00560745" w:rsidRDefault="007C1957" w:rsidP="007C1957">
      <w:pPr>
        <w:spacing w:after="0" w:line="240" w:lineRule="auto"/>
        <w:rPr>
          <w:rFonts w:ascii="Arial" w:hAnsi="Arial" w:cs="Arial"/>
        </w:rPr>
      </w:pPr>
      <w:r w:rsidRPr="007C1957">
        <w:rPr>
          <w:rFonts w:ascii="Arial" w:hAnsi="Arial" w:cs="Arial"/>
        </w:rPr>
        <w:t>SW1W 9SP</w:t>
      </w:r>
    </w:p>
    <w:p w14:paraId="12113FDB" w14:textId="77777777" w:rsidR="00560745" w:rsidRDefault="00560745">
      <w:pPr>
        <w:rPr>
          <w:rFonts w:ascii="Arial" w:hAnsi="Arial" w:cs="Arial"/>
        </w:rPr>
      </w:pPr>
      <w:r>
        <w:rPr>
          <w:rFonts w:ascii="Arial" w:hAnsi="Arial" w:cs="Arial"/>
        </w:rPr>
        <w:br w:type="page"/>
      </w:r>
    </w:p>
    <w:p w14:paraId="1BBE9C2B" w14:textId="7A20806C" w:rsidR="00C36B3C" w:rsidRDefault="003775B4" w:rsidP="00DA127D">
      <w:pPr>
        <w:pStyle w:val="Heading3"/>
      </w:pPr>
      <w:r>
        <w:lastRenderedPageBreak/>
        <w:t xml:space="preserve">3. </w:t>
      </w:r>
      <w:r w:rsidR="00DA127D">
        <w:t>Financial Statements and note to the Agency’s Accounts</w:t>
      </w:r>
    </w:p>
    <w:tbl>
      <w:tblPr>
        <w:tblW w:w="8931" w:type="dxa"/>
        <w:tblLook w:val="04A0" w:firstRow="1" w:lastRow="0" w:firstColumn="1" w:lastColumn="0" w:noHBand="0" w:noVBand="1"/>
      </w:tblPr>
      <w:tblGrid>
        <w:gridCol w:w="5245"/>
        <w:gridCol w:w="851"/>
        <w:gridCol w:w="1417"/>
        <w:gridCol w:w="1418"/>
      </w:tblGrid>
      <w:tr w:rsidR="00560745" w14:paraId="10513F99" w14:textId="77777777" w:rsidTr="00560745">
        <w:trPr>
          <w:trHeight w:val="450"/>
        </w:trPr>
        <w:tc>
          <w:tcPr>
            <w:tcW w:w="8931" w:type="dxa"/>
            <w:gridSpan w:val="4"/>
            <w:noWrap/>
            <w:hideMark/>
          </w:tcPr>
          <w:p w14:paraId="437F93AD" w14:textId="3926ACC4" w:rsidR="00560745" w:rsidRDefault="00560745" w:rsidP="00DA127D">
            <w:pPr>
              <w:pStyle w:val="Heading4"/>
              <w:rPr>
                <w:lang w:eastAsia="en-GB"/>
              </w:rPr>
            </w:pPr>
            <w:r>
              <w:rPr>
                <w:lang w:eastAsia="en-GB"/>
              </w:rPr>
              <w:t>Statement of Comprehensive Net Expenditure</w:t>
            </w:r>
          </w:p>
        </w:tc>
      </w:tr>
      <w:tr w:rsidR="00560745" w14:paraId="6B28F794" w14:textId="77777777" w:rsidTr="00560745">
        <w:trPr>
          <w:trHeight w:val="315"/>
        </w:trPr>
        <w:tc>
          <w:tcPr>
            <w:tcW w:w="5245" w:type="dxa"/>
            <w:tcBorders>
              <w:top w:val="nil"/>
              <w:left w:val="nil"/>
              <w:bottom w:val="single" w:sz="8" w:space="0" w:color="auto"/>
              <w:right w:val="nil"/>
            </w:tcBorders>
            <w:noWrap/>
            <w:vAlign w:val="bottom"/>
            <w:hideMark/>
          </w:tcPr>
          <w:p w14:paraId="18018BB4" w14:textId="77777777"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for the period ended 31 March 2024</w:t>
            </w:r>
          </w:p>
        </w:tc>
        <w:tc>
          <w:tcPr>
            <w:tcW w:w="851" w:type="dxa"/>
            <w:tcBorders>
              <w:top w:val="nil"/>
              <w:left w:val="nil"/>
              <w:bottom w:val="single" w:sz="8" w:space="0" w:color="auto"/>
              <w:right w:val="nil"/>
            </w:tcBorders>
            <w:hideMark/>
          </w:tcPr>
          <w:p w14:paraId="0E5937EF" w14:textId="77777777"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 </w:t>
            </w:r>
          </w:p>
        </w:tc>
        <w:tc>
          <w:tcPr>
            <w:tcW w:w="1417" w:type="dxa"/>
            <w:tcBorders>
              <w:top w:val="nil"/>
              <w:left w:val="nil"/>
              <w:bottom w:val="single" w:sz="8" w:space="0" w:color="auto"/>
              <w:right w:val="nil"/>
            </w:tcBorders>
            <w:hideMark/>
          </w:tcPr>
          <w:p w14:paraId="0FC38081" w14:textId="77777777"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 </w:t>
            </w:r>
          </w:p>
        </w:tc>
        <w:tc>
          <w:tcPr>
            <w:tcW w:w="1418" w:type="dxa"/>
            <w:tcBorders>
              <w:top w:val="nil"/>
              <w:left w:val="nil"/>
              <w:bottom w:val="single" w:sz="8" w:space="0" w:color="auto"/>
              <w:right w:val="nil"/>
            </w:tcBorders>
            <w:hideMark/>
          </w:tcPr>
          <w:p w14:paraId="5A257C93" w14:textId="77777777"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 </w:t>
            </w:r>
          </w:p>
        </w:tc>
      </w:tr>
      <w:tr w:rsidR="00560745" w14:paraId="25BD307E" w14:textId="77777777" w:rsidTr="00560745">
        <w:trPr>
          <w:trHeight w:val="315"/>
        </w:trPr>
        <w:tc>
          <w:tcPr>
            <w:tcW w:w="5245" w:type="dxa"/>
            <w:noWrap/>
            <w:vAlign w:val="bottom"/>
            <w:hideMark/>
          </w:tcPr>
          <w:p w14:paraId="1DAEE35A" w14:textId="77777777" w:rsidR="00560745" w:rsidRPr="0018681B" w:rsidRDefault="00560745">
            <w:pPr>
              <w:rPr>
                <w:rFonts w:ascii="Arial" w:eastAsia="Times New Roman" w:hAnsi="Arial" w:cs="Arial"/>
                <w:kern w:val="0"/>
                <w:lang w:eastAsia="en-GB"/>
                <w14:ligatures w14:val="none"/>
              </w:rPr>
            </w:pPr>
          </w:p>
        </w:tc>
        <w:tc>
          <w:tcPr>
            <w:tcW w:w="851" w:type="dxa"/>
            <w:hideMark/>
          </w:tcPr>
          <w:p w14:paraId="5954AD77" w14:textId="77777777" w:rsidR="00560745" w:rsidRPr="0018681B" w:rsidRDefault="00560745">
            <w:pPr>
              <w:spacing w:after="0"/>
              <w:rPr>
                <w:rFonts w:ascii="Arial" w:hAnsi="Arial" w:cs="Arial"/>
                <w:kern w:val="0"/>
                <w:lang w:eastAsia="en-GB"/>
                <w14:ligatures w14:val="none"/>
              </w:rPr>
            </w:pPr>
          </w:p>
        </w:tc>
        <w:tc>
          <w:tcPr>
            <w:tcW w:w="1417" w:type="dxa"/>
            <w:hideMark/>
          </w:tcPr>
          <w:p w14:paraId="208F89CC" w14:textId="77777777" w:rsidR="00560745" w:rsidRPr="0018681B" w:rsidRDefault="00560745">
            <w:pPr>
              <w:spacing w:after="0"/>
              <w:rPr>
                <w:rFonts w:ascii="Arial" w:hAnsi="Arial" w:cs="Arial"/>
                <w:kern w:val="0"/>
                <w:lang w:eastAsia="en-GB"/>
                <w14:ligatures w14:val="none"/>
              </w:rPr>
            </w:pPr>
          </w:p>
        </w:tc>
        <w:tc>
          <w:tcPr>
            <w:tcW w:w="1418" w:type="dxa"/>
            <w:hideMark/>
          </w:tcPr>
          <w:p w14:paraId="3DA6093D" w14:textId="77777777" w:rsidR="00560745" w:rsidRPr="0018681B" w:rsidRDefault="00560745">
            <w:pPr>
              <w:spacing w:after="0"/>
              <w:rPr>
                <w:rFonts w:ascii="Arial" w:hAnsi="Arial" w:cs="Arial"/>
                <w:kern w:val="0"/>
                <w:lang w:eastAsia="en-GB"/>
                <w14:ligatures w14:val="none"/>
              </w:rPr>
            </w:pPr>
          </w:p>
        </w:tc>
      </w:tr>
      <w:tr w:rsidR="00560745" w14:paraId="7A1C6E1C" w14:textId="77777777" w:rsidTr="00560745">
        <w:trPr>
          <w:trHeight w:val="315"/>
        </w:trPr>
        <w:tc>
          <w:tcPr>
            <w:tcW w:w="5245" w:type="dxa"/>
            <w:noWrap/>
            <w:vAlign w:val="bottom"/>
            <w:hideMark/>
          </w:tcPr>
          <w:p w14:paraId="65FA289D" w14:textId="77777777" w:rsidR="00560745" w:rsidRPr="0018681B" w:rsidRDefault="00560745">
            <w:pPr>
              <w:spacing w:after="0"/>
              <w:rPr>
                <w:rFonts w:ascii="Arial" w:hAnsi="Arial" w:cs="Arial"/>
                <w:kern w:val="0"/>
                <w:lang w:eastAsia="en-GB"/>
                <w14:ligatures w14:val="none"/>
              </w:rPr>
            </w:pPr>
          </w:p>
        </w:tc>
        <w:tc>
          <w:tcPr>
            <w:tcW w:w="851" w:type="dxa"/>
            <w:hideMark/>
          </w:tcPr>
          <w:p w14:paraId="48F4FCE1" w14:textId="77777777" w:rsidR="00560745" w:rsidRPr="0018681B" w:rsidRDefault="00560745">
            <w:pPr>
              <w:spacing w:after="0"/>
              <w:rPr>
                <w:rFonts w:ascii="Arial" w:hAnsi="Arial" w:cs="Arial"/>
                <w:kern w:val="0"/>
                <w:lang w:eastAsia="en-GB"/>
                <w14:ligatures w14:val="none"/>
              </w:rPr>
            </w:pPr>
          </w:p>
        </w:tc>
        <w:tc>
          <w:tcPr>
            <w:tcW w:w="1417" w:type="dxa"/>
            <w:noWrap/>
            <w:vAlign w:val="center"/>
            <w:hideMark/>
          </w:tcPr>
          <w:p w14:paraId="79962883"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2023-24</w:t>
            </w:r>
          </w:p>
        </w:tc>
        <w:tc>
          <w:tcPr>
            <w:tcW w:w="1418" w:type="dxa"/>
            <w:noWrap/>
            <w:vAlign w:val="center"/>
            <w:hideMark/>
          </w:tcPr>
          <w:p w14:paraId="109D358F"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2022-23</w:t>
            </w:r>
          </w:p>
        </w:tc>
      </w:tr>
      <w:tr w:rsidR="00560745" w14:paraId="79F04577" w14:textId="77777777" w:rsidTr="00560745">
        <w:trPr>
          <w:trHeight w:val="280"/>
        </w:trPr>
        <w:tc>
          <w:tcPr>
            <w:tcW w:w="5245" w:type="dxa"/>
            <w:tcBorders>
              <w:top w:val="nil"/>
              <w:left w:val="nil"/>
              <w:bottom w:val="single" w:sz="4" w:space="0" w:color="auto"/>
              <w:right w:val="nil"/>
            </w:tcBorders>
            <w:noWrap/>
            <w:vAlign w:val="bottom"/>
            <w:hideMark/>
          </w:tcPr>
          <w:p w14:paraId="2FB92D19" w14:textId="77777777" w:rsidR="00560745" w:rsidRPr="0018681B" w:rsidRDefault="00560745">
            <w:pPr>
              <w:spacing w:after="0" w:line="240" w:lineRule="auto"/>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w:t>
            </w:r>
          </w:p>
        </w:tc>
        <w:tc>
          <w:tcPr>
            <w:tcW w:w="851" w:type="dxa"/>
            <w:tcBorders>
              <w:top w:val="nil"/>
              <w:left w:val="nil"/>
              <w:bottom w:val="single" w:sz="4" w:space="0" w:color="auto"/>
              <w:right w:val="nil"/>
            </w:tcBorders>
            <w:noWrap/>
            <w:vAlign w:val="bottom"/>
            <w:hideMark/>
          </w:tcPr>
          <w:p w14:paraId="6E03D48C" w14:textId="77777777" w:rsidR="00560745" w:rsidRPr="0018681B" w:rsidRDefault="00560745">
            <w:pPr>
              <w:spacing w:after="0" w:line="240" w:lineRule="auto"/>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w:t>
            </w:r>
          </w:p>
        </w:tc>
        <w:tc>
          <w:tcPr>
            <w:tcW w:w="1417" w:type="dxa"/>
            <w:tcBorders>
              <w:top w:val="nil"/>
              <w:left w:val="nil"/>
              <w:bottom w:val="single" w:sz="4" w:space="0" w:color="auto"/>
              <w:right w:val="nil"/>
            </w:tcBorders>
            <w:noWrap/>
            <w:vAlign w:val="center"/>
            <w:hideMark/>
          </w:tcPr>
          <w:p w14:paraId="23FDEF1B"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£'000</w:t>
            </w:r>
          </w:p>
        </w:tc>
        <w:tc>
          <w:tcPr>
            <w:tcW w:w="1418" w:type="dxa"/>
            <w:tcBorders>
              <w:top w:val="nil"/>
              <w:left w:val="nil"/>
              <w:bottom w:val="single" w:sz="4" w:space="0" w:color="auto"/>
              <w:right w:val="nil"/>
            </w:tcBorders>
            <w:noWrap/>
            <w:vAlign w:val="center"/>
            <w:hideMark/>
          </w:tcPr>
          <w:p w14:paraId="5FCA962E"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£'000</w:t>
            </w:r>
          </w:p>
        </w:tc>
      </w:tr>
      <w:tr w:rsidR="00560745" w14:paraId="4CE6F9AF" w14:textId="77777777" w:rsidTr="00560745">
        <w:trPr>
          <w:trHeight w:val="135"/>
        </w:trPr>
        <w:tc>
          <w:tcPr>
            <w:tcW w:w="5245" w:type="dxa"/>
            <w:noWrap/>
            <w:vAlign w:val="bottom"/>
            <w:hideMark/>
          </w:tcPr>
          <w:p w14:paraId="11A5CF82" w14:textId="77777777" w:rsidR="00560745" w:rsidRPr="0018681B" w:rsidRDefault="00560745">
            <w:pPr>
              <w:rPr>
                <w:rFonts w:ascii="Arial" w:eastAsia="Times New Roman" w:hAnsi="Arial" w:cs="Arial"/>
                <w:b/>
                <w:bCs/>
                <w:kern w:val="0"/>
                <w:lang w:eastAsia="en-GB"/>
                <w14:ligatures w14:val="none"/>
              </w:rPr>
            </w:pPr>
          </w:p>
        </w:tc>
        <w:tc>
          <w:tcPr>
            <w:tcW w:w="851" w:type="dxa"/>
            <w:noWrap/>
            <w:vAlign w:val="bottom"/>
            <w:hideMark/>
          </w:tcPr>
          <w:p w14:paraId="211669A6" w14:textId="77777777" w:rsidR="00560745" w:rsidRPr="0018681B" w:rsidRDefault="00560745">
            <w:pPr>
              <w:spacing w:after="0"/>
              <w:rPr>
                <w:rFonts w:ascii="Arial" w:hAnsi="Arial" w:cs="Arial"/>
                <w:kern w:val="0"/>
                <w:lang w:eastAsia="en-GB"/>
                <w14:ligatures w14:val="none"/>
              </w:rPr>
            </w:pPr>
          </w:p>
        </w:tc>
        <w:tc>
          <w:tcPr>
            <w:tcW w:w="1417" w:type="dxa"/>
            <w:noWrap/>
            <w:vAlign w:val="center"/>
            <w:hideMark/>
          </w:tcPr>
          <w:p w14:paraId="73DFBA5A" w14:textId="77777777" w:rsidR="00560745" w:rsidRPr="0018681B" w:rsidRDefault="00560745">
            <w:pPr>
              <w:spacing w:after="0"/>
              <w:rPr>
                <w:rFonts w:ascii="Arial" w:hAnsi="Arial" w:cs="Arial"/>
                <w:kern w:val="0"/>
                <w:lang w:eastAsia="en-GB"/>
                <w14:ligatures w14:val="none"/>
              </w:rPr>
            </w:pPr>
          </w:p>
        </w:tc>
        <w:tc>
          <w:tcPr>
            <w:tcW w:w="1418" w:type="dxa"/>
            <w:noWrap/>
            <w:vAlign w:val="center"/>
            <w:hideMark/>
          </w:tcPr>
          <w:p w14:paraId="68FCFF9C" w14:textId="77777777" w:rsidR="00560745" w:rsidRPr="0018681B" w:rsidRDefault="00560745">
            <w:pPr>
              <w:spacing w:after="0"/>
              <w:rPr>
                <w:rFonts w:ascii="Arial" w:hAnsi="Arial" w:cs="Arial"/>
                <w:kern w:val="0"/>
                <w:lang w:eastAsia="en-GB"/>
                <w14:ligatures w14:val="none"/>
              </w:rPr>
            </w:pPr>
          </w:p>
        </w:tc>
      </w:tr>
      <w:tr w:rsidR="00560745" w14:paraId="41FF801B" w14:textId="77777777" w:rsidTr="00560745">
        <w:trPr>
          <w:trHeight w:val="280"/>
        </w:trPr>
        <w:tc>
          <w:tcPr>
            <w:tcW w:w="5245" w:type="dxa"/>
            <w:noWrap/>
            <w:vAlign w:val="bottom"/>
            <w:hideMark/>
          </w:tcPr>
          <w:p w14:paraId="54058BA2" w14:textId="77777777" w:rsidR="00560745" w:rsidRPr="0018681B" w:rsidRDefault="00560745">
            <w:pPr>
              <w:spacing w:after="0"/>
              <w:rPr>
                <w:rFonts w:ascii="Arial" w:hAnsi="Arial" w:cs="Arial"/>
                <w:kern w:val="0"/>
                <w:lang w:eastAsia="en-GB"/>
                <w14:ligatures w14:val="none"/>
              </w:rPr>
            </w:pPr>
          </w:p>
        </w:tc>
        <w:tc>
          <w:tcPr>
            <w:tcW w:w="851" w:type="dxa"/>
            <w:noWrap/>
            <w:vAlign w:val="bottom"/>
            <w:hideMark/>
          </w:tcPr>
          <w:p w14:paraId="73CAB69E" w14:textId="77777777" w:rsidR="00560745" w:rsidRPr="0018681B" w:rsidRDefault="00560745">
            <w:pPr>
              <w:spacing w:after="0" w:line="240" w:lineRule="auto"/>
              <w:jc w:val="center"/>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Note</w:t>
            </w:r>
          </w:p>
        </w:tc>
        <w:tc>
          <w:tcPr>
            <w:tcW w:w="1417" w:type="dxa"/>
            <w:noWrap/>
            <w:vAlign w:val="bottom"/>
            <w:hideMark/>
          </w:tcPr>
          <w:p w14:paraId="42CCB366" w14:textId="77777777" w:rsidR="00560745" w:rsidRPr="0018681B" w:rsidRDefault="00560745">
            <w:pPr>
              <w:rPr>
                <w:rFonts w:ascii="Arial" w:eastAsia="Times New Roman" w:hAnsi="Arial" w:cs="Arial"/>
                <w:b/>
                <w:bCs/>
                <w:kern w:val="0"/>
                <w:lang w:eastAsia="en-GB"/>
                <w14:ligatures w14:val="none"/>
              </w:rPr>
            </w:pPr>
          </w:p>
        </w:tc>
        <w:tc>
          <w:tcPr>
            <w:tcW w:w="1418" w:type="dxa"/>
            <w:noWrap/>
            <w:vAlign w:val="bottom"/>
            <w:hideMark/>
          </w:tcPr>
          <w:p w14:paraId="420B2E64" w14:textId="77777777" w:rsidR="00560745" w:rsidRPr="0018681B" w:rsidRDefault="00560745">
            <w:pPr>
              <w:spacing w:after="0"/>
              <w:rPr>
                <w:rFonts w:ascii="Arial" w:hAnsi="Arial" w:cs="Arial"/>
                <w:kern w:val="0"/>
                <w:lang w:eastAsia="en-GB"/>
                <w14:ligatures w14:val="none"/>
              </w:rPr>
            </w:pPr>
          </w:p>
        </w:tc>
      </w:tr>
      <w:tr w:rsidR="00560745" w14:paraId="4D3CB12C" w14:textId="77777777" w:rsidTr="00560745">
        <w:trPr>
          <w:trHeight w:val="280"/>
        </w:trPr>
        <w:tc>
          <w:tcPr>
            <w:tcW w:w="5245" w:type="dxa"/>
            <w:noWrap/>
            <w:vAlign w:val="bottom"/>
            <w:hideMark/>
          </w:tcPr>
          <w:p w14:paraId="01E2541E" w14:textId="77777777" w:rsidR="00560745" w:rsidRPr="0018681B" w:rsidRDefault="00560745">
            <w:pPr>
              <w:spacing w:after="0"/>
              <w:rPr>
                <w:rFonts w:ascii="Arial" w:hAnsi="Arial" w:cs="Arial"/>
                <w:kern w:val="0"/>
                <w:lang w:eastAsia="en-GB"/>
                <w14:ligatures w14:val="none"/>
              </w:rPr>
            </w:pPr>
          </w:p>
        </w:tc>
        <w:tc>
          <w:tcPr>
            <w:tcW w:w="851" w:type="dxa"/>
            <w:noWrap/>
            <w:vAlign w:val="bottom"/>
            <w:hideMark/>
          </w:tcPr>
          <w:p w14:paraId="62C1C13D" w14:textId="77777777" w:rsidR="00560745" w:rsidRPr="0018681B" w:rsidRDefault="00560745">
            <w:pPr>
              <w:spacing w:after="0"/>
              <w:rPr>
                <w:rFonts w:ascii="Arial" w:hAnsi="Arial" w:cs="Arial"/>
                <w:kern w:val="0"/>
                <w:lang w:eastAsia="en-GB"/>
                <w14:ligatures w14:val="none"/>
              </w:rPr>
            </w:pPr>
          </w:p>
        </w:tc>
        <w:tc>
          <w:tcPr>
            <w:tcW w:w="1417" w:type="dxa"/>
            <w:noWrap/>
            <w:vAlign w:val="center"/>
            <w:hideMark/>
          </w:tcPr>
          <w:p w14:paraId="3E1F1FCC" w14:textId="77777777" w:rsidR="00560745" w:rsidRPr="0018681B" w:rsidRDefault="00560745">
            <w:pPr>
              <w:spacing w:after="0"/>
              <w:rPr>
                <w:rFonts w:ascii="Arial" w:hAnsi="Arial" w:cs="Arial"/>
                <w:kern w:val="0"/>
                <w:lang w:eastAsia="en-GB"/>
                <w14:ligatures w14:val="none"/>
              </w:rPr>
            </w:pPr>
          </w:p>
        </w:tc>
        <w:tc>
          <w:tcPr>
            <w:tcW w:w="1418" w:type="dxa"/>
            <w:noWrap/>
            <w:vAlign w:val="center"/>
            <w:hideMark/>
          </w:tcPr>
          <w:p w14:paraId="4B13AF66" w14:textId="77777777" w:rsidR="00560745" w:rsidRPr="0018681B" w:rsidRDefault="00560745">
            <w:pPr>
              <w:spacing w:after="0"/>
              <w:rPr>
                <w:rFonts w:ascii="Arial" w:hAnsi="Arial" w:cs="Arial"/>
                <w:kern w:val="0"/>
                <w:lang w:eastAsia="en-GB"/>
                <w14:ligatures w14:val="none"/>
              </w:rPr>
            </w:pPr>
          </w:p>
        </w:tc>
      </w:tr>
      <w:tr w:rsidR="00560745" w14:paraId="69A00EE7" w14:textId="77777777" w:rsidTr="00560745">
        <w:trPr>
          <w:trHeight w:val="280"/>
        </w:trPr>
        <w:tc>
          <w:tcPr>
            <w:tcW w:w="5245" w:type="dxa"/>
            <w:noWrap/>
            <w:vAlign w:val="bottom"/>
            <w:hideMark/>
          </w:tcPr>
          <w:p w14:paraId="2C65CC03" w14:textId="77777777" w:rsidR="00560745" w:rsidRPr="0018681B" w:rsidRDefault="00560745">
            <w:pPr>
              <w:spacing w:after="0" w:line="240" w:lineRule="auto"/>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Income from contracts with customers</w:t>
            </w:r>
          </w:p>
        </w:tc>
        <w:tc>
          <w:tcPr>
            <w:tcW w:w="851" w:type="dxa"/>
            <w:noWrap/>
            <w:vAlign w:val="center"/>
            <w:hideMark/>
          </w:tcPr>
          <w:p w14:paraId="58505F90" w14:textId="77777777" w:rsidR="00560745" w:rsidRPr="0018681B" w:rsidRDefault="00560745">
            <w:pPr>
              <w:spacing w:after="0" w:line="240" w:lineRule="auto"/>
              <w:jc w:val="center"/>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4</w:t>
            </w:r>
          </w:p>
        </w:tc>
        <w:tc>
          <w:tcPr>
            <w:tcW w:w="1417" w:type="dxa"/>
            <w:noWrap/>
            <w:vAlign w:val="bottom"/>
            <w:hideMark/>
          </w:tcPr>
          <w:p w14:paraId="1E6EF44D"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(110,429) </w:t>
            </w:r>
          </w:p>
        </w:tc>
        <w:tc>
          <w:tcPr>
            <w:tcW w:w="1418" w:type="dxa"/>
            <w:noWrap/>
            <w:vAlign w:val="bottom"/>
            <w:hideMark/>
          </w:tcPr>
          <w:p w14:paraId="219EF169"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(145,591) </w:t>
            </w:r>
          </w:p>
        </w:tc>
      </w:tr>
      <w:tr w:rsidR="00560745" w14:paraId="38875D60" w14:textId="77777777" w:rsidTr="00560745">
        <w:trPr>
          <w:trHeight w:val="280"/>
        </w:trPr>
        <w:tc>
          <w:tcPr>
            <w:tcW w:w="5245" w:type="dxa"/>
            <w:noWrap/>
            <w:vAlign w:val="bottom"/>
            <w:hideMark/>
          </w:tcPr>
          <w:p w14:paraId="3C6891E1" w14:textId="77777777" w:rsidR="00560745" w:rsidRPr="0018681B" w:rsidRDefault="00560745">
            <w:pPr>
              <w:spacing w:after="0" w:line="240" w:lineRule="auto"/>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Other operating income</w:t>
            </w:r>
          </w:p>
        </w:tc>
        <w:tc>
          <w:tcPr>
            <w:tcW w:w="851" w:type="dxa"/>
            <w:noWrap/>
            <w:vAlign w:val="center"/>
            <w:hideMark/>
          </w:tcPr>
          <w:p w14:paraId="12B1360A" w14:textId="77777777" w:rsidR="00560745" w:rsidRPr="0018681B" w:rsidRDefault="00560745">
            <w:pPr>
              <w:spacing w:after="0" w:line="240" w:lineRule="auto"/>
              <w:jc w:val="center"/>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4</w:t>
            </w:r>
          </w:p>
        </w:tc>
        <w:tc>
          <w:tcPr>
            <w:tcW w:w="1417" w:type="dxa"/>
            <w:tcBorders>
              <w:top w:val="nil"/>
              <w:left w:val="nil"/>
              <w:bottom w:val="single" w:sz="4" w:space="0" w:color="auto"/>
              <w:right w:val="nil"/>
            </w:tcBorders>
            <w:noWrap/>
            <w:vAlign w:val="bottom"/>
            <w:hideMark/>
          </w:tcPr>
          <w:p w14:paraId="3372D42F"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(9,524) </w:t>
            </w:r>
          </w:p>
        </w:tc>
        <w:tc>
          <w:tcPr>
            <w:tcW w:w="1418" w:type="dxa"/>
            <w:tcBorders>
              <w:top w:val="nil"/>
              <w:left w:val="nil"/>
              <w:bottom w:val="single" w:sz="4" w:space="0" w:color="auto"/>
              <w:right w:val="nil"/>
            </w:tcBorders>
            <w:noWrap/>
            <w:vAlign w:val="bottom"/>
            <w:hideMark/>
          </w:tcPr>
          <w:p w14:paraId="5742CB8A"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(9,538) </w:t>
            </w:r>
          </w:p>
        </w:tc>
      </w:tr>
      <w:tr w:rsidR="00560745" w14:paraId="1065AA8E" w14:textId="77777777" w:rsidTr="00560745">
        <w:trPr>
          <w:trHeight w:val="290"/>
        </w:trPr>
        <w:tc>
          <w:tcPr>
            <w:tcW w:w="5245" w:type="dxa"/>
            <w:noWrap/>
            <w:vAlign w:val="bottom"/>
            <w:hideMark/>
          </w:tcPr>
          <w:p w14:paraId="3C160976" w14:textId="77777777" w:rsidR="00560745" w:rsidRPr="0018681B" w:rsidRDefault="00560745">
            <w:pPr>
              <w:spacing w:after="0" w:line="240" w:lineRule="auto"/>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Total operating income:</w:t>
            </w:r>
          </w:p>
        </w:tc>
        <w:tc>
          <w:tcPr>
            <w:tcW w:w="851" w:type="dxa"/>
            <w:noWrap/>
            <w:vAlign w:val="bottom"/>
            <w:hideMark/>
          </w:tcPr>
          <w:p w14:paraId="3475C8B0" w14:textId="77777777" w:rsidR="00560745" w:rsidRPr="0018681B" w:rsidRDefault="00560745">
            <w:pPr>
              <w:rPr>
                <w:rFonts w:ascii="Arial" w:eastAsia="Times New Roman" w:hAnsi="Arial" w:cs="Arial"/>
                <w:b/>
                <w:bCs/>
                <w:kern w:val="0"/>
                <w:lang w:eastAsia="en-GB"/>
                <w14:ligatures w14:val="none"/>
              </w:rPr>
            </w:pPr>
          </w:p>
        </w:tc>
        <w:tc>
          <w:tcPr>
            <w:tcW w:w="1417" w:type="dxa"/>
            <w:tcBorders>
              <w:top w:val="nil"/>
              <w:left w:val="nil"/>
              <w:bottom w:val="single" w:sz="8" w:space="0" w:color="auto"/>
              <w:right w:val="nil"/>
            </w:tcBorders>
            <w:noWrap/>
            <w:vAlign w:val="bottom"/>
            <w:hideMark/>
          </w:tcPr>
          <w:p w14:paraId="25A0D318"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 xml:space="preserve">(119,953) </w:t>
            </w:r>
          </w:p>
        </w:tc>
        <w:tc>
          <w:tcPr>
            <w:tcW w:w="1418" w:type="dxa"/>
            <w:tcBorders>
              <w:top w:val="nil"/>
              <w:left w:val="nil"/>
              <w:bottom w:val="single" w:sz="8" w:space="0" w:color="auto"/>
              <w:right w:val="nil"/>
            </w:tcBorders>
            <w:noWrap/>
            <w:vAlign w:val="bottom"/>
            <w:hideMark/>
          </w:tcPr>
          <w:p w14:paraId="25CEFA51"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 xml:space="preserve">(155,129) </w:t>
            </w:r>
          </w:p>
        </w:tc>
      </w:tr>
      <w:tr w:rsidR="00560745" w14:paraId="604EB6CD" w14:textId="77777777" w:rsidTr="00560745">
        <w:trPr>
          <w:trHeight w:val="280"/>
        </w:trPr>
        <w:tc>
          <w:tcPr>
            <w:tcW w:w="5245" w:type="dxa"/>
            <w:noWrap/>
            <w:vAlign w:val="bottom"/>
            <w:hideMark/>
          </w:tcPr>
          <w:p w14:paraId="274CB4BF" w14:textId="77777777" w:rsidR="00560745" w:rsidRPr="0018681B" w:rsidRDefault="00560745">
            <w:pPr>
              <w:rPr>
                <w:rFonts w:ascii="Arial" w:eastAsia="Times New Roman" w:hAnsi="Arial" w:cs="Arial"/>
                <w:b/>
                <w:bCs/>
                <w:kern w:val="0"/>
                <w:lang w:eastAsia="en-GB"/>
                <w14:ligatures w14:val="none"/>
              </w:rPr>
            </w:pPr>
          </w:p>
        </w:tc>
        <w:tc>
          <w:tcPr>
            <w:tcW w:w="851" w:type="dxa"/>
            <w:noWrap/>
            <w:vAlign w:val="bottom"/>
            <w:hideMark/>
          </w:tcPr>
          <w:p w14:paraId="44BECED7" w14:textId="77777777" w:rsidR="00560745" w:rsidRPr="0018681B" w:rsidRDefault="00560745">
            <w:pPr>
              <w:spacing w:after="0"/>
              <w:rPr>
                <w:rFonts w:ascii="Arial" w:hAnsi="Arial" w:cs="Arial"/>
                <w:kern w:val="0"/>
                <w:lang w:eastAsia="en-GB"/>
                <w14:ligatures w14:val="none"/>
              </w:rPr>
            </w:pPr>
          </w:p>
        </w:tc>
        <w:tc>
          <w:tcPr>
            <w:tcW w:w="1417" w:type="dxa"/>
            <w:noWrap/>
            <w:vAlign w:val="bottom"/>
            <w:hideMark/>
          </w:tcPr>
          <w:p w14:paraId="6711E492" w14:textId="77777777" w:rsidR="00560745" w:rsidRPr="0018681B" w:rsidRDefault="00560745">
            <w:pPr>
              <w:spacing w:after="0"/>
              <w:rPr>
                <w:rFonts w:ascii="Arial" w:hAnsi="Arial" w:cs="Arial"/>
                <w:kern w:val="0"/>
                <w:lang w:eastAsia="en-GB"/>
                <w14:ligatures w14:val="none"/>
              </w:rPr>
            </w:pPr>
          </w:p>
        </w:tc>
        <w:tc>
          <w:tcPr>
            <w:tcW w:w="1418" w:type="dxa"/>
            <w:noWrap/>
            <w:vAlign w:val="bottom"/>
            <w:hideMark/>
          </w:tcPr>
          <w:p w14:paraId="347AA668" w14:textId="77777777" w:rsidR="00560745" w:rsidRPr="0018681B" w:rsidRDefault="00560745">
            <w:pPr>
              <w:spacing w:after="0"/>
              <w:rPr>
                <w:rFonts w:ascii="Arial" w:hAnsi="Arial" w:cs="Arial"/>
                <w:kern w:val="0"/>
                <w:lang w:eastAsia="en-GB"/>
                <w14:ligatures w14:val="none"/>
              </w:rPr>
            </w:pPr>
          </w:p>
        </w:tc>
      </w:tr>
      <w:tr w:rsidR="00560745" w14:paraId="5E3D5C96" w14:textId="77777777" w:rsidTr="00560745">
        <w:trPr>
          <w:trHeight w:val="280"/>
        </w:trPr>
        <w:tc>
          <w:tcPr>
            <w:tcW w:w="5245" w:type="dxa"/>
            <w:noWrap/>
            <w:vAlign w:val="bottom"/>
            <w:hideMark/>
          </w:tcPr>
          <w:p w14:paraId="46C7BA34" w14:textId="77777777" w:rsidR="00560745" w:rsidRPr="0018681B" w:rsidRDefault="00560745">
            <w:pPr>
              <w:spacing w:after="0" w:line="240" w:lineRule="auto"/>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Staff costs</w:t>
            </w:r>
          </w:p>
        </w:tc>
        <w:tc>
          <w:tcPr>
            <w:tcW w:w="851" w:type="dxa"/>
            <w:noWrap/>
            <w:vAlign w:val="center"/>
            <w:hideMark/>
          </w:tcPr>
          <w:p w14:paraId="773F2DA9" w14:textId="77777777" w:rsidR="00560745" w:rsidRPr="0018681B" w:rsidRDefault="00560745">
            <w:pPr>
              <w:spacing w:after="0" w:line="240" w:lineRule="auto"/>
              <w:jc w:val="center"/>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3</w:t>
            </w:r>
          </w:p>
        </w:tc>
        <w:tc>
          <w:tcPr>
            <w:tcW w:w="1417" w:type="dxa"/>
            <w:noWrap/>
            <w:vAlign w:val="bottom"/>
            <w:hideMark/>
          </w:tcPr>
          <w:p w14:paraId="4DC7A541"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99,287 </w:t>
            </w:r>
          </w:p>
        </w:tc>
        <w:tc>
          <w:tcPr>
            <w:tcW w:w="1418" w:type="dxa"/>
            <w:noWrap/>
            <w:vAlign w:val="bottom"/>
            <w:hideMark/>
          </w:tcPr>
          <w:p w14:paraId="7F1B8800"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87,766 </w:t>
            </w:r>
          </w:p>
        </w:tc>
      </w:tr>
      <w:tr w:rsidR="00560745" w14:paraId="42B5EE94" w14:textId="77777777" w:rsidTr="00560745">
        <w:trPr>
          <w:trHeight w:val="280"/>
        </w:trPr>
        <w:tc>
          <w:tcPr>
            <w:tcW w:w="5245" w:type="dxa"/>
            <w:noWrap/>
            <w:vAlign w:val="bottom"/>
            <w:hideMark/>
          </w:tcPr>
          <w:p w14:paraId="7315D89B" w14:textId="77777777" w:rsidR="00560745" w:rsidRPr="0018681B" w:rsidRDefault="00560745">
            <w:pPr>
              <w:spacing w:after="0" w:line="240" w:lineRule="auto"/>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Redundancy payments service</w:t>
            </w:r>
          </w:p>
        </w:tc>
        <w:tc>
          <w:tcPr>
            <w:tcW w:w="851" w:type="dxa"/>
            <w:noWrap/>
            <w:vAlign w:val="center"/>
            <w:hideMark/>
          </w:tcPr>
          <w:p w14:paraId="2823A4A7" w14:textId="77777777" w:rsidR="00560745" w:rsidRPr="0018681B" w:rsidRDefault="00560745">
            <w:pPr>
              <w:spacing w:after="0" w:line="240" w:lineRule="auto"/>
              <w:jc w:val="center"/>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3</w:t>
            </w:r>
          </w:p>
        </w:tc>
        <w:tc>
          <w:tcPr>
            <w:tcW w:w="1417" w:type="dxa"/>
            <w:noWrap/>
            <w:vAlign w:val="bottom"/>
            <w:hideMark/>
          </w:tcPr>
          <w:p w14:paraId="7A705555"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504,849 </w:t>
            </w:r>
          </w:p>
        </w:tc>
        <w:tc>
          <w:tcPr>
            <w:tcW w:w="1418" w:type="dxa"/>
            <w:noWrap/>
            <w:vAlign w:val="bottom"/>
            <w:hideMark/>
          </w:tcPr>
          <w:p w14:paraId="4286A6B3"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292,369 </w:t>
            </w:r>
          </w:p>
        </w:tc>
      </w:tr>
      <w:tr w:rsidR="00560745" w14:paraId="43715FDF" w14:textId="77777777" w:rsidTr="00560745">
        <w:trPr>
          <w:trHeight w:val="280"/>
        </w:trPr>
        <w:tc>
          <w:tcPr>
            <w:tcW w:w="5245" w:type="dxa"/>
            <w:noWrap/>
            <w:vAlign w:val="bottom"/>
            <w:hideMark/>
          </w:tcPr>
          <w:p w14:paraId="588E7D87" w14:textId="77777777" w:rsidR="00560745" w:rsidRPr="0018681B" w:rsidRDefault="00560745">
            <w:pPr>
              <w:spacing w:after="0" w:line="240" w:lineRule="auto"/>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Purchase of goods and services</w:t>
            </w:r>
          </w:p>
        </w:tc>
        <w:tc>
          <w:tcPr>
            <w:tcW w:w="851" w:type="dxa"/>
            <w:noWrap/>
            <w:vAlign w:val="center"/>
            <w:hideMark/>
          </w:tcPr>
          <w:p w14:paraId="6D72951B" w14:textId="77777777" w:rsidR="00560745" w:rsidRPr="0018681B" w:rsidRDefault="00560745">
            <w:pPr>
              <w:spacing w:after="0" w:line="240" w:lineRule="auto"/>
              <w:jc w:val="center"/>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3</w:t>
            </w:r>
          </w:p>
        </w:tc>
        <w:tc>
          <w:tcPr>
            <w:tcW w:w="1417" w:type="dxa"/>
            <w:noWrap/>
            <w:vAlign w:val="bottom"/>
            <w:hideMark/>
          </w:tcPr>
          <w:p w14:paraId="5FCF30AE"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26,048 </w:t>
            </w:r>
          </w:p>
        </w:tc>
        <w:tc>
          <w:tcPr>
            <w:tcW w:w="1418" w:type="dxa"/>
            <w:noWrap/>
            <w:vAlign w:val="bottom"/>
            <w:hideMark/>
          </w:tcPr>
          <w:p w14:paraId="2A8B776D"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28,379 </w:t>
            </w:r>
          </w:p>
        </w:tc>
      </w:tr>
      <w:tr w:rsidR="00560745" w14:paraId="7F52E508" w14:textId="77777777" w:rsidTr="00560745">
        <w:trPr>
          <w:trHeight w:val="280"/>
        </w:trPr>
        <w:tc>
          <w:tcPr>
            <w:tcW w:w="5245" w:type="dxa"/>
            <w:noWrap/>
            <w:vAlign w:val="bottom"/>
            <w:hideMark/>
          </w:tcPr>
          <w:p w14:paraId="6F77CE97" w14:textId="77777777" w:rsidR="00560745" w:rsidRPr="0018681B" w:rsidRDefault="00560745">
            <w:pPr>
              <w:spacing w:after="0" w:line="240" w:lineRule="auto"/>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Depreciation and impairment charges</w:t>
            </w:r>
          </w:p>
        </w:tc>
        <w:tc>
          <w:tcPr>
            <w:tcW w:w="851" w:type="dxa"/>
            <w:noWrap/>
            <w:vAlign w:val="center"/>
            <w:hideMark/>
          </w:tcPr>
          <w:p w14:paraId="623D7C3A" w14:textId="77777777" w:rsidR="00560745" w:rsidRPr="0018681B" w:rsidRDefault="00560745">
            <w:pPr>
              <w:spacing w:after="0" w:line="240" w:lineRule="auto"/>
              <w:jc w:val="center"/>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3</w:t>
            </w:r>
          </w:p>
        </w:tc>
        <w:tc>
          <w:tcPr>
            <w:tcW w:w="1417" w:type="dxa"/>
            <w:noWrap/>
            <w:vAlign w:val="bottom"/>
            <w:hideMark/>
          </w:tcPr>
          <w:p w14:paraId="6BD3A332"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6,285 </w:t>
            </w:r>
          </w:p>
        </w:tc>
        <w:tc>
          <w:tcPr>
            <w:tcW w:w="1418" w:type="dxa"/>
            <w:noWrap/>
            <w:vAlign w:val="bottom"/>
            <w:hideMark/>
          </w:tcPr>
          <w:p w14:paraId="3128A51C"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8,507 </w:t>
            </w:r>
          </w:p>
        </w:tc>
      </w:tr>
      <w:tr w:rsidR="00560745" w14:paraId="70CD6320" w14:textId="77777777" w:rsidTr="00560745">
        <w:trPr>
          <w:trHeight w:val="280"/>
        </w:trPr>
        <w:tc>
          <w:tcPr>
            <w:tcW w:w="5245" w:type="dxa"/>
            <w:noWrap/>
            <w:vAlign w:val="bottom"/>
            <w:hideMark/>
          </w:tcPr>
          <w:p w14:paraId="2A295726" w14:textId="77777777" w:rsidR="00560745" w:rsidRPr="0018681B" w:rsidRDefault="00560745">
            <w:pPr>
              <w:spacing w:after="0" w:line="240" w:lineRule="auto"/>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Provision expense</w:t>
            </w:r>
          </w:p>
        </w:tc>
        <w:tc>
          <w:tcPr>
            <w:tcW w:w="851" w:type="dxa"/>
            <w:noWrap/>
            <w:vAlign w:val="center"/>
            <w:hideMark/>
          </w:tcPr>
          <w:p w14:paraId="0F010E5F" w14:textId="77777777" w:rsidR="00560745" w:rsidRPr="0018681B" w:rsidRDefault="00560745">
            <w:pPr>
              <w:spacing w:after="0" w:line="240" w:lineRule="auto"/>
              <w:jc w:val="center"/>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3</w:t>
            </w:r>
          </w:p>
        </w:tc>
        <w:tc>
          <w:tcPr>
            <w:tcW w:w="1417" w:type="dxa"/>
            <w:noWrap/>
            <w:vAlign w:val="bottom"/>
            <w:hideMark/>
          </w:tcPr>
          <w:p w14:paraId="36910384"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5,519 </w:t>
            </w:r>
          </w:p>
        </w:tc>
        <w:tc>
          <w:tcPr>
            <w:tcW w:w="1418" w:type="dxa"/>
            <w:noWrap/>
            <w:vAlign w:val="bottom"/>
            <w:hideMark/>
          </w:tcPr>
          <w:p w14:paraId="7440B0D9"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287 </w:t>
            </w:r>
          </w:p>
        </w:tc>
      </w:tr>
      <w:tr w:rsidR="00560745" w14:paraId="6E75C3E6" w14:textId="77777777" w:rsidTr="00560745">
        <w:trPr>
          <w:trHeight w:val="280"/>
        </w:trPr>
        <w:tc>
          <w:tcPr>
            <w:tcW w:w="5245" w:type="dxa"/>
            <w:noWrap/>
            <w:vAlign w:val="bottom"/>
            <w:hideMark/>
          </w:tcPr>
          <w:p w14:paraId="1260AADA" w14:textId="77777777" w:rsidR="00560745" w:rsidRPr="0018681B" w:rsidRDefault="00560745">
            <w:pPr>
              <w:spacing w:after="0" w:line="240" w:lineRule="auto"/>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Other operating expenditure</w:t>
            </w:r>
          </w:p>
        </w:tc>
        <w:tc>
          <w:tcPr>
            <w:tcW w:w="851" w:type="dxa"/>
            <w:noWrap/>
            <w:vAlign w:val="center"/>
            <w:hideMark/>
          </w:tcPr>
          <w:p w14:paraId="21873A26" w14:textId="77777777" w:rsidR="00560745" w:rsidRPr="0018681B" w:rsidRDefault="00560745">
            <w:pPr>
              <w:spacing w:after="0" w:line="240" w:lineRule="auto"/>
              <w:jc w:val="center"/>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3</w:t>
            </w:r>
          </w:p>
        </w:tc>
        <w:tc>
          <w:tcPr>
            <w:tcW w:w="1417" w:type="dxa"/>
            <w:tcBorders>
              <w:top w:val="nil"/>
              <w:left w:val="nil"/>
              <w:bottom w:val="single" w:sz="4" w:space="0" w:color="auto"/>
              <w:right w:val="nil"/>
            </w:tcBorders>
            <w:noWrap/>
            <w:vAlign w:val="bottom"/>
            <w:hideMark/>
          </w:tcPr>
          <w:p w14:paraId="5BCE8C2F"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19,615 </w:t>
            </w:r>
          </w:p>
        </w:tc>
        <w:tc>
          <w:tcPr>
            <w:tcW w:w="1418" w:type="dxa"/>
            <w:tcBorders>
              <w:top w:val="nil"/>
              <w:left w:val="nil"/>
              <w:bottom w:val="single" w:sz="4" w:space="0" w:color="auto"/>
              <w:right w:val="nil"/>
            </w:tcBorders>
            <w:noWrap/>
            <w:vAlign w:val="bottom"/>
            <w:hideMark/>
          </w:tcPr>
          <w:p w14:paraId="1DE4D2C0"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23,144 </w:t>
            </w:r>
          </w:p>
        </w:tc>
      </w:tr>
      <w:tr w:rsidR="00560745" w14:paraId="1610F410" w14:textId="77777777" w:rsidTr="00560745">
        <w:trPr>
          <w:trHeight w:val="290"/>
        </w:trPr>
        <w:tc>
          <w:tcPr>
            <w:tcW w:w="5245" w:type="dxa"/>
            <w:noWrap/>
            <w:vAlign w:val="bottom"/>
            <w:hideMark/>
          </w:tcPr>
          <w:p w14:paraId="36E93894" w14:textId="77777777" w:rsidR="00560745" w:rsidRPr="0018681B" w:rsidRDefault="00560745">
            <w:pPr>
              <w:spacing w:after="0" w:line="240" w:lineRule="auto"/>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Total operating expenditure:</w:t>
            </w:r>
          </w:p>
        </w:tc>
        <w:tc>
          <w:tcPr>
            <w:tcW w:w="851" w:type="dxa"/>
            <w:noWrap/>
            <w:vAlign w:val="bottom"/>
            <w:hideMark/>
          </w:tcPr>
          <w:p w14:paraId="2C2C6081" w14:textId="77777777" w:rsidR="00560745" w:rsidRPr="0018681B" w:rsidRDefault="00560745">
            <w:pPr>
              <w:rPr>
                <w:rFonts w:ascii="Arial" w:eastAsia="Times New Roman" w:hAnsi="Arial" w:cs="Arial"/>
                <w:b/>
                <w:bCs/>
                <w:kern w:val="0"/>
                <w:lang w:eastAsia="en-GB"/>
                <w14:ligatures w14:val="none"/>
              </w:rPr>
            </w:pPr>
          </w:p>
        </w:tc>
        <w:tc>
          <w:tcPr>
            <w:tcW w:w="1417" w:type="dxa"/>
            <w:tcBorders>
              <w:top w:val="nil"/>
              <w:left w:val="nil"/>
              <w:bottom w:val="single" w:sz="8" w:space="0" w:color="auto"/>
              <w:right w:val="nil"/>
            </w:tcBorders>
            <w:noWrap/>
            <w:vAlign w:val="bottom"/>
            <w:hideMark/>
          </w:tcPr>
          <w:p w14:paraId="3D7F0D6E"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 xml:space="preserve">661,603 </w:t>
            </w:r>
          </w:p>
        </w:tc>
        <w:tc>
          <w:tcPr>
            <w:tcW w:w="1418" w:type="dxa"/>
            <w:tcBorders>
              <w:top w:val="nil"/>
              <w:left w:val="nil"/>
              <w:bottom w:val="single" w:sz="8" w:space="0" w:color="auto"/>
              <w:right w:val="nil"/>
            </w:tcBorders>
            <w:noWrap/>
            <w:vAlign w:val="bottom"/>
            <w:hideMark/>
          </w:tcPr>
          <w:p w14:paraId="4E330343"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 xml:space="preserve">440,452 </w:t>
            </w:r>
          </w:p>
        </w:tc>
      </w:tr>
      <w:tr w:rsidR="00560745" w14:paraId="4CDB727A" w14:textId="77777777" w:rsidTr="00560745">
        <w:trPr>
          <w:trHeight w:val="280"/>
        </w:trPr>
        <w:tc>
          <w:tcPr>
            <w:tcW w:w="5245" w:type="dxa"/>
            <w:noWrap/>
            <w:vAlign w:val="bottom"/>
            <w:hideMark/>
          </w:tcPr>
          <w:p w14:paraId="236FD1AC" w14:textId="77777777" w:rsidR="00560745" w:rsidRPr="0018681B" w:rsidRDefault="00560745">
            <w:pPr>
              <w:rPr>
                <w:rFonts w:ascii="Arial" w:eastAsia="Times New Roman" w:hAnsi="Arial" w:cs="Arial"/>
                <w:b/>
                <w:bCs/>
                <w:kern w:val="0"/>
                <w:lang w:eastAsia="en-GB"/>
                <w14:ligatures w14:val="none"/>
              </w:rPr>
            </w:pPr>
          </w:p>
        </w:tc>
        <w:tc>
          <w:tcPr>
            <w:tcW w:w="851" w:type="dxa"/>
            <w:noWrap/>
            <w:vAlign w:val="bottom"/>
            <w:hideMark/>
          </w:tcPr>
          <w:p w14:paraId="13CB6E62" w14:textId="77777777" w:rsidR="00560745" w:rsidRPr="0018681B" w:rsidRDefault="00560745">
            <w:pPr>
              <w:spacing w:after="0"/>
              <w:rPr>
                <w:rFonts w:ascii="Arial" w:hAnsi="Arial" w:cs="Arial"/>
                <w:kern w:val="0"/>
                <w:lang w:eastAsia="en-GB"/>
                <w14:ligatures w14:val="none"/>
              </w:rPr>
            </w:pPr>
          </w:p>
        </w:tc>
        <w:tc>
          <w:tcPr>
            <w:tcW w:w="1417" w:type="dxa"/>
            <w:noWrap/>
            <w:vAlign w:val="bottom"/>
            <w:hideMark/>
          </w:tcPr>
          <w:p w14:paraId="7E56503B" w14:textId="77777777" w:rsidR="00560745" w:rsidRPr="0018681B" w:rsidRDefault="00560745">
            <w:pPr>
              <w:spacing w:after="0"/>
              <w:rPr>
                <w:rFonts w:ascii="Arial" w:hAnsi="Arial" w:cs="Arial"/>
                <w:kern w:val="0"/>
                <w:lang w:eastAsia="en-GB"/>
                <w14:ligatures w14:val="none"/>
              </w:rPr>
            </w:pPr>
          </w:p>
        </w:tc>
        <w:tc>
          <w:tcPr>
            <w:tcW w:w="1418" w:type="dxa"/>
            <w:noWrap/>
            <w:vAlign w:val="bottom"/>
            <w:hideMark/>
          </w:tcPr>
          <w:p w14:paraId="5050F532" w14:textId="77777777" w:rsidR="00560745" w:rsidRPr="0018681B" w:rsidRDefault="00560745">
            <w:pPr>
              <w:spacing w:after="0"/>
              <w:rPr>
                <w:rFonts w:ascii="Arial" w:hAnsi="Arial" w:cs="Arial"/>
                <w:kern w:val="0"/>
                <w:lang w:eastAsia="en-GB"/>
                <w14:ligatures w14:val="none"/>
              </w:rPr>
            </w:pPr>
          </w:p>
        </w:tc>
      </w:tr>
      <w:tr w:rsidR="00560745" w14:paraId="0148FEBD" w14:textId="77777777" w:rsidTr="00560745">
        <w:trPr>
          <w:trHeight w:val="290"/>
        </w:trPr>
        <w:tc>
          <w:tcPr>
            <w:tcW w:w="5245" w:type="dxa"/>
            <w:noWrap/>
            <w:vAlign w:val="bottom"/>
            <w:hideMark/>
          </w:tcPr>
          <w:p w14:paraId="19C3A111" w14:textId="77777777" w:rsidR="00560745" w:rsidRPr="0018681B" w:rsidRDefault="00560745">
            <w:pPr>
              <w:spacing w:after="0" w:line="240" w:lineRule="auto"/>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Net operating expenditure:</w:t>
            </w:r>
          </w:p>
        </w:tc>
        <w:tc>
          <w:tcPr>
            <w:tcW w:w="851" w:type="dxa"/>
            <w:noWrap/>
            <w:vAlign w:val="bottom"/>
            <w:hideMark/>
          </w:tcPr>
          <w:p w14:paraId="0106CE7D" w14:textId="77777777" w:rsidR="00560745" w:rsidRPr="0018681B" w:rsidRDefault="00560745">
            <w:pPr>
              <w:rPr>
                <w:rFonts w:ascii="Arial" w:eastAsia="Times New Roman" w:hAnsi="Arial" w:cs="Arial"/>
                <w:b/>
                <w:bCs/>
                <w:kern w:val="0"/>
                <w:lang w:eastAsia="en-GB"/>
                <w14:ligatures w14:val="none"/>
              </w:rPr>
            </w:pPr>
          </w:p>
        </w:tc>
        <w:tc>
          <w:tcPr>
            <w:tcW w:w="1417" w:type="dxa"/>
            <w:tcBorders>
              <w:top w:val="single" w:sz="4" w:space="0" w:color="auto"/>
              <w:left w:val="nil"/>
              <w:bottom w:val="single" w:sz="8" w:space="0" w:color="auto"/>
              <w:right w:val="nil"/>
            </w:tcBorders>
            <w:noWrap/>
            <w:vAlign w:val="bottom"/>
            <w:hideMark/>
          </w:tcPr>
          <w:p w14:paraId="7D2C458F"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 xml:space="preserve">541,650 </w:t>
            </w:r>
          </w:p>
        </w:tc>
        <w:tc>
          <w:tcPr>
            <w:tcW w:w="1418" w:type="dxa"/>
            <w:tcBorders>
              <w:top w:val="single" w:sz="4" w:space="0" w:color="auto"/>
              <w:left w:val="nil"/>
              <w:bottom w:val="single" w:sz="8" w:space="0" w:color="auto"/>
              <w:right w:val="nil"/>
            </w:tcBorders>
            <w:noWrap/>
            <w:vAlign w:val="bottom"/>
            <w:hideMark/>
          </w:tcPr>
          <w:p w14:paraId="267568FA"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 xml:space="preserve">285,323 </w:t>
            </w:r>
          </w:p>
        </w:tc>
      </w:tr>
      <w:tr w:rsidR="00560745" w14:paraId="75E3A0F9" w14:textId="77777777" w:rsidTr="00560745">
        <w:trPr>
          <w:trHeight w:val="280"/>
        </w:trPr>
        <w:tc>
          <w:tcPr>
            <w:tcW w:w="5245" w:type="dxa"/>
            <w:noWrap/>
            <w:vAlign w:val="bottom"/>
            <w:hideMark/>
          </w:tcPr>
          <w:p w14:paraId="686149D0" w14:textId="77777777" w:rsidR="00560745" w:rsidRPr="0018681B" w:rsidRDefault="00560745">
            <w:pPr>
              <w:rPr>
                <w:rFonts w:ascii="Arial" w:eastAsia="Times New Roman" w:hAnsi="Arial" w:cs="Arial"/>
                <w:b/>
                <w:bCs/>
                <w:kern w:val="0"/>
                <w:lang w:eastAsia="en-GB"/>
                <w14:ligatures w14:val="none"/>
              </w:rPr>
            </w:pPr>
          </w:p>
        </w:tc>
        <w:tc>
          <w:tcPr>
            <w:tcW w:w="851" w:type="dxa"/>
            <w:noWrap/>
            <w:vAlign w:val="bottom"/>
            <w:hideMark/>
          </w:tcPr>
          <w:p w14:paraId="77599065" w14:textId="77777777" w:rsidR="00560745" w:rsidRPr="0018681B" w:rsidRDefault="00560745">
            <w:pPr>
              <w:spacing w:after="0"/>
              <w:rPr>
                <w:rFonts w:ascii="Arial" w:hAnsi="Arial" w:cs="Arial"/>
                <w:kern w:val="0"/>
                <w:lang w:eastAsia="en-GB"/>
                <w14:ligatures w14:val="none"/>
              </w:rPr>
            </w:pPr>
          </w:p>
        </w:tc>
        <w:tc>
          <w:tcPr>
            <w:tcW w:w="1417" w:type="dxa"/>
            <w:noWrap/>
            <w:vAlign w:val="bottom"/>
            <w:hideMark/>
          </w:tcPr>
          <w:p w14:paraId="42056435" w14:textId="77777777" w:rsidR="00560745" w:rsidRPr="0018681B" w:rsidRDefault="00560745">
            <w:pPr>
              <w:spacing w:after="0"/>
              <w:rPr>
                <w:rFonts w:ascii="Arial" w:hAnsi="Arial" w:cs="Arial"/>
                <w:kern w:val="0"/>
                <w:lang w:eastAsia="en-GB"/>
                <w14:ligatures w14:val="none"/>
              </w:rPr>
            </w:pPr>
          </w:p>
        </w:tc>
        <w:tc>
          <w:tcPr>
            <w:tcW w:w="1418" w:type="dxa"/>
            <w:noWrap/>
            <w:vAlign w:val="bottom"/>
            <w:hideMark/>
          </w:tcPr>
          <w:p w14:paraId="63E22649" w14:textId="77777777" w:rsidR="00560745" w:rsidRPr="0018681B" w:rsidRDefault="00560745">
            <w:pPr>
              <w:spacing w:after="0"/>
              <w:rPr>
                <w:rFonts w:ascii="Arial" w:hAnsi="Arial" w:cs="Arial"/>
                <w:kern w:val="0"/>
                <w:lang w:eastAsia="en-GB"/>
                <w14:ligatures w14:val="none"/>
              </w:rPr>
            </w:pPr>
          </w:p>
        </w:tc>
      </w:tr>
      <w:tr w:rsidR="00560745" w14:paraId="18B7F09F" w14:textId="77777777" w:rsidTr="00560745">
        <w:trPr>
          <w:trHeight w:val="280"/>
        </w:trPr>
        <w:tc>
          <w:tcPr>
            <w:tcW w:w="5245" w:type="dxa"/>
            <w:noWrap/>
            <w:vAlign w:val="bottom"/>
            <w:hideMark/>
          </w:tcPr>
          <w:p w14:paraId="38A36439" w14:textId="77777777" w:rsidR="00560745" w:rsidRPr="0018681B" w:rsidRDefault="00560745">
            <w:pPr>
              <w:spacing w:after="0" w:line="240" w:lineRule="auto"/>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Finance expense</w:t>
            </w:r>
          </w:p>
        </w:tc>
        <w:tc>
          <w:tcPr>
            <w:tcW w:w="851" w:type="dxa"/>
            <w:noWrap/>
            <w:vAlign w:val="center"/>
            <w:hideMark/>
          </w:tcPr>
          <w:p w14:paraId="6F48AA9B" w14:textId="77777777" w:rsidR="00560745" w:rsidRPr="0018681B" w:rsidRDefault="00560745">
            <w:pPr>
              <w:spacing w:after="0" w:line="240" w:lineRule="auto"/>
              <w:jc w:val="center"/>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3</w:t>
            </w:r>
          </w:p>
        </w:tc>
        <w:tc>
          <w:tcPr>
            <w:tcW w:w="1417" w:type="dxa"/>
            <w:noWrap/>
            <w:vAlign w:val="bottom"/>
            <w:hideMark/>
          </w:tcPr>
          <w:p w14:paraId="51C5FC96"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326 </w:t>
            </w:r>
          </w:p>
        </w:tc>
        <w:tc>
          <w:tcPr>
            <w:tcW w:w="1418" w:type="dxa"/>
            <w:noWrap/>
            <w:vAlign w:val="bottom"/>
            <w:hideMark/>
          </w:tcPr>
          <w:p w14:paraId="3377DF22" w14:textId="77777777" w:rsidR="00560745" w:rsidRPr="0018681B" w:rsidRDefault="00560745">
            <w:pPr>
              <w:spacing w:after="0" w:line="240" w:lineRule="auto"/>
              <w:jc w:val="right"/>
              <w:rPr>
                <w:rFonts w:ascii="Arial" w:eastAsia="Times New Roman" w:hAnsi="Arial" w:cs="Arial"/>
                <w:kern w:val="0"/>
                <w:lang w:eastAsia="en-GB"/>
                <w14:ligatures w14:val="none"/>
              </w:rPr>
            </w:pPr>
            <w:r w:rsidRPr="0018681B">
              <w:rPr>
                <w:rFonts w:ascii="Arial" w:eastAsia="Times New Roman" w:hAnsi="Arial" w:cs="Arial"/>
                <w:kern w:val="0"/>
                <w:lang w:eastAsia="en-GB"/>
                <w14:ligatures w14:val="none"/>
              </w:rPr>
              <w:t xml:space="preserve">319 </w:t>
            </w:r>
          </w:p>
        </w:tc>
      </w:tr>
      <w:tr w:rsidR="00560745" w14:paraId="2FA9FE14" w14:textId="77777777" w:rsidTr="00560745">
        <w:trPr>
          <w:trHeight w:val="280"/>
        </w:trPr>
        <w:tc>
          <w:tcPr>
            <w:tcW w:w="5245" w:type="dxa"/>
            <w:noWrap/>
            <w:vAlign w:val="bottom"/>
            <w:hideMark/>
          </w:tcPr>
          <w:p w14:paraId="6396D25C" w14:textId="77777777" w:rsidR="00560745" w:rsidRPr="0018681B" w:rsidRDefault="00560745">
            <w:pPr>
              <w:rPr>
                <w:rFonts w:ascii="Arial" w:eastAsia="Times New Roman" w:hAnsi="Arial" w:cs="Arial"/>
                <w:kern w:val="0"/>
                <w:lang w:eastAsia="en-GB"/>
                <w14:ligatures w14:val="none"/>
              </w:rPr>
            </w:pPr>
          </w:p>
        </w:tc>
        <w:tc>
          <w:tcPr>
            <w:tcW w:w="851" w:type="dxa"/>
            <w:noWrap/>
            <w:vAlign w:val="bottom"/>
            <w:hideMark/>
          </w:tcPr>
          <w:p w14:paraId="2C110204" w14:textId="77777777" w:rsidR="00560745" w:rsidRPr="0018681B" w:rsidRDefault="00560745">
            <w:pPr>
              <w:spacing w:after="0"/>
              <w:rPr>
                <w:rFonts w:ascii="Arial" w:hAnsi="Arial" w:cs="Arial"/>
                <w:kern w:val="0"/>
                <w:lang w:eastAsia="en-GB"/>
                <w14:ligatures w14:val="none"/>
              </w:rPr>
            </w:pPr>
          </w:p>
        </w:tc>
        <w:tc>
          <w:tcPr>
            <w:tcW w:w="1417" w:type="dxa"/>
            <w:noWrap/>
            <w:vAlign w:val="bottom"/>
            <w:hideMark/>
          </w:tcPr>
          <w:p w14:paraId="23873131" w14:textId="77777777" w:rsidR="00560745" w:rsidRPr="0018681B" w:rsidRDefault="00560745">
            <w:pPr>
              <w:spacing w:after="0"/>
              <w:rPr>
                <w:rFonts w:ascii="Arial" w:hAnsi="Arial" w:cs="Arial"/>
                <w:kern w:val="0"/>
                <w:lang w:eastAsia="en-GB"/>
                <w14:ligatures w14:val="none"/>
              </w:rPr>
            </w:pPr>
          </w:p>
        </w:tc>
        <w:tc>
          <w:tcPr>
            <w:tcW w:w="1418" w:type="dxa"/>
            <w:noWrap/>
            <w:vAlign w:val="bottom"/>
            <w:hideMark/>
          </w:tcPr>
          <w:p w14:paraId="1476E132" w14:textId="77777777" w:rsidR="00560745" w:rsidRPr="0018681B" w:rsidRDefault="00560745">
            <w:pPr>
              <w:spacing w:after="0"/>
              <w:rPr>
                <w:rFonts w:ascii="Arial" w:hAnsi="Arial" w:cs="Arial"/>
                <w:kern w:val="0"/>
                <w:lang w:eastAsia="en-GB"/>
                <w14:ligatures w14:val="none"/>
              </w:rPr>
            </w:pPr>
          </w:p>
        </w:tc>
      </w:tr>
      <w:tr w:rsidR="00560745" w14:paraId="62B0298F" w14:textId="77777777" w:rsidTr="00560745">
        <w:trPr>
          <w:trHeight w:val="315"/>
        </w:trPr>
        <w:tc>
          <w:tcPr>
            <w:tcW w:w="5245" w:type="dxa"/>
            <w:noWrap/>
            <w:vAlign w:val="bottom"/>
            <w:hideMark/>
          </w:tcPr>
          <w:p w14:paraId="2785009C" w14:textId="77777777" w:rsidR="00560745" w:rsidRPr="0018681B" w:rsidRDefault="00560745">
            <w:pPr>
              <w:spacing w:after="0" w:line="240" w:lineRule="auto"/>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Net expenditure for the year:</w:t>
            </w:r>
          </w:p>
        </w:tc>
        <w:tc>
          <w:tcPr>
            <w:tcW w:w="851" w:type="dxa"/>
            <w:noWrap/>
            <w:vAlign w:val="bottom"/>
            <w:hideMark/>
          </w:tcPr>
          <w:p w14:paraId="3475351E" w14:textId="77777777" w:rsidR="00560745" w:rsidRPr="0018681B" w:rsidRDefault="00560745">
            <w:pPr>
              <w:rPr>
                <w:rFonts w:ascii="Arial" w:eastAsia="Times New Roman" w:hAnsi="Arial" w:cs="Arial"/>
                <w:b/>
                <w:bCs/>
                <w:kern w:val="0"/>
                <w:lang w:eastAsia="en-GB"/>
                <w14:ligatures w14:val="none"/>
              </w:rPr>
            </w:pPr>
          </w:p>
        </w:tc>
        <w:tc>
          <w:tcPr>
            <w:tcW w:w="1417" w:type="dxa"/>
            <w:tcBorders>
              <w:top w:val="single" w:sz="4" w:space="0" w:color="auto"/>
              <w:left w:val="nil"/>
              <w:bottom w:val="single" w:sz="8" w:space="0" w:color="auto"/>
              <w:right w:val="nil"/>
            </w:tcBorders>
            <w:noWrap/>
            <w:vAlign w:val="bottom"/>
            <w:hideMark/>
          </w:tcPr>
          <w:p w14:paraId="0F838E94"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 xml:space="preserve">541,976 </w:t>
            </w:r>
          </w:p>
        </w:tc>
        <w:tc>
          <w:tcPr>
            <w:tcW w:w="1418" w:type="dxa"/>
            <w:tcBorders>
              <w:top w:val="single" w:sz="4" w:space="0" w:color="auto"/>
              <w:left w:val="nil"/>
              <w:bottom w:val="single" w:sz="8" w:space="0" w:color="auto"/>
              <w:right w:val="nil"/>
            </w:tcBorders>
            <w:noWrap/>
            <w:vAlign w:val="bottom"/>
            <w:hideMark/>
          </w:tcPr>
          <w:p w14:paraId="45016C9A"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 xml:space="preserve">285,642 </w:t>
            </w:r>
          </w:p>
        </w:tc>
      </w:tr>
      <w:tr w:rsidR="00560745" w14:paraId="2F8D775E" w14:textId="77777777" w:rsidTr="00560745">
        <w:trPr>
          <w:trHeight w:val="300"/>
        </w:trPr>
        <w:tc>
          <w:tcPr>
            <w:tcW w:w="5245" w:type="dxa"/>
            <w:noWrap/>
            <w:vAlign w:val="bottom"/>
            <w:hideMark/>
          </w:tcPr>
          <w:p w14:paraId="1B373615" w14:textId="77777777" w:rsidR="00560745" w:rsidRPr="0018681B" w:rsidRDefault="00560745">
            <w:pPr>
              <w:rPr>
                <w:rFonts w:ascii="Arial" w:eastAsia="Times New Roman" w:hAnsi="Arial" w:cs="Arial"/>
                <w:b/>
                <w:bCs/>
                <w:kern w:val="0"/>
                <w:lang w:eastAsia="en-GB"/>
                <w14:ligatures w14:val="none"/>
              </w:rPr>
            </w:pPr>
          </w:p>
        </w:tc>
        <w:tc>
          <w:tcPr>
            <w:tcW w:w="851" w:type="dxa"/>
            <w:noWrap/>
            <w:vAlign w:val="bottom"/>
            <w:hideMark/>
          </w:tcPr>
          <w:p w14:paraId="30228305" w14:textId="77777777" w:rsidR="00560745" w:rsidRPr="0018681B" w:rsidRDefault="00560745">
            <w:pPr>
              <w:spacing w:after="0"/>
              <w:rPr>
                <w:rFonts w:ascii="Arial" w:hAnsi="Arial" w:cs="Arial"/>
                <w:kern w:val="0"/>
                <w:lang w:eastAsia="en-GB"/>
                <w14:ligatures w14:val="none"/>
              </w:rPr>
            </w:pPr>
          </w:p>
        </w:tc>
        <w:tc>
          <w:tcPr>
            <w:tcW w:w="1417" w:type="dxa"/>
            <w:noWrap/>
            <w:vAlign w:val="bottom"/>
            <w:hideMark/>
          </w:tcPr>
          <w:p w14:paraId="370923EB" w14:textId="77777777" w:rsidR="00560745" w:rsidRPr="0018681B" w:rsidRDefault="00560745">
            <w:pPr>
              <w:spacing w:after="0"/>
              <w:rPr>
                <w:rFonts w:ascii="Arial" w:hAnsi="Arial" w:cs="Arial"/>
                <w:kern w:val="0"/>
                <w:lang w:eastAsia="en-GB"/>
                <w14:ligatures w14:val="none"/>
              </w:rPr>
            </w:pPr>
          </w:p>
        </w:tc>
        <w:tc>
          <w:tcPr>
            <w:tcW w:w="1418" w:type="dxa"/>
            <w:noWrap/>
            <w:vAlign w:val="bottom"/>
            <w:hideMark/>
          </w:tcPr>
          <w:p w14:paraId="74B3C4B0" w14:textId="77777777" w:rsidR="00560745" w:rsidRPr="0018681B" w:rsidRDefault="00560745">
            <w:pPr>
              <w:spacing w:after="0"/>
              <w:rPr>
                <w:rFonts w:ascii="Arial" w:hAnsi="Arial" w:cs="Arial"/>
                <w:kern w:val="0"/>
                <w:lang w:eastAsia="en-GB"/>
                <w14:ligatures w14:val="none"/>
              </w:rPr>
            </w:pPr>
          </w:p>
        </w:tc>
      </w:tr>
      <w:tr w:rsidR="00560745" w14:paraId="1DED05A2" w14:textId="77777777" w:rsidTr="00560745">
        <w:trPr>
          <w:trHeight w:val="290"/>
        </w:trPr>
        <w:tc>
          <w:tcPr>
            <w:tcW w:w="5245" w:type="dxa"/>
            <w:noWrap/>
            <w:vAlign w:val="bottom"/>
            <w:hideMark/>
          </w:tcPr>
          <w:p w14:paraId="61292C7C" w14:textId="77777777" w:rsidR="00560745" w:rsidRPr="0018681B" w:rsidRDefault="00560745">
            <w:pPr>
              <w:spacing w:after="0" w:line="240" w:lineRule="auto"/>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Comprehensive net expenditure for the year:</w:t>
            </w:r>
          </w:p>
        </w:tc>
        <w:tc>
          <w:tcPr>
            <w:tcW w:w="851" w:type="dxa"/>
            <w:noWrap/>
            <w:vAlign w:val="bottom"/>
            <w:hideMark/>
          </w:tcPr>
          <w:p w14:paraId="039C7B00" w14:textId="77777777" w:rsidR="00560745" w:rsidRPr="0018681B" w:rsidRDefault="00560745">
            <w:pPr>
              <w:rPr>
                <w:rFonts w:ascii="Arial" w:eastAsia="Times New Roman" w:hAnsi="Arial" w:cs="Arial"/>
                <w:b/>
                <w:bCs/>
                <w:kern w:val="0"/>
                <w:lang w:eastAsia="en-GB"/>
                <w14:ligatures w14:val="none"/>
              </w:rPr>
            </w:pPr>
          </w:p>
        </w:tc>
        <w:tc>
          <w:tcPr>
            <w:tcW w:w="1417" w:type="dxa"/>
            <w:tcBorders>
              <w:top w:val="single" w:sz="4" w:space="0" w:color="auto"/>
              <w:left w:val="nil"/>
              <w:bottom w:val="single" w:sz="8" w:space="0" w:color="auto"/>
              <w:right w:val="nil"/>
            </w:tcBorders>
            <w:noWrap/>
            <w:vAlign w:val="bottom"/>
            <w:hideMark/>
          </w:tcPr>
          <w:p w14:paraId="25275C55"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 xml:space="preserve">541,976 </w:t>
            </w:r>
          </w:p>
        </w:tc>
        <w:tc>
          <w:tcPr>
            <w:tcW w:w="1418" w:type="dxa"/>
            <w:tcBorders>
              <w:top w:val="single" w:sz="4" w:space="0" w:color="auto"/>
              <w:left w:val="nil"/>
              <w:bottom w:val="single" w:sz="8" w:space="0" w:color="auto"/>
              <w:right w:val="nil"/>
            </w:tcBorders>
            <w:noWrap/>
            <w:vAlign w:val="bottom"/>
            <w:hideMark/>
          </w:tcPr>
          <w:p w14:paraId="720DFE98" w14:textId="77777777" w:rsidR="00560745" w:rsidRPr="0018681B" w:rsidRDefault="00560745">
            <w:pPr>
              <w:spacing w:after="0" w:line="240" w:lineRule="auto"/>
              <w:jc w:val="right"/>
              <w:rPr>
                <w:rFonts w:ascii="Arial" w:eastAsia="Times New Roman" w:hAnsi="Arial" w:cs="Arial"/>
                <w:b/>
                <w:bCs/>
                <w:kern w:val="0"/>
                <w:lang w:eastAsia="en-GB"/>
                <w14:ligatures w14:val="none"/>
              </w:rPr>
            </w:pPr>
            <w:r w:rsidRPr="0018681B">
              <w:rPr>
                <w:rFonts w:ascii="Arial" w:eastAsia="Times New Roman" w:hAnsi="Arial" w:cs="Arial"/>
                <w:b/>
                <w:bCs/>
                <w:kern w:val="0"/>
                <w:lang w:eastAsia="en-GB"/>
                <w14:ligatures w14:val="none"/>
              </w:rPr>
              <w:t xml:space="preserve">285,642 </w:t>
            </w:r>
          </w:p>
        </w:tc>
      </w:tr>
      <w:tr w:rsidR="00560745" w14:paraId="2AD8ADEA" w14:textId="77777777" w:rsidTr="00560745">
        <w:trPr>
          <w:trHeight w:val="280"/>
        </w:trPr>
        <w:tc>
          <w:tcPr>
            <w:tcW w:w="8931" w:type="dxa"/>
            <w:gridSpan w:val="4"/>
            <w:noWrap/>
            <w:vAlign w:val="bottom"/>
            <w:hideMark/>
          </w:tcPr>
          <w:p w14:paraId="28FDC76F" w14:textId="77777777" w:rsidR="00560745" w:rsidRPr="009E2D89" w:rsidRDefault="00560745">
            <w:pPr>
              <w:rPr>
                <w:rFonts w:ascii="Arial" w:eastAsia="Times New Roman" w:hAnsi="Arial" w:cs="Arial"/>
                <w:b/>
                <w:bCs/>
                <w:kern w:val="0"/>
                <w:sz w:val="24"/>
                <w:szCs w:val="24"/>
                <w:lang w:eastAsia="en-GB"/>
                <w14:ligatures w14:val="none"/>
              </w:rPr>
            </w:pPr>
          </w:p>
        </w:tc>
      </w:tr>
      <w:tr w:rsidR="00560745" w14:paraId="44B789B2" w14:textId="77777777" w:rsidTr="00560745">
        <w:trPr>
          <w:trHeight w:val="280"/>
        </w:trPr>
        <w:tc>
          <w:tcPr>
            <w:tcW w:w="8931" w:type="dxa"/>
            <w:gridSpan w:val="4"/>
            <w:noWrap/>
            <w:vAlign w:val="bottom"/>
            <w:hideMark/>
          </w:tcPr>
          <w:p w14:paraId="5594B383" w14:textId="77777777" w:rsidR="00560745" w:rsidRPr="009E2D89" w:rsidRDefault="00560745">
            <w:pPr>
              <w:spacing w:after="0"/>
              <w:rPr>
                <w:rFonts w:ascii="Arial" w:hAnsi="Arial" w:cs="Arial"/>
                <w:kern w:val="0"/>
                <w:sz w:val="24"/>
                <w:szCs w:val="24"/>
                <w:lang w:eastAsia="en-GB"/>
                <w14:ligatures w14:val="none"/>
              </w:rPr>
            </w:pPr>
          </w:p>
        </w:tc>
      </w:tr>
      <w:tr w:rsidR="00560745" w14:paraId="03F54AA4" w14:textId="77777777" w:rsidTr="00560745">
        <w:trPr>
          <w:trHeight w:val="300"/>
        </w:trPr>
        <w:tc>
          <w:tcPr>
            <w:tcW w:w="8931" w:type="dxa"/>
            <w:gridSpan w:val="4"/>
            <w:hideMark/>
          </w:tcPr>
          <w:p w14:paraId="502A5B16" w14:textId="3B797EC8"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The notes on pages </w:t>
            </w:r>
            <w:r w:rsidR="00B82891">
              <w:rPr>
                <w:rFonts w:ascii="Arial" w:eastAsia="Times New Roman" w:hAnsi="Arial" w:cs="Arial"/>
                <w:kern w:val="0"/>
                <w:lang w:eastAsia="en-GB"/>
                <w14:ligatures w14:val="none"/>
              </w:rPr>
              <w:t>10</w:t>
            </w:r>
            <w:r w:rsidR="0049220B">
              <w:rPr>
                <w:rFonts w:ascii="Arial" w:eastAsia="Times New Roman" w:hAnsi="Arial" w:cs="Arial"/>
                <w:kern w:val="0"/>
                <w:lang w:eastAsia="en-GB"/>
                <w14:ligatures w14:val="none"/>
              </w:rPr>
              <w:t>5</w:t>
            </w:r>
            <w:r w:rsidRPr="003519B0">
              <w:rPr>
                <w:rFonts w:ascii="Arial" w:eastAsia="Times New Roman" w:hAnsi="Arial" w:cs="Arial"/>
                <w:kern w:val="0"/>
                <w:lang w:eastAsia="en-GB"/>
                <w14:ligatures w14:val="none"/>
              </w:rPr>
              <w:t xml:space="preserve"> to </w:t>
            </w:r>
            <w:r w:rsidR="00B82891">
              <w:rPr>
                <w:rFonts w:ascii="Arial" w:eastAsia="Times New Roman" w:hAnsi="Arial" w:cs="Arial"/>
                <w:kern w:val="0"/>
                <w:lang w:eastAsia="en-GB"/>
                <w14:ligatures w14:val="none"/>
              </w:rPr>
              <w:t>1</w:t>
            </w:r>
            <w:r w:rsidR="000C1CC1">
              <w:rPr>
                <w:rFonts w:ascii="Arial" w:eastAsia="Times New Roman" w:hAnsi="Arial" w:cs="Arial"/>
                <w:kern w:val="0"/>
                <w:lang w:eastAsia="en-GB"/>
                <w14:ligatures w14:val="none"/>
              </w:rPr>
              <w:t>3</w:t>
            </w:r>
            <w:r w:rsidR="0049220B">
              <w:rPr>
                <w:rFonts w:ascii="Arial" w:eastAsia="Times New Roman" w:hAnsi="Arial" w:cs="Arial"/>
                <w:kern w:val="0"/>
                <w:lang w:eastAsia="en-GB"/>
                <w14:ligatures w14:val="none"/>
              </w:rPr>
              <w:t>6</w:t>
            </w:r>
            <w:r w:rsidRPr="003519B0">
              <w:rPr>
                <w:rFonts w:ascii="Arial" w:eastAsia="Times New Roman" w:hAnsi="Arial" w:cs="Arial"/>
                <w:kern w:val="0"/>
                <w:lang w:eastAsia="en-GB"/>
                <w14:ligatures w14:val="none"/>
              </w:rPr>
              <w:t xml:space="preserve"> form part of these Accounts</w:t>
            </w:r>
          </w:p>
        </w:tc>
      </w:tr>
    </w:tbl>
    <w:p w14:paraId="743D1B6A" w14:textId="77777777" w:rsidR="00560745" w:rsidRDefault="00560745" w:rsidP="00560745">
      <w:pPr>
        <w:rPr>
          <w:rFonts w:ascii="Arial" w:hAnsi="Arial" w:cs="Arial"/>
          <w:sz w:val="24"/>
          <w:szCs w:val="24"/>
        </w:rPr>
      </w:pPr>
    </w:p>
    <w:p w14:paraId="6751A74B" w14:textId="77777777" w:rsidR="00560745" w:rsidRDefault="00560745" w:rsidP="00560745"/>
    <w:p w14:paraId="428BD6C4" w14:textId="77777777" w:rsidR="00560745" w:rsidRDefault="00560745" w:rsidP="00560745">
      <w:r>
        <w:rPr>
          <w:rFonts w:ascii="Times New Roman" w:hAnsi="Times New Roman" w:cs="Times New Roman"/>
          <w:kern w:val="0"/>
          <w:lang w:eastAsia="en-GB"/>
          <w14:ligatures w14:val="none"/>
        </w:rPr>
        <w:br w:type="page"/>
      </w:r>
    </w:p>
    <w:tbl>
      <w:tblPr>
        <w:tblW w:w="8931" w:type="dxa"/>
        <w:tblLook w:val="04A0" w:firstRow="1" w:lastRow="0" w:firstColumn="1" w:lastColumn="0" w:noHBand="0" w:noVBand="1"/>
      </w:tblPr>
      <w:tblGrid>
        <w:gridCol w:w="5245"/>
        <w:gridCol w:w="851"/>
        <w:gridCol w:w="1417"/>
        <w:gridCol w:w="1418"/>
      </w:tblGrid>
      <w:tr w:rsidR="00560745" w14:paraId="642E57F8" w14:textId="77777777" w:rsidTr="00560745">
        <w:trPr>
          <w:trHeight w:val="400"/>
        </w:trPr>
        <w:tc>
          <w:tcPr>
            <w:tcW w:w="8931" w:type="dxa"/>
            <w:gridSpan w:val="4"/>
            <w:noWrap/>
            <w:hideMark/>
          </w:tcPr>
          <w:p w14:paraId="09BAF3F9" w14:textId="77777777" w:rsidR="00560745" w:rsidRDefault="00560745" w:rsidP="00DA127D">
            <w:pPr>
              <w:pStyle w:val="Heading4"/>
              <w:rPr>
                <w:lang w:eastAsia="en-GB"/>
              </w:rPr>
            </w:pPr>
            <w:r>
              <w:rPr>
                <w:lang w:eastAsia="en-GB"/>
              </w:rPr>
              <w:lastRenderedPageBreak/>
              <w:t>Statement of Financial Position</w:t>
            </w:r>
          </w:p>
        </w:tc>
      </w:tr>
      <w:tr w:rsidR="00560745" w14:paraId="32ACCE81" w14:textId="77777777" w:rsidTr="00560745">
        <w:trPr>
          <w:trHeight w:val="290"/>
        </w:trPr>
        <w:tc>
          <w:tcPr>
            <w:tcW w:w="8931" w:type="dxa"/>
            <w:gridSpan w:val="4"/>
            <w:tcBorders>
              <w:top w:val="nil"/>
              <w:left w:val="nil"/>
              <w:bottom w:val="single" w:sz="8" w:space="0" w:color="auto"/>
              <w:right w:val="nil"/>
            </w:tcBorders>
            <w:noWrap/>
            <w:vAlign w:val="bottom"/>
            <w:hideMark/>
          </w:tcPr>
          <w:p w14:paraId="60F1ADFE" w14:textId="77777777"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as at 31 March 2024</w:t>
            </w:r>
          </w:p>
        </w:tc>
      </w:tr>
      <w:tr w:rsidR="00560745" w14:paraId="48F80706" w14:textId="77777777" w:rsidTr="00560745">
        <w:trPr>
          <w:trHeight w:val="280"/>
        </w:trPr>
        <w:tc>
          <w:tcPr>
            <w:tcW w:w="8931" w:type="dxa"/>
            <w:gridSpan w:val="4"/>
            <w:tcBorders>
              <w:top w:val="single" w:sz="8" w:space="0" w:color="auto"/>
              <w:left w:val="nil"/>
              <w:bottom w:val="nil"/>
              <w:right w:val="nil"/>
            </w:tcBorders>
            <w:noWrap/>
            <w:vAlign w:val="bottom"/>
            <w:hideMark/>
          </w:tcPr>
          <w:p w14:paraId="2A7AED8D" w14:textId="77777777"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 </w:t>
            </w:r>
          </w:p>
        </w:tc>
      </w:tr>
      <w:tr w:rsidR="00560745" w14:paraId="056737FE" w14:textId="77777777" w:rsidTr="00560745">
        <w:trPr>
          <w:trHeight w:val="280"/>
        </w:trPr>
        <w:tc>
          <w:tcPr>
            <w:tcW w:w="5245" w:type="dxa"/>
            <w:noWrap/>
            <w:vAlign w:val="bottom"/>
            <w:hideMark/>
          </w:tcPr>
          <w:p w14:paraId="6E3251FC" w14:textId="77777777" w:rsidR="00560745" w:rsidRPr="003519B0" w:rsidRDefault="00560745">
            <w:pPr>
              <w:rPr>
                <w:rFonts w:ascii="Arial" w:eastAsia="Times New Roman" w:hAnsi="Arial" w:cs="Arial"/>
                <w:kern w:val="0"/>
                <w:lang w:eastAsia="en-GB"/>
                <w14:ligatures w14:val="none"/>
              </w:rPr>
            </w:pPr>
          </w:p>
        </w:tc>
        <w:tc>
          <w:tcPr>
            <w:tcW w:w="851" w:type="dxa"/>
            <w:noWrap/>
            <w:vAlign w:val="bottom"/>
            <w:hideMark/>
          </w:tcPr>
          <w:p w14:paraId="1B802477" w14:textId="77777777" w:rsidR="00560745" w:rsidRPr="003519B0" w:rsidRDefault="00560745">
            <w:pPr>
              <w:spacing w:after="0"/>
              <w:rPr>
                <w:rFonts w:ascii="Arial" w:hAnsi="Arial" w:cs="Arial"/>
                <w:kern w:val="0"/>
                <w:lang w:eastAsia="en-GB"/>
                <w14:ligatures w14:val="none"/>
              </w:rPr>
            </w:pPr>
          </w:p>
        </w:tc>
        <w:tc>
          <w:tcPr>
            <w:tcW w:w="1417" w:type="dxa"/>
            <w:noWrap/>
            <w:vAlign w:val="center"/>
            <w:hideMark/>
          </w:tcPr>
          <w:p w14:paraId="1E039CB5"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2023-24</w:t>
            </w:r>
          </w:p>
        </w:tc>
        <w:tc>
          <w:tcPr>
            <w:tcW w:w="1418" w:type="dxa"/>
            <w:noWrap/>
            <w:vAlign w:val="center"/>
            <w:hideMark/>
          </w:tcPr>
          <w:p w14:paraId="0B9F9D6E"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2022-23</w:t>
            </w:r>
          </w:p>
        </w:tc>
      </w:tr>
      <w:tr w:rsidR="00560745" w14:paraId="451DA2FF" w14:textId="77777777" w:rsidTr="00560745">
        <w:trPr>
          <w:trHeight w:val="280"/>
        </w:trPr>
        <w:tc>
          <w:tcPr>
            <w:tcW w:w="5245" w:type="dxa"/>
            <w:tcBorders>
              <w:top w:val="nil"/>
              <w:left w:val="nil"/>
              <w:bottom w:val="single" w:sz="4" w:space="0" w:color="auto"/>
              <w:right w:val="nil"/>
            </w:tcBorders>
            <w:noWrap/>
            <w:vAlign w:val="bottom"/>
            <w:hideMark/>
          </w:tcPr>
          <w:p w14:paraId="63DBB322"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w:t>
            </w:r>
          </w:p>
        </w:tc>
        <w:tc>
          <w:tcPr>
            <w:tcW w:w="851" w:type="dxa"/>
            <w:tcBorders>
              <w:top w:val="nil"/>
              <w:left w:val="nil"/>
              <w:bottom w:val="single" w:sz="4" w:space="0" w:color="auto"/>
              <w:right w:val="nil"/>
            </w:tcBorders>
            <w:noWrap/>
            <w:vAlign w:val="bottom"/>
            <w:hideMark/>
          </w:tcPr>
          <w:p w14:paraId="7E741177"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w:t>
            </w:r>
          </w:p>
        </w:tc>
        <w:tc>
          <w:tcPr>
            <w:tcW w:w="1417" w:type="dxa"/>
            <w:tcBorders>
              <w:top w:val="nil"/>
              <w:left w:val="nil"/>
              <w:bottom w:val="single" w:sz="4" w:space="0" w:color="auto"/>
              <w:right w:val="nil"/>
            </w:tcBorders>
            <w:noWrap/>
            <w:vAlign w:val="bottom"/>
            <w:hideMark/>
          </w:tcPr>
          <w:p w14:paraId="45CEF492"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£'000</w:t>
            </w:r>
          </w:p>
        </w:tc>
        <w:tc>
          <w:tcPr>
            <w:tcW w:w="1418" w:type="dxa"/>
            <w:tcBorders>
              <w:top w:val="nil"/>
              <w:left w:val="nil"/>
              <w:bottom w:val="single" w:sz="4" w:space="0" w:color="auto"/>
              <w:right w:val="nil"/>
            </w:tcBorders>
            <w:noWrap/>
            <w:vAlign w:val="bottom"/>
            <w:hideMark/>
          </w:tcPr>
          <w:p w14:paraId="2F896613"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£'000</w:t>
            </w:r>
          </w:p>
        </w:tc>
      </w:tr>
      <w:tr w:rsidR="00560745" w14:paraId="2C012B0C" w14:textId="77777777" w:rsidTr="00560745">
        <w:trPr>
          <w:trHeight w:val="280"/>
        </w:trPr>
        <w:tc>
          <w:tcPr>
            <w:tcW w:w="5245" w:type="dxa"/>
            <w:noWrap/>
            <w:vAlign w:val="bottom"/>
            <w:hideMark/>
          </w:tcPr>
          <w:p w14:paraId="1D02DE0A"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w:t>
            </w:r>
          </w:p>
        </w:tc>
        <w:tc>
          <w:tcPr>
            <w:tcW w:w="851" w:type="dxa"/>
            <w:noWrap/>
            <w:vAlign w:val="bottom"/>
            <w:hideMark/>
          </w:tcPr>
          <w:p w14:paraId="120CF177" w14:textId="77777777" w:rsidR="00560745" w:rsidRPr="003519B0" w:rsidRDefault="00560745">
            <w:pPr>
              <w:rPr>
                <w:rFonts w:ascii="Arial" w:eastAsia="Times New Roman" w:hAnsi="Arial" w:cs="Arial"/>
                <w:kern w:val="0"/>
                <w:lang w:eastAsia="en-GB"/>
                <w14:ligatures w14:val="none"/>
              </w:rPr>
            </w:pPr>
          </w:p>
        </w:tc>
        <w:tc>
          <w:tcPr>
            <w:tcW w:w="1417" w:type="dxa"/>
            <w:noWrap/>
            <w:vAlign w:val="bottom"/>
            <w:hideMark/>
          </w:tcPr>
          <w:p w14:paraId="15980ED1" w14:textId="77777777" w:rsidR="00560745" w:rsidRPr="003519B0" w:rsidRDefault="00560745">
            <w:pPr>
              <w:spacing w:after="0"/>
              <w:rPr>
                <w:rFonts w:ascii="Arial" w:hAnsi="Arial" w:cs="Arial"/>
                <w:kern w:val="0"/>
                <w:lang w:eastAsia="en-GB"/>
                <w14:ligatures w14:val="none"/>
              </w:rPr>
            </w:pPr>
          </w:p>
        </w:tc>
        <w:tc>
          <w:tcPr>
            <w:tcW w:w="1418" w:type="dxa"/>
            <w:noWrap/>
            <w:vAlign w:val="bottom"/>
            <w:hideMark/>
          </w:tcPr>
          <w:p w14:paraId="057D1E54" w14:textId="77777777" w:rsidR="00560745" w:rsidRPr="003519B0" w:rsidRDefault="00560745">
            <w:pPr>
              <w:spacing w:after="0"/>
              <w:rPr>
                <w:rFonts w:ascii="Arial" w:hAnsi="Arial" w:cs="Arial"/>
                <w:kern w:val="0"/>
                <w:lang w:eastAsia="en-GB"/>
                <w14:ligatures w14:val="none"/>
              </w:rPr>
            </w:pPr>
          </w:p>
        </w:tc>
      </w:tr>
      <w:tr w:rsidR="00560745" w14:paraId="6BFAAB53" w14:textId="77777777" w:rsidTr="00560745">
        <w:trPr>
          <w:trHeight w:val="280"/>
        </w:trPr>
        <w:tc>
          <w:tcPr>
            <w:tcW w:w="5245" w:type="dxa"/>
            <w:noWrap/>
            <w:vAlign w:val="bottom"/>
            <w:hideMark/>
          </w:tcPr>
          <w:p w14:paraId="43DD3D7B" w14:textId="77777777" w:rsidR="00560745" w:rsidRPr="003519B0" w:rsidRDefault="00560745">
            <w:pPr>
              <w:spacing w:after="0"/>
              <w:rPr>
                <w:rFonts w:ascii="Arial" w:hAnsi="Arial" w:cs="Arial"/>
                <w:kern w:val="0"/>
                <w:lang w:eastAsia="en-GB"/>
                <w14:ligatures w14:val="none"/>
              </w:rPr>
            </w:pPr>
          </w:p>
        </w:tc>
        <w:tc>
          <w:tcPr>
            <w:tcW w:w="851" w:type="dxa"/>
            <w:noWrap/>
            <w:vAlign w:val="bottom"/>
            <w:hideMark/>
          </w:tcPr>
          <w:p w14:paraId="198C7486" w14:textId="77777777" w:rsidR="00560745" w:rsidRPr="003519B0" w:rsidRDefault="00560745">
            <w:pPr>
              <w:spacing w:after="0" w:line="240" w:lineRule="auto"/>
              <w:jc w:val="center"/>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Note</w:t>
            </w:r>
          </w:p>
        </w:tc>
        <w:tc>
          <w:tcPr>
            <w:tcW w:w="1417" w:type="dxa"/>
            <w:noWrap/>
            <w:vAlign w:val="bottom"/>
            <w:hideMark/>
          </w:tcPr>
          <w:p w14:paraId="3C5EEE2E" w14:textId="77777777" w:rsidR="00560745" w:rsidRPr="003519B0" w:rsidRDefault="00560745">
            <w:pPr>
              <w:rPr>
                <w:rFonts w:ascii="Arial" w:eastAsia="Times New Roman" w:hAnsi="Arial" w:cs="Arial"/>
                <w:b/>
                <w:bCs/>
                <w:kern w:val="0"/>
                <w:lang w:eastAsia="en-GB"/>
                <w14:ligatures w14:val="none"/>
              </w:rPr>
            </w:pPr>
          </w:p>
        </w:tc>
        <w:tc>
          <w:tcPr>
            <w:tcW w:w="1418" w:type="dxa"/>
            <w:noWrap/>
            <w:vAlign w:val="bottom"/>
            <w:hideMark/>
          </w:tcPr>
          <w:p w14:paraId="20E428B7" w14:textId="77777777" w:rsidR="00560745" w:rsidRPr="003519B0" w:rsidRDefault="00560745">
            <w:pPr>
              <w:spacing w:after="0"/>
              <w:rPr>
                <w:rFonts w:ascii="Arial" w:hAnsi="Arial" w:cs="Arial"/>
                <w:kern w:val="0"/>
                <w:lang w:eastAsia="en-GB"/>
                <w14:ligatures w14:val="none"/>
              </w:rPr>
            </w:pPr>
          </w:p>
        </w:tc>
      </w:tr>
      <w:tr w:rsidR="00560745" w14:paraId="028D71D1" w14:textId="77777777" w:rsidTr="00560745">
        <w:trPr>
          <w:trHeight w:val="280"/>
        </w:trPr>
        <w:tc>
          <w:tcPr>
            <w:tcW w:w="5245" w:type="dxa"/>
            <w:noWrap/>
            <w:vAlign w:val="bottom"/>
            <w:hideMark/>
          </w:tcPr>
          <w:p w14:paraId="0A8B8DDC"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Non-current assets:</w:t>
            </w:r>
          </w:p>
        </w:tc>
        <w:tc>
          <w:tcPr>
            <w:tcW w:w="851" w:type="dxa"/>
            <w:noWrap/>
            <w:vAlign w:val="bottom"/>
            <w:hideMark/>
          </w:tcPr>
          <w:p w14:paraId="26CDEA65" w14:textId="77777777" w:rsidR="00560745" w:rsidRPr="003519B0" w:rsidRDefault="00560745">
            <w:pPr>
              <w:rPr>
                <w:rFonts w:ascii="Arial" w:eastAsia="Times New Roman" w:hAnsi="Arial" w:cs="Arial"/>
                <w:b/>
                <w:bCs/>
                <w:kern w:val="0"/>
                <w:lang w:eastAsia="en-GB"/>
                <w14:ligatures w14:val="none"/>
              </w:rPr>
            </w:pPr>
          </w:p>
        </w:tc>
        <w:tc>
          <w:tcPr>
            <w:tcW w:w="1417" w:type="dxa"/>
            <w:noWrap/>
            <w:vAlign w:val="bottom"/>
            <w:hideMark/>
          </w:tcPr>
          <w:p w14:paraId="44A5E461" w14:textId="77777777" w:rsidR="00560745" w:rsidRPr="003519B0" w:rsidRDefault="00560745">
            <w:pPr>
              <w:spacing w:after="0"/>
              <w:rPr>
                <w:rFonts w:ascii="Arial" w:hAnsi="Arial" w:cs="Arial"/>
                <w:kern w:val="0"/>
                <w:lang w:eastAsia="en-GB"/>
                <w14:ligatures w14:val="none"/>
              </w:rPr>
            </w:pPr>
          </w:p>
        </w:tc>
        <w:tc>
          <w:tcPr>
            <w:tcW w:w="1418" w:type="dxa"/>
            <w:noWrap/>
            <w:vAlign w:val="bottom"/>
            <w:hideMark/>
          </w:tcPr>
          <w:p w14:paraId="2B374637" w14:textId="77777777" w:rsidR="00560745" w:rsidRPr="003519B0" w:rsidRDefault="00560745">
            <w:pPr>
              <w:spacing w:after="0"/>
              <w:rPr>
                <w:rFonts w:ascii="Arial" w:hAnsi="Arial" w:cs="Arial"/>
                <w:kern w:val="0"/>
                <w:lang w:eastAsia="en-GB"/>
                <w14:ligatures w14:val="none"/>
              </w:rPr>
            </w:pPr>
          </w:p>
        </w:tc>
      </w:tr>
      <w:tr w:rsidR="00560745" w14:paraId="1D6263A6" w14:textId="77777777" w:rsidTr="00560745">
        <w:trPr>
          <w:trHeight w:val="280"/>
        </w:trPr>
        <w:tc>
          <w:tcPr>
            <w:tcW w:w="5245" w:type="dxa"/>
            <w:noWrap/>
            <w:vAlign w:val="bottom"/>
            <w:hideMark/>
          </w:tcPr>
          <w:p w14:paraId="07541D7F"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Property, plant and equipment</w:t>
            </w:r>
          </w:p>
        </w:tc>
        <w:tc>
          <w:tcPr>
            <w:tcW w:w="851" w:type="dxa"/>
            <w:noWrap/>
            <w:vAlign w:val="bottom"/>
            <w:hideMark/>
          </w:tcPr>
          <w:p w14:paraId="40FC37F4"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6</w:t>
            </w:r>
          </w:p>
        </w:tc>
        <w:tc>
          <w:tcPr>
            <w:tcW w:w="1417" w:type="dxa"/>
            <w:noWrap/>
            <w:vAlign w:val="bottom"/>
            <w:hideMark/>
          </w:tcPr>
          <w:p w14:paraId="26FB598F"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19,273 </w:t>
            </w:r>
          </w:p>
        </w:tc>
        <w:tc>
          <w:tcPr>
            <w:tcW w:w="1418" w:type="dxa"/>
            <w:noWrap/>
            <w:vAlign w:val="bottom"/>
            <w:hideMark/>
          </w:tcPr>
          <w:p w14:paraId="13A789E9"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17,479 </w:t>
            </w:r>
          </w:p>
        </w:tc>
      </w:tr>
      <w:tr w:rsidR="00560745" w14:paraId="0B1A510D" w14:textId="77777777" w:rsidTr="00560745">
        <w:trPr>
          <w:trHeight w:val="280"/>
        </w:trPr>
        <w:tc>
          <w:tcPr>
            <w:tcW w:w="5245" w:type="dxa"/>
            <w:noWrap/>
            <w:vAlign w:val="bottom"/>
            <w:hideMark/>
          </w:tcPr>
          <w:p w14:paraId="62958D07"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Intangible assets</w:t>
            </w:r>
          </w:p>
        </w:tc>
        <w:tc>
          <w:tcPr>
            <w:tcW w:w="851" w:type="dxa"/>
            <w:noWrap/>
            <w:vAlign w:val="bottom"/>
            <w:hideMark/>
          </w:tcPr>
          <w:p w14:paraId="1E502873"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7</w:t>
            </w:r>
          </w:p>
        </w:tc>
        <w:tc>
          <w:tcPr>
            <w:tcW w:w="1417" w:type="dxa"/>
            <w:noWrap/>
            <w:vAlign w:val="bottom"/>
            <w:hideMark/>
          </w:tcPr>
          <w:p w14:paraId="042C94A1"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1,874 </w:t>
            </w:r>
          </w:p>
        </w:tc>
        <w:tc>
          <w:tcPr>
            <w:tcW w:w="1418" w:type="dxa"/>
            <w:noWrap/>
            <w:vAlign w:val="bottom"/>
            <w:hideMark/>
          </w:tcPr>
          <w:p w14:paraId="3D4E9797"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2,258 </w:t>
            </w:r>
          </w:p>
        </w:tc>
      </w:tr>
      <w:tr w:rsidR="00560745" w14:paraId="63E3CE98" w14:textId="77777777" w:rsidTr="00560745">
        <w:trPr>
          <w:trHeight w:val="280"/>
        </w:trPr>
        <w:tc>
          <w:tcPr>
            <w:tcW w:w="5245" w:type="dxa"/>
            <w:noWrap/>
            <w:vAlign w:val="bottom"/>
            <w:hideMark/>
          </w:tcPr>
          <w:p w14:paraId="0BA4275C"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Financial assets</w:t>
            </w:r>
          </w:p>
        </w:tc>
        <w:tc>
          <w:tcPr>
            <w:tcW w:w="851" w:type="dxa"/>
            <w:noWrap/>
            <w:vAlign w:val="bottom"/>
            <w:hideMark/>
          </w:tcPr>
          <w:p w14:paraId="33869A69"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9</w:t>
            </w:r>
          </w:p>
        </w:tc>
        <w:tc>
          <w:tcPr>
            <w:tcW w:w="1417" w:type="dxa"/>
            <w:noWrap/>
            <w:vAlign w:val="bottom"/>
            <w:hideMark/>
          </w:tcPr>
          <w:p w14:paraId="4DDE8B81"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74,699 </w:t>
            </w:r>
          </w:p>
        </w:tc>
        <w:tc>
          <w:tcPr>
            <w:tcW w:w="1418" w:type="dxa"/>
            <w:noWrap/>
            <w:vAlign w:val="bottom"/>
            <w:hideMark/>
          </w:tcPr>
          <w:p w14:paraId="6D9ABA23"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69,967 </w:t>
            </w:r>
          </w:p>
        </w:tc>
      </w:tr>
      <w:tr w:rsidR="00560745" w14:paraId="0B08D878" w14:textId="77777777" w:rsidTr="00560745">
        <w:trPr>
          <w:trHeight w:val="290"/>
        </w:trPr>
        <w:tc>
          <w:tcPr>
            <w:tcW w:w="5245" w:type="dxa"/>
            <w:noWrap/>
            <w:vAlign w:val="center"/>
            <w:hideMark/>
          </w:tcPr>
          <w:p w14:paraId="35797D0E"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Total non-current assets</w:t>
            </w:r>
          </w:p>
        </w:tc>
        <w:tc>
          <w:tcPr>
            <w:tcW w:w="851" w:type="dxa"/>
            <w:noWrap/>
            <w:vAlign w:val="center"/>
            <w:hideMark/>
          </w:tcPr>
          <w:p w14:paraId="10BF41C7" w14:textId="77777777" w:rsidR="00560745" w:rsidRPr="003519B0" w:rsidRDefault="00560745">
            <w:pPr>
              <w:rPr>
                <w:rFonts w:ascii="Arial" w:eastAsia="Times New Roman" w:hAnsi="Arial" w:cs="Arial"/>
                <w:b/>
                <w:bCs/>
                <w:kern w:val="0"/>
                <w:lang w:eastAsia="en-GB"/>
                <w14:ligatures w14:val="none"/>
              </w:rPr>
            </w:pPr>
          </w:p>
        </w:tc>
        <w:tc>
          <w:tcPr>
            <w:tcW w:w="1417" w:type="dxa"/>
            <w:tcBorders>
              <w:top w:val="single" w:sz="4" w:space="0" w:color="auto"/>
              <w:left w:val="nil"/>
              <w:bottom w:val="single" w:sz="8" w:space="0" w:color="auto"/>
              <w:right w:val="nil"/>
            </w:tcBorders>
            <w:noWrap/>
            <w:vAlign w:val="bottom"/>
            <w:hideMark/>
          </w:tcPr>
          <w:p w14:paraId="144B31E8"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95,846 </w:t>
            </w:r>
          </w:p>
        </w:tc>
        <w:tc>
          <w:tcPr>
            <w:tcW w:w="1418" w:type="dxa"/>
            <w:tcBorders>
              <w:top w:val="single" w:sz="4" w:space="0" w:color="auto"/>
              <w:left w:val="nil"/>
              <w:bottom w:val="single" w:sz="8" w:space="0" w:color="auto"/>
              <w:right w:val="nil"/>
            </w:tcBorders>
            <w:noWrap/>
            <w:vAlign w:val="bottom"/>
            <w:hideMark/>
          </w:tcPr>
          <w:p w14:paraId="23C6571E"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89,704 </w:t>
            </w:r>
          </w:p>
        </w:tc>
      </w:tr>
      <w:tr w:rsidR="00560745" w14:paraId="4BF9AEEC" w14:textId="77777777" w:rsidTr="00560745">
        <w:trPr>
          <w:trHeight w:val="280"/>
        </w:trPr>
        <w:tc>
          <w:tcPr>
            <w:tcW w:w="5245" w:type="dxa"/>
            <w:noWrap/>
            <w:vAlign w:val="bottom"/>
            <w:hideMark/>
          </w:tcPr>
          <w:p w14:paraId="6D651A67" w14:textId="77777777" w:rsidR="00560745" w:rsidRPr="003519B0" w:rsidRDefault="00560745">
            <w:pPr>
              <w:rPr>
                <w:rFonts w:ascii="Arial" w:eastAsia="Times New Roman" w:hAnsi="Arial" w:cs="Arial"/>
                <w:b/>
                <w:bCs/>
                <w:kern w:val="0"/>
                <w:lang w:eastAsia="en-GB"/>
                <w14:ligatures w14:val="none"/>
              </w:rPr>
            </w:pPr>
          </w:p>
        </w:tc>
        <w:tc>
          <w:tcPr>
            <w:tcW w:w="851" w:type="dxa"/>
            <w:noWrap/>
            <w:vAlign w:val="bottom"/>
            <w:hideMark/>
          </w:tcPr>
          <w:p w14:paraId="5AB2E511" w14:textId="77777777" w:rsidR="00560745" w:rsidRPr="003519B0" w:rsidRDefault="00560745">
            <w:pPr>
              <w:spacing w:after="0"/>
              <w:rPr>
                <w:rFonts w:ascii="Arial" w:hAnsi="Arial" w:cs="Arial"/>
                <w:kern w:val="0"/>
                <w:lang w:eastAsia="en-GB"/>
                <w14:ligatures w14:val="none"/>
              </w:rPr>
            </w:pPr>
          </w:p>
        </w:tc>
        <w:tc>
          <w:tcPr>
            <w:tcW w:w="1417" w:type="dxa"/>
            <w:noWrap/>
            <w:vAlign w:val="bottom"/>
            <w:hideMark/>
          </w:tcPr>
          <w:p w14:paraId="1C0A9C90" w14:textId="77777777" w:rsidR="00560745" w:rsidRPr="003519B0" w:rsidRDefault="00560745">
            <w:pPr>
              <w:spacing w:after="0"/>
              <w:rPr>
                <w:rFonts w:ascii="Arial" w:hAnsi="Arial" w:cs="Arial"/>
                <w:kern w:val="0"/>
                <w:lang w:eastAsia="en-GB"/>
                <w14:ligatures w14:val="none"/>
              </w:rPr>
            </w:pPr>
          </w:p>
        </w:tc>
        <w:tc>
          <w:tcPr>
            <w:tcW w:w="1418" w:type="dxa"/>
            <w:noWrap/>
            <w:vAlign w:val="bottom"/>
            <w:hideMark/>
          </w:tcPr>
          <w:p w14:paraId="5E24FC8E" w14:textId="77777777" w:rsidR="00560745" w:rsidRPr="003519B0" w:rsidRDefault="00560745">
            <w:pPr>
              <w:spacing w:after="0"/>
              <w:rPr>
                <w:rFonts w:ascii="Arial" w:hAnsi="Arial" w:cs="Arial"/>
                <w:kern w:val="0"/>
                <w:lang w:eastAsia="en-GB"/>
                <w14:ligatures w14:val="none"/>
              </w:rPr>
            </w:pPr>
          </w:p>
        </w:tc>
      </w:tr>
      <w:tr w:rsidR="00560745" w14:paraId="43F0C90B" w14:textId="77777777" w:rsidTr="00560745">
        <w:trPr>
          <w:trHeight w:val="280"/>
        </w:trPr>
        <w:tc>
          <w:tcPr>
            <w:tcW w:w="5245" w:type="dxa"/>
            <w:noWrap/>
            <w:vAlign w:val="bottom"/>
            <w:hideMark/>
          </w:tcPr>
          <w:p w14:paraId="44B87DAF"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Current assets:</w:t>
            </w:r>
          </w:p>
        </w:tc>
        <w:tc>
          <w:tcPr>
            <w:tcW w:w="851" w:type="dxa"/>
            <w:noWrap/>
            <w:vAlign w:val="bottom"/>
            <w:hideMark/>
          </w:tcPr>
          <w:p w14:paraId="74BA7644" w14:textId="77777777" w:rsidR="00560745" w:rsidRPr="003519B0" w:rsidRDefault="00560745">
            <w:pPr>
              <w:rPr>
                <w:rFonts w:ascii="Arial" w:eastAsia="Times New Roman" w:hAnsi="Arial" w:cs="Arial"/>
                <w:b/>
                <w:bCs/>
                <w:kern w:val="0"/>
                <w:lang w:eastAsia="en-GB"/>
                <w14:ligatures w14:val="none"/>
              </w:rPr>
            </w:pPr>
          </w:p>
        </w:tc>
        <w:tc>
          <w:tcPr>
            <w:tcW w:w="1417" w:type="dxa"/>
            <w:noWrap/>
            <w:vAlign w:val="bottom"/>
            <w:hideMark/>
          </w:tcPr>
          <w:p w14:paraId="30580AC9" w14:textId="77777777" w:rsidR="00560745" w:rsidRPr="003519B0" w:rsidRDefault="00560745">
            <w:pPr>
              <w:spacing w:after="0"/>
              <w:rPr>
                <w:rFonts w:ascii="Arial" w:hAnsi="Arial" w:cs="Arial"/>
                <w:kern w:val="0"/>
                <w:lang w:eastAsia="en-GB"/>
                <w14:ligatures w14:val="none"/>
              </w:rPr>
            </w:pPr>
          </w:p>
        </w:tc>
        <w:tc>
          <w:tcPr>
            <w:tcW w:w="1418" w:type="dxa"/>
            <w:noWrap/>
            <w:vAlign w:val="bottom"/>
            <w:hideMark/>
          </w:tcPr>
          <w:p w14:paraId="3CA29311" w14:textId="77777777" w:rsidR="00560745" w:rsidRPr="003519B0" w:rsidRDefault="00560745">
            <w:pPr>
              <w:spacing w:after="0"/>
              <w:rPr>
                <w:rFonts w:ascii="Arial" w:hAnsi="Arial" w:cs="Arial"/>
                <w:kern w:val="0"/>
                <w:lang w:eastAsia="en-GB"/>
                <w14:ligatures w14:val="none"/>
              </w:rPr>
            </w:pPr>
          </w:p>
        </w:tc>
      </w:tr>
      <w:tr w:rsidR="00560745" w14:paraId="7964D7AA" w14:textId="77777777" w:rsidTr="00560745">
        <w:trPr>
          <w:trHeight w:val="280"/>
        </w:trPr>
        <w:tc>
          <w:tcPr>
            <w:tcW w:w="5245" w:type="dxa"/>
            <w:noWrap/>
            <w:vAlign w:val="bottom"/>
            <w:hideMark/>
          </w:tcPr>
          <w:p w14:paraId="075D8AFC"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Financial assets</w:t>
            </w:r>
          </w:p>
        </w:tc>
        <w:tc>
          <w:tcPr>
            <w:tcW w:w="851" w:type="dxa"/>
            <w:noWrap/>
            <w:vAlign w:val="bottom"/>
            <w:hideMark/>
          </w:tcPr>
          <w:p w14:paraId="2AA98CD0"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9</w:t>
            </w:r>
          </w:p>
        </w:tc>
        <w:tc>
          <w:tcPr>
            <w:tcW w:w="1417" w:type="dxa"/>
            <w:noWrap/>
            <w:vAlign w:val="bottom"/>
            <w:hideMark/>
          </w:tcPr>
          <w:p w14:paraId="458BC1EE"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66,354 </w:t>
            </w:r>
          </w:p>
        </w:tc>
        <w:tc>
          <w:tcPr>
            <w:tcW w:w="1418" w:type="dxa"/>
            <w:noWrap/>
            <w:vAlign w:val="bottom"/>
            <w:hideMark/>
          </w:tcPr>
          <w:p w14:paraId="1D9BB469"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68,360 </w:t>
            </w:r>
          </w:p>
        </w:tc>
      </w:tr>
      <w:tr w:rsidR="00560745" w14:paraId="45C0C027" w14:textId="77777777" w:rsidTr="00560745">
        <w:trPr>
          <w:trHeight w:val="280"/>
        </w:trPr>
        <w:tc>
          <w:tcPr>
            <w:tcW w:w="5245" w:type="dxa"/>
            <w:noWrap/>
            <w:vAlign w:val="bottom"/>
            <w:hideMark/>
          </w:tcPr>
          <w:p w14:paraId="2CB28574"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Trade receivables and other assets</w:t>
            </w:r>
          </w:p>
        </w:tc>
        <w:tc>
          <w:tcPr>
            <w:tcW w:w="851" w:type="dxa"/>
            <w:noWrap/>
            <w:vAlign w:val="bottom"/>
            <w:hideMark/>
          </w:tcPr>
          <w:p w14:paraId="57B66DCF"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9</w:t>
            </w:r>
          </w:p>
        </w:tc>
        <w:tc>
          <w:tcPr>
            <w:tcW w:w="1417" w:type="dxa"/>
            <w:noWrap/>
            <w:vAlign w:val="bottom"/>
            <w:hideMark/>
          </w:tcPr>
          <w:p w14:paraId="0C9F80A9"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6,089 </w:t>
            </w:r>
          </w:p>
        </w:tc>
        <w:tc>
          <w:tcPr>
            <w:tcW w:w="1418" w:type="dxa"/>
            <w:noWrap/>
            <w:vAlign w:val="bottom"/>
            <w:hideMark/>
          </w:tcPr>
          <w:p w14:paraId="5E177A6E"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7,147 </w:t>
            </w:r>
          </w:p>
        </w:tc>
      </w:tr>
      <w:tr w:rsidR="00560745" w14:paraId="701ACA61" w14:textId="77777777" w:rsidTr="00560745">
        <w:trPr>
          <w:trHeight w:val="280"/>
        </w:trPr>
        <w:tc>
          <w:tcPr>
            <w:tcW w:w="5245" w:type="dxa"/>
            <w:noWrap/>
            <w:vAlign w:val="bottom"/>
            <w:hideMark/>
          </w:tcPr>
          <w:p w14:paraId="0E986B1E"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Cash and cash equivalents</w:t>
            </w:r>
          </w:p>
        </w:tc>
        <w:tc>
          <w:tcPr>
            <w:tcW w:w="851" w:type="dxa"/>
            <w:noWrap/>
            <w:vAlign w:val="bottom"/>
            <w:hideMark/>
          </w:tcPr>
          <w:p w14:paraId="0852144D"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10</w:t>
            </w:r>
          </w:p>
        </w:tc>
        <w:tc>
          <w:tcPr>
            <w:tcW w:w="1417" w:type="dxa"/>
            <w:noWrap/>
            <w:vAlign w:val="bottom"/>
            <w:hideMark/>
          </w:tcPr>
          <w:p w14:paraId="4FE17C81"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196,795 </w:t>
            </w:r>
          </w:p>
        </w:tc>
        <w:tc>
          <w:tcPr>
            <w:tcW w:w="1418" w:type="dxa"/>
            <w:noWrap/>
            <w:vAlign w:val="bottom"/>
            <w:hideMark/>
          </w:tcPr>
          <w:p w14:paraId="187232FD"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335,902 </w:t>
            </w:r>
          </w:p>
        </w:tc>
      </w:tr>
      <w:tr w:rsidR="00560745" w14:paraId="4F705465" w14:textId="77777777" w:rsidTr="00560745">
        <w:trPr>
          <w:trHeight w:val="290"/>
        </w:trPr>
        <w:tc>
          <w:tcPr>
            <w:tcW w:w="5245" w:type="dxa"/>
            <w:noWrap/>
            <w:vAlign w:val="center"/>
            <w:hideMark/>
          </w:tcPr>
          <w:p w14:paraId="4ED2ED77"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Total current assets</w:t>
            </w:r>
          </w:p>
        </w:tc>
        <w:tc>
          <w:tcPr>
            <w:tcW w:w="851" w:type="dxa"/>
            <w:noWrap/>
            <w:vAlign w:val="center"/>
            <w:hideMark/>
          </w:tcPr>
          <w:p w14:paraId="0CECBC62" w14:textId="77777777" w:rsidR="00560745" w:rsidRPr="003519B0" w:rsidRDefault="00560745">
            <w:pPr>
              <w:rPr>
                <w:rFonts w:ascii="Arial" w:eastAsia="Times New Roman" w:hAnsi="Arial" w:cs="Arial"/>
                <w:b/>
                <w:bCs/>
                <w:kern w:val="0"/>
                <w:lang w:eastAsia="en-GB"/>
                <w14:ligatures w14:val="none"/>
              </w:rPr>
            </w:pPr>
          </w:p>
        </w:tc>
        <w:tc>
          <w:tcPr>
            <w:tcW w:w="1417" w:type="dxa"/>
            <w:tcBorders>
              <w:top w:val="single" w:sz="4" w:space="0" w:color="auto"/>
              <w:left w:val="nil"/>
              <w:bottom w:val="single" w:sz="8" w:space="0" w:color="auto"/>
              <w:right w:val="nil"/>
            </w:tcBorders>
            <w:noWrap/>
            <w:vAlign w:val="bottom"/>
            <w:hideMark/>
          </w:tcPr>
          <w:p w14:paraId="7103C062"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269,238 </w:t>
            </w:r>
          </w:p>
        </w:tc>
        <w:tc>
          <w:tcPr>
            <w:tcW w:w="1418" w:type="dxa"/>
            <w:tcBorders>
              <w:top w:val="single" w:sz="4" w:space="0" w:color="auto"/>
              <w:left w:val="nil"/>
              <w:bottom w:val="single" w:sz="8" w:space="0" w:color="auto"/>
              <w:right w:val="nil"/>
            </w:tcBorders>
            <w:noWrap/>
            <w:vAlign w:val="bottom"/>
            <w:hideMark/>
          </w:tcPr>
          <w:p w14:paraId="37F86610"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411,409 </w:t>
            </w:r>
          </w:p>
        </w:tc>
      </w:tr>
      <w:tr w:rsidR="00560745" w14:paraId="03D00232" w14:textId="77777777" w:rsidTr="00560745">
        <w:trPr>
          <w:trHeight w:val="290"/>
        </w:trPr>
        <w:tc>
          <w:tcPr>
            <w:tcW w:w="5245" w:type="dxa"/>
            <w:noWrap/>
            <w:vAlign w:val="center"/>
            <w:hideMark/>
          </w:tcPr>
          <w:p w14:paraId="236285B4"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Total assets</w:t>
            </w:r>
          </w:p>
        </w:tc>
        <w:tc>
          <w:tcPr>
            <w:tcW w:w="851" w:type="dxa"/>
            <w:noWrap/>
            <w:vAlign w:val="center"/>
            <w:hideMark/>
          </w:tcPr>
          <w:p w14:paraId="15B00A28" w14:textId="77777777" w:rsidR="00560745" w:rsidRPr="003519B0" w:rsidRDefault="00560745">
            <w:pPr>
              <w:rPr>
                <w:rFonts w:ascii="Arial" w:eastAsia="Times New Roman" w:hAnsi="Arial" w:cs="Arial"/>
                <w:b/>
                <w:bCs/>
                <w:kern w:val="0"/>
                <w:lang w:eastAsia="en-GB"/>
                <w14:ligatures w14:val="none"/>
              </w:rPr>
            </w:pPr>
          </w:p>
        </w:tc>
        <w:tc>
          <w:tcPr>
            <w:tcW w:w="1417" w:type="dxa"/>
            <w:tcBorders>
              <w:top w:val="single" w:sz="4" w:space="0" w:color="auto"/>
              <w:left w:val="nil"/>
              <w:bottom w:val="single" w:sz="8" w:space="0" w:color="auto"/>
              <w:right w:val="nil"/>
            </w:tcBorders>
            <w:noWrap/>
            <w:vAlign w:val="bottom"/>
            <w:hideMark/>
          </w:tcPr>
          <w:p w14:paraId="1D826A1D"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365,084 </w:t>
            </w:r>
          </w:p>
        </w:tc>
        <w:tc>
          <w:tcPr>
            <w:tcW w:w="1418" w:type="dxa"/>
            <w:tcBorders>
              <w:top w:val="single" w:sz="4" w:space="0" w:color="auto"/>
              <w:left w:val="nil"/>
              <w:bottom w:val="single" w:sz="8" w:space="0" w:color="auto"/>
              <w:right w:val="nil"/>
            </w:tcBorders>
            <w:noWrap/>
            <w:vAlign w:val="bottom"/>
            <w:hideMark/>
          </w:tcPr>
          <w:p w14:paraId="2F2D9C40"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501,113 </w:t>
            </w:r>
          </w:p>
        </w:tc>
      </w:tr>
      <w:tr w:rsidR="00560745" w14:paraId="4FA0D3D5" w14:textId="77777777" w:rsidTr="00560745">
        <w:trPr>
          <w:trHeight w:val="280"/>
        </w:trPr>
        <w:tc>
          <w:tcPr>
            <w:tcW w:w="5245" w:type="dxa"/>
            <w:noWrap/>
            <w:vAlign w:val="bottom"/>
            <w:hideMark/>
          </w:tcPr>
          <w:p w14:paraId="5DF0DB74" w14:textId="77777777" w:rsidR="00560745" w:rsidRPr="003519B0" w:rsidRDefault="00560745">
            <w:pPr>
              <w:rPr>
                <w:rFonts w:ascii="Arial" w:eastAsia="Times New Roman" w:hAnsi="Arial" w:cs="Arial"/>
                <w:b/>
                <w:bCs/>
                <w:kern w:val="0"/>
                <w:lang w:eastAsia="en-GB"/>
                <w14:ligatures w14:val="none"/>
              </w:rPr>
            </w:pPr>
          </w:p>
        </w:tc>
        <w:tc>
          <w:tcPr>
            <w:tcW w:w="851" w:type="dxa"/>
            <w:noWrap/>
            <w:vAlign w:val="bottom"/>
            <w:hideMark/>
          </w:tcPr>
          <w:p w14:paraId="7C1FE02E" w14:textId="77777777" w:rsidR="00560745" w:rsidRPr="003519B0" w:rsidRDefault="00560745">
            <w:pPr>
              <w:spacing w:after="0"/>
              <w:rPr>
                <w:rFonts w:ascii="Arial" w:hAnsi="Arial" w:cs="Arial"/>
                <w:kern w:val="0"/>
                <w:lang w:eastAsia="en-GB"/>
                <w14:ligatures w14:val="none"/>
              </w:rPr>
            </w:pPr>
          </w:p>
        </w:tc>
        <w:tc>
          <w:tcPr>
            <w:tcW w:w="1417" w:type="dxa"/>
            <w:noWrap/>
            <w:vAlign w:val="bottom"/>
            <w:hideMark/>
          </w:tcPr>
          <w:p w14:paraId="6DE84C41" w14:textId="77777777" w:rsidR="00560745" w:rsidRPr="003519B0" w:rsidRDefault="00560745">
            <w:pPr>
              <w:spacing w:after="0"/>
              <w:rPr>
                <w:rFonts w:ascii="Arial" w:hAnsi="Arial" w:cs="Arial"/>
                <w:kern w:val="0"/>
                <w:lang w:eastAsia="en-GB"/>
                <w14:ligatures w14:val="none"/>
              </w:rPr>
            </w:pPr>
          </w:p>
        </w:tc>
        <w:tc>
          <w:tcPr>
            <w:tcW w:w="1418" w:type="dxa"/>
            <w:noWrap/>
            <w:vAlign w:val="bottom"/>
            <w:hideMark/>
          </w:tcPr>
          <w:p w14:paraId="03C24A16" w14:textId="77777777" w:rsidR="00560745" w:rsidRPr="003519B0" w:rsidRDefault="00560745">
            <w:pPr>
              <w:spacing w:after="0"/>
              <w:rPr>
                <w:rFonts w:ascii="Arial" w:hAnsi="Arial" w:cs="Arial"/>
                <w:kern w:val="0"/>
                <w:lang w:eastAsia="en-GB"/>
                <w14:ligatures w14:val="none"/>
              </w:rPr>
            </w:pPr>
          </w:p>
        </w:tc>
      </w:tr>
      <w:tr w:rsidR="00560745" w14:paraId="79BD401F" w14:textId="77777777" w:rsidTr="00560745">
        <w:trPr>
          <w:trHeight w:val="280"/>
        </w:trPr>
        <w:tc>
          <w:tcPr>
            <w:tcW w:w="5245" w:type="dxa"/>
            <w:noWrap/>
            <w:vAlign w:val="bottom"/>
            <w:hideMark/>
          </w:tcPr>
          <w:p w14:paraId="67EB61CD" w14:textId="3479C3A4"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Current liabilities</w:t>
            </w:r>
            <w:r w:rsidR="00743B41">
              <w:rPr>
                <w:rFonts w:ascii="Arial" w:eastAsia="Times New Roman" w:hAnsi="Arial" w:cs="Arial"/>
                <w:b/>
                <w:bCs/>
                <w:kern w:val="0"/>
                <w:lang w:eastAsia="en-GB"/>
                <w14:ligatures w14:val="none"/>
              </w:rPr>
              <w:t>:</w:t>
            </w:r>
          </w:p>
        </w:tc>
        <w:tc>
          <w:tcPr>
            <w:tcW w:w="851" w:type="dxa"/>
            <w:noWrap/>
            <w:vAlign w:val="bottom"/>
            <w:hideMark/>
          </w:tcPr>
          <w:p w14:paraId="4C13E3FE" w14:textId="77777777" w:rsidR="00560745" w:rsidRPr="003519B0" w:rsidRDefault="00560745">
            <w:pPr>
              <w:rPr>
                <w:rFonts w:ascii="Arial" w:eastAsia="Times New Roman" w:hAnsi="Arial" w:cs="Arial"/>
                <w:b/>
                <w:bCs/>
                <w:kern w:val="0"/>
                <w:lang w:eastAsia="en-GB"/>
                <w14:ligatures w14:val="none"/>
              </w:rPr>
            </w:pPr>
          </w:p>
        </w:tc>
        <w:tc>
          <w:tcPr>
            <w:tcW w:w="1417" w:type="dxa"/>
            <w:noWrap/>
            <w:vAlign w:val="bottom"/>
            <w:hideMark/>
          </w:tcPr>
          <w:p w14:paraId="321E5E0B" w14:textId="77777777" w:rsidR="00560745" w:rsidRPr="003519B0" w:rsidRDefault="00560745">
            <w:pPr>
              <w:spacing w:after="0"/>
              <w:rPr>
                <w:rFonts w:ascii="Arial" w:hAnsi="Arial" w:cs="Arial"/>
                <w:kern w:val="0"/>
                <w:lang w:eastAsia="en-GB"/>
                <w14:ligatures w14:val="none"/>
              </w:rPr>
            </w:pPr>
          </w:p>
        </w:tc>
        <w:tc>
          <w:tcPr>
            <w:tcW w:w="1418" w:type="dxa"/>
            <w:noWrap/>
            <w:vAlign w:val="bottom"/>
            <w:hideMark/>
          </w:tcPr>
          <w:p w14:paraId="520A8C82" w14:textId="77777777" w:rsidR="00560745" w:rsidRPr="003519B0" w:rsidRDefault="00560745">
            <w:pPr>
              <w:spacing w:after="0"/>
              <w:rPr>
                <w:rFonts w:ascii="Arial" w:hAnsi="Arial" w:cs="Arial"/>
                <w:kern w:val="0"/>
                <w:lang w:eastAsia="en-GB"/>
                <w14:ligatures w14:val="none"/>
              </w:rPr>
            </w:pPr>
          </w:p>
        </w:tc>
      </w:tr>
      <w:tr w:rsidR="00560745" w14:paraId="75F62007" w14:textId="77777777" w:rsidTr="00560745">
        <w:trPr>
          <w:trHeight w:val="280"/>
        </w:trPr>
        <w:tc>
          <w:tcPr>
            <w:tcW w:w="5245" w:type="dxa"/>
            <w:noWrap/>
            <w:vAlign w:val="bottom"/>
            <w:hideMark/>
          </w:tcPr>
          <w:p w14:paraId="6C51F0DA"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Trade and other payables</w:t>
            </w:r>
          </w:p>
        </w:tc>
        <w:tc>
          <w:tcPr>
            <w:tcW w:w="851" w:type="dxa"/>
            <w:noWrap/>
            <w:vAlign w:val="bottom"/>
            <w:hideMark/>
          </w:tcPr>
          <w:p w14:paraId="1E91C452"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11</w:t>
            </w:r>
          </w:p>
        </w:tc>
        <w:tc>
          <w:tcPr>
            <w:tcW w:w="1417" w:type="dxa"/>
            <w:noWrap/>
            <w:vAlign w:val="bottom"/>
            <w:hideMark/>
          </w:tcPr>
          <w:p w14:paraId="592551A2"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(36,887) </w:t>
            </w:r>
          </w:p>
        </w:tc>
        <w:tc>
          <w:tcPr>
            <w:tcW w:w="1418" w:type="dxa"/>
            <w:noWrap/>
            <w:vAlign w:val="bottom"/>
            <w:hideMark/>
          </w:tcPr>
          <w:p w14:paraId="07B99783"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(168,070) </w:t>
            </w:r>
          </w:p>
        </w:tc>
      </w:tr>
      <w:tr w:rsidR="00560745" w14:paraId="42EB6CA8" w14:textId="77777777" w:rsidTr="00560745">
        <w:trPr>
          <w:trHeight w:val="280"/>
        </w:trPr>
        <w:tc>
          <w:tcPr>
            <w:tcW w:w="5245" w:type="dxa"/>
            <w:noWrap/>
            <w:vAlign w:val="bottom"/>
            <w:hideMark/>
          </w:tcPr>
          <w:p w14:paraId="7E37A985"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Provisions</w:t>
            </w:r>
          </w:p>
        </w:tc>
        <w:tc>
          <w:tcPr>
            <w:tcW w:w="851" w:type="dxa"/>
            <w:noWrap/>
            <w:vAlign w:val="bottom"/>
            <w:hideMark/>
          </w:tcPr>
          <w:p w14:paraId="386F529F"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12</w:t>
            </w:r>
          </w:p>
        </w:tc>
        <w:tc>
          <w:tcPr>
            <w:tcW w:w="1417" w:type="dxa"/>
            <w:noWrap/>
            <w:vAlign w:val="bottom"/>
            <w:hideMark/>
          </w:tcPr>
          <w:p w14:paraId="21C1689E"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(3,990) </w:t>
            </w:r>
          </w:p>
        </w:tc>
        <w:tc>
          <w:tcPr>
            <w:tcW w:w="1418" w:type="dxa"/>
            <w:noWrap/>
            <w:vAlign w:val="bottom"/>
            <w:hideMark/>
          </w:tcPr>
          <w:p w14:paraId="13D73A7C"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(3,083) </w:t>
            </w:r>
          </w:p>
        </w:tc>
      </w:tr>
      <w:tr w:rsidR="00560745" w14:paraId="25786A6C" w14:textId="77777777" w:rsidTr="00560745">
        <w:trPr>
          <w:trHeight w:val="280"/>
        </w:trPr>
        <w:tc>
          <w:tcPr>
            <w:tcW w:w="5245" w:type="dxa"/>
            <w:noWrap/>
            <w:vAlign w:val="center"/>
            <w:hideMark/>
          </w:tcPr>
          <w:p w14:paraId="5CB4390E"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Total current liabilities</w:t>
            </w:r>
          </w:p>
        </w:tc>
        <w:tc>
          <w:tcPr>
            <w:tcW w:w="851" w:type="dxa"/>
            <w:noWrap/>
            <w:vAlign w:val="center"/>
            <w:hideMark/>
          </w:tcPr>
          <w:p w14:paraId="08FDA7A1" w14:textId="77777777" w:rsidR="00560745" w:rsidRPr="003519B0" w:rsidRDefault="00560745">
            <w:pPr>
              <w:rPr>
                <w:rFonts w:ascii="Arial" w:eastAsia="Times New Roman" w:hAnsi="Arial" w:cs="Arial"/>
                <w:b/>
                <w:bCs/>
                <w:kern w:val="0"/>
                <w:lang w:eastAsia="en-GB"/>
                <w14:ligatures w14:val="none"/>
              </w:rPr>
            </w:pPr>
          </w:p>
        </w:tc>
        <w:tc>
          <w:tcPr>
            <w:tcW w:w="1417" w:type="dxa"/>
            <w:tcBorders>
              <w:top w:val="single" w:sz="4" w:space="0" w:color="auto"/>
              <w:left w:val="nil"/>
              <w:bottom w:val="single" w:sz="4" w:space="0" w:color="auto"/>
              <w:right w:val="nil"/>
            </w:tcBorders>
            <w:noWrap/>
            <w:vAlign w:val="bottom"/>
            <w:hideMark/>
          </w:tcPr>
          <w:p w14:paraId="0614814A"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(40,877) </w:t>
            </w:r>
          </w:p>
        </w:tc>
        <w:tc>
          <w:tcPr>
            <w:tcW w:w="1418" w:type="dxa"/>
            <w:tcBorders>
              <w:top w:val="single" w:sz="4" w:space="0" w:color="auto"/>
              <w:left w:val="nil"/>
              <w:bottom w:val="single" w:sz="4" w:space="0" w:color="auto"/>
              <w:right w:val="nil"/>
            </w:tcBorders>
            <w:noWrap/>
            <w:vAlign w:val="bottom"/>
            <w:hideMark/>
          </w:tcPr>
          <w:p w14:paraId="5BB0B764"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(171,153) </w:t>
            </w:r>
          </w:p>
        </w:tc>
      </w:tr>
      <w:tr w:rsidR="00560745" w14:paraId="4E32C149" w14:textId="77777777" w:rsidTr="00560745">
        <w:trPr>
          <w:trHeight w:val="290"/>
        </w:trPr>
        <w:tc>
          <w:tcPr>
            <w:tcW w:w="5245" w:type="dxa"/>
            <w:noWrap/>
            <w:vAlign w:val="center"/>
            <w:hideMark/>
          </w:tcPr>
          <w:p w14:paraId="179764B7"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Total assets less total current liabilities</w:t>
            </w:r>
          </w:p>
        </w:tc>
        <w:tc>
          <w:tcPr>
            <w:tcW w:w="851" w:type="dxa"/>
            <w:noWrap/>
            <w:vAlign w:val="center"/>
            <w:hideMark/>
          </w:tcPr>
          <w:p w14:paraId="25FF6BCA" w14:textId="77777777" w:rsidR="00560745" w:rsidRPr="003519B0" w:rsidRDefault="00560745">
            <w:pPr>
              <w:rPr>
                <w:rFonts w:ascii="Arial" w:eastAsia="Times New Roman" w:hAnsi="Arial" w:cs="Arial"/>
                <w:b/>
                <w:bCs/>
                <w:kern w:val="0"/>
                <w:lang w:eastAsia="en-GB"/>
                <w14:ligatures w14:val="none"/>
              </w:rPr>
            </w:pPr>
          </w:p>
        </w:tc>
        <w:tc>
          <w:tcPr>
            <w:tcW w:w="1417" w:type="dxa"/>
            <w:tcBorders>
              <w:top w:val="nil"/>
              <w:left w:val="nil"/>
              <w:bottom w:val="single" w:sz="8" w:space="0" w:color="auto"/>
              <w:right w:val="nil"/>
            </w:tcBorders>
            <w:noWrap/>
            <w:vAlign w:val="bottom"/>
            <w:hideMark/>
          </w:tcPr>
          <w:p w14:paraId="52D6FDC5"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324,207 </w:t>
            </w:r>
          </w:p>
        </w:tc>
        <w:tc>
          <w:tcPr>
            <w:tcW w:w="1418" w:type="dxa"/>
            <w:tcBorders>
              <w:top w:val="nil"/>
              <w:left w:val="nil"/>
              <w:bottom w:val="single" w:sz="8" w:space="0" w:color="auto"/>
              <w:right w:val="nil"/>
            </w:tcBorders>
            <w:noWrap/>
            <w:vAlign w:val="bottom"/>
            <w:hideMark/>
          </w:tcPr>
          <w:p w14:paraId="1CD26328"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329,960 </w:t>
            </w:r>
          </w:p>
        </w:tc>
      </w:tr>
      <w:tr w:rsidR="00560745" w14:paraId="7928918B" w14:textId="77777777" w:rsidTr="00560745">
        <w:trPr>
          <w:trHeight w:val="280"/>
        </w:trPr>
        <w:tc>
          <w:tcPr>
            <w:tcW w:w="5245" w:type="dxa"/>
            <w:noWrap/>
            <w:vAlign w:val="bottom"/>
            <w:hideMark/>
          </w:tcPr>
          <w:p w14:paraId="0C2DD980" w14:textId="77777777" w:rsidR="00560745" w:rsidRPr="003519B0" w:rsidRDefault="00560745">
            <w:pPr>
              <w:rPr>
                <w:rFonts w:ascii="Arial" w:eastAsia="Times New Roman" w:hAnsi="Arial" w:cs="Arial"/>
                <w:b/>
                <w:bCs/>
                <w:kern w:val="0"/>
                <w:lang w:eastAsia="en-GB"/>
                <w14:ligatures w14:val="none"/>
              </w:rPr>
            </w:pPr>
          </w:p>
        </w:tc>
        <w:tc>
          <w:tcPr>
            <w:tcW w:w="851" w:type="dxa"/>
            <w:noWrap/>
            <w:vAlign w:val="bottom"/>
            <w:hideMark/>
          </w:tcPr>
          <w:p w14:paraId="55FDBE05" w14:textId="77777777" w:rsidR="00560745" w:rsidRPr="003519B0" w:rsidRDefault="00560745">
            <w:pPr>
              <w:spacing w:after="0"/>
              <w:rPr>
                <w:rFonts w:ascii="Arial" w:hAnsi="Arial" w:cs="Arial"/>
                <w:kern w:val="0"/>
                <w:lang w:eastAsia="en-GB"/>
                <w14:ligatures w14:val="none"/>
              </w:rPr>
            </w:pPr>
          </w:p>
        </w:tc>
        <w:tc>
          <w:tcPr>
            <w:tcW w:w="1417" w:type="dxa"/>
            <w:noWrap/>
            <w:vAlign w:val="bottom"/>
            <w:hideMark/>
          </w:tcPr>
          <w:p w14:paraId="026F9A57" w14:textId="77777777" w:rsidR="00560745" w:rsidRPr="003519B0" w:rsidRDefault="00560745">
            <w:pPr>
              <w:spacing w:after="0"/>
              <w:rPr>
                <w:rFonts w:ascii="Arial" w:hAnsi="Arial" w:cs="Arial"/>
                <w:kern w:val="0"/>
                <w:lang w:eastAsia="en-GB"/>
                <w14:ligatures w14:val="none"/>
              </w:rPr>
            </w:pPr>
          </w:p>
        </w:tc>
        <w:tc>
          <w:tcPr>
            <w:tcW w:w="1418" w:type="dxa"/>
            <w:noWrap/>
            <w:vAlign w:val="bottom"/>
            <w:hideMark/>
          </w:tcPr>
          <w:p w14:paraId="0E80AAE3" w14:textId="77777777" w:rsidR="00560745" w:rsidRPr="003519B0" w:rsidRDefault="00560745">
            <w:pPr>
              <w:spacing w:after="0"/>
              <w:rPr>
                <w:rFonts w:ascii="Arial" w:hAnsi="Arial" w:cs="Arial"/>
                <w:kern w:val="0"/>
                <w:lang w:eastAsia="en-GB"/>
                <w14:ligatures w14:val="none"/>
              </w:rPr>
            </w:pPr>
          </w:p>
        </w:tc>
      </w:tr>
      <w:tr w:rsidR="00560745" w14:paraId="5CE66F00" w14:textId="77777777" w:rsidTr="00560745">
        <w:trPr>
          <w:trHeight w:val="280"/>
        </w:trPr>
        <w:tc>
          <w:tcPr>
            <w:tcW w:w="5245" w:type="dxa"/>
            <w:noWrap/>
            <w:vAlign w:val="bottom"/>
            <w:hideMark/>
          </w:tcPr>
          <w:p w14:paraId="2464727D"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Non-current liabilities:</w:t>
            </w:r>
          </w:p>
        </w:tc>
        <w:tc>
          <w:tcPr>
            <w:tcW w:w="851" w:type="dxa"/>
            <w:noWrap/>
            <w:vAlign w:val="bottom"/>
            <w:hideMark/>
          </w:tcPr>
          <w:p w14:paraId="3C88FBF4" w14:textId="77777777" w:rsidR="00560745" w:rsidRPr="003519B0" w:rsidRDefault="00560745">
            <w:pPr>
              <w:rPr>
                <w:rFonts w:ascii="Arial" w:eastAsia="Times New Roman" w:hAnsi="Arial" w:cs="Arial"/>
                <w:b/>
                <w:bCs/>
                <w:kern w:val="0"/>
                <w:lang w:eastAsia="en-GB"/>
                <w14:ligatures w14:val="none"/>
              </w:rPr>
            </w:pPr>
          </w:p>
        </w:tc>
        <w:tc>
          <w:tcPr>
            <w:tcW w:w="1417" w:type="dxa"/>
            <w:noWrap/>
            <w:vAlign w:val="bottom"/>
            <w:hideMark/>
          </w:tcPr>
          <w:p w14:paraId="6E36919C" w14:textId="77777777" w:rsidR="00560745" w:rsidRPr="003519B0" w:rsidRDefault="00560745">
            <w:pPr>
              <w:spacing w:after="0"/>
              <w:rPr>
                <w:rFonts w:ascii="Arial" w:hAnsi="Arial" w:cs="Arial"/>
                <w:kern w:val="0"/>
                <w:lang w:eastAsia="en-GB"/>
                <w14:ligatures w14:val="none"/>
              </w:rPr>
            </w:pPr>
          </w:p>
        </w:tc>
        <w:tc>
          <w:tcPr>
            <w:tcW w:w="1418" w:type="dxa"/>
            <w:noWrap/>
            <w:vAlign w:val="bottom"/>
            <w:hideMark/>
          </w:tcPr>
          <w:p w14:paraId="3E7D02EF" w14:textId="77777777" w:rsidR="00560745" w:rsidRPr="003519B0" w:rsidRDefault="00560745">
            <w:pPr>
              <w:spacing w:after="0"/>
              <w:rPr>
                <w:rFonts w:ascii="Arial" w:hAnsi="Arial" w:cs="Arial"/>
                <w:kern w:val="0"/>
                <w:lang w:eastAsia="en-GB"/>
                <w14:ligatures w14:val="none"/>
              </w:rPr>
            </w:pPr>
          </w:p>
        </w:tc>
      </w:tr>
      <w:tr w:rsidR="00560745" w14:paraId="2D400F7A" w14:textId="77777777" w:rsidTr="00560745">
        <w:trPr>
          <w:trHeight w:val="280"/>
        </w:trPr>
        <w:tc>
          <w:tcPr>
            <w:tcW w:w="5245" w:type="dxa"/>
            <w:noWrap/>
            <w:vAlign w:val="bottom"/>
            <w:hideMark/>
          </w:tcPr>
          <w:p w14:paraId="0F3D4D96"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Trade and other payables</w:t>
            </w:r>
          </w:p>
        </w:tc>
        <w:tc>
          <w:tcPr>
            <w:tcW w:w="851" w:type="dxa"/>
            <w:noWrap/>
            <w:vAlign w:val="bottom"/>
            <w:hideMark/>
          </w:tcPr>
          <w:p w14:paraId="3DD62D43"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11</w:t>
            </w:r>
          </w:p>
        </w:tc>
        <w:tc>
          <w:tcPr>
            <w:tcW w:w="1417" w:type="dxa"/>
            <w:noWrap/>
            <w:vAlign w:val="bottom"/>
            <w:hideMark/>
          </w:tcPr>
          <w:p w14:paraId="5C933EE7"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(13,420) </w:t>
            </w:r>
          </w:p>
        </w:tc>
        <w:tc>
          <w:tcPr>
            <w:tcW w:w="1418" w:type="dxa"/>
            <w:noWrap/>
            <w:vAlign w:val="bottom"/>
            <w:hideMark/>
          </w:tcPr>
          <w:p w14:paraId="17E0FC69"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(11,489) </w:t>
            </w:r>
          </w:p>
        </w:tc>
      </w:tr>
      <w:tr w:rsidR="00560745" w14:paraId="154DED6A" w14:textId="77777777" w:rsidTr="00560745">
        <w:trPr>
          <w:trHeight w:val="280"/>
        </w:trPr>
        <w:tc>
          <w:tcPr>
            <w:tcW w:w="5245" w:type="dxa"/>
            <w:noWrap/>
            <w:vAlign w:val="bottom"/>
            <w:hideMark/>
          </w:tcPr>
          <w:p w14:paraId="0D9E922A"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Provisions</w:t>
            </w:r>
          </w:p>
        </w:tc>
        <w:tc>
          <w:tcPr>
            <w:tcW w:w="851" w:type="dxa"/>
            <w:noWrap/>
            <w:vAlign w:val="bottom"/>
            <w:hideMark/>
          </w:tcPr>
          <w:p w14:paraId="175A1CBE"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12</w:t>
            </w:r>
          </w:p>
        </w:tc>
        <w:tc>
          <w:tcPr>
            <w:tcW w:w="1417" w:type="dxa"/>
            <w:noWrap/>
            <w:vAlign w:val="bottom"/>
            <w:hideMark/>
          </w:tcPr>
          <w:p w14:paraId="770D6370"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(5,788) </w:t>
            </w:r>
          </w:p>
        </w:tc>
        <w:tc>
          <w:tcPr>
            <w:tcW w:w="1418" w:type="dxa"/>
            <w:noWrap/>
            <w:vAlign w:val="bottom"/>
            <w:hideMark/>
          </w:tcPr>
          <w:p w14:paraId="57ACA54A"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(1,183) </w:t>
            </w:r>
          </w:p>
        </w:tc>
      </w:tr>
      <w:tr w:rsidR="00560745" w14:paraId="4B488EAE" w14:textId="77777777" w:rsidTr="00560745">
        <w:trPr>
          <w:trHeight w:val="280"/>
        </w:trPr>
        <w:tc>
          <w:tcPr>
            <w:tcW w:w="5245" w:type="dxa"/>
            <w:noWrap/>
            <w:vAlign w:val="center"/>
            <w:hideMark/>
          </w:tcPr>
          <w:p w14:paraId="6999B3B4"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Total non-current liabilities</w:t>
            </w:r>
          </w:p>
        </w:tc>
        <w:tc>
          <w:tcPr>
            <w:tcW w:w="851" w:type="dxa"/>
            <w:noWrap/>
            <w:vAlign w:val="center"/>
            <w:hideMark/>
          </w:tcPr>
          <w:p w14:paraId="488FE312" w14:textId="77777777" w:rsidR="00560745" w:rsidRPr="003519B0" w:rsidRDefault="00560745">
            <w:pPr>
              <w:rPr>
                <w:rFonts w:ascii="Arial" w:eastAsia="Times New Roman" w:hAnsi="Arial" w:cs="Arial"/>
                <w:b/>
                <w:bCs/>
                <w:kern w:val="0"/>
                <w:lang w:eastAsia="en-GB"/>
                <w14:ligatures w14:val="none"/>
              </w:rPr>
            </w:pPr>
          </w:p>
        </w:tc>
        <w:tc>
          <w:tcPr>
            <w:tcW w:w="1417" w:type="dxa"/>
            <w:tcBorders>
              <w:top w:val="single" w:sz="4" w:space="0" w:color="auto"/>
              <w:left w:val="nil"/>
              <w:bottom w:val="single" w:sz="4" w:space="0" w:color="auto"/>
              <w:right w:val="nil"/>
            </w:tcBorders>
            <w:noWrap/>
            <w:vAlign w:val="bottom"/>
            <w:hideMark/>
          </w:tcPr>
          <w:p w14:paraId="53070BD8"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(19,208) </w:t>
            </w:r>
          </w:p>
        </w:tc>
        <w:tc>
          <w:tcPr>
            <w:tcW w:w="1418" w:type="dxa"/>
            <w:tcBorders>
              <w:top w:val="single" w:sz="4" w:space="0" w:color="auto"/>
              <w:left w:val="nil"/>
              <w:bottom w:val="single" w:sz="4" w:space="0" w:color="auto"/>
              <w:right w:val="nil"/>
            </w:tcBorders>
            <w:noWrap/>
            <w:vAlign w:val="bottom"/>
            <w:hideMark/>
          </w:tcPr>
          <w:p w14:paraId="505E434C"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(12,672) </w:t>
            </w:r>
          </w:p>
        </w:tc>
      </w:tr>
      <w:tr w:rsidR="00560745" w14:paraId="2EF9B7AD" w14:textId="77777777" w:rsidTr="00560745">
        <w:trPr>
          <w:trHeight w:val="290"/>
        </w:trPr>
        <w:tc>
          <w:tcPr>
            <w:tcW w:w="5245" w:type="dxa"/>
            <w:noWrap/>
            <w:vAlign w:val="center"/>
            <w:hideMark/>
          </w:tcPr>
          <w:p w14:paraId="39967B68"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Assets less liabilities</w:t>
            </w:r>
          </w:p>
        </w:tc>
        <w:tc>
          <w:tcPr>
            <w:tcW w:w="851" w:type="dxa"/>
            <w:noWrap/>
            <w:vAlign w:val="center"/>
            <w:hideMark/>
          </w:tcPr>
          <w:p w14:paraId="5D092896" w14:textId="77777777" w:rsidR="00560745" w:rsidRPr="003519B0" w:rsidRDefault="00560745">
            <w:pPr>
              <w:rPr>
                <w:rFonts w:ascii="Arial" w:eastAsia="Times New Roman" w:hAnsi="Arial" w:cs="Arial"/>
                <w:b/>
                <w:bCs/>
                <w:kern w:val="0"/>
                <w:lang w:eastAsia="en-GB"/>
                <w14:ligatures w14:val="none"/>
              </w:rPr>
            </w:pPr>
          </w:p>
        </w:tc>
        <w:tc>
          <w:tcPr>
            <w:tcW w:w="1417" w:type="dxa"/>
            <w:tcBorders>
              <w:top w:val="nil"/>
              <w:left w:val="nil"/>
              <w:bottom w:val="single" w:sz="8" w:space="0" w:color="auto"/>
              <w:right w:val="nil"/>
            </w:tcBorders>
            <w:noWrap/>
            <w:vAlign w:val="bottom"/>
            <w:hideMark/>
          </w:tcPr>
          <w:p w14:paraId="4366DA3C"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304,999 </w:t>
            </w:r>
          </w:p>
        </w:tc>
        <w:tc>
          <w:tcPr>
            <w:tcW w:w="1418" w:type="dxa"/>
            <w:tcBorders>
              <w:top w:val="nil"/>
              <w:left w:val="nil"/>
              <w:bottom w:val="single" w:sz="8" w:space="0" w:color="auto"/>
              <w:right w:val="nil"/>
            </w:tcBorders>
            <w:noWrap/>
            <w:vAlign w:val="bottom"/>
            <w:hideMark/>
          </w:tcPr>
          <w:p w14:paraId="5BCEFE2C"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317,288 </w:t>
            </w:r>
          </w:p>
        </w:tc>
      </w:tr>
      <w:tr w:rsidR="00560745" w14:paraId="312D5146" w14:textId="77777777" w:rsidTr="00560745">
        <w:trPr>
          <w:trHeight w:val="280"/>
        </w:trPr>
        <w:tc>
          <w:tcPr>
            <w:tcW w:w="5245" w:type="dxa"/>
            <w:noWrap/>
            <w:vAlign w:val="bottom"/>
            <w:hideMark/>
          </w:tcPr>
          <w:p w14:paraId="3D082B95" w14:textId="77777777" w:rsidR="00560745" w:rsidRPr="003519B0" w:rsidRDefault="00560745">
            <w:pPr>
              <w:rPr>
                <w:rFonts w:ascii="Arial" w:eastAsia="Times New Roman" w:hAnsi="Arial" w:cs="Arial"/>
                <w:b/>
                <w:bCs/>
                <w:kern w:val="0"/>
                <w:lang w:eastAsia="en-GB"/>
                <w14:ligatures w14:val="none"/>
              </w:rPr>
            </w:pPr>
          </w:p>
        </w:tc>
        <w:tc>
          <w:tcPr>
            <w:tcW w:w="851" w:type="dxa"/>
            <w:noWrap/>
            <w:vAlign w:val="bottom"/>
            <w:hideMark/>
          </w:tcPr>
          <w:p w14:paraId="7D7CD4C2" w14:textId="77777777" w:rsidR="00560745" w:rsidRPr="003519B0" w:rsidRDefault="00560745">
            <w:pPr>
              <w:spacing w:after="0"/>
              <w:rPr>
                <w:rFonts w:ascii="Arial" w:hAnsi="Arial" w:cs="Arial"/>
                <w:kern w:val="0"/>
                <w:lang w:eastAsia="en-GB"/>
                <w14:ligatures w14:val="none"/>
              </w:rPr>
            </w:pPr>
          </w:p>
        </w:tc>
        <w:tc>
          <w:tcPr>
            <w:tcW w:w="1417" w:type="dxa"/>
            <w:noWrap/>
            <w:vAlign w:val="bottom"/>
            <w:hideMark/>
          </w:tcPr>
          <w:p w14:paraId="38FB0A51" w14:textId="77777777" w:rsidR="00560745" w:rsidRPr="003519B0" w:rsidRDefault="00560745">
            <w:pPr>
              <w:spacing w:after="0"/>
              <w:rPr>
                <w:rFonts w:ascii="Arial" w:hAnsi="Arial" w:cs="Arial"/>
                <w:kern w:val="0"/>
                <w:lang w:eastAsia="en-GB"/>
                <w14:ligatures w14:val="none"/>
              </w:rPr>
            </w:pPr>
          </w:p>
        </w:tc>
        <w:tc>
          <w:tcPr>
            <w:tcW w:w="1418" w:type="dxa"/>
            <w:noWrap/>
            <w:vAlign w:val="bottom"/>
            <w:hideMark/>
          </w:tcPr>
          <w:p w14:paraId="11C79860" w14:textId="77777777" w:rsidR="00560745" w:rsidRPr="003519B0" w:rsidRDefault="00560745">
            <w:pPr>
              <w:spacing w:after="0"/>
              <w:rPr>
                <w:rFonts w:ascii="Arial" w:hAnsi="Arial" w:cs="Arial"/>
                <w:kern w:val="0"/>
                <w:lang w:eastAsia="en-GB"/>
                <w14:ligatures w14:val="none"/>
              </w:rPr>
            </w:pPr>
          </w:p>
        </w:tc>
      </w:tr>
      <w:tr w:rsidR="00560745" w14:paraId="4C97C7D3" w14:textId="77777777" w:rsidTr="00560745">
        <w:trPr>
          <w:trHeight w:val="280"/>
        </w:trPr>
        <w:tc>
          <w:tcPr>
            <w:tcW w:w="5245" w:type="dxa"/>
            <w:noWrap/>
            <w:vAlign w:val="bottom"/>
            <w:hideMark/>
          </w:tcPr>
          <w:p w14:paraId="3293BF53"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Taxpayers' equity:</w:t>
            </w:r>
          </w:p>
        </w:tc>
        <w:tc>
          <w:tcPr>
            <w:tcW w:w="851" w:type="dxa"/>
            <w:noWrap/>
            <w:vAlign w:val="bottom"/>
            <w:hideMark/>
          </w:tcPr>
          <w:p w14:paraId="691FA546" w14:textId="77777777" w:rsidR="00560745" w:rsidRPr="003519B0" w:rsidRDefault="00560745">
            <w:pPr>
              <w:rPr>
                <w:rFonts w:ascii="Arial" w:eastAsia="Times New Roman" w:hAnsi="Arial" w:cs="Arial"/>
                <w:b/>
                <w:bCs/>
                <w:kern w:val="0"/>
                <w:lang w:eastAsia="en-GB"/>
                <w14:ligatures w14:val="none"/>
              </w:rPr>
            </w:pPr>
          </w:p>
        </w:tc>
        <w:tc>
          <w:tcPr>
            <w:tcW w:w="1417" w:type="dxa"/>
            <w:noWrap/>
            <w:vAlign w:val="bottom"/>
            <w:hideMark/>
          </w:tcPr>
          <w:p w14:paraId="7E144B43" w14:textId="77777777" w:rsidR="00560745" w:rsidRPr="003519B0" w:rsidRDefault="00560745">
            <w:pPr>
              <w:spacing w:after="0"/>
              <w:rPr>
                <w:rFonts w:ascii="Arial" w:hAnsi="Arial" w:cs="Arial"/>
                <w:kern w:val="0"/>
                <w:lang w:eastAsia="en-GB"/>
                <w14:ligatures w14:val="none"/>
              </w:rPr>
            </w:pPr>
          </w:p>
        </w:tc>
        <w:tc>
          <w:tcPr>
            <w:tcW w:w="1418" w:type="dxa"/>
            <w:noWrap/>
            <w:vAlign w:val="bottom"/>
            <w:hideMark/>
          </w:tcPr>
          <w:p w14:paraId="6B984B90" w14:textId="77777777" w:rsidR="00560745" w:rsidRPr="003519B0" w:rsidRDefault="00560745">
            <w:pPr>
              <w:spacing w:after="0"/>
              <w:rPr>
                <w:rFonts w:ascii="Arial" w:hAnsi="Arial" w:cs="Arial"/>
                <w:kern w:val="0"/>
                <w:lang w:eastAsia="en-GB"/>
                <w14:ligatures w14:val="none"/>
              </w:rPr>
            </w:pPr>
          </w:p>
        </w:tc>
      </w:tr>
      <w:tr w:rsidR="00560745" w14:paraId="51D49BF4" w14:textId="77777777" w:rsidTr="00560745">
        <w:trPr>
          <w:trHeight w:val="280"/>
        </w:trPr>
        <w:tc>
          <w:tcPr>
            <w:tcW w:w="5245" w:type="dxa"/>
            <w:noWrap/>
            <w:vAlign w:val="bottom"/>
            <w:hideMark/>
          </w:tcPr>
          <w:p w14:paraId="75D9D4DF"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General fund</w:t>
            </w:r>
          </w:p>
        </w:tc>
        <w:tc>
          <w:tcPr>
            <w:tcW w:w="851" w:type="dxa"/>
            <w:noWrap/>
            <w:vAlign w:val="bottom"/>
            <w:hideMark/>
          </w:tcPr>
          <w:p w14:paraId="40C86C71" w14:textId="77777777" w:rsidR="00560745" w:rsidRPr="003519B0" w:rsidRDefault="00560745">
            <w:pPr>
              <w:rPr>
                <w:rFonts w:ascii="Arial" w:eastAsia="Times New Roman" w:hAnsi="Arial" w:cs="Arial"/>
                <w:kern w:val="0"/>
                <w:lang w:eastAsia="en-GB"/>
                <w14:ligatures w14:val="none"/>
              </w:rPr>
            </w:pPr>
          </w:p>
        </w:tc>
        <w:tc>
          <w:tcPr>
            <w:tcW w:w="1417" w:type="dxa"/>
            <w:noWrap/>
            <w:vAlign w:val="bottom"/>
            <w:hideMark/>
          </w:tcPr>
          <w:p w14:paraId="63F50796"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304,999 </w:t>
            </w:r>
          </w:p>
        </w:tc>
        <w:tc>
          <w:tcPr>
            <w:tcW w:w="1418" w:type="dxa"/>
            <w:noWrap/>
            <w:vAlign w:val="bottom"/>
            <w:hideMark/>
          </w:tcPr>
          <w:p w14:paraId="4A30EBD8"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317,288 </w:t>
            </w:r>
          </w:p>
        </w:tc>
      </w:tr>
      <w:tr w:rsidR="00560745" w14:paraId="2DC04158" w14:textId="77777777" w:rsidTr="00560745">
        <w:trPr>
          <w:trHeight w:val="290"/>
        </w:trPr>
        <w:tc>
          <w:tcPr>
            <w:tcW w:w="5245" w:type="dxa"/>
            <w:noWrap/>
            <w:vAlign w:val="center"/>
            <w:hideMark/>
          </w:tcPr>
          <w:p w14:paraId="646FBB5A"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Total taxpayers' equity</w:t>
            </w:r>
          </w:p>
        </w:tc>
        <w:tc>
          <w:tcPr>
            <w:tcW w:w="851" w:type="dxa"/>
            <w:noWrap/>
            <w:vAlign w:val="center"/>
            <w:hideMark/>
          </w:tcPr>
          <w:p w14:paraId="2D735220" w14:textId="77777777" w:rsidR="00560745" w:rsidRPr="003519B0" w:rsidRDefault="00560745">
            <w:pPr>
              <w:rPr>
                <w:rFonts w:ascii="Arial" w:eastAsia="Times New Roman" w:hAnsi="Arial" w:cs="Arial"/>
                <w:b/>
                <w:bCs/>
                <w:kern w:val="0"/>
                <w:lang w:eastAsia="en-GB"/>
                <w14:ligatures w14:val="none"/>
              </w:rPr>
            </w:pPr>
          </w:p>
        </w:tc>
        <w:tc>
          <w:tcPr>
            <w:tcW w:w="1417" w:type="dxa"/>
            <w:tcBorders>
              <w:top w:val="single" w:sz="4" w:space="0" w:color="auto"/>
              <w:left w:val="nil"/>
              <w:bottom w:val="single" w:sz="8" w:space="0" w:color="auto"/>
              <w:right w:val="nil"/>
            </w:tcBorders>
            <w:noWrap/>
            <w:vAlign w:val="bottom"/>
            <w:hideMark/>
          </w:tcPr>
          <w:p w14:paraId="3C2254B7"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304,999 </w:t>
            </w:r>
          </w:p>
        </w:tc>
        <w:tc>
          <w:tcPr>
            <w:tcW w:w="1418" w:type="dxa"/>
            <w:tcBorders>
              <w:top w:val="single" w:sz="4" w:space="0" w:color="auto"/>
              <w:left w:val="nil"/>
              <w:bottom w:val="single" w:sz="8" w:space="0" w:color="auto"/>
              <w:right w:val="nil"/>
            </w:tcBorders>
            <w:noWrap/>
            <w:vAlign w:val="bottom"/>
            <w:hideMark/>
          </w:tcPr>
          <w:p w14:paraId="0C18C813"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317,288 </w:t>
            </w:r>
          </w:p>
        </w:tc>
      </w:tr>
      <w:tr w:rsidR="00560745" w14:paraId="275DD91F" w14:textId="77777777" w:rsidTr="00560745">
        <w:trPr>
          <w:trHeight w:val="280"/>
        </w:trPr>
        <w:tc>
          <w:tcPr>
            <w:tcW w:w="8931" w:type="dxa"/>
            <w:gridSpan w:val="4"/>
            <w:noWrap/>
            <w:vAlign w:val="center"/>
            <w:hideMark/>
          </w:tcPr>
          <w:p w14:paraId="43978889" w14:textId="7EFFCA39" w:rsidR="00560745" w:rsidRPr="003519B0" w:rsidRDefault="00560745">
            <w:pPr>
              <w:rPr>
                <w:rFonts w:ascii="Arial" w:eastAsia="Times New Roman" w:hAnsi="Arial" w:cs="Arial"/>
                <w:b/>
                <w:bCs/>
                <w:kern w:val="0"/>
                <w:lang w:eastAsia="en-GB"/>
                <w14:ligatures w14:val="none"/>
              </w:rPr>
            </w:pPr>
          </w:p>
        </w:tc>
      </w:tr>
      <w:tr w:rsidR="00560745" w14:paraId="1EA3A3BA" w14:textId="77777777" w:rsidTr="00560745">
        <w:trPr>
          <w:trHeight w:val="280"/>
        </w:trPr>
        <w:tc>
          <w:tcPr>
            <w:tcW w:w="8931" w:type="dxa"/>
            <w:gridSpan w:val="4"/>
            <w:noWrap/>
            <w:vAlign w:val="center"/>
            <w:hideMark/>
          </w:tcPr>
          <w:p w14:paraId="565F3C92" w14:textId="41394BCE" w:rsidR="00560745" w:rsidRPr="003519B0" w:rsidRDefault="00560745">
            <w:pPr>
              <w:spacing w:after="0"/>
              <w:rPr>
                <w:rFonts w:ascii="Arial" w:hAnsi="Arial" w:cs="Arial"/>
                <w:kern w:val="0"/>
                <w:lang w:eastAsia="en-GB"/>
                <w14:ligatures w14:val="none"/>
              </w:rPr>
            </w:pPr>
          </w:p>
        </w:tc>
      </w:tr>
      <w:tr w:rsidR="00560745" w14:paraId="7D91D070" w14:textId="77777777" w:rsidTr="00560745">
        <w:trPr>
          <w:trHeight w:val="280"/>
        </w:trPr>
        <w:tc>
          <w:tcPr>
            <w:tcW w:w="8931" w:type="dxa"/>
            <w:gridSpan w:val="4"/>
            <w:noWrap/>
            <w:vAlign w:val="bottom"/>
            <w:hideMark/>
          </w:tcPr>
          <w:p w14:paraId="4B25A9BC" w14:textId="4E1DF760" w:rsidR="00560745" w:rsidRDefault="00E90A8F">
            <w:pPr>
              <w:spacing w:after="0"/>
              <w:rPr>
                <w:rFonts w:ascii="Arial" w:hAnsi="Arial" w:cs="Arial"/>
                <w:kern w:val="0"/>
                <w:lang w:eastAsia="en-GB"/>
                <w14:ligatures w14:val="none"/>
              </w:rPr>
            </w:pPr>
            <w:r>
              <w:rPr>
                <w:noProof/>
              </w:rPr>
              <w:drawing>
                <wp:anchor distT="0" distB="0" distL="114300" distR="114300" simplePos="0" relativeHeight="251658258" behindDoc="0" locked="0" layoutInCell="1" allowOverlap="1" wp14:anchorId="577EBD2A" wp14:editId="5D9F9939">
                  <wp:simplePos x="0" y="0"/>
                  <wp:positionH relativeFrom="margin">
                    <wp:posOffset>-60325</wp:posOffset>
                  </wp:positionH>
                  <wp:positionV relativeFrom="paragraph">
                    <wp:posOffset>38735</wp:posOffset>
                  </wp:positionV>
                  <wp:extent cx="1532255" cy="592455"/>
                  <wp:effectExtent l="0" t="0" r="0" b="0"/>
                  <wp:wrapThrough wrapText="bothSides">
                    <wp:wrapPolygon edited="0">
                      <wp:start x="0" y="0"/>
                      <wp:lineTo x="0" y="20836"/>
                      <wp:lineTo x="21215" y="20836"/>
                      <wp:lineTo x="21215"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225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AB870" w14:textId="3F752344" w:rsidR="00E90A8F" w:rsidRDefault="00E90A8F">
            <w:pPr>
              <w:spacing w:after="0"/>
              <w:rPr>
                <w:rFonts w:ascii="Arial" w:hAnsi="Arial" w:cs="Arial"/>
                <w:kern w:val="0"/>
                <w:lang w:eastAsia="en-GB"/>
                <w14:ligatures w14:val="none"/>
              </w:rPr>
            </w:pPr>
          </w:p>
          <w:p w14:paraId="5693BECA" w14:textId="77777777" w:rsidR="00E90A8F" w:rsidRDefault="00E90A8F">
            <w:pPr>
              <w:spacing w:after="0"/>
              <w:rPr>
                <w:rFonts w:ascii="Arial" w:hAnsi="Arial" w:cs="Arial"/>
                <w:kern w:val="0"/>
                <w:lang w:eastAsia="en-GB"/>
                <w14:ligatures w14:val="none"/>
              </w:rPr>
            </w:pPr>
          </w:p>
          <w:p w14:paraId="06CCE5A0" w14:textId="77777777" w:rsidR="00560745" w:rsidRPr="003519B0" w:rsidRDefault="00560745">
            <w:pPr>
              <w:spacing w:after="0"/>
              <w:rPr>
                <w:rFonts w:ascii="Arial" w:hAnsi="Arial" w:cs="Arial"/>
                <w:kern w:val="0"/>
                <w:lang w:eastAsia="en-GB"/>
                <w14:ligatures w14:val="none"/>
              </w:rPr>
            </w:pPr>
          </w:p>
        </w:tc>
      </w:tr>
      <w:tr w:rsidR="00560745" w14:paraId="4B9DD887" w14:textId="77777777" w:rsidTr="00560745">
        <w:trPr>
          <w:trHeight w:val="280"/>
        </w:trPr>
        <w:tc>
          <w:tcPr>
            <w:tcW w:w="8931" w:type="dxa"/>
            <w:gridSpan w:val="4"/>
            <w:noWrap/>
            <w:vAlign w:val="bottom"/>
            <w:hideMark/>
          </w:tcPr>
          <w:p w14:paraId="5DF6440F" w14:textId="13B0A3DC"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Dean Beale</w:t>
            </w:r>
          </w:p>
        </w:tc>
      </w:tr>
      <w:tr w:rsidR="00560745" w14:paraId="6EC26993" w14:textId="77777777" w:rsidTr="00560745">
        <w:trPr>
          <w:trHeight w:val="280"/>
        </w:trPr>
        <w:tc>
          <w:tcPr>
            <w:tcW w:w="8931" w:type="dxa"/>
            <w:gridSpan w:val="4"/>
            <w:noWrap/>
            <w:vAlign w:val="bottom"/>
            <w:hideMark/>
          </w:tcPr>
          <w:p w14:paraId="01888E29"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Chief Executive</w:t>
            </w:r>
          </w:p>
        </w:tc>
      </w:tr>
      <w:tr w:rsidR="00560745" w14:paraId="7A3FEAFF" w14:textId="77777777" w:rsidTr="00560745">
        <w:trPr>
          <w:trHeight w:val="280"/>
        </w:trPr>
        <w:tc>
          <w:tcPr>
            <w:tcW w:w="8931" w:type="dxa"/>
            <w:gridSpan w:val="4"/>
            <w:noWrap/>
            <w:vAlign w:val="bottom"/>
            <w:hideMark/>
          </w:tcPr>
          <w:p w14:paraId="33590C76" w14:textId="0B715313"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Date: </w:t>
            </w:r>
            <w:r w:rsidR="0085599B">
              <w:rPr>
                <w:rFonts w:ascii="Arial" w:eastAsia="Times New Roman" w:hAnsi="Arial" w:cs="Arial"/>
                <w:kern w:val="0"/>
                <w:lang w:eastAsia="en-GB"/>
                <w14:ligatures w14:val="none"/>
              </w:rPr>
              <w:t>16 July 2024</w:t>
            </w:r>
          </w:p>
        </w:tc>
      </w:tr>
      <w:tr w:rsidR="00560745" w14:paraId="58FE7EF4" w14:textId="77777777" w:rsidTr="00560745">
        <w:trPr>
          <w:trHeight w:val="280"/>
        </w:trPr>
        <w:tc>
          <w:tcPr>
            <w:tcW w:w="8931" w:type="dxa"/>
            <w:gridSpan w:val="4"/>
            <w:noWrap/>
            <w:vAlign w:val="bottom"/>
            <w:hideMark/>
          </w:tcPr>
          <w:p w14:paraId="01273A91" w14:textId="77777777" w:rsidR="00560745" w:rsidRPr="003519B0" w:rsidRDefault="00560745">
            <w:pPr>
              <w:rPr>
                <w:rFonts w:ascii="Arial" w:eastAsia="Times New Roman" w:hAnsi="Arial" w:cs="Arial"/>
                <w:kern w:val="0"/>
                <w:lang w:eastAsia="en-GB"/>
                <w14:ligatures w14:val="none"/>
              </w:rPr>
            </w:pPr>
          </w:p>
        </w:tc>
      </w:tr>
      <w:tr w:rsidR="00560745" w14:paraId="15F663B6" w14:textId="77777777" w:rsidTr="00560745">
        <w:trPr>
          <w:trHeight w:val="280"/>
        </w:trPr>
        <w:tc>
          <w:tcPr>
            <w:tcW w:w="8931" w:type="dxa"/>
            <w:gridSpan w:val="4"/>
            <w:noWrap/>
            <w:vAlign w:val="bottom"/>
            <w:hideMark/>
          </w:tcPr>
          <w:p w14:paraId="36592BE9" w14:textId="1D39686D"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 xml:space="preserve">The notes on pages </w:t>
            </w:r>
            <w:r w:rsidR="00B82891">
              <w:rPr>
                <w:rFonts w:ascii="Arial" w:eastAsia="Times New Roman" w:hAnsi="Arial" w:cs="Arial"/>
                <w:kern w:val="0"/>
                <w:lang w:eastAsia="en-GB"/>
                <w14:ligatures w14:val="none"/>
              </w:rPr>
              <w:t>10</w:t>
            </w:r>
            <w:r w:rsidR="0049220B">
              <w:rPr>
                <w:rFonts w:ascii="Arial" w:eastAsia="Times New Roman" w:hAnsi="Arial" w:cs="Arial"/>
                <w:kern w:val="0"/>
                <w:lang w:eastAsia="en-GB"/>
                <w14:ligatures w14:val="none"/>
              </w:rPr>
              <w:t>5</w:t>
            </w:r>
            <w:r w:rsidR="00B82891" w:rsidRPr="003519B0">
              <w:rPr>
                <w:rFonts w:ascii="Arial" w:eastAsia="Times New Roman" w:hAnsi="Arial" w:cs="Arial"/>
                <w:kern w:val="0"/>
                <w:lang w:eastAsia="en-GB"/>
                <w14:ligatures w14:val="none"/>
              </w:rPr>
              <w:t xml:space="preserve"> to </w:t>
            </w:r>
            <w:r w:rsidR="00B82891">
              <w:rPr>
                <w:rFonts w:ascii="Arial" w:eastAsia="Times New Roman" w:hAnsi="Arial" w:cs="Arial"/>
                <w:kern w:val="0"/>
                <w:lang w:eastAsia="en-GB"/>
                <w14:ligatures w14:val="none"/>
              </w:rPr>
              <w:t>1</w:t>
            </w:r>
            <w:r w:rsidR="000C1CC1">
              <w:rPr>
                <w:rFonts w:ascii="Arial" w:eastAsia="Times New Roman" w:hAnsi="Arial" w:cs="Arial"/>
                <w:kern w:val="0"/>
                <w:lang w:eastAsia="en-GB"/>
                <w14:ligatures w14:val="none"/>
              </w:rPr>
              <w:t>3</w:t>
            </w:r>
            <w:r w:rsidR="0049220B">
              <w:rPr>
                <w:rFonts w:ascii="Arial" w:eastAsia="Times New Roman" w:hAnsi="Arial" w:cs="Arial"/>
                <w:kern w:val="0"/>
                <w:lang w:eastAsia="en-GB"/>
                <w14:ligatures w14:val="none"/>
              </w:rPr>
              <w:t>6</w:t>
            </w:r>
            <w:r w:rsidRPr="009E2D89">
              <w:rPr>
                <w:rFonts w:ascii="Arial" w:eastAsia="Times New Roman" w:hAnsi="Arial" w:cs="Arial"/>
                <w:kern w:val="0"/>
                <w:sz w:val="24"/>
                <w:szCs w:val="24"/>
                <w:lang w:eastAsia="en-GB"/>
                <w14:ligatures w14:val="none"/>
              </w:rPr>
              <w:t xml:space="preserve"> form part of these Accounts</w:t>
            </w:r>
          </w:p>
        </w:tc>
      </w:tr>
    </w:tbl>
    <w:p w14:paraId="1702C765" w14:textId="77777777" w:rsidR="00560745" w:rsidRDefault="00560745" w:rsidP="00560745">
      <w:pPr>
        <w:rPr>
          <w:rFonts w:ascii="Arial" w:hAnsi="Arial" w:cs="Arial"/>
          <w:sz w:val="24"/>
          <w:szCs w:val="24"/>
        </w:rPr>
      </w:pPr>
      <w:r>
        <w:rPr>
          <w:kern w:val="0"/>
          <w14:ligatures w14:val="none"/>
        </w:rPr>
        <w:br w:type="page"/>
      </w:r>
    </w:p>
    <w:tbl>
      <w:tblPr>
        <w:tblW w:w="9026" w:type="dxa"/>
        <w:tblLayout w:type="fixed"/>
        <w:tblCellMar>
          <w:left w:w="57" w:type="dxa"/>
          <w:right w:w="57" w:type="dxa"/>
        </w:tblCellMar>
        <w:tblLook w:val="04A0" w:firstRow="1" w:lastRow="0" w:firstColumn="1" w:lastColumn="0" w:noHBand="0" w:noVBand="1"/>
      </w:tblPr>
      <w:tblGrid>
        <w:gridCol w:w="5108"/>
        <w:gridCol w:w="412"/>
        <w:gridCol w:w="627"/>
        <w:gridCol w:w="363"/>
        <w:gridCol w:w="893"/>
        <w:gridCol w:w="381"/>
        <w:gridCol w:w="1006"/>
        <w:gridCol w:w="138"/>
        <w:gridCol w:w="98"/>
      </w:tblGrid>
      <w:tr w:rsidR="00560745" w14:paraId="2E54F18D" w14:textId="77777777" w:rsidTr="0081486E">
        <w:trPr>
          <w:gridAfter w:val="1"/>
          <w:wAfter w:w="98" w:type="dxa"/>
          <w:trHeight w:val="400"/>
        </w:trPr>
        <w:tc>
          <w:tcPr>
            <w:tcW w:w="8928" w:type="dxa"/>
            <w:gridSpan w:val="8"/>
            <w:noWrap/>
            <w:hideMark/>
          </w:tcPr>
          <w:p w14:paraId="60A829B5" w14:textId="77777777" w:rsidR="00560745" w:rsidRDefault="00560745" w:rsidP="00DA127D">
            <w:pPr>
              <w:pStyle w:val="Heading4"/>
              <w:rPr>
                <w:lang w:eastAsia="en-GB"/>
              </w:rPr>
            </w:pPr>
            <w:r>
              <w:rPr>
                <w:lang w:eastAsia="en-GB"/>
              </w:rPr>
              <w:lastRenderedPageBreak/>
              <w:t>Statement of Cash Flows</w:t>
            </w:r>
          </w:p>
        </w:tc>
      </w:tr>
      <w:tr w:rsidR="00560745" w14:paraId="65CC308E" w14:textId="77777777" w:rsidTr="0081486E">
        <w:trPr>
          <w:gridAfter w:val="1"/>
          <w:wAfter w:w="98" w:type="dxa"/>
          <w:trHeight w:val="290"/>
        </w:trPr>
        <w:tc>
          <w:tcPr>
            <w:tcW w:w="8928" w:type="dxa"/>
            <w:gridSpan w:val="8"/>
            <w:tcBorders>
              <w:top w:val="nil"/>
              <w:left w:val="nil"/>
              <w:bottom w:val="single" w:sz="8" w:space="0" w:color="auto"/>
              <w:right w:val="nil"/>
            </w:tcBorders>
            <w:noWrap/>
            <w:vAlign w:val="bottom"/>
            <w:hideMark/>
          </w:tcPr>
          <w:p w14:paraId="0BC37E2D" w14:textId="77777777"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for the period ended 31 March 2024</w:t>
            </w:r>
          </w:p>
        </w:tc>
      </w:tr>
      <w:tr w:rsidR="007E351B" w14:paraId="2A153D6C" w14:textId="77777777" w:rsidTr="0081486E">
        <w:trPr>
          <w:gridAfter w:val="1"/>
          <w:wAfter w:w="98" w:type="dxa"/>
          <w:trHeight w:val="280"/>
        </w:trPr>
        <w:tc>
          <w:tcPr>
            <w:tcW w:w="5520" w:type="dxa"/>
            <w:gridSpan w:val="2"/>
            <w:noWrap/>
            <w:vAlign w:val="bottom"/>
            <w:hideMark/>
          </w:tcPr>
          <w:p w14:paraId="656F97DE" w14:textId="77777777" w:rsidR="00560745" w:rsidRPr="009E2D89" w:rsidRDefault="00560745">
            <w:pPr>
              <w:rPr>
                <w:rFonts w:ascii="Arial" w:eastAsia="Times New Roman" w:hAnsi="Arial" w:cs="Arial"/>
                <w:kern w:val="0"/>
                <w:sz w:val="24"/>
                <w:szCs w:val="24"/>
                <w:lang w:eastAsia="en-GB"/>
                <w14:ligatures w14:val="none"/>
              </w:rPr>
            </w:pPr>
          </w:p>
        </w:tc>
        <w:tc>
          <w:tcPr>
            <w:tcW w:w="990" w:type="dxa"/>
            <w:gridSpan w:val="2"/>
            <w:noWrap/>
            <w:vAlign w:val="bottom"/>
            <w:hideMark/>
          </w:tcPr>
          <w:p w14:paraId="05220927" w14:textId="77777777" w:rsidR="00560745" w:rsidRPr="009E2D89" w:rsidRDefault="00560745">
            <w:pPr>
              <w:spacing w:after="0"/>
              <w:rPr>
                <w:rFonts w:ascii="Arial" w:hAnsi="Arial" w:cs="Arial"/>
                <w:kern w:val="0"/>
                <w:sz w:val="24"/>
                <w:szCs w:val="24"/>
                <w:lang w:eastAsia="en-GB"/>
                <w14:ligatures w14:val="none"/>
              </w:rPr>
            </w:pPr>
          </w:p>
        </w:tc>
        <w:tc>
          <w:tcPr>
            <w:tcW w:w="1274" w:type="dxa"/>
            <w:gridSpan w:val="2"/>
            <w:noWrap/>
            <w:vAlign w:val="bottom"/>
            <w:hideMark/>
          </w:tcPr>
          <w:p w14:paraId="05C5C70F" w14:textId="77777777" w:rsidR="00560745" w:rsidRPr="009E2D89" w:rsidRDefault="00560745">
            <w:pPr>
              <w:spacing w:after="0"/>
              <w:rPr>
                <w:rFonts w:ascii="Arial" w:hAnsi="Arial" w:cs="Arial"/>
                <w:kern w:val="0"/>
                <w:sz w:val="24"/>
                <w:szCs w:val="24"/>
                <w:lang w:eastAsia="en-GB"/>
                <w14:ligatures w14:val="none"/>
              </w:rPr>
            </w:pPr>
          </w:p>
        </w:tc>
        <w:tc>
          <w:tcPr>
            <w:tcW w:w="1144" w:type="dxa"/>
            <w:gridSpan w:val="2"/>
            <w:noWrap/>
            <w:vAlign w:val="bottom"/>
            <w:hideMark/>
          </w:tcPr>
          <w:p w14:paraId="0F722C2C" w14:textId="77777777" w:rsidR="00560745" w:rsidRPr="009E2D89" w:rsidRDefault="00560745">
            <w:pPr>
              <w:spacing w:after="0"/>
              <w:rPr>
                <w:rFonts w:ascii="Arial" w:hAnsi="Arial" w:cs="Arial"/>
                <w:kern w:val="0"/>
                <w:sz w:val="24"/>
                <w:szCs w:val="24"/>
                <w:lang w:eastAsia="en-GB"/>
                <w14:ligatures w14:val="none"/>
              </w:rPr>
            </w:pPr>
          </w:p>
        </w:tc>
      </w:tr>
      <w:tr w:rsidR="007E351B" w14:paraId="163C7F9A" w14:textId="77777777" w:rsidTr="0081486E">
        <w:trPr>
          <w:gridAfter w:val="1"/>
          <w:wAfter w:w="98" w:type="dxa"/>
          <w:trHeight w:val="280"/>
        </w:trPr>
        <w:tc>
          <w:tcPr>
            <w:tcW w:w="5520" w:type="dxa"/>
            <w:gridSpan w:val="2"/>
            <w:noWrap/>
            <w:vAlign w:val="bottom"/>
            <w:hideMark/>
          </w:tcPr>
          <w:p w14:paraId="0BE21CDF" w14:textId="77777777" w:rsidR="00560745" w:rsidRPr="003519B0" w:rsidRDefault="00560745">
            <w:pPr>
              <w:spacing w:after="0"/>
              <w:rPr>
                <w:rFonts w:ascii="Arial" w:hAnsi="Arial" w:cs="Arial"/>
                <w:kern w:val="0"/>
                <w:lang w:eastAsia="en-GB"/>
                <w14:ligatures w14:val="none"/>
              </w:rPr>
            </w:pPr>
          </w:p>
        </w:tc>
        <w:tc>
          <w:tcPr>
            <w:tcW w:w="990" w:type="dxa"/>
            <w:gridSpan w:val="2"/>
            <w:noWrap/>
            <w:vAlign w:val="bottom"/>
            <w:hideMark/>
          </w:tcPr>
          <w:p w14:paraId="7C7A592C" w14:textId="77777777" w:rsidR="00560745" w:rsidRPr="003519B0" w:rsidRDefault="00560745">
            <w:pPr>
              <w:spacing w:after="0"/>
              <w:rPr>
                <w:rFonts w:ascii="Arial" w:hAnsi="Arial" w:cs="Arial"/>
                <w:kern w:val="0"/>
                <w:lang w:eastAsia="en-GB"/>
                <w14:ligatures w14:val="none"/>
              </w:rPr>
            </w:pPr>
          </w:p>
        </w:tc>
        <w:tc>
          <w:tcPr>
            <w:tcW w:w="1274" w:type="dxa"/>
            <w:gridSpan w:val="2"/>
            <w:noWrap/>
            <w:vAlign w:val="center"/>
            <w:hideMark/>
          </w:tcPr>
          <w:p w14:paraId="7CBBD5BB"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2023-24</w:t>
            </w:r>
          </w:p>
        </w:tc>
        <w:tc>
          <w:tcPr>
            <w:tcW w:w="1144" w:type="dxa"/>
            <w:gridSpan w:val="2"/>
            <w:noWrap/>
            <w:vAlign w:val="center"/>
            <w:hideMark/>
          </w:tcPr>
          <w:p w14:paraId="4D0364BD"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2022-23</w:t>
            </w:r>
          </w:p>
        </w:tc>
      </w:tr>
      <w:tr w:rsidR="007E351B" w14:paraId="53F1C8A0" w14:textId="77777777" w:rsidTr="0081486E">
        <w:trPr>
          <w:gridAfter w:val="1"/>
          <w:wAfter w:w="98" w:type="dxa"/>
          <w:trHeight w:val="280"/>
        </w:trPr>
        <w:tc>
          <w:tcPr>
            <w:tcW w:w="5520" w:type="dxa"/>
            <w:gridSpan w:val="2"/>
            <w:tcBorders>
              <w:top w:val="nil"/>
              <w:left w:val="nil"/>
              <w:bottom w:val="single" w:sz="4" w:space="0" w:color="auto"/>
              <w:right w:val="nil"/>
            </w:tcBorders>
            <w:noWrap/>
            <w:vAlign w:val="bottom"/>
            <w:hideMark/>
          </w:tcPr>
          <w:p w14:paraId="29F801BA"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w:t>
            </w:r>
          </w:p>
        </w:tc>
        <w:tc>
          <w:tcPr>
            <w:tcW w:w="990" w:type="dxa"/>
            <w:gridSpan w:val="2"/>
            <w:tcBorders>
              <w:top w:val="nil"/>
              <w:left w:val="nil"/>
              <w:bottom w:val="single" w:sz="4" w:space="0" w:color="auto"/>
              <w:right w:val="nil"/>
            </w:tcBorders>
            <w:noWrap/>
            <w:vAlign w:val="bottom"/>
            <w:hideMark/>
          </w:tcPr>
          <w:p w14:paraId="2A66FAB0"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w:t>
            </w:r>
          </w:p>
        </w:tc>
        <w:tc>
          <w:tcPr>
            <w:tcW w:w="1274" w:type="dxa"/>
            <w:gridSpan w:val="2"/>
            <w:tcBorders>
              <w:top w:val="nil"/>
              <w:left w:val="nil"/>
              <w:bottom w:val="single" w:sz="4" w:space="0" w:color="auto"/>
              <w:right w:val="nil"/>
            </w:tcBorders>
            <w:noWrap/>
            <w:vAlign w:val="bottom"/>
            <w:hideMark/>
          </w:tcPr>
          <w:p w14:paraId="4BABFBAB"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£'000</w:t>
            </w:r>
          </w:p>
        </w:tc>
        <w:tc>
          <w:tcPr>
            <w:tcW w:w="1144" w:type="dxa"/>
            <w:gridSpan w:val="2"/>
            <w:tcBorders>
              <w:top w:val="nil"/>
              <w:left w:val="nil"/>
              <w:bottom w:val="single" w:sz="4" w:space="0" w:color="auto"/>
              <w:right w:val="nil"/>
            </w:tcBorders>
            <w:noWrap/>
            <w:vAlign w:val="bottom"/>
            <w:hideMark/>
          </w:tcPr>
          <w:p w14:paraId="1FE29EC6"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£'000</w:t>
            </w:r>
          </w:p>
        </w:tc>
      </w:tr>
      <w:tr w:rsidR="007E351B" w14:paraId="5F055369" w14:textId="77777777" w:rsidTr="0081486E">
        <w:trPr>
          <w:gridAfter w:val="1"/>
          <w:wAfter w:w="98" w:type="dxa"/>
          <w:trHeight w:val="280"/>
        </w:trPr>
        <w:tc>
          <w:tcPr>
            <w:tcW w:w="5520" w:type="dxa"/>
            <w:gridSpan w:val="2"/>
            <w:noWrap/>
            <w:vAlign w:val="bottom"/>
            <w:hideMark/>
          </w:tcPr>
          <w:p w14:paraId="7DAA92E3" w14:textId="77777777" w:rsidR="00560745" w:rsidRPr="003519B0" w:rsidRDefault="00560745">
            <w:pPr>
              <w:rPr>
                <w:rFonts w:ascii="Arial" w:eastAsia="Times New Roman" w:hAnsi="Arial" w:cs="Arial"/>
                <w:b/>
                <w:bCs/>
                <w:kern w:val="0"/>
                <w:lang w:eastAsia="en-GB"/>
                <w14:ligatures w14:val="none"/>
              </w:rPr>
            </w:pPr>
          </w:p>
        </w:tc>
        <w:tc>
          <w:tcPr>
            <w:tcW w:w="990" w:type="dxa"/>
            <w:gridSpan w:val="2"/>
            <w:noWrap/>
            <w:vAlign w:val="bottom"/>
            <w:hideMark/>
          </w:tcPr>
          <w:p w14:paraId="13D21CD5" w14:textId="77777777" w:rsidR="00560745" w:rsidRPr="003519B0" w:rsidRDefault="00560745">
            <w:pPr>
              <w:spacing w:after="0"/>
              <w:rPr>
                <w:rFonts w:ascii="Arial" w:hAnsi="Arial" w:cs="Arial"/>
                <w:kern w:val="0"/>
                <w:lang w:eastAsia="en-GB"/>
                <w14:ligatures w14:val="none"/>
              </w:rPr>
            </w:pPr>
          </w:p>
        </w:tc>
        <w:tc>
          <w:tcPr>
            <w:tcW w:w="1274" w:type="dxa"/>
            <w:gridSpan w:val="2"/>
            <w:noWrap/>
            <w:vAlign w:val="bottom"/>
            <w:hideMark/>
          </w:tcPr>
          <w:p w14:paraId="7EA8CF59" w14:textId="77777777" w:rsidR="00560745" w:rsidRPr="003519B0" w:rsidRDefault="00560745">
            <w:pPr>
              <w:spacing w:after="0"/>
              <w:rPr>
                <w:rFonts w:ascii="Arial" w:hAnsi="Arial" w:cs="Arial"/>
                <w:kern w:val="0"/>
                <w:lang w:eastAsia="en-GB"/>
                <w14:ligatures w14:val="none"/>
              </w:rPr>
            </w:pPr>
          </w:p>
        </w:tc>
        <w:tc>
          <w:tcPr>
            <w:tcW w:w="1144" w:type="dxa"/>
            <w:gridSpan w:val="2"/>
            <w:noWrap/>
            <w:vAlign w:val="bottom"/>
            <w:hideMark/>
          </w:tcPr>
          <w:p w14:paraId="2D277D79" w14:textId="77777777" w:rsidR="00560745" w:rsidRPr="003519B0" w:rsidRDefault="00560745">
            <w:pPr>
              <w:spacing w:after="0"/>
              <w:rPr>
                <w:rFonts w:ascii="Arial" w:hAnsi="Arial" w:cs="Arial"/>
                <w:kern w:val="0"/>
                <w:lang w:eastAsia="en-GB"/>
                <w14:ligatures w14:val="none"/>
              </w:rPr>
            </w:pPr>
          </w:p>
        </w:tc>
      </w:tr>
      <w:tr w:rsidR="007E351B" w14:paraId="7D5B7391" w14:textId="77777777" w:rsidTr="0081486E">
        <w:trPr>
          <w:gridAfter w:val="1"/>
          <w:wAfter w:w="98" w:type="dxa"/>
          <w:trHeight w:val="280"/>
        </w:trPr>
        <w:tc>
          <w:tcPr>
            <w:tcW w:w="5520" w:type="dxa"/>
            <w:gridSpan w:val="2"/>
            <w:noWrap/>
            <w:vAlign w:val="bottom"/>
            <w:hideMark/>
          </w:tcPr>
          <w:p w14:paraId="6A5DD5C8" w14:textId="01C2A419"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Cash flows from operating activities</w:t>
            </w:r>
            <w:r w:rsidR="008F61CB">
              <w:rPr>
                <w:rFonts w:ascii="Arial" w:eastAsia="Times New Roman" w:hAnsi="Arial" w:cs="Arial"/>
                <w:b/>
                <w:bCs/>
                <w:kern w:val="0"/>
                <w:lang w:eastAsia="en-GB"/>
                <w14:ligatures w14:val="none"/>
              </w:rPr>
              <w:t>:</w:t>
            </w:r>
          </w:p>
        </w:tc>
        <w:tc>
          <w:tcPr>
            <w:tcW w:w="990" w:type="dxa"/>
            <w:gridSpan w:val="2"/>
            <w:noWrap/>
            <w:vAlign w:val="bottom"/>
            <w:hideMark/>
          </w:tcPr>
          <w:p w14:paraId="2CDF566A" w14:textId="77777777" w:rsidR="00560745" w:rsidRPr="003519B0" w:rsidRDefault="00560745">
            <w:pPr>
              <w:spacing w:after="0" w:line="240" w:lineRule="auto"/>
              <w:jc w:val="center"/>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Note</w:t>
            </w:r>
          </w:p>
        </w:tc>
        <w:tc>
          <w:tcPr>
            <w:tcW w:w="1274" w:type="dxa"/>
            <w:gridSpan w:val="2"/>
            <w:noWrap/>
            <w:vAlign w:val="bottom"/>
            <w:hideMark/>
          </w:tcPr>
          <w:p w14:paraId="0F02E48C" w14:textId="77777777" w:rsidR="00560745" w:rsidRPr="003519B0" w:rsidRDefault="00560745">
            <w:pPr>
              <w:rPr>
                <w:rFonts w:ascii="Arial" w:eastAsia="Times New Roman" w:hAnsi="Arial" w:cs="Arial"/>
                <w:b/>
                <w:bCs/>
                <w:kern w:val="0"/>
                <w:lang w:eastAsia="en-GB"/>
                <w14:ligatures w14:val="none"/>
              </w:rPr>
            </w:pPr>
          </w:p>
        </w:tc>
        <w:tc>
          <w:tcPr>
            <w:tcW w:w="1144" w:type="dxa"/>
            <w:gridSpan w:val="2"/>
            <w:noWrap/>
            <w:vAlign w:val="bottom"/>
            <w:hideMark/>
          </w:tcPr>
          <w:p w14:paraId="7D067FA2" w14:textId="77777777" w:rsidR="00560745" w:rsidRPr="003519B0" w:rsidRDefault="00560745">
            <w:pPr>
              <w:spacing w:after="0"/>
              <w:rPr>
                <w:rFonts w:ascii="Arial" w:hAnsi="Arial" w:cs="Arial"/>
                <w:kern w:val="0"/>
                <w:lang w:eastAsia="en-GB"/>
                <w14:ligatures w14:val="none"/>
              </w:rPr>
            </w:pPr>
          </w:p>
        </w:tc>
      </w:tr>
      <w:tr w:rsidR="007E351B" w14:paraId="2BAC9C07" w14:textId="77777777" w:rsidTr="0081486E">
        <w:trPr>
          <w:gridAfter w:val="1"/>
          <w:wAfter w:w="98" w:type="dxa"/>
          <w:trHeight w:val="280"/>
        </w:trPr>
        <w:tc>
          <w:tcPr>
            <w:tcW w:w="5520" w:type="dxa"/>
            <w:gridSpan w:val="2"/>
            <w:noWrap/>
            <w:vAlign w:val="bottom"/>
            <w:hideMark/>
          </w:tcPr>
          <w:p w14:paraId="386D7C7C"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Net operating expenditure</w:t>
            </w:r>
          </w:p>
        </w:tc>
        <w:tc>
          <w:tcPr>
            <w:tcW w:w="990" w:type="dxa"/>
            <w:gridSpan w:val="2"/>
            <w:noWrap/>
            <w:vAlign w:val="bottom"/>
            <w:hideMark/>
          </w:tcPr>
          <w:p w14:paraId="5B4D6FCC"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SoCNE</w:t>
            </w:r>
          </w:p>
        </w:tc>
        <w:tc>
          <w:tcPr>
            <w:tcW w:w="1274" w:type="dxa"/>
            <w:gridSpan w:val="2"/>
            <w:noWrap/>
            <w:vAlign w:val="bottom"/>
            <w:hideMark/>
          </w:tcPr>
          <w:p w14:paraId="44C6BB47"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(541,650) </w:t>
            </w:r>
          </w:p>
        </w:tc>
        <w:tc>
          <w:tcPr>
            <w:tcW w:w="1144" w:type="dxa"/>
            <w:gridSpan w:val="2"/>
            <w:noWrap/>
            <w:vAlign w:val="bottom"/>
            <w:hideMark/>
          </w:tcPr>
          <w:p w14:paraId="170B684A"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(285,323) </w:t>
            </w:r>
          </w:p>
        </w:tc>
      </w:tr>
      <w:tr w:rsidR="007E351B" w14:paraId="59AABB1B" w14:textId="77777777" w:rsidTr="0081486E">
        <w:trPr>
          <w:gridAfter w:val="1"/>
          <w:wAfter w:w="98" w:type="dxa"/>
          <w:trHeight w:val="280"/>
        </w:trPr>
        <w:tc>
          <w:tcPr>
            <w:tcW w:w="5520" w:type="dxa"/>
            <w:gridSpan w:val="2"/>
            <w:noWrap/>
            <w:vAlign w:val="bottom"/>
            <w:hideMark/>
          </w:tcPr>
          <w:p w14:paraId="17EA746A"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Adjustments for non-cash transactions:</w:t>
            </w:r>
          </w:p>
        </w:tc>
        <w:tc>
          <w:tcPr>
            <w:tcW w:w="990" w:type="dxa"/>
            <w:gridSpan w:val="2"/>
            <w:noWrap/>
            <w:vAlign w:val="bottom"/>
            <w:hideMark/>
          </w:tcPr>
          <w:p w14:paraId="1880BF02" w14:textId="77777777" w:rsidR="00560745" w:rsidRPr="003519B0" w:rsidRDefault="00560745">
            <w:pPr>
              <w:rPr>
                <w:rFonts w:ascii="Arial" w:eastAsia="Times New Roman" w:hAnsi="Arial" w:cs="Arial"/>
                <w:kern w:val="0"/>
                <w:lang w:eastAsia="en-GB"/>
                <w14:ligatures w14:val="none"/>
              </w:rPr>
            </w:pPr>
          </w:p>
        </w:tc>
        <w:tc>
          <w:tcPr>
            <w:tcW w:w="1274" w:type="dxa"/>
            <w:gridSpan w:val="2"/>
            <w:noWrap/>
            <w:vAlign w:val="bottom"/>
            <w:hideMark/>
          </w:tcPr>
          <w:p w14:paraId="1E2C618E" w14:textId="77777777" w:rsidR="00560745" w:rsidRPr="003519B0" w:rsidRDefault="00560745" w:rsidP="00940120">
            <w:pPr>
              <w:spacing w:after="0"/>
              <w:jc w:val="right"/>
              <w:rPr>
                <w:rFonts w:ascii="Arial" w:hAnsi="Arial" w:cs="Arial"/>
                <w:kern w:val="0"/>
                <w:lang w:eastAsia="en-GB"/>
                <w14:ligatures w14:val="none"/>
              </w:rPr>
            </w:pPr>
          </w:p>
        </w:tc>
        <w:tc>
          <w:tcPr>
            <w:tcW w:w="1144" w:type="dxa"/>
            <w:gridSpan w:val="2"/>
            <w:noWrap/>
            <w:vAlign w:val="bottom"/>
            <w:hideMark/>
          </w:tcPr>
          <w:p w14:paraId="27A75669" w14:textId="77777777" w:rsidR="00560745" w:rsidRPr="003519B0" w:rsidRDefault="00560745" w:rsidP="00940120">
            <w:pPr>
              <w:spacing w:after="0"/>
              <w:jc w:val="right"/>
              <w:rPr>
                <w:rFonts w:ascii="Arial" w:hAnsi="Arial" w:cs="Arial"/>
                <w:kern w:val="0"/>
                <w:lang w:eastAsia="en-GB"/>
                <w14:ligatures w14:val="none"/>
              </w:rPr>
            </w:pPr>
          </w:p>
        </w:tc>
      </w:tr>
      <w:tr w:rsidR="007E351B" w14:paraId="00D8805E" w14:textId="77777777" w:rsidTr="0081486E">
        <w:trPr>
          <w:gridAfter w:val="1"/>
          <w:wAfter w:w="98" w:type="dxa"/>
          <w:trHeight w:val="280"/>
        </w:trPr>
        <w:tc>
          <w:tcPr>
            <w:tcW w:w="5520" w:type="dxa"/>
            <w:gridSpan w:val="2"/>
            <w:noWrap/>
            <w:vAlign w:val="bottom"/>
            <w:hideMark/>
          </w:tcPr>
          <w:p w14:paraId="05D8E729"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    Depreciation and amortisation charge</w:t>
            </w:r>
          </w:p>
        </w:tc>
        <w:tc>
          <w:tcPr>
            <w:tcW w:w="990" w:type="dxa"/>
            <w:gridSpan w:val="2"/>
            <w:noWrap/>
            <w:vAlign w:val="bottom"/>
            <w:hideMark/>
          </w:tcPr>
          <w:p w14:paraId="6D28B608"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6,7</w:t>
            </w:r>
          </w:p>
        </w:tc>
        <w:tc>
          <w:tcPr>
            <w:tcW w:w="1274" w:type="dxa"/>
            <w:gridSpan w:val="2"/>
            <w:noWrap/>
            <w:vAlign w:val="bottom"/>
            <w:hideMark/>
          </w:tcPr>
          <w:p w14:paraId="4DDC3C34"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6,285 </w:t>
            </w:r>
          </w:p>
        </w:tc>
        <w:tc>
          <w:tcPr>
            <w:tcW w:w="1144" w:type="dxa"/>
            <w:gridSpan w:val="2"/>
            <w:noWrap/>
            <w:vAlign w:val="bottom"/>
            <w:hideMark/>
          </w:tcPr>
          <w:p w14:paraId="14FE74EE"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8,507 </w:t>
            </w:r>
          </w:p>
        </w:tc>
      </w:tr>
      <w:tr w:rsidR="007E351B" w14:paraId="1531D12F" w14:textId="77777777" w:rsidTr="0081486E">
        <w:trPr>
          <w:gridAfter w:val="1"/>
          <w:wAfter w:w="98" w:type="dxa"/>
          <w:trHeight w:val="280"/>
        </w:trPr>
        <w:tc>
          <w:tcPr>
            <w:tcW w:w="5520" w:type="dxa"/>
            <w:gridSpan w:val="2"/>
            <w:noWrap/>
            <w:vAlign w:val="bottom"/>
            <w:hideMark/>
          </w:tcPr>
          <w:p w14:paraId="0CC14894"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    Provisions</w:t>
            </w:r>
          </w:p>
        </w:tc>
        <w:tc>
          <w:tcPr>
            <w:tcW w:w="990" w:type="dxa"/>
            <w:gridSpan w:val="2"/>
            <w:noWrap/>
            <w:vAlign w:val="bottom"/>
            <w:hideMark/>
          </w:tcPr>
          <w:p w14:paraId="6E0A129B"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3</w:t>
            </w:r>
          </w:p>
        </w:tc>
        <w:tc>
          <w:tcPr>
            <w:tcW w:w="1274" w:type="dxa"/>
            <w:gridSpan w:val="2"/>
            <w:noWrap/>
            <w:vAlign w:val="bottom"/>
            <w:hideMark/>
          </w:tcPr>
          <w:p w14:paraId="1378BC89"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5,519 </w:t>
            </w:r>
          </w:p>
        </w:tc>
        <w:tc>
          <w:tcPr>
            <w:tcW w:w="1144" w:type="dxa"/>
            <w:gridSpan w:val="2"/>
            <w:noWrap/>
            <w:vAlign w:val="bottom"/>
            <w:hideMark/>
          </w:tcPr>
          <w:p w14:paraId="19E58526"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287 </w:t>
            </w:r>
          </w:p>
        </w:tc>
      </w:tr>
      <w:tr w:rsidR="007E351B" w14:paraId="32966913" w14:textId="77777777" w:rsidTr="0081486E">
        <w:trPr>
          <w:gridAfter w:val="1"/>
          <w:wAfter w:w="98" w:type="dxa"/>
          <w:trHeight w:val="280"/>
        </w:trPr>
        <w:tc>
          <w:tcPr>
            <w:tcW w:w="5520" w:type="dxa"/>
            <w:gridSpan w:val="2"/>
            <w:noWrap/>
            <w:vAlign w:val="bottom"/>
            <w:hideMark/>
          </w:tcPr>
          <w:p w14:paraId="3332AB67"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    Audit fee</w:t>
            </w:r>
          </w:p>
        </w:tc>
        <w:tc>
          <w:tcPr>
            <w:tcW w:w="990" w:type="dxa"/>
            <w:gridSpan w:val="2"/>
            <w:noWrap/>
            <w:vAlign w:val="bottom"/>
            <w:hideMark/>
          </w:tcPr>
          <w:p w14:paraId="39E65227"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3</w:t>
            </w:r>
          </w:p>
        </w:tc>
        <w:tc>
          <w:tcPr>
            <w:tcW w:w="1274" w:type="dxa"/>
            <w:gridSpan w:val="2"/>
            <w:noWrap/>
            <w:vAlign w:val="bottom"/>
            <w:hideMark/>
          </w:tcPr>
          <w:p w14:paraId="53EA83CC"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236 </w:t>
            </w:r>
          </w:p>
        </w:tc>
        <w:tc>
          <w:tcPr>
            <w:tcW w:w="1144" w:type="dxa"/>
            <w:gridSpan w:val="2"/>
            <w:noWrap/>
            <w:vAlign w:val="bottom"/>
            <w:hideMark/>
          </w:tcPr>
          <w:p w14:paraId="66CF1CF2"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240 </w:t>
            </w:r>
          </w:p>
        </w:tc>
      </w:tr>
      <w:tr w:rsidR="007E351B" w14:paraId="69CF37A5" w14:textId="77777777" w:rsidTr="0081486E">
        <w:trPr>
          <w:gridAfter w:val="1"/>
          <w:wAfter w:w="98" w:type="dxa"/>
          <w:trHeight w:val="280"/>
        </w:trPr>
        <w:tc>
          <w:tcPr>
            <w:tcW w:w="5520" w:type="dxa"/>
            <w:gridSpan w:val="2"/>
            <w:noWrap/>
            <w:vAlign w:val="bottom"/>
            <w:hideMark/>
          </w:tcPr>
          <w:p w14:paraId="4F49CCBA"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    Loss on disposal</w:t>
            </w:r>
          </w:p>
        </w:tc>
        <w:tc>
          <w:tcPr>
            <w:tcW w:w="990" w:type="dxa"/>
            <w:gridSpan w:val="2"/>
            <w:noWrap/>
            <w:vAlign w:val="bottom"/>
            <w:hideMark/>
          </w:tcPr>
          <w:p w14:paraId="5D3FD8B4"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3</w:t>
            </w:r>
          </w:p>
        </w:tc>
        <w:tc>
          <w:tcPr>
            <w:tcW w:w="1274" w:type="dxa"/>
            <w:gridSpan w:val="2"/>
            <w:noWrap/>
            <w:vAlign w:val="bottom"/>
            <w:hideMark/>
          </w:tcPr>
          <w:p w14:paraId="75696920"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   </w:t>
            </w:r>
          </w:p>
        </w:tc>
        <w:tc>
          <w:tcPr>
            <w:tcW w:w="1144" w:type="dxa"/>
            <w:gridSpan w:val="2"/>
            <w:noWrap/>
            <w:vAlign w:val="bottom"/>
            <w:hideMark/>
          </w:tcPr>
          <w:p w14:paraId="67F2D481"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276 </w:t>
            </w:r>
          </w:p>
        </w:tc>
      </w:tr>
      <w:tr w:rsidR="007E351B" w14:paraId="501F5578" w14:textId="77777777" w:rsidTr="0081486E">
        <w:trPr>
          <w:gridAfter w:val="1"/>
          <w:wAfter w:w="98" w:type="dxa"/>
          <w:trHeight w:val="280"/>
        </w:trPr>
        <w:tc>
          <w:tcPr>
            <w:tcW w:w="5520" w:type="dxa"/>
            <w:gridSpan w:val="2"/>
            <w:noWrap/>
            <w:vAlign w:val="bottom"/>
            <w:hideMark/>
          </w:tcPr>
          <w:p w14:paraId="4D96AC87"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Use of provisions</w:t>
            </w:r>
          </w:p>
        </w:tc>
        <w:tc>
          <w:tcPr>
            <w:tcW w:w="990" w:type="dxa"/>
            <w:gridSpan w:val="2"/>
            <w:noWrap/>
            <w:vAlign w:val="bottom"/>
            <w:hideMark/>
          </w:tcPr>
          <w:p w14:paraId="28658CFD"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12</w:t>
            </w:r>
          </w:p>
        </w:tc>
        <w:tc>
          <w:tcPr>
            <w:tcW w:w="1274" w:type="dxa"/>
            <w:gridSpan w:val="2"/>
            <w:noWrap/>
            <w:vAlign w:val="bottom"/>
            <w:hideMark/>
          </w:tcPr>
          <w:p w14:paraId="5ADE867F"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(101) </w:t>
            </w:r>
          </w:p>
        </w:tc>
        <w:tc>
          <w:tcPr>
            <w:tcW w:w="1144" w:type="dxa"/>
            <w:gridSpan w:val="2"/>
            <w:noWrap/>
            <w:vAlign w:val="bottom"/>
            <w:hideMark/>
          </w:tcPr>
          <w:p w14:paraId="25DAA602"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(359) </w:t>
            </w:r>
          </w:p>
        </w:tc>
      </w:tr>
      <w:tr w:rsidR="007E351B" w14:paraId="51DCF092" w14:textId="77777777" w:rsidTr="0081486E">
        <w:trPr>
          <w:gridAfter w:val="1"/>
          <w:wAfter w:w="98" w:type="dxa"/>
          <w:trHeight w:val="171"/>
        </w:trPr>
        <w:tc>
          <w:tcPr>
            <w:tcW w:w="5520" w:type="dxa"/>
            <w:gridSpan w:val="2"/>
            <w:vAlign w:val="bottom"/>
            <w:hideMark/>
          </w:tcPr>
          <w:p w14:paraId="5D1EC604"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Increase in trade receivables and financial assets</w:t>
            </w:r>
          </w:p>
        </w:tc>
        <w:tc>
          <w:tcPr>
            <w:tcW w:w="990" w:type="dxa"/>
            <w:gridSpan w:val="2"/>
            <w:noWrap/>
            <w:vAlign w:val="bottom"/>
            <w:hideMark/>
          </w:tcPr>
          <w:p w14:paraId="009F771A"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9</w:t>
            </w:r>
          </w:p>
        </w:tc>
        <w:tc>
          <w:tcPr>
            <w:tcW w:w="1274" w:type="dxa"/>
            <w:gridSpan w:val="2"/>
            <w:noWrap/>
            <w:vAlign w:val="bottom"/>
            <w:hideMark/>
          </w:tcPr>
          <w:p w14:paraId="00A8C64A"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(1,668) </w:t>
            </w:r>
          </w:p>
        </w:tc>
        <w:tc>
          <w:tcPr>
            <w:tcW w:w="1144" w:type="dxa"/>
            <w:gridSpan w:val="2"/>
            <w:noWrap/>
            <w:vAlign w:val="bottom"/>
            <w:hideMark/>
          </w:tcPr>
          <w:p w14:paraId="65CBADF1"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(12,366) </w:t>
            </w:r>
          </w:p>
        </w:tc>
      </w:tr>
      <w:tr w:rsidR="007E351B" w14:paraId="5FC9B74D" w14:textId="77777777" w:rsidTr="0081486E">
        <w:trPr>
          <w:gridAfter w:val="1"/>
          <w:wAfter w:w="98" w:type="dxa"/>
          <w:trHeight w:val="600"/>
        </w:trPr>
        <w:tc>
          <w:tcPr>
            <w:tcW w:w="5520" w:type="dxa"/>
            <w:gridSpan w:val="2"/>
            <w:vAlign w:val="bottom"/>
            <w:hideMark/>
          </w:tcPr>
          <w:p w14:paraId="2405DF7E"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Less movements in receivables relating to items not passing through the Statement of Comprehensive Net Expenditure</w:t>
            </w:r>
          </w:p>
        </w:tc>
        <w:tc>
          <w:tcPr>
            <w:tcW w:w="990" w:type="dxa"/>
            <w:gridSpan w:val="2"/>
            <w:noWrap/>
            <w:vAlign w:val="bottom"/>
            <w:hideMark/>
          </w:tcPr>
          <w:p w14:paraId="105B9F12" w14:textId="77777777" w:rsidR="00560745" w:rsidRPr="003519B0" w:rsidRDefault="00560745">
            <w:pPr>
              <w:rPr>
                <w:rFonts w:ascii="Arial" w:eastAsia="Times New Roman" w:hAnsi="Arial" w:cs="Arial"/>
                <w:kern w:val="0"/>
                <w:lang w:eastAsia="en-GB"/>
                <w14:ligatures w14:val="none"/>
              </w:rPr>
            </w:pPr>
          </w:p>
        </w:tc>
        <w:tc>
          <w:tcPr>
            <w:tcW w:w="1274" w:type="dxa"/>
            <w:gridSpan w:val="2"/>
            <w:noWrap/>
            <w:vAlign w:val="bottom"/>
            <w:hideMark/>
          </w:tcPr>
          <w:p w14:paraId="25F23528"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1,356 </w:t>
            </w:r>
          </w:p>
        </w:tc>
        <w:tc>
          <w:tcPr>
            <w:tcW w:w="1144" w:type="dxa"/>
            <w:gridSpan w:val="2"/>
            <w:noWrap/>
            <w:vAlign w:val="bottom"/>
            <w:hideMark/>
          </w:tcPr>
          <w:p w14:paraId="57EDFB2C"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   </w:t>
            </w:r>
          </w:p>
        </w:tc>
      </w:tr>
      <w:tr w:rsidR="007E351B" w14:paraId="57613447" w14:textId="77777777" w:rsidTr="0081486E">
        <w:trPr>
          <w:gridAfter w:val="1"/>
          <w:wAfter w:w="98" w:type="dxa"/>
          <w:trHeight w:val="280"/>
        </w:trPr>
        <w:tc>
          <w:tcPr>
            <w:tcW w:w="5520" w:type="dxa"/>
            <w:gridSpan w:val="2"/>
            <w:noWrap/>
            <w:vAlign w:val="bottom"/>
            <w:hideMark/>
          </w:tcPr>
          <w:p w14:paraId="5889E986"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(Decrease)/Increase in trade payables</w:t>
            </w:r>
          </w:p>
        </w:tc>
        <w:tc>
          <w:tcPr>
            <w:tcW w:w="990" w:type="dxa"/>
            <w:gridSpan w:val="2"/>
            <w:noWrap/>
            <w:vAlign w:val="bottom"/>
            <w:hideMark/>
          </w:tcPr>
          <w:p w14:paraId="3DD0B0BE"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11</w:t>
            </w:r>
          </w:p>
        </w:tc>
        <w:tc>
          <w:tcPr>
            <w:tcW w:w="1274" w:type="dxa"/>
            <w:gridSpan w:val="2"/>
            <w:noWrap/>
            <w:vAlign w:val="bottom"/>
            <w:hideMark/>
          </w:tcPr>
          <w:p w14:paraId="0A19348E"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(129,252) </w:t>
            </w:r>
          </w:p>
        </w:tc>
        <w:tc>
          <w:tcPr>
            <w:tcW w:w="1144" w:type="dxa"/>
            <w:gridSpan w:val="2"/>
            <w:noWrap/>
            <w:vAlign w:val="bottom"/>
            <w:hideMark/>
          </w:tcPr>
          <w:p w14:paraId="0401E2AA"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66,929 </w:t>
            </w:r>
          </w:p>
        </w:tc>
      </w:tr>
      <w:tr w:rsidR="007E351B" w14:paraId="4C72D839" w14:textId="77777777" w:rsidTr="0081486E">
        <w:trPr>
          <w:gridAfter w:val="1"/>
          <w:wAfter w:w="98" w:type="dxa"/>
          <w:trHeight w:val="630"/>
        </w:trPr>
        <w:tc>
          <w:tcPr>
            <w:tcW w:w="5520" w:type="dxa"/>
            <w:gridSpan w:val="2"/>
            <w:vAlign w:val="bottom"/>
            <w:hideMark/>
          </w:tcPr>
          <w:p w14:paraId="471F5B30"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Less movements in payables relating to items not passing through the Statement of Comprehensive Net Expenditure</w:t>
            </w:r>
          </w:p>
        </w:tc>
        <w:tc>
          <w:tcPr>
            <w:tcW w:w="990" w:type="dxa"/>
            <w:gridSpan w:val="2"/>
            <w:noWrap/>
            <w:vAlign w:val="bottom"/>
            <w:hideMark/>
          </w:tcPr>
          <w:p w14:paraId="18FA20A6" w14:textId="77777777" w:rsidR="00560745" w:rsidRPr="003519B0" w:rsidRDefault="00560745">
            <w:pPr>
              <w:rPr>
                <w:rFonts w:ascii="Arial" w:eastAsia="Times New Roman" w:hAnsi="Arial" w:cs="Arial"/>
                <w:kern w:val="0"/>
                <w:lang w:eastAsia="en-GB"/>
                <w14:ligatures w14:val="none"/>
              </w:rPr>
            </w:pPr>
          </w:p>
        </w:tc>
        <w:tc>
          <w:tcPr>
            <w:tcW w:w="1274" w:type="dxa"/>
            <w:gridSpan w:val="2"/>
            <w:noWrap/>
            <w:vAlign w:val="bottom"/>
            <w:hideMark/>
          </w:tcPr>
          <w:p w14:paraId="4EC33C79"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124,718 </w:t>
            </w:r>
          </w:p>
        </w:tc>
        <w:tc>
          <w:tcPr>
            <w:tcW w:w="1144" w:type="dxa"/>
            <w:gridSpan w:val="2"/>
            <w:noWrap/>
            <w:vAlign w:val="bottom"/>
            <w:hideMark/>
          </w:tcPr>
          <w:p w14:paraId="32F3C254"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(59,442) </w:t>
            </w:r>
          </w:p>
        </w:tc>
      </w:tr>
      <w:tr w:rsidR="007E351B" w14:paraId="6A4EE9C8" w14:textId="77777777" w:rsidTr="0081486E">
        <w:trPr>
          <w:gridAfter w:val="1"/>
          <w:wAfter w:w="98" w:type="dxa"/>
          <w:trHeight w:val="280"/>
        </w:trPr>
        <w:tc>
          <w:tcPr>
            <w:tcW w:w="5520" w:type="dxa"/>
            <w:gridSpan w:val="2"/>
            <w:noWrap/>
            <w:vAlign w:val="bottom"/>
            <w:hideMark/>
          </w:tcPr>
          <w:p w14:paraId="6CDDD606"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Finance expense</w:t>
            </w:r>
          </w:p>
        </w:tc>
        <w:tc>
          <w:tcPr>
            <w:tcW w:w="990" w:type="dxa"/>
            <w:gridSpan w:val="2"/>
            <w:noWrap/>
            <w:vAlign w:val="center"/>
            <w:hideMark/>
          </w:tcPr>
          <w:p w14:paraId="1568A3C9"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3</w:t>
            </w:r>
          </w:p>
        </w:tc>
        <w:tc>
          <w:tcPr>
            <w:tcW w:w="1274" w:type="dxa"/>
            <w:gridSpan w:val="2"/>
            <w:noWrap/>
            <w:vAlign w:val="bottom"/>
            <w:hideMark/>
          </w:tcPr>
          <w:p w14:paraId="6A601661"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(326) </w:t>
            </w:r>
          </w:p>
        </w:tc>
        <w:tc>
          <w:tcPr>
            <w:tcW w:w="1144" w:type="dxa"/>
            <w:gridSpan w:val="2"/>
            <w:noWrap/>
            <w:vAlign w:val="bottom"/>
            <w:hideMark/>
          </w:tcPr>
          <w:p w14:paraId="03478892"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(319) </w:t>
            </w:r>
          </w:p>
        </w:tc>
      </w:tr>
      <w:tr w:rsidR="00560745" w14:paraId="2A4DFC64" w14:textId="77777777" w:rsidTr="0081486E">
        <w:trPr>
          <w:gridAfter w:val="1"/>
          <w:wAfter w:w="98" w:type="dxa"/>
          <w:trHeight w:val="290"/>
        </w:trPr>
        <w:tc>
          <w:tcPr>
            <w:tcW w:w="6510" w:type="dxa"/>
            <w:gridSpan w:val="4"/>
            <w:noWrap/>
            <w:vAlign w:val="bottom"/>
            <w:hideMark/>
          </w:tcPr>
          <w:p w14:paraId="706B85F5"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Net cash outflow from operating activities</w:t>
            </w:r>
          </w:p>
        </w:tc>
        <w:tc>
          <w:tcPr>
            <w:tcW w:w="1274" w:type="dxa"/>
            <w:gridSpan w:val="2"/>
            <w:tcBorders>
              <w:top w:val="single" w:sz="4" w:space="0" w:color="auto"/>
              <w:left w:val="nil"/>
              <w:bottom w:val="single" w:sz="8" w:space="0" w:color="auto"/>
              <w:right w:val="nil"/>
            </w:tcBorders>
            <w:noWrap/>
            <w:vAlign w:val="bottom"/>
            <w:hideMark/>
          </w:tcPr>
          <w:p w14:paraId="67FEF2D9"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(534,883) </w:t>
            </w:r>
          </w:p>
        </w:tc>
        <w:tc>
          <w:tcPr>
            <w:tcW w:w="1144" w:type="dxa"/>
            <w:gridSpan w:val="2"/>
            <w:tcBorders>
              <w:top w:val="single" w:sz="4" w:space="0" w:color="auto"/>
              <w:left w:val="nil"/>
              <w:bottom w:val="single" w:sz="8" w:space="0" w:color="auto"/>
              <w:right w:val="nil"/>
            </w:tcBorders>
            <w:noWrap/>
            <w:vAlign w:val="bottom"/>
            <w:hideMark/>
          </w:tcPr>
          <w:p w14:paraId="3AB76FEF"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(281,570) </w:t>
            </w:r>
          </w:p>
        </w:tc>
      </w:tr>
      <w:tr w:rsidR="007E351B" w14:paraId="129A3222" w14:textId="77777777" w:rsidTr="0081486E">
        <w:trPr>
          <w:gridAfter w:val="1"/>
          <w:wAfter w:w="98" w:type="dxa"/>
          <w:trHeight w:val="280"/>
        </w:trPr>
        <w:tc>
          <w:tcPr>
            <w:tcW w:w="5520" w:type="dxa"/>
            <w:gridSpan w:val="2"/>
            <w:noWrap/>
            <w:vAlign w:val="bottom"/>
            <w:hideMark/>
          </w:tcPr>
          <w:p w14:paraId="0CD856A2" w14:textId="77777777" w:rsidR="00560745" w:rsidRPr="003519B0" w:rsidRDefault="00560745">
            <w:pPr>
              <w:rPr>
                <w:rFonts w:ascii="Arial" w:eastAsia="Times New Roman" w:hAnsi="Arial" w:cs="Arial"/>
                <w:b/>
                <w:bCs/>
                <w:kern w:val="0"/>
                <w:lang w:eastAsia="en-GB"/>
                <w14:ligatures w14:val="none"/>
              </w:rPr>
            </w:pPr>
          </w:p>
        </w:tc>
        <w:tc>
          <w:tcPr>
            <w:tcW w:w="990" w:type="dxa"/>
            <w:gridSpan w:val="2"/>
            <w:noWrap/>
            <w:vAlign w:val="bottom"/>
            <w:hideMark/>
          </w:tcPr>
          <w:p w14:paraId="62803135" w14:textId="77777777" w:rsidR="00560745" w:rsidRPr="003519B0" w:rsidRDefault="00560745">
            <w:pPr>
              <w:spacing w:after="0"/>
              <w:rPr>
                <w:rFonts w:ascii="Arial" w:hAnsi="Arial" w:cs="Arial"/>
                <w:kern w:val="0"/>
                <w:lang w:eastAsia="en-GB"/>
                <w14:ligatures w14:val="none"/>
              </w:rPr>
            </w:pPr>
          </w:p>
        </w:tc>
        <w:tc>
          <w:tcPr>
            <w:tcW w:w="1274" w:type="dxa"/>
            <w:gridSpan w:val="2"/>
            <w:noWrap/>
            <w:vAlign w:val="bottom"/>
            <w:hideMark/>
          </w:tcPr>
          <w:p w14:paraId="6AECAC79" w14:textId="77777777" w:rsidR="00560745" w:rsidRPr="003519B0" w:rsidRDefault="00560745">
            <w:pPr>
              <w:spacing w:after="0"/>
              <w:rPr>
                <w:rFonts w:ascii="Arial" w:hAnsi="Arial" w:cs="Arial"/>
                <w:kern w:val="0"/>
                <w:lang w:eastAsia="en-GB"/>
                <w14:ligatures w14:val="none"/>
              </w:rPr>
            </w:pPr>
          </w:p>
        </w:tc>
        <w:tc>
          <w:tcPr>
            <w:tcW w:w="1144" w:type="dxa"/>
            <w:gridSpan w:val="2"/>
            <w:noWrap/>
            <w:vAlign w:val="bottom"/>
            <w:hideMark/>
          </w:tcPr>
          <w:p w14:paraId="14A17F38" w14:textId="77777777" w:rsidR="00560745" w:rsidRPr="003519B0" w:rsidRDefault="00560745">
            <w:pPr>
              <w:spacing w:after="0"/>
              <w:rPr>
                <w:rFonts w:ascii="Arial" w:hAnsi="Arial" w:cs="Arial"/>
                <w:kern w:val="0"/>
                <w:lang w:eastAsia="en-GB"/>
                <w14:ligatures w14:val="none"/>
              </w:rPr>
            </w:pPr>
          </w:p>
        </w:tc>
      </w:tr>
      <w:tr w:rsidR="007E351B" w14:paraId="57BC5045" w14:textId="77777777" w:rsidTr="0081486E">
        <w:trPr>
          <w:gridAfter w:val="1"/>
          <w:wAfter w:w="98" w:type="dxa"/>
          <w:trHeight w:val="280"/>
        </w:trPr>
        <w:tc>
          <w:tcPr>
            <w:tcW w:w="5520" w:type="dxa"/>
            <w:gridSpan w:val="2"/>
            <w:noWrap/>
            <w:vAlign w:val="bottom"/>
            <w:hideMark/>
          </w:tcPr>
          <w:p w14:paraId="4081EAF7" w14:textId="1A325D53"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Cash flows from investing activities</w:t>
            </w:r>
            <w:r w:rsidR="000B19B6">
              <w:rPr>
                <w:rFonts w:ascii="Arial" w:eastAsia="Times New Roman" w:hAnsi="Arial" w:cs="Arial"/>
                <w:b/>
                <w:bCs/>
                <w:kern w:val="0"/>
                <w:lang w:eastAsia="en-GB"/>
                <w14:ligatures w14:val="none"/>
              </w:rPr>
              <w:t>:</w:t>
            </w:r>
          </w:p>
        </w:tc>
        <w:tc>
          <w:tcPr>
            <w:tcW w:w="990" w:type="dxa"/>
            <w:gridSpan w:val="2"/>
            <w:noWrap/>
            <w:vAlign w:val="bottom"/>
            <w:hideMark/>
          </w:tcPr>
          <w:p w14:paraId="531FCA70" w14:textId="77777777" w:rsidR="00560745" w:rsidRPr="003519B0" w:rsidRDefault="00560745">
            <w:pPr>
              <w:rPr>
                <w:rFonts w:ascii="Arial" w:eastAsia="Times New Roman" w:hAnsi="Arial" w:cs="Arial"/>
                <w:b/>
                <w:bCs/>
                <w:kern w:val="0"/>
                <w:lang w:eastAsia="en-GB"/>
                <w14:ligatures w14:val="none"/>
              </w:rPr>
            </w:pPr>
          </w:p>
        </w:tc>
        <w:tc>
          <w:tcPr>
            <w:tcW w:w="1274" w:type="dxa"/>
            <w:gridSpan w:val="2"/>
            <w:noWrap/>
            <w:vAlign w:val="bottom"/>
            <w:hideMark/>
          </w:tcPr>
          <w:p w14:paraId="05A61A2F" w14:textId="77777777" w:rsidR="00560745" w:rsidRPr="003519B0" w:rsidRDefault="00560745">
            <w:pPr>
              <w:spacing w:after="0"/>
              <w:rPr>
                <w:rFonts w:ascii="Arial" w:hAnsi="Arial" w:cs="Arial"/>
                <w:kern w:val="0"/>
                <w:lang w:eastAsia="en-GB"/>
                <w14:ligatures w14:val="none"/>
              </w:rPr>
            </w:pPr>
          </w:p>
        </w:tc>
        <w:tc>
          <w:tcPr>
            <w:tcW w:w="1144" w:type="dxa"/>
            <w:gridSpan w:val="2"/>
            <w:noWrap/>
            <w:vAlign w:val="bottom"/>
            <w:hideMark/>
          </w:tcPr>
          <w:p w14:paraId="50473B57" w14:textId="77777777" w:rsidR="00560745" w:rsidRPr="003519B0" w:rsidRDefault="00560745">
            <w:pPr>
              <w:spacing w:after="0"/>
              <w:rPr>
                <w:rFonts w:ascii="Arial" w:hAnsi="Arial" w:cs="Arial"/>
                <w:kern w:val="0"/>
                <w:lang w:eastAsia="en-GB"/>
                <w14:ligatures w14:val="none"/>
              </w:rPr>
            </w:pPr>
          </w:p>
        </w:tc>
      </w:tr>
      <w:tr w:rsidR="007E351B" w14:paraId="2B2677C3" w14:textId="77777777" w:rsidTr="0081486E">
        <w:trPr>
          <w:gridAfter w:val="1"/>
          <w:wAfter w:w="98" w:type="dxa"/>
          <w:trHeight w:val="280"/>
        </w:trPr>
        <w:tc>
          <w:tcPr>
            <w:tcW w:w="5520" w:type="dxa"/>
            <w:gridSpan w:val="2"/>
            <w:noWrap/>
            <w:vAlign w:val="bottom"/>
            <w:hideMark/>
          </w:tcPr>
          <w:p w14:paraId="6E6054D5"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Purchase of property, plant and equipment</w:t>
            </w:r>
          </w:p>
        </w:tc>
        <w:tc>
          <w:tcPr>
            <w:tcW w:w="990" w:type="dxa"/>
            <w:gridSpan w:val="2"/>
            <w:noWrap/>
            <w:vAlign w:val="bottom"/>
            <w:hideMark/>
          </w:tcPr>
          <w:p w14:paraId="00A3738E"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6</w:t>
            </w:r>
          </w:p>
        </w:tc>
        <w:tc>
          <w:tcPr>
            <w:tcW w:w="1274" w:type="dxa"/>
            <w:gridSpan w:val="2"/>
            <w:noWrap/>
            <w:vAlign w:val="bottom"/>
            <w:hideMark/>
          </w:tcPr>
          <w:p w14:paraId="1994D1F3"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(1,466) </w:t>
            </w:r>
          </w:p>
        </w:tc>
        <w:tc>
          <w:tcPr>
            <w:tcW w:w="1144" w:type="dxa"/>
            <w:gridSpan w:val="2"/>
            <w:noWrap/>
            <w:vAlign w:val="bottom"/>
            <w:hideMark/>
          </w:tcPr>
          <w:p w14:paraId="7D471611"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   </w:t>
            </w:r>
          </w:p>
        </w:tc>
      </w:tr>
      <w:tr w:rsidR="007E351B" w14:paraId="0F449D9D" w14:textId="77777777" w:rsidTr="0081486E">
        <w:trPr>
          <w:gridAfter w:val="1"/>
          <w:wAfter w:w="98" w:type="dxa"/>
          <w:trHeight w:val="280"/>
        </w:trPr>
        <w:tc>
          <w:tcPr>
            <w:tcW w:w="5520" w:type="dxa"/>
            <w:gridSpan w:val="2"/>
            <w:noWrap/>
            <w:vAlign w:val="bottom"/>
            <w:hideMark/>
          </w:tcPr>
          <w:p w14:paraId="7DCD2D28"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Purchase of intangible assets</w:t>
            </w:r>
          </w:p>
        </w:tc>
        <w:tc>
          <w:tcPr>
            <w:tcW w:w="990" w:type="dxa"/>
            <w:gridSpan w:val="2"/>
            <w:noWrap/>
            <w:vAlign w:val="bottom"/>
            <w:hideMark/>
          </w:tcPr>
          <w:p w14:paraId="434A5603"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7</w:t>
            </w:r>
          </w:p>
        </w:tc>
        <w:tc>
          <w:tcPr>
            <w:tcW w:w="1274" w:type="dxa"/>
            <w:gridSpan w:val="2"/>
            <w:noWrap/>
            <w:vAlign w:val="bottom"/>
            <w:hideMark/>
          </w:tcPr>
          <w:p w14:paraId="15D27BF2"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(627) </w:t>
            </w:r>
          </w:p>
        </w:tc>
        <w:tc>
          <w:tcPr>
            <w:tcW w:w="1144" w:type="dxa"/>
            <w:gridSpan w:val="2"/>
            <w:noWrap/>
            <w:vAlign w:val="bottom"/>
            <w:hideMark/>
          </w:tcPr>
          <w:p w14:paraId="46E9B7FF"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   </w:t>
            </w:r>
          </w:p>
        </w:tc>
      </w:tr>
      <w:tr w:rsidR="00560745" w14:paraId="0BB3DA9A" w14:textId="77777777" w:rsidTr="0081486E">
        <w:trPr>
          <w:gridAfter w:val="1"/>
          <w:wAfter w:w="98" w:type="dxa"/>
          <w:trHeight w:val="290"/>
        </w:trPr>
        <w:tc>
          <w:tcPr>
            <w:tcW w:w="6510" w:type="dxa"/>
            <w:gridSpan w:val="4"/>
            <w:noWrap/>
            <w:vAlign w:val="bottom"/>
            <w:hideMark/>
          </w:tcPr>
          <w:p w14:paraId="565F39B2"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Net cash outflow from investing activities</w:t>
            </w:r>
          </w:p>
        </w:tc>
        <w:tc>
          <w:tcPr>
            <w:tcW w:w="1274" w:type="dxa"/>
            <w:gridSpan w:val="2"/>
            <w:tcBorders>
              <w:top w:val="single" w:sz="4" w:space="0" w:color="auto"/>
              <w:left w:val="nil"/>
              <w:bottom w:val="single" w:sz="8" w:space="0" w:color="auto"/>
              <w:right w:val="nil"/>
            </w:tcBorders>
            <w:noWrap/>
            <w:vAlign w:val="bottom"/>
            <w:hideMark/>
          </w:tcPr>
          <w:p w14:paraId="1E353B35"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(2,093) </w:t>
            </w:r>
          </w:p>
        </w:tc>
        <w:tc>
          <w:tcPr>
            <w:tcW w:w="1144" w:type="dxa"/>
            <w:gridSpan w:val="2"/>
            <w:tcBorders>
              <w:top w:val="single" w:sz="4" w:space="0" w:color="auto"/>
              <w:left w:val="nil"/>
              <w:bottom w:val="single" w:sz="8" w:space="0" w:color="auto"/>
              <w:right w:val="nil"/>
            </w:tcBorders>
            <w:noWrap/>
            <w:vAlign w:val="bottom"/>
            <w:hideMark/>
          </w:tcPr>
          <w:p w14:paraId="7B2D160D"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   </w:t>
            </w:r>
          </w:p>
        </w:tc>
      </w:tr>
      <w:tr w:rsidR="007E351B" w14:paraId="058D01D1" w14:textId="77777777" w:rsidTr="0081486E">
        <w:trPr>
          <w:gridAfter w:val="1"/>
          <w:wAfter w:w="98" w:type="dxa"/>
          <w:trHeight w:val="280"/>
        </w:trPr>
        <w:tc>
          <w:tcPr>
            <w:tcW w:w="5520" w:type="dxa"/>
            <w:gridSpan w:val="2"/>
            <w:noWrap/>
            <w:vAlign w:val="bottom"/>
            <w:hideMark/>
          </w:tcPr>
          <w:p w14:paraId="0DD5EC63" w14:textId="77777777" w:rsidR="00560745" w:rsidRPr="003519B0" w:rsidRDefault="00560745">
            <w:pPr>
              <w:rPr>
                <w:rFonts w:ascii="Arial" w:eastAsia="Times New Roman" w:hAnsi="Arial" w:cs="Arial"/>
                <w:b/>
                <w:bCs/>
                <w:kern w:val="0"/>
                <w:lang w:eastAsia="en-GB"/>
                <w14:ligatures w14:val="none"/>
              </w:rPr>
            </w:pPr>
          </w:p>
        </w:tc>
        <w:tc>
          <w:tcPr>
            <w:tcW w:w="990" w:type="dxa"/>
            <w:gridSpan w:val="2"/>
            <w:noWrap/>
            <w:vAlign w:val="bottom"/>
            <w:hideMark/>
          </w:tcPr>
          <w:p w14:paraId="62DA4C68" w14:textId="77777777" w:rsidR="00560745" w:rsidRPr="003519B0" w:rsidRDefault="00560745">
            <w:pPr>
              <w:spacing w:after="0"/>
              <w:rPr>
                <w:rFonts w:ascii="Arial" w:hAnsi="Arial" w:cs="Arial"/>
                <w:kern w:val="0"/>
                <w:lang w:eastAsia="en-GB"/>
                <w14:ligatures w14:val="none"/>
              </w:rPr>
            </w:pPr>
          </w:p>
        </w:tc>
        <w:tc>
          <w:tcPr>
            <w:tcW w:w="1274" w:type="dxa"/>
            <w:gridSpan w:val="2"/>
            <w:noWrap/>
            <w:vAlign w:val="bottom"/>
            <w:hideMark/>
          </w:tcPr>
          <w:p w14:paraId="6BB225B1" w14:textId="77777777" w:rsidR="00560745" w:rsidRPr="003519B0" w:rsidRDefault="00560745">
            <w:pPr>
              <w:spacing w:after="0"/>
              <w:rPr>
                <w:rFonts w:ascii="Arial" w:hAnsi="Arial" w:cs="Arial"/>
                <w:kern w:val="0"/>
                <w:lang w:eastAsia="en-GB"/>
                <w14:ligatures w14:val="none"/>
              </w:rPr>
            </w:pPr>
          </w:p>
        </w:tc>
        <w:tc>
          <w:tcPr>
            <w:tcW w:w="1144" w:type="dxa"/>
            <w:gridSpan w:val="2"/>
            <w:noWrap/>
            <w:vAlign w:val="bottom"/>
            <w:hideMark/>
          </w:tcPr>
          <w:p w14:paraId="2C5CF76E" w14:textId="77777777" w:rsidR="00560745" w:rsidRPr="003519B0" w:rsidRDefault="00560745">
            <w:pPr>
              <w:spacing w:after="0"/>
              <w:rPr>
                <w:rFonts w:ascii="Arial" w:hAnsi="Arial" w:cs="Arial"/>
                <w:kern w:val="0"/>
                <w:lang w:eastAsia="en-GB"/>
                <w14:ligatures w14:val="none"/>
              </w:rPr>
            </w:pPr>
          </w:p>
        </w:tc>
      </w:tr>
      <w:tr w:rsidR="007E351B" w14:paraId="01BCC981" w14:textId="77777777" w:rsidTr="0081486E">
        <w:trPr>
          <w:gridAfter w:val="1"/>
          <w:wAfter w:w="98" w:type="dxa"/>
          <w:trHeight w:val="280"/>
        </w:trPr>
        <w:tc>
          <w:tcPr>
            <w:tcW w:w="5520" w:type="dxa"/>
            <w:gridSpan w:val="2"/>
            <w:noWrap/>
            <w:vAlign w:val="bottom"/>
            <w:hideMark/>
          </w:tcPr>
          <w:p w14:paraId="0D8B7403" w14:textId="1932E904"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Cash flows from financing activities</w:t>
            </w:r>
            <w:r w:rsidR="000B19B6">
              <w:rPr>
                <w:rFonts w:ascii="Arial" w:eastAsia="Times New Roman" w:hAnsi="Arial" w:cs="Arial"/>
                <w:b/>
                <w:bCs/>
                <w:kern w:val="0"/>
                <w:lang w:eastAsia="en-GB"/>
                <w14:ligatures w14:val="none"/>
              </w:rPr>
              <w:t>:</w:t>
            </w:r>
          </w:p>
        </w:tc>
        <w:tc>
          <w:tcPr>
            <w:tcW w:w="990" w:type="dxa"/>
            <w:gridSpan w:val="2"/>
            <w:noWrap/>
            <w:vAlign w:val="bottom"/>
            <w:hideMark/>
          </w:tcPr>
          <w:p w14:paraId="39EE5CB3" w14:textId="77777777" w:rsidR="00560745" w:rsidRPr="003519B0" w:rsidRDefault="00560745">
            <w:pPr>
              <w:rPr>
                <w:rFonts w:ascii="Arial" w:eastAsia="Times New Roman" w:hAnsi="Arial" w:cs="Arial"/>
                <w:b/>
                <w:bCs/>
                <w:kern w:val="0"/>
                <w:lang w:eastAsia="en-GB"/>
                <w14:ligatures w14:val="none"/>
              </w:rPr>
            </w:pPr>
          </w:p>
        </w:tc>
        <w:tc>
          <w:tcPr>
            <w:tcW w:w="1274" w:type="dxa"/>
            <w:gridSpan w:val="2"/>
            <w:noWrap/>
            <w:vAlign w:val="bottom"/>
            <w:hideMark/>
          </w:tcPr>
          <w:p w14:paraId="08670F0E" w14:textId="77777777" w:rsidR="00560745" w:rsidRPr="003519B0" w:rsidRDefault="00560745">
            <w:pPr>
              <w:spacing w:after="0"/>
              <w:rPr>
                <w:rFonts w:ascii="Arial" w:hAnsi="Arial" w:cs="Arial"/>
                <w:kern w:val="0"/>
                <w:lang w:eastAsia="en-GB"/>
                <w14:ligatures w14:val="none"/>
              </w:rPr>
            </w:pPr>
          </w:p>
        </w:tc>
        <w:tc>
          <w:tcPr>
            <w:tcW w:w="1144" w:type="dxa"/>
            <w:gridSpan w:val="2"/>
            <w:noWrap/>
            <w:vAlign w:val="bottom"/>
            <w:hideMark/>
          </w:tcPr>
          <w:p w14:paraId="74B93F42" w14:textId="77777777" w:rsidR="00560745" w:rsidRPr="003519B0" w:rsidRDefault="00560745">
            <w:pPr>
              <w:spacing w:after="0"/>
              <w:rPr>
                <w:rFonts w:ascii="Arial" w:hAnsi="Arial" w:cs="Arial"/>
                <w:kern w:val="0"/>
                <w:lang w:eastAsia="en-GB"/>
                <w14:ligatures w14:val="none"/>
              </w:rPr>
            </w:pPr>
          </w:p>
        </w:tc>
      </w:tr>
      <w:tr w:rsidR="007E351B" w14:paraId="3ABEE7F0" w14:textId="77777777" w:rsidTr="0081486E">
        <w:trPr>
          <w:gridAfter w:val="1"/>
          <w:wAfter w:w="98" w:type="dxa"/>
          <w:trHeight w:val="280"/>
        </w:trPr>
        <w:tc>
          <w:tcPr>
            <w:tcW w:w="5520" w:type="dxa"/>
            <w:gridSpan w:val="2"/>
            <w:noWrap/>
            <w:vAlign w:val="bottom"/>
            <w:hideMark/>
          </w:tcPr>
          <w:p w14:paraId="428B1D86"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DBT/BEIS financing</w:t>
            </w:r>
          </w:p>
        </w:tc>
        <w:tc>
          <w:tcPr>
            <w:tcW w:w="990" w:type="dxa"/>
            <w:gridSpan w:val="2"/>
            <w:noWrap/>
            <w:vAlign w:val="bottom"/>
            <w:hideMark/>
          </w:tcPr>
          <w:p w14:paraId="6DF87858"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SoCITE</w:t>
            </w:r>
          </w:p>
        </w:tc>
        <w:tc>
          <w:tcPr>
            <w:tcW w:w="1274" w:type="dxa"/>
            <w:gridSpan w:val="2"/>
            <w:noWrap/>
            <w:vAlign w:val="bottom"/>
            <w:hideMark/>
          </w:tcPr>
          <w:p w14:paraId="702DB091"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80,245 </w:t>
            </w:r>
          </w:p>
        </w:tc>
        <w:tc>
          <w:tcPr>
            <w:tcW w:w="1144" w:type="dxa"/>
            <w:gridSpan w:val="2"/>
            <w:noWrap/>
            <w:vAlign w:val="bottom"/>
            <w:hideMark/>
          </w:tcPr>
          <w:p w14:paraId="23DB9A65"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68,095 </w:t>
            </w:r>
          </w:p>
        </w:tc>
      </w:tr>
      <w:tr w:rsidR="007E351B" w14:paraId="3C93A938" w14:textId="77777777" w:rsidTr="0081486E">
        <w:trPr>
          <w:gridAfter w:val="1"/>
          <w:wAfter w:w="98" w:type="dxa"/>
          <w:trHeight w:val="280"/>
        </w:trPr>
        <w:tc>
          <w:tcPr>
            <w:tcW w:w="5520" w:type="dxa"/>
            <w:gridSpan w:val="2"/>
            <w:noWrap/>
            <w:vAlign w:val="bottom"/>
            <w:hideMark/>
          </w:tcPr>
          <w:p w14:paraId="48D4B475"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VAT recovered by DBT/BEIS</w:t>
            </w:r>
          </w:p>
        </w:tc>
        <w:tc>
          <w:tcPr>
            <w:tcW w:w="990" w:type="dxa"/>
            <w:gridSpan w:val="2"/>
            <w:noWrap/>
            <w:vAlign w:val="bottom"/>
            <w:hideMark/>
          </w:tcPr>
          <w:p w14:paraId="231BD747"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SoCITE</w:t>
            </w:r>
          </w:p>
        </w:tc>
        <w:tc>
          <w:tcPr>
            <w:tcW w:w="1274" w:type="dxa"/>
            <w:gridSpan w:val="2"/>
            <w:noWrap/>
            <w:vAlign w:val="bottom"/>
            <w:hideMark/>
          </w:tcPr>
          <w:p w14:paraId="7E1E9269"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(3,726) </w:t>
            </w:r>
          </w:p>
        </w:tc>
        <w:tc>
          <w:tcPr>
            <w:tcW w:w="1144" w:type="dxa"/>
            <w:gridSpan w:val="2"/>
            <w:noWrap/>
            <w:vAlign w:val="bottom"/>
            <w:hideMark/>
          </w:tcPr>
          <w:p w14:paraId="75E3BB41"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(3,239) </w:t>
            </w:r>
          </w:p>
        </w:tc>
      </w:tr>
      <w:tr w:rsidR="007E351B" w14:paraId="5F7EBA5A" w14:textId="77777777" w:rsidTr="0081486E">
        <w:trPr>
          <w:gridAfter w:val="1"/>
          <w:wAfter w:w="98" w:type="dxa"/>
          <w:trHeight w:val="280"/>
        </w:trPr>
        <w:tc>
          <w:tcPr>
            <w:tcW w:w="5520" w:type="dxa"/>
            <w:gridSpan w:val="2"/>
            <w:noWrap/>
            <w:vAlign w:val="bottom"/>
            <w:hideMark/>
          </w:tcPr>
          <w:p w14:paraId="07CFA5E2"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Net funding from the National Insurance Fund</w:t>
            </w:r>
          </w:p>
        </w:tc>
        <w:tc>
          <w:tcPr>
            <w:tcW w:w="990" w:type="dxa"/>
            <w:gridSpan w:val="2"/>
            <w:noWrap/>
            <w:vAlign w:val="bottom"/>
            <w:hideMark/>
          </w:tcPr>
          <w:p w14:paraId="441B8F17" w14:textId="77777777" w:rsidR="00560745" w:rsidRPr="003519B0" w:rsidRDefault="00560745">
            <w:pPr>
              <w:rPr>
                <w:rFonts w:ascii="Arial" w:eastAsia="Times New Roman" w:hAnsi="Arial" w:cs="Arial"/>
                <w:kern w:val="0"/>
                <w:lang w:eastAsia="en-GB"/>
                <w14:ligatures w14:val="none"/>
              </w:rPr>
            </w:pPr>
          </w:p>
        </w:tc>
        <w:tc>
          <w:tcPr>
            <w:tcW w:w="1274" w:type="dxa"/>
            <w:gridSpan w:val="2"/>
            <w:noWrap/>
            <w:vAlign w:val="bottom"/>
            <w:hideMark/>
          </w:tcPr>
          <w:p w14:paraId="704D43D6"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463,977 </w:t>
            </w:r>
          </w:p>
        </w:tc>
        <w:tc>
          <w:tcPr>
            <w:tcW w:w="1144" w:type="dxa"/>
            <w:gridSpan w:val="2"/>
            <w:noWrap/>
            <w:vAlign w:val="bottom"/>
            <w:hideMark/>
          </w:tcPr>
          <w:p w14:paraId="5F306AD1"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274,926 </w:t>
            </w:r>
          </w:p>
        </w:tc>
      </w:tr>
      <w:tr w:rsidR="007E351B" w14:paraId="2F92ABBE" w14:textId="77777777" w:rsidTr="0081486E">
        <w:trPr>
          <w:gridAfter w:val="1"/>
          <w:wAfter w:w="98" w:type="dxa"/>
          <w:trHeight w:val="280"/>
        </w:trPr>
        <w:tc>
          <w:tcPr>
            <w:tcW w:w="5520" w:type="dxa"/>
            <w:gridSpan w:val="2"/>
            <w:noWrap/>
            <w:vAlign w:val="bottom"/>
            <w:hideMark/>
          </w:tcPr>
          <w:p w14:paraId="1BBFF427"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Payment of lease liabilities</w:t>
            </w:r>
          </w:p>
        </w:tc>
        <w:tc>
          <w:tcPr>
            <w:tcW w:w="990" w:type="dxa"/>
            <w:gridSpan w:val="2"/>
            <w:noWrap/>
            <w:vAlign w:val="bottom"/>
            <w:hideMark/>
          </w:tcPr>
          <w:p w14:paraId="2E062D66"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13</w:t>
            </w:r>
          </w:p>
        </w:tc>
        <w:tc>
          <w:tcPr>
            <w:tcW w:w="1274" w:type="dxa"/>
            <w:gridSpan w:val="2"/>
            <w:noWrap/>
            <w:vAlign w:val="bottom"/>
            <w:hideMark/>
          </w:tcPr>
          <w:p w14:paraId="3E08627E"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(5,518) </w:t>
            </w:r>
          </w:p>
        </w:tc>
        <w:tc>
          <w:tcPr>
            <w:tcW w:w="1144" w:type="dxa"/>
            <w:gridSpan w:val="2"/>
            <w:noWrap/>
            <w:vAlign w:val="bottom"/>
            <w:hideMark/>
          </w:tcPr>
          <w:p w14:paraId="62B75DB4"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(5,676) </w:t>
            </w:r>
          </w:p>
        </w:tc>
      </w:tr>
      <w:tr w:rsidR="00560745" w14:paraId="7CCFBD3F" w14:textId="77777777" w:rsidTr="0081486E">
        <w:trPr>
          <w:gridAfter w:val="1"/>
          <w:wAfter w:w="98" w:type="dxa"/>
          <w:trHeight w:val="290"/>
        </w:trPr>
        <w:tc>
          <w:tcPr>
            <w:tcW w:w="6510" w:type="dxa"/>
            <w:gridSpan w:val="4"/>
            <w:noWrap/>
            <w:vAlign w:val="bottom"/>
            <w:hideMark/>
          </w:tcPr>
          <w:p w14:paraId="28D35A56"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Net cash inflow from financing activities</w:t>
            </w:r>
          </w:p>
        </w:tc>
        <w:tc>
          <w:tcPr>
            <w:tcW w:w="1274" w:type="dxa"/>
            <w:gridSpan w:val="2"/>
            <w:tcBorders>
              <w:top w:val="single" w:sz="4" w:space="0" w:color="auto"/>
              <w:left w:val="nil"/>
              <w:bottom w:val="single" w:sz="8" w:space="0" w:color="auto"/>
              <w:right w:val="nil"/>
            </w:tcBorders>
            <w:noWrap/>
            <w:vAlign w:val="bottom"/>
            <w:hideMark/>
          </w:tcPr>
          <w:p w14:paraId="4F3D6591"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534,978 </w:t>
            </w:r>
          </w:p>
        </w:tc>
        <w:tc>
          <w:tcPr>
            <w:tcW w:w="1144" w:type="dxa"/>
            <w:gridSpan w:val="2"/>
            <w:tcBorders>
              <w:top w:val="single" w:sz="4" w:space="0" w:color="auto"/>
              <w:left w:val="nil"/>
              <w:bottom w:val="single" w:sz="8" w:space="0" w:color="auto"/>
              <w:right w:val="nil"/>
            </w:tcBorders>
            <w:noWrap/>
            <w:vAlign w:val="bottom"/>
            <w:hideMark/>
          </w:tcPr>
          <w:p w14:paraId="016E3ABB"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334,106 </w:t>
            </w:r>
          </w:p>
        </w:tc>
      </w:tr>
      <w:tr w:rsidR="00560745" w14:paraId="7A53BABB" w14:textId="77777777" w:rsidTr="0081486E">
        <w:trPr>
          <w:gridAfter w:val="1"/>
          <w:wAfter w:w="98" w:type="dxa"/>
          <w:trHeight w:val="280"/>
        </w:trPr>
        <w:tc>
          <w:tcPr>
            <w:tcW w:w="6510" w:type="dxa"/>
            <w:gridSpan w:val="4"/>
            <w:noWrap/>
            <w:vAlign w:val="bottom"/>
            <w:hideMark/>
          </w:tcPr>
          <w:p w14:paraId="489C0543" w14:textId="77777777" w:rsidR="00560745" w:rsidRPr="003519B0" w:rsidRDefault="00560745">
            <w:pPr>
              <w:rPr>
                <w:rFonts w:ascii="Arial" w:eastAsia="Times New Roman" w:hAnsi="Arial" w:cs="Arial"/>
                <w:b/>
                <w:bCs/>
                <w:kern w:val="0"/>
                <w:lang w:eastAsia="en-GB"/>
                <w14:ligatures w14:val="none"/>
              </w:rPr>
            </w:pPr>
          </w:p>
        </w:tc>
        <w:tc>
          <w:tcPr>
            <w:tcW w:w="1274" w:type="dxa"/>
            <w:gridSpan w:val="2"/>
            <w:noWrap/>
            <w:vAlign w:val="bottom"/>
            <w:hideMark/>
          </w:tcPr>
          <w:p w14:paraId="2482A599" w14:textId="77777777" w:rsidR="00560745" w:rsidRPr="003519B0" w:rsidRDefault="00560745">
            <w:pPr>
              <w:spacing w:after="0"/>
              <w:rPr>
                <w:rFonts w:ascii="Arial" w:hAnsi="Arial" w:cs="Arial"/>
                <w:kern w:val="0"/>
                <w:lang w:eastAsia="en-GB"/>
                <w14:ligatures w14:val="none"/>
              </w:rPr>
            </w:pPr>
          </w:p>
        </w:tc>
        <w:tc>
          <w:tcPr>
            <w:tcW w:w="1144" w:type="dxa"/>
            <w:gridSpan w:val="2"/>
            <w:noWrap/>
            <w:vAlign w:val="bottom"/>
            <w:hideMark/>
          </w:tcPr>
          <w:p w14:paraId="43179248" w14:textId="77777777" w:rsidR="00560745" w:rsidRPr="003519B0" w:rsidRDefault="00560745">
            <w:pPr>
              <w:spacing w:after="0"/>
              <w:rPr>
                <w:rFonts w:ascii="Arial" w:hAnsi="Arial" w:cs="Arial"/>
                <w:kern w:val="0"/>
                <w:lang w:eastAsia="en-GB"/>
                <w14:ligatures w14:val="none"/>
              </w:rPr>
            </w:pPr>
          </w:p>
        </w:tc>
      </w:tr>
      <w:tr w:rsidR="00560745" w14:paraId="37D8D97B" w14:textId="77777777" w:rsidTr="0081486E">
        <w:trPr>
          <w:gridAfter w:val="1"/>
          <w:wAfter w:w="98" w:type="dxa"/>
          <w:trHeight w:val="647"/>
        </w:trPr>
        <w:tc>
          <w:tcPr>
            <w:tcW w:w="6510" w:type="dxa"/>
            <w:gridSpan w:val="4"/>
            <w:vAlign w:val="bottom"/>
            <w:hideMark/>
          </w:tcPr>
          <w:p w14:paraId="792F8B52"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Net (decrease)/increase in cash and cash equivalents in the period before adjustment for receipts and payments to the Consolidated Fund</w:t>
            </w:r>
          </w:p>
        </w:tc>
        <w:tc>
          <w:tcPr>
            <w:tcW w:w="1274" w:type="dxa"/>
            <w:gridSpan w:val="2"/>
            <w:tcBorders>
              <w:top w:val="single" w:sz="4" w:space="0" w:color="auto"/>
              <w:left w:val="nil"/>
              <w:bottom w:val="single" w:sz="8" w:space="0" w:color="auto"/>
              <w:right w:val="nil"/>
            </w:tcBorders>
            <w:noWrap/>
            <w:vAlign w:val="bottom"/>
            <w:hideMark/>
          </w:tcPr>
          <w:p w14:paraId="3000BE81"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(1,998) </w:t>
            </w:r>
          </w:p>
        </w:tc>
        <w:tc>
          <w:tcPr>
            <w:tcW w:w="1144" w:type="dxa"/>
            <w:gridSpan w:val="2"/>
            <w:tcBorders>
              <w:top w:val="single" w:sz="4" w:space="0" w:color="auto"/>
              <w:left w:val="nil"/>
              <w:bottom w:val="single" w:sz="8" w:space="0" w:color="auto"/>
              <w:right w:val="nil"/>
            </w:tcBorders>
            <w:noWrap/>
            <w:vAlign w:val="bottom"/>
            <w:hideMark/>
          </w:tcPr>
          <w:p w14:paraId="27991C21"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52,536 </w:t>
            </w:r>
          </w:p>
        </w:tc>
      </w:tr>
      <w:tr w:rsidR="00560745" w14:paraId="4C383668" w14:textId="77777777" w:rsidTr="0081486E">
        <w:trPr>
          <w:gridAfter w:val="1"/>
          <w:wAfter w:w="98" w:type="dxa"/>
          <w:trHeight w:val="280"/>
        </w:trPr>
        <w:tc>
          <w:tcPr>
            <w:tcW w:w="6510" w:type="dxa"/>
            <w:gridSpan w:val="4"/>
            <w:noWrap/>
            <w:vAlign w:val="bottom"/>
            <w:hideMark/>
          </w:tcPr>
          <w:p w14:paraId="151C2611" w14:textId="77777777" w:rsidR="00560745" w:rsidRPr="003519B0" w:rsidRDefault="00560745">
            <w:pPr>
              <w:spacing w:after="0" w:line="240" w:lineRule="auto"/>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Payments of amounts due to the Consolidated Fund</w:t>
            </w:r>
          </w:p>
        </w:tc>
        <w:tc>
          <w:tcPr>
            <w:tcW w:w="1274" w:type="dxa"/>
            <w:gridSpan w:val="2"/>
            <w:noWrap/>
            <w:vAlign w:val="bottom"/>
            <w:hideMark/>
          </w:tcPr>
          <w:p w14:paraId="73ED209B"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(137,109) </w:t>
            </w:r>
          </w:p>
        </w:tc>
        <w:tc>
          <w:tcPr>
            <w:tcW w:w="1144" w:type="dxa"/>
            <w:gridSpan w:val="2"/>
            <w:noWrap/>
            <w:vAlign w:val="bottom"/>
            <w:hideMark/>
          </w:tcPr>
          <w:p w14:paraId="6B08D09E" w14:textId="77777777" w:rsidR="00560745" w:rsidRPr="003519B0" w:rsidRDefault="00560745">
            <w:pPr>
              <w:spacing w:after="0" w:line="240" w:lineRule="auto"/>
              <w:jc w:val="right"/>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 xml:space="preserve">-   </w:t>
            </w:r>
          </w:p>
        </w:tc>
      </w:tr>
      <w:tr w:rsidR="00560745" w14:paraId="72431C33" w14:textId="77777777" w:rsidTr="0081486E">
        <w:trPr>
          <w:gridAfter w:val="1"/>
          <w:wAfter w:w="98" w:type="dxa"/>
          <w:trHeight w:val="834"/>
        </w:trPr>
        <w:tc>
          <w:tcPr>
            <w:tcW w:w="6510" w:type="dxa"/>
            <w:gridSpan w:val="4"/>
            <w:vAlign w:val="bottom"/>
            <w:hideMark/>
          </w:tcPr>
          <w:p w14:paraId="238C1B1C"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Net (decrease)/increase in cash and cash equivalents in the period after adjustment for receipts and payments to the Consolidated Fund</w:t>
            </w:r>
          </w:p>
        </w:tc>
        <w:tc>
          <w:tcPr>
            <w:tcW w:w="1274" w:type="dxa"/>
            <w:gridSpan w:val="2"/>
            <w:tcBorders>
              <w:top w:val="single" w:sz="4" w:space="0" w:color="auto"/>
              <w:left w:val="nil"/>
              <w:bottom w:val="single" w:sz="8" w:space="0" w:color="auto"/>
              <w:right w:val="nil"/>
            </w:tcBorders>
            <w:noWrap/>
            <w:vAlign w:val="bottom"/>
            <w:hideMark/>
          </w:tcPr>
          <w:p w14:paraId="50F8C727"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(139,107) </w:t>
            </w:r>
          </w:p>
        </w:tc>
        <w:tc>
          <w:tcPr>
            <w:tcW w:w="1144" w:type="dxa"/>
            <w:gridSpan w:val="2"/>
            <w:tcBorders>
              <w:top w:val="single" w:sz="4" w:space="0" w:color="auto"/>
              <w:left w:val="nil"/>
              <w:bottom w:val="single" w:sz="8" w:space="0" w:color="auto"/>
              <w:right w:val="nil"/>
            </w:tcBorders>
            <w:noWrap/>
            <w:vAlign w:val="bottom"/>
            <w:hideMark/>
          </w:tcPr>
          <w:p w14:paraId="72FD1608"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52,536 </w:t>
            </w:r>
          </w:p>
        </w:tc>
      </w:tr>
      <w:tr w:rsidR="00560745" w14:paraId="786D5C7F" w14:textId="77777777" w:rsidTr="0081486E">
        <w:trPr>
          <w:gridAfter w:val="1"/>
          <w:wAfter w:w="98" w:type="dxa"/>
          <w:trHeight w:val="280"/>
        </w:trPr>
        <w:tc>
          <w:tcPr>
            <w:tcW w:w="6510" w:type="dxa"/>
            <w:gridSpan w:val="4"/>
            <w:noWrap/>
            <w:vAlign w:val="bottom"/>
            <w:hideMark/>
          </w:tcPr>
          <w:p w14:paraId="139DD4EE" w14:textId="77777777" w:rsidR="00560745" w:rsidRPr="003519B0" w:rsidRDefault="00560745">
            <w:pPr>
              <w:rPr>
                <w:rFonts w:ascii="Arial" w:eastAsia="Times New Roman" w:hAnsi="Arial" w:cs="Arial"/>
                <w:b/>
                <w:bCs/>
                <w:kern w:val="0"/>
                <w:lang w:eastAsia="en-GB"/>
                <w14:ligatures w14:val="none"/>
              </w:rPr>
            </w:pPr>
          </w:p>
        </w:tc>
        <w:tc>
          <w:tcPr>
            <w:tcW w:w="1274" w:type="dxa"/>
            <w:gridSpan w:val="2"/>
            <w:noWrap/>
            <w:vAlign w:val="bottom"/>
            <w:hideMark/>
          </w:tcPr>
          <w:p w14:paraId="28FE6071" w14:textId="77777777" w:rsidR="00560745" w:rsidRPr="003519B0" w:rsidRDefault="00560745">
            <w:pPr>
              <w:spacing w:after="0"/>
              <w:rPr>
                <w:rFonts w:ascii="Arial" w:hAnsi="Arial" w:cs="Arial"/>
                <w:kern w:val="0"/>
                <w:lang w:eastAsia="en-GB"/>
                <w14:ligatures w14:val="none"/>
              </w:rPr>
            </w:pPr>
          </w:p>
        </w:tc>
        <w:tc>
          <w:tcPr>
            <w:tcW w:w="1144" w:type="dxa"/>
            <w:gridSpan w:val="2"/>
            <w:noWrap/>
            <w:vAlign w:val="bottom"/>
            <w:hideMark/>
          </w:tcPr>
          <w:p w14:paraId="41C68872" w14:textId="77777777" w:rsidR="00560745" w:rsidRPr="003519B0" w:rsidRDefault="00560745">
            <w:pPr>
              <w:spacing w:after="0"/>
              <w:rPr>
                <w:rFonts w:ascii="Arial" w:hAnsi="Arial" w:cs="Arial"/>
                <w:kern w:val="0"/>
                <w:lang w:eastAsia="en-GB"/>
                <w14:ligatures w14:val="none"/>
              </w:rPr>
            </w:pPr>
          </w:p>
        </w:tc>
      </w:tr>
      <w:tr w:rsidR="007E351B" w14:paraId="41CDC3B5" w14:textId="77777777" w:rsidTr="0081486E">
        <w:trPr>
          <w:gridAfter w:val="1"/>
          <w:wAfter w:w="98" w:type="dxa"/>
          <w:trHeight w:val="290"/>
        </w:trPr>
        <w:tc>
          <w:tcPr>
            <w:tcW w:w="5520" w:type="dxa"/>
            <w:gridSpan w:val="2"/>
            <w:noWrap/>
            <w:vAlign w:val="bottom"/>
            <w:hideMark/>
          </w:tcPr>
          <w:p w14:paraId="1682613C"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Cash and cash equivalents at the beginning of the period</w:t>
            </w:r>
          </w:p>
        </w:tc>
        <w:tc>
          <w:tcPr>
            <w:tcW w:w="990" w:type="dxa"/>
            <w:gridSpan w:val="2"/>
            <w:noWrap/>
            <w:vAlign w:val="bottom"/>
            <w:hideMark/>
          </w:tcPr>
          <w:p w14:paraId="22D90042"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10</w:t>
            </w:r>
          </w:p>
        </w:tc>
        <w:tc>
          <w:tcPr>
            <w:tcW w:w="1274" w:type="dxa"/>
            <w:gridSpan w:val="2"/>
            <w:tcBorders>
              <w:top w:val="single" w:sz="4" w:space="0" w:color="auto"/>
              <w:left w:val="nil"/>
              <w:bottom w:val="single" w:sz="8" w:space="0" w:color="auto"/>
              <w:right w:val="nil"/>
            </w:tcBorders>
            <w:noWrap/>
            <w:vAlign w:val="bottom"/>
            <w:hideMark/>
          </w:tcPr>
          <w:p w14:paraId="79EBA60F"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335,902 </w:t>
            </w:r>
          </w:p>
        </w:tc>
        <w:tc>
          <w:tcPr>
            <w:tcW w:w="1144" w:type="dxa"/>
            <w:gridSpan w:val="2"/>
            <w:tcBorders>
              <w:top w:val="single" w:sz="4" w:space="0" w:color="auto"/>
              <w:left w:val="nil"/>
              <w:bottom w:val="single" w:sz="8" w:space="0" w:color="auto"/>
              <w:right w:val="nil"/>
            </w:tcBorders>
            <w:noWrap/>
            <w:vAlign w:val="bottom"/>
            <w:hideMark/>
          </w:tcPr>
          <w:p w14:paraId="604E9598"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283,366 </w:t>
            </w:r>
          </w:p>
        </w:tc>
      </w:tr>
      <w:tr w:rsidR="007E351B" w14:paraId="515D2093" w14:textId="77777777" w:rsidTr="0081486E">
        <w:trPr>
          <w:gridAfter w:val="1"/>
          <w:wAfter w:w="98" w:type="dxa"/>
          <w:trHeight w:val="290"/>
        </w:trPr>
        <w:tc>
          <w:tcPr>
            <w:tcW w:w="5520" w:type="dxa"/>
            <w:gridSpan w:val="2"/>
            <w:noWrap/>
            <w:vAlign w:val="bottom"/>
            <w:hideMark/>
          </w:tcPr>
          <w:p w14:paraId="0DD9C847" w14:textId="77777777" w:rsidR="00560745" w:rsidRPr="003519B0" w:rsidRDefault="00560745">
            <w:pPr>
              <w:spacing w:after="0" w:line="240" w:lineRule="auto"/>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Cash and cash equivalents at the end of the period</w:t>
            </w:r>
          </w:p>
        </w:tc>
        <w:tc>
          <w:tcPr>
            <w:tcW w:w="990" w:type="dxa"/>
            <w:gridSpan w:val="2"/>
            <w:noWrap/>
            <w:vAlign w:val="bottom"/>
            <w:hideMark/>
          </w:tcPr>
          <w:p w14:paraId="76E5173E" w14:textId="77777777" w:rsidR="00560745" w:rsidRPr="003519B0" w:rsidRDefault="00560745">
            <w:pPr>
              <w:spacing w:after="0" w:line="240" w:lineRule="auto"/>
              <w:jc w:val="center"/>
              <w:rPr>
                <w:rFonts w:ascii="Arial" w:eastAsia="Times New Roman" w:hAnsi="Arial" w:cs="Arial"/>
                <w:kern w:val="0"/>
                <w:lang w:eastAsia="en-GB"/>
                <w14:ligatures w14:val="none"/>
              </w:rPr>
            </w:pPr>
            <w:r w:rsidRPr="003519B0">
              <w:rPr>
                <w:rFonts w:ascii="Arial" w:eastAsia="Times New Roman" w:hAnsi="Arial" w:cs="Arial"/>
                <w:kern w:val="0"/>
                <w:lang w:eastAsia="en-GB"/>
                <w14:ligatures w14:val="none"/>
              </w:rPr>
              <w:t>10</w:t>
            </w:r>
          </w:p>
        </w:tc>
        <w:tc>
          <w:tcPr>
            <w:tcW w:w="1274" w:type="dxa"/>
            <w:gridSpan w:val="2"/>
            <w:tcBorders>
              <w:top w:val="single" w:sz="4" w:space="0" w:color="auto"/>
              <w:left w:val="nil"/>
              <w:bottom w:val="single" w:sz="8" w:space="0" w:color="auto"/>
              <w:right w:val="nil"/>
            </w:tcBorders>
            <w:noWrap/>
            <w:vAlign w:val="bottom"/>
            <w:hideMark/>
          </w:tcPr>
          <w:p w14:paraId="4DB9A25A"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196,795 </w:t>
            </w:r>
          </w:p>
        </w:tc>
        <w:tc>
          <w:tcPr>
            <w:tcW w:w="1144" w:type="dxa"/>
            <w:gridSpan w:val="2"/>
            <w:tcBorders>
              <w:top w:val="single" w:sz="4" w:space="0" w:color="auto"/>
              <w:left w:val="nil"/>
              <w:bottom w:val="single" w:sz="8" w:space="0" w:color="auto"/>
              <w:right w:val="nil"/>
            </w:tcBorders>
            <w:noWrap/>
            <w:vAlign w:val="bottom"/>
            <w:hideMark/>
          </w:tcPr>
          <w:p w14:paraId="65964836" w14:textId="77777777" w:rsidR="00560745" w:rsidRPr="003519B0" w:rsidRDefault="00560745">
            <w:pPr>
              <w:spacing w:after="0" w:line="240" w:lineRule="auto"/>
              <w:jc w:val="right"/>
              <w:rPr>
                <w:rFonts w:ascii="Arial" w:eastAsia="Times New Roman" w:hAnsi="Arial" w:cs="Arial"/>
                <w:b/>
                <w:bCs/>
                <w:kern w:val="0"/>
                <w:lang w:eastAsia="en-GB"/>
                <w14:ligatures w14:val="none"/>
              </w:rPr>
            </w:pPr>
            <w:r w:rsidRPr="003519B0">
              <w:rPr>
                <w:rFonts w:ascii="Arial" w:eastAsia="Times New Roman" w:hAnsi="Arial" w:cs="Arial"/>
                <w:b/>
                <w:bCs/>
                <w:kern w:val="0"/>
                <w:lang w:eastAsia="en-GB"/>
                <w14:ligatures w14:val="none"/>
              </w:rPr>
              <w:t xml:space="preserve">335,902 </w:t>
            </w:r>
          </w:p>
        </w:tc>
      </w:tr>
      <w:tr w:rsidR="00560745" w14:paraId="59A2E626" w14:textId="77777777" w:rsidTr="0081486E">
        <w:tblPrEx>
          <w:tblCellMar>
            <w:left w:w="108" w:type="dxa"/>
            <w:right w:w="108" w:type="dxa"/>
          </w:tblCellMar>
        </w:tblPrEx>
        <w:trPr>
          <w:gridAfter w:val="2"/>
          <w:wAfter w:w="236" w:type="dxa"/>
          <w:trHeight w:val="400"/>
        </w:trPr>
        <w:tc>
          <w:tcPr>
            <w:tcW w:w="8790" w:type="dxa"/>
            <w:gridSpan w:val="7"/>
            <w:noWrap/>
            <w:tcMar>
              <w:top w:w="15" w:type="dxa"/>
              <w:left w:w="108" w:type="dxa"/>
              <w:bottom w:w="0" w:type="dxa"/>
              <w:right w:w="108" w:type="dxa"/>
            </w:tcMar>
            <w:hideMark/>
          </w:tcPr>
          <w:p w14:paraId="2725365A" w14:textId="746E7889" w:rsidR="00560745" w:rsidRDefault="00560745" w:rsidP="00DA127D">
            <w:pPr>
              <w:pStyle w:val="Heading4"/>
              <w:rPr>
                <w:lang w:eastAsia="en-GB"/>
              </w:rPr>
            </w:pPr>
            <w:r>
              <w:lastRenderedPageBreak/>
              <w:br w:type="page"/>
            </w:r>
            <w:r>
              <w:rPr>
                <w:lang w:eastAsia="en-GB"/>
              </w:rPr>
              <w:t>Statement of Changes in Taxpayers' Equity</w:t>
            </w:r>
          </w:p>
        </w:tc>
      </w:tr>
      <w:tr w:rsidR="00560745" w14:paraId="3638C5CD" w14:textId="77777777" w:rsidTr="0081486E">
        <w:tblPrEx>
          <w:tblCellMar>
            <w:left w:w="108" w:type="dxa"/>
            <w:right w:w="108" w:type="dxa"/>
          </w:tblCellMar>
        </w:tblPrEx>
        <w:trPr>
          <w:gridAfter w:val="2"/>
          <w:wAfter w:w="236" w:type="dxa"/>
          <w:trHeight w:val="290"/>
        </w:trPr>
        <w:tc>
          <w:tcPr>
            <w:tcW w:w="5108" w:type="dxa"/>
            <w:tcBorders>
              <w:top w:val="nil"/>
              <w:left w:val="nil"/>
              <w:bottom w:val="single" w:sz="8" w:space="0" w:color="auto"/>
              <w:right w:val="nil"/>
            </w:tcBorders>
            <w:noWrap/>
            <w:tcMar>
              <w:top w:w="15" w:type="dxa"/>
              <w:left w:w="108" w:type="dxa"/>
              <w:bottom w:w="0" w:type="dxa"/>
              <w:right w:w="108" w:type="dxa"/>
            </w:tcMar>
            <w:vAlign w:val="bottom"/>
            <w:hideMark/>
          </w:tcPr>
          <w:p w14:paraId="59641645" w14:textId="77777777" w:rsidR="00560745" w:rsidRPr="004D516D" w:rsidRDefault="00560745">
            <w:pPr>
              <w:spacing w:after="0" w:line="240" w:lineRule="auto"/>
              <w:rPr>
                <w:rFonts w:ascii="Arial" w:eastAsia="Times New Roman" w:hAnsi="Arial" w:cs="Arial"/>
                <w:kern w:val="0"/>
                <w:sz w:val="24"/>
                <w:szCs w:val="24"/>
                <w:lang w:eastAsia="en-GB"/>
                <w14:ligatures w14:val="none"/>
              </w:rPr>
            </w:pPr>
            <w:r w:rsidRPr="004D516D">
              <w:rPr>
                <w:rFonts w:ascii="Arial" w:eastAsia="Times New Roman" w:hAnsi="Arial" w:cs="Arial"/>
                <w:kern w:val="0"/>
                <w:sz w:val="24"/>
                <w:szCs w:val="24"/>
                <w:lang w:eastAsia="en-GB"/>
                <w14:ligatures w14:val="none"/>
              </w:rPr>
              <w:t>for the period ended 31 March 2024</w:t>
            </w:r>
          </w:p>
        </w:tc>
        <w:tc>
          <w:tcPr>
            <w:tcW w:w="1039" w:type="dxa"/>
            <w:gridSpan w:val="2"/>
            <w:tcBorders>
              <w:top w:val="nil"/>
              <w:left w:val="nil"/>
              <w:bottom w:val="single" w:sz="8" w:space="0" w:color="auto"/>
              <w:right w:val="nil"/>
            </w:tcBorders>
            <w:noWrap/>
            <w:tcMar>
              <w:top w:w="15" w:type="dxa"/>
              <w:left w:w="108" w:type="dxa"/>
              <w:bottom w:w="0" w:type="dxa"/>
              <w:right w:w="108" w:type="dxa"/>
            </w:tcMar>
            <w:vAlign w:val="bottom"/>
            <w:hideMark/>
          </w:tcPr>
          <w:p w14:paraId="6FB7466E" w14:textId="77777777" w:rsidR="00560745" w:rsidRPr="004D516D" w:rsidRDefault="00560745">
            <w:pPr>
              <w:spacing w:after="0" w:line="240" w:lineRule="auto"/>
              <w:jc w:val="center"/>
              <w:rPr>
                <w:rFonts w:ascii="Arial" w:eastAsia="Times New Roman" w:hAnsi="Arial" w:cs="Arial"/>
                <w:kern w:val="0"/>
                <w:sz w:val="24"/>
                <w:szCs w:val="24"/>
                <w:lang w:eastAsia="en-GB"/>
                <w14:ligatures w14:val="none"/>
              </w:rPr>
            </w:pPr>
            <w:r w:rsidRPr="004D516D">
              <w:rPr>
                <w:rFonts w:ascii="Arial" w:eastAsia="Times New Roman" w:hAnsi="Arial" w:cs="Arial"/>
                <w:kern w:val="0"/>
                <w:sz w:val="24"/>
                <w:szCs w:val="24"/>
                <w:lang w:eastAsia="en-GB"/>
                <w14:ligatures w14:val="none"/>
              </w:rPr>
              <w:t> </w:t>
            </w:r>
          </w:p>
        </w:tc>
        <w:tc>
          <w:tcPr>
            <w:tcW w:w="1256" w:type="dxa"/>
            <w:gridSpan w:val="2"/>
            <w:tcBorders>
              <w:top w:val="nil"/>
              <w:left w:val="nil"/>
              <w:bottom w:val="single" w:sz="8" w:space="0" w:color="auto"/>
              <w:right w:val="nil"/>
            </w:tcBorders>
            <w:noWrap/>
            <w:tcMar>
              <w:top w:w="15" w:type="dxa"/>
              <w:left w:w="108" w:type="dxa"/>
              <w:bottom w:w="0" w:type="dxa"/>
              <w:right w:w="108" w:type="dxa"/>
            </w:tcMar>
            <w:vAlign w:val="bottom"/>
            <w:hideMark/>
          </w:tcPr>
          <w:p w14:paraId="6515E358" w14:textId="77777777" w:rsidR="00560745" w:rsidRPr="004D516D" w:rsidRDefault="00560745">
            <w:pPr>
              <w:spacing w:after="0" w:line="240" w:lineRule="auto"/>
              <w:jc w:val="center"/>
              <w:rPr>
                <w:rFonts w:ascii="Arial" w:eastAsia="Times New Roman" w:hAnsi="Arial" w:cs="Arial"/>
                <w:kern w:val="0"/>
                <w:sz w:val="24"/>
                <w:szCs w:val="24"/>
                <w:lang w:eastAsia="en-GB"/>
                <w14:ligatures w14:val="none"/>
              </w:rPr>
            </w:pPr>
            <w:r w:rsidRPr="004D516D">
              <w:rPr>
                <w:rFonts w:ascii="Arial" w:eastAsia="Times New Roman" w:hAnsi="Arial" w:cs="Arial"/>
                <w:kern w:val="0"/>
                <w:sz w:val="24"/>
                <w:szCs w:val="24"/>
                <w:lang w:eastAsia="en-GB"/>
                <w14:ligatures w14:val="none"/>
              </w:rPr>
              <w:t> </w:t>
            </w:r>
          </w:p>
        </w:tc>
        <w:tc>
          <w:tcPr>
            <w:tcW w:w="1387" w:type="dxa"/>
            <w:gridSpan w:val="2"/>
            <w:tcBorders>
              <w:top w:val="nil"/>
              <w:left w:val="nil"/>
              <w:bottom w:val="single" w:sz="8" w:space="0" w:color="auto"/>
              <w:right w:val="nil"/>
            </w:tcBorders>
            <w:noWrap/>
            <w:tcMar>
              <w:top w:w="15" w:type="dxa"/>
              <w:left w:w="108" w:type="dxa"/>
              <w:bottom w:w="0" w:type="dxa"/>
              <w:right w:w="108" w:type="dxa"/>
            </w:tcMar>
            <w:vAlign w:val="bottom"/>
            <w:hideMark/>
          </w:tcPr>
          <w:p w14:paraId="13BF8AB4" w14:textId="77777777" w:rsidR="00560745" w:rsidRPr="004D516D" w:rsidRDefault="00560745">
            <w:pPr>
              <w:spacing w:after="0" w:line="240" w:lineRule="auto"/>
              <w:rPr>
                <w:rFonts w:ascii="Arial" w:eastAsia="Times New Roman" w:hAnsi="Arial" w:cs="Arial"/>
                <w:kern w:val="0"/>
                <w:sz w:val="24"/>
                <w:szCs w:val="24"/>
                <w:lang w:eastAsia="en-GB"/>
                <w14:ligatures w14:val="none"/>
              </w:rPr>
            </w:pPr>
            <w:r w:rsidRPr="004D516D">
              <w:rPr>
                <w:rFonts w:ascii="Arial" w:eastAsia="Times New Roman" w:hAnsi="Arial" w:cs="Arial"/>
                <w:kern w:val="0"/>
                <w:sz w:val="24"/>
                <w:szCs w:val="24"/>
                <w:lang w:eastAsia="en-GB"/>
                <w14:ligatures w14:val="none"/>
              </w:rPr>
              <w:t> </w:t>
            </w:r>
          </w:p>
        </w:tc>
      </w:tr>
      <w:tr w:rsidR="00560745" w14:paraId="086CE0DA"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3B091BF8" w14:textId="77777777" w:rsidR="00560745" w:rsidRPr="004D516D" w:rsidRDefault="00560745">
            <w:pPr>
              <w:rPr>
                <w:rFonts w:ascii="Arial" w:eastAsia="Times New Roman" w:hAnsi="Arial" w:cs="Arial"/>
                <w:kern w:val="0"/>
                <w:sz w:val="24"/>
                <w:szCs w:val="24"/>
                <w:lang w:eastAsia="en-GB"/>
                <w14:ligatures w14:val="none"/>
              </w:rPr>
            </w:pPr>
          </w:p>
        </w:tc>
        <w:tc>
          <w:tcPr>
            <w:tcW w:w="1039" w:type="dxa"/>
            <w:gridSpan w:val="2"/>
            <w:noWrap/>
            <w:tcMar>
              <w:top w:w="15" w:type="dxa"/>
              <w:left w:w="108" w:type="dxa"/>
              <w:bottom w:w="0" w:type="dxa"/>
              <w:right w:w="108" w:type="dxa"/>
            </w:tcMar>
            <w:vAlign w:val="bottom"/>
            <w:hideMark/>
          </w:tcPr>
          <w:p w14:paraId="6782D268" w14:textId="77777777" w:rsidR="00560745" w:rsidRPr="004D516D" w:rsidRDefault="00560745">
            <w:pPr>
              <w:spacing w:after="0"/>
              <w:rPr>
                <w:rFonts w:ascii="Arial" w:hAnsi="Arial" w:cs="Arial"/>
                <w:kern w:val="0"/>
                <w:sz w:val="24"/>
                <w:szCs w:val="24"/>
                <w:lang w:eastAsia="en-GB"/>
                <w14:ligatures w14:val="none"/>
              </w:rPr>
            </w:pPr>
          </w:p>
        </w:tc>
        <w:tc>
          <w:tcPr>
            <w:tcW w:w="1256" w:type="dxa"/>
            <w:gridSpan w:val="2"/>
            <w:noWrap/>
            <w:tcMar>
              <w:top w:w="15" w:type="dxa"/>
              <w:left w:w="108" w:type="dxa"/>
              <w:bottom w:w="0" w:type="dxa"/>
              <w:right w:w="108" w:type="dxa"/>
            </w:tcMar>
            <w:vAlign w:val="bottom"/>
            <w:hideMark/>
          </w:tcPr>
          <w:p w14:paraId="20CECD67" w14:textId="77777777" w:rsidR="00560745" w:rsidRPr="004D516D" w:rsidRDefault="00560745">
            <w:pPr>
              <w:spacing w:after="0"/>
              <w:rPr>
                <w:rFonts w:ascii="Arial" w:hAnsi="Arial" w:cs="Arial"/>
                <w:kern w:val="0"/>
                <w:sz w:val="24"/>
                <w:szCs w:val="24"/>
                <w:lang w:eastAsia="en-GB"/>
                <w14:ligatures w14:val="none"/>
              </w:rPr>
            </w:pPr>
          </w:p>
        </w:tc>
        <w:tc>
          <w:tcPr>
            <w:tcW w:w="1387" w:type="dxa"/>
            <w:gridSpan w:val="2"/>
            <w:noWrap/>
            <w:tcMar>
              <w:top w:w="15" w:type="dxa"/>
              <w:left w:w="108" w:type="dxa"/>
              <w:bottom w:w="0" w:type="dxa"/>
              <w:right w:w="108" w:type="dxa"/>
            </w:tcMar>
            <w:vAlign w:val="bottom"/>
            <w:hideMark/>
          </w:tcPr>
          <w:p w14:paraId="38AAB84B" w14:textId="77777777" w:rsidR="00560745" w:rsidRPr="004D516D" w:rsidRDefault="00560745">
            <w:pPr>
              <w:spacing w:after="0"/>
              <w:rPr>
                <w:rFonts w:ascii="Arial" w:hAnsi="Arial" w:cs="Arial"/>
                <w:kern w:val="0"/>
                <w:sz w:val="24"/>
                <w:szCs w:val="24"/>
                <w:lang w:eastAsia="en-GB"/>
                <w14:ligatures w14:val="none"/>
              </w:rPr>
            </w:pPr>
          </w:p>
        </w:tc>
      </w:tr>
      <w:tr w:rsidR="00560745" w:rsidRPr="00FB7E24" w14:paraId="04D7CC27"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53FAC93C" w14:textId="77777777" w:rsidR="00560745" w:rsidRPr="00FB7E24" w:rsidRDefault="00560745">
            <w:pPr>
              <w:spacing w:after="0"/>
              <w:rPr>
                <w:rFonts w:ascii="Arial" w:hAnsi="Arial" w:cs="Arial"/>
                <w:kern w:val="0"/>
                <w:lang w:eastAsia="en-GB"/>
                <w14:ligatures w14:val="none"/>
              </w:rPr>
            </w:pPr>
          </w:p>
        </w:tc>
        <w:tc>
          <w:tcPr>
            <w:tcW w:w="1039" w:type="dxa"/>
            <w:gridSpan w:val="2"/>
            <w:noWrap/>
            <w:tcMar>
              <w:top w:w="15" w:type="dxa"/>
              <w:left w:w="108" w:type="dxa"/>
              <w:bottom w:w="0" w:type="dxa"/>
              <w:right w:w="108" w:type="dxa"/>
            </w:tcMar>
            <w:vAlign w:val="bottom"/>
            <w:hideMark/>
          </w:tcPr>
          <w:p w14:paraId="5706EBEC" w14:textId="77777777" w:rsidR="00560745" w:rsidRPr="00FB7E24" w:rsidRDefault="00560745">
            <w:pPr>
              <w:spacing w:after="0"/>
              <w:rPr>
                <w:rFonts w:ascii="Arial" w:hAnsi="Arial" w:cs="Arial"/>
                <w:kern w:val="0"/>
                <w:lang w:eastAsia="en-GB"/>
                <w14:ligatures w14:val="none"/>
              </w:rPr>
            </w:pPr>
          </w:p>
        </w:tc>
        <w:tc>
          <w:tcPr>
            <w:tcW w:w="1256" w:type="dxa"/>
            <w:gridSpan w:val="2"/>
            <w:noWrap/>
            <w:tcMar>
              <w:top w:w="15" w:type="dxa"/>
              <w:left w:w="108" w:type="dxa"/>
              <w:bottom w:w="0" w:type="dxa"/>
              <w:right w:w="108" w:type="dxa"/>
            </w:tcMar>
            <w:vAlign w:val="bottom"/>
            <w:hideMark/>
          </w:tcPr>
          <w:p w14:paraId="3F959081" w14:textId="77777777" w:rsidR="00560745" w:rsidRPr="00FB7E24" w:rsidRDefault="00560745">
            <w:pPr>
              <w:spacing w:after="0" w:line="240" w:lineRule="auto"/>
              <w:jc w:val="right"/>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General</w:t>
            </w:r>
          </w:p>
        </w:tc>
        <w:tc>
          <w:tcPr>
            <w:tcW w:w="1387" w:type="dxa"/>
            <w:gridSpan w:val="2"/>
            <w:noWrap/>
            <w:tcMar>
              <w:top w:w="15" w:type="dxa"/>
              <w:left w:w="108" w:type="dxa"/>
              <w:bottom w:w="0" w:type="dxa"/>
              <w:right w:w="108" w:type="dxa"/>
            </w:tcMar>
            <w:vAlign w:val="bottom"/>
            <w:hideMark/>
          </w:tcPr>
          <w:p w14:paraId="67D5818C" w14:textId="77777777" w:rsidR="00560745" w:rsidRPr="00FB7E24" w:rsidRDefault="00560745">
            <w:pPr>
              <w:spacing w:after="0" w:line="240" w:lineRule="auto"/>
              <w:jc w:val="right"/>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Total</w:t>
            </w:r>
          </w:p>
        </w:tc>
      </w:tr>
      <w:tr w:rsidR="00560745" w:rsidRPr="00FB7E24" w14:paraId="4F372DB1"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65BFA40C" w14:textId="77777777" w:rsidR="00560745" w:rsidRPr="00FB7E24" w:rsidRDefault="00560745">
            <w:pPr>
              <w:rPr>
                <w:rFonts w:ascii="Arial" w:eastAsia="Times New Roman" w:hAnsi="Arial" w:cs="Arial"/>
                <w:b/>
                <w:bCs/>
                <w:kern w:val="0"/>
                <w:lang w:eastAsia="en-GB"/>
                <w14:ligatures w14:val="none"/>
              </w:rPr>
            </w:pPr>
          </w:p>
        </w:tc>
        <w:tc>
          <w:tcPr>
            <w:tcW w:w="1039" w:type="dxa"/>
            <w:gridSpan w:val="2"/>
            <w:noWrap/>
            <w:tcMar>
              <w:top w:w="15" w:type="dxa"/>
              <w:left w:w="108" w:type="dxa"/>
              <w:bottom w:w="0" w:type="dxa"/>
              <w:right w:w="108" w:type="dxa"/>
            </w:tcMar>
            <w:vAlign w:val="bottom"/>
            <w:hideMark/>
          </w:tcPr>
          <w:p w14:paraId="04053CD3" w14:textId="77777777" w:rsidR="00560745" w:rsidRPr="00FB7E24" w:rsidRDefault="00560745">
            <w:pPr>
              <w:spacing w:after="0"/>
              <w:rPr>
                <w:rFonts w:ascii="Arial" w:hAnsi="Arial" w:cs="Arial"/>
                <w:kern w:val="0"/>
                <w:lang w:eastAsia="en-GB"/>
                <w14:ligatures w14:val="none"/>
              </w:rPr>
            </w:pPr>
          </w:p>
        </w:tc>
        <w:tc>
          <w:tcPr>
            <w:tcW w:w="1256" w:type="dxa"/>
            <w:gridSpan w:val="2"/>
            <w:noWrap/>
            <w:tcMar>
              <w:top w:w="15" w:type="dxa"/>
              <w:left w:w="108" w:type="dxa"/>
              <w:bottom w:w="0" w:type="dxa"/>
              <w:right w:w="108" w:type="dxa"/>
            </w:tcMar>
            <w:vAlign w:val="bottom"/>
            <w:hideMark/>
          </w:tcPr>
          <w:p w14:paraId="57FB23AC" w14:textId="77777777" w:rsidR="00560745" w:rsidRPr="00FB7E24" w:rsidRDefault="00560745">
            <w:pPr>
              <w:spacing w:after="0" w:line="240" w:lineRule="auto"/>
              <w:jc w:val="right"/>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fund</w:t>
            </w:r>
          </w:p>
        </w:tc>
        <w:tc>
          <w:tcPr>
            <w:tcW w:w="1387" w:type="dxa"/>
            <w:gridSpan w:val="2"/>
            <w:noWrap/>
            <w:tcMar>
              <w:top w:w="15" w:type="dxa"/>
              <w:left w:w="108" w:type="dxa"/>
              <w:bottom w:w="0" w:type="dxa"/>
              <w:right w:w="108" w:type="dxa"/>
            </w:tcMar>
            <w:vAlign w:val="bottom"/>
            <w:hideMark/>
          </w:tcPr>
          <w:p w14:paraId="58946017" w14:textId="77777777" w:rsidR="00560745" w:rsidRPr="00FB7E24" w:rsidRDefault="00560745">
            <w:pPr>
              <w:spacing w:after="0" w:line="240" w:lineRule="auto"/>
              <w:jc w:val="right"/>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reserves</w:t>
            </w:r>
          </w:p>
        </w:tc>
      </w:tr>
      <w:tr w:rsidR="00560745" w:rsidRPr="00FB7E24" w14:paraId="1BDDD16D" w14:textId="77777777" w:rsidTr="0081486E">
        <w:tblPrEx>
          <w:tblCellMar>
            <w:left w:w="108" w:type="dxa"/>
            <w:right w:w="108" w:type="dxa"/>
          </w:tblCellMar>
        </w:tblPrEx>
        <w:trPr>
          <w:gridAfter w:val="2"/>
          <w:wAfter w:w="236" w:type="dxa"/>
          <w:trHeight w:val="280"/>
        </w:trPr>
        <w:tc>
          <w:tcPr>
            <w:tcW w:w="5108" w:type="dxa"/>
            <w:tcBorders>
              <w:top w:val="nil"/>
              <w:left w:val="nil"/>
              <w:bottom w:val="single" w:sz="4" w:space="0" w:color="auto"/>
              <w:right w:val="nil"/>
            </w:tcBorders>
            <w:noWrap/>
            <w:tcMar>
              <w:top w:w="15" w:type="dxa"/>
              <w:left w:w="108" w:type="dxa"/>
              <w:bottom w:w="0" w:type="dxa"/>
              <w:right w:w="108" w:type="dxa"/>
            </w:tcMar>
            <w:vAlign w:val="bottom"/>
            <w:hideMark/>
          </w:tcPr>
          <w:p w14:paraId="12E0C941"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w:t>
            </w:r>
          </w:p>
        </w:tc>
        <w:tc>
          <w:tcPr>
            <w:tcW w:w="1039" w:type="dxa"/>
            <w:gridSpan w:val="2"/>
            <w:tcBorders>
              <w:top w:val="nil"/>
              <w:left w:val="nil"/>
              <w:bottom w:val="single" w:sz="4" w:space="0" w:color="auto"/>
              <w:right w:val="nil"/>
            </w:tcBorders>
            <w:noWrap/>
            <w:tcMar>
              <w:top w:w="15" w:type="dxa"/>
              <w:left w:w="108" w:type="dxa"/>
              <w:bottom w:w="0" w:type="dxa"/>
              <w:right w:w="108" w:type="dxa"/>
            </w:tcMar>
            <w:vAlign w:val="bottom"/>
            <w:hideMark/>
          </w:tcPr>
          <w:p w14:paraId="54956FF2" w14:textId="77777777" w:rsidR="00560745" w:rsidRPr="00FB7E24" w:rsidRDefault="00560745">
            <w:pPr>
              <w:spacing w:after="0" w:line="240" w:lineRule="auto"/>
              <w:jc w:val="center"/>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w:t>
            </w:r>
          </w:p>
        </w:tc>
        <w:tc>
          <w:tcPr>
            <w:tcW w:w="1256" w:type="dxa"/>
            <w:gridSpan w:val="2"/>
            <w:tcBorders>
              <w:top w:val="nil"/>
              <w:left w:val="nil"/>
              <w:bottom w:val="single" w:sz="4" w:space="0" w:color="auto"/>
              <w:right w:val="nil"/>
            </w:tcBorders>
            <w:noWrap/>
            <w:tcMar>
              <w:top w:w="15" w:type="dxa"/>
              <w:left w:w="108" w:type="dxa"/>
              <w:bottom w:w="0" w:type="dxa"/>
              <w:right w:w="108" w:type="dxa"/>
            </w:tcMar>
            <w:vAlign w:val="bottom"/>
            <w:hideMark/>
          </w:tcPr>
          <w:p w14:paraId="03F46CA3" w14:textId="77777777" w:rsidR="00560745" w:rsidRPr="00FB7E24" w:rsidRDefault="00560745">
            <w:pPr>
              <w:spacing w:after="0" w:line="240" w:lineRule="auto"/>
              <w:jc w:val="right"/>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£'000</w:t>
            </w:r>
          </w:p>
        </w:tc>
        <w:tc>
          <w:tcPr>
            <w:tcW w:w="1387" w:type="dxa"/>
            <w:gridSpan w:val="2"/>
            <w:tcBorders>
              <w:top w:val="nil"/>
              <w:left w:val="nil"/>
              <w:bottom w:val="single" w:sz="4" w:space="0" w:color="auto"/>
              <w:right w:val="nil"/>
            </w:tcBorders>
            <w:noWrap/>
            <w:tcMar>
              <w:top w:w="15" w:type="dxa"/>
              <w:left w:w="108" w:type="dxa"/>
              <w:bottom w:w="0" w:type="dxa"/>
              <w:right w:w="108" w:type="dxa"/>
            </w:tcMar>
            <w:vAlign w:val="bottom"/>
            <w:hideMark/>
          </w:tcPr>
          <w:p w14:paraId="52F854E6" w14:textId="77777777" w:rsidR="00560745" w:rsidRPr="00FB7E24" w:rsidRDefault="00560745">
            <w:pPr>
              <w:spacing w:after="0" w:line="240" w:lineRule="auto"/>
              <w:jc w:val="right"/>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£'000</w:t>
            </w:r>
          </w:p>
        </w:tc>
      </w:tr>
      <w:tr w:rsidR="00560745" w:rsidRPr="00FB7E24" w14:paraId="191E929A" w14:textId="77777777" w:rsidTr="0081486E">
        <w:tblPrEx>
          <w:tblCellMar>
            <w:left w:w="108" w:type="dxa"/>
            <w:right w:w="108" w:type="dxa"/>
          </w:tblCellMar>
        </w:tblPrEx>
        <w:trPr>
          <w:gridAfter w:val="2"/>
          <w:wAfter w:w="236" w:type="dxa"/>
          <w:trHeight w:val="280"/>
        </w:trPr>
        <w:tc>
          <w:tcPr>
            <w:tcW w:w="6147" w:type="dxa"/>
            <w:gridSpan w:val="3"/>
            <w:tcBorders>
              <w:top w:val="single" w:sz="4" w:space="0" w:color="auto"/>
              <w:left w:val="nil"/>
              <w:bottom w:val="nil"/>
              <w:right w:val="nil"/>
            </w:tcBorders>
            <w:noWrap/>
            <w:tcMar>
              <w:top w:w="15" w:type="dxa"/>
              <w:left w:w="108" w:type="dxa"/>
              <w:bottom w:w="0" w:type="dxa"/>
              <w:right w:w="108" w:type="dxa"/>
            </w:tcMar>
            <w:vAlign w:val="bottom"/>
            <w:hideMark/>
          </w:tcPr>
          <w:p w14:paraId="27B7FC38"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w:t>
            </w:r>
          </w:p>
        </w:tc>
        <w:tc>
          <w:tcPr>
            <w:tcW w:w="1256" w:type="dxa"/>
            <w:gridSpan w:val="2"/>
            <w:noWrap/>
            <w:tcMar>
              <w:top w:w="15" w:type="dxa"/>
              <w:left w:w="108" w:type="dxa"/>
              <w:bottom w:w="0" w:type="dxa"/>
              <w:right w:w="108" w:type="dxa"/>
            </w:tcMar>
            <w:vAlign w:val="bottom"/>
            <w:hideMark/>
          </w:tcPr>
          <w:p w14:paraId="5853BDF8" w14:textId="77777777" w:rsidR="00560745" w:rsidRPr="00FB7E24" w:rsidRDefault="00560745">
            <w:pPr>
              <w:rPr>
                <w:rFonts w:ascii="Arial" w:eastAsia="Times New Roman" w:hAnsi="Arial" w:cs="Arial"/>
                <w:kern w:val="0"/>
                <w:lang w:eastAsia="en-GB"/>
                <w14:ligatures w14:val="none"/>
              </w:rPr>
            </w:pPr>
          </w:p>
        </w:tc>
        <w:tc>
          <w:tcPr>
            <w:tcW w:w="1387" w:type="dxa"/>
            <w:gridSpan w:val="2"/>
            <w:noWrap/>
            <w:tcMar>
              <w:top w:w="15" w:type="dxa"/>
              <w:left w:w="108" w:type="dxa"/>
              <w:bottom w:w="0" w:type="dxa"/>
              <w:right w:w="108" w:type="dxa"/>
            </w:tcMar>
            <w:vAlign w:val="bottom"/>
            <w:hideMark/>
          </w:tcPr>
          <w:p w14:paraId="1FABB3D4" w14:textId="77777777" w:rsidR="00560745" w:rsidRPr="00FB7E24" w:rsidRDefault="00560745">
            <w:pPr>
              <w:spacing w:after="0"/>
              <w:rPr>
                <w:rFonts w:ascii="Arial" w:hAnsi="Arial" w:cs="Arial"/>
                <w:kern w:val="0"/>
                <w:lang w:eastAsia="en-GB"/>
                <w14:ligatures w14:val="none"/>
              </w:rPr>
            </w:pPr>
          </w:p>
        </w:tc>
      </w:tr>
      <w:tr w:rsidR="00560745" w:rsidRPr="00FB7E24" w14:paraId="007C9DAA" w14:textId="77777777" w:rsidTr="0081486E">
        <w:tblPrEx>
          <w:tblCellMar>
            <w:left w:w="108" w:type="dxa"/>
            <w:right w:w="108" w:type="dxa"/>
          </w:tblCellMar>
        </w:tblPrEx>
        <w:trPr>
          <w:gridAfter w:val="2"/>
          <w:wAfter w:w="236" w:type="dxa"/>
          <w:trHeight w:val="280"/>
        </w:trPr>
        <w:tc>
          <w:tcPr>
            <w:tcW w:w="6147" w:type="dxa"/>
            <w:gridSpan w:val="3"/>
            <w:noWrap/>
            <w:tcMar>
              <w:top w:w="15" w:type="dxa"/>
              <w:left w:w="108" w:type="dxa"/>
              <w:bottom w:w="0" w:type="dxa"/>
              <w:right w:w="108" w:type="dxa"/>
            </w:tcMar>
            <w:vAlign w:val="bottom"/>
            <w:hideMark/>
          </w:tcPr>
          <w:p w14:paraId="44EAD578" w14:textId="77777777" w:rsidR="00560745" w:rsidRPr="00FB7E24" w:rsidRDefault="00560745">
            <w:pPr>
              <w:spacing w:after="0" w:line="240" w:lineRule="auto"/>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Balance at 31 March 2022</w:t>
            </w:r>
          </w:p>
        </w:tc>
        <w:tc>
          <w:tcPr>
            <w:tcW w:w="1256" w:type="dxa"/>
            <w:gridSpan w:val="2"/>
            <w:noWrap/>
            <w:tcMar>
              <w:top w:w="15" w:type="dxa"/>
              <w:left w:w="108" w:type="dxa"/>
              <w:bottom w:w="0" w:type="dxa"/>
              <w:right w:w="108" w:type="dxa"/>
            </w:tcMar>
            <w:vAlign w:val="bottom"/>
            <w:hideMark/>
          </w:tcPr>
          <w:p w14:paraId="000C26ED" w14:textId="77777777" w:rsidR="00560745" w:rsidRPr="00FB7E24" w:rsidRDefault="00560745">
            <w:pPr>
              <w:spacing w:after="0" w:line="240" w:lineRule="auto"/>
              <w:jc w:val="right"/>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 xml:space="preserve">328,847 </w:t>
            </w:r>
          </w:p>
        </w:tc>
        <w:tc>
          <w:tcPr>
            <w:tcW w:w="1387" w:type="dxa"/>
            <w:gridSpan w:val="2"/>
            <w:noWrap/>
            <w:tcMar>
              <w:top w:w="15" w:type="dxa"/>
              <w:left w:w="108" w:type="dxa"/>
              <w:bottom w:w="0" w:type="dxa"/>
              <w:right w:w="108" w:type="dxa"/>
            </w:tcMar>
            <w:vAlign w:val="bottom"/>
            <w:hideMark/>
          </w:tcPr>
          <w:p w14:paraId="6D3E0CC4" w14:textId="77777777" w:rsidR="00560745" w:rsidRPr="00FB7E24" w:rsidRDefault="00560745">
            <w:pPr>
              <w:spacing w:after="0" w:line="240" w:lineRule="auto"/>
              <w:jc w:val="right"/>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 xml:space="preserve">328,847 </w:t>
            </w:r>
          </w:p>
        </w:tc>
      </w:tr>
      <w:tr w:rsidR="00560745" w:rsidRPr="00FB7E24" w14:paraId="2FB39AA3" w14:textId="77777777" w:rsidTr="0081486E">
        <w:tblPrEx>
          <w:tblCellMar>
            <w:left w:w="108" w:type="dxa"/>
            <w:right w:w="108" w:type="dxa"/>
          </w:tblCellMar>
        </w:tblPrEx>
        <w:trPr>
          <w:gridAfter w:val="2"/>
          <w:wAfter w:w="236" w:type="dxa"/>
          <w:trHeight w:val="280"/>
        </w:trPr>
        <w:tc>
          <w:tcPr>
            <w:tcW w:w="6147" w:type="dxa"/>
            <w:gridSpan w:val="3"/>
            <w:noWrap/>
            <w:tcMar>
              <w:top w:w="15" w:type="dxa"/>
              <w:left w:w="108" w:type="dxa"/>
              <w:bottom w:w="0" w:type="dxa"/>
              <w:right w:w="108" w:type="dxa"/>
            </w:tcMar>
            <w:vAlign w:val="bottom"/>
            <w:hideMark/>
          </w:tcPr>
          <w:p w14:paraId="47B93795" w14:textId="77777777" w:rsidR="00560745" w:rsidRPr="00FB7E24" w:rsidRDefault="00560745">
            <w:pPr>
              <w:rPr>
                <w:rFonts w:ascii="Arial" w:eastAsia="Times New Roman" w:hAnsi="Arial" w:cs="Arial"/>
                <w:b/>
                <w:bCs/>
                <w:kern w:val="0"/>
                <w:lang w:eastAsia="en-GB"/>
                <w14:ligatures w14:val="none"/>
              </w:rPr>
            </w:pPr>
          </w:p>
        </w:tc>
        <w:tc>
          <w:tcPr>
            <w:tcW w:w="1256" w:type="dxa"/>
            <w:gridSpan w:val="2"/>
            <w:noWrap/>
            <w:tcMar>
              <w:top w:w="15" w:type="dxa"/>
              <w:left w:w="108" w:type="dxa"/>
              <w:bottom w:w="0" w:type="dxa"/>
              <w:right w:w="108" w:type="dxa"/>
            </w:tcMar>
            <w:vAlign w:val="bottom"/>
            <w:hideMark/>
          </w:tcPr>
          <w:p w14:paraId="27962B25" w14:textId="77777777" w:rsidR="00560745" w:rsidRPr="00FB7E24" w:rsidRDefault="00560745">
            <w:pPr>
              <w:spacing w:after="0"/>
              <w:rPr>
                <w:rFonts w:ascii="Arial" w:hAnsi="Arial" w:cs="Arial"/>
                <w:kern w:val="0"/>
                <w:lang w:eastAsia="en-GB"/>
                <w14:ligatures w14:val="none"/>
              </w:rPr>
            </w:pPr>
          </w:p>
        </w:tc>
        <w:tc>
          <w:tcPr>
            <w:tcW w:w="1387" w:type="dxa"/>
            <w:gridSpan w:val="2"/>
            <w:noWrap/>
            <w:tcMar>
              <w:top w:w="15" w:type="dxa"/>
              <w:left w:w="108" w:type="dxa"/>
              <w:bottom w:w="0" w:type="dxa"/>
              <w:right w:w="108" w:type="dxa"/>
            </w:tcMar>
            <w:vAlign w:val="bottom"/>
            <w:hideMark/>
          </w:tcPr>
          <w:p w14:paraId="4701EB7B" w14:textId="77777777" w:rsidR="00560745" w:rsidRPr="00FB7E24" w:rsidRDefault="00560745">
            <w:pPr>
              <w:spacing w:after="0"/>
              <w:rPr>
                <w:rFonts w:ascii="Arial" w:hAnsi="Arial" w:cs="Arial"/>
                <w:kern w:val="0"/>
                <w:lang w:eastAsia="en-GB"/>
                <w14:ligatures w14:val="none"/>
              </w:rPr>
            </w:pPr>
          </w:p>
        </w:tc>
      </w:tr>
      <w:tr w:rsidR="00560745" w:rsidRPr="00FB7E24" w14:paraId="2A1649A1" w14:textId="77777777" w:rsidTr="0081486E">
        <w:tblPrEx>
          <w:tblCellMar>
            <w:left w:w="108" w:type="dxa"/>
            <w:right w:w="108" w:type="dxa"/>
          </w:tblCellMar>
        </w:tblPrEx>
        <w:trPr>
          <w:gridAfter w:val="2"/>
          <w:wAfter w:w="236" w:type="dxa"/>
          <w:trHeight w:val="280"/>
        </w:trPr>
        <w:tc>
          <w:tcPr>
            <w:tcW w:w="6147" w:type="dxa"/>
            <w:gridSpan w:val="3"/>
            <w:noWrap/>
            <w:tcMar>
              <w:top w:w="15" w:type="dxa"/>
              <w:left w:w="108" w:type="dxa"/>
              <w:bottom w:w="0" w:type="dxa"/>
              <w:right w:w="108" w:type="dxa"/>
            </w:tcMar>
            <w:vAlign w:val="bottom"/>
            <w:hideMark/>
          </w:tcPr>
          <w:p w14:paraId="18402799" w14:textId="5121FC66" w:rsidR="00560745" w:rsidRPr="00FB7E24" w:rsidRDefault="00560745">
            <w:pPr>
              <w:spacing w:after="0" w:line="240" w:lineRule="auto"/>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Comprehensive expenditure for the year 2022-23</w:t>
            </w:r>
            <w:r w:rsidR="000B19B6">
              <w:rPr>
                <w:rFonts w:ascii="Arial" w:eastAsia="Times New Roman" w:hAnsi="Arial" w:cs="Arial"/>
                <w:b/>
                <w:bCs/>
                <w:kern w:val="0"/>
                <w:lang w:eastAsia="en-GB"/>
                <w14:ligatures w14:val="none"/>
              </w:rPr>
              <w:t>:</w:t>
            </w:r>
          </w:p>
        </w:tc>
        <w:tc>
          <w:tcPr>
            <w:tcW w:w="1256" w:type="dxa"/>
            <w:gridSpan w:val="2"/>
            <w:noWrap/>
            <w:tcMar>
              <w:top w:w="15" w:type="dxa"/>
              <w:left w:w="108" w:type="dxa"/>
              <w:bottom w:w="0" w:type="dxa"/>
              <w:right w:w="108" w:type="dxa"/>
            </w:tcMar>
            <w:vAlign w:val="bottom"/>
            <w:hideMark/>
          </w:tcPr>
          <w:p w14:paraId="703BDDE3" w14:textId="77777777" w:rsidR="00560745" w:rsidRPr="00FB7E24" w:rsidRDefault="00560745">
            <w:pPr>
              <w:rPr>
                <w:rFonts w:ascii="Arial" w:eastAsia="Times New Roman" w:hAnsi="Arial" w:cs="Arial"/>
                <w:b/>
                <w:bCs/>
                <w:kern w:val="0"/>
                <w:lang w:eastAsia="en-GB"/>
                <w14:ligatures w14:val="none"/>
              </w:rPr>
            </w:pPr>
          </w:p>
        </w:tc>
        <w:tc>
          <w:tcPr>
            <w:tcW w:w="1387" w:type="dxa"/>
            <w:gridSpan w:val="2"/>
            <w:noWrap/>
            <w:tcMar>
              <w:top w:w="15" w:type="dxa"/>
              <w:left w:w="108" w:type="dxa"/>
              <w:bottom w:w="0" w:type="dxa"/>
              <w:right w:w="108" w:type="dxa"/>
            </w:tcMar>
            <w:vAlign w:val="bottom"/>
            <w:hideMark/>
          </w:tcPr>
          <w:p w14:paraId="43BC4E57" w14:textId="77777777" w:rsidR="00560745" w:rsidRPr="00FB7E24" w:rsidRDefault="00560745">
            <w:pPr>
              <w:spacing w:after="0"/>
              <w:rPr>
                <w:rFonts w:ascii="Arial" w:hAnsi="Arial" w:cs="Arial"/>
                <w:kern w:val="0"/>
                <w:lang w:eastAsia="en-GB"/>
                <w14:ligatures w14:val="none"/>
              </w:rPr>
            </w:pPr>
          </w:p>
        </w:tc>
      </w:tr>
      <w:tr w:rsidR="00560745" w:rsidRPr="00FB7E24" w14:paraId="39E34F69"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34138027"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Non-cash charges - auditor's remuneration</w:t>
            </w:r>
          </w:p>
        </w:tc>
        <w:tc>
          <w:tcPr>
            <w:tcW w:w="1039" w:type="dxa"/>
            <w:gridSpan w:val="2"/>
            <w:noWrap/>
            <w:tcMar>
              <w:top w:w="15" w:type="dxa"/>
              <w:left w:w="108" w:type="dxa"/>
              <w:bottom w:w="0" w:type="dxa"/>
              <w:right w:w="108" w:type="dxa"/>
            </w:tcMar>
            <w:vAlign w:val="bottom"/>
            <w:hideMark/>
          </w:tcPr>
          <w:p w14:paraId="6B2829C3" w14:textId="77777777" w:rsidR="00560745" w:rsidRPr="00FB7E24" w:rsidRDefault="00560745">
            <w:pPr>
              <w:spacing w:after="0" w:line="240" w:lineRule="auto"/>
              <w:jc w:val="center"/>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3</w:t>
            </w:r>
          </w:p>
        </w:tc>
        <w:tc>
          <w:tcPr>
            <w:tcW w:w="1256" w:type="dxa"/>
            <w:gridSpan w:val="2"/>
            <w:noWrap/>
            <w:tcMar>
              <w:top w:w="15" w:type="dxa"/>
              <w:left w:w="108" w:type="dxa"/>
              <w:bottom w:w="0" w:type="dxa"/>
              <w:right w:w="108" w:type="dxa"/>
            </w:tcMar>
            <w:vAlign w:val="bottom"/>
            <w:hideMark/>
          </w:tcPr>
          <w:p w14:paraId="7ED7169F"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240 </w:t>
            </w:r>
          </w:p>
        </w:tc>
        <w:tc>
          <w:tcPr>
            <w:tcW w:w="1387" w:type="dxa"/>
            <w:gridSpan w:val="2"/>
            <w:noWrap/>
            <w:tcMar>
              <w:top w:w="15" w:type="dxa"/>
              <w:left w:w="108" w:type="dxa"/>
              <w:bottom w:w="0" w:type="dxa"/>
              <w:right w:w="108" w:type="dxa"/>
            </w:tcMar>
            <w:vAlign w:val="bottom"/>
            <w:hideMark/>
          </w:tcPr>
          <w:p w14:paraId="1C8BCA79"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240 </w:t>
            </w:r>
          </w:p>
        </w:tc>
      </w:tr>
      <w:tr w:rsidR="00560745" w:rsidRPr="00FB7E24" w14:paraId="2DB16CE7"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606A459C"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Net expenditure for the year</w:t>
            </w:r>
          </w:p>
        </w:tc>
        <w:tc>
          <w:tcPr>
            <w:tcW w:w="1039" w:type="dxa"/>
            <w:gridSpan w:val="2"/>
            <w:noWrap/>
            <w:tcMar>
              <w:top w:w="15" w:type="dxa"/>
              <w:left w:w="108" w:type="dxa"/>
              <w:bottom w:w="0" w:type="dxa"/>
              <w:right w:w="108" w:type="dxa"/>
            </w:tcMar>
            <w:vAlign w:val="bottom"/>
            <w:hideMark/>
          </w:tcPr>
          <w:p w14:paraId="67FD6309" w14:textId="77777777" w:rsidR="00560745" w:rsidRPr="00FB7E24" w:rsidRDefault="00560745">
            <w:pPr>
              <w:spacing w:after="0" w:line="240" w:lineRule="auto"/>
              <w:jc w:val="center"/>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SoCNE</w:t>
            </w:r>
          </w:p>
        </w:tc>
        <w:tc>
          <w:tcPr>
            <w:tcW w:w="1256" w:type="dxa"/>
            <w:gridSpan w:val="2"/>
            <w:noWrap/>
            <w:tcMar>
              <w:top w:w="15" w:type="dxa"/>
              <w:left w:w="108" w:type="dxa"/>
              <w:bottom w:w="0" w:type="dxa"/>
              <w:right w:w="108" w:type="dxa"/>
            </w:tcMar>
            <w:vAlign w:val="bottom"/>
            <w:hideMark/>
          </w:tcPr>
          <w:p w14:paraId="7ECD49A6"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(285,642) </w:t>
            </w:r>
          </w:p>
        </w:tc>
        <w:tc>
          <w:tcPr>
            <w:tcW w:w="1387" w:type="dxa"/>
            <w:gridSpan w:val="2"/>
            <w:noWrap/>
            <w:tcMar>
              <w:top w:w="15" w:type="dxa"/>
              <w:left w:w="108" w:type="dxa"/>
              <w:bottom w:w="0" w:type="dxa"/>
              <w:right w:w="108" w:type="dxa"/>
            </w:tcMar>
            <w:vAlign w:val="bottom"/>
            <w:hideMark/>
          </w:tcPr>
          <w:p w14:paraId="248F6F66"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(285,642) </w:t>
            </w:r>
          </w:p>
        </w:tc>
      </w:tr>
      <w:tr w:rsidR="00560745" w:rsidRPr="00FB7E24" w14:paraId="53F0E93C"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0AABB363"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BEIS financing</w:t>
            </w:r>
          </w:p>
        </w:tc>
        <w:tc>
          <w:tcPr>
            <w:tcW w:w="1039" w:type="dxa"/>
            <w:gridSpan w:val="2"/>
            <w:noWrap/>
            <w:tcMar>
              <w:top w:w="15" w:type="dxa"/>
              <w:left w:w="108" w:type="dxa"/>
              <w:bottom w:w="0" w:type="dxa"/>
              <w:right w:w="108" w:type="dxa"/>
            </w:tcMar>
            <w:vAlign w:val="bottom"/>
            <w:hideMark/>
          </w:tcPr>
          <w:p w14:paraId="780D8BCB" w14:textId="77777777" w:rsidR="00560745" w:rsidRPr="00FB7E24" w:rsidRDefault="00560745">
            <w:pPr>
              <w:rPr>
                <w:rFonts w:ascii="Arial" w:eastAsia="Times New Roman" w:hAnsi="Arial" w:cs="Arial"/>
                <w:kern w:val="0"/>
                <w:lang w:eastAsia="en-GB"/>
                <w14:ligatures w14:val="none"/>
              </w:rPr>
            </w:pPr>
          </w:p>
        </w:tc>
        <w:tc>
          <w:tcPr>
            <w:tcW w:w="1256" w:type="dxa"/>
            <w:gridSpan w:val="2"/>
            <w:noWrap/>
            <w:tcMar>
              <w:top w:w="15" w:type="dxa"/>
              <w:left w:w="108" w:type="dxa"/>
              <w:bottom w:w="0" w:type="dxa"/>
              <w:right w:w="108" w:type="dxa"/>
            </w:tcMar>
            <w:vAlign w:val="bottom"/>
            <w:hideMark/>
          </w:tcPr>
          <w:p w14:paraId="3AB8D8BE"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68,095 </w:t>
            </w:r>
          </w:p>
        </w:tc>
        <w:tc>
          <w:tcPr>
            <w:tcW w:w="1387" w:type="dxa"/>
            <w:gridSpan w:val="2"/>
            <w:noWrap/>
            <w:tcMar>
              <w:top w:w="15" w:type="dxa"/>
              <w:left w:w="108" w:type="dxa"/>
              <w:bottom w:w="0" w:type="dxa"/>
              <w:right w:w="108" w:type="dxa"/>
            </w:tcMar>
            <w:vAlign w:val="bottom"/>
            <w:hideMark/>
          </w:tcPr>
          <w:p w14:paraId="605FBD60"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68,095 </w:t>
            </w:r>
          </w:p>
        </w:tc>
      </w:tr>
      <w:tr w:rsidR="00560745" w:rsidRPr="00FB7E24" w14:paraId="603B4C06"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5C308913"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Income payable to the Consolidated Fund</w:t>
            </w:r>
          </w:p>
        </w:tc>
        <w:tc>
          <w:tcPr>
            <w:tcW w:w="1039" w:type="dxa"/>
            <w:gridSpan w:val="2"/>
            <w:noWrap/>
            <w:tcMar>
              <w:top w:w="15" w:type="dxa"/>
              <w:left w:w="108" w:type="dxa"/>
              <w:bottom w:w="0" w:type="dxa"/>
              <w:right w:w="108" w:type="dxa"/>
            </w:tcMar>
            <w:vAlign w:val="bottom"/>
            <w:hideMark/>
          </w:tcPr>
          <w:p w14:paraId="4D07756B" w14:textId="77777777" w:rsidR="00560745" w:rsidRPr="00FB7E24" w:rsidRDefault="00560745">
            <w:pPr>
              <w:rPr>
                <w:rFonts w:ascii="Arial" w:eastAsia="Times New Roman" w:hAnsi="Arial" w:cs="Arial"/>
                <w:kern w:val="0"/>
                <w:lang w:eastAsia="en-GB"/>
                <w14:ligatures w14:val="none"/>
              </w:rPr>
            </w:pPr>
          </w:p>
        </w:tc>
        <w:tc>
          <w:tcPr>
            <w:tcW w:w="1256" w:type="dxa"/>
            <w:gridSpan w:val="2"/>
            <w:noWrap/>
            <w:tcMar>
              <w:top w:w="15" w:type="dxa"/>
              <w:left w:w="108" w:type="dxa"/>
              <w:bottom w:w="0" w:type="dxa"/>
              <w:right w:w="108" w:type="dxa"/>
            </w:tcMar>
            <w:vAlign w:val="bottom"/>
            <w:hideMark/>
          </w:tcPr>
          <w:p w14:paraId="323069B5"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(65,939) </w:t>
            </w:r>
          </w:p>
        </w:tc>
        <w:tc>
          <w:tcPr>
            <w:tcW w:w="1387" w:type="dxa"/>
            <w:gridSpan w:val="2"/>
            <w:noWrap/>
            <w:tcMar>
              <w:top w:w="15" w:type="dxa"/>
              <w:left w:w="108" w:type="dxa"/>
              <w:bottom w:w="0" w:type="dxa"/>
              <w:right w:w="108" w:type="dxa"/>
            </w:tcMar>
            <w:vAlign w:val="bottom"/>
            <w:hideMark/>
          </w:tcPr>
          <w:p w14:paraId="06540472"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(65,939) </w:t>
            </w:r>
          </w:p>
        </w:tc>
      </w:tr>
      <w:tr w:rsidR="00560745" w:rsidRPr="00FB7E24" w14:paraId="5C938F42" w14:textId="77777777" w:rsidTr="0081486E">
        <w:tblPrEx>
          <w:tblCellMar>
            <w:left w:w="108" w:type="dxa"/>
            <w:right w:w="108" w:type="dxa"/>
          </w:tblCellMar>
        </w:tblPrEx>
        <w:trPr>
          <w:gridAfter w:val="2"/>
          <w:wAfter w:w="236" w:type="dxa"/>
          <w:trHeight w:val="330"/>
        </w:trPr>
        <w:tc>
          <w:tcPr>
            <w:tcW w:w="5108" w:type="dxa"/>
            <w:tcMar>
              <w:top w:w="15" w:type="dxa"/>
              <w:left w:w="108" w:type="dxa"/>
              <w:bottom w:w="0" w:type="dxa"/>
              <w:right w:w="108" w:type="dxa"/>
            </w:tcMar>
            <w:vAlign w:val="bottom"/>
            <w:hideMark/>
          </w:tcPr>
          <w:p w14:paraId="5DE06E60"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National Insurance Fund - RPS</w:t>
            </w:r>
          </w:p>
        </w:tc>
        <w:tc>
          <w:tcPr>
            <w:tcW w:w="1039" w:type="dxa"/>
            <w:gridSpan w:val="2"/>
            <w:noWrap/>
            <w:tcMar>
              <w:top w:w="15" w:type="dxa"/>
              <w:left w:w="108" w:type="dxa"/>
              <w:bottom w:w="0" w:type="dxa"/>
              <w:right w:w="108" w:type="dxa"/>
            </w:tcMar>
            <w:vAlign w:val="bottom"/>
            <w:hideMark/>
          </w:tcPr>
          <w:p w14:paraId="05F73DCF" w14:textId="77777777" w:rsidR="00560745" w:rsidRPr="00FB7E24" w:rsidRDefault="00560745">
            <w:pPr>
              <w:rPr>
                <w:rFonts w:ascii="Arial" w:eastAsia="Times New Roman" w:hAnsi="Arial" w:cs="Arial"/>
                <w:kern w:val="0"/>
                <w:lang w:eastAsia="en-GB"/>
                <w14:ligatures w14:val="none"/>
              </w:rPr>
            </w:pPr>
          </w:p>
        </w:tc>
        <w:tc>
          <w:tcPr>
            <w:tcW w:w="1256" w:type="dxa"/>
            <w:gridSpan w:val="2"/>
            <w:noWrap/>
            <w:tcMar>
              <w:top w:w="15" w:type="dxa"/>
              <w:left w:w="108" w:type="dxa"/>
              <w:bottom w:w="0" w:type="dxa"/>
              <w:right w:w="108" w:type="dxa"/>
            </w:tcMar>
            <w:vAlign w:val="bottom"/>
            <w:hideMark/>
          </w:tcPr>
          <w:p w14:paraId="790AD502"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274,926 </w:t>
            </w:r>
          </w:p>
        </w:tc>
        <w:tc>
          <w:tcPr>
            <w:tcW w:w="1387" w:type="dxa"/>
            <w:gridSpan w:val="2"/>
            <w:noWrap/>
            <w:tcMar>
              <w:top w:w="15" w:type="dxa"/>
              <w:left w:w="108" w:type="dxa"/>
              <w:bottom w:w="0" w:type="dxa"/>
              <w:right w:w="108" w:type="dxa"/>
            </w:tcMar>
            <w:vAlign w:val="bottom"/>
            <w:hideMark/>
          </w:tcPr>
          <w:p w14:paraId="2F9AB160"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274,926 </w:t>
            </w:r>
          </w:p>
        </w:tc>
      </w:tr>
      <w:tr w:rsidR="00560745" w:rsidRPr="00FB7E24" w14:paraId="6A062E92"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23EBB996"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VAT recovered by BEIS</w:t>
            </w:r>
          </w:p>
        </w:tc>
        <w:tc>
          <w:tcPr>
            <w:tcW w:w="1039" w:type="dxa"/>
            <w:gridSpan w:val="2"/>
            <w:noWrap/>
            <w:tcMar>
              <w:top w:w="15" w:type="dxa"/>
              <w:left w:w="108" w:type="dxa"/>
              <w:bottom w:w="0" w:type="dxa"/>
              <w:right w:w="108" w:type="dxa"/>
            </w:tcMar>
            <w:vAlign w:val="bottom"/>
            <w:hideMark/>
          </w:tcPr>
          <w:p w14:paraId="253B6478" w14:textId="77777777" w:rsidR="00560745" w:rsidRPr="00FB7E24" w:rsidRDefault="00560745">
            <w:pPr>
              <w:rPr>
                <w:rFonts w:ascii="Arial" w:eastAsia="Times New Roman" w:hAnsi="Arial" w:cs="Arial"/>
                <w:kern w:val="0"/>
                <w:lang w:eastAsia="en-GB"/>
                <w14:ligatures w14:val="none"/>
              </w:rPr>
            </w:pPr>
          </w:p>
        </w:tc>
        <w:tc>
          <w:tcPr>
            <w:tcW w:w="1256" w:type="dxa"/>
            <w:gridSpan w:val="2"/>
            <w:noWrap/>
            <w:tcMar>
              <w:top w:w="15" w:type="dxa"/>
              <w:left w:w="108" w:type="dxa"/>
              <w:bottom w:w="0" w:type="dxa"/>
              <w:right w:w="108" w:type="dxa"/>
            </w:tcMar>
            <w:vAlign w:val="bottom"/>
            <w:hideMark/>
          </w:tcPr>
          <w:p w14:paraId="728A132D"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(3,239) </w:t>
            </w:r>
          </w:p>
        </w:tc>
        <w:tc>
          <w:tcPr>
            <w:tcW w:w="1387" w:type="dxa"/>
            <w:gridSpan w:val="2"/>
            <w:noWrap/>
            <w:tcMar>
              <w:top w:w="15" w:type="dxa"/>
              <w:left w:w="108" w:type="dxa"/>
              <w:bottom w:w="0" w:type="dxa"/>
              <w:right w:w="108" w:type="dxa"/>
            </w:tcMar>
            <w:vAlign w:val="bottom"/>
            <w:hideMark/>
          </w:tcPr>
          <w:p w14:paraId="360E9F68"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(3,239) </w:t>
            </w:r>
          </w:p>
        </w:tc>
      </w:tr>
      <w:tr w:rsidR="00560745" w:rsidRPr="00FB7E24" w14:paraId="13C57942" w14:textId="77777777" w:rsidTr="0081486E">
        <w:tblPrEx>
          <w:tblCellMar>
            <w:left w:w="108" w:type="dxa"/>
            <w:right w:w="108" w:type="dxa"/>
          </w:tblCellMar>
        </w:tblPrEx>
        <w:trPr>
          <w:gridAfter w:val="2"/>
          <w:wAfter w:w="236" w:type="dxa"/>
          <w:trHeight w:val="290"/>
        </w:trPr>
        <w:tc>
          <w:tcPr>
            <w:tcW w:w="5108" w:type="dxa"/>
            <w:noWrap/>
            <w:tcMar>
              <w:top w:w="15" w:type="dxa"/>
              <w:left w:w="108" w:type="dxa"/>
              <w:bottom w:w="0" w:type="dxa"/>
              <w:right w:w="108" w:type="dxa"/>
            </w:tcMar>
            <w:vAlign w:val="bottom"/>
            <w:hideMark/>
          </w:tcPr>
          <w:p w14:paraId="0A35966C" w14:textId="77777777" w:rsidR="00560745" w:rsidRPr="00FB7E24" w:rsidRDefault="00560745">
            <w:pPr>
              <w:spacing w:after="0" w:line="240" w:lineRule="auto"/>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Balance at 31 March 2023</w:t>
            </w:r>
          </w:p>
        </w:tc>
        <w:tc>
          <w:tcPr>
            <w:tcW w:w="1039" w:type="dxa"/>
            <w:gridSpan w:val="2"/>
            <w:noWrap/>
            <w:tcMar>
              <w:top w:w="15" w:type="dxa"/>
              <w:left w:w="108" w:type="dxa"/>
              <w:bottom w:w="0" w:type="dxa"/>
              <w:right w:w="108" w:type="dxa"/>
            </w:tcMar>
            <w:vAlign w:val="bottom"/>
            <w:hideMark/>
          </w:tcPr>
          <w:p w14:paraId="44D8589E" w14:textId="77777777" w:rsidR="00560745" w:rsidRPr="00FB7E24" w:rsidRDefault="00560745">
            <w:pPr>
              <w:rPr>
                <w:rFonts w:ascii="Arial" w:eastAsia="Times New Roman" w:hAnsi="Arial" w:cs="Arial"/>
                <w:b/>
                <w:bCs/>
                <w:kern w:val="0"/>
                <w:lang w:eastAsia="en-GB"/>
                <w14:ligatures w14:val="none"/>
              </w:rPr>
            </w:pPr>
          </w:p>
        </w:tc>
        <w:tc>
          <w:tcPr>
            <w:tcW w:w="1256"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ACC85C2" w14:textId="77777777" w:rsidR="00560745" w:rsidRPr="00FB7E24" w:rsidRDefault="00560745">
            <w:pPr>
              <w:spacing w:after="0" w:line="240" w:lineRule="auto"/>
              <w:jc w:val="right"/>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 xml:space="preserve">317,288 </w:t>
            </w:r>
          </w:p>
        </w:tc>
        <w:tc>
          <w:tcPr>
            <w:tcW w:w="1387"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3342D94" w14:textId="77777777" w:rsidR="00560745" w:rsidRPr="00FB7E24" w:rsidRDefault="00560745">
            <w:pPr>
              <w:spacing w:after="0" w:line="240" w:lineRule="auto"/>
              <w:jc w:val="right"/>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 xml:space="preserve">317,288 </w:t>
            </w:r>
          </w:p>
        </w:tc>
      </w:tr>
      <w:tr w:rsidR="00560745" w:rsidRPr="00FB7E24" w14:paraId="2DCE34B9"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19C9A16F" w14:textId="77777777" w:rsidR="00560745" w:rsidRPr="00FB7E24" w:rsidRDefault="00560745">
            <w:pPr>
              <w:rPr>
                <w:rFonts w:ascii="Arial" w:eastAsia="Times New Roman" w:hAnsi="Arial" w:cs="Arial"/>
                <w:b/>
                <w:bCs/>
                <w:kern w:val="0"/>
                <w:lang w:eastAsia="en-GB"/>
                <w14:ligatures w14:val="none"/>
              </w:rPr>
            </w:pPr>
          </w:p>
        </w:tc>
        <w:tc>
          <w:tcPr>
            <w:tcW w:w="1039" w:type="dxa"/>
            <w:gridSpan w:val="2"/>
            <w:noWrap/>
            <w:tcMar>
              <w:top w:w="15" w:type="dxa"/>
              <w:left w:w="108" w:type="dxa"/>
              <w:bottom w:w="0" w:type="dxa"/>
              <w:right w:w="108" w:type="dxa"/>
            </w:tcMar>
            <w:vAlign w:val="bottom"/>
            <w:hideMark/>
          </w:tcPr>
          <w:p w14:paraId="6742EB99" w14:textId="77777777" w:rsidR="00560745" w:rsidRPr="00FB7E24" w:rsidRDefault="00560745">
            <w:pPr>
              <w:spacing w:after="0"/>
              <w:rPr>
                <w:rFonts w:ascii="Arial" w:hAnsi="Arial" w:cs="Arial"/>
                <w:kern w:val="0"/>
                <w:lang w:eastAsia="en-GB"/>
                <w14:ligatures w14:val="none"/>
              </w:rPr>
            </w:pPr>
          </w:p>
        </w:tc>
        <w:tc>
          <w:tcPr>
            <w:tcW w:w="1256" w:type="dxa"/>
            <w:gridSpan w:val="2"/>
            <w:noWrap/>
            <w:tcMar>
              <w:top w:w="15" w:type="dxa"/>
              <w:left w:w="108" w:type="dxa"/>
              <w:bottom w:w="0" w:type="dxa"/>
              <w:right w:w="108" w:type="dxa"/>
            </w:tcMar>
            <w:vAlign w:val="bottom"/>
            <w:hideMark/>
          </w:tcPr>
          <w:p w14:paraId="0D554957" w14:textId="77777777" w:rsidR="00560745" w:rsidRPr="00FB7E24" w:rsidRDefault="00560745">
            <w:pPr>
              <w:spacing w:after="0"/>
              <w:rPr>
                <w:rFonts w:ascii="Arial" w:hAnsi="Arial" w:cs="Arial"/>
                <w:kern w:val="0"/>
                <w:lang w:eastAsia="en-GB"/>
                <w14:ligatures w14:val="none"/>
              </w:rPr>
            </w:pPr>
          </w:p>
        </w:tc>
        <w:tc>
          <w:tcPr>
            <w:tcW w:w="1387" w:type="dxa"/>
            <w:gridSpan w:val="2"/>
            <w:noWrap/>
            <w:tcMar>
              <w:top w:w="15" w:type="dxa"/>
              <w:left w:w="108" w:type="dxa"/>
              <w:bottom w:w="0" w:type="dxa"/>
              <w:right w:w="108" w:type="dxa"/>
            </w:tcMar>
            <w:vAlign w:val="bottom"/>
            <w:hideMark/>
          </w:tcPr>
          <w:p w14:paraId="1BEB52A5" w14:textId="77777777" w:rsidR="00560745" w:rsidRPr="00FB7E24" w:rsidRDefault="00560745">
            <w:pPr>
              <w:spacing w:after="0"/>
              <w:rPr>
                <w:rFonts w:ascii="Arial" w:hAnsi="Arial" w:cs="Arial"/>
                <w:kern w:val="0"/>
                <w:lang w:eastAsia="en-GB"/>
                <w14:ligatures w14:val="none"/>
              </w:rPr>
            </w:pPr>
          </w:p>
        </w:tc>
      </w:tr>
      <w:tr w:rsidR="00560745" w:rsidRPr="00FB7E24" w14:paraId="5D506E6E"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5AC95A33" w14:textId="77777777" w:rsidR="00560745" w:rsidRPr="00FB7E24" w:rsidRDefault="00560745">
            <w:pPr>
              <w:spacing w:after="0"/>
              <w:rPr>
                <w:rFonts w:ascii="Arial" w:hAnsi="Arial" w:cs="Arial"/>
                <w:kern w:val="0"/>
                <w:lang w:eastAsia="en-GB"/>
                <w14:ligatures w14:val="none"/>
              </w:rPr>
            </w:pPr>
          </w:p>
        </w:tc>
        <w:tc>
          <w:tcPr>
            <w:tcW w:w="1039" w:type="dxa"/>
            <w:gridSpan w:val="2"/>
            <w:noWrap/>
            <w:tcMar>
              <w:top w:w="15" w:type="dxa"/>
              <w:left w:w="108" w:type="dxa"/>
              <w:bottom w:w="0" w:type="dxa"/>
              <w:right w:w="108" w:type="dxa"/>
            </w:tcMar>
            <w:vAlign w:val="bottom"/>
            <w:hideMark/>
          </w:tcPr>
          <w:p w14:paraId="79962AD2" w14:textId="77777777" w:rsidR="00560745" w:rsidRPr="00FB7E24" w:rsidRDefault="00560745">
            <w:pPr>
              <w:spacing w:after="0"/>
              <w:rPr>
                <w:rFonts w:ascii="Arial" w:hAnsi="Arial" w:cs="Arial"/>
                <w:kern w:val="0"/>
                <w:lang w:eastAsia="en-GB"/>
                <w14:ligatures w14:val="none"/>
              </w:rPr>
            </w:pPr>
          </w:p>
        </w:tc>
        <w:tc>
          <w:tcPr>
            <w:tcW w:w="1256" w:type="dxa"/>
            <w:gridSpan w:val="2"/>
            <w:noWrap/>
            <w:tcMar>
              <w:top w:w="15" w:type="dxa"/>
              <w:left w:w="108" w:type="dxa"/>
              <w:bottom w:w="0" w:type="dxa"/>
              <w:right w:w="108" w:type="dxa"/>
            </w:tcMar>
            <w:vAlign w:val="bottom"/>
            <w:hideMark/>
          </w:tcPr>
          <w:p w14:paraId="10F5A165" w14:textId="77777777" w:rsidR="00560745" w:rsidRPr="00FB7E24" w:rsidRDefault="00560745">
            <w:pPr>
              <w:spacing w:after="0"/>
              <w:rPr>
                <w:rFonts w:ascii="Arial" w:hAnsi="Arial" w:cs="Arial"/>
                <w:kern w:val="0"/>
                <w:lang w:eastAsia="en-GB"/>
                <w14:ligatures w14:val="none"/>
              </w:rPr>
            </w:pPr>
          </w:p>
        </w:tc>
        <w:tc>
          <w:tcPr>
            <w:tcW w:w="1387" w:type="dxa"/>
            <w:gridSpan w:val="2"/>
            <w:noWrap/>
            <w:tcMar>
              <w:top w:w="15" w:type="dxa"/>
              <w:left w:w="108" w:type="dxa"/>
              <w:bottom w:w="0" w:type="dxa"/>
              <w:right w:w="108" w:type="dxa"/>
            </w:tcMar>
            <w:vAlign w:val="bottom"/>
            <w:hideMark/>
          </w:tcPr>
          <w:p w14:paraId="3A3D50C5" w14:textId="77777777" w:rsidR="00560745" w:rsidRPr="00FB7E24" w:rsidRDefault="00560745">
            <w:pPr>
              <w:spacing w:after="0"/>
              <w:rPr>
                <w:rFonts w:ascii="Arial" w:hAnsi="Arial" w:cs="Arial"/>
                <w:kern w:val="0"/>
                <w:lang w:eastAsia="en-GB"/>
                <w14:ligatures w14:val="none"/>
              </w:rPr>
            </w:pPr>
          </w:p>
        </w:tc>
      </w:tr>
      <w:tr w:rsidR="00560745" w:rsidRPr="00FB7E24" w14:paraId="36A72ACF" w14:textId="77777777" w:rsidTr="0081486E">
        <w:tblPrEx>
          <w:tblCellMar>
            <w:left w:w="108" w:type="dxa"/>
            <w:right w:w="108" w:type="dxa"/>
          </w:tblCellMar>
        </w:tblPrEx>
        <w:trPr>
          <w:gridAfter w:val="2"/>
          <w:wAfter w:w="236" w:type="dxa"/>
          <w:trHeight w:val="280"/>
        </w:trPr>
        <w:tc>
          <w:tcPr>
            <w:tcW w:w="6147" w:type="dxa"/>
            <w:gridSpan w:val="3"/>
            <w:noWrap/>
            <w:tcMar>
              <w:top w:w="15" w:type="dxa"/>
              <w:left w:w="108" w:type="dxa"/>
              <w:bottom w:w="0" w:type="dxa"/>
              <w:right w:w="108" w:type="dxa"/>
            </w:tcMar>
            <w:vAlign w:val="bottom"/>
            <w:hideMark/>
          </w:tcPr>
          <w:p w14:paraId="71A95C22" w14:textId="1FDCBF10" w:rsidR="00560745" w:rsidRPr="00FB7E24" w:rsidRDefault="00560745">
            <w:pPr>
              <w:spacing w:after="0" w:line="240" w:lineRule="auto"/>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Comprehensive expenditure for the year 2023-24</w:t>
            </w:r>
            <w:r w:rsidR="000B19B6">
              <w:rPr>
                <w:rFonts w:ascii="Arial" w:eastAsia="Times New Roman" w:hAnsi="Arial" w:cs="Arial"/>
                <w:b/>
                <w:bCs/>
                <w:kern w:val="0"/>
                <w:lang w:eastAsia="en-GB"/>
                <w14:ligatures w14:val="none"/>
              </w:rPr>
              <w:t>:</w:t>
            </w:r>
          </w:p>
        </w:tc>
        <w:tc>
          <w:tcPr>
            <w:tcW w:w="1256" w:type="dxa"/>
            <w:gridSpan w:val="2"/>
            <w:noWrap/>
            <w:tcMar>
              <w:top w:w="15" w:type="dxa"/>
              <w:left w:w="108" w:type="dxa"/>
              <w:bottom w:w="0" w:type="dxa"/>
              <w:right w:w="108" w:type="dxa"/>
            </w:tcMar>
            <w:vAlign w:val="bottom"/>
            <w:hideMark/>
          </w:tcPr>
          <w:p w14:paraId="09406CF5" w14:textId="77777777" w:rsidR="00560745" w:rsidRPr="00FB7E24" w:rsidRDefault="00560745">
            <w:pPr>
              <w:rPr>
                <w:rFonts w:ascii="Arial" w:eastAsia="Times New Roman" w:hAnsi="Arial" w:cs="Arial"/>
                <w:b/>
                <w:bCs/>
                <w:kern w:val="0"/>
                <w:lang w:eastAsia="en-GB"/>
                <w14:ligatures w14:val="none"/>
              </w:rPr>
            </w:pPr>
          </w:p>
        </w:tc>
        <w:tc>
          <w:tcPr>
            <w:tcW w:w="1387" w:type="dxa"/>
            <w:gridSpan w:val="2"/>
            <w:noWrap/>
            <w:tcMar>
              <w:top w:w="15" w:type="dxa"/>
              <w:left w:w="108" w:type="dxa"/>
              <w:bottom w:w="0" w:type="dxa"/>
              <w:right w:w="108" w:type="dxa"/>
            </w:tcMar>
            <w:vAlign w:val="bottom"/>
            <w:hideMark/>
          </w:tcPr>
          <w:p w14:paraId="07A09600" w14:textId="77777777" w:rsidR="00560745" w:rsidRPr="00FB7E24" w:rsidRDefault="00560745">
            <w:pPr>
              <w:spacing w:after="0"/>
              <w:rPr>
                <w:rFonts w:ascii="Arial" w:hAnsi="Arial" w:cs="Arial"/>
                <w:kern w:val="0"/>
                <w:lang w:eastAsia="en-GB"/>
                <w14:ligatures w14:val="none"/>
              </w:rPr>
            </w:pPr>
          </w:p>
        </w:tc>
      </w:tr>
      <w:tr w:rsidR="00560745" w:rsidRPr="00FB7E24" w14:paraId="2DD91847"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46221281"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Non-cash charges - auditor's remuneration</w:t>
            </w:r>
          </w:p>
        </w:tc>
        <w:tc>
          <w:tcPr>
            <w:tcW w:w="1039" w:type="dxa"/>
            <w:gridSpan w:val="2"/>
            <w:noWrap/>
            <w:tcMar>
              <w:top w:w="15" w:type="dxa"/>
              <w:left w:w="108" w:type="dxa"/>
              <w:bottom w:w="0" w:type="dxa"/>
              <w:right w:w="108" w:type="dxa"/>
            </w:tcMar>
            <w:vAlign w:val="bottom"/>
            <w:hideMark/>
          </w:tcPr>
          <w:p w14:paraId="242CA765" w14:textId="77777777" w:rsidR="00560745" w:rsidRPr="00FB7E24" w:rsidRDefault="00560745">
            <w:pPr>
              <w:spacing w:after="0" w:line="240" w:lineRule="auto"/>
              <w:jc w:val="center"/>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3</w:t>
            </w:r>
          </w:p>
        </w:tc>
        <w:tc>
          <w:tcPr>
            <w:tcW w:w="1256" w:type="dxa"/>
            <w:gridSpan w:val="2"/>
            <w:noWrap/>
            <w:tcMar>
              <w:top w:w="15" w:type="dxa"/>
              <w:left w:w="108" w:type="dxa"/>
              <w:bottom w:w="0" w:type="dxa"/>
              <w:right w:w="108" w:type="dxa"/>
            </w:tcMar>
            <w:vAlign w:val="bottom"/>
            <w:hideMark/>
          </w:tcPr>
          <w:p w14:paraId="601EA0EF"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236 </w:t>
            </w:r>
          </w:p>
        </w:tc>
        <w:tc>
          <w:tcPr>
            <w:tcW w:w="1387" w:type="dxa"/>
            <w:gridSpan w:val="2"/>
            <w:noWrap/>
            <w:tcMar>
              <w:top w:w="15" w:type="dxa"/>
              <w:left w:w="108" w:type="dxa"/>
              <w:bottom w:w="0" w:type="dxa"/>
              <w:right w:w="108" w:type="dxa"/>
            </w:tcMar>
            <w:vAlign w:val="bottom"/>
            <w:hideMark/>
          </w:tcPr>
          <w:p w14:paraId="1210E976"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236 </w:t>
            </w:r>
          </w:p>
        </w:tc>
      </w:tr>
      <w:tr w:rsidR="00560745" w:rsidRPr="00FB7E24" w14:paraId="5F09DC38"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7C852F69"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Net expenditure for the year</w:t>
            </w:r>
          </w:p>
        </w:tc>
        <w:tc>
          <w:tcPr>
            <w:tcW w:w="1039" w:type="dxa"/>
            <w:gridSpan w:val="2"/>
            <w:noWrap/>
            <w:tcMar>
              <w:top w:w="15" w:type="dxa"/>
              <w:left w:w="108" w:type="dxa"/>
              <w:bottom w:w="0" w:type="dxa"/>
              <w:right w:w="108" w:type="dxa"/>
            </w:tcMar>
            <w:vAlign w:val="bottom"/>
            <w:hideMark/>
          </w:tcPr>
          <w:p w14:paraId="1C78C443" w14:textId="77777777" w:rsidR="00560745" w:rsidRPr="00FB7E24" w:rsidRDefault="00560745">
            <w:pPr>
              <w:spacing w:after="0" w:line="240" w:lineRule="auto"/>
              <w:jc w:val="center"/>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SoCNE</w:t>
            </w:r>
          </w:p>
        </w:tc>
        <w:tc>
          <w:tcPr>
            <w:tcW w:w="1256" w:type="dxa"/>
            <w:gridSpan w:val="2"/>
            <w:noWrap/>
            <w:tcMar>
              <w:top w:w="15" w:type="dxa"/>
              <w:left w:w="108" w:type="dxa"/>
              <w:bottom w:w="0" w:type="dxa"/>
              <w:right w:w="108" w:type="dxa"/>
            </w:tcMar>
            <w:vAlign w:val="bottom"/>
            <w:hideMark/>
          </w:tcPr>
          <w:p w14:paraId="600DEE38"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(541,976) </w:t>
            </w:r>
          </w:p>
        </w:tc>
        <w:tc>
          <w:tcPr>
            <w:tcW w:w="1387" w:type="dxa"/>
            <w:gridSpan w:val="2"/>
            <w:noWrap/>
            <w:tcMar>
              <w:top w:w="15" w:type="dxa"/>
              <w:left w:w="108" w:type="dxa"/>
              <w:bottom w:w="0" w:type="dxa"/>
              <w:right w:w="108" w:type="dxa"/>
            </w:tcMar>
            <w:vAlign w:val="bottom"/>
            <w:hideMark/>
          </w:tcPr>
          <w:p w14:paraId="1178B6CF"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(541,976) </w:t>
            </w:r>
          </w:p>
        </w:tc>
      </w:tr>
      <w:tr w:rsidR="00560745" w:rsidRPr="00FB7E24" w14:paraId="5744163E"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185232F4"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DBT financing</w:t>
            </w:r>
          </w:p>
        </w:tc>
        <w:tc>
          <w:tcPr>
            <w:tcW w:w="1039" w:type="dxa"/>
            <w:gridSpan w:val="2"/>
            <w:noWrap/>
            <w:tcMar>
              <w:top w:w="15" w:type="dxa"/>
              <w:left w:w="108" w:type="dxa"/>
              <w:bottom w:w="0" w:type="dxa"/>
              <w:right w:w="108" w:type="dxa"/>
            </w:tcMar>
            <w:vAlign w:val="bottom"/>
            <w:hideMark/>
          </w:tcPr>
          <w:p w14:paraId="24796F9E" w14:textId="77777777" w:rsidR="00560745" w:rsidRPr="00FB7E24" w:rsidRDefault="00560745">
            <w:pPr>
              <w:rPr>
                <w:rFonts w:ascii="Arial" w:eastAsia="Times New Roman" w:hAnsi="Arial" w:cs="Arial"/>
                <w:kern w:val="0"/>
                <w:lang w:eastAsia="en-GB"/>
                <w14:ligatures w14:val="none"/>
              </w:rPr>
            </w:pPr>
          </w:p>
        </w:tc>
        <w:tc>
          <w:tcPr>
            <w:tcW w:w="1256" w:type="dxa"/>
            <w:gridSpan w:val="2"/>
            <w:noWrap/>
            <w:tcMar>
              <w:top w:w="15" w:type="dxa"/>
              <w:left w:w="108" w:type="dxa"/>
              <w:bottom w:w="0" w:type="dxa"/>
              <w:right w:w="108" w:type="dxa"/>
            </w:tcMar>
            <w:vAlign w:val="bottom"/>
            <w:hideMark/>
          </w:tcPr>
          <w:p w14:paraId="61BBC3FB"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80,245 </w:t>
            </w:r>
          </w:p>
        </w:tc>
        <w:tc>
          <w:tcPr>
            <w:tcW w:w="1387" w:type="dxa"/>
            <w:gridSpan w:val="2"/>
            <w:noWrap/>
            <w:tcMar>
              <w:top w:w="15" w:type="dxa"/>
              <w:left w:w="108" w:type="dxa"/>
              <w:bottom w:w="0" w:type="dxa"/>
              <w:right w:w="108" w:type="dxa"/>
            </w:tcMar>
            <w:vAlign w:val="bottom"/>
            <w:hideMark/>
          </w:tcPr>
          <w:p w14:paraId="7B5A6E3D"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80,245 </w:t>
            </w:r>
          </w:p>
        </w:tc>
      </w:tr>
      <w:tr w:rsidR="00560745" w:rsidRPr="00FB7E24" w14:paraId="2505291F"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6A161A91"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Income payable to the Consolidated Fund</w:t>
            </w:r>
          </w:p>
        </w:tc>
        <w:tc>
          <w:tcPr>
            <w:tcW w:w="1039" w:type="dxa"/>
            <w:gridSpan w:val="2"/>
            <w:noWrap/>
            <w:tcMar>
              <w:top w:w="15" w:type="dxa"/>
              <w:left w:w="108" w:type="dxa"/>
              <w:bottom w:w="0" w:type="dxa"/>
              <w:right w:w="108" w:type="dxa"/>
            </w:tcMar>
            <w:vAlign w:val="bottom"/>
            <w:hideMark/>
          </w:tcPr>
          <w:p w14:paraId="6D0628E8" w14:textId="77777777" w:rsidR="00560745" w:rsidRPr="00FB7E24" w:rsidRDefault="00560745">
            <w:pPr>
              <w:rPr>
                <w:rFonts w:ascii="Arial" w:eastAsia="Times New Roman" w:hAnsi="Arial" w:cs="Arial"/>
                <w:kern w:val="0"/>
                <w:lang w:eastAsia="en-GB"/>
                <w14:ligatures w14:val="none"/>
              </w:rPr>
            </w:pPr>
          </w:p>
        </w:tc>
        <w:tc>
          <w:tcPr>
            <w:tcW w:w="1256" w:type="dxa"/>
            <w:gridSpan w:val="2"/>
            <w:noWrap/>
            <w:tcMar>
              <w:top w:w="15" w:type="dxa"/>
              <w:left w:w="108" w:type="dxa"/>
              <w:bottom w:w="0" w:type="dxa"/>
              <w:right w:w="108" w:type="dxa"/>
            </w:tcMar>
            <w:vAlign w:val="bottom"/>
            <w:hideMark/>
          </w:tcPr>
          <w:p w14:paraId="205C2C44"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(12,401) </w:t>
            </w:r>
          </w:p>
        </w:tc>
        <w:tc>
          <w:tcPr>
            <w:tcW w:w="1387" w:type="dxa"/>
            <w:gridSpan w:val="2"/>
            <w:noWrap/>
            <w:tcMar>
              <w:top w:w="15" w:type="dxa"/>
              <w:left w:w="108" w:type="dxa"/>
              <w:bottom w:w="0" w:type="dxa"/>
              <w:right w:w="108" w:type="dxa"/>
            </w:tcMar>
            <w:vAlign w:val="bottom"/>
            <w:hideMark/>
          </w:tcPr>
          <w:p w14:paraId="0B1AFA68"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(12,401) </w:t>
            </w:r>
          </w:p>
        </w:tc>
      </w:tr>
      <w:tr w:rsidR="00560745" w:rsidRPr="00FB7E24" w14:paraId="7DDFE2BD" w14:textId="77777777" w:rsidTr="0081486E">
        <w:tblPrEx>
          <w:tblCellMar>
            <w:left w:w="108" w:type="dxa"/>
            <w:right w:w="108" w:type="dxa"/>
          </w:tblCellMar>
        </w:tblPrEx>
        <w:trPr>
          <w:gridAfter w:val="2"/>
          <w:wAfter w:w="236" w:type="dxa"/>
          <w:trHeight w:val="330"/>
        </w:trPr>
        <w:tc>
          <w:tcPr>
            <w:tcW w:w="5108" w:type="dxa"/>
            <w:tcMar>
              <w:top w:w="15" w:type="dxa"/>
              <w:left w:w="108" w:type="dxa"/>
              <w:bottom w:w="0" w:type="dxa"/>
              <w:right w:w="108" w:type="dxa"/>
            </w:tcMar>
            <w:vAlign w:val="bottom"/>
            <w:hideMark/>
          </w:tcPr>
          <w:p w14:paraId="52074CB9"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National Insurance Fund - RPS</w:t>
            </w:r>
          </w:p>
        </w:tc>
        <w:tc>
          <w:tcPr>
            <w:tcW w:w="1039" w:type="dxa"/>
            <w:gridSpan w:val="2"/>
            <w:noWrap/>
            <w:tcMar>
              <w:top w:w="15" w:type="dxa"/>
              <w:left w:w="108" w:type="dxa"/>
              <w:bottom w:w="0" w:type="dxa"/>
              <w:right w:w="108" w:type="dxa"/>
            </w:tcMar>
            <w:vAlign w:val="bottom"/>
            <w:hideMark/>
          </w:tcPr>
          <w:p w14:paraId="7D173377" w14:textId="77777777" w:rsidR="00560745" w:rsidRPr="00FB7E24" w:rsidRDefault="00560745">
            <w:pPr>
              <w:rPr>
                <w:rFonts w:ascii="Arial" w:eastAsia="Times New Roman" w:hAnsi="Arial" w:cs="Arial"/>
                <w:kern w:val="0"/>
                <w:lang w:eastAsia="en-GB"/>
                <w14:ligatures w14:val="none"/>
              </w:rPr>
            </w:pPr>
          </w:p>
        </w:tc>
        <w:tc>
          <w:tcPr>
            <w:tcW w:w="1256" w:type="dxa"/>
            <w:gridSpan w:val="2"/>
            <w:noWrap/>
            <w:tcMar>
              <w:top w:w="15" w:type="dxa"/>
              <w:left w:w="108" w:type="dxa"/>
              <w:bottom w:w="0" w:type="dxa"/>
              <w:right w:w="108" w:type="dxa"/>
            </w:tcMar>
            <w:vAlign w:val="bottom"/>
            <w:hideMark/>
          </w:tcPr>
          <w:p w14:paraId="7E1E4966"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465,333 </w:t>
            </w:r>
          </w:p>
        </w:tc>
        <w:tc>
          <w:tcPr>
            <w:tcW w:w="1387" w:type="dxa"/>
            <w:gridSpan w:val="2"/>
            <w:noWrap/>
            <w:tcMar>
              <w:top w:w="15" w:type="dxa"/>
              <w:left w:w="108" w:type="dxa"/>
              <w:bottom w:w="0" w:type="dxa"/>
              <w:right w:w="108" w:type="dxa"/>
            </w:tcMar>
            <w:vAlign w:val="bottom"/>
            <w:hideMark/>
          </w:tcPr>
          <w:p w14:paraId="6AF2C0EB"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465,333 </w:t>
            </w:r>
          </w:p>
        </w:tc>
      </w:tr>
      <w:tr w:rsidR="00560745" w:rsidRPr="00FB7E24" w14:paraId="634E9BAD"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110A781B" w14:textId="77777777" w:rsidR="00560745" w:rsidRPr="00FB7E24" w:rsidRDefault="00560745">
            <w:pPr>
              <w:spacing w:after="0" w:line="240" w:lineRule="auto"/>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VAT recovered by DBT</w:t>
            </w:r>
          </w:p>
        </w:tc>
        <w:tc>
          <w:tcPr>
            <w:tcW w:w="1039" w:type="dxa"/>
            <w:gridSpan w:val="2"/>
            <w:noWrap/>
            <w:tcMar>
              <w:top w:w="15" w:type="dxa"/>
              <w:left w:w="108" w:type="dxa"/>
              <w:bottom w:w="0" w:type="dxa"/>
              <w:right w:w="108" w:type="dxa"/>
            </w:tcMar>
            <w:vAlign w:val="bottom"/>
            <w:hideMark/>
          </w:tcPr>
          <w:p w14:paraId="59AE58A2" w14:textId="77777777" w:rsidR="00560745" w:rsidRPr="00FB7E24" w:rsidRDefault="00560745">
            <w:pPr>
              <w:rPr>
                <w:rFonts w:ascii="Arial" w:eastAsia="Times New Roman" w:hAnsi="Arial" w:cs="Arial"/>
                <w:kern w:val="0"/>
                <w:lang w:eastAsia="en-GB"/>
                <w14:ligatures w14:val="none"/>
              </w:rPr>
            </w:pPr>
          </w:p>
        </w:tc>
        <w:tc>
          <w:tcPr>
            <w:tcW w:w="1256" w:type="dxa"/>
            <w:gridSpan w:val="2"/>
            <w:noWrap/>
            <w:tcMar>
              <w:top w:w="15" w:type="dxa"/>
              <w:left w:w="108" w:type="dxa"/>
              <w:bottom w:w="0" w:type="dxa"/>
              <w:right w:w="108" w:type="dxa"/>
            </w:tcMar>
            <w:vAlign w:val="bottom"/>
            <w:hideMark/>
          </w:tcPr>
          <w:p w14:paraId="108B1ADE"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(3,726) </w:t>
            </w:r>
          </w:p>
        </w:tc>
        <w:tc>
          <w:tcPr>
            <w:tcW w:w="1387" w:type="dxa"/>
            <w:gridSpan w:val="2"/>
            <w:noWrap/>
            <w:tcMar>
              <w:top w:w="15" w:type="dxa"/>
              <w:left w:w="108" w:type="dxa"/>
              <w:bottom w:w="0" w:type="dxa"/>
              <w:right w:w="108" w:type="dxa"/>
            </w:tcMar>
            <w:vAlign w:val="bottom"/>
            <w:hideMark/>
          </w:tcPr>
          <w:p w14:paraId="43926C39" w14:textId="77777777" w:rsidR="00560745" w:rsidRPr="00FB7E24" w:rsidRDefault="00560745">
            <w:pPr>
              <w:spacing w:after="0" w:line="240" w:lineRule="auto"/>
              <w:jc w:val="right"/>
              <w:rPr>
                <w:rFonts w:ascii="Arial" w:eastAsia="Times New Roman" w:hAnsi="Arial" w:cs="Arial"/>
                <w:kern w:val="0"/>
                <w:lang w:eastAsia="en-GB"/>
                <w14:ligatures w14:val="none"/>
              </w:rPr>
            </w:pPr>
            <w:r w:rsidRPr="00FB7E24">
              <w:rPr>
                <w:rFonts w:ascii="Arial" w:eastAsia="Times New Roman" w:hAnsi="Arial" w:cs="Arial"/>
                <w:kern w:val="0"/>
                <w:lang w:eastAsia="en-GB"/>
                <w14:ligatures w14:val="none"/>
              </w:rPr>
              <w:t xml:space="preserve">(3,726) </w:t>
            </w:r>
          </w:p>
        </w:tc>
      </w:tr>
      <w:tr w:rsidR="00560745" w:rsidRPr="00FB7E24" w14:paraId="543E69B2" w14:textId="77777777" w:rsidTr="0081486E">
        <w:tblPrEx>
          <w:tblCellMar>
            <w:left w:w="108" w:type="dxa"/>
            <w:right w:w="108" w:type="dxa"/>
          </w:tblCellMar>
        </w:tblPrEx>
        <w:trPr>
          <w:gridAfter w:val="2"/>
          <w:wAfter w:w="236" w:type="dxa"/>
          <w:trHeight w:val="290"/>
        </w:trPr>
        <w:tc>
          <w:tcPr>
            <w:tcW w:w="5108" w:type="dxa"/>
            <w:noWrap/>
            <w:tcMar>
              <w:top w:w="15" w:type="dxa"/>
              <w:left w:w="108" w:type="dxa"/>
              <w:bottom w:w="0" w:type="dxa"/>
              <w:right w:w="108" w:type="dxa"/>
            </w:tcMar>
            <w:vAlign w:val="bottom"/>
            <w:hideMark/>
          </w:tcPr>
          <w:p w14:paraId="59B714F0" w14:textId="77777777" w:rsidR="00560745" w:rsidRPr="00FB7E24" w:rsidRDefault="00560745">
            <w:pPr>
              <w:spacing w:after="0" w:line="240" w:lineRule="auto"/>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Balance at 31 March 2024</w:t>
            </w:r>
          </w:p>
        </w:tc>
        <w:tc>
          <w:tcPr>
            <w:tcW w:w="1039" w:type="dxa"/>
            <w:gridSpan w:val="2"/>
            <w:noWrap/>
            <w:tcMar>
              <w:top w:w="15" w:type="dxa"/>
              <w:left w:w="108" w:type="dxa"/>
              <w:bottom w:w="0" w:type="dxa"/>
              <w:right w:w="108" w:type="dxa"/>
            </w:tcMar>
            <w:vAlign w:val="bottom"/>
            <w:hideMark/>
          </w:tcPr>
          <w:p w14:paraId="5FAB13E7" w14:textId="77777777" w:rsidR="00560745" w:rsidRPr="00FB7E24" w:rsidRDefault="00560745">
            <w:pPr>
              <w:rPr>
                <w:rFonts w:ascii="Arial" w:eastAsia="Times New Roman" w:hAnsi="Arial" w:cs="Arial"/>
                <w:b/>
                <w:bCs/>
                <w:kern w:val="0"/>
                <w:lang w:eastAsia="en-GB"/>
                <w14:ligatures w14:val="none"/>
              </w:rPr>
            </w:pPr>
          </w:p>
        </w:tc>
        <w:tc>
          <w:tcPr>
            <w:tcW w:w="1256"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1276128" w14:textId="77777777" w:rsidR="00560745" w:rsidRPr="00FB7E24" w:rsidRDefault="00560745">
            <w:pPr>
              <w:spacing w:after="0" w:line="240" w:lineRule="auto"/>
              <w:jc w:val="right"/>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 xml:space="preserve">304,999 </w:t>
            </w:r>
          </w:p>
        </w:tc>
        <w:tc>
          <w:tcPr>
            <w:tcW w:w="1387"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EC70603" w14:textId="77777777" w:rsidR="00560745" w:rsidRPr="00FB7E24" w:rsidRDefault="00560745">
            <w:pPr>
              <w:spacing w:after="0" w:line="240" w:lineRule="auto"/>
              <w:jc w:val="right"/>
              <w:rPr>
                <w:rFonts w:ascii="Arial" w:eastAsia="Times New Roman" w:hAnsi="Arial" w:cs="Arial"/>
                <w:b/>
                <w:bCs/>
                <w:kern w:val="0"/>
                <w:lang w:eastAsia="en-GB"/>
                <w14:ligatures w14:val="none"/>
              </w:rPr>
            </w:pPr>
            <w:r w:rsidRPr="00FB7E24">
              <w:rPr>
                <w:rFonts w:ascii="Arial" w:eastAsia="Times New Roman" w:hAnsi="Arial" w:cs="Arial"/>
                <w:b/>
                <w:bCs/>
                <w:kern w:val="0"/>
                <w:lang w:eastAsia="en-GB"/>
                <w14:ligatures w14:val="none"/>
              </w:rPr>
              <w:t xml:space="preserve">304,999 </w:t>
            </w:r>
          </w:p>
        </w:tc>
      </w:tr>
      <w:tr w:rsidR="00560745" w14:paraId="1BA4D8C1" w14:textId="77777777" w:rsidTr="0081486E">
        <w:tblPrEx>
          <w:tblCellMar>
            <w:left w:w="108" w:type="dxa"/>
            <w:right w:w="108" w:type="dxa"/>
          </w:tblCellMar>
        </w:tblPrEx>
        <w:trPr>
          <w:gridAfter w:val="2"/>
          <w:wAfter w:w="236" w:type="dxa"/>
          <w:trHeight w:val="280"/>
        </w:trPr>
        <w:tc>
          <w:tcPr>
            <w:tcW w:w="5108" w:type="dxa"/>
            <w:noWrap/>
            <w:tcMar>
              <w:top w:w="15" w:type="dxa"/>
              <w:left w:w="108" w:type="dxa"/>
              <w:bottom w:w="0" w:type="dxa"/>
              <w:right w:w="108" w:type="dxa"/>
            </w:tcMar>
            <w:vAlign w:val="bottom"/>
            <w:hideMark/>
          </w:tcPr>
          <w:p w14:paraId="7969ABE0" w14:textId="77777777" w:rsidR="00560745" w:rsidRPr="004D516D" w:rsidRDefault="00560745">
            <w:pPr>
              <w:rPr>
                <w:rFonts w:ascii="Arial" w:eastAsia="Times New Roman" w:hAnsi="Arial" w:cs="Arial"/>
                <w:b/>
                <w:bCs/>
                <w:kern w:val="0"/>
                <w:sz w:val="24"/>
                <w:szCs w:val="24"/>
                <w:lang w:eastAsia="en-GB"/>
                <w14:ligatures w14:val="none"/>
              </w:rPr>
            </w:pPr>
          </w:p>
        </w:tc>
        <w:tc>
          <w:tcPr>
            <w:tcW w:w="1039" w:type="dxa"/>
            <w:gridSpan w:val="2"/>
            <w:noWrap/>
            <w:tcMar>
              <w:top w:w="15" w:type="dxa"/>
              <w:left w:w="108" w:type="dxa"/>
              <w:bottom w:w="0" w:type="dxa"/>
              <w:right w:w="108" w:type="dxa"/>
            </w:tcMar>
            <w:vAlign w:val="bottom"/>
            <w:hideMark/>
          </w:tcPr>
          <w:p w14:paraId="65F3A4E3" w14:textId="77777777" w:rsidR="00560745" w:rsidRPr="004D516D" w:rsidRDefault="00560745">
            <w:pPr>
              <w:spacing w:after="0"/>
              <w:rPr>
                <w:rFonts w:ascii="Arial" w:hAnsi="Arial" w:cs="Arial"/>
                <w:kern w:val="0"/>
                <w:sz w:val="24"/>
                <w:szCs w:val="24"/>
                <w:lang w:eastAsia="en-GB"/>
                <w14:ligatures w14:val="none"/>
              </w:rPr>
            </w:pPr>
          </w:p>
        </w:tc>
        <w:tc>
          <w:tcPr>
            <w:tcW w:w="1256" w:type="dxa"/>
            <w:gridSpan w:val="2"/>
            <w:noWrap/>
            <w:tcMar>
              <w:top w:w="15" w:type="dxa"/>
              <w:left w:w="108" w:type="dxa"/>
              <w:bottom w:w="0" w:type="dxa"/>
              <w:right w:w="108" w:type="dxa"/>
            </w:tcMar>
            <w:vAlign w:val="bottom"/>
            <w:hideMark/>
          </w:tcPr>
          <w:p w14:paraId="4F0983B0" w14:textId="77777777" w:rsidR="00560745" w:rsidRPr="004D516D" w:rsidRDefault="00560745">
            <w:pPr>
              <w:spacing w:after="0"/>
              <w:rPr>
                <w:rFonts w:ascii="Arial" w:hAnsi="Arial" w:cs="Arial"/>
                <w:kern w:val="0"/>
                <w:sz w:val="24"/>
                <w:szCs w:val="24"/>
                <w:lang w:eastAsia="en-GB"/>
                <w14:ligatures w14:val="none"/>
              </w:rPr>
            </w:pPr>
          </w:p>
        </w:tc>
        <w:tc>
          <w:tcPr>
            <w:tcW w:w="1387" w:type="dxa"/>
            <w:gridSpan w:val="2"/>
            <w:noWrap/>
            <w:tcMar>
              <w:top w:w="15" w:type="dxa"/>
              <w:left w:w="108" w:type="dxa"/>
              <w:bottom w:w="0" w:type="dxa"/>
              <w:right w:w="108" w:type="dxa"/>
            </w:tcMar>
            <w:vAlign w:val="bottom"/>
            <w:hideMark/>
          </w:tcPr>
          <w:p w14:paraId="3B0DCE01" w14:textId="77777777" w:rsidR="00560745" w:rsidRPr="004D516D" w:rsidRDefault="00560745">
            <w:pPr>
              <w:spacing w:after="0"/>
              <w:rPr>
                <w:rFonts w:ascii="Arial" w:hAnsi="Arial" w:cs="Arial"/>
                <w:kern w:val="0"/>
                <w:sz w:val="24"/>
                <w:szCs w:val="24"/>
                <w:lang w:eastAsia="en-GB"/>
                <w14:ligatures w14:val="none"/>
              </w:rPr>
            </w:pPr>
          </w:p>
        </w:tc>
      </w:tr>
      <w:tr w:rsidR="00560745" w14:paraId="368B2FFC" w14:textId="77777777" w:rsidTr="0081486E">
        <w:tblPrEx>
          <w:tblCellMar>
            <w:left w:w="108" w:type="dxa"/>
            <w:right w:w="108" w:type="dxa"/>
          </w:tblCellMar>
        </w:tblPrEx>
        <w:trPr>
          <w:gridAfter w:val="2"/>
          <w:wAfter w:w="236" w:type="dxa"/>
          <w:trHeight w:val="458"/>
        </w:trPr>
        <w:tc>
          <w:tcPr>
            <w:tcW w:w="8790" w:type="dxa"/>
            <w:gridSpan w:val="7"/>
            <w:vMerge w:val="restart"/>
            <w:tcMar>
              <w:top w:w="15" w:type="dxa"/>
              <w:left w:w="108" w:type="dxa"/>
              <w:bottom w:w="0" w:type="dxa"/>
              <w:right w:w="108" w:type="dxa"/>
            </w:tcMar>
            <w:hideMark/>
          </w:tcPr>
          <w:p w14:paraId="1E1C162B" w14:textId="77777777" w:rsidR="00560745" w:rsidRPr="004D516D" w:rsidRDefault="00560745">
            <w:pPr>
              <w:spacing w:after="0" w:line="240" w:lineRule="auto"/>
              <w:rPr>
                <w:rFonts w:ascii="Arial" w:eastAsia="Times New Roman" w:hAnsi="Arial" w:cs="Arial"/>
                <w:kern w:val="0"/>
                <w:sz w:val="24"/>
                <w:szCs w:val="24"/>
                <w:lang w:eastAsia="en-GB"/>
                <w14:ligatures w14:val="none"/>
              </w:rPr>
            </w:pPr>
            <w:r w:rsidRPr="004D516D">
              <w:rPr>
                <w:rFonts w:ascii="Arial" w:eastAsia="Times New Roman" w:hAnsi="Arial" w:cs="Arial"/>
                <w:kern w:val="0"/>
                <w:sz w:val="24"/>
                <w:szCs w:val="24"/>
                <w:lang w:eastAsia="en-GB"/>
                <w14:ligatures w14:val="none"/>
              </w:rPr>
              <w:t>The General Fund represents the total assets less liabilities of the Agency. Financing by DBT/BEIS and the National Insurance Fund is credited to the General Fund.</w:t>
            </w:r>
          </w:p>
        </w:tc>
      </w:tr>
      <w:tr w:rsidR="00560745" w14:paraId="6B3155F6" w14:textId="77777777" w:rsidTr="0081486E">
        <w:tblPrEx>
          <w:tblCellMar>
            <w:left w:w="108" w:type="dxa"/>
            <w:right w:w="108" w:type="dxa"/>
          </w:tblCellMar>
        </w:tblPrEx>
        <w:trPr>
          <w:trHeight w:val="458"/>
        </w:trPr>
        <w:tc>
          <w:tcPr>
            <w:tcW w:w="8790" w:type="dxa"/>
            <w:gridSpan w:val="7"/>
            <w:vMerge/>
            <w:vAlign w:val="center"/>
            <w:hideMark/>
          </w:tcPr>
          <w:p w14:paraId="14BCB183" w14:textId="77777777" w:rsidR="00560745" w:rsidRDefault="00560745">
            <w:pPr>
              <w:spacing w:after="0"/>
              <w:rPr>
                <w:rFonts w:eastAsia="Times New Roman"/>
                <w:kern w:val="0"/>
                <w:lang w:eastAsia="en-GB"/>
                <w14:ligatures w14:val="none"/>
              </w:rPr>
            </w:pPr>
          </w:p>
        </w:tc>
        <w:tc>
          <w:tcPr>
            <w:tcW w:w="236" w:type="dxa"/>
            <w:gridSpan w:val="2"/>
            <w:vAlign w:val="center"/>
            <w:hideMark/>
          </w:tcPr>
          <w:p w14:paraId="25F2B5B3" w14:textId="77777777" w:rsidR="00560745" w:rsidRDefault="00560745">
            <w:pPr>
              <w:rPr>
                <w:rFonts w:eastAsia="Times New Roman"/>
                <w:kern w:val="0"/>
                <w:lang w:eastAsia="en-GB"/>
                <w14:ligatures w14:val="none"/>
              </w:rPr>
            </w:pPr>
          </w:p>
        </w:tc>
      </w:tr>
    </w:tbl>
    <w:p w14:paraId="5EBBB893" w14:textId="77777777" w:rsidR="00560745" w:rsidRDefault="00560745" w:rsidP="00560745">
      <w:pPr>
        <w:rPr>
          <w:rFonts w:ascii="Arial" w:hAnsi="Arial" w:cs="Arial"/>
          <w:sz w:val="24"/>
          <w:szCs w:val="24"/>
        </w:rPr>
      </w:pPr>
    </w:p>
    <w:p w14:paraId="62A4C321" w14:textId="77777777" w:rsidR="00560745" w:rsidRDefault="00560745" w:rsidP="00560745">
      <w:r>
        <w:rPr>
          <w:rFonts w:ascii="Times New Roman" w:hAnsi="Times New Roman" w:cs="Times New Roman"/>
          <w:kern w:val="0"/>
          <w:lang w:eastAsia="en-GB"/>
          <w14:ligatures w14:val="none"/>
        </w:rPr>
        <w:br w:type="page"/>
      </w:r>
    </w:p>
    <w:tbl>
      <w:tblPr>
        <w:tblW w:w="27600" w:type="dxa"/>
        <w:tblLayout w:type="fixed"/>
        <w:tblLook w:val="04A0" w:firstRow="1" w:lastRow="0" w:firstColumn="1" w:lastColumn="0" w:noHBand="0" w:noVBand="1"/>
      </w:tblPr>
      <w:tblGrid>
        <w:gridCol w:w="709"/>
        <w:gridCol w:w="8363"/>
        <w:gridCol w:w="11663"/>
        <w:gridCol w:w="236"/>
        <w:gridCol w:w="1941"/>
        <w:gridCol w:w="1548"/>
        <w:gridCol w:w="1581"/>
        <w:gridCol w:w="1559"/>
      </w:tblGrid>
      <w:tr w:rsidR="00560745" w14:paraId="07B86B16" w14:textId="77777777" w:rsidTr="00F57F05">
        <w:trPr>
          <w:trHeight w:val="450"/>
        </w:trPr>
        <w:tc>
          <w:tcPr>
            <w:tcW w:w="20735" w:type="dxa"/>
            <w:gridSpan w:val="3"/>
            <w:noWrap/>
            <w:tcMar>
              <w:top w:w="15" w:type="dxa"/>
              <w:left w:w="108" w:type="dxa"/>
              <w:bottom w:w="0" w:type="dxa"/>
              <w:right w:w="108" w:type="dxa"/>
            </w:tcMar>
            <w:hideMark/>
          </w:tcPr>
          <w:p w14:paraId="65DEC01F" w14:textId="77777777" w:rsidR="00560745" w:rsidRDefault="00560745" w:rsidP="00DA127D">
            <w:pPr>
              <w:pStyle w:val="Heading4"/>
              <w:rPr>
                <w:lang w:eastAsia="en-GB"/>
              </w:rPr>
            </w:pPr>
            <w:r>
              <w:rPr>
                <w:lang w:eastAsia="en-GB"/>
              </w:rPr>
              <w:lastRenderedPageBreak/>
              <w:t>Notes to the Agency’s Accounts</w:t>
            </w:r>
          </w:p>
        </w:tc>
        <w:tc>
          <w:tcPr>
            <w:tcW w:w="236" w:type="dxa"/>
            <w:noWrap/>
            <w:tcMar>
              <w:top w:w="15" w:type="dxa"/>
              <w:left w:w="108" w:type="dxa"/>
              <w:bottom w:w="0" w:type="dxa"/>
              <w:right w:w="108" w:type="dxa"/>
            </w:tcMar>
            <w:hideMark/>
          </w:tcPr>
          <w:p w14:paraId="2D7D5E1F" w14:textId="77777777" w:rsidR="00560745" w:rsidRDefault="00560745">
            <w:pPr>
              <w:rPr>
                <w:rFonts w:eastAsia="Times New Roman"/>
                <w:b/>
                <w:bCs/>
                <w:color w:val="000099"/>
                <w:kern w:val="0"/>
                <w:sz w:val="32"/>
                <w:szCs w:val="32"/>
                <w:lang w:eastAsia="en-GB"/>
                <w14:ligatures w14:val="none"/>
              </w:rPr>
            </w:pPr>
          </w:p>
        </w:tc>
        <w:tc>
          <w:tcPr>
            <w:tcW w:w="1941" w:type="dxa"/>
            <w:noWrap/>
            <w:tcMar>
              <w:top w:w="15" w:type="dxa"/>
              <w:left w:w="108" w:type="dxa"/>
              <w:bottom w:w="0" w:type="dxa"/>
              <w:right w:w="108" w:type="dxa"/>
            </w:tcMar>
            <w:hideMark/>
          </w:tcPr>
          <w:p w14:paraId="3D90A494" w14:textId="77777777" w:rsidR="00560745" w:rsidRDefault="00560745">
            <w:pPr>
              <w:spacing w:after="0"/>
              <w:rPr>
                <w:kern w:val="0"/>
                <w:sz w:val="20"/>
                <w:szCs w:val="20"/>
                <w:lang w:eastAsia="en-GB"/>
                <w14:ligatures w14:val="none"/>
              </w:rPr>
            </w:pPr>
          </w:p>
        </w:tc>
        <w:tc>
          <w:tcPr>
            <w:tcW w:w="1548" w:type="dxa"/>
            <w:noWrap/>
            <w:tcMar>
              <w:top w:w="15" w:type="dxa"/>
              <w:left w:w="108" w:type="dxa"/>
              <w:bottom w:w="0" w:type="dxa"/>
              <w:right w:w="108" w:type="dxa"/>
            </w:tcMar>
            <w:hideMark/>
          </w:tcPr>
          <w:p w14:paraId="71068905" w14:textId="77777777" w:rsidR="00560745" w:rsidRDefault="00560745">
            <w:pPr>
              <w:spacing w:after="0"/>
              <w:rPr>
                <w:kern w:val="0"/>
                <w:sz w:val="20"/>
                <w:szCs w:val="20"/>
                <w:lang w:eastAsia="en-GB"/>
                <w14:ligatures w14:val="none"/>
              </w:rPr>
            </w:pPr>
          </w:p>
        </w:tc>
        <w:tc>
          <w:tcPr>
            <w:tcW w:w="1581" w:type="dxa"/>
            <w:noWrap/>
            <w:tcMar>
              <w:top w:w="15" w:type="dxa"/>
              <w:left w:w="108" w:type="dxa"/>
              <w:bottom w:w="0" w:type="dxa"/>
              <w:right w:w="108" w:type="dxa"/>
            </w:tcMar>
            <w:vAlign w:val="bottom"/>
            <w:hideMark/>
          </w:tcPr>
          <w:p w14:paraId="22C37B0E" w14:textId="77777777" w:rsidR="00560745" w:rsidRDefault="00560745">
            <w:pPr>
              <w:spacing w:after="0"/>
              <w:rPr>
                <w:kern w:val="0"/>
                <w:sz w:val="20"/>
                <w:szCs w:val="20"/>
                <w:lang w:eastAsia="en-GB"/>
                <w14:ligatures w14:val="none"/>
              </w:rPr>
            </w:pPr>
          </w:p>
        </w:tc>
        <w:tc>
          <w:tcPr>
            <w:tcW w:w="1559" w:type="dxa"/>
            <w:noWrap/>
            <w:tcMar>
              <w:top w:w="15" w:type="dxa"/>
              <w:left w:w="108" w:type="dxa"/>
              <w:bottom w:w="0" w:type="dxa"/>
              <w:right w:w="108" w:type="dxa"/>
            </w:tcMar>
            <w:vAlign w:val="bottom"/>
            <w:hideMark/>
          </w:tcPr>
          <w:p w14:paraId="405493D7" w14:textId="77777777" w:rsidR="00560745" w:rsidRDefault="00560745">
            <w:pPr>
              <w:spacing w:after="0"/>
              <w:rPr>
                <w:kern w:val="0"/>
                <w:sz w:val="20"/>
                <w:szCs w:val="20"/>
                <w:lang w:eastAsia="en-GB"/>
                <w14:ligatures w14:val="none"/>
              </w:rPr>
            </w:pPr>
          </w:p>
        </w:tc>
      </w:tr>
      <w:tr w:rsidR="00560745" w14:paraId="4094B2D1" w14:textId="77777777" w:rsidTr="008D1E96">
        <w:trPr>
          <w:gridAfter w:val="6"/>
          <w:wAfter w:w="18528" w:type="dxa"/>
          <w:trHeight w:val="9447"/>
        </w:trPr>
        <w:tc>
          <w:tcPr>
            <w:tcW w:w="9072" w:type="dxa"/>
            <w:gridSpan w:val="2"/>
            <w:tcMar>
              <w:top w:w="15" w:type="dxa"/>
              <w:left w:w="108" w:type="dxa"/>
              <w:bottom w:w="0" w:type="dxa"/>
              <w:right w:w="108" w:type="dxa"/>
            </w:tcMar>
            <w:hideMark/>
          </w:tcPr>
          <w:p w14:paraId="58C69C76" w14:textId="77777777" w:rsidR="008E499A" w:rsidRDefault="008E499A" w:rsidP="001E1E14">
            <w:pPr>
              <w:spacing w:after="0" w:line="240" w:lineRule="auto"/>
              <w:ind w:left="-63" w:firstLineChars="15" w:firstLine="36"/>
              <w:rPr>
                <w:kern w:val="0"/>
                <w:sz w:val="20"/>
                <w:szCs w:val="20"/>
                <w:lang w:eastAsia="en-GB"/>
                <w14:ligatures w14:val="none"/>
              </w:rPr>
            </w:pPr>
            <w:r w:rsidRPr="004839AA">
              <w:rPr>
                <w:rFonts w:ascii="Arial" w:eastAsia="Times New Roman" w:hAnsi="Arial" w:cs="Arial"/>
                <w:b/>
                <w:bCs/>
                <w:kern w:val="0"/>
                <w:sz w:val="24"/>
                <w:szCs w:val="24"/>
                <w:lang w:eastAsia="en-GB"/>
                <w14:ligatures w14:val="none"/>
              </w:rPr>
              <w:t>1</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Statement of accounting policies</w:t>
            </w:r>
          </w:p>
          <w:p w14:paraId="18BEABA6" w14:textId="77777777" w:rsidR="008E499A" w:rsidRDefault="008E499A">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These financial statements have been prepared in accordance with the 2023-24 Government Financial Reporting Manual (FReM) issued by HM Treasury. The accounting policies contained in the FReM apply the UK adopted International Financial Reporting Standards (IFRS) as adapted or interpreted for the public sector context. Where the FReM permits a choice of accounting policy, the accounting policy which is judged to be most appropriate to the particular circumstances of the Insolvency Service (the Agency) for the purpose of giving a true and fair view has been selected. The particular policies adopted by the Agency and relevant to this year's accounts are described below. They have been applied consistently in dealing with items that are considered material to the accounts.</w:t>
            </w:r>
          </w:p>
          <w:p w14:paraId="7BFA1548" w14:textId="77777777" w:rsidR="008E499A" w:rsidRDefault="008E499A">
            <w:pPr>
              <w:spacing w:after="0" w:line="240" w:lineRule="auto"/>
              <w:rPr>
                <w:rFonts w:ascii="Arial" w:eastAsia="Times New Roman" w:hAnsi="Arial" w:cs="Arial"/>
                <w:kern w:val="0"/>
                <w:sz w:val="24"/>
                <w:szCs w:val="24"/>
                <w:lang w:eastAsia="en-GB"/>
                <w14:ligatures w14:val="none"/>
              </w:rPr>
            </w:pPr>
          </w:p>
          <w:p w14:paraId="5996531A" w14:textId="77777777" w:rsidR="008E499A" w:rsidRDefault="008E499A">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From the 1 April 2023 accounting officer responsibilities for the Insolvency Service was formally transferred to the Department for Business and Trade. This was due to an announced major machinery of government change on 7 February 2023, where the prime minister redistributed the activities of several government departments, including the Department for Business, Energy &amp; Industrial Strategy (BEIS), and created three new departments, the Department for Business and Trade, the Department for Science, Innovation and Technology, and the Department for Energy Security and Net Zero. </w:t>
            </w:r>
          </w:p>
          <w:p w14:paraId="76FEFBC9" w14:textId="77777777" w:rsidR="008E499A" w:rsidRDefault="008E499A">
            <w:pPr>
              <w:spacing w:after="0" w:line="240" w:lineRule="auto"/>
              <w:rPr>
                <w:rFonts w:ascii="Arial" w:eastAsia="Times New Roman" w:hAnsi="Arial" w:cs="Arial"/>
                <w:kern w:val="0"/>
                <w:sz w:val="24"/>
                <w:szCs w:val="24"/>
                <w:lang w:eastAsia="en-GB"/>
                <w14:ligatures w14:val="none"/>
              </w:rPr>
            </w:pPr>
          </w:p>
          <w:p w14:paraId="28304640" w14:textId="530C70E7" w:rsidR="008E499A" w:rsidRDefault="008E499A">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The Agency is considered a going concern under International Accounting Standard (IAS) 1, on the basis that it is a Statutory Body operating under the Direction of the Courts and its funding is both underwritten by its parent Department, the Department for Business and Trade (DBT), the National Insurance Fund and HM Revenue &amp; Customs in respect to Redundancy Payments Service (RPS), and its source of income is largely derived from the </w:t>
            </w:r>
            <w:r w:rsidR="00D878AC">
              <w:rPr>
                <w:rFonts w:ascii="Arial" w:eastAsia="Times New Roman" w:hAnsi="Arial" w:cs="Arial"/>
                <w:kern w:val="0"/>
                <w:sz w:val="24"/>
                <w:szCs w:val="24"/>
                <w:lang w:eastAsia="en-GB"/>
                <w14:ligatures w14:val="none"/>
              </w:rPr>
              <w:t>e</w:t>
            </w:r>
            <w:r w:rsidRPr="004839AA">
              <w:rPr>
                <w:rFonts w:ascii="Arial" w:eastAsia="Times New Roman" w:hAnsi="Arial" w:cs="Arial"/>
                <w:kern w:val="0"/>
                <w:sz w:val="24"/>
                <w:szCs w:val="24"/>
                <w:lang w:eastAsia="en-GB"/>
                <w14:ligatures w14:val="none"/>
              </w:rPr>
              <w:t>states that it administers. Therefore it is considered appropriate for the Financial Statements to be prepared under the Going Concern basis.</w:t>
            </w:r>
            <w:r>
              <w:rPr>
                <w:rFonts w:ascii="Arial" w:eastAsia="Times New Roman" w:hAnsi="Arial" w:cs="Arial"/>
                <w:kern w:val="0"/>
                <w:sz w:val="24"/>
                <w:szCs w:val="24"/>
                <w:lang w:eastAsia="en-GB"/>
                <w14:ligatures w14:val="none"/>
              </w:rPr>
              <w:br/>
            </w:r>
          </w:p>
          <w:p w14:paraId="0B48FDA8" w14:textId="7C1C4A21" w:rsidR="00560745" w:rsidRDefault="008E499A">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Assets held under the management of the Official Receiver, which do not belong to the Insolvency Service, can be found in the separately published accounts called the 'Insolvency Services and the Insolvency Services Investment Account 2023-24'. Fees charged by the Official Receiver are included here as income.</w:t>
            </w:r>
            <w:r w:rsidR="008867D4">
              <w:rPr>
                <w:rFonts w:ascii="Arial" w:eastAsia="Times New Roman" w:hAnsi="Arial" w:cs="Arial"/>
                <w:kern w:val="0"/>
                <w:sz w:val="24"/>
                <w:szCs w:val="24"/>
                <w:lang w:eastAsia="en-GB"/>
                <w14:ligatures w14:val="none"/>
              </w:rPr>
              <w:br/>
            </w:r>
          </w:p>
          <w:p w14:paraId="5CA1A71C" w14:textId="5F03DF03" w:rsidR="00560745" w:rsidRPr="008E499A" w:rsidRDefault="00560745">
            <w:pPr>
              <w:spacing w:after="0" w:line="240" w:lineRule="auto"/>
              <w:rPr>
                <w:rFonts w:ascii="Arial" w:eastAsia="Times New Roman" w:hAnsi="Arial" w:cs="Arial"/>
                <w:kern w:val="0"/>
                <w:sz w:val="24"/>
                <w:szCs w:val="24"/>
                <w:lang w:eastAsia="en-GB"/>
                <w14:ligatures w14:val="none"/>
              </w:rPr>
            </w:pPr>
          </w:p>
        </w:tc>
      </w:tr>
      <w:tr w:rsidR="00560745" w:rsidRPr="004839AA" w14:paraId="33565EFC" w14:textId="77777777" w:rsidTr="008D1E96">
        <w:trPr>
          <w:gridAfter w:val="6"/>
          <w:wAfter w:w="18528" w:type="dxa"/>
          <w:trHeight w:val="258"/>
        </w:trPr>
        <w:tc>
          <w:tcPr>
            <w:tcW w:w="709" w:type="dxa"/>
            <w:tcMar>
              <w:top w:w="15" w:type="dxa"/>
              <w:left w:w="108" w:type="dxa"/>
              <w:bottom w:w="0" w:type="dxa"/>
              <w:right w:w="108" w:type="dxa"/>
            </w:tcMar>
            <w:vAlign w:val="bottom"/>
            <w:hideMark/>
          </w:tcPr>
          <w:p w14:paraId="48F4C96B" w14:textId="77777777" w:rsidR="00560745" w:rsidRPr="004839AA" w:rsidRDefault="00560745">
            <w:pPr>
              <w:spacing w:after="0" w:line="240" w:lineRule="auto"/>
              <w:ind w:left="-63" w:firstLineChars="15" w:firstLine="36"/>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1(a)</w:t>
            </w:r>
          </w:p>
        </w:tc>
        <w:tc>
          <w:tcPr>
            <w:tcW w:w="8363" w:type="dxa"/>
            <w:tcMar>
              <w:top w:w="15" w:type="dxa"/>
              <w:left w:w="108" w:type="dxa"/>
              <w:bottom w:w="0" w:type="dxa"/>
              <w:right w:w="108" w:type="dxa"/>
            </w:tcMar>
            <w:vAlign w:val="bottom"/>
            <w:hideMark/>
          </w:tcPr>
          <w:p w14:paraId="71DFD75F" w14:textId="77777777" w:rsidR="00560745" w:rsidRPr="004839AA" w:rsidRDefault="00560745">
            <w:pPr>
              <w:spacing w:after="0" w:line="240" w:lineRule="auto"/>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Accounting pronouncements</w:t>
            </w:r>
          </w:p>
        </w:tc>
      </w:tr>
      <w:tr w:rsidR="00F075F5" w:rsidRPr="004839AA" w14:paraId="6B234DD7" w14:textId="77777777" w:rsidTr="00BB7E60">
        <w:trPr>
          <w:gridAfter w:val="6"/>
          <w:wAfter w:w="18528" w:type="dxa"/>
          <w:trHeight w:val="727"/>
        </w:trPr>
        <w:tc>
          <w:tcPr>
            <w:tcW w:w="9072" w:type="dxa"/>
            <w:gridSpan w:val="2"/>
            <w:tcMar>
              <w:top w:w="15" w:type="dxa"/>
              <w:left w:w="108" w:type="dxa"/>
              <w:bottom w:w="0" w:type="dxa"/>
              <w:right w:w="108" w:type="dxa"/>
            </w:tcMar>
            <w:vAlign w:val="bottom"/>
            <w:hideMark/>
          </w:tcPr>
          <w:p w14:paraId="3098A5F4" w14:textId="54CD365A" w:rsidR="00F075F5" w:rsidRPr="004839AA" w:rsidRDefault="00F075F5">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There are no new accounting pronouncements which have been adopted early or which have not yet been adopted by the </w:t>
            </w:r>
            <w:r w:rsidR="3CC08A3F" w:rsidRPr="004839AA">
              <w:rPr>
                <w:rFonts w:ascii="Arial" w:eastAsia="Times New Roman" w:hAnsi="Arial" w:cs="Arial"/>
                <w:kern w:val="0"/>
                <w:sz w:val="24"/>
                <w:szCs w:val="24"/>
                <w:lang w:eastAsia="en-GB"/>
                <w14:ligatures w14:val="none"/>
              </w:rPr>
              <w:t>Agency</w:t>
            </w:r>
            <w:r w:rsidR="4A992225" w:rsidRPr="004839AA">
              <w:rPr>
                <w:rFonts w:ascii="Arial" w:eastAsia="Times New Roman" w:hAnsi="Arial" w:cs="Arial"/>
                <w:kern w:val="0"/>
                <w:sz w:val="24"/>
                <w:szCs w:val="24"/>
                <w:lang w:eastAsia="en-GB"/>
                <w14:ligatures w14:val="none"/>
              </w:rPr>
              <w:t>.</w:t>
            </w:r>
            <w:r w:rsidRPr="004839AA">
              <w:rPr>
                <w:rFonts w:ascii="Arial" w:eastAsia="Times New Roman" w:hAnsi="Arial" w:cs="Arial"/>
                <w:kern w:val="0"/>
                <w:sz w:val="24"/>
                <w:szCs w:val="24"/>
                <w:lang w:eastAsia="en-GB"/>
                <w14:ligatures w14:val="none"/>
              </w:rPr>
              <w:t xml:space="preserve"> Such pronouncements would be endorsed by the International Accounting Standards Board (IASB) and would include:</w:t>
            </w:r>
          </w:p>
        </w:tc>
      </w:tr>
      <w:tr w:rsidR="00F075F5" w:rsidRPr="004839AA" w14:paraId="5F761819" w14:textId="77777777" w:rsidTr="00BB7E60">
        <w:trPr>
          <w:gridAfter w:val="6"/>
          <w:wAfter w:w="18528" w:type="dxa"/>
          <w:trHeight w:val="570"/>
        </w:trPr>
        <w:tc>
          <w:tcPr>
            <w:tcW w:w="9072" w:type="dxa"/>
            <w:gridSpan w:val="2"/>
            <w:tcMar>
              <w:top w:w="15" w:type="dxa"/>
              <w:left w:w="108" w:type="dxa"/>
              <w:bottom w:w="0" w:type="dxa"/>
              <w:right w:w="108" w:type="dxa"/>
            </w:tcMar>
            <w:vAlign w:val="bottom"/>
            <w:hideMark/>
          </w:tcPr>
          <w:p w14:paraId="50D6E759" w14:textId="77777777" w:rsidR="00F075F5" w:rsidRPr="004839AA" w:rsidRDefault="00F075F5">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(i) the accounting standards i.e. International Accounting Standards (IAS) and International Financial Reporting Standards (IFRS); and </w:t>
            </w:r>
          </w:p>
        </w:tc>
      </w:tr>
      <w:tr w:rsidR="00F075F5" w:rsidRPr="004839AA" w14:paraId="66C14B25" w14:textId="77777777" w:rsidTr="00BB7E60">
        <w:trPr>
          <w:gridAfter w:val="6"/>
          <w:wAfter w:w="18528" w:type="dxa"/>
          <w:trHeight w:val="540"/>
        </w:trPr>
        <w:tc>
          <w:tcPr>
            <w:tcW w:w="9072" w:type="dxa"/>
            <w:gridSpan w:val="2"/>
            <w:tcMar>
              <w:top w:w="15" w:type="dxa"/>
              <w:left w:w="108" w:type="dxa"/>
              <w:bottom w:w="0" w:type="dxa"/>
              <w:right w:w="108" w:type="dxa"/>
            </w:tcMar>
            <w:vAlign w:val="bottom"/>
            <w:hideMark/>
          </w:tcPr>
          <w:p w14:paraId="54F18E5B" w14:textId="11314E38" w:rsidR="00F075F5" w:rsidRDefault="00F075F5">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(ii) interpretations thereof issued by the Standards Interpretations Committee (SIC) or its successor, the International Financial Reporting Interpretations Committee (IFRIC).</w:t>
            </w:r>
          </w:p>
          <w:p w14:paraId="1919A9A5" w14:textId="77777777" w:rsidR="00F075F5" w:rsidRDefault="00F075F5">
            <w:pPr>
              <w:spacing w:after="0" w:line="240" w:lineRule="auto"/>
              <w:rPr>
                <w:rFonts w:ascii="Arial" w:eastAsia="Times New Roman" w:hAnsi="Arial" w:cs="Arial"/>
                <w:kern w:val="0"/>
                <w:sz w:val="24"/>
                <w:szCs w:val="24"/>
                <w:lang w:eastAsia="en-GB"/>
                <w14:ligatures w14:val="none"/>
              </w:rPr>
            </w:pPr>
          </w:p>
          <w:p w14:paraId="742C68E7" w14:textId="3460626D" w:rsidR="00F075F5" w:rsidRPr="004839AA" w:rsidRDefault="00F075F5">
            <w:pPr>
              <w:spacing w:after="0" w:line="240" w:lineRule="auto"/>
              <w:rPr>
                <w:rFonts w:ascii="Arial" w:eastAsia="Times New Roman" w:hAnsi="Arial" w:cs="Arial"/>
                <w:kern w:val="0"/>
                <w:sz w:val="24"/>
                <w:szCs w:val="24"/>
                <w:lang w:eastAsia="en-GB"/>
                <w14:ligatures w14:val="none"/>
              </w:rPr>
            </w:pPr>
          </w:p>
        </w:tc>
      </w:tr>
    </w:tbl>
    <w:p w14:paraId="284C3831" w14:textId="77777777" w:rsidR="00F22180" w:rsidRDefault="00F22180">
      <w:r>
        <w:br w:type="page"/>
      </w:r>
    </w:p>
    <w:tbl>
      <w:tblPr>
        <w:tblW w:w="18428" w:type="dxa"/>
        <w:tblLayout w:type="fixed"/>
        <w:tblLook w:val="04A0" w:firstRow="1" w:lastRow="0" w:firstColumn="1" w:lastColumn="0" w:noHBand="0" w:noVBand="1"/>
      </w:tblPr>
      <w:tblGrid>
        <w:gridCol w:w="709"/>
        <w:gridCol w:w="8505"/>
        <w:gridCol w:w="9214"/>
      </w:tblGrid>
      <w:tr w:rsidR="00D47101" w:rsidRPr="004839AA" w14:paraId="4D023C93" w14:textId="105E40EB" w:rsidTr="00D47101">
        <w:trPr>
          <w:trHeight w:val="1845"/>
        </w:trPr>
        <w:tc>
          <w:tcPr>
            <w:tcW w:w="9214" w:type="dxa"/>
            <w:gridSpan w:val="2"/>
            <w:tcMar>
              <w:top w:w="15" w:type="dxa"/>
              <w:left w:w="108" w:type="dxa"/>
              <w:bottom w:w="0" w:type="dxa"/>
              <w:right w:w="108" w:type="dxa"/>
            </w:tcMar>
            <w:vAlign w:val="bottom"/>
            <w:hideMark/>
          </w:tcPr>
          <w:p w14:paraId="044B04C2" w14:textId="77777777" w:rsidR="00D47101" w:rsidRPr="004839AA" w:rsidRDefault="00D47101">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lastRenderedPageBreak/>
              <w:t xml:space="preserve">IFRS 17 Insurance Contracts establishes the principles for the recognition, measurement, presentation and disclosure of insurance contracts that fall within scope of the new standard. It was formally adopted by the UK Endorsement Board (UKEB) in May 2022 and is due to come into effect for accounting periods commencing 1 January 2023; however, it will only be adopted for public sector organisation for the 2025-26 financial year. HM Treasury has now published the finalised exposure guidance and the Agency has assessed its activity and contracts to determine whether it falls within scope of IFRS 17. At present the Agency’s review has found that it has no contracts which meet the definition of insurance contracts as per IFRS 17, this will remain under review until the standard comes into effect. </w:t>
            </w:r>
          </w:p>
        </w:tc>
        <w:tc>
          <w:tcPr>
            <w:tcW w:w="9214" w:type="dxa"/>
          </w:tcPr>
          <w:p w14:paraId="0AED314B" w14:textId="77777777" w:rsidR="00D47101" w:rsidRPr="004839AA" w:rsidRDefault="00D47101">
            <w:pPr>
              <w:spacing w:after="0" w:line="240" w:lineRule="auto"/>
              <w:rPr>
                <w:rFonts w:ascii="Arial" w:eastAsia="Times New Roman" w:hAnsi="Arial" w:cs="Arial"/>
                <w:kern w:val="0"/>
                <w:sz w:val="24"/>
                <w:szCs w:val="24"/>
                <w:lang w:eastAsia="en-GB"/>
                <w14:ligatures w14:val="none"/>
              </w:rPr>
            </w:pPr>
          </w:p>
        </w:tc>
      </w:tr>
      <w:tr w:rsidR="00D47101" w:rsidRPr="004839AA" w14:paraId="23822618" w14:textId="6EC68B46" w:rsidTr="00D47101">
        <w:trPr>
          <w:trHeight w:val="269"/>
        </w:trPr>
        <w:tc>
          <w:tcPr>
            <w:tcW w:w="709" w:type="dxa"/>
            <w:tcMar>
              <w:top w:w="15" w:type="dxa"/>
              <w:left w:w="108" w:type="dxa"/>
              <w:bottom w:w="0" w:type="dxa"/>
              <w:right w:w="108" w:type="dxa"/>
            </w:tcMar>
            <w:vAlign w:val="bottom"/>
          </w:tcPr>
          <w:p w14:paraId="4AB65731" w14:textId="77777777" w:rsidR="00D47101" w:rsidRPr="004839AA" w:rsidRDefault="00D47101">
            <w:pPr>
              <w:spacing w:after="0" w:line="240" w:lineRule="auto"/>
              <w:ind w:left="-63" w:firstLineChars="15" w:firstLine="36"/>
              <w:rPr>
                <w:rFonts w:ascii="Arial" w:eastAsia="Times New Roman" w:hAnsi="Arial" w:cs="Arial"/>
                <w:b/>
                <w:bCs/>
                <w:kern w:val="0"/>
                <w:sz w:val="24"/>
                <w:szCs w:val="24"/>
                <w:lang w:eastAsia="en-GB"/>
                <w14:ligatures w14:val="none"/>
              </w:rPr>
            </w:pPr>
          </w:p>
        </w:tc>
        <w:tc>
          <w:tcPr>
            <w:tcW w:w="8505" w:type="dxa"/>
            <w:tcMar>
              <w:top w:w="15" w:type="dxa"/>
              <w:left w:w="108" w:type="dxa"/>
              <w:bottom w:w="0" w:type="dxa"/>
              <w:right w:w="108" w:type="dxa"/>
            </w:tcMar>
            <w:vAlign w:val="bottom"/>
          </w:tcPr>
          <w:p w14:paraId="503BDC60" w14:textId="77777777" w:rsidR="00D47101" w:rsidRPr="004839AA" w:rsidRDefault="00D47101">
            <w:pPr>
              <w:spacing w:after="0" w:line="240" w:lineRule="auto"/>
              <w:rPr>
                <w:rFonts w:ascii="Arial" w:eastAsia="Times New Roman" w:hAnsi="Arial" w:cs="Arial"/>
                <w:b/>
                <w:bCs/>
                <w:kern w:val="0"/>
                <w:sz w:val="24"/>
                <w:szCs w:val="24"/>
                <w:lang w:eastAsia="en-GB"/>
                <w14:ligatures w14:val="none"/>
              </w:rPr>
            </w:pPr>
          </w:p>
        </w:tc>
        <w:tc>
          <w:tcPr>
            <w:tcW w:w="9214" w:type="dxa"/>
          </w:tcPr>
          <w:p w14:paraId="51D9F297" w14:textId="77777777" w:rsidR="00D47101" w:rsidRPr="004839AA" w:rsidRDefault="00D47101">
            <w:pPr>
              <w:spacing w:after="0" w:line="240" w:lineRule="auto"/>
              <w:rPr>
                <w:rFonts w:ascii="Arial" w:eastAsia="Times New Roman" w:hAnsi="Arial" w:cs="Arial"/>
                <w:b/>
                <w:bCs/>
                <w:kern w:val="0"/>
                <w:sz w:val="24"/>
                <w:szCs w:val="24"/>
                <w:lang w:eastAsia="en-GB"/>
                <w14:ligatures w14:val="none"/>
              </w:rPr>
            </w:pPr>
          </w:p>
        </w:tc>
      </w:tr>
      <w:tr w:rsidR="00D47101" w:rsidRPr="004839AA" w14:paraId="5FBB367A" w14:textId="42A8297C" w:rsidTr="00D47101">
        <w:trPr>
          <w:trHeight w:val="269"/>
        </w:trPr>
        <w:tc>
          <w:tcPr>
            <w:tcW w:w="709" w:type="dxa"/>
            <w:tcMar>
              <w:top w:w="15" w:type="dxa"/>
              <w:left w:w="108" w:type="dxa"/>
              <w:bottom w:w="0" w:type="dxa"/>
              <w:right w:w="108" w:type="dxa"/>
            </w:tcMar>
            <w:vAlign w:val="bottom"/>
            <w:hideMark/>
          </w:tcPr>
          <w:p w14:paraId="64F43CD0" w14:textId="49591306" w:rsidR="00D47101" w:rsidRPr="004839AA" w:rsidRDefault="00D47101">
            <w:pPr>
              <w:spacing w:after="0" w:line="240" w:lineRule="auto"/>
              <w:ind w:left="-63" w:firstLineChars="15" w:firstLine="36"/>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1(b)</w:t>
            </w:r>
          </w:p>
        </w:tc>
        <w:tc>
          <w:tcPr>
            <w:tcW w:w="8505" w:type="dxa"/>
            <w:tcMar>
              <w:top w:w="15" w:type="dxa"/>
              <w:left w:w="108" w:type="dxa"/>
              <w:bottom w:w="0" w:type="dxa"/>
              <w:right w:w="108" w:type="dxa"/>
            </w:tcMar>
            <w:vAlign w:val="bottom"/>
            <w:hideMark/>
          </w:tcPr>
          <w:p w14:paraId="08CDF1A0" w14:textId="77777777" w:rsidR="00D47101" w:rsidRPr="004839AA" w:rsidRDefault="00D47101">
            <w:pPr>
              <w:spacing w:after="0" w:line="240" w:lineRule="auto"/>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Accounting convention</w:t>
            </w:r>
          </w:p>
        </w:tc>
        <w:tc>
          <w:tcPr>
            <w:tcW w:w="9214" w:type="dxa"/>
          </w:tcPr>
          <w:p w14:paraId="484C51CA" w14:textId="77777777" w:rsidR="00D47101" w:rsidRPr="004839AA" w:rsidRDefault="00D47101">
            <w:pPr>
              <w:spacing w:after="0" w:line="240" w:lineRule="auto"/>
              <w:rPr>
                <w:rFonts w:ascii="Arial" w:eastAsia="Times New Roman" w:hAnsi="Arial" w:cs="Arial"/>
                <w:b/>
                <w:bCs/>
                <w:kern w:val="0"/>
                <w:sz w:val="24"/>
                <w:szCs w:val="24"/>
                <w:lang w:eastAsia="en-GB"/>
                <w14:ligatures w14:val="none"/>
              </w:rPr>
            </w:pPr>
          </w:p>
        </w:tc>
      </w:tr>
      <w:tr w:rsidR="00D47101" w:rsidRPr="004839AA" w14:paraId="4A267575" w14:textId="4CF4715B" w:rsidTr="00D47101">
        <w:trPr>
          <w:trHeight w:val="459"/>
        </w:trPr>
        <w:tc>
          <w:tcPr>
            <w:tcW w:w="9214" w:type="dxa"/>
            <w:gridSpan w:val="2"/>
            <w:tcMar>
              <w:top w:w="15" w:type="dxa"/>
              <w:left w:w="108" w:type="dxa"/>
              <w:bottom w:w="0" w:type="dxa"/>
              <w:right w:w="108" w:type="dxa"/>
            </w:tcMar>
            <w:vAlign w:val="bottom"/>
            <w:hideMark/>
          </w:tcPr>
          <w:p w14:paraId="43DE81CD" w14:textId="77777777" w:rsidR="00D47101" w:rsidRPr="004839AA" w:rsidRDefault="00D47101">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These accounts have been prepared under the historical cost convention. Financial assets are stated at their fair value as required.</w:t>
            </w:r>
          </w:p>
        </w:tc>
        <w:tc>
          <w:tcPr>
            <w:tcW w:w="9214" w:type="dxa"/>
          </w:tcPr>
          <w:p w14:paraId="58AD91B0" w14:textId="77777777" w:rsidR="00D47101" w:rsidRPr="004839AA" w:rsidRDefault="00D47101">
            <w:pPr>
              <w:spacing w:after="0" w:line="240" w:lineRule="auto"/>
              <w:rPr>
                <w:rFonts w:ascii="Arial" w:eastAsia="Times New Roman" w:hAnsi="Arial" w:cs="Arial"/>
                <w:kern w:val="0"/>
                <w:sz w:val="24"/>
                <w:szCs w:val="24"/>
                <w:lang w:eastAsia="en-GB"/>
                <w14:ligatures w14:val="none"/>
              </w:rPr>
            </w:pPr>
          </w:p>
        </w:tc>
      </w:tr>
      <w:tr w:rsidR="00D47101" w:rsidRPr="004839AA" w14:paraId="5D4598CA" w14:textId="6CDF322D" w:rsidTr="00D47101">
        <w:trPr>
          <w:trHeight w:val="310"/>
        </w:trPr>
        <w:tc>
          <w:tcPr>
            <w:tcW w:w="709" w:type="dxa"/>
            <w:tcMar>
              <w:top w:w="15" w:type="dxa"/>
              <w:left w:w="108" w:type="dxa"/>
              <w:bottom w:w="0" w:type="dxa"/>
              <w:right w:w="108" w:type="dxa"/>
            </w:tcMar>
            <w:vAlign w:val="bottom"/>
            <w:hideMark/>
          </w:tcPr>
          <w:p w14:paraId="4074D721" w14:textId="77777777" w:rsidR="00D47101" w:rsidRPr="004839AA" w:rsidRDefault="00D47101">
            <w:pPr>
              <w:rPr>
                <w:rFonts w:ascii="Arial" w:hAnsi="Arial" w:cs="Arial"/>
                <w:sz w:val="24"/>
                <w:szCs w:val="24"/>
              </w:rPr>
            </w:pPr>
          </w:p>
        </w:tc>
        <w:tc>
          <w:tcPr>
            <w:tcW w:w="8505" w:type="dxa"/>
            <w:tcMar>
              <w:top w:w="15" w:type="dxa"/>
              <w:left w:w="108" w:type="dxa"/>
              <w:bottom w:w="0" w:type="dxa"/>
              <w:right w:w="108" w:type="dxa"/>
            </w:tcMar>
            <w:hideMark/>
          </w:tcPr>
          <w:p w14:paraId="5D6DEDB8" w14:textId="77777777" w:rsidR="00D47101" w:rsidRPr="004839AA" w:rsidRDefault="00D47101">
            <w:pPr>
              <w:spacing w:after="0"/>
              <w:rPr>
                <w:rFonts w:ascii="Arial" w:hAnsi="Arial" w:cs="Arial"/>
                <w:kern w:val="0"/>
                <w:sz w:val="24"/>
                <w:szCs w:val="24"/>
                <w:lang w:eastAsia="en-GB"/>
                <w14:ligatures w14:val="none"/>
              </w:rPr>
            </w:pPr>
          </w:p>
        </w:tc>
        <w:tc>
          <w:tcPr>
            <w:tcW w:w="9214" w:type="dxa"/>
          </w:tcPr>
          <w:p w14:paraId="4994EBD9" w14:textId="77777777" w:rsidR="00D47101" w:rsidRPr="004839AA" w:rsidRDefault="00D47101">
            <w:pPr>
              <w:spacing w:after="0"/>
              <w:rPr>
                <w:rFonts w:ascii="Arial" w:hAnsi="Arial" w:cs="Arial"/>
                <w:kern w:val="0"/>
                <w:sz w:val="24"/>
                <w:szCs w:val="24"/>
                <w:lang w:eastAsia="en-GB"/>
                <w14:ligatures w14:val="none"/>
              </w:rPr>
            </w:pPr>
          </w:p>
        </w:tc>
      </w:tr>
      <w:tr w:rsidR="00D47101" w:rsidRPr="004839AA" w14:paraId="253A73BA" w14:textId="635F2151" w:rsidTr="00D47101">
        <w:trPr>
          <w:trHeight w:val="315"/>
        </w:trPr>
        <w:tc>
          <w:tcPr>
            <w:tcW w:w="709" w:type="dxa"/>
            <w:tcMar>
              <w:top w:w="15" w:type="dxa"/>
              <w:left w:w="108" w:type="dxa"/>
              <w:bottom w:w="0" w:type="dxa"/>
              <w:right w:w="108" w:type="dxa"/>
            </w:tcMar>
            <w:vAlign w:val="bottom"/>
            <w:hideMark/>
          </w:tcPr>
          <w:p w14:paraId="52035B44" w14:textId="77777777" w:rsidR="00D47101" w:rsidRPr="004839AA" w:rsidRDefault="00D47101">
            <w:pPr>
              <w:spacing w:after="0" w:line="240" w:lineRule="auto"/>
              <w:ind w:left="-63" w:firstLineChars="15" w:firstLine="36"/>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1(c)</w:t>
            </w:r>
          </w:p>
        </w:tc>
        <w:tc>
          <w:tcPr>
            <w:tcW w:w="8505" w:type="dxa"/>
            <w:tcMar>
              <w:top w:w="15" w:type="dxa"/>
              <w:left w:w="108" w:type="dxa"/>
              <w:bottom w:w="0" w:type="dxa"/>
              <w:right w:w="108" w:type="dxa"/>
            </w:tcMar>
            <w:vAlign w:val="bottom"/>
            <w:hideMark/>
          </w:tcPr>
          <w:p w14:paraId="65D13065" w14:textId="77777777" w:rsidR="00D47101" w:rsidRPr="004839AA" w:rsidRDefault="00D47101">
            <w:pPr>
              <w:spacing w:after="0" w:line="240" w:lineRule="auto"/>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Non-current assets: property, plant and equipment</w:t>
            </w:r>
          </w:p>
        </w:tc>
        <w:tc>
          <w:tcPr>
            <w:tcW w:w="9214" w:type="dxa"/>
          </w:tcPr>
          <w:p w14:paraId="538DF8FD" w14:textId="77777777" w:rsidR="00D47101" w:rsidRPr="004839AA" w:rsidRDefault="00D47101">
            <w:pPr>
              <w:spacing w:after="0" w:line="240" w:lineRule="auto"/>
              <w:rPr>
                <w:rFonts w:ascii="Arial" w:eastAsia="Times New Roman" w:hAnsi="Arial" w:cs="Arial"/>
                <w:b/>
                <w:bCs/>
                <w:kern w:val="0"/>
                <w:sz w:val="24"/>
                <w:szCs w:val="24"/>
                <w:lang w:eastAsia="en-GB"/>
                <w14:ligatures w14:val="none"/>
              </w:rPr>
            </w:pPr>
          </w:p>
        </w:tc>
      </w:tr>
      <w:tr w:rsidR="00D47101" w:rsidRPr="004839AA" w14:paraId="45D1ADB9" w14:textId="2172EB7C" w:rsidTr="00D47101">
        <w:trPr>
          <w:trHeight w:val="555"/>
        </w:trPr>
        <w:tc>
          <w:tcPr>
            <w:tcW w:w="9214" w:type="dxa"/>
            <w:gridSpan w:val="2"/>
            <w:tcMar>
              <w:top w:w="15" w:type="dxa"/>
              <w:left w:w="108" w:type="dxa"/>
              <w:bottom w:w="0" w:type="dxa"/>
              <w:right w:w="108" w:type="dxa"/>
            </w:tcMar>
            <w:vAlign w:val="bottom"/>
            <w:hideMark/>
          </w:tcPr>
          <w:p w14:paraId="297A7442" w14:textId="76BBC01D" w:rsidR="00D47101" w:rsidRDefault="00D47101">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Property, Plant and Equipment (PPE) are non-current assets that are held by the Agency for use in the supply of services or for administrative purposes and are expected to be used for more than one year.</w:t>
            </w:r>
            <w:r>
              <w:rPr>
                <w:rFonts w:ascii="Arial" w:eastAsia="Times New Roman" w:hAnsi="Arial" w:cs="Arial"/>
                <w:kern w:val="0"/>
                <w:sz w:val="24"/>
                <w:szCs w:val="24"/>
                <w:lang w:eastAsia="en-GB"/>
                <w14:ligatures w14:val="none"/>
              </w:rPr>
              <w:br/>
            </w:r>
          </w:p>
          <w:p w14:paraId="2EB3E129" w14:textId="2B928353" w:rsidR="00D47101" w:rsidRPr="004839AA" w:rsidRDefault="00D47101">
            <w:pPr>
              <w:spacing w:after="0" w:line="240" w:lineRule="auto"/>
              <w:rPr>
                <w:rFonts w:ascii="Arial" w:eastAsia="Times New Roman" w:hAnsi="Arial" w:cs="Arial"/>
                <w:kern w:val="0"/>
                <w:sz w:val="24"/>
                <w:szCs w:val="24"/>
                <w:lang w:eastAsia="en-GB"/>
                <w14:ligatures w14:val="none"/>
              </w:rPr>
            </w:pPr>
          </w:p>
        </w:tc>
        <w:tc>
          <w:tcPr>
            <w:tcW w:w="9214" w:type="dxa"/>
          </w:tcPr>
          <w:p w14:paraId="50C0AF04" w14:textId="77777777" w:rsidR="00D47101" w:rsidRPr="004839AA" w:rsidRDefault="00D47101">
            <w:pPr>
              <w:spacing w:after="0" w:line="240" w:lineRule="auto"/>
              <w:rPr>
                <w:rFonts w:ascii="Arial" w:eastAsia="Times New Roman" w:hAnsi="Arial" w:cs="Arial"/>
                <w:kern w:val="0"/>
                <w:sz w:val="24"/>
                <w:szCs w:val="24"/>
                <w:lang w:eastAsia="en-GB"/>
                <w14:ligatures w14:val="none"/>
              </w:rPr>
            </w:pPr>
          </w:p>
        </w:tc>
      </w:tr>
      <w:tr w:rsidR="00D47101" w:rsidRPr="004839AA" w14:paraId="3126305B" w14:textId="1212857F" w:rsidTr="00D47101">
        <w:trPr>
          <w:trHeight w:val="810"/>
        </w:trPr>
        <w:tc>
          <w:tcPr>
            <w:tcW w:w="9214" w:type="dxa"/>
            <w:gridSpan w:val="2"/>
            <w:tcMar>
              <w:top w:w="15" w:type="dxa"/>
              <w:left w:w="108" w:type="dxa"/>
              <w:bottom w:w="0" w:type="dxa"/>
              <w:right w:w="108" w:type="dxa"/>
            </w:tcMar>
            <w:vAlign w:val="bottom"/>
            <w:hideMark/>
          </w:tcPr>
          <w:p w14:paraId="55D5F126" w14:textId="1BC61512" w:rsidR="00D47101" w:rsidRDefault="00D47101">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 minimum level for capitalisation of PPE is £5,000, except for leasehold improvements where the initial cost is £250,000. PPE with costs below the capitalisation threshold charged is expensed to the Statement of Comprehensive Net Expenditure (SoCNE) in the period of purchase.</w:t>
            </w:r>
            <w:r>
              <w:rPr>
                <w:rFonts w:ascii="Arial" w:eastAsia="Times New Roman" w:hAnsi="Arial" w:cs="Arial"/>
                <w:kern w:val="0"/>
                <w:sz w:val="24"/>
                <w:szCs w:val="24"/>
                <w:lang w:eastAsia="en-GB"/>
                <w14:ligatures w14:val="none"/>
              </w:rPr>
              <w:br/>
            </w:r>
          </w:p>
          <w:p w14:paraId="2EEF65EE" w14:textId="2EC4DDD9" w:rsidR="00D47101" w:rsidRPr="004839AA" w:rsidRDefault="00D47101">
            <w:pPr>
              <w:spacing w:after="0" w:line="240" w:lineRule="auto"/>
              <w:rPr>
                <w:rFonts w:ascii="Arial" w:eastAsia="Times New Roman" w:hAnsi="Arial" w:cs="Arial"/>
                <w:kern w:val="0"/>
                <w:sz w:val="24"/>
                <w:szCs w:val="24"/>
                <w:lang w:eastAsia="en-GB"/>
                <w14:ligatures w14:val="none"/>
              </w:rPr>
            </w:pPr>
          </w:p>
        </w:tc>
        <w:tc>
          <w:tcPr>
            <w:tcW w:w="9214" w:type="dxa"/>
          </w:tcPr>
          <w:p w14:paraId="6B981DFE" w14:textId="77777777" w:rsidR="00D47101" w:rsidRPr="004839AA" w:rsidRDefault="00D47101">
            <w:pPr>
              <w:spacing w:after="0" w:line="240" w:lineRule="auto"/>
              <w:rPr>
                <w:rFonts w:ascii="Arial" w:eastAsia="Times New Roman" w:hAnsi="Arial" w:cs="Arial"/>
                <w:kern w:val="0"/>
                <w:sz w:val="24"/>
                <w:szCs w:val="24"/>
                <w:lang w:eastAsia="en-GB"/>
                <w14:ligatures w14:val="none"/>
              </w:rPr>
            </w:pPr>
          </w:p>
        </w:tc>
      </w:tr>
      <w:tr w:rsidR="00D47101" w:rsidRPr="004839AA" w14:paraId="565AC0B8" w14:textId="78959172" w:rsidTr="00D47101">
        <w:trPr>
          <w:trHeight w:val="855"/>
        </w:trPr>
        <w:tc>
          <w:tcPr>
            <w:tcW w:w="9214" w:type="dxa"/>
            <w:gridSpan w:val="2"/>
            <w:tcMar>
              <w:top w:w="15" w:type="dxa"/>
              <w:left w:w="108" w:type="dxa"/>
              <w:bottom w:w="0" w:type="dxa"/>
              <w:right w:w="108" w:type="dxa"/>
            </w:tcMar>
            <w:vAlign w:val="bottom"/>
            <w:hideMark/>
          </w:tcPr>
          <w:p w14:paraId="0E91B2F0" w14:textId="77777777" w:rsidR="00D47101" w:rsidRDefault="00D47101">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In accordance with IAS 16, recognition depends on two criteria:</w:t>
            </w:r>
            <w:r w:rsidRPr="004839AA">
              <w:rPr>
                <w:rFonts w:ascii="Arial" w:eastAsia="Times New Roman" w:hAnsi="Arial" w:cs="Arial"/>
                <w:kern w:val="0"/>
                <w:sz w:val="24"/>
                <w:szCs w:val="24"/>
                <w:lang w:eastAsia="en-GB"/>
                <w14:ligatures w14:val="none"/>
              </w:rPr>
              <w:br/>
              <w:t>(i) it is probable that future economic benefits associated with the asset will flow to the Agency for more than one year; and</w:t>
            </w:r>
            <w:r w:rsidRPr="004839AA">
              <w:rPr>
                <w:rFonts w:ascii="Arial" w:eastAsia="Times New Roman" w:hAnsi="Arial" w:cs="Arial"/>
                <w:kern w:val="0"/>
                <w:sz w:val="24"/>
                <w:szCs w:val="24"/>
                <w:lang w:eastAsia="en-GB"/>
                <w14:ligatures w14:val="none"/>
              </w:rPr>
              <w:br/>
              <w:t>(ii) the cost of the asset to the Agency can be measured reliably.</w:t>
            </w:r>
          </w:p>
          <w:p w14:paraId="022FA2D5" w14:textId="77777777" w:rsidR="00D47101" w:rsidRDefault="00D47101">
            <w:pPr>
              <w:spacing w:after="0" w:line="240" w:lineRule="auto"/>
              <w:rPr>
                <w:rFonts w:ascii="Arial" w:eastAsia="Times New Roman" w:hAnsi="Arial" w:cs="Arial"/>
                <w:kern w:val="0"/>
                <w:sz w:val="24"/>
                <w:szCs w:val="24"/>
                <w:lang w:eastAsia="en-GB"/>
                <w14:ligatures w14:val="none"/>
              </w:rPr>
            </w:pPr>
          </w:p>
          <w:p w14:paraId="78867CBF" w14:textId="220C0696" w:rsidR="00D47101" w:rsidRDefault="00D47101" w:rsidP="0065676B">
            <w:pPr>
              <w:spacing w:after="0" w:line="240" w:lineRule="auto"/>
              <w:ind w:left="35"/>
              <w:rPr>
                <w:rFonts w:ascii="Arial" w:eastAsia="Times New Roman" w:hAnsi="Arial" w:cs="Arial"/>
                <w:b/>
                <w:bCs/>
                <w:kern w:val="0"/>
                <w:sz w:val="24"/>
                <w:szCs w:val="24"/>
                <w:lang w:eastAsia="en-GB"/>
                <w14:ligatures w14:val="none"/>
              </w:rPr>
            </w:pPr>
            <w:r w:rsidRPr="004839AA">
              <w:rPr>
                <w:rFonts w:ascii="Arial" w:eastAsia="Times New Roman" w:hAnsi="Arial" w:cs="Arial"/>
                <w:kern w:val="0"/>
                <w:sz w:val="24"/>
                <w:szCs w:val="24"/>
                <w:lang w:eastAsia="en-GB"/>
                <w14:ligatures w14:val="none"/>
              </w:rPr>
              <w:t>Initial measurement of an item of PPE will be at cost, including those incurred that are directly attributable to bringing the asset into use. In accordance with the FReM, the Agency has adopted depreciated historical cost as a material approximation of fair value, the useful life is a realistic reflection of the life of the asset and the depreciation method provides a realistic reflection of its consumption.</w:t>
            </w:r>
            <w:r w:rsidRPr="004839AA">
              <w:rPr>
                <w:rFonts w:ascii="Arial" w:eastAsia="Times New Roman" w:hAnsi="Arial" w:cs="Arial"/>
                <w:b/>
                <w:bCs/>
                <w:kern w:val="0"/>
                <w:sz w:val="24"/>
                <w:szCs w:val="24"/>
                <w:lang w:eastAsia="en-GB"/>
                <w14:ligatures w14:val="none"/>
              </w:rPr>
              <w:t xml:space="preserve"> </w:t>
            </w:r>
          </w:p>
          <w:p w14:paraId="5A6CB482" w14:textId="77777777" w:rsidR="00D47101" w:rsidRDefault="00D47101" w:rsidP="0065676B">
            <w:pPr>
              <w:spacing w:after="0" w:line="240" w:lineRule="auto"/>
              <w:ind w:left="-63" w:firstLineChars="15" w:firstLine="36"/>
              <w:rPr>
                <w:rFonts w:ascii="Arial" w:eastAsia="Times New Roman" w:hAnsi="Arial" w:cs="Arial"/>
                <w:b/>
                <w:bCs/>
                <w:kern w:val="0"/>
                <w:sz w:val="24"/>
                <w:szCs w:val="24"/>
                <w:lang w:eastAsia="en-GB"/>
                <w14:ligatures w14:val="none"/>
              </w:rPr>
            </w:pPr>
          </w:p>
          <w:p w14:paraId="1755B938" w14:textId="77777777" w:rsidR="00D47101" w:rsidRPr="004839AA" w:rsidRDefault="00D47101" w:rsidP="0065676B">
            <w:pPr>
              <w:spacing w:after="0" w:line="240" w:lineRule="auto"/>
              <w:ind w:left="-63" w:firstLineChars="15" w:firstLine="36"/>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1(d)</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Non-current assets: intangible assets</w:t>
            </w:r>
          </w:p>
          <w:p w14:paraId="4EAF5297" w14:textId="7744CD4D" w:rsidR="00D47101" w:rsidRPr="004839AA" w:rsidRDefault="00D47101" w:rsidP="0065676B">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As per IAS 38, </w:t>
            </w:r>
            <w:r>
              <w:rPr>
                <w:rFonts w:ascii="Arial" w:eastAsia="Times New Roman" w:hAnsi="Arial" w:cs="Arial"/>
                <w:kern w:val="0"/>
                <w:sz w:val="24"/>
                <w:szCs w:val="24"/>
                <w:lang w:eastAsia="en-GB"/>
                <w14:ligatures w14:val="none"/>
              </w:rPr>
              <w:t>i</w:t>
            </w:r>
            <w:r w:rsidRPr="004839AA">
              <w:rPr>
                <w:rFonts w:ascii="Arial" w:eastAsia="Times New Roman" w:hAnsi="Arial" w:cs="Arial"/>
                <w:kern w:val="0"/>
                <w:sz w:val="24"/>
                <w:szCs w:val="24"/>
                <w:lang w:eastAsia="en-GB"/>
                <w14:ligatures w14:val="none"/>
              </w:rPr>
              <w:t>ntangible assets are identifiable non-financial assets without physical substance. They may be held for use in the supply of services or for administrative purposes. The asset must be:</w:t>
            </w:r>
          </w:p>
          <w:p w14:paraId="37003C01" w14:textId="77777777" w:rsidR="00D47101" w:rsidRPr="004839AA" w:rsidRDefault="00D47101" w:rsidP="0065676B">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(i) controlled by the Agency as a result of past events;</w:t>
            </w:r>
          </w:p>
          <w:p w14:paraId="1F0AC157" w14:textId="77777777" w:rsidR="00D47101" w:rsidRPr="004839AA" w:rsidRDefault="00D47101" w:rsidP="0065676B">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(ii) something from which the Agency expects future economic benefits will flow for more than one year, such as computer software;</w:t>
            </w:r>
          </w:p>
          <w:p w14:paraId="7979F28B" w14:textId="5A9BC7CA" w:rsidR="00D47101" w:rsidRPr="004839AA" w:rsidRDefault="00D47101">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(iii) they have an initial cost equal to or greater than £5,000, except for internally developed systems where the initial cost is equal to or greater than £250,000.</w:t>
            </w:r>
          </w:p>
        </w:tc>
        <w:tc>
          <w:tcPr>
            <w:tcW w:w="9214" w:type="dxa"/>
          </w:tcPr>
          <w:p w14:paraId="1CF9C76A" w14:textId="77777777" w:rsidR="00D47101" w:rsidRPr="004839AA" w:rsidRDefault="00D47101">
            <w:pPr>
              <w:spacing w:after="0" w:line="240" w:lineRule="auto"/>
              <w:rPr>
                <w:rFonts w:ascii="Arial" w:eastAsia="Times New Roman" w:hAnsi="Arial" w:cs="Arial"/>
                <w:kern w:val="0"/>
                <w:sz w:val="24"/>
                <w:szCs w:val="24"/>
                <w:lang w:eastAsia="en-GB"/>
                <w14:ligatures w14:val="none"/>
              </w:rPr>
            </w:pPr>
          </w:p>
        </w:tc>
      </w:tr>
    </w:tbl>
    <w:p w14:paraId="5067539E" w14:textId="77777777" w:rsidR="00341521" w:rsidRDefault="00341521" w:rsidP="00F22180">
      <w:pPr>
        <w:spacing w:after="0" w:line="240" w:lineRule="auto"/>
        <w:rPr>
          <w:rFonts w:ascii="Arial" w:eastAsia="Times New Roman" w:hAnsi="Arial" w:cs="Arial"/>
          <w:kern w:val="0"/>
          <w:sz w:val="24"/>
          <w:szCs w:val="24"/>
          <w:lang w:eastAsia="en-GB"/>
          <w14:ligatures w14:val="none"/>
        </w:rPr>
      </w:pPr>
    </w:p>
    <w:p w14:paraId="38E6362E" w14:textId="77777777" w:rsidR="00341521" w:rsidRDefault="00341521">
      <w:pPr>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br w:type="page"/>
      </w:r>
    </w:p>
    <w:p w14:paraId="0595BAE5" w14:textId="26FFA83F" w:rsidR="00F22180" w:rsidRPr="004839AA" w:rsidRDefault="00F22180" w:rsidP="00F2218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lastRenderedPageBreak/>
        <w:t>The Agency has adopted amortised historical cost as a proxy for fair value.  Intangible assets are carried at cost less accumulated amortisation and any impairment losses. Subsequent expenditure on intangible assets is only capitalised when it increases the future economic benefits embodied in the specific asset to which it relates. All other expenditure is recognised within the SoCNE as incurred.  The amortisation method reflects the pattern in which the asset's economic benefits are consumed by the Agency.</w:t>
      </w:r>
      <w:r>
        <w:rPr>
          <w:rFonts w:ascii="Arial" w:eastAsia="Times New Roman" w:hAnsi="Arial" w:cs="Arial"/>
          <w:kern w:val="0"/>
          <w:sz w:val="24"/>
          <w:szCs w:val="24"/>
          <w:lang w:eastAsia="en-GB"/>
          <w14:ligatures w14:val="none"/>
        </w:rPr>
        <w:br/>
      </w:r>
    </w:p>
    <w:p w14:paraId="5C2F8608" w14:textId="77777777" w:rsidR="00F22180" w:rsidRPr="004839AA" w:rsidRDefault="00F22180" w:rsidP="00F22180">
      <w:pPr>
        <w:spacing w:after="0" w:line="240" w:lineRule="auto"/>
        <w:ind w:left="-63" w:firstLineChars="15" w:firstLine="36"/>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1(e)</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Depreciation and amortisation</w:t>
      </w:r>
    </w:p>
    <w:p w14:paraId="2635CC81" w14:textId="77777777" w:rsidR="00F22180" w:rsidRDefault="00F22180" w:rsidP="00F2218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Depreciation and amortisation are charged on PPE and intangible assets from the date they are commissioned into operational service, on a straight-line basis over the life of the asset, less any residual value expected at the end of its life. Assets under construction are not depreciated until they are commissioned into operation.</w:t>
      </w:r>
      <w:r>
        <w:rPr>
          <w:rFonts w:ascii="Arial" w:eastAsia="Times New Roman" w:hAnsi="Arial" w:cs="Arial"/>
          <w:kern w:val="0"/>
          <w:sz w:val="24"/>
          <w:szCs w:val="24"/>
          <w:lang w:eastAsia="en-GB"/>
          <w14:ligatures w14:val="none"/>
        </w:rPr>
        <w:br/>
      </w:r>
    </w:p>
    <w:p w14:paraId="78F34468" w14:textId="77777777" w:rsidR="00F22180" w:rsidRPr="004839AA" w:rsidRDefault="00F22180" w:rsidP="00F2218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 estimated useful lives from new of the categories of non-current assets are:</w:t>
      </w:r>
    </w:p>
    <w:p w14:paraId="279437ED" w14:textId="77777777" w:rsidR="00F22180" w:rsidRPr="004839AA" w:rsidRDefault="00F22180" w:rsidP="00F2218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Right of use assets: either the useful life or the end of the lease term</w:t>
      </w:r>
    </w:p>
    <w:p w14:paraId="7C325988" w14:textId="77777777" w:rsidR="00F22180" w:rsidRPr="004839AA" w:rsidRDefault="00F22180" w:rsidP="00F2218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Information technology: 2 to 5 years</w:t>
      </w:r>
    </w:p>
    <w:p w14:paraId="32A1BFD3" w14:textId="77777777" w:rsidR="00F22180" w:rsidRPr="004839AA" w:rsidRDefault="00F22180" w:rsidP="00F2218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Plant &amp; machinery: 2 to 15 years</w:t>
      </w:r>
    </w:p>
    <w:p w14:paraId="0248E097" w14:textId="77777777" w:rsidR="00F22180" w:rsidRPr="004839AA" w:rsidRDefault="00F22180" w:rsidP="00F2218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Furniture &amp; fittings: 2 to 15 years</w:t>
      </w:r>
    </w:p>
    <w:p w14:paraId="40DCB9A7" w14:textId="77777777" w:rsidR="00F22180" w:rsidRPr="004839AA" w:rsidRDefault="00F22180" w:rsidP="00F2218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Internally developed systems: useful life of the system from date brought into use</w:t>
      </w:r>
    </w:p>
    <w:p w14:paraId="6ECB095E" w14:textId="77777777" w:rsidR="00F22180" w:rsidRDefault="00F22180" w:rsidP="00F2218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Software licences: 2 to 10 years</w:t>
      </w:r>
    </w:p>
    <w:p w14:paraId="7E3359D9" w14:textId="77777777" w:rsidR="00F22180" w:rsidRPr="004839AA" w:rsidRDefault="00F22180" w:rsidP="00F22180">
      <w:pPr>
        <w:spacing w:after="0" w:line="240" w:lineRule="auto"/>
        <w:rPr>
          <w:rFonts w:ascii="Arial" w:eastAsia="Times New Roman" w:hAnsi="Arial" w:cs="Arial"/>
          <w:kern w:val="0"/>
          <w:sz w:val="24"/>
          <w:szCs w:val="24"/>
          <w:lang w:eastAsia="en-GB"/>
          <w14:ligatures w14:val="none"/>
        </w:rPr>
      </w:pPr>
    </w:p>
    <w:p w14:paraId="130AE008" w14:textId="77777777" w:rsidR="00F22180" w:rsidRPr="004839AA" w:rsidRDefault="00F22180" w:rsidP="00F22180">
      <w:pPr>
        <w:spacing w:after="0" w:line="240" w:lineRule="auto"/>
        <w:ind w:left="-63" w:firstLineChars="15" w:firstLine="36"/>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1(f)</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Impairments</w:t>
      </w:r>
    </w:p>
    <w:p w14:paraId="234152AC" w14:textId="77777777" w:rsidR="00F22180" w:rsidRDefault="00F22180" w:rsidP="00F2218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The Agency carries out a review of its assets at each year-end to assess whether there are any indications of impairment. The concept of materiality applies, (only material impairments are identified) but if there are indications of impairment losses, the Agency will make a formal estimate of the recoverable amount of the assets concerned. </w:t>
      </w:r>
    </w:p>
    <w:p w14:paraId="1C0D5A11" w14:textId="77777777" w:rsidR="00F22180" w:rsidRDefault="00F22180" w:rsidP="00F22180">
      <w:pPr>
        <w:spacing w:after="0" w:line="240" w:lineRule="auto"/>
        <w:rPr>
          <w:rFonts w:ascii="Arial" w:eastAsia="Times New Roman" w:hAnsi="Arial" w:cs="Arial"/>
          <w:kern w:val="0"/>
          <w:sz w:val="24"/>
          <w:szCs w:val="24"/>
          <w:lang w:eastAsia="en-GB"/>
          <w14:ligatures w14:val="none"/>
        </w:rPr>
      </w:pPr>
    </w:p>
    <w:p w14:paraId="4744FFE3" w14:textId="77777777" w:rsidR="00F22180" w:rsidRDefault="00F22180" w:rsidP="00F2218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Where the assessed recoverable amount (or fair value) is determined to be materially less than the carrying value (being the amortised cost recorded within the SoFP) the Agency shall impair the value of the asset and recognise a corresponding expense within the SoCNE.</w:t>
      </w:r>
    </w:p>
    <w:p w14:paraId="3D198CC5" w14:textId="77777777" w:rsidR="00F22180" w:rsidRDefault="00F22180" w:rsidP="00F22180">
      <w:pPr>
        <w:spacing w:after="0" w:line="240" w:lineRule="auto"/>
        <w:rPr>
          <w:rFonts w:ascii="Arial" w:eastAsia="Times New Roman" w:hAnsi="Arial" w:cs="Arial"/>
          <w:kern w:val="0"/>
          <w:sz w:val="24"/>
          <w:szCs w:val="24"/>
          <w:lang w:eastAsia="en-GB"/>
          <w14:ligatures w14:val="none"/>
        </w:rPr>
      </w:pPr>
    </w:p>
    <w:p w14:paraId="183A2B39" w14:textId="77777777" w:rsidR="00F22180" w:rsidRDefault="00F22180" w:rsidP="00F2218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 Agency carried out an impairment review during the year comparing the carrying amounts of PPE and intangible assets with their recoverable amount. The carrying amount is the value in the Statement of Financial Position (SoFP) while the recoverable amount is the higher of net realisable value and value in use. If the net realisable value cannot be ascertained then the value in use is taken. There were no impairments identified.</w:t>
      </w:r>
    </w:p>
    <w:p w14:paraId="14420AC4" w14:textId="41E70B61" w:rsidR="009C2265" w:rsidRDefault="009C2265"/>
    <w:tbl>
      <w:tblPr>
        <w:tblW w:w="9072" w:type="dxa"/>
        <w:tblLayout w:type="fixed"/>
        <w:tblLook w:val="04A0" w:firstRow="1" w:lastRow="0" w:firstColumn="1" w:lastColumn="0" w:noHBand="0" w:noVBand="1"/>
      </w:tblPr>
      <w:tblGrid>
        <w:gridCol w:w="9072"/>
      </w:tblGrid>
      <w:tr w:rsidR="00560745" w:rsidRPr="004839AA" w14:paraId="3BAA96D2" w14:textId="77777777" w:rsidTr="00FE4188">
        <w:trPr>
          <w:trHeight w:val="17600"/>
        </w:trPr>
        <w:tc>
          <w:tcPr>
            <w:tcW w:w="9072" w:type="dxa"/>
            <w:tcMar>
              <w:top w:w="15" w:type="dxa"/>
              <w:left w:w="108" w:type="dxa"/>
              <w:bottom w:w="0" w:type="dxa"/>
              <w:right w:w="108" w:type="dxa"/>
            </w:tcMar>
            <w:hideMark/>
          </w:tcPr>
          <w:p w14:paraId="63230FB2" w14:textId="18972413" w:rsidR="00AD0492" w:rsidRPr="004839AA" w:rsidRDefault="00AD0492" w:rsidP="003C702D">
            <w:pPr>
              <w:spacing w:after="0" w:line="240" w:lineRule="auto"/>
              <w:rPr>
                <w:rFonts w:ascii="Arial" w:hAnsi="Arial" w:cs="Arial"/>
                <w:kern w:val="0"/>
                <w:sz w:val="24"/>
                <w:szCs w:val="24"/>
                <w:lang w:eastAsia="en-GB"/>
                <w14:ligatures w14:val="none"/>
              </w:rPr>
            </w:pPr>
            <w:r w:rsidRPr="004839AA">
              <w:rPr>
                <w:rFonts w:ascii="Arial" w:eastAsia="Times New Roman" w:hAnsi="Arial" w:cs="Arial"/>
                <w:b/>
                <w:bCs/>
                <w:kern w:val="0"/>
                <w:sz w:val="24"/>
                <w:szCs w:val="24"/>
                <w:lang w:eastAsia="en-GB"/>
                <w14:ligatures w14:val="none"/>
              </w:rPr>
              <w:lastRenderedPageBreak/>
              <w:t>1(g)</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Provisions and contingent liabilities</w:t>
            </w:r>
          </w:p>
          <w:p w14:paraId="4FAC82C4" w14:textId="6031FE28" w:rsidR="00994854" w:rsidRDefault="00AD0492">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A provision is defined in IAS 37, as a liability of uncertain timing or of uncertain amount.</w:t>
            </w:r>
          </w:p>
          <w:p w14:paraId="33927D18" w14:textId="77777777" w:rsidR="00C979CB" w:rsidRDefault="00C979CB">
            <w:pPr>
              <w:spacing w:after="0" w:line="240" w:lineRule="auto"/>
              <w:rPr>
                <w:rFonts w:ascii="Arial" w:eastAsia="Times New Roman" w:hAnsi="Arial" w:cs="Arial"/>
                <w:kern w:val="0"/>
                <w:sz w:val="24"/>
                <w:szCs w:val="24"/>
                <w:lang w:eastAsia="en-GB"/>
                <w14:ligatures w14:val="none"/>
              </w:rPr>
            </w:pPr>
          </w:p>
          <w:p w14:paraId="41F664A5" w14:textId="405506C6" w:rsidR="00AD0492" w:rsidRDefault="00AD0492">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A provision is recognised in the SoFP when the </w:t>
            </w:r>
            <w:r w:rsidR="492A32CB" w:rsidRPr="004839AA">
              <w:rPr>
                <w:rFonts w:ascii="Arial" w:eastAsia="Times New Roman" w:hAnsi="Arial" w:cs="Arial"/>
                <w:kern w:val="0"/>
                <w:sz w:val="24"/>
                <w:szCs w:val="24"/>
                <w:lang w:eastAsia="en-GB"/>
                <w14:ligatures w14:val="none"/>
              </w:rPr>
              <w:t>Agency</w:t>
            </w:r>
            <w:r w:rsidRPr="004839AA">
              <w:rPr>
                <w:rFonts w:ascii="Arial" w:eastAsia="Times New Roman" w:hAnsi="Arial" w:cs="Arial"/>
                <w:kern w:val="0"/>
                <w:sz w:val="24"/>
                <w:szCs w:val="24"/>
                <w:lang w:eastAsia="en-GB"/>
                <w14:ligatures w14:val="none"/>
              </w:rPr>
              <w:t xml:space="preserve"> has a legal obligation or a valid expectation of an obligation (a constructive obligation), because of a past event and when it is probable that a payment will be required to settle that obligation at some point in the future.</w:t>
            </w:r>
            <w:r>
              <w:rPr>
                <w:rFonts w:ascii="Arial" w:eastAsia="Times New Roman" w:hAnsi="Arial" w:cs="Arial"/>
                <w:kern w:val="0"/>
                <w:sz w:val="24"/>
                <w:szCs w:val="24"/>
                <w:lang w:eastAsia="en-GB"/>
                <w14:ligatures w14:val="none"/>
              </w:rPr>
              <w:br/>
            </w:r>
          </w:p>
          <w:p w14:paraId="247FE6CF" w14:textId="77777777" w:rsidR="00AD0492" w:rsidRDefault="00AD0492">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In order to recognise a provision, it must also be possible to make a reliable estimate of the expenditure required to settle the obligation. If the effect is material, provisions are determined by discounting the expected future cash flows at the rate determined by HM Treasury for financial liabilities to allow for likely changes in the value of money over time.</w:t>
            </w:r>
            <w:r>
              <w:rPr>
                <w:rFonts w:ascii="Arial" w:eastAsia="Times New Roman" w:hAnsi="Arial" w:cs="Arial"/>
                <w:kern w:val="0"/>
                <w:sz w:val="24"/>
                <w:szCs w:val="24"/>
                <w:lang w:eastAsia="en-GB"/>
                <w14:ligatures w14:val="none"/>
              </w:rPr>
              <w:br/>
            </w:r>
          </w:p>
          <w:p w14:paraId="59C65702" w14:textId="77777777" w:rsidR="00AD0492" w:rsidRDefault="00AD0492">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Each year the financing charges in the SoCNE associated with these provisions include adjustments to adjust one year’s discount so that liabilities are shown at current price levels. Current provisions are shown in Note 12.</w:t>
            </w:r>
          </w:p>
          <w:p w14:paraId="2904D054" w14:textId="77777777" w:rsidR="00AD0492" w:rsidRPr="004839AA" w:rsidRDefault="00AD0492">
            <w:pPr>
              <w:spacing w:after="0" w:line="240" w:lineRule="auto"/>
              <w:rPr>
                <w:rFonts w:ascii="Arial" w:eastAsia="Times New Roman" w:hAnsi="Arial" w:cs="Arial"/>
                <w:kern w:val="0"/>
                <w:sz w:val="24"/>
                <w:szCs w:val="24"/>
                <w:lang w:eastAsia="en-GB"/>
                <w14:ligatures w14:val="none"/>
              </w:rPr>
            </w:pPr>
          </w:p>
          <w:p w14:paraId="38B8EFDF" w14:textId="77777777" w:rsidR="00AD0492" w:rsidRPr="004839AA" w:rsidRDefault="00AD0492">
            <w:pPr>
              <w:spacing w:after="0" w:line="240" w:lineRule="auto"/>
              <w:rPr>
                <w:rFonts w:ascii="Arial" w:eastAsia="Times New Roman" w:hAnsi="Arial" w:cs="Arial"/>
                <w:kern w:val="0"/>
                <w:sz w:val="24"/>
                <w:szCs w:val="24"/>
                <w:u w:val="single"/>
                <w:lang w:eastAsia="en-GB"/>
                <w14:ligatures w14:val="none"/>
              </w:rPr>
            </w:pPr>
            <w:r w:rsidRPr="004839AA">
              <w:rPr>
                <w:rFonts w:ascii="Arial" w:eastAsia="Times New Roman" w:hAnsi="Arial" w:cs="Arial"/>
                <w:kern w:val="0"/>
                <w:sz w:val="24"/>
                <w:szCs w:val="24"/>
                <w:u w:val="single"/>
                <w:lang w:eastAsia="en-GB"/>
                <w14:ligatures w14:val="none"/>
              </w:rPr>
              <w:t>Contingent liabilities</w:t>
            </w:r>
          </w:p>
          <w:p w14:paraId="29D7112F" w14:textId="24F81BF3" w:rsidR="00AD0492" w:rsidRDefault="00AD0492">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A contingent liability is defined in IAS 37 as:</w:t>
            </w:r>
            <w:r w:rsidRPr="004839AA">
              <w:rPr>
                <w:rFonts w:ascii="Arial" w:eastAsia="Times New Roman" w:hAnsi="Arial" w:cs="Arial"/>
                <w:kern w:val="0"/>
                <w:sz w:val="24"/>
                <w:szCs w:val="24"/>
                <w:lang w:eastAsia="en-GB"/>
                <w14:ligatures w14:val="none"/>
              </w:rPr>
              <w:br/>
              <w:t xml:space="preserve">(i) </w:t>
            </w:r>
            <w:r w:rsidR="00623A11">
              <w:rPr>
                <w:rFonts w:ascii="Arial" w:eastAsia="Times New Roman" w:hAnsi="Arial" w:cs="Arial"/>
                <w:kern w:val="0"/>
                <w:sz w:val="24"/>
                <w:szCs w:val="24"/>
                <w:lang w:eastAsia="en-GB"/>
                <w14:ligatures w14:val="none"/>
              </w:rPr>
              <w:t>a</w:t>
            </w:r>
            <w:r w:rsidRPr="004839AA">
              <w:rPr>
                <w:rFonts w:ascii="Arial" w:eastAsia="Times New Roman" w:hAnsi="Arial" w:cs="Arial"/>
                <w:kern w:val="0"/>
                <w:sz w:val="24"/>
                <w:szCs w:val="24"/>
                <w:lang w:eastAsia="en-GB"/>
                <w14:ligatures w14:val="none"/>
              </w:rPr>
              <w:t xml:space="preserve"> possible obligation which will be confirmed by an uncertain future event that is not wholly within the control of the Agency. </w:t>
            </w:r>
            <w:r w:rsidRPr="004839AA">
              <w:rPr>
                <w:rFonts w:ascii="Arial" w:eastAsia="Times New Roman" w:hAnsi="Arial" w:cs="Arial"/>
                <w:kern w:val="0"/>
                <w:sz w:val="24"/>
                <w:szCs w:val="24"/>
                <w:lang w:eastAsia="en-GB"/>
                <w14:ligatures w14:val="none"/>
              </w:rPr>
              <w:br/>
              <w:t xml:space="preserve">(ii) </w:t>
            </w:r>
            <w:r w:rsidR="00623A11">
              <w:rPr>
                <w:rFonts w:ascii="Arial" w:eastAsia="Times New Roman" w:hAnsi="Arial" w:cs="Arial"/>
                <w:kern w:val="0"/>
                <w:sz w:val="24"/>
                <w:szCs w:val="24"/>
                <w:lang w:eastAsia="en-GB"/>
                <w14:ligatures w14:val="none"/>
              </w:rPr>
              <w:t>a</w:t>
            </w:r>
            <w:r w:rsidRPr="004839AA">
              <w:rPr>
                <w:rFonts w:ascii="Arial" w:eastAsia="Times New Roman" w:hAnsi="Arial" w:cs="Arial"/>
                <w:kern w:val="0"/>
                <w:sz w:val="24"/>
                <w:szCs w:val="24"/>
                <w:lang w:eastAsia="en-GB"/>
                <w14:ligatures w14:val="none"/>
              </w:rPr>
              <w:t>n obligation that is not recognised because the amount cannot be measured with sufficient reliability or because payment is not probable.</w:t>
            </w:r>
            <w:r>
              <w:rPr>
                <w:rFonts w:ascii="Arial" w:eastAsia="Times New Roman" w:hAnsi="Arial" w:cs="Arial"/>
                <w:kern w:val="0"/>
                <w:sz w:val="24"/>
                <w:szCs w:val="24"/>
                <w:lang w:eastAsia="en-GB"/>
                <w14:ligatures w14:val="none"/>
              </w:rPr>
              <w:br/>
            </w:r>
          </w:p>
          <w:p w14:paraId="3ABB0361" w14:textId="77777777" w:rsidR="00AD0492" w:rsidRDefault="00AD0492">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Where the time value of money is material, disclosed contingent liabilities are stated at discounted amounts.</w:t>
            </w:r>
            <w:r>
              <w:rPr>
                <w:rFonts w:ascii="Arial" w:eastAsia="Times New Roman" w:hAnsi="Arial" w:cs="Arial"/>
                <w:kern w:val="0"/>
                <w:sz w:val="24"/>
                <w:szCs w:val="24"/>
                <w:lang w:eastAsia="en-GB"/>
                <w14:ligatures w14:val="none"/>
              </w:rPr>
              <w:br/>
            </w:r>
          </w:p>
          <w:p w14:paraId="337D68C5" w14:textId="77777777" w:rsidR="00AD0492" w:rsidRDefault="00AD0492">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Current contingent liabilities are shown in Note 14.</w:t>
            </w:r>
          </w:p>
          <w:p w14:paraId="6D2920CF" w14:textId="77777777" w:rsidR="00AD0492" w:rsidRPr="004839AA" w:rsidRDefault="00AD0492">
            <w:pPr>
              <w:spacing w:after="0" w:line="240" w:lineRule="auto"/>
              <w:rPr>
                <w:rFonts w:ascii="Arial" w:eastAsia="Times New Roman" w:hAnsi="Arial" w:cs="Arial"/>
                <w:kern w:val="0"/>
                <w:sz w:val="24"/>
                <w:szCs w:val="24"/>
                <w:lang w:eastAsia="en-GB"/>
                <w14:ligatures w14:val="none"/>
              </w:rPr>
            </w:pPr>
          </w:p>
          <w:p w14:paraId="5DDC9DD5" w14:textId="77777777" w:rsidR="00AD0492" w:rsidRPr="004839AA" w:rsidRDefault="00AD0492" w:rsidP="001E1E14">
            <w:pPr>
              <w:spacing w:after="0" w:line="240" w:lineRule="auto"/>
              <w:ind w:left="-63" w:firstLineChars="15" w:firstLine="36"/>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1(h)</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Pensions</w:t>
            </w:r>
          </w:p>
          <w:p w14:paraId="739FDF4C" w14:textId="77777777" w:rsidR="00AD0492" w:rsidRDefault="00AD0492">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Pension benefits are provided through the Civil Service pension arrangements. Present and past employees are covered by the provisions of Principal Civil Service Pension Scheme (PCSPS) and the Civil Service and Others Pension Scheme (CSOPS) known as 'alpha', which is described in the Remuneration Report. These are multi-employer defined benefit schemes where we are unable to identify our share of the underlying assets and liabilities. There is also a 'partnership' pension scheme which employees can choose which is an occupational defined contribution pension arrangement which is part of the Legal &amp; General Mastertrust.</w:t>
            </w:r>
            <w:r>
              <w:rPr>
                <w:rFonts w:ascii="Arial" w:eastAsia="Times New Roman" w:hAnsi="Arial" w:cs="Arial"/>
                <w:kern w:val="0"/>
                <w:sz w:val="24"/>
                <w:szCs w:val="24"/>
                <w:lang w:eastAsia="en-GB"/>
                <w14:ligatures w14:val="none"/>
              </w:rPr>
              <w:br/>
            </w:r>
          </w:p>
          <w:p w14:paraId="57466E87" w14:textId="77777777" w:rsidR="00AD0492" w:rsidRDefault="00AD0492">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In accordance with IAS 19, the Agency does not recognise liabilities associated with these schemes, though information on the schemes in total is available in the Civil Superannuation Account 2023-24 produced by the Cabinet Office.</w:t>
            </w:r>
            <w:r>
              <w:rPr>
                <w:rFonts w:ascii="Arial" w:eastAsia="Times New Roman" w:hAnsi="Arial" w:cs="Arial"/>
                <w:kern w:val="0"/>
                <w:sz w:val="24"/>
                <w:szCs w:val="24"/>
                <w:lang w:eastAsia="en-GB"/>
                <w14:ligatures w14:val="none"/>
              </w:rPr>
              <w:br/>
            </w:r>
          </w:p>
          <w:p w14:paraId="410BDE3F" w14:textId="77777777" w:rsidR="00340024" w:rsidRDefault="00AD0492">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The Agency recognises the expected cost of providing pensions on a systematic and rational basis over the period during which it benefits from employees’ services by payment to the PCSPS of amounts calculated on an accruing basis. </w:t>
            </w:r>
          </w:p>
          <w:p w14:paraId="7FF6D732" w14:textId="0782895A" w:rsidR="00560745" w:rsidRPr="004839AA" w:rsidRDefault="00560745">
            <w:pPr>
              <w:spacing w:after="0" w:line="240" w:lineRule="auto"/>
              <w:rPr>
                <w:rFonts w:ascii="Arial" w:eastAsia="Times New Roman" w:hAnsi="Arial" w:cs="Arial"/>
                <w:b/>
                <w:bCs/>
                <w:kern w:val="0"/>
                <w:sz w:val="24"/>
                <w:szCs w:val="24"/>
                <w:lang w:eastAsia="en-GB"/>
                <w14:ligatures w14:val="none"/>
              </w:rPr>
            </w:pPr>
          </w:p>
        </w:tc>
      </w:tr>
      <w:tr w:rsidR="00FE4188" w:rsidRPr="004839AA" w14:paraId="576B6891" w14:textId="77777777" w:rsidTr="00B14DA2">
        <w:trPr>
          <w:trHeight w:val="17600"/>
        </w:trPr>
        <w:tc>
          <w:tcPr>
            <w:tcW w:w="9072" w:type="dxa"/>
            <w:tcMar>
              <w:top w:w="15" w:type="dxa"/>
              <w:left w:w="108" w:type="dxa"/>
              <w:bottom w:w="0" w:type="dxa"/>
              <w:right w:w="108" w:type="dxa"/>
            </w:tcMar>
          </w:tcPr>
          <w:p w14:paraId="35DC037C" w14:textId="77777777" w:rsidR="00FE4188" w:rsidRDefault="00FE4188" w:rsidP="00FE4188">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lastRenderedPageBreak/>
              <w:t>Liability for payment of future benefits is a charge on the PCSPS and alpha. In respect of the defined contribution schemes, the Agency recognises the contributions payable for the year.</w:t>
            </w:r>
            <w:r>
              <w:rPr>
                <w:rFonts w:ascii="Arial" w:eastAsia="Times New Roman" w:hAnsi="Arial" w:cs="Arial"/>
                <w:kern w:val="0"/>
                <w:sz w:val="24"/>
                <w:szCs w:val="24"/>
                <w:lang w:eastAsia="en-GB"/>
                <w14:ligatures w14:val="none"/>
              </w:rPr>
              <w:br/>
            </w:r>
          </w:p>
          <w:p w14:paraId="547E7D75" w14:textId="77777777" w:rsidR="00FE4188" w:rsidRPr="004839AA" w:rsidRDefault="00FE4188" w:rsidP="00FE4188">
            <w:pPr>
              <w:spacing w:after="0" w:line="240" w:lineRule="auto"/>
              <w:ind w:left="-63" w:firstLineChars="15" w:firstLine="36"/>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1(i)</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Early departure costs</w:t>
            </w:r>
          </w:p>
          <w:p w14:paraId="139FC5BA" w14:textId="77777777" w:rsidR="00FE4188" w:rsidRDefault="00FE4188" w:rsidP="00FE4188">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 Agency, operating as part of the DBT scheme, is required to meet the additional costs of benefits beyond the normal PCSPS benefits in respect of employees who retire early.  The Agency provides in full for this cost when any early retirement programme is announced and is binding.</w:t>
            </w:r>
            <w:r>
              <w:rPr>
                <w:rFonts w:ascii="Arial" w:eastAsia="Times New Roman" w:hAnsi="Arial" w:cs="Arial"/>
                <w:kern w:val="0"/>
                <w:sz w:val="24"/>
                <w:szCs w:val="24"/>
                <w:lang w:eastAsia="en-GB"/>
                <w14:ligatures w14:val="none"/>
              </w:rPr>
              <w:br/>
            </w:r>
          </w:p>
          <w:p w14:paraId="73712A56" w14:textId="77777777" w:rsidR="00FE4188" w:rsidRDefault="00FE4188" w:rsidP="00FE4188">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 Agency may, in certain circumstances, settle some or all its liability in advance by making a payment to the Paymaster General’s account at the Bank of England for the credit of the Civil Service Superannuation Vote.  The amount provided is shown net of any such payments.</w:t>
            </w:r>
            <w:r>
              <w:rPr>
                <w:rFonts w:ascii="Arial" w:eastAsia="Times New Roman" w:hAnsi="Arial" w:cs="Arial"/>
                <w:kern w:val="0"/>
                <w:sz w:val="24"/>
                <w:szCs w:val="24"/>
                <w:lang w:eastAsia="en-GB"/>
                <w14:ligatures w14:val="none"/>
              </w:rPr>
              <w:br/>
            </w:r>
          </w:p>
          <w:p w14:paraId="5772272B" w14:textId="77777777" w:rsidR="00FE4188" w:rsidRDefault="00FE4188" w:rsidP="00FE4188">
            <w:pPr>
              <w:spacing w:after="0" w:line="240" w:lineRule="auto"/>
              <w:ind w:left="-63" w:firstLineChars="15" w:firstLine="36"/>
              <w:rPr>
                <w:rFonts w:ascii="Arial" w:eastAsia="Times New Roman" w:hAnsi="Arial" w:cs="Arial"/>
                <w:b/>
                <w:bCs/>
                <w:kern w:val="0"/>
                <w:sz w:val="24"/>
                <w:szCs w:val="24"/>
                <w:lang w:eastAsia="en-GB"/>
                <w14:ligatures w14:val="none"/>
              </w:rPr>
            </w:pPr>
            <w:r w:rsidRPr="004839AA">
              <w:rPr>
                <w:rFonts w:ascii="Arial" w:eastAsia="Times New Roman" w:hAnsi="Arial" w:cs="Arial"/>
                <w:kern w:val="0"/>
                <w:sz w:val="24"/>
                <w:szCs w:val="24"/>
                <w:lang w:eastAsia="en-GB"/>
                <w14:ligatures w14:val="none"/>
              </w:rPr>
              <w:t>The Agency is also required to meet the costs of early departures in respect of employees who elect to retire under voluntary exit or redundancy schemes. Where the Agency has agreed early retirement, the additional costs are met by the Agency and not by the PCSPS. These costs are paid in full at the time of the exit or redundancy. Details of any early departures in the reporting year, are shown within the Remuneration &amp; Staff Report.</w:t>
            </w:r>
            <w:r w:rsidRPr="004839AA">
              <w:rPr>
                <w:rFonts w:ascii="Arial" w:eastAsia="Times New Roman" w:hAnsi="Arial" w:cs="Arial"/>
                <w:b/>
                <w:bCs/>
                <w:kern w:val="0"/>
                <w:sz w:val="24"/>
                <w:szCs w:val="24"/>
                <w:lang w:eastAsia="en-GB"/>
                <w14:ligatures w14:val="none"/>
              </w:rPr>
              <w:t xml:space="preserve"> </w:t>
            </w:r>
          </w:p>
          <w:p w14:paraId="51557543" w14:textId="77777777" w:rsidR="00FE4188" w:rsidRDefault="00FE4188" w:rsidP="00FE4188">
            <w:pPr>
              <w:spacing w:after="0" w:line="240" w:lineRule="auto"/>
              <w:ind w:left="-63" w:firstLineChars="15" w:firstLine="36"/>
              <w:rPr>
                <w:rFonts w:ascii="Arial" w:eastAsia="Times New Roman" w:hAnsi="Arial" w:cs="Arial"/>
                <w:b/>
                <w:bCs/>
                <w:kern w:val="0"/>
                <w:sz w:val="24"/>
                <w:szCs w:val="24"/>
                <w:lang w:eastAsia="en-GB"/>
                <w14:ligatures w14:val="none"/>
              </w:rPr>
            </w:pPr>
          </w:p>
          <w:p w14:paraId="5680609B" w14:textId="77777777" w:rsidR="00FE4188" w:rsidRPr="004839AA" w:rsidRDefault="00FE4188" w:rsidP="00FE4188">
            <w:pPr>
              <w:spacing w:after="0" w:line="240" w:lineRule="auto"/>
              <w:ind w:left="-63" w:firstLineChars="15" w:firstLine="36"/>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1(j)</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Operating income</w:t>
            </w:r>
          </w:p>
          <w:p w14:paraId="16070F46" w14:textId="77777777" w:rsidR="00FE4188" w:rsidRDefault="00FE4188" w:rsidP="00FE4188">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Operating income is income which relates directly to the operating activities of the Agency. It principally comprises statutory fees for case administration income, which includes an Administration Fee, General Fee (previously the Secretary of State fee for cases prior to 2016-17), Trustee Liquidator Fee and a Distribution (Time &amp; Rate) Fee. See Note 1(k) for more information on case administration fee income.</w:t>
            </w:r>
            <w:r>
              <w:rPr>
                <w:rFonts w:ascii="Arial" w:eastAsia="Times New Roman" w:hAnsi="Arial" w:cs="Arial"/>
                <w:kern w:val="0"/>
                <w:sz w:val="24"/>
                <w:szCs w:val="24"/>
                <w:lang w:eastAsia="en-GB"/>
                <w14:ligatures w14:val="none"/>
              </w:rPr>
              <w:br/>
            </w:r>
          </w:p>
          <w:p w14:paraId="27E1B8AA" w14:textId="0EF368BC" w:rsidR="00FE4188" w:rsidRDefault="00FE4188" w:rsidP="00FE4188">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Operating income additionally includes RPS Income, see Note 1(m), which is income recovered from companies under the redundancy payments service (RPS) operated by the Agency on behalf of </w:t>
            </w:r>
            <w:r w:rsidR="006F653A">
              <w:rPr>
                <w:rFonts w:ascii="Arial" w:eastAsia="Times New Roman" w:hAnsi="Arial" w:cs="Arial"/>
                <w:sz w:val="24"/>
                <w:szCs w:val="24"/>
              </w:rPr>
              <w:t>HM Revenue &amp; Customs</w:t>
            </w:r>
            <w:r w:rsidRPr="004839AA">
              <w:rPr>
                <w:rFonts w:ascii="Arial" w:eastAsia="Times New Roman" w:hAnsi="Arial" w:cs="Arial"/>
                <w:kern w:val="0"/>
                <w:sz w:val="24"/>
                <w:szCs w:val="24"/>
                <w:lang w:eastAsia="en-GB"/>
                <w14:ligatures w14:val="none"/>
              </w:rPr>
              <w:t>. These are recovered and recoverable from the estates of bankrupts and companies in liquidation to which they relate.</w:t>
            </w:r>
            <w:r>
              <w:rPr>
                <w:rFonts w:ascii="Arial" w:eastAsia="Times New Roman" w:hAnsi="Arial" w:cs="Arial"/>
                <w:kern w:val="0"/>
                <w:sz w:val="24"/>
                <w:szCs w:val="24"/>
                <w:lang w:eastAsia="en-GB"/>
                <w14:ligatures w14:val="none"/>
              </w:rPr>
              <w:br/>
            </w:r>
          </w:p>
          <w:p w14:paraId="19760922" w14:textId="77777777" w:rsidR="00FE4188" w:rsidRDefault="00FE4188" w:rsidP="00FE4188">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Amounts received by the Agency under a service level agreement with HM Revenue &amp; Customs for the administration of RPS are also treated as operating income. Operating income does not include funding received from DBT under a programme allocation for investigation and enforcement activities carried out by the Agency or administration funding for policy activities. </w:t>
            </w:r>
          </w:p>
          <w:p w14:paraId="604919BE" w14:textId="77777777" w:rsidR="00FE4188" w:rsidRDefault="00FE4188" w:rsidP="00FE4188">
            <w:pPr>
              <w:spacing w:after="0" w:line="240" w:lineRule="auto"/>
              <w:rPr>
                <w:rFonts w:ascii="Arial" w:eastAsia="Times New Roman" w:hAnsi="Arial" w:cs="Arial"/>
                <w:kern w:val="0"/>
                <w:sz w:val="24"/>
                <w:szCs w:val="24"/>
                <w:lang w:eastAsia="en-GB"/>
                <w14:ligatures w14:val="none"/>
              </w:rPr>
            </w:pPr>
          </w:p>
          <w:p w14:paraId="2C83CD65" w14:textId="6F6D774C" w:rsidR="00FE4188" w:rsidRPr="004839AA" w:rsidRDefault="00FE4188" w:rsidP="00FE4188">
            <w:pPr>
              <w:spacing w:after="0" w:line="240" w:lineRule="auto"/>
              <w:rPr>
                <w:rFonts w:ascii="Arial" w:eastAsia="Times New Roman" w:hAnsi="Arial" w:cs="Arial"/>
                <w:b/>
                <w:bCs/>
                <w:kern w:val="0"/>
                <w:sz w:val="24"/>
                <w:szCs w:val="24"/>
                <w:lang w:eastAsia="en-GB"/>
                <w14:ligatures w14:val="none"/>
              </w:rPr>
            </w:pPr>
            <w:r w:rsidRPr="004839AA">
              <w:rPr>
                <w:rFonts w:ascii="Arial" w:eastAsia="Times New Roman" w:hAnsi="Arial" w:cs="Arial"/>
                <w:kern w:val="0"/>
                <w:sz w:val="24"/>
                <w:szCs w:val="24"/>
                <w:lang w:eastAsia="en-GB"/>
                <w14:ligatures w14:val="none"/>
              </w:rPr>
              <w:t>Operating income is stated at its fair value. In most cases, consideration is in the form of cash or cash equivalents and the amount of revenue is the amount of cash or cash equivalents expected to be received or receivable. In relation to case administration fee income the fair value of the consideration is determined by discounting all future receipts using the discount rate for financial assets set by HM Treasury, currently 2.1%.</w:t>
            </w:r>
          </w:p>
        </w:tc>
      </w:tr>
      <w:tr w:rsidR="00560745" w:rsidRPr="004839AA" w14:paraId="58386E28" w14:textId="77777777" w:rsidTr="00B14DA2">
        <w:trPr>
          <w:trHeight w:val="12623"/>
        </w:trPr>
        <w:tc>
          <w:tcPr>
            <w:tcW w:w="9072" w:type="dxa"/>
            <w:tcMar>
              <w:top w:w="15" w:type="dxa"/>
              <w:left w:w="108" w:type="dxa"/>
              <w:bottom w:w="0" w:type="dxa"/>
              <w:right w:w="108" w:type="dxa"/>
            </w:tcMar>
            <w:hideMark/>
          </w:tcPr>
          <w:p w14:paraId="0FAF5B9F" w14:textId="1D0D5366" w:rsidR="00E31C70" w:rsidRPr="004839AA" w:rsidRDefault="00E31C7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lastRenderedPageBreak/>
              <w:t>Income in respect of costs awarded in directors' disqualification proceedings and reported in Note 4</w:t>
            </w:r>
            <w:r w:rsidR="00602867">
              <w:rPr>
                <w:rFonts w:ascii="Arial" w:eastAsia="Times New Roman" w:hAnsi="Arial" w:cs="Arial"/>
                <w:kern w:val="0"/>
                <w:sz w:val="24"/>
                <w:szCs w:val="24"/>
                <w:lang w:eastAsia="en-GB"/>
                <w14:ligatures w14:val="none"/>
              </w:rPr>
              <w:t>,</w:t>
            </w:r>
            <w:r w:rsidRPr="004839AA">
              <w:rPr>
                <w:rFonts w:ascii="Arial" w:eastAsia="Times New Roman" w:hAnsi="Arial" w:cs="Arial"/>
                <w:kern w:val="0"/>
                <w:sz w:val="24"/>
                <w:szCs w:val="24"/>
                <w:lang w:eastAsia="en-GB"/>
                <w14:ligatures w14:val="none"/>
              </w:rPr>
              <w:t xml:space="preserve"> within the "Investigation and enforcement" balances</w:t>
            </w:r>
            <w:r w:rsidR="00602867">
              <w:rPr>
                <w:rFonts w:ascii="Arial" w:eastAsia="Times New Roman" w:hAnsi="Arial" w:cs="Arial"/>
                <w:kern w:val="0"/>
                <w:sz w:val="24"/>
                <w:szCs w:val="24"/>
                <w:lang w:eastAsia="en-GB"/>
                <w14:ligatures w14:val="none"/>
              </w:rPr>
              <w:t>,</w:t>
            </w:r>
            <w:r w:rsidRPr="004839AA">
              <w:rPr>
                <w:rFonts w:ascii="Arial" w:eastAsia="Times New Roman" w:hAnsi="Arial" w:cs="Arial"/>
                <w:kern w:val="0"/>
                <w:sz w:val="24"/>
                <w:szCs w:val="24"/>
                <w:lang w:eastAsia="en-GB"/>
                <w14:ligatures w14:val="none"/>
              </w:rPr>
              <w:t xml:space="preserve"> is recognised when:</w:t>
            </w:r>
          </w:p>
          <w:p w14:paraId="310F3DC4" w14:textId="22001955" w:rsidR="00E31C70" w:rsidRPr="004839AA" w:rsidRDefault="00E31C70">
            <w:pPr>
              <w:spacing w:after="0" w:line="240" w:lineRule="auto"/>
              <w:rPr>
                <w:rFonts w:ascii="Arial" w:eastAsia="Times New Roman" w:hAnsi="Arial" w:cs="Arial"/>
                <w:b/>
                <w:bCs/>
                <w:kern w:val="0"/>
                <w:sz w:val="24"/>
                <w:szCs w:val="24"/>
                <w:lang w:eastAsia="en-GB"/>
                <w14:ligatures w14:val="none"/>
              </w:rPr>
            </w:pPr>
            <w:r w:rsidRPr="004839AA">
              <w:rPr>
                <w:rFonts w:ascii="Arial" w:eastAsia="Times New Roman" w:hAnsi="Arial" w:cs="Arial"/>
                <w:kern w:val="0"/>
                <w:sz w:val="24"/>
                <w:szCs w:val="24"/>
                <w:lang w:eastAsia="en-GB"/>
                <w14:ligatures w14:val="none"/>
              </w:rPr>
              <w:t>(i) an order for costs (either interim or final) with a determined value has been made; or</w:t>
            </w:r>
            <w:r w:rsidRPr="004839AA">
              <w:rPr>
                <w:rFonts w:ascii="Arial" w:eastAsia="Times New Roman" w:hAnsi="Arial" w:cs="Arial"/>
                <w:kern w:val="0"/>
                <w:sz w:val="24"/>
                <w:szCs w:val="24"/>
                <w:lang w:eastAsia="en-GB"/>
                <w14:ligatures w14:val="none"/>
              </w:rPr>
              <w:br/>
              <w:t>(ii) where the court orders the costs “to be agreed or assessed” the value of the debt will be recognised when there is an agreement in writing, or a default costs order is made following assessment by the court.</w:t>
            </w:r>
            <w:r>
              <w:rPr>
                <w:rFonts w:ascii="Arial" w:eastAsia="Times New Roman" w:hAnsi="Arial" w:cs="Arial"/>
                <w:kern w:val="0"/>
                <w:sz w:val="24"/>
                <w:szCs w:val="24"/>
                <w:lang w:eastAsia="en-GB"/>
                <w14:ligatures w14:val="none"/>
              </w:rPr>
              <w:br/>
            </w:r>
          </w:p>
          <w:p w14:paraId="30C1602C" w14:textId="77777777" w:rsidR="00E31C70" w:rsidRPr="004839AA" w:rsidRDefault="00E31C70" w:rsidP="00E31C70">
            <w:pPr>
              <w:spacing w:after="0" w:line="240" w:lineRule="auto"/>
              <w:ind w:left="-63" w:firstLineChars="15" w:firstLine="36"/>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1(k)</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Case administration fee income</w:t>
            </w:r>
          </w:p>
          <w:p w14:paraId="08616546" w14:textId="77777777" w:rsidR="00E31C70" w:rsidRDefault="00E31C7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Case administration income comprise the following fee components:</w:t>
            </w:r>
            <w:r w:rsidRPr="004839AA">
              <w:rPr>
                <w:rFonts w:ascii="Arial" w:eastAsia="Times New Roman" w:hAnsi="Arial" w:cs="Arial"/>
                <w:kern w:val="0"/>
                <w:sz w:val="24"/>
                <w:szCs w:val="24"/>
                <w:lang w:eastAsia="en-GB"/>
                <w14:ligatures w14:val="none"/>
              </w:rPr>
              <w:br/>
              <w:t>• Administration Fee</w:t>
            </w:r>
            <w:r w:rsidRPr="004839AA">
              <w:rPr>
                <w:rFonts w:ascii="Arial" w:eastAsia="Times New Roman" w:hAnsi="Arial" w:cs="Arial"/>
                <w:kern w:val="0"/>
                <w:sz w:val="24"/>
                <w:szCs w:val="24"/>
                <w:lang w:eastAsia="en-GB"/>
                <w14:ligatures w14:val="none"/>
              </w:rPr>
              <w:br/>
              <w:t xml:space="preserve">• General Fee </w:t>
            </w:r>
            <w:r w:rsidRPr="004839AA">
              <w:rPr>
                <w:rFonts w:ascii="Arial" w:eastAsia="Times New Roman" w:hAnsi="Arial" w:cs="Arial"/>
                <w:kern w:val="0"/>
                <w:sz w:val="24"/>
                <w:szCs w:val="24"/>
                <w:lang w:eastAsia="en-GB"/>
                <w14:ligatures w14:val="none"/>
              </w:rPr>
              <w:br/>
              <w:t>• Secretary of State Fee (cases prior to 21 July 2016)</w:t>
            </w:r>
            <w:r w:rsidRPr="004839AA">
              <w:rPr>
                <w:rFonts w:ascii="Arial" w:eastAsia="Times New Roman" w:hAnsi="Arial" w:cs="Arial"/>
                <w:kern w:val="0"/>
                <w:sz w:val="24"/>
                <w:szCs w:val="24"/>
                <w:lang w:eastAsia="en-GB"/>
                <w14:ligatures w14:val="none"/>
              </w:rPr>
              <w:br/>
              <w:t>• Trustee Liquidator Fee; and</w:t>
            </w:r>
            <w:r w:rsidRPr="004839AA">
              <w:rPr>
                <w:rFonts w:ascii="Arial" w:eastAsia="Times New Roman" w:hAnsi="Arial" w:cs="Arial"/>
                <w:kern w:val="0"/>
                <w:sz w:val="24"/>
                <w:szCs w:val="24"/>
                <w:lang w:eastAsia="en-GB"/>
                <w14:ligatures w14:val="none"/>
              </w:rPr>
              <w:br/>
              <w:t>• Distribution (Time &amp; Rate) Fee</w:t>
            </w:r>
          </w:p>
          <w:p w14:paraId="3AD0D270" w14:textId="77777777" w:rsidR="00E31C70" w:rsidRDefault="00E31C70">
            <w:pPr>
              <w:spacing w:after="0" w:line="240" w:lineRule="auto"/>
              <w:rPr>
                <w:rFonts w:ascii="Arial" w:eastAsia="Times New Roman" w:hAnsi="Arial" w:cs="Arial"/>
                <w:kern w:val="0"/>
                <w:sz w:val="24"/>
                <w:szCs w:val="24"/>
                <w:lang w:eastAsia="en-GB"/>
                <w14:ligatures w14:val="none"/>
              </w:rPr>
            </w:pPr>
          </w:p>
          <w:p w14:paraId="7825DB97" w14:textId="2A7E1A1F" w:rsidR="00E31C70" w:rsidRPr="004839AA" w:rsidRDefault="00E31C70" w:rsidP="00E31C7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The fees are set through legislation and are managed by the Agency in accordance with the principles of ‘Managing Public Money’, whereby fees are set to recover full costs including the cost of capital. However, fees have not been set to recover the costs of discounting receivables to fair value, because taking account of one year with the next, the discounting costs will eventually ‘unwind’. The Agency therefore adheres to the principle that fees are not set to recover more than 100% of costs. </w:t>
            </w:r>
            <w:r>
              <w:rPr>
                <w:rFonts w:ascii="Arial" w:eastAsia="Times New Roman" w:hAnsi="Arial" w:cs="Arial"/>
                <w:kern w:val="0"/>
                <w:sz w:val="24"/>
                <w:szCs w:val="24"/>
                <w:lang w:eastAsia="en-GB"/>
                <w14:ligatures w14:val="none"/>
              </w:rPr>
              <w:br/>
            </w:r>
          </w:p>
          <w:p w14:paraId="5F6625F1" w14:textId="77777777" w:rsidR="00E31C70" w:rsidRPr="004839AA" w:rsidRDefault="00E31C70" w:rsidP="00E31C70">
            <w:pPr>
              <w:spacing w:after="0" w:line="240" w:lineRule="auto"/>
              <w:rPr>
                <w:rFonts w:ascii="Arial" w:eastAsia="Times New Roman" w:hAnsi="Arial" w:cs="Arial"/>
                <w:kern w:val="0"/>
                <w:sz w:val="24"/>
                <w:szCs w:val="24"/>
                <w:u w:val="single"/>
                <w:lang w:eastAsia="en-GB"/>
                <w14:ligatures w14:val="none"/>
              </w:rPr>
            </w:pPr>
            <w:r w:rsidRPr="004839AA">
              <w:rPr>
                <w:rFonts w:ascii="Arial" w:eastAsia="Times New Roman" w:hAnsi="Arial" w:cs="Arial"/>
                <w:kern w:val="0"/>
                <w:sz w:val="24"/>
                <w:szCs w:val="24"/>
                <w:u w:val="single"/>
                <w:lang w:eastAsia="en-GB"/>
                <w14:ligatures w14:val="none"/>
              </w:rPr>
              <w:t>Administration Fee</w:t>
            </w:r>
          </w:p>
          <w:p w14:paraId="7A9784E4" w14:textId="77777777" w:rsidR="009260A0" w:rsidRPr="004839AA" w:rsidRDefault="00E31C70" w:rsidP="009260A0">
            <w:pPr>
              <w:spacing w:after="0" w:line="240" w:lineRule="auto"/>
              <w:rPr>
                <w:rFonts w:ascii="Arial" w:eastAsia="Times New Roman" w:hAnsi="Arial" w:cs="Arial"/>
                <w:kern w:val="0"/>
                <w:sz w:val="24"/>
                <w:szCs w:val="24"/>
                <w:u w:val="single"/>
                <w:lang w:eastAsia="en-GB"/>
                <w14:ligatures w14:val="none"/>
              </w:rPr>
            </w:pPr>
            <w:r w:rsidRPr="004839AA">
              <w:rPr>
                <w:rFonts w:ascii="Arial" w:eastAsia="Times New Roman" w:hAnsi="Arial" w:cs="Arial"/>
                <w:kern w:val="0"/>
                <w:sz w:val="24"/>
                <w:szCs w:val="24"/>
                <w:lang w:eastAsia="en-GB"/>
                <w14:ligatures w14:val="none"/>
              </w:rPr>
              <w:t xml:space="preserve">Administration fees are charged to the insolvent estate at the date of insolvency. The period of performance of the </w:t>
            </w:r>
            <w:r>
              <w:rPr>
                <w:rFonts w:ascii="Arial" w:eastAsia="Times New Roman" w:hAnsi="Arial" w:cs="Arial"/>
                <w:kern w:val="0"/>
                <w:sz w:val="24"/>
                <w:szCs w:val="24"/>
                <w:lang w:eastAsia="en-GB"/>
                <w14:ligatures w14:val="none"/>
              </w:rPr>
              <w:t>O</w:t>
            </w:r>
            <w:r w:rsidRPr="004839AA">
              <w:rPr>
                <w:rFonts w:ascii="Arial" w:eastAsia="Times New Roman" w:hAnsi="Arial" w:cs="Arial"/>
                <w:kern w:val="0"/>
                <w:sz w:val="24"/>
                <w:szCs w:val="24"/>
                <w:lang w:eastAsia="en-GB"/>
                <w14:ligatures w14:val="none"/>
              </w:rPr>
              <w:t xml:space="preserve">fficial </w:t>
            </w:r>
            <w:r>
              <w:rPr>
                <w:rFonts w:ascii="Arial" w:eastAsia="Times New Roman" w:hAnsi="Arial" w:cs="Arial"/>
                <w:kern w:val="0"/>
                <w:sz w:val="24"/>
                <w:szCs w:val="24"/>
                <w:lang w:eastAsia="en-GB"/>
                <w14:ligatures w14:val="none"/>
              </w:rPr>
              <w:t>R</w:t>
            </w:r>
            <w:r w:rsidRPr="004839AA">
              <w:rPr>
                <w:rFonts w:ascii="Arial" w:eastAsia="Times New Roman" w:hAnsi="Arial" w:cs="Arial"/>
                <w:kern w:val="0"/>
                <w:sz w:val="24"/>
                <w:szCs w:val="24"/>
                <w:lang w:eastAsia="en-GB"/>
                <w14:ligatures w14:val="none"/>
              </w:rPr>
              <w:t>eceiver’s duties on cases, i.e. the satisfaction of performance obligations, can vary between less than 1 month and more than 3 years for more complex cases (across multiple decades). The Agency uses reasonable estimates of activity across a 3-year period based on historic case data and recognises Administration Fee income, from the variable consideration, in accordance with these estimates. The variable consideration is the amount the Agency expects to receive in the future, rather than the legislated Administration Fee applied to the case at the date of insolvency.</w:t>
            </w:r>
            <w:r>
              <w:rPr>
                <w:rFonts w:ascii="Arial" w:eastAsia="Times New Roman" w:hAnsi="Arial" w:cs="Arial"/>
                <w:kern w:val="0"/>
                <w:sz w:val="24"/>
                <w:szCs w:val="24"/>
                <w:lang w:eastAsia="en-GB"/>
                <w14:ligatures w14:val="none"/>
              </w:rPr>
              <w:br/>
            </w:r>
            <w:r>
              <w:rPr>
                <w:rFonts w:ascii="Arial" w:eastAsia="Times New Roman" w:hAnsi="Arial" w:cs="Arial"/>
                <w:kern w:val="0"/>
                <w:sz w:val="24"/>
                <w:szCs w:val="24"/>
                <w:lang w:eastAsia="en-GB"/>
                <w14:ligatures w14:val="none"/>
              </w:rPr>
              <w:br/>
            </w:r>
            <w:r w:rsidR="009260A0" w:rsidRPr="004839AA">
              <w:rPr>
                <w:rFonts w:ascii="Arial" w:eastAsia="Times New Roman" w:hAnsi="Arial" w:cs="Arial"/>
                <w:kern w:val="0"/>
                <w:sz w:val="24"/>
                <w:szCs w:val="24"/>
                <w:u w:val="single"/>
                <w:lang w:eastAsia="en-GB"/>
                <w14:ligatures w14:val="none"/>
              </w:rPr>
              <w:t>General Fee</w:t>
            </w:r>
          </w:p>
          <w:p w14:paraId="06F0A00B" w14:textId="21D20B7A" w:rsidR="00560745" w:rsidRPr="004839AA" w:rsidRDefault="009260A0">
            <w:pPr>
              <w:spacing w:after="0" w:line="240" w:lineRule="auto"/>
              <w:rPr>
                <w:rFonts w:ascii="Arial" w:eastAsia="Times New Roman" w:hAnsi="Arial" w:cs="Arial"/>
                <w:b/>
                <w:bCs/>
                <w:kern w:val="0"/>
                <w:sz w:val="24"/>
                <w:szCs w:val="24"/>
                <w:lang w:eastAsia="en-GB"/>
                <w14:ligatures w14:val="none"/>
              </w:rPr>
            </w:pPr>
            <w:r w:rsidRPr="004839AA">
              <w:rPr>
                <w:rFonts w:ascii="Arial" w:eastAsia="Times New Roman" w:hAnsi="Arial" w:cs="Arial"/>
                <w:kern w:val="0"/>
                <w:sz w:val="24"/>
                <w:szCs w:val="24"/>
                <w:lang w:eastAsia="en-GB"/>
                <w14:ligatures w14:val="none"/>
              </w:rPr>
              <w:t>The General Fee is a fixed fee of £6,000 and is technically applied to all cases although it does not relate to a specific identifiable individual, service or activity. It is applied to all cases to ensure that overall, the work of the Official Receiver (OR) within the Agency covers its costs in line with ‘Managing Public Money’ principles and allow a full cost recovery. However, in cases unable to recover the Administration Fee, the General Fee will also not be recovered.</w:t>
            </w:r>
          </w:p>
        </w:tc>
      </w:tr>
    </w:tbl>
    <w:p w14:paraId="585E8039" w14:textId="77777777" w:rsidR="00016589" w:rsidRDefault="00016589">
      <w:r>
        <w:br w:type="page"/>
      </w:r>
    </w:p>
    <w:tbl>
      <w:tblPr>
        <w:tblW w:w="9072" w:type="dxa"/>
        <w:tblLayout w:type="fixed"/>
        <w:tblLook w:val="04A0" w:firstRow="1" w:lastRow="0" w:firstColumn="1" w:lastColumn="0" w:noHBand="0" w:noVBand="1"/>
      </w:tblPr>
      <w:tblGrid>
        <w:gridCol w:w="568"/>
        <w:gridCol w:w="8504"/>
      </w:tblGrid>
      <w:tr w:rsidR="00F075F5" w:rsidRPr="004839AA" w14:paraId="604698ED" w14:textId="77777777" w:rsidTr="00B14DA2">
        <w:trPr>
          <w:trHeight w:val="3104"/>
        </w:trPr>
        <w:tc>
          <w:tcPr>
            <w:tcW w:w="9072" w:type="dxa"/>
            <w:gridSpan w:val="2"/>
            <w:tcMar>
              <w:top w:w="15" w:type="dxa"/>
              <w:left w:w="108" w:type="dxa"/>
              <w:bottom w:w="0" w:type="dxa"/>
              <w:right w:w="108" w:type="dxa"/>
            </w:tcMar>
          </w:tcPr>
          <w:p w14:paraId="3B7F0F42" w14:textId="1821CD24" w:rsidR="00F075F5" w:rsidRPr="004839AA" w:rsidRDefault="00F075F5">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lastRenderedPageBreak/>
              <w:t xml:space="preserve">The General Fee is recognised at the date of the bankruptcy or liquidation order, as an equivalent to a taxable event within the FReM adaptation (2) for IFRS 15 and is subject to </w:t>
            </w:r>
            <w:r w:rsidR="004A1F71">
              <w:rPr>
                <w:rFonts w:ascii="Arial" w:eastAsia="Times New Roman" w:hAnsi="Arial" w:cs="Arial"/>
                <w:sz w:val="24"/>
                <w:szCs w:val="24"/>
              </w:rPr>
              <w:t>HM Treasury</w:t>
            </w:r>
            <w:r w:rsidRPr="004839AA">
              <w:rPr>
                <w:rFonts w:ascii="Arial" w:eastAsia="Times New Roman" w:hAnsi="Arial" w:cs="Arial"/>
                <w:kern w:val="0"/>
                <w:sz w:val="24"/>
                <w:szCs w:val="24"/>
                <w:lang w:eastAsia="en-GB"/>
                <w14:ligatures w14:val="none"/>
              </w:rPr>
              <w:t xml:space="preserve"> approval of an annual ‘netting-off’ agreement. The General Fee is not recognised within revenue recognition under IFRS 15 as it is defined as a tax and therefore the principles of contract set out in IFRS 15 (para 9) means it does not apply.</w:t>
            </w:r>
            <w:r>
              <w:rPr>
                <w:rFonts w:ascii="Arial" w:eastAsia="Times New Roman" w:hAnsi="Arial" w:cs="Arial"/>
                <w:kern w:val="0"/>
                <w:sz w:val="24"/>
                <w:szCs w:val="24"/>
                <w:lang w:eastAsia="en-GB"/>
                <w14:ligatures w14:val="none"/>
              </w:rPr>
              <w:br/>
            </w:r>
          </w:p>
          <w:p w14:paraId="147929B3" w14:textId="77777777" w:rsidR="00F075F5" w:rsidRPr="004839AA" w:rsidRDefault="00F075F5">
            <w:pPr>
              <w:spacing w:after="0" w:line="240" w:lineRule="auto"/>
              <w:rPr>
                <w:rFonts w:ascii="Arial" w:eastAsia="Times New Roman" w:hAnsi="Arial" w:cs="Arial"/>
                <w:kern w:val="0"/>
                <w:sz w:val="24"/>
                <w:szCs w:val="24"/>
                <w:u w:val="single"/>
                <w:lang w:eastAsia="en-GB"/>
                <w14:ligatures w14:val="none"/>
              </w:rPr>
            </w:pPr>
            <w:r w:rsidRPr="004839AA">
              <w:rPr>
                <w:rFonts w:ascii="Arial" w:eastAsia="Times New Roman" w:hAnsi="Arial" w:cs="Arial"/>
                <w:kern w:val="0"/>
                <w:sz w:val="24"/>
                <w:szCs w:val="24"/>
                <w:u w:val="single"/>
                <w:lang w:eastAsia="en-GB"/>
                <w14:ligatures w14:val="none"/>
              </w:rPr>
              <w:t>Secretary of State Fee</w:t>
            </w:r>
          </w:p>
          <w:p w14:paraId="28C6736B" w14:textId="07417FE3" w:rsidR="00F075F5" w:rsidRPr="004839AA" w:rsidRDefault="00F075F5">
            <w:pPr>
              <w:spacing w:after="0" w:line="240" w:lineRule="auto"/>
              <w:rPr>
                <w:rFonts w:ascii="Arial" w:eastAsia="Times New Roman" w:hAnsi="Arial" w:cs="Arial"/>
                <w:kern w:val="0"/>
                <w:sz w:val="24"/>
                <w:szCs w:val="24"/>
                <w:u w:val="single"/>
                <w:lang w:eastAsia="en-GB"/>
                <w14:ligatures w14:val="none"/>
              </w:rPr>
            </w:pPr>
            <w:r w:rsidRPr="004839AA">
              <w:rPr>
                <w:rFonts w:ascii="Arial" w:eastAsia="Times New Roman" w:hAnsi="Arial" w:cs="Arial"/>
                <w:kern w:val="0"/>
                <w:sz w:val="24"/>
                <w:szCs w:val="24"/>
                <w:lang w:eastAsia="en-GB"/>
                <w14:ligatures w14:val="none"/>
              </w:rPr>
              <w:t>The Secretary of State Fee was replaced by the General Fee on 21st July 2016. Cases before this date were charged in accordance with the legislated fees order in place at the time of the petition being presented.</w:t>
            </w:r>
            <w:r>
              <w:rPr>
                <w:rFonts w:ascii="Arial" w:eastAsia="Times New Roman" w:hAnsi="Arial" w:cs="Arial"/>
                <w:kern w:val="0"/>
                <w:sz w:val="24"/>
                <w:szCs w:val="24"/>
                <w:lang w:eastAsia="en-GB"/>
                <w14:ligatures w14:val="none"/>
              </w:rPr>
              <w:br/>
            </w:r>
          </w:p>
        </w:tc>
      </w:tr>
      <w:tr w:rsidR="00F075F5" w:rsidRPr="004839AA" w14:paraId="643C0A11" w14:textId="77777777" w:rsidTr="00B14DA2">
        <w:trPr>
          <w:trHeight w:val="4455"/>
        </w:trPr>
        <w:tc>
          <w:tcPr>
            <w:tcW w:w="9072" w:type="dxa"/>
            <w:gridSpan w:val="2"/>
            <w:tcMar>
              <w:top w:w="15" w:type="dxa"/>
              <w:left w:w="108" w:type="dxa"/>
              <w:bottom w:w="0" w:type="dxa"/>
              <w:right w:w="108" w:type="dxa"/>
            </w:tcMar>
            <w:hideMark/>
          </w:tcPr>
          <w:p w14:paraId="246F0B95" w14:textId="77777777" w:rsidR="00F075F5" w:rsidRPr="004839AA" w:rsidRDefault="00F075F5">
            <w:pPr>
              <w:spacing w:after="0" w:line="240" w:lineRule="auto"/>
              <w:rPr>
                <w:rFonts w:ascii="Arial" w:eastAsia="Times New Roman" w:hAnsi="Arial" w:cs="Arial"/>
                <w:kern w:val="0"/>
                <w:sz w:val="24"/>
                <w:szCs w:val="24"/>
                <w:u w:val="single"/>
                <w:lang w:eastAsia="en-GB"/>
                <w14:ligatures w14:val="none"/>
              </w:rPr>
            </w:pPr>
            <w:r w:rsidRPr="004839AA">
              <w:rPr>
                <w:rFonts w:ascii="Arial" w:eastAsia="Times New Roman" w:hAnsi="Arial" w:cs="Arial"/>
                <w:kern w:val="0"/>
                <w:sz w:val="24"/>
                <w:szCs w:val="24"/>
                <w:u w:val="single"/>
                <w:lang w:eastAsia="en-GB"/>
                <w14:ligatures w14:val="none"/>
              </w:rPr>
              <w:t xml:space="preserve">Trustee Liquidator Fee </w:t>
            </w:r>
          </w:p>
          <w:p w14:paraId="41552920" w14:textId="6CF64EDB" w:rsidR="00F075F5" w:rsidRPr="004839AA" w:rsidRDefault="00F075F5">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The Trustee Liquidator Fee is charged (at a rate of 15% of net realisation) when assets are realised by the OR. The value of the fees to be recognised is based on a combination of actual fees recovered from realised assets and fees expected to be recovered from assets which have been identified and assessed by the OR. </w:t>
            </w:r>
            <w:r>
              <w:rPr>
                <w:rFonts w:ascii="Arial" w:eastAsia="Times New Roman" w:hAnsi="Arial" w:cs="Arial"/>
                <w:kern w:val="0"/>
                <w:sz w:val="24"/>
                <w:szCs w:val="24"/>
                <w:lang w:eastAsia="en-GB"/>
                <w14:ligatures w14:val="none"/>
              </w:rPr>
              <w:br/>
            </w:r>
          </w:p>
          <w:p w14:paraId="7B1779AD" w14:textId="5A97A8E1" w:rsidR="00F075F5" w:rsidRPr="004839AA" w:rsidRDefault="00F075F5">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Where fees relate to National Interest Cases, recognition is matched to the completion of obligations on each National Interest Case based on the input method under IFRS 15 using forecasts of the full life cost of the case. Where fees relate to </w:t>
            </w:r>
            <w:r w:rsidR="008E2859">
              <w:rPr>
                <w:rFonts w:ascii="Arial" w:eastAsia="Times New Roman" w:hAnsi="Arial" w:cs="Arial"/>
                <w:sz w:val="24"/>
                <w:szCs w:val="24"/>
              </w:rPr>
              <w:t>business as usual</w:t>
            </w:r>
            <w:r w:rsidRPr="004839AA">
              <w:rPr>
                <w:rFonts w:ascii="Arial" w:eastAsia="Times New Roman" w:hAnsi="Arial" w:cs="Arial"/>
                <w:kern w:val="0"/>
                <w:sz w:val="24"/>
                <w:szCs w:val="24"/>
                <w:lang w:eastAsia="en-GB"/>
                <w14:ligatures w14:val="none"/>
              </w:rPr>
              <w:t xml:space="preserve"> cases, recognition is based on assets as and when they are realised. </w:t>
            </w:r>
            <w:r>
              <w:rPr>
                <w:rFonts w:ascii="Arial" w:eastAsia="Times New Roman" w:hAnsi="Arial" w:cs="Arial"/>
                <w:kern w:val="0"/>
                <w:sz w:val="24"/>
                <w:szCs w:val="24"/>
                <w:lang w:eastAsia="en-GB"/>
                <w14:ligatures w14:val="none"/>
              </w:rPr>
              <w:br/>
            </w:r>
          </w:p>
          <w:p w14:paraId="4EA3E5DF" w14:textId="77777777" w:rsidR="00F075F5" w:rsidRPr="004839AA" w:rsidRDefault="00F075F5">
            <w:pPr>
              <w:spacing w:after="0" w:line="240" w:lineRule="auto"/>
              <w:rPr>
                <w:rFonts w:ascii="Arial" w:eastAsia="Times New Roman" w:hAnsi="Arial" w:cs="Arial"/>
                <w:kern w:val="0"/>
                <w:sz w:val="24"/>
                <w:szCs w:val="24"/>
                <w:u w:val="single"/>
                <w:lang w:eastAsia="en-GB"/>
                <w14:ligatures w14:val="none"/>
              </w:rPr>
            </w:pPr>
            <w:r w:rsidRPr="004839AA">
              <w:rPr>
                <w:rFonts w:ascii="Arial" w:eastAsia="Times New Roman" w:hAnsi="Arial" w:cs="Arial"/>
                <w:kern w:val="0"/>
                <w:sz w:val="24"/>
                <w:szCs w:val="24"/>
                <w:u w:val="single"/>
                <w:lang w:eastAsia="en-GB"/>
                <w14:ligatures w14:val="none"/>
              </w:rPr>
              <w:t>Distribution (Time &amp; Rate) Fee</w:t>
            </w:r>
          </w:p>
          <w:p w14:paraId="3EDE6B9C" w14:textId="18ADEF8E" w:rsidR="00F075F5" w:rsidRDefault="00F075F5">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At the date of a distribution to creditors the Agency can charge a Distribution (Time &amp; Rate) Fee which is charged at legislated hourly rates. The fee is charged, paid and recognised when a distribution is made. </w:t>
            </w:r>
            <w:r w:rsidR="00D47101">
              <w:rPr>
                <w:rFonts w:ascii="Arial" w:eastAsia="Times New Roman" w:hAnsi="Arial" w:cs="Arial"/>
                <w:kern w:val="0"/>
                <w:sz w:val="24"/>
                <w:szCs w:val="24"/>
                <w:lang w:eastAsia="en-GB"/>
                <w14:ligatures w14:val="none"/>
              </w:rPr>
              <w:br/>
            </w:r>
          </w:p>
          <w:p w14:paraId="14C8539A" w14:textId="00B677F4" w:rsidR="00F075F5" w:rsidRPr="004839AA" w:rsidRDefault="00F075F5">
            <w:pPr>
              <w:spacing w:after="0" w:line="240" w:lineRule="auto"/>
              <w:rPr>
                <w:rFonts w:ascii="Arial" w:eastAsia="Times New Roman" w:hAnsi="Arial" w:cs="Arial"/>
                <w:kern w:val="0"/>
                <w:sz w:val="24"/>
                <w:szCs w:val="24"/>
                <w:u w:val="single"/>
                <w:lang w:eastAsia="en-GB"/>
                <w14:ligatures w14:val="none"/>
              </w:rPr>
            </w:pPr>
          </w:p>
        </w:tc>
      </w:tr>
      <w:tr w:rsidR="00560745" w:rsidRPr="004839AA" w14:paraId="098B7CDA" w14:textId="77777777" w:rsidTr="00B14DA2">
        <w:trPr>
          <w:trHeight w:val="269"/>
        </w:trPr>
        <w:tc>
          <w:tcPr>
            <w:tcW w:w="568" w:type="dxa"/>
            <w:tcMar>
              <w:top w:w="15" w:type="dxa"/>
              <w:left w:w="108" w:type="dxa"/>
              <w:bottom w:w="0" w:type="dxa"/>
              <w:right w:w="108" w:type="dxa"/>
            </w:tcMar>
            <w:vAlign w:val="bottom"/>
            <w:hideMark/>
          </w:tcPr>
          <w:p w14:paraId="32B2B782" w14:textId="445F90B7" w:rsidR="00560745" w:rsidRPr="004839AA" w:rsidRDefault="00560745">
            <w:pPr>
              <w:spacing w:after="0" w:line="240" w:lineRule="auto"/>
              <w:ind w:leftChars="-31" w:left="21" w:hangingChars="37" w:hanging="89"/>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1(l)</w:t>
            </w:r>
          </w:p>
        </w:tc>
        <w:tc>
          <w:tcPr>
            <w:tcW w:w="8504" w:type="dxa"/>
            <w:tcMar>
              <w:top w:w="15" w:type="dxa"/>
              <w:left w:w="108" w:type="dxa"/>
              <w:bottom w:w="0" w:type="dxa"/>
              <w:right w:w="108" w:type="dxa"/>
            </w:tcMar>
            <w:vAlign w:val="bottom"/>
            <w:hideMark/>
          </w:tcPr>
          <w:p w14:paraId="0D36C761" w14:textId="77777777" w:rsidR="00560745" w:rsidRPr="004839AA" w:rsidRDefault="00560745">
            <w:pPr>
              <w:spacing w:after="0" w:line="240" w:lineRule="auto"/>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 xml:space="preserve">Revenue recognition under IFRS 15 </w:t>
            </w:r>
          </w:p>
        </w:tc>
      </w:tr>
      <w:tr w:rsidR="002D4D9E" w:rsidRPr="004839AA" w14:paraId="19896CC7" w14:textId="77777777" w:rsidTr="00B14DA2">
        <w:trPr>
          <w:trHeight w:val="2223"/>
        </w:trPr>
        <w:tc>
          <w:tcPr>
            <w:tcW w:w="9072" w:type="dxa"/>
            <w:gridSpan w:val="2"/>
            <w:tcMar>
              <w:top w:w="15" w:type="dxa"/>
              <w:left w:w="108" w:type="dxa"/>
              <w:bottom w:w="0" w:type="dxa"/>
              <w:right w:w="108" w:type="dxa"/>
            </w:tcMar>
            <w:vAlign w:val="bottom"/>
            <w:hideMark/>
          </w:tcPr>
          <w:p w14:paraId="363B3C6A" w14:textId="23C31158" w:rsidR="002D4D9E" w:rsidRPr="004839AA" w:rsidRDefault="002D4D9E" w:rsidP="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 Agency is required to adhere to the requirements of IFRS 15 ‘Revenue from Contracts with Customers’ for the recognition of revenue within the financial statements. The standard provides a single, principles based five-step model to be applied to all contracts with customers.</w:t>
            </w:r>
            <w:r>
              <w:rPr>
                <w:rFonts w:ascii="Arial" w:eastAsia="Times New Roman" w:hAnsi="Arial" w:cs="Arial"/>
                <w:kern w:val="0"/>
                <w:sz w:val="24"/>
                <w:szCs w:val="24"/>
                <w:lang w:eastAsia="en-GB"/>
                <w14:ligatures w14:val="none"/>
              </w:rPr>
              <w:br/>
            </w:r>
            <w:r>
              <w:rPr>
                <w:rFonts w:ascii="Arial" w:eastAsia="Times New Roman" w:hAnsi="Arial" w:cs="Arial"/>
                <w:kern w:val="0"/>
                <w:sz w:val="24"/>
                <w:szCs w:val="24"/>
                <w:lang w:eastAsia="en-GB"/>
                <w14:ligatures w14:val="none"/>
              </w:rPr>
              <w:br/>
            </w:r>
            <w:r w:rsidRPr="004839AA">
              <w:rPr>
                <w:rFonts w:ascii="Arial" w:eastAsia="Times New Roman" w:hAnsi="Arial" w:cs="Arial"/>
                <w:kern w:val="0"/>
                <w:sz w:val="24"/>
                <w:szCs w:val="24"/>
                <w:lang w:eastAsia="en-GB"/>
                <w14:ligatures w14:val="none"/>
              </w:rPr>
              <w:t>The following table shows revenue recognition for each income stream in accordance with IFRS 15. Therefore, due to their size, RPS Income and Debt Relief Order (DRO) Fee income, are also included in the table:</w:t>
            </w:r>
          </w:p>
        </w:tc>
      </w:tr>
    </w:tbl>
    <w:p w14:paraId="57E2D691" w14:textId="77777777" w:rsidR="00560745" w:rsidRDefault="00560745" w:rsidP="00560745">
      <w:pPr>
        <w:rPr>
          <w:rFonts w:ascii="Arial" w:hAnsi="Arial" w:cs="Arial"/>
        </w:rPr>
      </w:pPr>
    </w:p>
    <w:p w14:paraId="0FAAB95C" w14:textId="77777777" w:rsidR="00887023" w:rsidRDefault="00887023">
      <w:r>
        <w:br w:type="page"/>
      </w:r>
    </w:p>
    <w:tbl>
      <w:tblPr>
        <w:tblW w:w="9090" w:type="dxa"/>
        <w:tblLayout w:type="fixed"/>
        <w:tblLook w:val="04A0" w:firstRow="1" w:lastRow="0" w:firstColumn="1" w:lastColumn="0" w:noHBand="0" w:noVBand="1"/>
      </w:tblPr>
      <w:tblGrid>
        <w:gridCol w:w="1412"/>
        <w:gridCol w:w="1275"/>
        <w:gridCol w:w="1701"/>
        <w:gridCol w:w="1571"/>
        <w:gridCol w:w="1559"/>
        <w:gridCol w:w="1560"/>
        <w:gridCol w:w="12"/>
      </w:tblGrid>
      <w:tr w:rsidR="00560745" w14:paraId="6A434001" w14:textId="77777777" w:rsidTr="00887023">
        <w:trPr>
          <w:cantSplit/>
          <w:trHeight w:val="315"/>
          <w:tblHeader/>
        </w:trPr>
        <w:tc>
          <w:tcPr>
            <w:tcW w:w="1412" w:type="dxa"/>
            <w:tcBorders>
              <w:top w:val="single" w:sz="4" w:space="0" w:color="auto"/>
              <w:left w:val="single" w:sz="4" w:space="0" w:color="auto"/>
              <w:bottom w:val="nil"/>
              <w:right w:val="single" w:sz="4" w:space="0" w:color="000000"/>
            </w:tcBorders>
            <w:tcMar>
              <w:top w:w="15" w:type="dxa"/>
              <w:left w:w="108" w:type="dxa"/>
              <w:bottom w:w="0" w:type="dxa"/>
              <w:right w:w="108" w:type="dxa"/>
            </w:tcMar>
            <w:vAlign w:val="center"/>
            <w:hideMark/>
          </w:tcPr>
          <w:p w14:paraId="344E5DD4" w14:textId="0936A02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lastRenderedPageBreak/>
              <w:t>Income Stream</w:t>
            </w:r>
          </w:p>
        </w:tc>
        <w:tc>
          <w:tcPr>
            <w:tcW w:w="7678" w:type="dxa"/>
            <w:gridSpan w:val="6"/>
            <w:tcBorders>
              <w:top w:val="single" w:sz="4" w:space="0" w:color="auto"/>
              <w:left w:val="nil"/>
              <w:bottom w:val="single" w:sz="4" w:space="0" w:color="auto"/>
              <w:right w:val="single" w:sz="4" w:space="0" w:color="000000"/>
            </w:tcBorders>
            <w:tcMar>
              <w:top w:w="15" w:type="dxa"/>
              <w:left w:w="108" w:type="dxa"/>
              <w:bottom w:w="0" w:type="dxa"/>
              <w:right w:w="108" w:type="dxa"/>
            </w:tcMar>
            <w:vAlign w:val="center"/>
            <w:hideMark/>
          </w:tcPr>
          <w:p w14:paraId="3D727019" w14:textId="77777777" w:rsidR="00560745" w:rsidRDefault="00560745">
            <w:pPr>
              <w:spacing w:after="0" w:line="240" w:lineRule="auto"/>
              <w:jc w:val="center"/>
              <w:rPr>
                <w:rFonts w:eastAsia="Times New Roman"/>
                <w:kern w:val="0"/>
                <w:sz w:val="18"/>
                <w:szCs w:val="18"/>
                <w:lang w:eastAsia="en-GB"/>
                <w14:ligatures w14:val="none"/>
              </w:rPr>
            </w:pPr>
            <w:r>
              <w:rPr>
                <w:rFonts w:eastAsia="Times New Roman"/>
                <w:kern w:val="0"/>
                <w:sz w:val="18"/>
                <w:szCs w:val="18"/>
                <w:lang w:eastAsia="en-GB"/>
                <w14:ligatures w14:val="none"/>
              </w:rPr>
              <w:t xml:space="preserve">Revenue recognition – ‘Five-step model’ under IFRS 15 </w:t>
            </w:r>
          </w:p>
        </w:tc>
      </w:tr>
      <w:tr w:rsidR="00560745" w14:paraId="32AC9B11" w14:textId="77777777" w:rsidTr="00887023">
        <w:trPr>
          <w:gridAfter w:val="1"/>
          <w:wAfter w:w="12" w:type="dxa"/>
          <w:cantSplit/>
          <w:trHeight w:val="1250"/>
          <w:tblHeader/>
        </w:trPr>
        <w:tc>
          <w:tcPr>
            <w:tcW w:w="1412" w:type="dxa"/>
            <w:tcBorders>
              <w:top w:val="nil"/>
              <w:left w:val="single" w:sz="4" w:space="0" w:color="auto"/>
              <w:bottom w:val="single" w:sz="4" w:space="0" w:color="auto"/>
              <w:right w:val="single" w:sz="4" w:space="0" w:color="000000"/>
            </w:tcBorders>
            <w:tcMar>
              <w:top w:w="15" w:type="dxa"/>
              <w:left w:w="108" w:type="dxa"/>
              <w:bottom w:w="0" w:type="dxa"/>
              <w:right w:w="108" w:type="dxa"/>
            </w:tcMar>
            <w:vAlign w:val="center"/>
            <w:hideMark/>
          </w:tcPr>
          <w:p w14:paraId="30FB46CC"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w:t>
            </w:r>
          </w:p>
        </w:tc>
        <w:tc>
          <w:tcPr>
            <w:tcW w:w="1275" w:type="dxa"/>
            <w:tcBorders>
              <w:top w:val="nil"/>
              <w:left w:val="nil"/>
              <w:bottom w:val="single" w:sz="4" w:space="0" w:color="auto"/>
              <w:right w:val="single" w:sz="4" w:space="0" w:color="auto"/>
            </w:tcBorders>
            <w:tcMar>
              <w:top w:w="15" w:type="dxa"/>
              <w:left w:w="108" w:type="dxa"/>
              <w:bottom w:w="0" w:type="dxa"/>
              <w:right w:w="108" w:type="dxa"/>
            </w:tcMar>
            <w:vAlign w:val="center"/>
            <w:hideMark/>
          </w:tcPr>
          <w:p w14:paraId="32D7D12F"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1. Identify the contract</w:t>
            </w:r>
          </w:p>
        </w:tc>
        <w:tc>
          <w:tcPr>
            <w:tcW w:w="1701" w:type="dxa"/>
            <w:tcBorders>
              <w:top w:val="nil"/>
              <w:left w:val="nil"/>
              <w:bottom w:val="single" w:sz="4" w:space="0" w:color="auto"/>
              <w:right w:val="single" w:sz="4" w:space="0" w:color="auto"/>
            </w:tcBorders>
            <w:tcMar>
              <w:top w:w="15" w:type="dxa"/>
              <w:left w:w="108" w:type="dxa"/>
              <w:bottom w:w="0" w:type="dxa"/>
              <w:right w:w="108" w:type="dxa"/>
            </w:tcMar>
            <w:vAlign w:val="center"/>
            <w:hideMark/>
          </w:tcPr>
          <w:p w14:paraId="1C80C015"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2. Identify the performance obligations</w:t>
            </w:r>
          </w:p>
        </w:tc>
        <w:tc>
          <w:tcPr>
            <w:tcW w:w="1571" w:type="dxa"/>
            <w:tcBorders>
              <w:top w:val="nil"/>
              <w:left w:val="nil"/>
              <w:bottom w:val="single" w:sz="4" w:space="0" w:color="auto"/>
              <w:right w:val="single" w:sz="4" w:space="0" w:color="auto"/>
            </w:tcBorders>
            <w:tcMar>
              <w:top w:w="15" w:type="dxa"/>
              <w:left w:w="108" w:type="dxa"/>
              <w:bottom w:w="0" w:type="dxa"/>
              <w:right w:w="108" w:type="dxa"/>
            </w:tcMar>
            <w:vAlign w:val="center"/>
            <w:hideMark/>
          </w:tcPr>
          <w:p w14:paraId="1255AE76"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3. Determine the transaction price</w:t>
            </w:r>
          </w:p>
        </w:tc>
        <w:tc>
          <w:tcPr>
            <w:tcW w:w="1559" w:type="dxa"/>
            <w:tcBorders>
              <w:top w:val="nil"/>
              <w:left w:val="nil"/>
              <w:bottom w:val="single" w:sz="4" w:space="0" w:color="auto"/>
              <w:right w:val="single" w:sz="4" w:space="0" w:color="auto"/>
            </w:tcBorders>
            <w:tcMar>
              <w:top w:w="15" w:type="dxa"/>
              <w:left w:w="108" w:type="dxa"/>
              <w:bottom w:w="0" w:type="dxa"/>
              <w:right w:w="108" w:type="dxa"/>
            </w:tcMar>
            <w:vAlign w:val="center"/>
            <w:hideMark/>
          </w:tcPr>
          <w:p w14:paraId="7C12AD9F"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4. Allocate the price to the performance obligations</w:t>
            </w:r>
          </w:p>
        </w:tc>
        <w:tc>
          <w:tcPr>
            <w:tcW w:w="1560" w:type="dxa"/>
            <w:tcBorders>
              <w:top w:val="nil"/>
              <w:left w:val="nil"/>
              <w:bottom w:val="single" w:sz="4" w:space="0" w:color="auto"/>
              <w:right w:val="single" w:sz="4" w:space="0" w:color="auto"/>
            </w:tcBorders>
            <w:tcMar>
              <w:top w:w="15" w:type="dxa"/>
              <w:left w:w="108" w:type="dxa"/>
              <w:bottom w:w="0" w:type="dxa"/>
              <w:right w:w="108" w:type="dxa"/>
            </w:tcMar>
            <w:vAlign w:val="center"/>
            <w:hideMark/>
          </w:tcPr>
          <w:p w14:paraId="739B94E9"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5. Recognise revenue as performance obligations are fulfilled</w:t>
            </w:r>
          </w:p>
        </w:tc>
      </w:tr>
      <w:tr w:rsidR="00560745" w14:paraId="0C79E8AA" w14:textId="77777777" w:rsidTr="00887023">
        <w:trPr>
          <w:gridAfter w:val="1"/>
          <w:wAfter w:w="12" w:type="dxa"/>
          <w:trHeight w:val="4644"/>
        </w:trPr>
        <w:tc>
          <w:tcPr>
            <w:tcW w:w="1412"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22C5AEB9"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RPS Income</w:t>
            </w:r>
          </w:p>
        </w:tc>
        <w:tc>
          <w:tcPr>
            <w:tcW w:w="1275" w:type="dxa"/>
            <w:tcBorders>
              <w:top w:val="nil"/>
              <w:left w:val="nil"/>
              <w:bottom w:val="single" w:sz="4" w:space="0" w:color="auto"/>
              <w:right w:val="single" w:sz="4" w:space="0" w:color="auto"/>
            </w:tcBorders>
            <w:tcMar>
              <w:top w:w="15" w:type="dxa"/>
              <w:left w:w="108" w:type="dxa"/>
              <w:bottom w:w="0" w:type="dxa"/>
              <w:right w:w="108" w:type="dxa"/>
            </w:tcMar>
            <w:hideMark/>
          </w:tcPr>
          <w:p w14:paraId="14CCB6FE"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The claimant (ex-Employee) applies for payment </w:t>
            </w:r>
            <w:r>
              <w:rPr>
                <w:rFonts w:eastAsia="Times New Roman"/>
                <w:kern w:val="0"/>
                <w:sz w:val="18"/>
                <w:szCs w:val="18"/>
                <w:lang w:eastAsia="en-GB"/>
                <w14:ligatures w14:val="none"/>
              </w:rPr>
              <w:br/>
              <w:t xml:space="preserve">under para </w:t>
            </w:r>
            <w:r>
              <w:rPr>
                <w:rFonts w:eastAsia="Times New Roman"/>
                <w:kern w:val="0"/>
                <w:sz w:val="18"/>
                <w:szCs w:val="18"/>
                <w:lang w:eastAsia="en-GB"/>
                <w14:ligatures w14:val="none"/>
              </w:rPr>
              <w:br/>
              <w:t xml:space="preserve">182 of the </w:t>
            </w:r>
            <w:r>
              <w:rPr>
                <w:rFonts w:eastAsia="Times New Roman"/>
                <w:kern w:val="0"/>
                <w:sz w:val="18"/>
                <w:szCs w:val="18"/>
                <w:lang w:eastAsia="en-GB"/>
                <w14:ligatures w14:val="none"/>
              </w:rPr>
              <w:br/>
              <w:t xml:space="preserve">Employment </w:t>
            </w:r>
            <w:r>
              <w:rPr>
                <w:rFonts w:eastAsia="Times New Roman"/>
                <w:kern w:val="0"/>
                <w:sz w:val="18"/>
                <w:szCs w:val="18"/>
                <w:lang w:eastAsia="en-GB"/>
                <w14:ligatures w14:val="none"/>
              </w:rPr>
              <w:br/>
              <w:t xml:space="preserve">Rights Act 1996. </w:t>
            </w:r>
            <w:r>
              <w:rPr>
                <w:rFonts w:eastAsia="Times New Roman"/>
                <w:kern w:val="0"/>
                <w:sz w:val="18"/>
                <w:szCs w:val="18"/>
                <w:lang w:eastAsia="en-GB"/>
                <w14:ligatures w14:val="none"/>
              </w:rPr>
              <w:br/>
              <w:t xml:space="preserve">When the </w:t>
            </w:r>
            <w:r>
              <w:rPr>
                <w:rFonts w:eastAsia="Times New Roman"/>
                <w:kern w:val="0"/>
                <w:sz w:val="18"/>
                <w:szCs w:val="18"/>
                <w:lang w:eastAsia="en-GB"/>
                <w14:ligatures w14:val="none"/>
              </w:rPr>
              <w:br/>
              <w:t xml:space="preserve">payment is made, the </w:t>
            </w:r>
            <w:r>
              <w:rPr>
                <w:rFonts w:eastAsia="Times New Roman"/>
                <w:kern w:val="0"/>
                <w:sz w:val="18"/>
                <w:szCs w:val="18"/>
                <w:lang w:eastAsia="en-GB"/>
                <w14:ligatures w14:val="none"/>
              </w:rPr>
              <w:br/>
              <w:t xml:space="preserve">Agency has </w:t>
            </w:r>
            <w:r>
              <w:rPr>
                <w:rFonts w:eastAsia="Times New Roman"/>
                <w:kern w:val="0"/>
                <w:sz w:val="18"/>
                <w:szCs w:val="18"/>
                <w:lang w:eastAsia="en-GB"/>
                <w14:ligatures w14:val="none"/>
              </w:rPr>
              <w:br/>
              <w:t xml:space="preserve">the right to </w:t>
            </w:r>
            <w:r>
              <w:rPr>
                <w:rFonts w:eastAsia="Times New Roman"/>
                <w:kern w:val="0"/>
                <w:sz w:val="18"/>
                <w:szCs w:val="18"/>
                <w:lang w:eastAsia="en-GB"/>
                <w14:ligatures w14:val="none"/>
              </w:rPr>
              <w:br/>
              <w:t xml:space="preserve">recover that amount </w:t>
            </w:r>
            <w:r>
              <w:rPr>
                <w:rFonts w:eastAsia="Times New Roman"/>
                <w:kern w:val="0"/>
                <w:sz w:val="18"/>
                <w:szCs w:val="18"/>
                <w:lang w:eastAsia="en-GB"/>
                <w14:ligatures w14:val="none"/>
              </w:rPr>
              <w:br/>
              <w:t xml:space="preserve">from the </w:t>
            </w:r>
            <w:r>
              <w:rPr>
                <w:rFonts w:eastAsia="Times New Roman"/>
                <w:kern w:val="0"/>
                <w:sz w:val="18"/>
                <w:szCs w:val="18"/>
                <w:lang w:eastAsia="en-GB"/>
                <w14:ligatures w14:val="none"/>
              </w:rPr>
              <w:br/>
              <w:t xml:space="preserve">Employer under para </w:t>
            </w:r>
            <w:r>
              <w:rPr>
                <w:rFonts w:eastAsia="Times New Roman"/>
                <w:kern w:val="0"/>
                <w:sz w:val="18"/>
                <w:szCs w:val="18"/>
                <w:lang w:eastAsia="en-GB"/>
                <w14:ligatures w14:val="none"/>
              </w:rPr>
              <w:br/>
              <w:t xml:space="preserve">189 of the same Act.     </w:t>
            </w:r>
          </w:p>
        </w:tc>
        <w:tc>
          <w:tcPr>
            <w:tcW w:w="1701" w:type="dxa"/>
            <w:tcBorders>
              <w:top w:val="nil"/>
              <w:left w:val="nil"/>
              <w:bottom w:val="single" w:sz="4" w:space="0" w:color="auto"/>
              <w:right w:val="single" w:sz="4" w:space="0" w:color="auto"/>
            </w:tcBorders>
            <w:tcMar>
              <w:top w:w="15" w:type="dxa"/>
              <w:left w:w="108" w:type="dxa"/>
              <w:bottom w:w="0" w:type="dxa"/>
              <w:right w:w="108" w:type="dxa"/>
            </w:tcMar>
            <w:hideMark/>
          </w:tcPr>
          <w:p w14:paraId="0C94E234" w14:textId="0AA4FD6E"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The Agency has an obligation to make payments to </w:t>
            </w:r>
            <w:r>
              <w:rPr>
                <w:rFonts w:eastAsia="Times New Roman"/>
                <w:kern w:val="0"/>
                <w:sz w:val="18"/>
                <w:szCs w:val="18"/>
                <w:lang w:eastAsia="en-GB"/>
                <w14:ligatures w14:val="none"/>
              </w:rPr>
              <w:br/>
              <w:t xml:space="preserve">the claimants following completion of substantive </w:t>
            </w:r>
            <w:r>
              <w:rPr>
                <w:rFonts w:eastAsia="Times New Roman"/>
                <w:kern w:val="0"/>
                <w:sz w:val="18"/>
                <w:szCs w:val="18"/>
                <w:lang w:eastAsia="en-GB"/>
                <w14:ligatures w14:val="none"/>
              </w:rPr>
              <w:br/>
              <w:t xml:space="preserve">processes to </w:t>
            </w:r>
            <w:r>
              <w:rPr>
                <w:rFonts w:eastAsia="Times New Roman"/>
                <w:kern w:val="0"/>
                <w:sz w:val="18"/>
                <w:szCs w:val="18"/>
                <w:lang w:eastAsia="en-GB"/>
                <w14:ligatures w14:val="none"/>
              </w:rPr>
              <w:br/>
              <w:t xml:space="preserve">validate each claim against </w:t>
            </w:r>
            <w:r w:rsidR="00C74977" w:rsidRPr="00C74977">
              <w:rPr>
                <w:rFonts w:eastAsia="Times New Roman" w:cstheme="minorHAnsi"/>
                <w:sz w:val="18"/>
                <w:szCs w:val="18"/>
              </w:rPr>
              <w:t>HM Revenue &amp; Customs</w:t>
            </w:r>
            <w:r>
              <w:rPr>
                <w:rFonts w:eastAsia="Times New Roman"/>
                <w:kern w:val="0"/>
                <w:sz w:val="18"/>
                <w:szCs w:val="18"/>
                <w:lang w:eastAsia="en-GB"/>
                <w14:ligatures w14:val="none"/>
              </w:rPr>
              <w:t xml:space="preserve"> rules. As soon as the payment is made, the Agency can </w:t>
            </w:r>
            <w:r>
              <w:rPr>
                <w:rFonts w:eastAsia="Times New Roman"/>
                <w:kern w:val="0"/>
                <w:sz w:val="18"/>
                <w:szCs w:val="18"/>
                <w:lang w:eastAsia="en-GB"/>
                <w14:ligatures w14:val="none"/>
              </w:rPr>
              <w:br/>
              <w:t xml:space="preserve">recover from the employer. </w:t>
            </w:r>
          </w:p>
        </w:tc>
        <w:tc>
          <w:tcPr>
            <w:tcW w:w="1571" w:type="dxa"/>
            <w:tcBorders>
              <w:top w:val="nil"/>
              <w:left w:val="nil"/>
              <w:bottom w:val="single" w:sz="4" w:space="0" w:color="auto"/>
              <w:right w:val="single" w:sz="4" w:space="0" w:color="auto"/>
            </w:tcBorders>
            <w:tcMar>
              <w:top w:w="15" w:type="dxa"/>
              <w:left w:w="108" w:type="dxa"/>
              <w:bottom w:w="0" w:type="dxa"/>
              <w:right w:w="108" w:type="dxa"/>
            </w:tcMar>
            <w:hideMark/>
          </w:tcPr>
          <w:p w14:paraId="46B693A5"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Variable consideration is based on expected </w:t>
            </w:r>
            <w:r>
              <w:rPr>
                <w:rFonts w:eastAsia="Times New Roman"/>
                <w:kern w:val="0"/>
                <w:sz w:val="18"/>
                <w:szCs w:val="18"/>
                <w:lang w:eastAsia="en-GB"/>
                <w14:ligatures w14:val="none"/>
              </w:rPr>
              <w:br/>
              <w:t xml:space="preserve">recoveries. </w:t>
            </w:r>
            <w:r>
              <w:rPr>
                <w:rFonts w:eastAsia="Times New Roman"/>
                <w:kern w:val="0"/>
                <w:sz w:val="18"/>
                <w:szCs w:val="18"/>
                <w:lang w:eastAsia="en-GB"/>
                <w14:ligatures w14:val="none"/>
              </w:rPr>
              <w:br/>
              <w:t xml:space="preserve">The Agency has the right to </w:t>
            </w:r>
            <w:r>
              <w:rPr>
                <w:rFonts w:eastAsia="Times New Roman"/>
                <w:kern w:val="0"/>
                <w:sz w:val="18"/>
                <w:szCs w:val="18"/>
                <w:lang w:eastAsia="en-GB"/>
                <w14:ligatures w14:val="none"/>
              </w:rPr>
              <w:br/>
              <w:t xml:space="preserve">recover the amount of </w:t>
            </w:r>
            <w:r>
              <w:rPr>
                <w:rFonts w:eastAsia="Times New Roman"/>
                <w:kern w:val="0"/>
                <w:sz w:val="18"/>
                <w:szCs w:val="18"/>
                <w:lang w:eastAsia="en-GB"/>
                <w14:ligatures w14:val="none"/>
              </w:rPr>
              <w:br/>
              <w:t>payment from the employer.</w:t>
            </w:r>
          </w:p>
        </w:tc>
        <w:tc>
          <w:tcPr>
            <w:tcW w:w="1559" w:type="dxa"/>
            <w:tcBorders>
              <w:top w:val="nil"/>
              <w:left w:val="nil"/>
              <w:bottom w:val="single" w:sz="4" w:space="0" w:color="auto"/>
              <w:right w:val="single" w:sz="4" w:space="0" w:color="auto"/>
            </w:tcBorders>
            <w:tcMar>
              <w:top w:w="15" w:type="dxa"/>
              <w:left w:w="108" w:type="dxa"/>
              <w:bottom w:w="0" w:type="dxa"/>
              <w:right w:w="108" w:type="dxa"/>
            </w:tcMar>
            <w:hideMark/>
          </w:tcPr>
          <w:p w14:paraId="654B07F7"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Once payment is made to the ex-employee, the Agency then </w:t>
            </w:r>
            <w:r>
              <w:rPr>
                <w:rFonts w:eastAsia="Times New Roman"/>
                <w:kern w:val="0"/>
                <w:sz w:val="18"/>
                <w:szCs w:val="18"/>
                <w:lang w:eastAsia="en-GB"/>
                <w14:ligatures w14:val="none"/>
              </w:rPr>
              <w:br/>
              <w:t xml:space="preserve">immediately charges the employer.  </w:t>
            </w:r>
          </w:p>
        </w:tc>
        <w:tc>
          <w:tcPr>
            <w:tcW w:w="1560" w:type="dxa"/>
            <w:tcBorders>
              <w:top w:val="nil"/>
              <w:left w:val="nil"/>
              <w:bottom w:val="single" w:sz="4" w:space="0" w:color="auto"/>
              <w:right w:val="single" w:sz="4" w:space="0" w:color="auto"/>
            </w:tcBorders>
            <w:tcMar>
              <w:top w:w="15" w:type="dxa"/>
              <w:left w:w="108" w:type="dxa"/>
              <w:bottom w:w="0" w:type="dxa"/>
              <w:right w:w="108" w:type="dxa"/>
            </w:tcMar>
            <w:hideMark/>
          </w:tcPr>
          <w:p w14:paraId="0A7D8592"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The amount recoverable from the insolvent employer is variable and dependent on  </w:t>
            </w:r>
            <w:r>
              <w:rPr>
                <w:rFonts w:eastAsia="Times New Roman"/>
                <w:kern w:val="0"/>
                <w:sz w:val="18"/>
                <w:szCs w:val="18"/>
                <w:lang w:eastAsia="en-GB"/>
                <w14:ligatures w14:val="none"/>
              </w:rPr>
              <w:br/>
              <w:t xml:space="preserve">insolvency </w:t>
            </w:r>
            <w:r>
              <w:rPr>
                <w:rFonts w:eastAsia="Times New Roman"/>
                <w:kern w:val="0"/>
                <w:sz w:val="18"/>
                <w:szCs w:val="18"/>
                <w:lang w:eastAsia="en-GB"/>
                <w14:ligatures w14:val="none"/>
              </w:rPr>
              <w:br/>
              <w:t xml:space="preserve">proceedings, </w:t>
            </w:r>
            <w:r>
              <w:rPr>
                <w:rFonts w:eastAsia="Times New Roman"/>
                <w:kern w:val="0"/>
                <w:sz w:val="18"/>
                <w:szCs w:val="18"/>
                <w:lang w:eastAsia="en-GB"/>
                <w14:ligatures w14:val="none"/>
              </w:rPr>
              <w:br/>
              <w:t xml:space="preserve">which may take several </w:t>
            </w:r>
            <w:r>
              <w:rPr>
                <w:rFonts w:eastAsia="Times New Roman"/>
                <w:kern w:val="0"/>
                <w:sz w:val="18"/>
                <w:szCs w:val="18"/>
                <w:lang w:eastAsia="en-GB"/>
                <w14:ligatures w14:val="none"/>
              </w:rPr>
              <w:br/>
              <w:t xml:space="preserve">years.  The amount </w:t>
            </w:r>
            <w:r>
              <w:rPr>
                <w:rFonts w:eastAsia="Times New Roman"/>
                <w:kern w:val="0"/>
                <w:sz w:val="18"/>
                <w:szCs w:val="18"/>
                <w:lang w:eastAsia="en-GB"/>
                <w14:ligatures w14:val="none"/>
              </w:rPr>
              <w:br/>
              <w:t xml:space="preserve">recoverable is therefore </w:t>
            </w:r>
            <w:r>
              <w:rPr>
                <w:rFonts w:eastAsia="Times New Roman"/>
                <w:kern w:val="0"/>
                <w:sz w:val="18"/>
                <w:szCs w:val="18"/>
                <w:lang w:eastAsia="en-GB"/>
                <w14:ligatures w14:val="none"/>
              </w:rPr>
              <w:br/>
              <w:t xml:space="preserve">estimated in line with </w:t>
            </w:r>
            <w:r>
              <w:rPr>
                <w:rFonts w:eastAsia="Times New Roman"/>
                <w:kern w:val="0"/>
                <w:sz w:val="18"/>
                <w:szCs w:val="18"/>
                <w:lang w:eastAsia="en-GB"/>
                <w14:ligatures w14:val="none"/>
              </w:rPr>
              <w:br/>
              <w:t xml:space="preserve">historic </w:t>
            </w:r>
            <w:r>
              <w:rPr>
                <w:rFonts w:eastAsia="Times New Roman"/>
                <w:kern w:val="0"/>
                <w:sz w:val="18"/>
                <w:szCs w:val="18"/>
                <w:lang w:eastAsia="en-GB"/>
                <w14:ligatures w14:val="none"/>
              </w:rPr>
              <w:br/>
              <w:t>recovery rates over time and reassessed at each year end.</w:t>
            </w:r>
          </w:p>
        </w:tc>
      </w:tr>
      <w:tr w:rsidR="00560745" w14:paraId="34561C01" w14:textId="77777777" w:rsidTr="00887023">
        <w:trPr>
          <w:gridAfter w:val="1"/>
          <w:wAfter w:w="12" w:type="dxa"/>
          <w:trHeight w:val="1394"/>
        </w:trPr>
        <w:tc>
          <w:tcPr>
            <w:tcW w:w="1412"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3BDF8532"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Trustee Liquidator Fee</w:t>
            </w:r>
          </w:p>
        </w:tc>
        <w:tc>
          <w:tcPr>
            <w:tcW w:w="1275" w:type="dxa"/>
            <w:tcBorders>
              <w:top w:val="nil"/>
              <w:left w:val="nil"/>
              <w:bottom w:val="single" w:sz="4" w:space="0" w:color="auto"/>
              <w:right w:val="single" w:sz="4" w:space="0" w:color="auto"/>
            </w:tcBorders>
            <w:tcMar>
              <w:top w:w="15" w:type="dxa"/>
              <w:left w:w="108" w:type="dxa"/>
              <w:bottom w:w="0" w:type="dxa"/>
              <w:right w:w="108" w:type="dxa"/>
            </w:tcMar>
            <w:hideMark/>
          </w:tcPr>
          <w:p w14:paraId="090594ED"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Legislated Fee</w:t>
            </w:r>
          </w:p>
        </w:tc>
        <w:tc>
          <w:tcPr>
            <w:tcW w:w="1701" w:type="dxa"/>
            <w:tcBorders>
              <w:top w:val="nil"/>
              <w:left w:val="nil"/>
              <w:bottom w:val="single" w:sz="4" w:space="0" w:color="auto"/>
              <w:right w:val="single" w:sz="4" w:space="0" w:color="auto"/>
            </w:tcBorders>
            <w:tcMar>
              <w:top w:w="15" w:type="dxa"/>
              <w:left w:w="108" w:type="dxa"/>
              <w:bottom w:w="0" w:type="dxa"/>
              <w:right w:w="108" w:type="dxa"/>
            </w:tcMar>
            <w:hideMark/>
          </w:tcPr>
          <w:p w14:paraId="362EFFB2"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Performance of OR duties</w:t>
            </w:r>
          </w:p>
        </w:tc>
        <w:tc>
          <w:tcPr>
            <w:tcW w:w="1571" w:type="dxa"/>
            <w:tcBorders>
              <w:top w:val="nil"/>
              <w:left w:val="nil"/>
              <w:bottom w:val="single" w:sz="4" w:space="0" w:color="auto"/>
              <w:right w:val="single" w:sz="4" w:space="0" w:color="auto"/>
            </w:tcBorders>
            <w:tcMar>
              <w:top w:w="15" w:type="dxa"/>
              <w:left w:w="108" w:type="dxa"/>
              <w:bottom w:w="0" w:type="dxa"/>
              <w:right w:w="108" w:type="dxa"/>
            </w:tcMar>
            <w:hideMark/>
          </w:tcPr>
          <w:p w14:paraId="441420F6"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Variable consideration based on forecast total recoveries</w:t>
            </w:r>
          </w:p>
        </w:tc>
        <w:tc>
          <w:tcPr>
            <w:tcW w:w="1559" w:type="dxa"/>
            <w:tcBorders>
              <w:top w:val="nil"/>
              <w:left w:val="nil"/>
              <w:bottom w:val="single" w:sz="4" w:space="0" w:color="auto"/>
              <w:right w:val="single" w:sz="4" w:space="0" w:color="auto"/>
            </w:tcBorders>
            <w:tcMar>
              <w:top w:w="15" w:type="dxa"/>
              <w:left w:w="108" w:type="dxa"/>
              <w:bottom w:w="0" w:type="dxa"/>
              <w:right w:w="108" w:type="dxa"/>
            </w:tcMar>
            <w:hideMark/>
          </w:tcPr>
          <w:p w14:paraId="53415A47"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Measured as satisfied over time</w:t>
            </w:r>
          </w:p>
        </w:tc>
        <w:tc>
          <w:tcPr>
            <w:tcW w:w="1560" w:type="dxa"/>
            <w:tcBorders>
              <w:top w:val="nil"/>
              <w:left w:val="nil"/>
              <w:bottom w:val="single" w:sz="4" w:space="0" w:color="auto"/>
              <w:right w:val="single" w:sz="4" w:space="0" w:color="auto"/>
            </w:tcBorders>
            <w:tcMar>
              <w:top w:w="15" w:type="dxa"/>
              <w:left w:w="108" w:type="dxa"/>
              <w:bottom w:w="0" w:type="dxa"/>
              <w:right w:w="108" w:type="dxa"/>
            </w:tcMar>
            <w:hideMark/>
          </w:tcPr>
          <w:p w14:paraId="0D3138A0"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Recognised in line with the cost of resources applied for asset realisation from cases by the OR</w:t>
            </w:r>
          </w:p>
        </w:tc>
      </w:tr>
      <w:tr w:rsidR="00560745" w14:paraId="56547153" w14:textId="77777777" w:rsidTr="00887023">
        <w:trPr>
          <w:gridAfter w:val="1"/>
          <w:wAfter w:w="12" w:type="dxa"/>
          <w:trHeight w:val="1400"/>
        </w:trPr>
        <w:tc>
          <w:tcPr>
            <w:tcW w:w="1412"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667D2FF2"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Administration Fee</w:t>
            </w:r>
          </w:p>
        </w:tc>
        <w:tc>
          <w:tcPr>
            <w:tcW w:w="1275" w:type="dxa"/>
            <w:tcBorders>
              <w:top w:val="nil"/>
              <w:left w:val="nil"/>
              <w:bottom w:val="single" w:sz="4" w:space="0" w:color="auto"/>
              <w:right w:val="single" w:sz="4" w:space="0" w:color="auto"/>
            </w:tcBorders>
            <w:tcMar>
              <w:top w:w="15" w:type="dxa"/>
              <w:left w:w="108" w:type="dxa"/>
              <w:bottom w:w="0" w:type="dxa"/>
              <w:right w:w="108" w:type="dxa"/>
            </w:tcMar>
            <w:hideMark/>
          </w:tcPr>
          <w:p w14:paraId="6BA55218"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Legislated Fee</w:t>
            </w:r>
          </w:p>
        </w:tc>
        <w:tc>
          <w:tcPr>
            <w:tcW w:w="1701" w:type="dxa"/>
            <w:tcBorders>
              <w:top w:val="nil"/>
              <w:left w:val="nil"/>
              <w:bottom w:val="single" w:sz="4" w:space="0" w:color="auto"/>
              <w:right w:val="single" w:sz="4" w:space="0" w:color="auto"/>
            </w:tcBorders>
            <w:tcMar>
              <w:top w:w="15" w:type="dxa"/>
              <w:left w:w="108" w:type="dxa"/>
              <w:bottom w:w="0" w:type="dxa"/>
              <w:right w:w="108" w:type="dxa"/>
            </w:tcMar>
            <w:hideMark/>
          </w:tcPr>
          <w:p w14:paraId="404B543C"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Performance of OR duties</w:t>
            </w:r>
          </w:p>
        </w:tc>
        <w:tc>
          <w:tcPr>
            <w:tcW w:w="1571" w:type="dxa"/>
            <w:tcBorders>
              <w:top w:val="nil"/>
              <w:left w:val="nil"/>
              <w:bottom w:val="single" w:sz="4" w:space="0" w:color="auto"/>
              <w:right w:val="single" w:sz="4" w:space="0" w:color="auto"/>
            </w:tcBorders>
            <w:tcMar>
              <w:top w:w="15" w:type="dxa"/>
              <w:left w:w="108" w:type="dxa"/>
              <w:bottom w:w="0" w:type="dxa"/>
              <w:right w:w="108" w:type="dxa"/>
            </w:tcMar>
            <w:hideMark/>
          </w:tcPr>
          <w:p w14:paraId="24EB62D5"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Variable consideration based on the expected amount to be received </w:t>
            </w:r>
          </w:p>
        </w:tc>
        <w:tc>
          <w:tcPr>
            <w:tcW w:w="1559" w:type="dxa"/>
            <w:tcBorders>
              <w:top w:val="nil"/>
              <w:left w:val="nil"/>
              <w:bottom w:val="single" w:sz="4" w:space="0" w:color="auto"/>
              <w:right w:val="single" w:sz="4" w:space="0" w:color="auto"/>
            </w:tcBorders>
            <w:tcMar>
              <w:top w:w="15" w:type="dxa"/>
              <w:left w:w="108" w:type="dxa"/>
              <w:bottom w:w="0" w:type="dxa"/>
              <w:right w:w="108" w:type="dxa"/>
            </w:tcMar>
            <w:hideMark/>
          </w:tcPr>
          <w:p w14:paraId="753B4178"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Measured as satisfied over time</w:t>
            </w:r>
          </w:p>
        </w:tc>
        <w:tc>
          <w:tcPr>
            <w:tcW w:w="1560" w:type="dxa"/>
            <w:tcBorders>
              <w:top w:val="nil"/>
              <w:left w:val="nil"/>
              <w:bottom w:val="single" w:sz="4" w:space="0" w:color="auto"/>
              <w:right w:val="single" w:sz="4" w:space="0" w:color="auto"/>
            </w:tcBorders>
            <w:tcMar>
              <w:top w:w="15" w:type="dxa"/>
              <w:left w:w="108" w:type="dxa"/>
              <w:bottom w:w="0" w:type="dxa"/>
              <w:right w:w="108" w:type="dxa"/>
            </w:tcMar>
            <w:hideMark/>
          </w:tcPr>
          <w:p w14:paraId="7D4B8C5B"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Recognised in line with the cost of resources applied to the processing  of cases by the OR</w:t>
            </w:r>
          </w:p>
        </w:tc>
      </w:tr>
      <w:tr w:rsidR="00560745" w14:paraId="0A977E73" w14:textId="77777777" w:rsidTr="00887023">
        <w:trPr>
          <w:gridAfter w:val="1"/>
          <w:wAfter w:w="12" w:type="dxa"/>
          <w:trHeight w:val="1000"/>
        </w:trPr>
        <w:tc>
          <w:tcPr>
            <w:tcW w:w="1412"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008C5725"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Distribution (Time and Rate) Fee</w:t>
            </w:r>
          </w:p>
        </w:tc>
        <w:tc>
          <w:tcPr>
            <w:tcW w:w="1275" w:type="dxa"/>
            <w:tcBorders>
              <w:top w:val="nil"/>
              <w:left w:val="nil"/>
              <w:bottom w:val="single" w:sz="4" w:space="0" w:color="auto"/>
              <w:right w:val="single" w:sz="4" w:space="0" w:color="auto"/>
            </w:tcBorders>
            <w:tcMar>
              <w:top w:w="15" w:type="dxa"/>
              <w:left w:w="108" w:type="dxa"/>
              <w:bottom w:w="0" w:type="dxa"/>
              <w:right w:w="108" w:type="dxa"/>
            </w:tcMar>
            <w:hideMark/>
          </w:tcPr>
          <w:p w14:paraId="22F7DFB0"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Legislated Fee</w:t>
            </w:r>
          </w:p>
        </w:tc>
        <w:tc>
          <w:tcPr>
            <w:tcW w:w="1701" w:type="dxa"/>
            <w:tcBorders>
              <w:top w:val="nil"/>
              <w:left w:val="nil"/>
              <w:bottom w:val="single" w:sz="4" w:space="0" w:color="auto"/>
              <w:right w:val="single" w:sz="4" w:space="0" w:color="auto"/>
            </w:tcBorders>
            <w:tcMar>
              <w:top w:w="15" w:type="dxa"/>
              <w:left w:w="108" w:type="dxa"/>
              <w:bottom w:w="0" w:type="dxa"/>
              <w:right w:w="108" w:type="dxa"/>
            </w:tcMar>
            <w:hideMark/>
          </w:tcPr>
          <w:p w14:paraId="1A4D3417"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Distribution to Creditors</w:t>
            </w:r>
          </w:p>
        </w:tc>
        <w:tc>
          <w:tcPr>
            <w:tcW w:w="1571" w:type="dxa"/>
            <w:tcBorders>
              <w:top w:val="nil"/>
              <w:left w:val="nil"/>
              <w:bottom w:val="single" w:sz="4" w:space="0" w:color="auto"/>
              <w:right w:val="single" w:sz="4" w:space="0" w:color="auto"/>
            </w:tcBorders>
            <w:tcMar>
              <w:top w:w="15" w:type="dxa"/>
              <w:left w:w="108" w:type="dxa"/>
              <w:bottom w:w="0" w:type="dxa"/>
              <w:right w:w="108" w:type="dxa"/>
            </w:tcMar>
            <w:hideMark/>
          </w:tcPr>
          <w:p w14:paraId="1ED40A78"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Charged at legislated hourly rate</w:t>
            </w:r>
          </w:p>
        </w:tc>
        <w:tc>
          <w:tcPr>
            <w:tcW w:w="1559" w:type="dxa"/>
            <w:tcBorders>
              <w:top w:val="nil"/>
              <w:left w:val="nil"/>
              <w:bottom w:val="single" w:sz="4" w:space="0" w:color="auto"/>
              <w:right w:val="single" w:sz="4" w:space="0" w:color="auto"/>
            </w:tcBorders>
            <w:tcMar>
              <w:top w:w="15" w:type="dxa"/>
              <w:left w:w="108" w:type="dxa"/>
              <w:bottom w:w="0" w:type="dxa"/>
              <w:right w:w="108" w:type="dxa"/>
            </w:tcMar>
            <w:hideMark/>
          </w:tcPr>
          <w:p w14:paraId="47A270F4"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Full fee is due when  a distribution is  made</w:t>
            </w:r>
          </w:p>
        </w:tc>
        <w:tc>
          <w:tcPr>
            <w:tcW w:w="1560" w:type="dxa"/>
            <w:tcBorders>
              <w:top w:val="nil"/>
              <w:left w:val="nil"/>
              <w:bottom w:val="single" w:sz="4" w:space="0" w:color="auto"/>
              <w:right w:val="single" w:sz="4" w:space="0" w:color="auto"/>
            </w:tcBorders>
            <w:tcMar>
              <w:top w:w="15" w:type="dxa"/>
              <w:left w:w="108" w:type="dxa"/>
              <w:bottom w:w="0" w:type="dxa"/>
              <w:right w:w="108" w:type="dxa"/>
            </w:tcMar>
            <w:hideMark/>
          </w:tcPr>
          <w:p w14:paraId="3DD40A2F"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Recognised at the date of distribution</w:t>
            </w:r>
          </w:p>
        </w:tc>
      </w:tr>
      <w:tr w:rsidR="00560745" w14:paraId="4815204A" w14:textId="77777777" w:rsidTr="00887023">
        <w:trPr>
          <w:gridAfter w:val="1"/>
          <w:wAfter w:w="12" w:type="dxa"/>
          <w:trHeight w:val="1492"/>
        </w:trPr>
        <w:tc>
          <w:tcPr>
            <w:tcW w:w="1412"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70DABF4A"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Debt Relief Order Fee </w:t>
            </w:r>
          </w:p>
        </w:tc>
        <w:tc>
          <w:tcPr>
            <w:tcW w:w="1275" w:type="dxa"/>
            <w:tcBorders>
              <w:top w:val="nil"/>
              <w:left w:val="nil"/>
              <w:bottom w:val="single" w:sz="4" w:space="0" w:color="auto"/>
              <w:right w:val="single" w:sz="4" w:space="0" w:color="auto"/>
            </w:tcBorders>
            <w:tcMar>
              <w:top w:w="15" w:type="dxa"/>
              <w:left w:w="108" w:type="dxa"/>
              <w:bottom w:w="0" w:type="dxa"/>
              <w:right w:w="108" w:type="dxa"/>
            </w:tcMar>
            <w:hideMark/>
          </w:tcPr>
          <w:p w14:paraId="12E97EF5"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Legislated Fee</w:t>
            </w:r>
          </w:p>
        </w:tc>
        <w:tc>
          <w:tcPr>
            <w:tcW w:w="1701" w:type="dxa"/>
            <w:tcBorders>
              <w:top w:val="nil"/>
              <w:left w:val="nil"/>
              <w:bottom w:val="single" w:sz="4" w:space="0" w:color="auto"/>
              <w:right w:val="single" w:sz="4" w:space="0" w:color="auto"/>
            </w:tcBorders>
            <w:tcMar>
              <w:top w:w="15" w:type="dxa"/>
              <w:left w:w="108" w:type="dxa"/>
              <w:bottom w:w="0" w:type="dxa"/>
              <w:right w:w="108" w:type="dxa"/>
            </w:tcMar>
            <w:hideMark/>
          </w:tcPr>
          <w:p w14:paraId="22B84743"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Granting of </w:t>
            </w:r>
            <w:r>
              <w:rPr>
                <w:rFonts w:eastAsia="Times New Roman"/>
                <w:kern w:val="0"/>
                <w:sz w:val="18"/>
                <w:szCs w:val="18"/>
                <w:lang w:eastAsia="en-GB"/>
                <w14:ligatures w14:val="none"/>
              </w:rPr>
              <w:br/>
              <w:t xml:space="preserve">Debt Relief </w:t>
            </w:r>
            <w:r>
              <w:rPr>
                <w:rFonts w:eastAsia="Times New Roman"/>
                <w:kern w:val="0"/>
                <w:sz w:val="18"/>
                <w:szCs w:val="18"/>
                <w:lang w:eastAsia="en-GB"/>
                <w14:ligatures w14:val="none"/>
              </w:rPr>
              <w:br/>
              <w:t xml:space="preserve">Order (48 hours after </w:t>
            </w:r>
            <w:r>
              <w:rPr>
                <w:rFonts w:eastAsia="Times New Roman"/>
                <w:kern w:val="0"/>
                <w:sz w:val="18"/>
                <w:szCs w:val="18"/>
                <w:lang w:eastAsia="en-GB"/>
                <w14:ligatures w14:val="none"/>
              </w:rPr>
              <w:br/>
              <w:t xml:space="preserve">payment in </w:t>
            </w:r>
            <w:r>
              <w:rPr>
                <w:rFonts w:eastAsia="Times New Roman"/>
                <w:kern w:val="0"/>
                <w:sz w:val="18"/>
                <w:szCs w:val="18"/>
                <w:lang w:eastAsia="en-GB"/>
                <w14:ligatures w14:val="none"/>
              </w:rPr>
              <w:br/>
              <w:t>99% of cases)</w:t>
            </w:r>
          </w:p>
        </w:tc>
        <w:tc>
          <w:tcPr>
            <w:tcW w:w="1571" w:type="dxa"/>
            <w:tcBorders>
              <w:top w:val="nil"/>
              <w:left w:val="nil"/>
              <w:bottom w:val="single" w:sz="4" w:space="0" w:color="auto"/>
              <w:right w:val="single" w:sz="4" w:space="0" w:color="auto"/>
            </w:tcBorders>
            <w:tcMar>
              <w:top w:w="15" w:type="dxa"/>
              <w:left w:w="108" w:type="dxa"/>
              <w:bottom w:w="0" w:type="dxa"/>
              <w:right w:w="108" w:type="dxa"/>
            </w:tcMar>
            <w:hideMark/>
          </w:tcPr>
          <w:p w14:paraId="1292890B"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Charged at legislated rate</w:t>
            </w:r>
          </w:p>
        </w:tc>
        <w:tc>
          <w:tcPr>
            <w:tcW w:w="1559" w:type="dxa"/>
            <w:tcBorders>
              <w:top w:val="nil"/>
              <w:left w:val="nil"/>
              <w:bottom w:val="single" w:sz="4" w:space="0" w:color="auto"/>
              <w:right w:val="single" w:sz="4" w:space="0" w:color="auto"/>
            </w:tcBorders>
            <w:tcMar>
              <w:top w:w="15" w:type="dxa"/>
              <w:left w:w="108" w:type="dxa"/>
              <w:bottom w:w="0" w:type="dxa"/>
              <w:right w:w="108" w:type="dxa"/>
            </w:tcMar>
            <w:hideMark/>
          </w:tcPr>
          <w:p w14:paraId="1AA02B36"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Full fee when the relief order determined</w:t>
            </w:r>
          </w:p>
        </w:tc>
        <w:tc>
          <w:tcPr>
            <w:tcW w:w="1560" w:type="dxa"/>
            <w:tcBorders>
              <w:top w:val="nil"/>
              <w:left w:val="nil"/>
              <w:bottom w:val="single" w:sz="4" w:space="0" w:color="auto"/>
              <w:right w:val="single" w:sz="4" w:space="0" w:color="auto"/>
            </w:tcBorders>
            <w:tcMar>
              <w:top w:w="15" w:type="dxa"/>
              <w:left w:w="108" w:type="dxa"/>
              <w:bottom w:w="0" w:type="dxa"/>
              <w:right w:w="108" w:type="dxa"/>
            </w:tcMar>
            <w:hideMark/>
          </w:tcPr>
          <w:p w14:paraId="0DA683A6"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At date of payment of the fee</w:t>
            </w:r>
          </w:p>
        </w:tc>
      </w:tr>
    </w:tbl>
    <w:p w14:paraId="6D849E6E" w14:textId="77777777" w:rsidR="00560745" w:rsidRDefault="00560745" w:rsidP="00560745">
      <w:pPr>
        <w:rPr>
          <w:rFonts w:ascii="Arial" w:hAnsi="Arial" w:cs="Arial"/>
        </w:rPr>
      </w:pPr>
    </w:p>
    <w:p w14:paraId="450EFB68" w14:textId="77777777" w:rsidR="00887023" w:rsidRDefault="00887023">
      <w:r>
        <w:br w:type="page"/>
      </w:r>
    </w:p>
    <w:tbl>
      <w:tblPr>
        <w:tblW w:w="9072" w:type="dxa"/>
        <w:tblLayout w:type="fixed"/>
        <w:tblLook w:val="04A0" w:firstRow="1" w:lastRow="0" w:firstColumn="1" w:lastColumn="0" w:noHBand="0" w:noVBand="1"/>
      </w:tblPr>
      <w:tblGrid>
        <w:gridCol w:w="709"/>
        <w:gridCol w:w="8363"/>
      </w:tblGrid>
      <w:tr w:rsidR="002D4D9E" w:rsidRPr="0070382F" w14:paraId="4553E5EE" w14:textId="77777777" w:rsidTr="00B14DA2">
        <w:trPr>
          <w:trHeight w:val="458"/>
        </w:trPr>
        <w:tc>
          <w:tcPr>
            <w:tcW w:w="9072" w:type="dxa"/>
            <w:gridSpan w:val="2"/>
            <w:vMerge w:val="restart"/>
            <w:tcMar>
              <w:top w:w="15" w:type="dxa"/>
              <w:left w:w="108" w:type="dxa"/>
              <w:bottom w:w="0" w:type="dxa"/>
              <w:right w:w="108" w:type="dxa"/>
            </w:tcMar>
            <w:hideMark/>
          </w:tcPr>
          <w:p w14:paraId="053456B0" w14:textId="5CD7226C" w:rsidR="006B10A9" w:rsidRDefault="006B10A9">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b/>
                <w:bCs/>
                <w:kern w:val="0"/>
                <w:sz w:val="24"/>
                <w:szCs w:val="24"/>
                <w:lang w:eastAsia="en-GB"/>
                <w14:ligatures w14:val="none"/>
              </w:rPr>
              <w:lastRenderedPageBreak/>
              <w:t>1(m) Redundancy Payments Servi</w:t>
            </w:r>
            <w:r>
              <w:rPr>
                <w:rFonts w:ascii="Arial" w:eastAsia="Times New Roman" w:hAnsi="Arial" w:cs="Arial"/>
                <w:b/>
                <w:bCs/>
                <w:kern w:val="0"/>
                <w:sz w:val="24"/>
                <w:szCs w:val="24"/>
                <w:lang w:eastAsia="en-GB"/>
                <w14:ligatures w14:val="none"/>
              </w:rPr>
              <w:t>ce</w:t>
            </w:r>
          </w:p>
          <w:p w14:paraId="4F2F99CE" w14:textId="082A457F"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 xml:space="preserve">The Insolvency Service is responsible for the approval and processing of claims under the Redundancy Payments Service (RPS), which is financed from the National Insurance Fund (NIF). Under the Employment Rights Act 1996, redundancy payments are payable by the Secretary of State and financed from the National Insurance Fund. These payments are made to employees whose employers have failed to make payments due or who are insolvent. The Agency has a service level agreement with </w:t>
            </w:r>
            <w:r>
              <w:rPr>
                <w:rFonts w:ascii="Arial" w:eastAsia="Times New Roman" w:hAnsi="Arial" w:cs="Arial"/>
                <w:sz w:val="24"/>
                <w:szCs w:val="24"/>
              </w:rPr>
              <w:t xml:space="preserve">HM Revenue </w:t>
            </w:r>
            <w:r w:rsidR="00322831">
              <w:rPr>
                <w:rFonts w:ascii="Arial" w:eastAsia="Times New Roman" w:hAnsi="Arial" w:cs="Arial"/>
                <w:sz w:val="24"/>
                <w:szCs w:val="24"/>
              </w:rPr>
              <w:t>&amp;</w:t>
            </w:r>
            <w:r>
              <w:rPr>
                <w:rFonts w:ascii="Arial" w:eastAsia="Times New Roman" w:hAnsi="Arial" w:cs="Arial"/>
                <w:sz w:val="24"/>
                <w:szCs w:val="24"/>
              </w:rPr>
              <w:t xml:space="preserve"> Customs</w:t>
            </w:r>
            <w:r w:rsidRPr="0070382F">
              <w:rPr>
                <w:rFonts w:ascii="Arial" w:eastAsia="Times New Roman" w:hAnsi="Arial" w:cs="Arial"/>
                <w:kern w:val="0"/>
                <w:sz w:val="24"/>
                <w:szCs w:val="24"/>
                <w:lang w:eastAsia="en-GB"/>
                <w14:ligatures w14:val="none"/>
              </w:rPr>
              <w:t xml:space="preserve"> to provide this service on their behalf.</w:t>
            </w:r>
            <w:r>
              <w:rPr>
                <w:rFonts w:ascii="Arial" w:eastAsia="Times New Roman" w:hAnsi="Arial" w:cs="Arial"/>
                <w:kern w:val="0"/>
                <w:sz w:val="24"/>
                <w:szCs w:val="24"/>
                <w:lang w:eastAsia="en-GB"/>
                <w14:ligatures w14:val="none"/>
              </w:rPr>
              <w:br/>
            </w:r>
          </w:p>
          <w:p w14:paraId="5CE652EF" w14:textId="79A00D05"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The Agency then attempts to recover these monies from two sources:</w:t>
            </w:r>
            <w:r w:rsidRPr="0070382F">
              <w:rPr>
                <w:rFonts w:ascii="Arial" w:eastAsia="Times New Roman" w:hAnsi="Arial" w:cs="Arial"/>
                <w:kern w:val="0"/>
                <w:sz w:val="24"/>
                <w:szCs w:val="24"/>
                <w:lang w:eastAsia="en-GB"/>
                <w14:ligatures w14:val="none"/>
              </w:rPr>
              <w:br/>
              <w:t xml:space="preserve">(i) </w:t>
            </w:r>
            <w:r w:rsidR="00402D84">
              <w:rPr>
                <w:rFonts w:ascii="Arial" w:eastAsia="Times New Roman" w:hAnsi="Arial" w:cs="Arial"/>
                <w:kern w:val="0"/>
                <w:sz w:val="24"/>
                <w:szCs w:val="24"/>
                <w:lang w:eastAsia="en-GB"/>
                <w14:ligatures w14:val="none"/>
              </w:rPr>
              <w:t>i</w:t>
            </w:r>
            <w:r w:rsidRPr="0070382F">
              <w:rPr>
                <w:rFonts w:ascii="Arial" w:eastAsia="Times New Roman" w:hAnsi="Arial" w:cs="Arial"/>
                <w:kern w:val="0"/>
                <w:sz w:val="24"/>
                <w:szCs w:val="24"/>
                <w:lang w:eastAsia="en-GB"/>
                <w14:ligatures w14:val="none"/>
              </w:rPr>
              <w:t xml:space="preserve">nsolvent </w:t>
            </w:r>
            <w:r w:rsidR="00402D84">
              <w:rPr>
                <w:rFonts w:ascii="Arial" w:eastAsia="Times New Roman" w:hAnsi="Arial" w:cs="Arial"/>
                <w:kern w:val="0"/>
                <w:sz w:val="24"/>
                <w:szCs w:val="24"/>
                <w:lang w:eastAsia="en-GB"/>
                <w14:ligatures w14:val="none"/>
              </w:rPr>
              <w:t>r</w:t>
            </w:r>
            <w:r w:rsidRPr="0070382F">
              <w:rPr>
                <w:rFonts w:ascii="Arial" w:eastAsia="Times New Roman" w:hAnsi="Arial" w:cs="Arial"/>
                <w:kern w:val="0"/>
                <w:sz w:val="24"/>
                <w:szCs w:val="24"/>
                <w:lang w:eastAsia="en-GB"/>
                <w14:ligatures w14:val="none"/>
              </w:rPr>
              <w:t>ecovery: the Agency becomes a creditor, receiving a dividend if there are sufficient funds in the insolvency of the employer (the majority).</w:t>
            </w:r>
            <w:r w:rsidRPr="0070382F">
              <w:rPr>
                <w:rFonts w:ascii="Arial" w:eastAsia="Times New Roman" w:hAnsi="Arial" w:cs="Arial"/>
                <w:kern w:val="0"/>
                <w:sz w:val="24"/>
                <w:szCs w:val="24"/>
                <w:lang w:eastAsia="en-GB"/>
                <w14:ligatures w14:val="none"/>
              </w:rPr>
              <w:br/>
              <w:t xml:space="preserve">(ii) </w:t>
            </w:r>
            <w:r w:rsidR="00402D84">
              <w:rPr>
                <w:rFonts w:ascii="Arial" w:eastAsia="Times New Roman" w:hAnsi="Arial" w:cs="Arial"/>
                <w:kern w:val="0"/>
                <w:sz w:val="24"/>
                <w:szCs w:val="24"/>
                <w:lang w:eastAsia="en-GB"/>
                <w14:ligatures w14:val="none"/>
              </w:rPr>
              <w:t>s</w:t>
            </w:r>
            <w:r w:rsidRPr="0070382F">
              <w:rPr>
                <w:rFonts w:ascii="Arial" w:eastAsia="Times New Roman" w:hAnsi="Arial" w:cs="Arial"/>
                <w:kern w:val="0"/>
                <w:sz w:val="24"/>
                <w:szCs w:val="24"/>
                <w:lang w:eastAsia="en-GB"/>
                <w14:ligatures w14:val="none"/>
              </w:rPr>
              <w:t xml:space="preserve">olvent </w:t>
            </w:r>
            <w:r w:rsidR="00402D84">
              <w:rPr>
                <w:rFonts w:ascii="Arial" w:eastAsia="Times New Roman" w:hAnsi="Arial" w:cs="Arial"/>
                <w:kern w:val="0"/>
                <w:sz w:val="24"/>
                <w:szCs w:val="24"/>
                <w:lang w:eastAsia="en-GB"/>
                <w14:ligatures w14:val="none"/>
              </w:rPr>
              <w:t>r</w:t>
            </w:r>
            <w:r w:rsidRPr="0070382F">
              <w:rPr>
                <w:rFonts w:ascii="Arial" w:eastAsia="Times New Roman" w:hAnsi="Arial" w:cs="Arial"/>
                <w:kern w:val="0"/>
                <w:sz w:val="24"/>
                <w:szCs w:val="24"/>
                <w:lang w:eastAsia="en-GB"/>
                <w14:ligatures w14:val="none"/>
              </w:rPr>
              <w:t>ecovery: where money is recovered from solvent employers to meet the costs of redundancy payments made by RPS (a small proportion).</w:t>
            </w:r>
            <w:r>
              <w:rPr>
                <w:rFonts w:ascii="Arial" w:eastAsia="Times New Roman" w:hAnsi="Arial" w:cs="Arial"/>
                <w:kern w:val="0"/>
                <w:sz w:val="24"/>
                <w:szCs w:val="24"/>
                <w:lang w:eastAsia="en-GB"/>
                <w14:ligatures w14:val="none"/>
              </w:rPr>
              <w:br/>
            </w:r>
            <w:r w:rsidRPr="0070382F">
              <w:rPr>
                <w:rFonts w:ascii="Arial" w:eastAsia="Times New Roman" w:hAnsi="Arial" w:cs="Arial"/>
                <w:kern w:val="0"/>
                <w:sz w:val="24"/>
                <w:szCs w:val="24"/>
                <w:lang w:eastAsia="en-GB"/>
                <w14:ligatures w14:val="none"/>
              </w:rPr>
              <w:br/>
              <w:t>The payments are included in Expenditure (Note 3).</w:t>
            </w:r>
            <w:r>
              <w:rPr>
                <w:rFonts w:ascii="Arial" w:eastAsia="Times New Roman" w:hAnsi="Arial" w:cs="Arial"/>
                <w:kern w:val="0"/>
                <w:sz w:val="24"/>
                <w:szCs w:val="24"/>
                <w:lang w:eastAsia="en-GB"/>
                <w14:ligatures w14:val="none"/>
              </w:rPr>
              <w:br/>
            </w:r>
          </w:p>
          <w:p w14:paraId="0B087B8F" w14:textId="4EE816BC"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Repayment of RPS debt is recovered from insolvent companies, where possible, from their assets. A small part of the debt is considered preferential (see Note 1(n)) but most ranks with ordinary creditors. The recoverability of RPS varies as set out in Note 9. This means the debt will be irrecoverable in the majority of cases. Whilst we account for RPS losses on a full accruals basis, the NIF account funds the difference between payments and receipts on a cash basis, and effectively bears the loss.</w:t>
            </w:r>
            <w:r>
              <w:rPr>
                <w:rFonts w:ascii="Arial" w:eastAsia="Times New Roman" w:hAnsi="Arial" w:cs="Arial"/>
                <w:kern w:val="0"/>
                <w:sz w:val="24"/>
                <w:szCs w:val="24"/>
                <w:lang w:eastAsia="en-GB"/>
                <w14:ligatures w14:val="none"/>
              </w:rPr>
              <w:br/>
            </w:r>
          </w:p>
          <w:p w14:paraId="5F78E388" w14:textId="5BDE233A"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 xml:space="preserve">RPS expenditure is recognised by the Agency when it has a present obligation to make payments to the claimants following completion of robust processes. Each claim is validated against </w:t>
            </w:r>
            <w:r w:rsidR="00C74977">
              <w:rPr>
                <w:rFonts w:ascii="Arial" w:eastAsia="Times New Roman" w:hAnsi="Arial" w:cs="Arial"/>
                <w:sz w:val="24"/>
                <w:szCs w:val="24"/>
              </w:rPr>
              <w:t>HM Revenue &amp; Customs</w:t>
            </w:r>
            <w:r w:rsidRPr="0070382F">
              <w:rPr>
                <w:rFonts w:ascii="Arial" w:eastAsia="Times New Roman" w:hAnsi="Arial" w:cs="Arial"/>
                <w:kern w:val="0"/>
                <w:sz w:val="24"/>
                <w:szCs w:val="24"/>
                <w:lang w:eastAsia="en-GB"/>
                <w14:ligatures w14:val="none"/>
              </w:rPr>
              <w:t xml:space="preserve"> rules, and the amount payable to each claimant is considered reliably measurable and probable.</w:t>
            </w:r>
            <w:r>
              <w:rPr>
                <w:rFonts w:ascii="Arial" w:eastAsia="Times New Roman" w:hAnsi="Arial" w:cs="Arial"/>
                <w:kern w:val="0"/>
                <w:sz w:val="24"/>
                <w:szCs w:val="24"/>
                <w:lang w:eastAsia="en-GB"/>
                <w14:ligatures w14:val="none"/>
              </w:rPr>
              <w:br/>
            </w:r>
          </w:p>
          <w:p w14:paraId="3BBDB64B" w14:textId="119BC786"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During 2023-24 the Agency made payments totalling £494m (2022-23: £316m) and made cash recoveries of £</w:t>
            </w:r>
            <w:r>
              <w:rPr>
                <w:rFonts w:ascii="Arial" w:eastAsia="Times New Roman" w:hAnsi="Arial" w:cs="Arial"/>
                <w:kern w:val="0"/>
                <w:sz w:val="24"/>
                <w:szCs w:val="24"/>
                <w:lang w:eastAsia="en-GB"/>
                <w14:ligatures w14:val="none"/>
              </w:rPr>
              <w:t>29</w:t>
            </w:r>
            <w:r w:rsidRPr="0070382F">
              <w:rPr>
                <w:rFonts w:ascii="Arial" w:eastAsia="Times New Roman" w:hAnsi="Arial" w:cs="Arial"/>
                <w:kern w:val="0"/>
                <w:sz w:val="24"/>
                <w:szCs w:val="24"/>
                <w:lang w:eastAsia="en-GB"/>
                <w14:ligatures w14:val="none"/>
              </w:rPr>
              <w:t>m (2022-23: £46m), a net cost of £46</w:t>
            </w:r>
            <w:r>
              <w:rPr>
                <w:rFonts w:ascii="Arial" w:eastAsia="Times New Roman" w:hAnsi="Arial" w:cs="Arial"/>
                <w:kern w:val="0"/>
                <w:sz w:val="24"/>
                <w:szCs w:val="24"/>
                <w:lang w:eastAsia="en-GB"/>
                <w14:ligatures w14:val="none"/>
              </w:rPr>
              <w:t>5</w:t>
            </w:r>
            <w:r w:rsidRPr="0070382F">
              <w:rPr>
                <w:rFonts w:ascii="Arial" w:eastAsia="Times New Roman" w:hAnsi="Arial" w:cs="Arial"/>
                <w:kern w:val="0"/>
                <w:sz w:val="24"/>
                <w:szCs w:val="24"/>
                <w:lang w:eastAsia="en-GB"/>
                <w14:ligatures w14:val="none"/>
              </w:rPr>
              <w:t xml:space="preserve">m (2022-23: £270m) which was funded from the NIF via </w:t>
            </w:r>
            <w:r w:rsidR="006A12EE">
              <w:rPr>
                <w:rFonts w:ascii="Arial" w:eastAsia="Times New Roman" w:hAnsi="Arial" w:cs="Arial"/>
                <w:sz w:val="24"/>
                <w:szCs w:val="24"/>
              </w:rPr>
              <w:t>HM Revenue &amp; Customs</w:t>
            </w:r>
            <w:r w:rsidRPr="0070382F">
              <w:rPr>
                <w:rFonts w:ascii="Arial" w:eastAsia="Times New Roman" w:hAnsi="Arial" w:cs="Arial"/>
                <w:kern w:val="0"/>
                <w:sz w:val="24"/>
                <w:szCs w:val="24"/>
                <w:lang w:eastAsia="en-GB"/>
                <w14:ligatures w14:val="none"/>
              </w:rPr>
              <w:t>.</w:t>
            </w:r>
            <w:r>
              <w:rPr>
                <w:rFonts w:ascii="Arial" w:eastAsia="Times New Roman" w:hAnsi="Arial" w:cs="Arial"/>
                <w:kern w:val="0"/>
                <w:sz w:val="24"/>
                <w:szCs w:val="24"/>
                <w:lang w:eastAsia="en-GB"/>
                <w14:ligatures w14:val="none"/>
              </w:rPr>
              <w:br/>
            </w:r>
          </w:p>
          <w:p w14:paraId="78072592" w14:textId="259AF27B"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Redundancy payments may be subject to income tax and both employee and employer national insurance contributions. These amounts are included in the payment totals shown.</w:t>
            </w:r>
            <w:r>
              <w:rPr>
                <w:rFonts w:ascii="Arial" w:eastAsia="Times New Roman" w:hAnsi="Arial" w:cs="Arial"/>
                <w:kern w:val="0"/>
                <w:sz w:val="24"/>
                <w:szCs w:val="24"/>
                <w:lang w:eastAsia="en-GB"/>
                <w14:ligatures w14:val="none"/>
              </w:rPr>
              <w:br/>
            </w:r>
          </w:p>
          <w:p w14:paraId="2C94036B" w14:textId="4539596F"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The Agency is entitled to attempt to recover the £494m expended during the year. Of the £</w:t>
            </w:r>
            <w:r>
              <w:rPr>
                <w:rFonts w:ascii="Arial" w:eastAsia="Times New Roman" w:hAnsi="Arial" w:cs="Arial"/>
                <w:kern w:val="0"/>
                <w:sz w:val="24"/>
                <w:szCs w:val="24"/>
                <w:lang w:eastAsia="en-GB"/>
                <w14:ligatures w14:val="none"/>
              </w:rPr>
              <w:t>29</w:t>
            </w:r>
            <w:r w:rsidRPr="0070382F">
              <w:rPr>
                <w:rFonts w:ascii="Arial" w:eastAsia="Times New Roman" w:hAnsi="Arial" w:cs="Arial"/>
                <w:kern w:val="0"/>
                <w:sz w:val="24"/>
                <w:szCs w:val="24"/>
                <w:lang w:eastAsia="en-GB"/>
                <w14:ligatures w14:val="none"/>
              </w:rPr>
              <w:t>m recovered during the year, only £1m related to these in-year payments, with £</w:t>
            </w:r>
            <w:r>
              <w:rPr>
                <w:rFonts w:ascii="Arial" w:eastAsia="Times New Roman" w:hAnsi="Arial" w:cs="Arial"/>
                <w:kern w:val="0"/>
                <w:sz w:val="24"/>
                <w:szCs w:val="24"/>
                <w:lang w:eastAsia="en-GB"/>
                <w14:ligatures w14:val="none"/>
              </w:rPr>
              <w:t>28</w:t>
            </w:r>
            <w:r w:rsidRPr="0070382F">
              <w:rPr>
                <w:rFonts w:ascii="Arial" w:eastAsia="Times New Roman" w:hAnsi="Arial" w:cs="Arial"/>
                <w:kern w:val="0"/>
                <w:sz w:val="24"/>
                <w:szCs w:val="24"/>
                <w:lang w:eastAsia="en-GB"/>
                <w14:ligatures w14:val="none"/>
              </w:rPr>
              <w:t>m relating to payments made in previous years.</w:t>
            </w:r>
          </w:p>
        </w:tc>
      </w:tr>
      <w:tr w:rsidR="002D4D9E" w:rsidRPr="0070382F" w14:paraId="4F3D4CDE" w14:textId="77777777" w:rsidTr="00B14DA2">
        <w:trPr>
          <w:trHeight w:val="458"/>
        </w:trPr>
        <w:tc>
          <w:tcPr>
            <w:tcW w:w="9072" w:type="dxa"/>
            <w:gridSpan w:val="2"/>
            <w:vMerge/>
            <w:vAlign w:val="center"/>
            <w:hideMark/>
          </w:tcPr>
          <w:p w14:paraId="684BC7A3" w14:textId="790A24AA"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1D084522" w14:textId="77777777" w:rsidTr="00B14DA2">
        <w:trPr>
          <w:trHeight w:val="458"/>
        </w:trPr>
        <w:tc>
          <w:tcPr>
            <w:tcW w:w="9072" w:type="dxa"/>
            <w:gridSpan w:val="2"/>
            <w:vMerge/>
            <w:vAlign w:val="center"/>
            <w:hideMark/>
          </w:tcPr>
          <w:p w14:paraId="0212223F" w14:textId="0E0B34EA"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6A3DF317" w14:textId="77777777" w:rsidTr="00B14DA2">
        <w:trPr>
          <w:trHeight w:val="450"/>
        </w:trPr>
        <w:tc>
          <w:tcPr>
            <w:tcW w:w="9072" w:type="dxa"/>
            <w:gridSpan w:val="2"/>
            <w:vMerge/>
            <w:vAlign w:val="center"/>
            <w:hideMark/>
          </w:tcPr>
          <w:p w14:paraId="79F71B63" w14:textId="14092C4B"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204A2FBA" w14:textId="77777777" w:rsidTr="00B14DA2">
        <w:trPr>
          <w:trHeight w:val="450"/>
        </w:trPr>
        <w:tc>
          <w:tcPr>
            <w:tcW w:w="9072" w:type="dxa"/>
            <w:gridSpan w:val="2"/>
            <w:vMerge/>
            <w:vAlign w:val="center"/>
            <w:hideMark/>
          </w:tcPr>
          <w:p w14:paraId="53FBA12A" w14:textId="0759DA9F"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777D51CC" w14:textId="77777777" w:rsidTr="00B14DA2">
        <w:trPr>
          <w:trHeight w:val="458"/>
        </w:trPr>
        <w:tc>
          <w:tcPr>
            <w:tcW w:w="9072" w:type="dxa"/>
            <w:gridSpan w:val="2"/>
            <w:vMerge/>
            <w:tcMar>
              <w:top w:w="15" w:type="dxa"/>
              <w:left w:w="108" w:type="dxa"/>
              <w:bottom w:w="0" w:type="dxa"/>
              <w:right w:w="108" w:type="dxa"/>
            </w:tcMar>
            <w:vAlign w:val="bottom"/>
            <w:hideMark/>
          </w:tcPr>
          <w:p w14:paraId="31A94857" w14:textId="5F6A795E"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2421590F" w14:textId="77777777" w:rsidTr="00B14DA2">
        <w:trPr>
          <w:trHeight w:val="458"/>
        </w:trPr>
        <w:tc>
          <w:tcPr>
            <w:tcW w:w="9072" w:type="dxa"/>
            <w:gridSpan w:val="2"/>
            <w:vMerge/>
            <w:vAlign w:val="center"/>
            <w:hideMark/>
          </w:tcPr>
          <w:p w14:paraId="32BFA05E" w14:textId="77BD14DE"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7A27B301" w14:textId="77777777" w:rsidTr="00B14DA2">
        <w:trPr>
          <w:trHeight w:val="450"/>
        </w:trPr>
        <w:tc>
          <w:tcPr>
            <w:tcW w:w="9072" w:type="dxa"/>
            <w:gridSpan w:val="2"/>
            <w:vMerge/>
            <w:vAlign w:val="center"/>
            <w:hideMark/>
          </w:tcPr>
          <w:p w14:paraId="0F67B2FE" w14:textId="25D4D915"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21A5BF85" w14:textId="77777777" w:rsidTr="00B14DA2">
        <w:trPr>
          <w:trHeight w:val="450"/>
        </w:trPr>
        <w:tc>
          <w:tcPr>
            <w:tcW w:w="9072" w:type="dxa"/>
            <w:gridSpan w:val="2"/>
            <w:vMerge/>
            <w:vAlign w:val="center"/>
            <w:hideMark/>
          </w:tcPr>
          <w:p w14:paraId="28A91C5F" w14:textId="1E019FD4"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341AC204" w14:textId="77777777" w:rsidTr="00B14DA2">
        <w:trPr>
          <w:trHeight w:val="450"/>
        </w:trPr>
        <w:tc>
          <w:tcPr>
            <w:tcW w:w="9072" w:type="dxa"/>
            <w:gridSpan w:val="2"/>
            <w:vMerge/>
            <w:vAlign w:val="center"/>
            <w:hideMark/>
          </w:tcPr>
          <w:p w14:paraId="1953A2F0" w14:textId="028B268B"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5F186FB9" w14:textId="77777777" w:rsidTr="00B14DA2">
        <w:trPr>
          <w:trHeight w:val="450"/>
        </w:trPr>
        <w:tc>
          <w:tcPr>
            <w:tcW w:w="9072" w:type="dxa"/>
            <w:gridSpan w:val="2"/>
            <w:vMerge/>
            <w:vAlign w:val="center"/>
            <w:hideMark/>
          </w:tcPr>
          <w:p w14:paraId="57125EDD" w14:textId="20AE53B9"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2B5919D6" w14:textId="77777777" w:rsidTr="00B14DA2">
        <w:trPr>
          <w:trHeight w:val="458"/>
        </w:trPr>
        <w:tc>
          <w:tcPr>
            <w:tcW w:w="9072" w:type="dxa"/>
            <w:gridSpan w:val="2"/>
            <w:vMerge/>
            <w:tcMar>
              <w:top w:w="15" w:type="dxa"/>
              <w:left w:w="108" w:type="dxa"/>
              <w:bottom w:w="0" w:type="dxa"/>
              <w:right w:w="108" w:type="dxa"/>
            </w:tcMar>
            <w:vAlign w:val="bottom"/>
            <w:hideMark/>
          </w:tcPr>
          <w:p w14:paraId="03C02C09" w14:textId="40DE2587"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0EAAC065" w14:textId="77777777" w:rsidTr="00B14DA2">
        <w:trPr>
          <w:trHeight w:val="458"/>
        </w:trPr>
        <w:tc>
          <w:tcPr>
            <w:tcW w:w="9072" w:type="dxa"/>
            <w:gridSpan w:val="2"/>
            <w:vMerge/>
            <w:vAlign w:val="center"/>
            <w:hideMark/>
          </w:tcPr>
          <w:p w14:paraId="1AA3BE1E" w14:textId="78F96455"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1A703716" w14:textId="77777777" w:rsidTr="00B14DA2">
        <w:trPr>
          <w:trHeight w:val="458"/>
        </w:trPr>
        <w:tc>
          <w:tcPr>
            <w:tcW w:w="9072" w:type="dxa"/>
            <w:gridSpan w:val="2"/>
            <w:vMerge/>
            <w:vAlign w:val="center"/>
            <w:hideMark/>
          </w:tcPr>
          <w:p w14:paraId="6923C888" w14:textId="6B9CA54D"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42C4F051" w14:textId="77777777" w:rsidTr="00B14DA2">
        <w:trPr>
          <w:trHeight w:val="450"/>
        </w:trPr>
        <w:tc>
          <w:tcPr>
            <w:tcW w:w="9072" w:type="dxa"/>
            <w:gridSpan w:val="2"/>
            <w:vMerge/>
            <w:vAlign w:val="center"/>
            <w:hideMark/>
          </w:tcPr>
          <w:p w14:paraId="77F0EC0D" w14:textId="5CCFEAE3"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0A3D6660" w14:textId="77777777" w:rsidTr="00B14DA2">
        <w:trPr>
          <w:trHeight w:val="458"/>
        </w:trPr>
        <w:tc>
          <w:tcPr>
            <w:tcW w:w="9072" w:type="dxa"/>
            <w:gridSpan w:val="2"/>
            <w:vMerge/>
            <w:tcMar>
              <w:top w:w="15" w:type="dxa"/>
              <w:left w:w="108" w:type="dxa"/>
              <w:bottom w:w="0" w:type="dxa"/>
              <w:right w:w="108" w:type="dxa"/>
            </w:tcMar>
            <w:vAlign w:val="bottom"/>
            <w:hideMark/>
          </w:tcPr>
          <w:p w14:paraId="0775BED0" w14:textId="601ACA62"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10B8CB22" w14:textId="77777777" w:rsidTr="00B14DA2">
        <w:trPr>
          <w:trHeight w:val="450"/>
        </w:trPr>
        <w:tc>
          <w:tcPr>
            <w:tcW w:w="9072" w:type="dxa"/>
            <w:gridSpan w:val="2"/>
            <w:vMerge/>
            <w:vAlign w:val="center"/>
            <w:hideMark/>
          </w:tcPr>
          <w:p w14:paraId="707C3097" w14:textId="6F9BE3AD"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00A0789F" w14:textId="77777777" w:rsidTr="00B14DA2">
        <w:trPr>
          <w:trHeight w:val="450"/>
        </w:trPr>
        <w:tc>
          <w:tcPr>
            <w:tcW w:w="9072" w:type="dxa"/>
            <w:gridSpan w:val="2"/>
            <w:vMerge/>
            <w:vAlign w:val="center"/>
            <w:hideMark/>
          </w:tcPr>
          <w:p w14:paraId="183A5E83" w14:textId="05E3D584"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40C3D35E" w14:textId="77777777" w:rsidTr="00B14DA2">
        <w:trPr>
          <w:trHeight w:val="458"/>
        </w:trPr>
        <w:tc>
          <w:tcPr>
            <w:tcW w:w="9072" w:type="dxa"/>
            <w:gridSpan w:val="2"/>
            <w:vMerge/>
            <w:tcMar>
              <w:top w:w="15" w:type="dxa"/>
              <w:left w:w="108" w:type="dxa"/>
              <w:bottom w:w="0" w:type="dxa"/>
              <w:right w:w="108" w:type="dxa"/>
            </w:tcMar>
            <w:vAlign w:val="bottom"/>
            <w:hideMark/>
          </w:tcPr>
          <w:p w14:paraId="609F687B" w14:textId="1FAA73CB"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2AEE872C" w14:textId="77777777" w:rsidTr="00B14DA2">
        <w:trPr>
          <w:trHeight w:val="450"/>
        </w:trPr>
        <w:tc>
          <w:tcPr>
            <w:tcW w:w="9072" w:type="dxa"/>
            <w:gridSpan w:val="2"/>
            <w:vMerge/>
            <w:vAlign w:val="center"/>
            <w:hideMark/>
          </w:tcPr>
          <w:p w14:paraId="4DE8EEFA" w14:textId="0F1E39B4"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4882A742" w14:textId="77777777" w:rsidTr="00B14DA2">
        <w:trPr>
          <w:trHeight w:val="458"/>
        </w:trPr>
        <w:tc>
          <w:tcPr>
            <w:tcW w:w="9072" w:type="dxa"/>
            <w:gridSpan w:val="2"/>
            <w:vMerge/>
            <w:tcMar>
              <w:top w:w="15" w:type="dxa"/>
              <w:left w:w="108" w:type="dxa"/>
              <w:bottom w:w="0" w:type="dxa"/>
              <w:right w:w="108" w:type="dxa"/>
            </w:tcMar>
            <w:vAlign w:val="bottom"/>
            <w:hideMark/>
          </w:tcPr>
          <w:p w14:paraId="56D6B74C" w14:textId="402E2A04"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442782C8" w14:textId="77777777" w:rsidTr="00B14DA2">
        <w:trPr>
          <w:trHeight w:val="450"/>
        </w:trPr>
        <w:tc>
          <w:tcPr>
            <w:tcW w:w="9072" w:type="dxa"/>
            <w:gridSpan w:val="2"/>
            <w:vMerge/>
            <w:vAlign w:val="center"/>
            <w:hideMark/>
          </w:tcPr>
          <w:p w14:paraId="52314B02" w14:textId="0BEE901C"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42627E3F" w14:textId="77777777" w:rsidTr="00B14DA2">
        <w:trPr>
          <w:trHeight w:val="458"/>
        </w:trPr>
        <w:tc>
          <w:tcPr>
            <w:tcW w:w="9072" w:type="dxa"/>
            <w:gridSpan w:val="2"/>
            <w:vMerge/>
            <w:tcMar>
              <w:top w:w="15" w:type="dxa"/>
              <w:left w:w="108" w:type="dxa"/>
              <w:bottom w:w="0" w:type="dxa"/>
              <w:right w:w="108" w:type="dxa"/>
            </w:tcMar>
            <w:vAlign w:val="bottom"/>
            <w:hideMark/>
          </w:tcPr>
          <w:p w14:paraId="7DF956EA" w14:textId="03D822AB"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3D654FE1" w14:textId="77777777" w:rsidTr="00B14DA2">
        <w:trPr>
          <w:trHeight w:val="450"/>
        </w:trPr>
        <w:tc>
          <w:tcPr>
            <w:tcW w:w="9072" w:type="dxa"/>
            <w:gridSpan w:val="2"/>
            <w:vMerge/>
            <w:vAlign w:val="center"/>
            <w:hideMark/>
          </w:tcPr>
          <w:p w14:paraId="1B674C6C" w14:textId="77777777" w:rsidR="002D4D9E" w:rsidRPr="0070382F" w:rsidRDefault="002D4D9E">
            <w:pPr>
              <w:spacing w:after="0"/>
              <w:rPr>
                <w:rFonts w:ascii="Arial" w:eastAsia="Times New Roman" w:hAnsi="Arial" w:cs="Arial"/>
                <w:kern w:val="0"/>
                <w:sz w:val="24"/>
                <w:szCs w:val="24"/>
                <w:lang w:eastAsia="en-GB"/>
                <w14:ligatures w14:val="none"/>
              </w:rPr>
            </w:pPr>
          </w:p>
        </w:tc>
      </w:tr>
      <w:tr w:rsidR="002D4D9E" w:rsidRPr="0070382F" w14:paraId="77F39327" w14:textId="77777777" w:rsidTr="00B14DA2">
        <w:trPr>
          <w:trHeight w:val="458"/>
        </w:trPr>
        <w:tc>
          <w:tcPr>
            <w:tcW w:w="9072" w:type="dxa"/>
            <w:gridSpan w:val="2"/>
            <w:vMerge w:val="restart"/>
            <w:tcMar>
              <w:top w:w="15" w:type="dxa"/>
              <w:left w:w="108" w:type="dxa"/>
              <w:bottom w:w="0" w:type="dxa"/>
              <w:right w:w="108" w:type="dxa"/>
            </w:tcMar>
            <w:vAlign w:val="bottom"/>
            <w:hideMark/>
          </w:tcPr>
          <w:p w14:paraId="549A1D23" w14:textId="77777777"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As detailed in Note 1(n), and Note 9 below, the Agency estimates future recoveries of £86m, this is based upon historic collection rates. Of these, £29m relate to payments made in 2023-24, and £56m relate to payments made in previous years.</w:t>
            </w:r>
          </w:p>
        </w:tc>
      </w:tr>
      <w:tr w:rsidR="002D4D9E" w:rsidRPr="0070382F" w14:paraId="39227D1D" w14:textId="77777777" w:rsidTr="00B14DA2">
        <w:trPr>
          <w:trHeight w:val="450"/>
        </w:trPr>
        <w:tc>
          <w:tcPr>
            <w:tcW w:w="9072" w:type="dxa"/>
            <w:gridSpan w:val="2"/>
            <w:vMerge/>
            <w:vAlign w:val="center"/>
            <w:hideMark/>
          </w:tcPr>
          <w:p w14:paraId="6864D850" w14:textId="77777777" w:rsidR="002D4D9E" w:rsidRPr="0070382F" w:rsidRDefault="002D4D9E">
            <w:pPr>
              <w:spacing w:after="0"/>
              <w:rPr>
                <w:rFonts w:ascii="Arial" w:eastAsia="Times New Roman" w:hAnsi="Arial" w:cs="Arial"/>
                <w:kern w:val="0"/>
                <w:sz w:val="24"/>
                <w:szCs w:val="24"/>
                <w:lang w:eastAsia="en-GB"/>
                <w14:ligatures w14:val="none"/>
              </w:rPr>
            </w:pPr>
          </w:p>
        </w:tc>
      </w:tr>
      <w:tr w:rsidR="00560745" w:rsidRPr="0070382F" w14:paraId="4AE18285" w14:textId="77777777" w:rsidTr="00B14DA2">
        <w:trPr>
          <w:trHeight w:val="310"/>
        </w:trPr>
        <w:tc>
          <w:tcPr>
            <w:tcW w:w="709" w:type="dxa"/>
            <w:tcMar>
              <w:top w:w="15" w:type="dxa"/>
              <w:left w:w="108" w:type="dxa"/>
              <w:bottom w:w="0" w:type="dxa"/>
              <w:right w:w="108" w:type="dxa"/>
            </w:tcMar>
            <w:vAlign w:val="bottom"/>
            <w:hideMark/>
          </w:tcPr>
          <w:p w14:paraId="7B268318" w14:textId="77777777" w:rsidR="00560745" w:rsidRPr="0070382F" w:rsidRDefault="00560745">
            <w:pPr>
              <w:spacing w:after="0"/>
              <w:rPr>
                <w:rFonts w:ascii="Arial" w:hAnsi="Arial" w:cs="Arial"/>
                <w:kern w:val="0"/>
                <w:sz w:val="24"/>
                <w:szCs w:val="24"/>
                <w:lang w:eastAsia="en-GB"/>
                <w14:ligatures w14:val="none"/>
              </w:rPr>
            </w:pPr>
          </w:p>
        </w:tc>
        <w:tc>
          <w:tcPr>
            <w:tcW w:w="8363" w:type="dxa"/>
            <w:tcMar>
              <w:top w:w="15" w:type="dxa"/>
              <w:left w:w="108" w:type="dxa"/>
              <w:bottom w:w="0" w:type="dxa"/>
              <w:right w:w="108" w:type="dxa"/>
            </w:tcMar>
            <w:hideMark/>
          </w:tcPr>
          <w:p w14:paraId="0F802D74" w14:textId="77777777" w:rsidR="00560745" w:rsidRPr="0070382F" w:rsidRDefault="00560745">
            <w:pPr>
              <w:spacing w:after="0"/>
              <w:rPr>
                <w:rFonts w:ascii="Arial" w:hAnsi="Arial" w:cs="Arial"/>
                <w:kern w:val="0"/>
                <w:sz w:val="24"/>
                <w:szCs w:val="24"/>
                <w:lang w:eastAsia="en-GB"/>
                <w14:ligatures w14:val="none"/>
              </w:rPr>
            </w:pPr>
          </w:p>
        </w:tc>
      </w:tr>
    </w:tbl>
    <w:p w14:paraId="12357F3A" w14:textId="77777777" w:rsidR="0090035A" w:rsidRDefault="0090035A">
      <w:r>
        <w:br w:type="page"/>
      </w:r>
    </w:p>
    <w:tbl>
      <w:tblPr>
        <w:tblW w:w="9072" w:type="dxa"/>
        <w:tblLayout w:type="fixed"/>
        <w:tblLook w:val="04A0" w:firstRow="1" w:lastRow="0" w:firstColumn="1" w:lastColumn="0" w:noHBand="0" w:noVBand="1"/>
      </w:tblPr>
      <w:tblGrid>
        <w:gridCol w:w="9072"/>
      </w:tblGrid>
      <w:tr w:rsidR="002D4D9E" w:rsidRPr="0070382F" w14:paraId="36338046" w14:textId="77777777" w:rsidTr="00B14DA2">
        <w:trPr>
          <w:trHeight w:val="1380"/>
        </w:trPr>
        <w:tc>
          <w:tcPr>
            <w:tcW w:w="9072" w:type="dxa"/>
            <w:vMerge w:val="restart"/>
            <w:tcMar>
              <w:top w:w="15" w:type="dxa"/>
              <w:left w:w="108" w:type="dxa"/>
              <w:bottom w:w="0" w:type="dxa"/>
              <w:right w:w="108" w:type="dxa"/>
            </w:tcMar>
            <w:vAlign w:val="bottom"/>
            <w:hideMark/>
          </w:tcPr>
          <w:p w14:paraId="4CB3750F" w14:textId="53228ADD" w:rsidR="006B10A9" w:rsidRDefault="006B10A9">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b/>
                <w:bCs/>
                <w:kern w:val="0"/>
                <w:sz w:val="24"/>
                <w:szCs w:val="24"/>
                <w:lang w:eastAsia="en-GB"/>
                <w14:ligatures w14:val="none"/>
              </w:rPr>
              <w:lastRenderedPageBreak/>
              <w:t>1(n)</w:t>
            </w:r>
            <w:r>
              <w:rPr>
                <w:rFonts w:ascii="Arial" w:eastAsia="Times New Roman" w:hAnsi="Arial" w:cs="Arial"/>
                <w:b/>
                <w:bCs/>
                <w:kern w:val="0"/>
                <w:sz w:val="24"/>
                <w:szCs w:val="24"/>
                <w:lang w:eastAsia="en-GB"/>
                <w14:ligatures w14:val="none"/>
              </w:rPr>
              <w:t xml:space="preserve"> </w:t>
            </w:r>
            <w:r w:rsidRPr="0070382F">
              <w:rPr>
                <w:rFonts w:ascii="Arial" w:eastAsia="Times New Roman" w:hAnsi="Arial" w:cs="Arial"/>
                <w:b/>
                <w:bCs/>
                <w:kern w:val="0"/>
                <w:sz w:val="24"/>
                <w:szCs w:val="24"/>
                <w:lang w:eastAsia="en-GB"/>
                <w14:ligatures w14:val="none"/>
              </w:rPr>
              <w:t>Financial Instruments under IFRS 9</w:t>
            </w:r>
          </w:p>
          <w:p w14:paraId="280BA4CB" w14:textId="63CD0E88"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In line with the requirements of IFRS 9 Financial Instruments, the Agency has classified its case administration receivables, RPS receivables, estate account receivables and disqualification costs receivables as financial assets. These are held to collect cash flows only for principal and interest. All receivables are remeasured at each reporting date through the calculation of an expected credit loss in accordance with IFRS 9. Receivables are discounted to reflect the time value of money. The discount rate used is 2.1% (2022-23: 1.9%) which is recommended by HM Treasury to be used for financial assets.</w:t>
            </w:r>
            <w:r>
              <w:rPr>
                <w:rFonts w:ascii="Arial" w:eastAsia="Times New Roman" w:hAnsi="Arial" w:cs="Arial"/>
                <w:kern w:val="0"/>
                <w:sz w:val="24"/>
                <w:szCs w:val="24"/>
                <w:lang w:eastAsia="en-GB"/>
                <w14:ligatures w14:val="none"/>
              </w:rPr>
              <w:br/>
            </w:r>
          </w:p>
          <w:p w14:paraId="7B14CB9A" w14:textId="4D04DA8D"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 xml:space="preserve">Under IFRS 9, impairment losses are referred to as expected credit losses (ECL) and is calculated by:  </w:t>
            </w:r>
            <w:r w:rsidRPr="0070382F">
              <w:rPr>
                <w:rFonts w:ascii="Arial" w:eastAsia="Times New Roman" w:hAnsi="Arial" w:cs="Arial"/>
                <w:kern w:val="0"/>
                <w:sz w:val="24"/>
                <w:szCs w:val="24"/>
                <w:lang w:eastAsia="en-GB"/>
                <w14:ligatures w14:val="none"/>
              </w:rPr>
              <w:br/>
              <w:t xml:space="preserve">(i) </w:t>
            </w:r>
            <w:r w:rsidR="00DC6881">
              <w:rPr>
                <w:rFonts w:ascii="Arial" w:eastAsia="Times New Roman" w:hAnsi="Arial" w:cs="Arial"/>
                <w:kern w:val="0"/>
                <w:sz w:val="24"/>
                <w:szCs w:val="24"/>
                <w:lang w:eastAsia="en-GB"/>
                <w14:ligatures w14:val="none"/>
              </w:rPr>
              <w:t>i</w:t>
            </w:r>
            <w:r w:rsidRPr="0070382F">
              <w:rPr>
                <w:rFonts w:ascii="Arial" w:eastAsia="Times New Roman" w:hAnsi="Arial" w:cs="Arial"/>
                <w:kern w:val="0"/>
                <w:sz w:val="24"/>
                <w:szCs w:val="24"/>
                <w:lang w:eastAsia="en-GB"/>
                <w14:ligatures w14:val="none"/>
              </w:rPr>
              <w:t xml:space="preserve">dentifying scenarios in which a loan or receivable defaults.  </w:t>
            </w:r>
            <w:r w:rsidRPr="0070382F">
              <w:rPr>
                <w:rFonts w:ascii="Arial" w:eastAsia="Times New Roman" w:hAnsi="Arial" w:cs="Arial"/>
                <w:kern w:val="0"/>
                <w:sz w:val="24"/>
                <w:szCs w:val="24"/>
                <w:lang w:eastAsia="en-GB"/>
                <w14:ligatures w14:val="none"/>
              </w:rPr>
              <w:br/>
              <w:t xml:space="preserve">(ii) </w:t>
            </w:r>
            <w:r w:rsidR="00DC6881">
              <w:rPr>
                <w:rFonts w:ascii="Arial" w:eastAsia="Times New Roman" w:hAnsi="Arial" w:cs="Arial"/>
                <w:kern w:val="0"/>
                <w:sz w:val="24"/>
                <w:szCs w:val="24"/>
                <w:lang w:eastAsia="en-GB"/>
                <w14:ligatures w14:val="none"/>
              </w:rPr>
              <w:t>e</w:t>
            </w:r>
            <w:r w:rsidRPr="0070382F">
              <w:rPr>
                <w:rFonts w:ascii="Arial" w:eastAsia="Times New Roman" w:hAnsi="Arial" w:cs="Arial"/>
                <w:kern w:val="0"/>
                <w:sz w:val="24"/>
                <w:szCs w:val="24"/>
                <w:lang w:eastAsia="en-GB"/>
                <w14:ligatures w14:val="none"/>
              </w:rPr>
              <w:t>stimating the cash shortfall that would be incurred in each scenario if a default were to happen</w:t>
            </w:r>
            <w:r w:rsidR="00146545">
              <w:rPr>
                <w:rFonts w:ascii="Arial" w:eastAsia="Times New Roman" w:hAnsi="Arial" w:cs="Arial"/>
                <w:kern w:val="0"/>
                <w:sz w:val="24"/>
                <w:szCs w:val="24"/>
                <w:lang w:eastAsia="en-GB"/>
                <w14:ligatures w14:val="none"/>
              </w:rPr>
              <w:t>,</w:t>
            </w:r>
            <w:r w:rsidRPr="0070382F">
              <w:rPr>
                <w:rFonts w:ascii="Arial" w:eastAsia="Times New Roman" w:hAnsi="Arial" w:cs="Arial"/>
                <w:kern w:val="0"/>
                <w:sz w:val="24"/>
                <w:szCs w:val="24"/>
                <w:lang w:eastAsia="en-GB"/>
                <w14:ligatures w14:val="none"/>
              </w:rPr>
              <w:br/>
              <w:t xml:space="preserve">(iii) </w:t>
            </w:r>
            <w:r w:rsidR="00DC6881">
              <w:rPr>
                <w:rFonts w:ascii="Arial" w:eastAsia="Times New Roman" w:hAnsi="Arial" w:cs="Arial"/>
                <w:kern w:val="0"/>
                <w:sz w:val="24"/>
                <w:szCs w:val="24"/>
                <w:lang w:eastAsia="en-GB"/>
                <w14:ligatures w14:val="none"/>
              </w:rPr>
              <w:t>m</w:t>
            </w:r>
            <w:r w:rsidRPr="0070382F">
              <w:rPr>
                <w:rFonts w:ascii="Arial" w:eastAsia="Times New Roman" w:hAnsi="Arial" w:cs="Arial"/>
                <w:kern w:val="0"/>
                <w:sz w:val="24"/>
                <w:szCs w:val="24"/>
                <w:lang w:eastAsia="en-GB"/>
                <w14:ligatures w14:val="none"/>
              </w:rPr>
              <w:t>ultiplying that loss by the probability of the default happening</w:t>
            </w:r>
            <w:r w:rsidR="00146545">
              <w:rPr>
                <w:rFonts w:ascii="Arial" w:eastAsia="Times New Roman" w:hAnsi="Arial" w:cs="Arial"/>
                <w:kern w:val="0"/>
                <w:sz w:val="24"/>
                <w:szCs w:val="24"/>
                <w:lang w:eastAsia="en-GB"/>
                <w14:ligatures w14:val="none"/>
              </w:rPr>
              <w:t>,</w:t>
            </w:r>
            <w:r w:rsidRPr="0070382F">
              <w:rPr>
                <w:rFonts w:ascii="Arial" w:eastAsia="Times New Roman" w:hAnsi="Arial" w:cs="Arial"/>
                <w:kern w:val="0"/>
                <w:sz w:val="24"/>
                <w:szCs w:val="24"/>
                <w:lang w:eastAsia="en-GB"/>
                <w14:ligatures w14:val="none"/>
              </w:rPr>
              <w:br/>
              <w:t>(iv) Summing the results of all such possible default events.</w:t>
            </w:r>
            <w:r>
              <w:rPr>
                <w:rFonts w:ascii="Arial" w:eastAsia="Times New Roman" w:hAnsi="Arial" w:cs="Arial"/>
                <w:kern w:val="0"/>
                <w:sz w:val="24"/>
                <w:szCs w:val="24"/>
                <w:lang w:eastAsia="en-GB"/>
                <w14:ligatures w14:val="none"/>
              </w:rPr>
              <w:br/>
            </w:r>
          </w:p>
          <w:p w14:paraId="39D78F31" w14:textId="77777777" w:rsidR="0090035A"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IFRS 9 requires recognition by the Agency of impairment losses on a forward-looking basis, therefore an impairment loss is recognised before the occurrence of any credit event. The Agency recognises that every receivable has at least some probability of defaulting in the future and that every receivable has an associated ECL.</w:t>
            </w:r>
          </w:p>
          <w:p w14:paraId="2B8C35AF" w14:textId="77777777" w:rsidR="006B10A9" w:rsidRDefault="006B10A9">
            <w:pPr>
              <w:spacing w:after="0" w:line="240" w:lineRule="auto"/>
              <w:rPr>
                <w:rFonts w:ascii="Arial" w:eastAsia="Times New Roman" w:hAnsi="Arial" w:cs="Arial"/>
                <w:kern w:val="0"/>
                <w:sz w:val="24"/>
                <w:szCs w:val="24"/>
                <w:lang w:eastAsia="en-GB"/>
                <w14:ligatures w14:val="none"/>
              </w:rPr>
            </w:pPr>
          </w:p>
          <w:p w14:paraId="0549C271" w14:textId="67D3D3F8"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2C8DF753" w14:textId="77777777" w:rsidTr="00B14DA2">
        <w:trPr>
          <w:trHeight w:val="1380"/>
        </w:trPr>
        <w:tc>
          <w:tcPr>
            <w:tcW w:w="9072" w:type="dxa"/>
            <w:vMerge/>
            <w:tcMar>
              <w:top w:w="15" w:type="dxa"/>
              <w:left w:w="108" w:type="dxa"/>
              <w:bottom w:w="0" w:type="dxa"/>
              <w:right w:w="108" w:type="dxa"/>
            </w:tcMar>
            <w:vAlign w:val="bottom"/>
            <w:hideMark/>
          </w:tcPr>
          <w:p w14:paraId="7B9F586D" w14:textId="5B15B42E"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2E4D6A8E" w14:textId="77777777" w:rsidTr="00B14DA2">
        <w:trPr>
          <w:trHeight w:val="855"/>
        </w:trPr>
        <w:tc>
          <w:tcPr>
            <w:tcW w:w="9072" w:type="dxa"/>
            <w:vMerge/>
            <w:tcMar>
              <w:top w:w="15" w:type="dxa"/>
              <w:left w:w="108" w:type="dxa"/>
              <w:bottom w:w="0" w:type="dxa"/>
              <w:right w:w="108" w:type="dxa"/>
            </w:tcMar>
            <w:vAlign w:val="bottom"/>
            <w:hideMark/>
          </w:tcPr>
          <w:p w14:paraId="43F12526" w14:textId="672AD03D"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FB60D5" w:rsidRPr="0070382F" w14:paraId="1ED219DE" w14:textId="77777777" w:rsidTr="00B14DA2">
        <w:trPr>
          <w:trHeight w:val="356"/>
        </w:trPr>
        <w:tc>
          <w:tcPr>
            <w:tcW w:w="9072" w:type="dxa"/>
            <w:vMerge/>
            <w:tcMar>
              <w:top w:w="15" w:type="dxa"/>
              <w:left w:w="108" w:type="dxa"/>
              <w:bottom w:w="0" w:type="dxa"/>
              <w:right w:w="108" w:type="dxa"/>
            </w:tcMar>
            <w:vAlign w:val="bottom"/>
          </w:tcPr>
          <w:p w14:paraId="0D8FAABD" w14:textId="77777777" w:rsidR="00FB60D5" w:rsidRPr="0070382F" w:rsidRDefault="00FB60D5">
            <w:pPr>
              <w:spacing w:after="0" w:line="240" w:lineRule="auto"/>
              <w:rPr>
                <w:rFonts w:ascii="Arial" w:eastAsia="Times New Roman" w:hAnsi="Arial" w:cs="Arial"/>
                <w:b/>
                <w:bCs/>
                <w:kern w:val="0"/>
                <w:sz w:val="24"/>
                <w:szCs w:val="24"/>
                <w:lang w:eastAsia="en-GB"/>
                <w14:ligatures w14:val="none"/>
              </w:rPr>
            </w:pPr>
          </w:p>
        </w:tc>
      </w:tr>
      <w:tr w:rsidR="002D4D9E" w:rsidRPr="0070382F" w14:paraId="35324B2E" w14:textId="77777777" w:rsidTr="00B14DA2">
        <w:trPr>
          <w:trHeight w:val="250"/>
        </w:trPr>
        <w:tc>
          <w:tcPr>
            <w:tcW w:w="9072" w:type="dxa"/>
            <w:tcMar>
              <w:top w:w="15" w:type="dxa"/>
              <w:left w:w="108" w:type="dxa"/>
              <w:bottom w:w="0" w:type="dxa"/>
              <w:right w:w="108" w:type="dxa"/>
            </w:tcMar>
            <w:vAlign w:val="bottom"/>
            <w:hideMark/>
          </w:tcPr>
          <w:p w14:paraId="1A7FB74E" w14:textId="77777777" w:rsidR="002D4D9E" w:rsidRPr="0070382F" w:rsidRDefault="002D4D9E">
            <w:pPr>
              <w:spacing w:after="0" w:line="240" w:lineRule="auto"/>
              <w:rPr>
                <w:rFonts w:ascii="Arial" w:eastAsia="Times New Roman" w:hAnsi="Arial" w:cs="Arial"/>
                <w:b/>
                <w:bCs/>
                <w:kern w:val="0"/>
                <w:sz w:val="24"/>
                <w:szCs w:val="24"/>
                <w:lang w:eastAsia="en-GB"/>
                <w14:ligatures w14:val="none"/>
              </w:rPr>
            </w:pPr>
            <w:r w:rsidRPr="0070382F">
              <w:rPr>
                <w:rFonts w:ascii="Arial" w:eastAsia="Times New Roman" w:hAnsi="Arial" w:cs="Arial"/>
                <w:b/>
                <w:bCs/>
                <w:kern w:val="0"/>
                <w:sz w:val="24"/>
                <w:szCs w:val="24"/>
                <w:lang w:eastAsia="en-GB"/>
                <w14:ligatures w14:val="none"/>
              </w:rPr>
              <w:t>RPS Debtors</w:t>
            </w:r>
          </w:p>
        </w:tc>
      </w:tr>
      <w:tr w:rsidR="002D4D9E" w:rsidRPr="0070382F" w14:paraId="0C12982B" w14:textId="77777777" w:rsidTr="00B14DA2">
        <w:trPr>
          <w:trHeight w:val="555"/>
        </w:trPr>
        <w:tc>
          <w:tcPr>
            <w:tcW w:w="9072" w:type="dxa"/>
            <w:vMerge w:val="restart"/>
            <w:tcMar>
              <w:top w:w="15" w:type="dxa"/>
              <w:left w:w="108" w:type="dxa"/>
              <w:bottom w:w="0" w:type="dxa"/>
              <w:right w:w="108" w:type="dxa"/>
            </w:tcMar>
            <w:vAlign w:val="bottom"/>
            <w:hideMark/>
          </w:tcPr>
          <w:p w14:paraId="21E1D1D9" w14:textId="77777777"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The debtors for RPS have already been declared insolvent, so any recovery is dependent on dividends paid from the insolvency which are rarely 100%. Therefore, to comply with IFRS 9 the Agency recognises the following for RPS debtors:</w:t>
            </w:r>
          </w:p>
          <w:p w14:paraId="3A695B61" w14:textId="3DFB4214"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(i) The scenario for default has already occurred.</w:t>
            </w:r>
            <w:r w:rsidRPr="0070382F">
              <w:rPr>
                <w:rFonts w:ascii="Arial" w:eastAsia="Times New Roman" w:hAnsi="Arial" w:cs="Arial"/>
                <w:kern w:val="0"/>
                <w:sz w:val="24"/>
                <w:szCs w:val="24"/>
                <w:lang w:eastAsia="en-GB"/>
                <w14:ligatures w14:val="none"/>
              </w:rPr>
              <w:br/>
              <w:t>(ii) The estimation of shortfall is best calculated from historic collection rates for different types of debt. In this case preferential debts logically achieve greater dividends from insolvency proceedings than non-preferential debts.</w:t>
            </w:r>
            <w:r w:rsidRPr="0070382F">
              <w:rPr>
                <w:rFonts w:ascii="Arial" w:eastAsia="Times New Roman" w:hAnsi="Arial" w:cs="Arial"/>
                <w:kern w:val="0"/>
                <w:sz w:val="24"/>
                <w:szCs w:val="24"/>
                <w:lang w:eastAsia="en-GB"/>
                <w14:ligatures w14:val="none"/>
              </w:rPr>
              <w:br/>
              <w:t xml:space="preserve">(iii) The nature of insolvency recoveries mean that future economic variations have no material effects on the recovery of these debts, therefore historic trends are the best estimator of future recoveries. </w:t>
            </w:r>
            <w:r w:rsidRPr="0070382F">
              <w:rPr>
                <w:rFonts w:ascii="Arial" w:eastAsia="Times New Roman" w:hAnsi="Arial" w:cs="Arial"/>
                <w:kern w:val="0"/>
                <w:sz w:val="24"/>
                <w:szCs w:val="24"/>
                <w:lang w:eastAsia="en-GB"/>
                <w14:ligatures w14:val="none"/>
              </w:rPr>
              <w:br/>
              <w:t xml:space="preserve">(iv) The probability of default is always 100% (therefore future economic variations have no effect on the chance of default). </w:t>
            </w:r>
            <w:r w:rsidRPr="0070382F">
              <w:rPr>
                <w:rFonts w:ascii="Arial" w:eastAsia="Times New Roman" w:hAnsi="Arial" w:cs="Arial"/>
                <w:kern w:val="0"/>
                <w:sz w:val="24"/>
                <w:szCs w:val="24"/>
                <w:lang w:eastAsia="en-GB"/>
                <w14:ligatures w14:val="none"/>
              </w:rPr>
              <w:br/>
              <w:t xml:space="preserve">(v) Using a separate collection rate for preferential and non-preferential debts gives us an estimated collection for each and therefore the variable consideration based on expected recoveries. </w:t>
            </w:r>
            <w:r w:rsidR="001C1BFF">
              <w:rPr>
                <w:rFonts w:ascii="Arial" w:eastAsia="Times New Roman" w:hAnsi="Arial" w:cs="Arial"/>
                <w:kern w:val="0"/>
                <w:sz w:val="24"/>
                <w:szCs w:val="24"/>
                <w:lang w:eastAsia="en-GB"/>
                <w14:ligatures w14:val="none"/>
              </w:rPr>
              <w:br/>
            </w:r>
            <w:r w:rsidR="001C1BFF">
              <w:rPr>
                <w:rFonts w:ascii="Arial" w:eastAsia="Times New Roman" w:hAnsi="Arial" w:cs="Arial"/>
                <w:kern w:val="0"/>
                <w:sz w:val="24"/>
                <w:szCs w:val="24"/>
                <w:lang w:eastAsia="en-GB"/>
                <w14:ligatures w14:val="none"/>
              </w:rPr>
              <w:br/>
            </w:r>
            <w:r w:rsidR="001C1BFF" w:rsidRPr="0070382F">
              <w:rPr>
                <w:rFonts w:ascii="Arial" w:eastAsia="Times New Roman" w:hAnsi="Arial" w:cs="Arial"/>
                <w:kern w:val="0"/>
                <w:sz w:val="24"/>
                <w:szCs w:val="24"/>
                <w:lang w:eastAsia="en-GB"/>
                <w14:ligatures w14:val="none"/>
              </w:rPr>
              <w:t>In line with the requirements of IFRS 9, RPS debts have been grouped by the Agency into similar types, in this case preferential or non-preferential. Analysis of historic trends of recovery of these types of debts has revealed that the best estimate of recovery is 6.6% for non-preferential, and 32.7% for preferential.</w:t>
            </w:r>
          </w:p>
        </w:tc>
      </w:tr>
      <w:tr w:rsidR="002D4D9E" w:rsidRPr="0070382F" w14:paraId="290430AB" w14:textId="77777777" w:rsidTr="00B14DA2">
        <w:trPr>
          <w:trHeight w:val="2100"/>
        </w:trPr>
        <w:tc>
          <w:tcPr>
            <w:tcW w:w="9072" w:type="dxa"/>
            <w:vMerge/>
            <w:tcMar>
              <w:top w:w="15" w:type="dxa"/>
              <w:left w:w="108" w:type="dxa"/>
              <w:bottom w:w="0" w:type="dxa"/>
              <w:right w:w="108" w:type="dxa"/>
            </w:tcMar>
            <w:vAlign w:val="bottom"/>
            <w:hideMark/>
          </w:tcPr>
          <w:p w14:paraId="66DB482A" w14:textId="054FFD41" w:rsidR="002D4D9E" w:rsidRPr="0070382F" w:rsidRDefault="002D4D9E">
            <w:pPr>
              <w:spacing w:after="0" w:line="240" w:lineRule="auto"/>
              <w:rPr>
                <w:rFonts w:ascii="Arial" w:eastAsia="Times New Roman" w:hAnsi="Arial" w:cs="Arial"/>
                <w:kern w:val="0"/>
                <w:sz w:val="24"/>
                <w:szCs w:val="24"/>
                <w:lang w:eastAsia="en-GB"/>
                <w14:ligatures w14:val="none"/>
              </w:rPr>
            </w:pPr>
          </w:p>
        </w:tc>
      </w:tr>
    </w:tbl>
    <w:p w14:paraId="07F3C45C" w14:textId="17C60B87" w:rsidR="00F30FFB" w:rsidRDefault="00F30FFB"/>
    <w:p w14:paraId="76B244B8" w14:textId="33275D5B" w:rsidR="00161BFA" w:rsidRDefault="00161BFA">
      <w:r>
        <w:br w:type="page"/>
      </w:r>
    </w:p>
    <w:tbl>
      <w:tblPr>
        <w:tblW w:w="9072" w:type="dxa"/>
        <w:tblLayout w:type="fixed"/>
        <w:tblLook w:val="04A0" w:firstRow="1" w:lastRow="0" w:firstColumn="1" w:lastColumn="0" w:noHBand="0" w:noVBand="1"/>
      </w:tblPr>
      <w:tblGrid>
        <w:gridCol w:w="9072"/>
      </w:tblGrid>
      <w:tr w:rsidR="00C50885" w:rsidRPr="0070382F" w14:paraId="0713A7F5" w14:textId="77777777" w:rsidTr="00F30FFB">
        <w:trPr>
          <w:trHeight w:val="276"/>
        </w:trPr>
        <w:tc>
          <w:tcPr>
            <w:tcW w:w="9072" w:type="dxa"/>
            <w:tcMar>
              <w:top w:w="15" w:type="dxa"/>
              <w:left w:w="108" w:type="dxa"/>
              <w:bottom w:w="0" w:type="dxa"/>
              <w:right w:w="108" w:type="dxa"/>
            </w:tcMar>
            <w:vAlign w:val="bottom"/>
          </w:tcPr>
          <w:p w14:paraId="4D3F7DB3" w14:textId="77777777" w:rsidR="00C50885" w:rsidRDefault="00161BFA">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lastRenderedPageBreak/>
              <w:t>Recoveries from insolvency proceedings can extend over many years and historic recoveries are used to estimate the timings of these recoveries. The value of these future cash flows is discounted in line with the guidance issued in the Public Expenditure System (PES) papers.</w:t>
            </w:r>
          </w:p>
          <w:p w14:paraId="5B89DFE5" w14:textId="08352F20" w:rsidR="00C50885" w:rsidRPr="0070382F" w:rsidRDefault="00C50885">
            <w:pPr>
              <w:spacing w:after="0" w:line="240" w:lineRule="auto"/>
              <w:rPr>
                <w:rFonts w:ascii="Arial" w:eastAsia="Times New Roman" w:hAnsi="Arial" w:cs="Arial"/>
                <w:b/>
                <w:bCs/>
                <w:kern w:val="0"/>
                <w:sz w:val="24"/>
                <w:szCs w:val="24"/>
                <w:lang w:eastAsia="en-GB"/>
                <w14:ligatures w14:val="none"/>
              </w:rPr>
            </w:pPr>
          </w:p>
        </w:tc>
      </w:tr>
      <w:tr w:rsidR="002D4D9E" w:rsidRPr="0070382F" w14:paraId="70BB5132" w14:textId="77777777" w:rsidTr="00B14DA2">
        <w:trPr>
          <w:trHeight w:val="269"/>
        </w:trPr>
        <w:tc>
          <w:tcPr>
            <w:tcW w:w="9072" w:type="dxa"/>
            <w:tcMar>
              <w:top w:w="15" w:type="dxa"/>
              <w:left w:w="108" w:type="dxa"/>
              <w:bottom w:w="0" w:type="dxa"/>
              <w:right w:w="108" w:type="dxa"/>
            </w:tcMar>
            <w:vAlign w:val="bottom"/>
            <w:hideMark/>
          </w:tcPr>
          <w:p w14:paraId="04EC19EC" w14:textId="77777777" w:rsidR="002D4D9E" w:rsidRPr="0070382F" w:rsidRDefault="002D4D9E">
            <w:pPr>
              <w:spacing w:after="0" w:line="240" w:lineRule="auto"/>
              <w:rPr>
                <w:rFonts w:ascii="Arial" w:eastAsia="Times New Roman" w:hAnsi="Arial" w:cs="Arial"/>
                <w:b/>
                <w:bCs/>
                <w:kern w:val="0"/>
                <w:sz w:val="24"/>
                <w:szCs w:val="24"/>
                <w:lang w:eastAsia="en-GB"/>
                <w14:ligatures w14:val="none"/>
              </w:rPr>
            </w:pPr>
            <w:r w:rsidRPr="0070382F">
              <w:rPr>
                <w:rFonts w:ascii="Arial" w:eastAsia="Times New Roman" w:hAnsi="Arial" w:cs="Arial"/>
                <w:b/>
                <w:bCs/>
                <w:kern w:val="0"/>
                <w:sz w:val="24"/>
                <w:szCs w:val="24"/>
                <w:lang w:eastAsia="en-GB"/>
                <w14:ligatures w14:val="none"/>
              </w:rPr>
              <w:t>Case administration debtors</w:t>
            </w:r>
          </w:p>
        </w:tc>
      </w:tr>
      <w:tr w:rsidR="002D4D9E" w:rsidRPr="0070382F" w14:paraId="6F6D482B" w14:textId="77777777" w:rsidTr="00B14DA2">
        <w:trPr>
          <w:trHeight w:val="870"/>
        </w:trPr>
        <w:tc>
          <w:tcPr>
            <w:tcW w:w="9072" w:type="dxa"/>
            <w:vMerge w:val="restart"/>
            <w:tcMar>
              <w:top w:w="15" w:type="dxa"/>
              <w:left w:w="108" w:type="dxa"/>
              <w:bottom w:w="0" w:type="dxa"/>
              <w:right w:w="108" w:type="dxa"/>
            </w:tcMar>
            <w:vAlign w:val="bottom"/>
            <w:hideMark/>
          </w:tcPr>
          <w:p w14:paraId="4E030A7D" w14:textId="77777777"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Case administration debtors have already been declared insolvent and therefore the recovery of fees is dependent on funds recovered from the realisation of assets. Fees are recovered before any distribution to creditors. Therefore, to comply with IFRS 9 the Agency recognises the following for case administration debtors:</w:t>
            </w:r>
          </w:p>
          <w:p w14:paraId="03A0C1D7" w14:textId="7F1D815B"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 xml:space="preserve">(i) Analysis of historic data provides the best estimation for future recoveries of fee income. </w:t>
            </w:r>
            <w:r w:rsidRPr="0070382F">
              <w:rPr>
                <w:rFonts w:ascii="Arial" w:eastAsia="Times New Roman" w:hAnsi="Arial" w:cs="Arial"/>
                <w:kern w:val="0"/>
                <w:sz w:val="24"/>
                <w:szCs w:val="24"/>
                <w:lang w:eastAsia="en-GB"/>
                <w14:ligatures w14:val="none"/>
              </w:rPr>
              <w:br/>
              <w:t xml:space="preserve">(ii) Default estimation is based on analysis of historic data to establish the likely default rate.  </w:t>
            </w:r>
            <w:r w:rsidRPr="0070382F">
              <w:rPr>
                <w:rFonts w:ascii="Arial" w:eastAsia="Times New Roman" w:hAnsi="Arial" w:cs="Arial"/>
                <w:kern w:val="0"/>
                <w:sz w:val="24"/>
                <w:szCs w:val="24"/>
                <w:lang w:eastAsia="en-GB"/>
                <w14:ligatures w14:val="none"/>
              </w:rPr>
              <w:br/>
              <w:t xml:space="preserve">(iii) Insolvent estates generally comprise a significant spread of assets, which means that future economic variations have no material effect on recoveries from estates. </w:t>
            </w:r>
            <w:r w:rsidRPr="0070382F">
              <w:rPr>
                <w:rFonts w:ascii="Arial" w:eastAsia="Times New Roman" w:hAnsi="Arial" w:cs="Arial"/>
                <w:kern w:val="0"/>
                <w:sz w:val="24"/>
                <w:szCs w:val="24"/>
                <w:lang w:eastAsia="en-GB"/>
                <w14:ligatures w14:val="none"/>
              </w:rPr>
              <w:br/>
              <w:t xml:space="preserve">(iv) The probability and impact of default is applied across the portfolio of cases managed by the Agency. </w:t>
            </w:r>
            <w:r>
              <w:rPr>
                <w:rFonts w:ascii="Arial" w:eastAsia="Times New Roman" w:hAnsi="Arial" w:cs="Arial"/>
                <w:kern w:val="0"/>
                <w:sz w:val="24"/>
                <w:szCs w:val="24"/>
                <w:lang w:eastAsia="en-GB"/>
                <w14:ligatures w14:val="none"/>
              </w:rPr>
              <w:br/>
            </w:r>
          </w:p>
          <w:p w14:paraId="49391804" w14:textId="29F88103" w:rsidR="002D4D9E" w:rsidRPr="0070382F" w:rsidRDefault="002D4D9E" w:rsidP="0078338F">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Recoveries from insolvent estates can extend over many years, and historic recoveries are again used to estimate the timings of these recoveries. The value of these future cash flows is discounted in line with PES papers.</w:t>
            </w:r>
            <w:r>
              <w:rPr>
                <w:rFonts w:ascii="Arial" w:eastAsia="Times New Roman" w:hAnsi="Arial" w:cs="Arial"/>
                <w:kern w:val="0"/>
                <w:sz w:val="24"/>
                <w:szCs w:val="24"/>
                <w:lang w:eastAsia="en-GB"/>
                <w14:ligatures w14:val="none"/>
              </w:rPr>
              <w:br/>
            </w:r>
          </w:p>
          <w:p w14:paraId="353DB3A5" w14:textId="2E5B3329" w:rsidR="002D4D9E" w:rsidRPr="0070382F" w:rsidRDefault="002D4D9E">
            <w:pPr>
              <w:spacing w:after="0" w:line="240" w:lineRule="auto"/>
              <w:rPr>
                <w:rFonts w:ascii="Arial" w:eastAsia="Times New Roman" w:hAnsi="Arial" w:cs="Arial"/>
                <w:kern w:val="0"/>
                <w:sz w:val="24"/>
                <w:szCs w:val="24"/>
                <w:lang w:eastAsia="en-GB"/>
                <w14:ligatures w14:val="none"/>
              </w:rPr>
            </w:pPr>
            <w:r w:rsidRPr="0070382F">
              <w:rPr>
                <w:rFonts w:ascii="Arial" w:eastAsia="Times New Roman" w:hAnsi="Arial" w:cs="Arial"/>
                <w:kern w:val="0"/>
                <w:sz w:val="24"/>
                <w:szCs w:val="24"/>
                <w:lang w:eastAsia="en-GB"/>
                <w14:ligatures w14:val="none"/>
              </w:rPr>
              <w:t>The following table shows a summary of the IFRS 9 classification and measurement model for financial assets:</w:t>
            </w:r>
          </w:p>
        </w:tc>
      </w:tr>
      <w:tr w:rsidR="002D4D9E" w:rsidRPr="0070382F" w14:paraId="22355AA9" w14:textId="77777777" w:rsidTr="00B14DA2">
        <w:trPr>
          <w:trHeight w:val="1395"/>
        </w:trPr>
        <w:tc>
          <w:tcPr>
            <w:tcW w:w="9072" w:type="dxa"/>
            <w:vMerge/>
            <w:tcMar>
              <w:top w:w="15" w:type="dxa"/>
              <w:left w:w="108" w:type="dxa"/>
              <w:bottom w:w="0" w:type="dxa"/>
              <w:right w:w="108" w:type="dxa"/>
            </w:tcMar>
            <w:vAlign w:val="bottom"/>
            <w:hideMark/>
          </w:tcPr>
          <w:p w14:paraId="338B4CEB" w14:textId="6965A58C"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5E961FA6" w14:textId="77777777" w:rsidTr="00B14DA2">
        <w:trPr>
          <w:trHeight w:val="555"/>
        </w:trPr>
        <w:tc>
          <w:tcPr>
            <w:tcW w:w="9072" w:type="dxa"/>
            <w:vMerge/>
            <w:tcMar>
              <w:top w:w="15" w:type="dxa"/>
              <w:left w:w="108" w:type="dxa"/>
              <w:bottom w:w="0" w:type="dxa"/>
              <w:right w:w="108" w:type="dxa"/>
            </w:tcMar>
            <w:vAlign w:val="bottom"/>
            <w:hideMark/>
          </w:tcPr>
          <w:p w14:paraId="05F560A0" w14:textId="230CDCDA"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163E0D54" w14:textId="77777777" w:rsidTr="00B14DA2">
        <w:trPr>
          <w:trHeight w:val="450"/>
        </w:trPr>
        <w:tc>
          <w:tcPr>
            <w:tcW w:w="9072" w:type="dxa"/>
            <w:vMerge/>
            <w:tcMar>
              <w:top w:w="15" w:type="dxa"/>
              <w:left w:w="108" w:type="dxa"/>
              <w:bottom w:w="0" w:type="dxa"/>
              <w:right w:w="108" w:type="dxa"/>
            </w:tcMar>
            <w:vAlign w:val="bottom"/>
            <w:hideMark/>
          </w:tcPr>
          <w:p w14:paraId="5003CDFC" w14:textId="6777F165" w:rsidR="002D4D9E" w:rsidRPr="0070382F" w:rsidRDefault="002D4D9E">
            <w:pPr>
              <w:spacing w:after="0" w:line="240" w:lineRule="auto"/>
              <w:rPr>
                <w:rFonts w:ascii="Arial" w:eastAsia="Times New Roman" w:hAnsi="Arial" w:cs="Arial"/>
                <w:kern w:val="0"/>
                <w:sz w:val="24"/>
                <w:szCs w:val="24"/>
                <w:lang w:eastAsia="en-GB"/>
                <w14:ligatures w14:val="none"/>
              </w:rPr>
            </w:pPr>
          </w:p>
        </w:tc>
      </w:tr>
    </w:tbl>
    <w:p w14:paraId="6591FB0C" w14:textId="77777777" w:rsidR="00560745" w:rsidRDefault="00560745" w:rsidP="00560745">
      <w:pPr>
        <w:rPr>
          <w:rFonts w:ascii="Arial" w:hAnsi="Arial" w:cs="Arial"/>
          <w:sz w:val="24"/>
          <w:szCs w:val="24"/>
        </w:rPr>
      </w:pPr>
    </w:p>
    <w:tbl>
      <w:tblPr>
        <w:tblW w:w="9072" w:type="dxa"/>
        <w:tblInd w:w="-5" w:type="dxa"/>
        <w:tblLayout w:type="fixed"/>
        <w:tblLook w:val="04A0" w:firstRow="1" w:lastRow="0" w:firstColumn="1" w:lastColumn="0" w:noHBand="0" w:noVBand="1"/>
      </w:tblPr>
      <w:tblGrid>
        <w:gridCol w:w="2127"/>
        <w:gridCol w:w="2126"/>
        <w:gridCol w:w="2410"/>
        <w:gridCol w:w="2409"/>
      </w:tblGrid>
      <w:tr w:rsidR="001A5ED7" w14:paraId="38E222AE" w14:textId="77777777" w:rsidTr="00B14DA2">
        <w:trPr>
          <w:trHeight w:val="780"/>
        </w:trPr>
        <w:tc>
          <w:tcPr>
            <w:tcW w:w="2127"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vAlign w:val="center"/>
            <w:hideMark/>
          </w:tcPr>
          <w:p w14:paraId="6A0893E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IFRS 9 Financial Instruments</w:t>
            </w:r>
          </w:p>
        </w:tc>
        <w:tc>
          <w:tcPr>
            <w:tcW w:w="2126" w:type="dxa"/>
            <w:tcBorders>
              <w:top w:val="single" w:sz="4" w:space="0" w:color="auto"/>
              <w:left w:val="nil"/>
              <w:bottom w:val="single" w:sz="4" w:space="0" w:color="auto"/>
              <w:right w:val="single" w:sz="4" w:space="0" w:color="000000"/>
            </w:tcBorders>
            <w:tcMar>
              <w:top w:w="15" w:type="dxa"/>
              <w:left w:w="108" w:type="dxa"/>
              <w:bottom w:w="0" w:type="dxa"/>
              <w:right w:w="108" w:type="dxa"/>
            </w:tcMar>
            <w:vAlign w:val="center"/>
            <w:hideMark/>
          </w:tcPr>
          <w:p w14:paraId="661E8511"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Are the cash flows considered to be solely principal and interest?</w:t>
            </w:r>
          </w:p>
        </w:tc>
        <w:tc>
          <w:tcPr>
            <w:tcW w:w="2410" w:type="dxa"/>
            <w:tcBorders>
              <w:top w:val="single" w:sz="4" w:space="0" w:color="auto"/>
              <w:left w:val="nil"/>
              <w:bottom w:val="single" w:sz="4" w:space="0" w:color="auto"/>
              <w:right w:val="single" w:sz="4" w:space="0" w:color="000000"/>
            </w:tcBorders>
            <w:tcMar>
              <w:top w:w="15" w:type="dxa"/>
              <w:left w:w="108" w:type="dxa"/>
              <w:bottom w:w="0" w:type="dxa"/>
              <w:right w:w="108" w:type="dxa"/>
            </w:tcMar>
            <w:vAlign w:val="center"/>
            <w:hideMark/>
          </w:tcPr>
          <w:p w14:paraId="3BE3C4F4"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What is the business model?</w:t>
            </w:r>
          </w:p>
        </w:tc>
        <w:tc>
          <w:tcPr>
            <w:tcW w:w="2409" w:type="dxa"/>
            <w:tcBorders>
              <w:top w:val="single" w:sz="4" w:space="0" w:color="auto"/>
              <w:left w:val="nil"/>
              <w:bottom w:val="single" w:sz="4" w:space="0" w:color="auto"/>
              <w:right w:val="single" w:sz="4" w:space="0" w:color="000000"/>
            </w:tcBorders>
            <w:tcMar>
              <w:top w:w="15" w:type="dxa"/>
              <w:left w:w="108" w:type="dxa"/>
              <w:bottom w:w="0" w:type="dxa"/>
              <w:right w:w="108" w:type="dxa"/>
            </w:tcMar>
            <w:vAlign w:val="center"/>
            <w:hideMark/>
          </w:tcPr>
          <w:p w14:paraId="2C078E12"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What is the measurement category?</w:t>
            </w:r>
          </w:p>
        </w:tc>
      </w:tr>
      <w:tr w:rsidR="001A5ED7" w14:paraId="0A8F3457" w14:textId="77777777" w:rsidTr="00B14DA2">
        <w:trPr>
          <w:trHeight w:val="600"/>
        </w:trPr>
        <w:tc>
          <w:tcPr>
            <w:tcW w:w="2127"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373BCF99"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RPS Income</w:t>
            </w:r>
          </w:p>
        </w:tc>
        <w:tc>
          <w:tcPr>
            <w:tcW w:w="2126" w:type="dxa"/>
            <w:tcBorders>
              <w:top w:val="single" w:sz="4" w:space="0" w:color="auto"/>
              <w:left w:val="nil"/>
              <w:bottom w:val="single" w:sz="4" w:space="0" w:color="auto"/>
              <w:right w:val="single" w:sz="4" w:space="0" w:color="000000"/>
            </w:tcBorders>
            <w:tcMar>
              <w:top w:w="15" w:type="dxa"/>
              <w:left w:w="108" w:type="dxa"/>
              <w:bottom w:w="0" w:type="dxa"/>
              <w:right w:w="108" w:type="dxa"/>
            </w:tcMar>
            <w:hideMark/>
          </w:tcPr>
          <w:p w14:paraId="0C97F04F"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Yes</w:t>
            </w:r>
          </w:p>
        </w:tc>
        <w:tc>
          <w:tcPr>
            <w:tcW w:w="2410" w:type="dxa"/>
            <w:tcBorders>
              <w:top w:val="single" w:sz="4" w:space="0" w:color="auto"/>
              <w:left w:val="nil"/>
              <w:bottom w:val="single" w:sz="4" w:space="0" w:color="auto"/>
              <w:right w:val="single" w:sz="4" w:space="0" w:color="000000"/>
            </w:tcBorders>
            <w:tcMar>
              <w:top w:w="15" w:type="dxa"/>
              <w:left w:w="108" w:type="dxa"/>
              <w:bottom w:w="0" w:type="dxa"/>
              <w:right w:w="108" w:type="dxa"/>
            </w:tcMar>
            <w:hideMark/>
          </w:tcPr>
          <w:p w14:paraId="3BEAC45E"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Held to allow contractual cash flows only</w:t>
            </w:r>
          </w:p>
        </w:tc>
        <w:tc>
          <w:tcPr>
            <w:tcW w:w="2409" w:type="dxa"/>
            <w:tcBorders>
              <w:top w:val="single" w:sz="4" w:space="0" w:color="auto"/>
              <w:left w:val="nil"/>
              <w:bottom w:val="single" w:sz="4" w:space="0" w:color="auto"/>
              <w:right w:val="single" w:sz="4" w:space="0" w:color="000000"/>
            </w:tcBorders>
            <w:tcMar>
              <w:top w:w="15" w:type="dxa"/>
              <w:left w:w="108" w:type="dxa"/>
              <w:bottom w:w="0" w:type="dxa"/>
              <w:right w:w="108" w:type="dxa"/>
            </w:tcMar>
            <w:hideMark/>
          </w:tcPr>
          <w:p w14:paraId="387C106F"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Carry at amortised cost</w:t>
            </w:r>
          </w:p>
        </w:tc>
      </w:tr>
      <w:tr w:rsidR="001A5ED7" w14:paraId="47BEE73B" w14:textId="77777777" w:rsidTr="00B14DA2">
        <w:trPr>
          <w:trHeight w:val="540"/>
        </w:trPr>
        <w:tc>
          <w:tcPr>
            <w:tcW w:w="2127"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1570D29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Case administration income</w:t>
            </w:r>
          </w:p>
        </w:tc>
        <w:tc>
          <w:tcPr>
            <w:tcW w:w="2126" w:type="dxa"/>
            <w:tcBorders>
              <w:top w:val="single" w:sz="4" w:space="0" w:color="auto"/>
              <w:left w:val="nil"/>
              <w:bottom w:val="single" w:sz="4" w:space="0" w:color="auto"/>
              <w:right w:val="single" w:sz="4" w:space="0" w:color="000000"/>
            </w:tcBorders>
            <w:tcMar>
              <w:top w:w="15" w:type="dxa"/>
              <w:left w:w="108" w:type="dxa"/>
              <w:bottom w:w="0" w:type="dxa"/>
              <w:right w:w="108" w:type="dxa"/>
            </w:tcMar>
            <w:hideMark/>
          </w:tcPr>
          <w:p w14:paraId="244CE7F1"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Yes</w:t>
            </w:r>
          </w:p>
        </w:tc>
        <w:tc>
          <w:tcPr>
            <w:tcW w:w="2410" w:type="dxa"/>
            <w:tcBorders>
              <w:top w:val="single" w:sz="4" w:space="0" w:color="auto"/>
              <w:left w:val="nil"/>
              <w:bottom w:val="single" w:sz="4" w:space="0" w:color="auto"/>
              <w:right w:val="single" w:sz="4" w:space="0" w:color="000000"/>
            </w:tcBorders>
            <w:tcMar>
              <w:top w:w="15" w:type="dxa"/>
              <w:left w:w="108" w:type="dxa"/>
              <w:bottom w:w="0" w:type="dxa"/>
              <w:right w:w="108" w:type="dxa"/>
            </w:tcMar>
            <w:hideMark/>
          </w:tcPr>
          <w:p w14:paraId="356ADBA6"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Held to collect contractual cash flows only</w:t>
            </w:r>
          </w:p>
        </w:tc>
        <w:tc>
          <w:tcPr>
            <w:tcW w:w="2409" w:type="dxa"/>
            <w:tcBorders>
              <w:top w:val="single" w:sz="4" w:space="0" w:color="auto"/>
              <w:left w:val="nil"/>
              <w:bottom w:val="single" w:sz="4" w:space="0" w:color="auto"/>
              <w:right w:val="single" w:sz="4" w:space="0" w:color="000000"/>
            </w:tcBorders>
            <w:tcMar>
              <w:top w:w="15" w:type="dxa"/>
              <w:left w:w="108" w:type="dxa"/>
              <w:bottom w:w="0" w:type="dxa"/>
              <w:right w:w="108" w:type="dxa"/>
            </w:tcMar>
            <w:hideMark/>
          </w:tcPr>
          <w:p w14:paraId="5F7933A3"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Carry at amortised cost</w:t>
            </w:r>
          </w:p>
        </w:tc>
      </w:tr>
    </w:tbl>
    <w:p w14:paraId="01B9954F" w14:textId="77777777" w:rsidR="00560745" w:rsidRDefault="00560745" w:rsidP="00560745">
      <w:pPr>
        <w:rPr>
          <w:rFonts w:ascii="Arial" w:hAnsi="Arial" w:cs="Arial"/>
          <w:sz w:val="24"/>
          <w:szCs w:val="24"/>
        </w:rPr>
      </w:pPr>
    </w:p>
    <w:p w14:paraId="7D0CC1DB" w14:textId="77777777" w:rsidR="00135545" w:rsidRDefault="00135545">
      <w:r>
        <w:br w:type="page"/>
      </w:r>
    </w:p>
    <w:tbl>
      <w:tblPr>
        <w:tblW w:w="9075" w:type="dxa"/>
        <w:tblLayout w:type="fixed"/>
        <w:tblLook w:val="04A0" w:firstRow="1" w:lastRow="0" w:firstColumn="1" w:lastColumn="0" w:noHBand="0" w:noVBand="1"/>
      </w:tblPr>
      <w:tblGrid>
        <w:gridCol w:w="709"/>
        <w:gridCol w:w="8366"/>
      </w:tblGrid>
      <w:tr w:rsidR="002D4D9E" w:rsidRPr="004839AA" w14:paraId="5C448AF7" w14:textId="77777777" w:rsidTr="003F4C17">
        <w:trPr>
          <w:trHeight w:val="12785"/>
        </w:trPr>
        <w:tc>
          <w:tcPr>
            <w:tcW w:w="9075" w:type="dxa"/>
            <w:gridSpan w:val="2"/>
            <w:tcMar>
              <w:top w:w="15" w:type="dxa"/>
              <w:left w:w="108" w:type="dxa"/>
              <w:bottom w:w="0" w:type="dxa"/>
              <w:right w:w="108" w:type="dxa"/>
            </w:tcMar>
            <w:hideMark/>
          </w:tcPr>
          <w:p w14:paraId="17D2D530" w14:textId="603F854B" w:rsidR="003F4C17" w:rsidRDefault="003F4C17">
            <w:pPr>
              <w:spacing w:after="0" w:line="240" w:lineRule="auto"/>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lastRenderedPageBreak/>
              <w:t>1(o)</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Leases</w:t>
            </w:r>
          </w:p>
          <w:p w14:paraId="44831350" w14:textId="452782D4" w:rsidR="002D4D9E" w:rsidRPr="003F4C17" w:rsidRDefault="002D4D9E">
            <w:pPr>
              <w:spacing w:after="0" w:line="240" w:lineRule="auto"/>
              <w:rPr>
                <w:rFonts w:ascii="Arial" w:eastAsia="Times New Roman" w:hAnsi="Arial" w:cs="Arial"/>
                <w:b/>
                <w:kern w:val="0"/>
                <w:sz w:val="24"/>
                <w:szCs w:val="24"/>
                <w:lang w:eastAsia="en-GB"/>
                <w14:ligatures w14:val="none"/>
              </w:rPr>
            </w:pPr>
            <w:r w:rsidRPr="004839AA">
              <w:rPr>
                <w:rFonts w:ascii="Arial" w:eastAsia="Times New Roman" w:hAnsi="Arial" w:cs="Arial"/>
                <w:kern w:val="0"/>
                <w:sz w:val="24"/>
                <w:szCs w:val="24"/>
                <w:lang w:eastAsia="en-GB"/>
                <w14:ligatures w14:val="none"/>
              </w:rPr>
              <w:t>At the inception of a contract, the Agency assesses whether a contract is, or contains, a lease. A contract is, or contains, a lease if it conveys the right to control the use of an identified asset for a period of time in exchange for consideration. When a lease is recognised in a contract, the Agency recognise a right of use asset and a lease liability at the lease commencement date.</w:t>
            </w:r>
            <w:r>
              <w:rPr>
                <w:rFonts w:ascii="Arial" w:eastAsia="Times New Roman" w:hAnsi="Arial" w:cs="Arial"/>
                <w:kern w:val="0"/>
                <w:sz w:val="24"/>
                <w:szCs w:val="24"/>
                <w:lang w:eastAsia="en-GB"/>
                <w14:ligatures w14:val="none"/>
              </w:rPr>
              <w:br/>
            </w:r>
          </w:p>
          <w:p w14:paraId="3B147124" w14:textId="4B08BB60" w:rsidR="002D4D9E" w:rsidRPr="004839AA"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 right of use asset is initially measured at cost, which comprises the following:</w:t>
            </w:r>
            <w:r w:rsidRPr="004839AA">
              <w:rPr>
                <w:rFonts w:ascii="Arial" w:eastAsia="Times New Roman" w:hAnsi="Arial" w:cs="Arial"/>
                <w:kern w:val="0"/>
                <w:sz w:val="24"/>
                <w:szCs w:val="24"/>
                <w:lang w:eastAsia="en-GB"/>
                <w14:ligatures w14:val="none"/>
              </w:rPr>
              <w:br/>
              <w:t xml:space="preserve">(i) </w:t>
            </w:r>
            <w:r w:rsidR="00E302DD">
              <w:rPr>
                <w:rFonts w:ascii="Arial" w:eastAsia="Times New Roman" w:hAnsi="Arial" w:cs="Arial"/>
                <w:kern w:val="0"/>
                <w:sz w:val="24"/>
                <w:szCs w:val="24"/>
                <w:lang w:eastAsia="en-GB"/>
                <w14:ligatures w14:val="none"/>
              </w:rPr>
              <w:t>t</w:t>
            </w:r>
            <w:r w:rsidRPr="004839AA">
              <w:rPr>
                <w:rFonts w:ascii="Arial" w:eastAsia="Times New Roman" w:hAnsi="Arial" w:cs="Arial"/>
                <w:kern w:val="0"/>
                <w:sz w:val="24"/>
                <w:szCs w:val="24"/>
                <w:lang w:eastAsia="en-GB"/>
                <w14:ligatures w14:val="none"/>
              </w:rPr>
              <w:t xml:space="preserve">he initial amount of the lease liability adjusted for any lease prepayments made at or before the commencement date, </w:t>
            </w:r>
            <w:r w:rsidRPr="004839AA">
              <w:rPr>
                <w:rFonts w:ascii="Arial" w:eastAsia="Times New Roman" w:hAnsi="Arial" w:cs="Arial"/>
                <w:kern w:val="0"/>
                <w:sz w:val="24"/>
                <w:szCs w:val="24"/>
                <w:lang w:eastAsia="en-GB"/>
                <w14:ligatures w14:val="none"/>
              </w:rPr>
              <w:br/>
              <w:t xml:space="preserve">(ii) plus any initial direct costs incurred and an estimate of costs to dismantle and remove the underlying asset or to restore the underlying asset or the site on which it is located, </w:t>
            </w:r>
            <w:r w:rsidRPr="004839AA">
              <w:rPr>
                <w:rFonts w:ascii="Arial" w:eastAsia="Times New Roman" w:hAnsi="Arial" w:cs="Arial"/>
                <w:kern w:val="0"/>
                <w:sz w:val="24"/>
                <w:szCs w:val="24"/>
                <w:lang w:eastAsia="en-GB"/>
                <w14:ligatures w14:val="none"/>
              </w:rPr>
              <w:br/>
              <w:t xml:space="preserve">(iii) less any lease incentives received.  </w:t>
            </w:r>
            <w:r>
              <w:rPr>
                <w:rFonts w:ascii="Arial" w:eastAsia="Times New Roman" w:hAnsi="Arial" w:cs="Arial"/>
                <w:kern w:val="0"/>
                <w:sz w:val="24"/>
                <w:szCs w:val="24"/>
                <w:lang w:eastAsia="en-GB"/>
                <w14:ligatures w14:val="none"/>
              </w:rPr>
              <w:br/>
            </w:r>
          </w:p>
          <w:p w14:paraId="1A45573C" w14:textId="36B6A0D4" w:rsidR="002D4D9E" w:rsidRPr="004839AA"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 right of use asset is subsequently depreciated using the straight-line method from the commencement date to the earlier of the end of the useful life of the right of use asset or the end of the lease term. The estimated useful lives of right of use assets are determined on the same basis as those of property, plant, and equipment. See Note 1(e).</w:t>
            </w:r>
            <w:r>
              <w:rPr>
                <w:rFonts w:ascii="Arial" w:eastAsia="Times New Roman" w:hAnsi="Arial" w:cs="Arial"/>
                <w:kern w:val="0"/>
                <w:sz w:val="24"/>
                <w:szCs w:val="24"/>
                <w:lang w:eastAsia="en-GB"/>
                <w14:ligatures w14:val="none"/>
              </w:rPr>
              <w:br/>
            </w:r>
          </w:p>
          <w:p w14:paraId="71305483" w14:textId="7AEA5D33" w:rsidR="002D4D9E" w:rsidRPr="004839AA"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The lease liability is initially measured at the present value of the lease payments at the commencement date, discounted using the interest rate implicit in the lease or, if that rate cannot be readily determined, an </w:t>
            </w:r>
            <w:r w:rsidR="00BA2669">
              <w:rPr>
                <w:rFonts w:ascii="Arial" w:eastAsia="Times New Roman" w:hAnsi="Arial" w:cs="Arial"/>
                <w:sz w:val="24"/>
                <w:szCs w:val="24"/>
              </w:rPr>
              <w:t>HM Treasury</w:t>
            </w:r>
            <w:r w:rsidRPr="004839AA">
              <w:rPr>
                <w:rFonts w:ascii="Arial" w:eastAsia="Times New Roman" w:hAnsi="Arial" w:cs="Arial"/>
                <w:kern w:val="0"/>
                <w:sz w:val="24"/>
                <w:szCs w:val="24"/>
                <w:lang w:eastAsia="en-GB"/>
                <w14:ligatures w14:val="none"/>
              </w:rPr>
              <w:t xml:space="preserve"> issued discount rate for leases. Rental payments include forecast inflation in line with </w:t>
            </w:r>
            <w:r w:rsidR="00BA2669">
              <w:rPr>
                <w:rFonts w:ascii="Arial" w:eastAsia="Times New Roman" w:hAnsi="Arial" w:cs="Arial"/>
                <w:sz w:val="24"/>
                <w:szCs w:val="24"/>
              </w:rPr>
              <w:t>HM Treasury</w:t>
            </w:r>
            <w:r w:rsidRPr="004839AA">
              <w:rPr>
                <w:rFonts w:ascii="Arial" w:eastAsia="Times New Roman" w:hAnsi="Arial" w:cs="Arial"/>
                <w:kern w:val="0"/>
                <w:sz w:val="24"/>
                <w:szCs w:val="24"/>
                <w:lang w:eastAsia="en-GB"/>
                <w14:ligatures w14:val="none"/>
              </w:rPr>
              <w:t xml:space="preserve"> guidance in place when the Agency adopted IFRS 16 on 1 April 2021. With any termination options having been assessed for evidence they may be exercised either by the Agency or by the lessor, and if not the future lease payments past the option are also included in the liability. The lease liability is measured at amortised cost using the effective interest method. It is re-measured when there is a change in future lease payments arising from a change in our assessment of whether we will exercise a purchase, extension or termination option.</w:t>
            </w:r>
            <w:r>
              <w:rPr>
                <w:rFonts w:ascii="Arial" w:eastAsia="Times New Roman" w:hAnsi="Arial" w:cs="Arial"/>
                <w:kern w:val="0"/>
                <w:sz w:val="24"/>
                <w:szCs w:val="24"/>
                <w:lang w:eastAsia="en-GB"/>
                <w14:ligatures w14:val="none"/>
              </w:rPr>
              <w:br/>
            </w:r>
          </w:p>
          <w:p w14:paraId="66271CE0" w14:textId="41C55B77" w:rsidR="002D4D9E" w:rsidRPr="004839AA"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In addition, the right of use asset is periodically reduced by impairment losses, if any, and adjusted for certain re-measurements of the lease liability.</w:t>
            </w:r>
            <w:r>
              <w:rPr>
                <w:rFonts w:ascii="Arial" w:eastAsia="Times New Roman" w:hAnsi="Arial" w:cs="Arial"/>
                <w:kern w:val="0"/>
                <w:sz w:val="24"/>
                <w:szCs w:val="24"/>
                <w:lang w:eastAsia="en-GB"/>
                <w14:ligatures w14:val="none"/>
              </w:rPr>
              <w:br/>
            </w:r>
          </w:p>
          <w:p w14:paraId="058B9DD0" w14:textId="4B52C33D" w:rsidR="002D4D9E" w:rsidRPr="004839AA"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Right of use assets are presented in property, plant and equipment (Note 6) and leased liabilities within other liabilities (Note 11) and the lease note (Note 13) below.</w:t>
            </w:r>
            <w:r>
              <w:rPr>
                <w:rFonts w:ascii="Arial" w:eastAsia="Times New Roman" w:hAnsi="Arial" w:cs="Arial"/>
                <w:kern w:val="0"/>
                <w:sz w:val="24"/>
                <w:szCs w:val="24"/>
                <w:lang w:eastAsia="en-GB"/>
                <w14:ligatures w14:val="none"/>
              </w:rPr>
              <w:br/>
            </w:r>
          </w:p>
          <w:p w14:paraId="33D3B7F2" w14:textId="5831DF45" w:rsidR="002D4D9E" w:rsidRPr="004839AA"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 Agency has applied the recognition exemption of low value leases (less than £5,000) and short-term leases (duration less than 12 months). For these leases, the lease payments are charged to the SoCNE on a straight-line basis over the lease term.</w:t>
            </w:r>
          </w:p>
        </w:tc>
      </w:tr>
      <w:tr w:rsidR="00560745" w:rsidRPr="004839AA" w14:paraId="79612CF6" w14:textId="77777777" w:rsidTr="004839AA">
        <w:trPr>
          <w:trHeight w:val="310"/>
        </w:trPr>
        <w:tc>
          <w:tcPr>
            <w:tcW w:w="709" w:type="dxa"/>
            <w:tcMar>
              <w:top w:w="15" w:type="dxa"/>
              <w:left w:w="108" w:type="dxa"/>
              <w:bottom w:w="0" w:type="dxa"/>
              <w:right w:w="108" w:type="dxa"/>
            </w:tcMar>
            <w:vAlign w:val="bottom"/>
            <w:hideMark/>
          </w:tcPr>
          <w:p w14:paraId="22D3CE0A" w14:textId="77777777" w:rsidR="00560745" w:rsidRPr="004839AA" w:rsidRDefault="00560745">
            <w:pPr>
              <w:rPr>
                <w:rFonts w:ascii="Arial" w:eastAsia="Times New Roman" w:hAnsi="Arial" w:cs="Arial"/>
                <w:kern w:val="0"/>
                <w:sz w:val="24"/>
                <w:szCs w:val="24"/>
                <w:lang w:eastAsia="en-GB"/>
                <w14:ligatures w14:val="none"/>
              </w:rPr>
            </w:pPr>
          </w:p>
        </w:tc>
        <w:tc>
          <w:tcPr>
            <w:tcW w:w="8366" w:type="dxa"/>
            <w:tcMar>
              <w:top w:w="15" w:type="dxa"/>
              <w:left w:w="108" w:type="dxa"/>
              <w:bottom w:w="0" w:type="dxa"/>
              <w:right w:w="108" w:type="dxa"/>
            </w:tcMar>
            <w:hideMark/>
          </w:tcPr>
          <w:p w14:paraId="32942BCD" w14:textId="77777777" w:rsidR="00560745" w:rsidRPr="004839AA" w:rsidRDefault="00560745">
            <w:pPr>
              <w:spacing w:after="0"/>
              <w:rPr>
                <w:rFonts w:ascii="Arial" w:hAnsi="Arial" w:cs="Arial"/>
                <w:kern w:val="0"/>
                <w:sz w:val="24"/>
                <w:szCs w:val="24"/>
                <w:lang w:eastAsia="en-GB"/>
                <w14:ligatures w14:val="none"/>
              </w:rPr>
            </w:pPr>
          </w:p>
        </w:tc>
      </w:tr>
    </w:tbl>
    <w:p w14:paraId="2E839A32" w14:textId="77777777" w:rsidR="00627EBB" w:rsidRDefault="00627EBB">
      <w:r>
        <w:br w:type="page"/>
      </w:r>
    </w:p>
    <w:tbl>
      <w:tblPr>
        <w:tblW w:w="9075" w:type="dxa"/>
        <w:tblLayout w:type="fixed"/>
        <w:tblLook w:val="04A0" w:firstRow="1" w:lastRow="0" w:firstColumn="1" w:lastColumn="0" w:noHBand="0" w:noVBand="1"/>
      </w:tblPr>
      <w:tblGrid>
        <w:gridCol w:w="9075"/>
      </w:tblGrid>
      <w:tr w:rsidR="00560745" w:rsidRPr="004839AA" w14:paraId="493F8667" w14:textId="77777777" w:rsidTr="004839AA">
        <w:trPr>
          <w:trHeight w:val="310"/>
        </w:trPr>
        <w:tc>
          <w:tcPr>
            <w:tcW w:w="9075" w:type="dxa"/>
            <w:tcMar>
              <w:top w:w="15" w:type="dxa"/>
              <w:left w:w="108" w:type="dxa"/>
              <w:bottom w:w="0" w:type="dxa"/>
              <w:right w:w="108" w:type="dxa"/>
            </w:tcMar>
            <w:vAlign w:val="bottom"/>
            <w:hideMark/>
          </w:tcPr>
          <w:p w14:paraId="43485707" w14:textId="51482D7F" w:rsidR="00560745" w:rsidRPr="004839AA" w:rsidRDefault="00627EBB" w:rsidP="00F770B1">
            <w:pPr>
              <w:spacing w:after="0" w:line="240" w:lineRule="auto"/>
              <w:ind w:left="-107" w:firstLineChars="13" w:firstLine="31"/>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lastRenderedPageBreak/>
              <w:t>1(p)</w:t>
            </w:r>
            <w:r>
              <w:rPr>
                <w:rFonts w:ascii="Arial" w:eastAsia="Times New Roman" w:hAnsi="Arial" w:cs="Arial"/>
                <w:b/>
                <w:bCs/>
                <w:kern w:val="0"/>
                <w:sz w:val="24"/>
                <w:szCs w:val="24"/>
                <w:lang w:eastAsia="en-GB"/>
                <w14:ligatures w14:val="none"/>
              </w:rPr>
              <w:t xml:space="preserve"> </w:t>
            </w:r>
            <w:r w:rsidR="00560745" w:rsidRPr="004839AA">
              <w:rPr>
                <w:rFonts w:ascii="Arial" w:eastAsia="Times New Roman" w:hAnsi="Arial" w:cs="Arial"/>
                <w:b/>
                <w:bCs/>
                <w:kern w:val="0"/>
                <w:sz w:val="24"/>
                <w:szCs w:val="24"/>
                <w:lang w:eastAsia="en-GB"/>
                <w14:ligatures w14:val="none"/>
              </w:rPr>
              <w:t>Value Added Tax (VAT)</w:t>
            </w:r>
          </w:p>
        </w:tc>
      </w:tr>
      <w:tr w:rsidR="002D4D9E" w:rsidRPr="004839AA" w14:paraId="7A3E5019" w14:textId="77777777" w:rsidTr="00F770B1">
        <w:trPr>
          <w:trHeight w:val="12415"/>
        </w:trPr>
        <w:tc>
          <w:tcPr>
            <w:tcW w:w="9075" w:type="dxa"/>
            <w:tcMar>
              <w:top w:w="15" w:type="dxa"/>
              <w:left w:w="108" w:type="dxa"/>
              <w:bottom w:w="0" w:type="dxa"/>
              <w:right w:w="108" w:type="dxa"/>
            </w:tcMar>
            <w:hideMark/>
          </w:tcPr>
          <w:p w14:paraId="746B514D" w14:textId="4118E14A" w:rsidR="002D4D9E" w:rsidRPr="004839AA" w:rsidRDefault="002D4D9E" w:rsidP="00F770B1">
            <w:pPr>
              <w:spacing w:after="0" w:line="240" w:lineRule="auto"/>
              <w:ind w:left="-107" w:firstLineChars="13" w:firstLine="31"/>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 Insolvency Service is covered under the VAT registration of DBT, which is responsible for paying over and recovering from HM Revenue &amp; Customs any VAT on behalf of the Agency.</w:t>
            </w:r>
            <w:r>
              <w:rPr>
                <w:rFonts w:ascii="Arial" w:eastAsia="Times New Roman" w:hAnsi="Arial" w:cs="Arial"/>
                <w:kern w:val="0"/>
                <w:sz w:val="24"/>
                <w:szCs w:val="24"/>
                <w:lang w:eastAsia="en-GB"/>
                <w14:ligatures w14:val="none"/>
              </w:rPr>
              <w:br/>
            </w:r>
          </w:p>
          <w:p w14:paraId="602C24AE" w14:textId="77777777" w:rsidR="00F770B1" w:rsidRDefault="002D4D9E" w:rsidP="00F770B1">
            <w:pPr>
              <w:spacing w:after="0" w:line="240" w:lineRule="auto"/>
              <w:ind w:left="-107" w:firstLineChars="13" w:firstLine="31"/>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Where VAT is recoverable by the Agency the expenditure shown in the SoCNE is net of VAT. Outstanding VAT on expenditure is included in either VAT receivables (Note 9) or VAT payables (Note 11).</w:t>
            </w:r>
          </w:p>
          <w:p w14:paraId="0E2010ED" w14:textId="77777777" w:rsidR="00F770B1" w:rsidRPr="004839AA" w:rsidRDefault="00F770B1" w:rsidP="00F770B1">
            <w:pPr>
              <w:spacing w:after="0" w:line="240" w:lineRule="auto"/>
              <w:ind w:left="-107" w:firstLineChars="13" w:firstLine="31"/>
              <w:rPr>
                <w:rFonts w:ascii="Arial" w:eastAsia="Times New Roman" w:hAnsi="Arial" w:cs="Arial"/>
                <w:kern w:val="0"/>
                <w:sz w:val="24"/>
                <w:szCs w:val="24"/>
                <w:lang w:eastAsia="en-GB"/>
                <w14:ligatures w14:val="none"/>
              </w:rPr>
            </w:pPr>
          </w:p>
          <w:p w14:paraId="18880446" w14:textId="77777777" w:rsidR="00F770B1" w:rsidRPr="004839AA" w:rsidRDefault="00F770B1" w:rsidP="00F770B1">
            <w:pPr>
              <w:spacing w:after="0" w:line="240" w:lineRule="auto"/>
              <w:ind w:left="-107" w:firstLineChars="13" w:firstLine="31"/>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1(q)</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Cash and cash equivalents</w:t>
            </w:r>
          </w:p>
          <w:p w14:paraId="3518BBD6" w14:textId="77777777" w:rsidR="00F770B1" w:rsidRDefault="00F770B1" w:rsidP="00F770B1">
            <w:pPr>
              <w:spacing w:after="0" w:line="240" w:lineRule="auto"/>
              <w:ind w:left="-107" w:firstLineChars="13" w:firstLine="31"/>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Cash comprises cash at bank and cash equivalents. Cash at bank includes RPS cash held separately to Agency funds. The cash equivalent balance is cash received by the Agency from fees charged by the Official Receivers, and which is still held by the Official Receiver. Part of this balance is held in a bank account, and part is held in an investment account with the Commissioners for the Reduction of the National Debt (CRND), as required by legislation. The amounts held in both accounts can be drawn down on demand, and are transferred to the Agency bank account on a regular basis. For cash at bank, any bank overdraft amounts are included within trade payables and other liabilities.</w:t>
            </w:r>
          </w:p>
          <w:p w14:paraId="5585B2D1" w14:textId="77777777" w:rsidR="00F770B1" w:rsidRPr="004839AA" w:rsidRDefault="00F770B1" w:rsidP="00F770B1">
            <w:pPr>
              <w:spacing w:after="0" w:line="240" w:lineRule="auto"/>
              <w:ind w:left="-107" w:firstLineChars="13" w:firstLine="31"/>
              <w:rPr>
                <w:rFonts w:ascii="Arial" w:eastAsia="Times New Roman" w:hAnsi="Arial" w:cs="Arial"/>
                <w:kern w:val="0"/>
                <w:sz w:val="24"/>
                <w:szCs w:val="24"/>
                <w:lang w:eastAsia="en-GB"/>
                <w14:ligatures w14:val="none"/>
              </w:rPr>
            </w:pPr>
          </w:p>
          <w:p w14:paraId="10EAC262" w14:textId="77777777" w:rsidR="00F770B1" w:rsidRPr="004839AA" w:rsidRDefault="00F770B1" w:rsidP="00F770B1">
            <w:pPr>
              <w:spacing w:after="0" w:line="240" w:lineRule="auto"/>
              <w:ind w:left="-107" w:firstLineChars="13" w:firstLine="31"/>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2</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Significant areas of judgement</w:t>
            </w:r>
          </w:p>
          <w:p w14:paraId="192FE193" w14:textId="77777777" w:rsidR="00F770B1" w:rsidRPr="004839AA" w:rsidRDefault="00F770B1" w:rsidP="00F770B1">
            <w:pPr>
              <w:spacing w:after="0" w:line="240" w:lineRule="auto"/>
              <w:ind w:left="-107" w:firstLineChars="13" w:firstLine="31"/>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2(a)</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Case administration revenue recognition</w:t>
            </w:r>
          </w:p>
          <w:p w14:paraId="5CED922D" w14:textId="77777777" w:rsidR="00F770B1" w:rsidRPr="004839AA" w:rsidRDefault="00F770B1" w:rsidP="00F770B1">
            <w:pPr>
              <w:spacing w:after="0" w:line="240" w:lineRule="auto"/>
              <w:ind w:left="-107" w:firstLineChars="13" w:firstLine="31"/>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The performance of </w:t>
            </w:r>
            <w:r>
              <w:rPr>
                <w:rFonts w:ascii="Arial" w:eastAsia="Times New Roman" w:hAnsi="Arial" w:cs="Arial"/>
                <w:kern w:val="0"/>
                <w:sz w:val="24"/>
                <w:szCs w:val="24"/>
                <w:lang w:eastAsia="en-GB"/>
                <w14:ligatures w14:val="none"/>
              </w:rPr>
              <w:t>O</w:t>
            </w:r>
            <w:r w:rsidRPr="004839AA">
              <w:rPr>
                <w:rFonts w:ascii="Arial" w:eastAsia="Times New Roman" w:hAnsi="Arial" w:cs="Arial"/>
                <w:kern w:val="0"/>
                <w:sz w:val="24"/>
                <w:szCs w:val="24"/>
                <w:lang w:eastAsia="en-GB"/>
                <w14:ligatures w14:val="none"/>
              </w:rPr>
              <w:t xml:space="preserve">fficial </w:t>
            </w:r>
            <w:r>
              <w:rPr>
                <w:rFonts w:ascii="Arial" w:eastAsia="Times New Roman" w:hAnsi="Arial" w:cs="Arial"/>
                <w:kern w:val="0"/>
                <w:sz w:val="24"/>
                <w:szCs w:val="24"/>
                <w:lang w:eastAsia="en-GB"/>
                <w14:ligatures w14:val="none"/>
              </w:rPr>
              <w:t>R</w:t>
            </w:r>
            <w:r w:rsidRPr="004839AA">
              <w:rPr>
                <w:rFonts w:ascii="Arial" w:eastAsia="Times New Roman" w:hAnsi="Arial" w:cs="Arial"/>
                <w:kern w:val="0"/>
                <w:sz w:val="24"/>
                <w:szCs w:val="24"/>
                <w:lang w:eastAsia="en-GB"/>
                <w14:ligatures w14:val="none"/>
              </w:rPr>
              <w:t xml:space="preserve">eceivers' duties gives rise to case administration income and assets, which the Agency has the right to recognise. </w:t>
            </w:r>
            <w:r>
              <w:rPr>
                <w:rFonts w:ascii="Arial" w:eastAsia="Times New Roman" w:hAnsi="Arial" w:cs="Arial"/>
                <w:kern w:val="0"/>
                <w:sz w:val="24"/>
                <w:szCs w:val="24"/>
                <w:lang w:eastAsia="en-GB"/>
                <w14:ligatures w14:val="none"/>
              </w:rPr>
              <w:br/>
            </w:r>
            <w:r>
              <w:rPr>
                <w:rFonts w:ascii="Arial" w:eastAsia="Times New Roman" w:hAnsi="Arial" w:cs="Arial"/>
                <w:kern w:val="0"/>
                <w:sz w:val="24"/>
                <w:szCs w:val="24"/>
                <w:lang w:eastAsia="en-GB"/>
                <w14:ligatures w14:val="none"/>
              </w:rPr>
              <w:br/>
            </w:r>
            <w:r w:rsidRPr="004839AA">
              <w:rPr>
                <w:rFonts w:ascii="Arial" w:eastAsia="Times New Roman" w:hAnsi="Arial" w:cs="Arial"/>
                <w:kern w:val="0"/>
                <w:sz w:val="24"/>
                <w:szCs w:val="24"/>
                <w:lang w:eastAsia="en-GB"/>
                <w14:ligatures w14:val="none"/>
              </w:rPr>
              <w:t xml:space="preserve">The Agency measures this by reference to an average casework profile (one for personal bankruptcies and one for company liquidation cases). The casework profile shows the extent to which cases were complete over the year. The Agency uses these profiles to calculate the amount of fees charged that should be recognised as income (Note 4). </w:t>
            </w:r>
            <w:r>
              <w:rPr>
                <w:rFonts w:ascii="Arial" w:eastAsia="Times New Roman" w:hAnsi="Arial" w:cs="Arial"/>
                <w:kern w:val="0"/>
                <w:sz w:val="24"/>
                <w:szCs w:val="24"/>
                <w:lang w:eastAsia="en-GB"/>
                <w14:ligatures w14:val="none"/>
              </w:rPr>
              <w:br/>
            </w:r>
          </w:p>
          <w:p w14:paraId="09C2337F" w14:textId="210DB705" w:rsidR="002D4D9E" w:rsidRPr="004839AA" w:rsidRDefault="00F770B1" w:rsidP="00F770B1">
            <w:pPr>
              <w:spacing w:after="0" w:line="240" w:lineRule="auto"/>
              <w:ind w:left="-107" w:firstLineChars="13" w:firstLine="31"/>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The following assumptions are made in respect of when work is performed: </w:t>
            </w:r>
            <w:r w:rsidRPr="004839AA">
              <w:rPr>
                <w:rFonts w:ascii="Arial" w:eastAsia="Times New Roman" w:hAnsi="Arial" w:cs="Arial"/>
                <w:kern w:val="0"/>
                <w:sz w:val="24"/>
                <w:szCs w:val="24"/>
                <w:lang w:eastAsia="en-GB"/>
                <w14:ligatures w14:val="none"/>
              </w:rPr>
              <w:br/>
              <w:t xml:space="preserve">(i) the work undertaken on cases is front loaded i.e. a large proportion of work is undertaken within the first six months. </w:t>
            </w:r>
            <w:r w:rsidRPr="004839AA">
              <w:rPr>
                <w:rFonts w:ascii="Arial" w:eastAsia="Times New Roman" w:hAnsi="Arial" w:cs="Arial"/>
                <w:kern w:val="0"/>
                <w:sz w:val="24"/>
                <w:szCs w:val="24"/>
                <w:lang w:eastAsia="en-GB"/>
                <w14:ligatures w14:val="none"/>
              </w:rPr>
              <w:br/>
              <w:t>(ii) most of the work undertaken by Official Receivers will be completed within three years.</w:t>
            </w:r>
            <w:r>
              <w:rPr>
                <w:rFonts w:ascii="Arial" w:eastAsia="Times New Roman" w:hAnsi="Arial" w:cs="Arial"/>
                <w:kern w:val="0"/>
                <w:sz w:val="24"/>
                <w:szCs w:val="24"/>
                <w:lang w:eastAsia="en-GB"/>
                <w14:ligatures w14:val="none"/>
              </w:rPr>
              <w:br/>
            </w:r>
            <w:r>
              <w:rPr>
                <w:rFonts w:ascii="Arial" w:eastAsia="Times New Roman" w:hAnsi="Arial" w:cs="Arial"/>
                <w:kern w:val="0"/>
                <w:sz w:val="24"/>
                <w:szCs w:val="24"/>
                <w:lang w:eastAsia="en-GB"/>
                <w14:ligatures w14:val="none"/>
              </w:rPr>
              <w:br/>
            </w:r>
            <w:r w:rsidRPr="004839AA">
              <w:rPr>
                <w:rFonts w:ascii="Arial" w:eastAsia="Times New Roman" w:hAnsi="Arial" w:cs="Arial"/>
                <w:kern w:val="0"/>
                <w:sz w:val="24"/>
                <w:szCs w:val="24"/>
                <w:lang w:eastAsia="en-GB"/>
                <w14:ligatures w14:val="none"/>
              </w:rPr>
              <w:t>The volume of cases received in 2023-24 remains significantly impacted by post C</w:t>
            </w:r>
            <w:r>
              <w:rPr>
                <w:rFonts w:ascii="Arial" w:eastAsia="Times New Roman" w:hAnsi="Arial" w:cs="Arial"/>
                <w:kern w:val="0"/>
                <w:sz w:val="24"/>
                <w:szCs w:val="24"/>
                <w:lang w:eastAsia="en-GB"/>
                <w14:ligatures w14:val="none"/>
              </w:rPr>
              <w:t>ovid</w:t>
            </w:r>
            <w:r w:rsidRPr="004839AA">
              <w:rPr>
                <w:rFonts w:ascii="Arial" w:eastAsia="Times New Roman" w:hAnsi="Arial" w:cs="Arial"/>
                <w:kern w:val="0"/>
                <w:sz w:val="24"/>
                <w:szCs w:val="24"/>
                <w:lang w:eastAsia="en-GB"/>
                <w14:ligatures w14:val="none"/>
              </w:rPr>
              <w:t>-19 impacts and other economic factors resulting in a proportionate reduction in recognised income from case administration fees.</w:t>
            </w:r>
            <w:r>
              <w:rPr>
                <w:rFonts w:ascii="Arial" w:eastAsia="Times New Roman" w:hAnsi="Arial" w:cs="Arial"/>
                <w:kern w:val="0"/>
                <w:sz w:val="24"/>
                <w:szCs w:val="24"/>
                <w:lang w:eastAsia="en-GB"/>
                <w14:ligatures w14:val="none"/>
              </w:rPr>
              <w:br/>
            </w:r>
            <w:r>
              <w:rPr>
                <w:rFonts w:ascii="Arial" w:eastAsia="Times New Roman" w:hAnsi="Arial" w:cs="Arial"/>
                <w:kern w:val="0"/>
                <w:sz w:val="24"/>
                <w:szCs w:val="24"/>
                <w:lang w:eastAsia="en-GB"/>
                <w14:ligatures w14:val="none"/>
              </w:rPr>
              <w:br/>
            </w:r>
            <w:r w:rsidRPr="004839AA">
              <w:rPr>
                <w:rFonts w:ascii="Arial" w:eastAsia="Times New Roman" w:hAnsi="Arial" w:cs="Arial"/>
                <w:kern w:val="0"/>
                <w:sz w:val="24"/>
                <w:szCs w:val="24"/>
                <w:lang w:eastAsia="en-GB"/>
                <w14:ligatures w14:val="none"/>
              </w:rPr>
              <w:t>Further details on revenue recognition can be found in Notes 1(j), 1(k), 1(l) and 9.</w:t>
            </w:r>
          </w:p>
        </w:tc>
      </w:tr>
    </w:tbl>
    <w:p w14:paraId="49E84DF4" w14:textId="77777777" w:rsidR="006E1EE0" w:rsidRDefault="006E1EE0">
      <w:r>
        <w:br w:type="page"/>
      </w:r>
    </w:p>
    <w:tbl>
      <w:tblPr>
        <w:tblW w:w="9075" w:type="dxa"/>
        <w:tblLayout w:type="fixed"/>
        <w:tblLook w:val="04A0" w:firstRow="1" w:lastRow="0" w:firstColumn="1" w:lastColumn="0" w:noHBand="0" w:noVBand="1"/>
      </w:tblPr>
      <w:tblGrid>
        <w:gridCol w:w="709"/>
        <w:gridCol w:w="8366"/>
      </w:tblGrid>
      <w:tr w:rsidR="002D4D9E" w:rsidRPr="004839AA" w14:paraId="28DB9229" w14:textId="77777777" w:rsidTr="00356039">
        <w:trPr>
          <w:trHeight w:val="3660"/>
        </w:trPr>
        <w:tc>
          <w:tcPr>
            <w:tcW w:w="9075" w:type="dxa"/>
            <w:gridSpan w:val="2"/>
            <w:tcMar>
              <w:top w:w="15" w:type="dxa"/>
              <w:left w:w="108" w:type="dxa"/>
              <w:bottom w:w="0" w:type="dxa"/>
              <w:right w:w="108" w:type="dxa"/>
            </w:tcMar>
            <w:hideMark/>
          </w:tcPr>
          <w:p w14:paraId="05F8F31A" w14:textId="77777777" w:rsidR="000B779D" w:rsidRDefault="00C7231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b/>
                <w:bCs/>
                <w:kern w:val="0"/>
                <w:sz w:val="24"/>
                <w:szCs w:val="24"/>
                <w:lang w:eastAsia="en-GB"/>
                <w14:ligatures w14:val="none"/>
              </w:rPr>
              <w:lastRenderedPageBreak/>
              <w:t>2(b)</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Forecasting assumptions of recognised income</w:t>
            </w:r>
            <w:r w:rsidRPr="004839AA">
              <w:rPr>
                <w:rFonts w:ascii="Arial" w:eastAsia="Times New Roman" w:hAnsi="Arial" w:cs="Arial"/>
                <w:kern w:val="0"/>
                <w:sz w:val="24"/>
                <w:szCs w:val="24"/>
                <w:lang w:eastAsia="en-GB"/>
                <w14:ligatures w14:val="none"/>
              </w:rPr>
              <w:t xml:space="preserve"> </w:t>
            </w:r>
          </w:p>
          <w:p w14:paraId="23753A18" w14:textId="101EBB02" w:rsidR="002D4D9E" w:rsidRPr="004839AA"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The Agency’s income forecasts are based on assumptions of future fee recoveries using income models and the analysis of historical trends to produce forecasts of both the value and timing of future cash flows. Estimation techniques and underlying assumptions utilised are reviewed on an ongoing basis. </w:t>
            </w:r>
            <w:r>
              <w:rPr>
                <w:rFonts w:ascii="Arial" w:eastAsia="Times New Roman" w:hAnsi="Arial" w:cs="Arial"/>
                <w:kern w:val="0"/>
                <w:sz w:val="24"/>
                <w:szCs w:val="24"/>
                <w:lang w:eastAsia="en-GB"/>
                <w14:ligatures w14:val="none"/>
              </w:rPr>
              <w:br/>
            </w:r>
          </w:p>
          <w:p w14:paraId="7FAA15BB" w14:textId="77777777" w:rsidR="002D4D9E"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Revisions to accounting estimates are recognised in the period in which the estimate is revised, if the revision affects only that period. The following judgements are applied to case administration income:</w:t>
            </w:r>
            <w:r w:rsidRPr="004839AA">
              <w:rPr>
                <w:rFonts w:ascii="Arial" w:eastAsia="Times New Roman" w:hAnsi="Arial" w:cs="Arial"/>
                <w:kern w:val="0"/>
                <w:sz w:val="24"/>
                <w:szCs w:val="24"/>
                <w:lang w:eastAsia="en-GB"/>
                <w14:ligatures w14:val="none"/>
              </w:rPr>
              <w:br/>
              <w:t xml:space="preserve">(i) historic recoveries are a reasonable basis for future recovery expectations. </w:t>
            </w:r>
            <w:r w:rsidRPr="004839AA">
              <w:rPr>
                <w:rFonts w:ascii="Arial" w:eastAsia="Times New Roman" w:hAnsi="Arial" w:cs="Arial"/>
                <w:kern w:val="0"/>
                <w:sz w:val="24"/>
                <w:szCs w:val="24"/>
                <w:lang w:eastAsia="en-GB"/>
                <w14:ligatures w14:val="none"/>
              </w:rPr>
              <w:br/>
              <w:t xml:space="preserve">(ii) long-term realisations will include a wide range of assets, which provides a diverse base for realisations, which helps mitigate the potential for specific economic impacts to materially affect case administration income. </w:t>
            </w:r>
            <w:r w:rsidRPr="004839AA">
              <w:rPr>
                <w:rFonts w:ascii="Arial" w:eastAsia="Times New Roman" w:hAnsi="Arial" w:cs="Arial"/>
                <w:kern w:val="0"/>
                <w:sz w:val="24"/>
                <w:szCs w:val="24"/>
                <w:lang w:eastAsia="en-GB"/>
                <w14:ligatures w14:val="none"/>
              </w:rPr>
              <w:br/>
              <w:t>(iii) material estimation regarding future recoveries of RPS expenditure.</w:t>
            </w:r>
          </w:p>
          <w:p w14:paraId="54E5D3B6" w14:textId="77777777" w:rsidR="00F40A08" w:rsidRDefault="00F40A08">
            <w:pPr>
              <w:spacing w:after="0" w:line="240" w:lineRule="auto"/>
              <w:rPr>
                <w:rFonts w:ascii="Arial" w:eastAsia="Times New Roman" w:hAnsi="Arial" w:cs="Arial"/>
                <w:kern w:val="0"/>
                <w:sz w:val="24"/>
                <w:szCs w:val="24"/>
                <w:lang w:eastAsia="en-GB"/>
                <w14:ligatures w14:val="none"/>
              </w:rPr>
            </w:pPr>
          </w:p>
          <w:p w14:paraId="5E52C850" w14:textId="6DBF984B" w:rsidR="002D4D9E" w:rsidRPr="004839AA" w:rsidRDefault="002D4D9E">
            <w:pPr>
              <w:spacing w:after="0" w:line="240" w:lineRule="auto"/>
              <w:rPr>
                <w:rFonts w:ascii="Arial" w:eastAsia="Times New Roman" w:hAnsi="Arial" w:cs="Arial"/>
                <w:kern w:val="0"/>
                <w:sz w:val="24"/>
                <w:szCs w:val="24"/>
                <w:lang w:eastAsia="en-GB"/>
                <w14:ligatures w14:val="none"/>
              </w:rPr>
            </w:pPr>
          </w:p>
        </w:tc>
      </w:tr>
      <w:tr w:rsidR="002D4D9E" w:rsidRPr="004839AA" w14:paraId="204DE74A" w14:textId="77777777">
        <w:trPr>
          <w:trHeight w:val="3327"/>
        </w:trPr>
        <w:tc>
          <w:tcPr>
            <w:tcW w:w="9075" w:type="dxa"/>
            <w:gridSpan w:val="2"/>
            <w:tcMar>
              <w:top w:w="15" w:type="dxa"/>
              <w:left w:w="108" w:type="dxa"/>
              <w:bottom w:w="0" w:type="dxa"/>
              <w:right w:w="108" w:type="dxa"/>
            </w:tcMar>
            <w:vAlign w:val="bottom"/>
            <w:hideMark/>
          </w:tcPr>
          <w:p w14:paraId="5EC1BF50" w14:textId="77777777" w:rsidR="00C72310" w:rsidRDefault="00C72310" w:rsidP="00356039">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b/>
                <w:bCs/>
                <w:kern w:val="0"/>
                <w:sz w:val="24"/>
                <w:szCs w:val="24"/>
                <w:lang w:eastAsia="en-GB"/>
                <w14:ligatures w14:val="none"/>
              </w:rPr>
              <w:t>2(c)</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Case administration receivables</w:t>
            </w:r>
            <w:r w:rsidRPr="004839AA">
              <w:rPr>
                <w:rFonts w:ascii="Arial" w:eastAsia="Times New Roman" w:hAnsi="Arial" w:cs="Arial"/>
                <w:kern w:val="0"/>
                <w:sz w:val="24"/>
                <w:szCs w:val="24"/>
                <w:lang w:eastAsia="en-GB"/>
                <w14:ligatures w14:val="none"/>
              </w:rPr>
              <w:t xml:space="preserve"> </w:t>
            </w:r>
          </w:p>
          <w:p w14:paraId="3072ECD9" w14:textId="68B88431" w:rsidR="00F40A08"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 Agency makes accounting estimates and judgments regarding the recoverability of its case administration receivables (Note 9) and these are subjected to regular review and adjustment.</w:t>
            </w:r>
            <w:r>
              <w:rPr>
                <w:rFonts w:ascii="Arial" w:eastAsia="Times New Roman" w:hAnsi="Arial" w:cs="Arial"/>
                <w:kern w:val="0"/>
                <w:sz w:val="24"/>
                <w:szCs w:val="24"/>
                <w:lang w:eastAsia="en-GB"/>
                <w14:ligatures w14:val="none"/>
              </w:rPr>
              <w:br/>
            </w:r>
            <w:r>
              <w:rPr>
                <w:rFonts w:ascii="Arial" w:eastAsia="Times New Roman" w:hAnsi="Arial" w:cs="Arial"/>
                <w:kern w:val="0"/>
                <w:sz w:val="24"/>
                <w:szCs w:val="24"/>
                <w:lang w:eastAsia="en-GB"/>
                <w14:ligatures w14:val="none"/>
              </w:rPr>
              <w:br/>
            </w:r>
            <w:r w:rsidRPr="004839AA">
              <w:rPr>
                <w:rFonts w:ascii="Arial" w:eastAsia="Times New Roman" w:hAnsi="Arial" w:cs="Arial"/>
                <w:kern w:val="0"/>
                <w:sz w:val="24"/>
                <w:szCs w:val="24"/>
                <w:lang w:eastAsia="en-GB"/>
                <w14:ligatures w14:val="none"/>
              </w:rPr>
              <w:t>The measurement of case administration receivables is based on the analysis of past trends of actual recoveries and a review of current asset levels in insolvency cases. Asset values can be affected by several economic factors e.g. property prices, employment rates and types of assets; which determine the proportion of cases that have realisable assets, which then impacts on the case administration fees. Additionally, judgement is also applied to determine the timing of case administration receivables.</w:t>
            </w:r>
            <w:r w:rsidR="00CB277C">
              <w:rPr>
                <w:rFonts w:ascii="Arial" w:eastAsia="Times New Roman" w:hAnsi="Arial" w:cs="Arial"/>
                <w:kern w:val="0"/>
                <w:sz w:val="24"/>
                <w:szCs w:val="24"/>
                <w:lang w:eastAsia="en-GB"/>
                <w14:ligatures w14:val="none"/>
              </w:rPr>
              <w:br/>
            </w:r>
          </w:p>
          <w:p w14:paraId="49C4DC8D" w14:textId="43F513ED" w:rsidR="002D4D9E" w:rsidRPr="004839AA" w:rsidRDefault="002D4D9E">
            <w:pPr>
              <w:spacing w:after="0" w:line="240" w:lineRule="auto"/>
              <w:rPr>
                <w:rFonts w:ascii="Arial" w:eastAsia="Times New Roman" w:hAnsi="Arial" w:cs="Arial"/>
                <w:kern w:val="0"/>
                <w:sz w:val="24"/>
                <w:szCs w:val="24"/>
                <w:lang w:eastAsia="en-GB"/>
                <w14:ligatures w14:val="none"/>
              </w:rPr>
            </w:pPr>
          </w:p>
        </w:tc>
      </w:tr>
      <w:tr w:rsidR="00560745" w:rsidRPr="004839AA" w14:paraId="6A9D0CEA" w14:textId="77777777" w:rsidTr="005D3553">
        <w:trPr>
          <w:trHeight w:val="310"/>
        </w:trPr>
        <w:tc>
          <w:tcPr>
            <w:tcW w:w="709" w:type="dxa"/>
            <w:tcMar>
              <w:top w:w="15" w:type="dxa"/>
              <w:left w:w="108" w:type="dxa"/>
              <w:bottom w:w="0" w:type="dxa"/>
              <w:right w:w="108" w:type="dxa"/>
            </w:tcMar>
            <w:vAlign w:val="center"/>
            <w:hideMark/>
          </w:tcPr>
          <w:p w14:paraId="03D1187E" w14:textId="77777777" w:rsidR="00560745" w:rsidRPr="004839AA" w:rsidRDefault="00560745">
            <w:pPr>
              <w:spacing w:after="0" w:line="240" w:lineRule="auto"/>
              <w:ind w:left="-108" w:firstLineChars="14" w:firstLine="34"/>
              <w:jc w:val="center"/>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2(d)</w:t>
            </w:r>
          </w:p>
        </w:tc>
        <w:tc>
          <w:tcPr>
            <w:tcW w:w="8366" w:type="dxa"/>
            <w:tcMar>
              <w:top w:w="15" w:type="dxa"/>
              <w:left w:w="108" w:type="dxa"/>
              <w:bottom w:w="0" w:type="dxa"/>
              <w:right w:w="108" w:type="dxa"/>
            </w:tcMar>
            <w:vAlign w:val="center"/>
            <w:hideMark/>
          </w:tcPr>
          <w:p w14:paraId="07A546E2" w14:textId="77777777" w:rsidR="00560745" w:rsidRPr="004839AA" w:rsidRDefault="00560745">
            <w:pPr>
              <w:spacing w:after="0" w:line="240" w:lineRule="auto"/>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Redundancy Payments Service receivable</w:t>
            </w:r>
          </w:p>
        </w:tc>
      </w:tr>
      <w:tr w:rsidR="002D4D9E" w:rsidRPr="004839AA" w14:paraId="74F59D95" w14:textId="77777777">
        <w:trPr>
          <w:trHeight w:val="1080"/>
        </w:trPr>
        <w:tc>
          <w:tcPr>
            <w:tcW w:w="9075" w:type="dxa"/>
            <w:gridSpan w:val="2"/>
            <w:tcMar>
              <w:top w:w="15" w:type="dxa"/>
              <w:left w:w="108" w:type="dxa"/>
              <w:bottom w:w="0" w:type="dxa"/>
              <w:right w:w="108" w:type="dxa"/>
            </w:tcMar>
            <w:vAlign w:val="bottom"/>
            <w:hideMark/>
          </w:tcPr>
          <w:p w14:paraId="342B1C9E" w14:textId="77777777" w:rsidR="002D4D9E" w:rsidRPr="004839AA"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There is uncertainty in the estimate of the amount to be realised by the Agency from sale of assets of insolvent employers. This estimate is based on historic recovery data. In line with IFRS 9, RPS debts have been grouped into similar types, in this case preferential or non-preferential claims against the insolvency. Analysis of historic trends of recovery of these types of debts has revealed that the best estimate of recovery is 6.6% for non-preferential, and 32.7% for preferential.</w:t>
            </w:r>
          </w:p>
        </w:tc>
      </w:tr>
      <w:tr w:rsidR="00560745" w:rsidRPr="004839AA" w14:paraId="7124B90F" w14:textId="77777777" w:rsidTr="005D3553">
        <w:trPr>
          <w:trHeight w:val="310"/>
        </w:trPr>
        <w:tc>
          <w:tcPr>
            <w:tcW w:w="709" w:type="dxa"/>
            <w:tcMar>
              <w:top w:w="15" w:type="dxa"/>
              <w:left w:w="108" w:type="dxa"/>
              <w:bottom w:w="0" w:type="dxa"/>
              <w:right w:w="108" w:type="dxa"/>
            </w:tcMar>
            <w:vAlign w:val="bottom"/>
            <w:hideMark/>
          </w:tcPr>
          <w:p w14:paraId="0DAB4236" w14:textId="77777777" w:rsidR="00560745" w:rsidRPr="004839AA" w:rsidRDefault="00560745">
            <w:pPr>
              <w:rPr>
                <w:rFonts w:ascii="Arial" w:eastAsia="Times New Roman" w:hAnsi="Arial" w:cs="Arial"/>
                <w:kern w:val="0"/>
                <w:sz w:val="24"/>
                <w:szCs w:val="24"/>
                <w:lang w:eastAsia="en-GB"/>
                <w14:ligatures w14:val="none"/>
              </w:rPr>
            </w:pPr>
          </w:p>
        </w:tc>
        <w:tc>
          <w:tcPr>
            <w:tcW w:w="8366" w:type="dxa"/>
            <w:tcMar>
              <w:top w:w="15" w:type="dxa"/>
              <w:left w:w="108" w:type="dxa"/>
              <w:bottom w:w="0" w:type="dxa"/>
              <w:right w:w="108" w:type="dxa"/>
            </w:tcMar>
            <w:hideMark/>
          </w:tcPr>
          <w:p w14:paraId="7E17C670" w14:textId="77777777" w:rsidR="00560745" w:rsidRPr="004839AA" w:rsidRDefault="00560745">
            <w:pPr>
              <w:spacing w:after="0"/>
              <w:rPr>
                <w:rFonts w:ascii="Arial" w:hAnsi="Arial" w:cs="Arial"/>
                <w:kern w:val="0"/>
                <w:sz w:val="24"/>
                <w:szCs w:val="24"/>
                <w:lang w:eastAsia="en-GB"/>
                <w14:ligatures w14:val="none"/>
              </w:rPr>
            </w:pPr>
          </w:p>
        </w:tc>
      </w:tr>
    </w:tbl>
    <w:p w14:paraId="04461776" w14:textId="77777777" w:rsidR="00FB624B" w:rsidRDefault="00FB624B">
      <w:r>
        <w:br w:type="page"/>
      </w:r>
    </w:p>
    <w:tbl>
      <w:tblPr>
        <w:tblW w:w="9075" w:type="dxa"/>
        <w:tblLayout w:type="fixed"/>
        <w:tblLook w:val="04A0" w:firstRow="1" w:lastRow="0" w:firstColumn="1" w:lastColumn="0" w:noHBand="0" w:noVBand="1"/>
      </w:tblPr>
      <w:tblGrid>
        <w:gridCol w:w="9075"/>
      </w:tblGrid>
      <w:tr w:rsidR="002D4D9E" w:rsidRPr="004839AA" w14:paraId="3970C05C" w14:textId="77777777">
        <w:trPr>
          <w:trHeight w:val="2910"/>
        </w:trPr>
        <w:tc>
          <w:tcPr>
            <w:tcW w:w="9075" w:type="dxa"/>
            <w:tcMar>
              <w:top w:w="15" w:type="dxa"/>
              <w:left w:w="108" w:type="dxa"/>
              <w:bottom w:w="0" w:type="dxa"/>
              <w:right w:w="108" w:type="dxa"/>
            </w:tcMar>
            <w:vAlign w:val="bottom"/>
            <w:hideMark/>
          </w:tcPr>
          <w:p w14:paraId="56EC55D2" w14:textId="77777777" w:rsidR="00C72310" w:rsidRDefault="00C72310">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b/>
                <w:bCs/>
                <w:kern w:val="0"/>
                <w:sz w:val="24"/>
                <w:szCs w:val="24"/>
                <w:lang w:eastAsia="en-GB"/>
                <w14:ligatures w14:val="none"/>
              </w:rPr>
              <w:lastRenderedPageBreak/>
              <w:t>2(e)</w:t>
            </w:r>
            <w:r>
              <w:rPr>
                <w:rFonts w:ascii="Arial" w:eastAsia="Times New Roman" w:hAnsi="Arial" w:cs="Arial"/>
                <w:b/>
                <w:bCs/>
                <w:kern w:val="0"/>
                <w:sz w:val="24"/>
                <w:szCs w:val="24"/>
                <w:lang w:eastAsia="en-GB"/>
                <w14:ligatures w14:val="none"/>
              </w:rPr>
              <w:t xml:space="preserve"> </w:t>
            </w:r>
            <w:r w:rsidRPr="004839AA">
              <w:rPr>
                <w:rFonts w:ascii="Arial" w:eastAsia="Times New Roman" w:hAnsi="Arial" w:cs="Arial"/>
                <w:b/>
                <w:bCs/>
                <w:kern w:val="0"/>
                <w:sz w:val="24"/>
                <w:szCs w:val="24"/>
                <w:lang w:eastAsia="en-GB"/>
                <w14:ligatures w14:val="none"/>
              </w:rPr>
              <w:t>Trustee Liquidator fees</w:t>
            </w:r>
          </w:p>
          <w:p w14:paraId="7C829A92" w14:textId="30CD8176" w:rsidR="002D4D9E" w:rsidRPr="004839AA"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Recognition of revenue in respect of Trustee Liquidator fees on National Interest Cases is calculated as a proportion of the expected lifetime revenue for each case.  The expected lifetime revenue is based on estimates provided by court appointed Special Managers.  The proportion to be recognised in each financial year is the proportion of completion of the performance obligation based on costs incurred to date compared to anticipated total forecast costs.  In line with IFRS 15, the cumulative revenue is only recognised to the extent that it is highly probable that a significant reversal would not occur.  Forecast total revenue and forecast total costs on a case are subject to management judgement. Each case must be considered individually, as recognisable income and costs incurred are highly variable between different cases depending on the asset realisation potential. There is the potential for additional income to be recognised in relation to future asset realisations; but where it is not currently deemed possible or highly probable that they will occur we have not recognised that income. The value of these potential realisations could be material to the financial statements and if successfully realised may result in significant additional income in future years.</w:t>
            </w:r>
          </w:p>
        </w:tc>
      </w:tr>
    </w:tbl>
    <w:p w14:paraId="359063DC" w14:textId="77777777" w:rsidR="00560745" w:rsidRDefault="00560745" w:rsidP="00560745">
      <w:pPr>
        <w:rPr>
          <w:rFonts w:ascii="Arial" w:hAnsi="Arial" w:cs="Arial"/>
          <w:sz w:val="24"/>
          <w:szCs w:val="24"/>
        </w:rPr>
      </w:pPr>
    </w:p>
    <w:p w14:paraId="7F53D1F9" w14:textId="77777777" w:rsidR="00560745" w:rsidRDefault="00560745" w:rsidP="00560745"/>
    <w:p w14:paraId="4DAB429B" w14:textId="77777777" w:rsidR="00560745" w:rsidRDefault="00560745" w:rsidP="00560745"/>
    <w:p w14:paraId="3E27059B" w14:textId="77777777" w:rsidR="00560745" w:rsidRDefault="00560745" w:rsidP="00560745">
      <w:r>
        <w:rPr>
          <w:rFonts w:ascii="Times New Roman" w:hAnsi="Times New Roman" w:cs="Times New Roman"/>
          <w:kern w:val="0"/>
          <w:lang w:eastAsia="en-GB"/>
          <w14:ligatures w14:val="none"/>
        </w:rPr>
        <w:br w:type="page"/>
      </w:r>
    </w:p>
    <w:tbl>
      <w:tblPr>
        <w:tblW w:w="8931" w:type="dxa"/>
        <w:tblLayout w:type="fixed"/>
        <w:tblLook w:val="04A0" w:firstRow="1" w:lastRow="0" w:firstColumn="1" w:lastColumn="0" w:noHBand="0" w:noVBand="1"/>
      </w:tblPr>
      <w:tblGrid>
        <w:gridCol w:w="567"/>
        <w:gridCol w:w="5951"/>
        <w:gridCol w:w="1279"/>
        <w:gridCol w:w="1134"/>
      </w:tblGrid>
      <w:tr w:rsidR="00560745" w14:paraId="090B1D88" w14:textId="77777777" w:rsidTr="00D02968">
        <w:trPr>
          <w:trHeight w:val="285"/>
        </w:trPr>
        <w:tc>
          <w:tcPr>
            <w:tcW w:w="567" w:type="dxa"/>
            <w:tcMar>
              <w:top w:w="15" w:type="dxa"/>
              <w:left w:w="108" w:type="dxa"/>
              <w:bottom w:w="0" w:type="dxa"/>
              <w:right w:w="108" w:type="dxa"/>
            </w:tcMar>
            <w:vAlign w:val="bottom"/>
            <w:hideMark/>
          </w:tcPr>
          <w:p w14:paraId="7A0EE837" w14:textId="77777777" w:rsidR="00560745" w:rsidRPr="004839AA" w:rsidRDefault="00560745">
            <w:pPr>
              <w:spacing w:after="0" w:line="240" w:lineRule="auto"/>
              <w:ind w:firstLineChars="12" w:firstLine="29"/>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lastRenderedPageBreak/>
              <w:t>3</w:t>
            </w:r>
          </w:p>
        </w:tc>
        <w:tc>
          <w:tcPr>
            <w:tcW w:w="5951" w:type="dxa"/>
            <w:tcMar>
              <w:top w:w="15" w:type="dxa"/>
              <w:left w:w="108" w:type="dxa"/>
              <w:bottom w:w="0" w:type="dxa"/>
              <w:right w:w="108" w:type="dxa"/>
            </w:tcMar>
            <w:vAlign w:val="bottom"/>
            <w:hideMark/>
          </w:tcPr>
          <w:p w14:paraId="28EF8F2D" w14:textId="77777777" w:rsidR="00560745" w:rsidRPr="004839AA" w:rsidRDefault="00560745">
            <w:pPr>
              <w:spacing w:after="0" w:line="240" w:lineRule="auto"/>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Expenditure</w:t>
            </w:r>
          </w:p>
        </w:tc>
        <w:tc>
          <w:tcPr>
            <w:tcW w:w="2407" w:type="dxa"/>
            <w:gridSpan w:val="2"/>
            <w:tcMar>
              <w:top w:w="15" w:type="dxa"/>
              <w:left w:w="108" w:type="dxa"/>
              <w:bottom w:w="0" w:type="dxa"/>
              <w:right w:w="108" w:type="dxa"/>
            </w:tcMar>
            <w:vAlign w:val="center"/>
          </w:tcPr>
          <w:p w14:paraId="09547B4E"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p>
        </w:tc>
      </w:tr>
      <w:tr w:rsidR="00560745" w14:paraId="68EC7F30" w14:textId="77777777" w:rsidTr="00D02968">
        <w:trPr>
          <w:trHeight w:val="310"/>
        </w:trPr>
        <w:tc>
          <w:tcPr>
            <w:tcW w:w="6518" w:type="dxa"/>
            <w:gridSpan w:val="2"/>
            <w:noWrap/>
            <w:tcMar>
              <w:top w:w="15" w:type="dxa"/>
              <w:left w:w="108" w:type="dxa"/>
              <w:bottom w:w="0" w:type="dxa"/>
              <w:right w:w="108" w:type="dxa"/>
            </w:tcMar>
            <w:vAlign w:val="bottom"/>
            <w:hideMark/>
          </w:tcPr>
          <w:p w14:paraId="4EEF088D"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4327E6A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134" w:type="dxa"/>
            <w:noWrap/>
            <w:tcMar>
              <w:top w:w="15" w:type="dxa"/>
              <w:left w:w="108" w:type="dxa"/>
              <w:bottom w:w="0" w:type="dxa"/>
              <w:right w:w="108" w:type="dxa"/>
            </w:tcMar>
            <w:vAlign w:val="bottom"/>
            <w:hideMark/>
          </w:tcPr>
          <w:p w14:paraId="6CC8A84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560745" w14:paraId="5CD90165" w14:textId="77777777" w:rsidTr="00D02968">
        <w:trPr>
          <w:trHeight w:val="320"/>
        </w:trPr>
        <w:tc>
          <w:tcPr>
            <w:tcW w:w="6518" w:type="dxa"/>
            <w:gridSpan w:val="2"/>
            <w:noWrap/>
            <w:tcMar>
              <w:top w:w="15" w:type="dxa"/>
              <w:left w:w="108" w:type="dxa"/>
              <w:bottom w:w="0" w:type="dxa"/>
              <w:right w:w="108" w:type="dxa"/>
            </w:tcMar>
            <w:vAlign w:val="bottom"/>
            <w:hideMark/>
          </w:tcPr>
          <w:p w14:paraId="286B6058" w14:textId="77777777" w:rsidR="00560745" w:rsidRDefault="00560745">
            <w:pPr>
              <w:spacing w:after="0"/>
              <w:rPr>
                <w:kern w:val="0"/>
                <w:sz w:val="20"/>
                <w:szCs w:val="20"/>
                <w:lang w:eastAsia="en-GB"/>
                <w14:ligatures w14:val="none"/>
              </w:rPr>
            </w:pPr>
          </w:p>
        </w:tc>
        <w:tc>
          <w:tcPr>
            <w:tcW w:w="1279" w:type="dxa"/>
            <w:tcBorders>
              <w:top w:val="nil"/>
              <w:left w:val="nil"/>
              <w:bottom w:val="single" w:sz="8" w:space="0" w:color="auto"/>
              <w:right w:val="nil"/>
            </w:tcBorders>
            <w:noWrap/>
            <w:tcMar>
              <w:top w:w="15" w:type="dxa"/>
              <w:left w:w="108" w:type="dxa"/>
              <w:bottom w:w="0" w:type="dxa"/>
              <w:right w:w="108" w:type="dxa"/>
            </w:tcMar>
            <w:vAlign w:val="bottom"/>
            <w:hideMark/>
          </w:tcPr>
          <w:p w14:paraId="3A5BE03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4" w:type="dxa"/>
            <w:tcBorders>
              <w:top w:val="nil"/>
              <w:left w:val="nil"/>
              <w:bottom w:val="single" w:sz="8" w:space="0" w:color="auto"/>
              <w:right w:val="nil"/>
            </w:tcBorders>
            <w:noWrap/>
            <w:tcMar>
              <w:top w:w="15" w:type="dxa"/>
              <w:left w:w="108" w:type="dxa"/>
              <w:bottom w:w="0" w:type="dxa"/>
              <w:right w:w="108" w:type="dxa"/>
            </w:tcMar>
            <w:vAlign w:val="bottom"/>
            <w:hideMark/>
          </w:tcPr>
          <w:p w14:paraId="71B58C6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0DEE7D79" w14:textId="77777777" w:rsidTr="00D02968">
        <w:trPr>
          <w:trHeight w:val="310"/>
        </w:trPr>
        <w:tc>
          <w:tcPr>
            <w:tcW w:w="6518" w:type="dxa"/>
            <w:gridSpan w:val="2"/>
            <w:noWrap/>
            <w:tcMar>
              <w:top w:w="15" w:type="dxa"/>
              <w:left w:w="108" w:type="dxa"/>
              <w:bottom w:w="0" w:type="dxa"/>
              <w:right w:w="108" w:type="dxa"/>
            </w:tcMar>
            <w:vAlign w:val="bottom"/>
            <w:hideMark/>
          </w:tcPr>
          <w:p w14:paraId="7967AA54"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18FE6383"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723C49F7" w14:textId="77777777" w:rsidR="00560745" w:rsidRDefault="00560745">
            <w:pPr>
              <w:spacing w:after="0"/>
              <w:rPr>
                <w:kern w:val="0"/>
                <w:sz w:val="20"/>
                <w:szCs w:val="20"/>
                <w:lang w:eastAsia="en-GB"/>
                <w14:ligatures w14:val="none"/>
              </w:rPr>
            </w:pPr>
          </w:p>
        </w:tc>
      </w:tr>
      <w:tr w:rsidR="00560745" w14:paraId="7955F051" w14:textId="77777777" w:rsidTr="00D02968">
        <w:trPr>
          <w:trHeight w:val="285"/>
        </w:trPr>
        <w:tc>
          <w:tcPr>
            <w:tcW w:w="6518" w:type="dxa"/>
            <w:gridSpan w:val="2"/>
            <w:noWrap/>
            <w:tcMar>
              <w:top w:w="15" w:type="dxa"/>
              <w:left w:w="108" w:type="dxa"/>
              <w:bottom w:w="0" w:type="dxa"/>
              <w:right w:w="108" w:type="dxa"/>
            </w:tcMar>
            <w:vAlign w:val="bottom"/>
            <w:hideMark/>
          </w:tcPr>
          <w:p w14:paraId="4E77F9F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Redundancy payments service¹</w:t>
            </w:r>
          </w:p>
        </w:tc>
        <w:tc>
          <w:tcPr>
            <w:tcW w:w="1279" w:type="dxa"/>
            <w:noWrap/>
            <w:tcMar>
              <w:top w:w="15" w:type="dxa"/>
              <w:left w:w="108" w:type="dxa"/>
              <w:bottom w:w="0" w:type="dxa"/>
              <w:right w:w="108" w:type="dxa"/>
            </w:tcMar>
            <w:vAlign w:val="bottom"/>
            <w:hideMark/>
          </w:tcPr>
          <w:p w14:paraId="6BBE850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504,849 </w:t>
            </w:r>
          </w:p>
        </w:tc>
        <w:tc>
          <w:tcPr>
            <w:tcW w:w="1134" w:type="dxa"/>
            <w:noWrap/>
            <w:tcMar>
              <w:top w:w="15" w:type="dxa"/>
              <w:left w:w="108" w:type="dxa"/>
              <w:bottom w:w="0" w:type="dxa"/>
              <w:right w:w="108" w:type="dxa"/>
            </w:tcMar>
            <w:vAlign w:val="bottom"/>
            <w:hideMark/>
          </w:tcPr>
          <w:p w14:paraId="07022BC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292,369 </w:t>
            </w:r>
          </w:p>
        </w:tc>
      </w:tr>
      <w:tr w:rsidR="00560745" w14:paraId="7545A30A" w14:textId="77777777" w:rsidTr="00D02968">
        <w:trPr>
          <w:trHeight w:val="285"/>
        </w:trPr>
        <w:tc>
          <w:tcPr>
            <w:tcW w:w="6518" w:type="dxa"/>
            <w:gridSpan w:val="2"/>
            <w:noWrap/>
            <w:tcMar>
              <w:top w:w="15" w:type="dxa"/>
              <w:left w:w="108" w:type="dxa"/>
              <w:bottom w:w="0" w:type="dxa"/>
              <w:right w:w="108" w:type="dxa"/>
            </w:tcMar>
            <w:vAlign w:val="bottom"/>
            <w:hideMark/>
          </w:tcPr>
          <w:p w14:paraId="730E513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Staff Costs:</w:t>
            </w:r>
          </w:p>
        </w:tc>
        <w:tc>
          <w:tcPr>
            <w:tcW w:w="1279" w:type="dxa"/>
            <w:noWrap/>
            <w:tcMar>
              <w:top w:w="15" w:type="dxa"/>
              <w:left w:w="108" w:type="dxa"/>
              <w:bottom w:w="0" w:type="dxa"/>
              <w:right w:w="108" w:type="dxa"/>
            </w:tcMar>
            <w:vAlign w:val="bottom"/>
            <w:hideMark/>
          </w:tcPr>
          <w:p w14:paraId="074F4D55" w14:textId="77777777" w:rsidR="00560745" w:rsidRDefault="00560745">
            <w:pPr>
              <w:rPr>
                <w:rFonts w:eastAsia="Times New Roman"/>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085663F7" w14:textId="77777777" w:rsidR="00560745" w:rsidRDefault="00560745">
            <w:pPr>
              <w:spacing w:after="0"/>
              <w:rPr>
                <w:kern w:val="0"/>
                <w:sz w:val="20"/>
                <w:szCs w:val="20"/>
                <w:lang w:eastAsia="en-GB"/>
                <w14:ligatures w14:val="none"/>
              </w:rPr>
            </w:pPr>
          </w:p>
        </w:tc>
      </w:tr>
      <w:tr w:rsidR="00560745" w14:paraId="579A8737" w14:textId="77777777" w:rsidTr="00D02968">
        <w:trPr>
          <w:trHeight w:val="310"/>
        </w:trPr>
        <w:tc>
          <w:tcPr>
            <w:tcW w:w="6518" w:type="dxa"/>
            <w:gridSpan w:val="2"/>
            <w:noWrap/>
            <w:tcMar>
              <w:top w:w="15" w:type="dxa"/>
              <w:left w:w="108" w:type="dxa"/>
              <w:bottom w:w="0" w:type="dxa"/>
              <w:right w:w="108" w:type="dxa"/>
            </w:tcMar>
            <w:vAlign w:val="bottom"/>
            <w:hideMark/>
          </w:tcPr>
          <w:p w14:paraId="2EB6D3D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Wages and salaries</w:t>
            </w:r>
          </w:p>
        </w:tc>
        <w:tc>
          <w:tcPr>
            <w:tcW w:w="1279" w:type="dxa"/>
            <w:noWrap/>
            <w:tcMar>
              <w:top w:w="15" w:type="dxa"/>
              <w:left w:w="108" w:type="dxa"/>
              <w:bottom w:w="0" w:type="dxa"/>
              <w:right w:w="108" w:type="dxa"/>
            </w:tcMar>
            <w:vAlign w:val="bottom"/>
            <w:hideMark/>
          </w:tcPr>
          <w:p w14:paraId="36EA3C4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76,452 </w:t>
            </w:r>
          </w:p>
        </w:tc>
        <w:tc>
          <w:tcPr>
            <w:tcW w:w="1134" w:type="dxa"/>
            <w:noWrap/>
            <w:tcMar>
              <w:top w:w="15" w:type="dxa"/>
              <w:left w:w="108" w:type="dxa"/>
              <w:bottom w:w="0" w:type="dxa"/>
              <w:right w:w="108" w:type="dxa"/>
            </w:tcMar>
            <w:vAlign w:val="bottom"/>
            <w:hideMark/>
          </w:tcPr>
          <w:p w14:paraId="5317EAE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66,912 </w:t>
            </w:r>
          </w:p>
        </w:tc>
      </w:tr>
      <w:tr w:rsidR="00560745" w14:paraId="34862575" w14:textId="77777777" w:rsidTr="00D02968">
        <w:trPr>
          <w:trHeight w:val="310"/>
        </w:trPr>
        <w:tc>
          <w:tcPr>
            <w:tcW w:w="6518" w:type="dxa"/>
            <w:gridSpan w:val="2"/>
            <w:noWrap/>
            <w:tcMar>
              <w:top w:w="15" w:type="dxa"/>
              <w:left w:w="108" w:type="dxa"/>
              <w:bottom w:w="0" w:type="dxa"/>
              <w:right w:w="108" w:type="dxa"/>
            </w:tcMar>
            <w:vAlign w:val="bottom"/>
            <w:hideMark/>
          </w:tcPr>
          <w:p w14:paraId="2930701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Social security costs</w:t>
            </w:r>
          </w:p>
        </w:tc>
        <w:tc>
          <w:tcPr>
            <w:tcW w:w="1279" w:type="dxa"/>
            <w:noWrap/>
            <w:tcMar>
              <w:top w:w="15" w:type="dxa"/>
              <w:left w:w="108" w:type="dxa"/>
              <w:bottom w:w="0" w:type="dxa"/>
              <w:right w:w="108" w:type="dxa"/>
            </w:tcMar>
            <w:vAlign w:val="bottom"/>
            <w:hideMark/>
          </w:tcPr>
          <w:p w14:paraId="424A0C0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6,644 </w:t>
            </w:r>
          </w:p>
        </w:tc>
        <w:tc>
          <w:tcPr>
            <w:tcW w:w="1134" w:type="dxa"/>
            <w:noWrap/>
            <w:tcMar>
              <w:top w:w="15" w:type="dxa"/>
              <w:left w:w="108" w:type="dxa"/>
              <w:bottom w:w="0" w:type="dxa"/>
              <w:right w:w="108" w:type="dxa"/>
            </w:tcMar>
            <w:vAlign w:val="bottom"/>
            <w:hideMark/>
          </w:tcPr>
          <w:p w14:paraId="2DBC86A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6,071 </w:t>
            </w:r>
          </w:p>
        </w:tc>
      </w:tr>
      <w:tr w:rsidR="00560745" w14:paraId="2CE6F09A" w14:textId="77777777" w:rsidTr="00D02968">
        <w:trPr>
          <w:trHeight w:val="310"/>
        </w:trPr>
        <w:tc>
          <w:tcPr>
            <w:tcW w:w="6518" w:type="dxa"/>
            <w:gridSpan w:val="2"/>
            <w:noWrap/>
            <w:tcMar>
              <w:top w:w="15" w:type="dxa"/>
              <w:left w:w="108" w:type="dxa"/>
              <w:bottom w:w="0" w:type="dxa"/>
              <w:right w:w="108" w:type="dxa"/>
            </w:tcMar>
            <w:vAlign w:val="bottom"/>
            <w:hideMark/>
          </w:tcPr>
          <w:p w14:paraId="5A0E803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Other pension costs</w:t>
            </w:r>
          </w:p>
        </w:tc>
        <w:tc>
          <w:tcPr>
            <w:tcW w:w="1279" w:type="dxa"/>
            <w:noWrap/>
            <w:tcMar>
              <w:top w:w="15" w:type="dxa"/>
              <w:left w:w="108" w:type="dxa"/>
              <w:bottom w:w="0" w:type="dxa"/>
              <w:right w:w="108" w:type="dxa"/>
            </w:tcMar>
            <w:vAlign w:val="bottom"/>
            <w:hideMark/>
          </w:tcPr>
          <w:p w14:paraId="795A57D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16,014 </w:t>
            </w:r>
          </w:p>
        </w:tc>
        <w:tc>
          <w:tcPr>
            <w:tcW w:w="1134" w:type="dxa"/>
            <w:noWrap/>
            <w:tcMar>
              <w:top w:w="15" w:type="dxa"/>
              <w:left w:w="108" w:type="dxa"/>
              <w:bottom w:w="0" w:type="dxa"/>
              <w:right w:w="108" w:type="dxa"/>
            </w:tcMar>
            <w:vAlign w:val="bottom"/>
            <w:hideMark/>
          </w:tcPr>
          <w:p w14:paraId="19E9798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14,894 </w:t>
            </w:r>
          </w:p>
        </w:tc>
      </w:tr>
      <w:tr w:rsidR="00560745" w14:paraId="4579F474" w14:textId="77777777" w:rsidTr="00D02968">
        <w:trPr>
          <w:trHeight w:val="310"/>
        </w:trPr>
        <w:tc>
          <w:tcPr>
            <w:tcW w:w="6518" w:type="dxa"/>
            <w:gridSpan w:val="2"/>
            <w:noWrap/>
            <w:tcMar>
              <w:top w:w="15" w:type="dxa"/>
              <w:left w:w="108" w:type="dxa"/>
              <w:bottom w:w="0" w:type="dxa"/>
              <w:right w:w="108" w:type="dxa"/>
            </w:tcMar>
            <w:vAlign w:val="bottom"/>
            <w:hideMark/>
          </w:tcPr>
          <w:p w14:paraId="1C615FC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Voluntary and Compulsory Redundancy payments</w:t>
            </w:r>
          </w:p>
        </w:tc>
        <w:tc>
          <w:tcPr>
            <w:tcW w:w="1279" w:type="dxa"/>
            <w:noWrap/>
            <w:tcMar>
              <w:top w:w="15" w:type="dxa"/>
              <w:left w:w="108" w:type="dxa"/>
              <w:bottom w:w="0" w:type="dxa"/>
              <w:right w:w="108" w:type="dxa"/>
            </w:tcMar>
            <w:vAlign w:val="bottom"/>
            <w:hideMark/>
          </w:tcPr>
          <w:p w14:paraId="5EA3E3D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267 </w:t>
            </w:r>
          </w:p>
        </w:tc>
        <w:tc>
          <w:tcPr>
            <w:tcW w:w="1134" w:type="dxa"/>
            <w:noWrap/>
            <w:tcMar>
              <w:top w:w="15" w:type="dxa"/>
              <w:left w:w="108" w:type="dxa"/>
              <w:bottom w:w="0" w:type="dxa"/>
              <w:right w:w="108" w:type="dxa"/>
            </w:tcMar>
            <w:vAlign w:val="bottom"/>
            <w:hideMark/>
          </w:tcPr>
          <w:p w14:paraId="50681EF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r>
      <w:tr w:rsidR="00560745" w14:paraId="7AF68167" w14:textId="77777777" w:rsidTr="00D02968">
        <w:trPr>
          <w:trHeight w:val="310"/>
        </w:trPr>
        <w:tc>
          <w:tcPr>
            <w:tcW w:w="6518" w:type="dxa"/>
            <w:gridSpan w:val="2"/>
            <w:noWrap/>
            <w:tcMar>
              <w:top w:w="15" w:type="dxa"/>
              <w:left w:w="108" w:type="dxa"/>
              <w:bottom w:w="0" w:type="dxa"/>
              <w:right w:w="108" w:type="dxa"/>
            </w:tcMar>
            <w:vAlign w:val="bottom"/>
            <w:hideMark/>
          </w:tcPr>
          <w:p w14:paraId="1327F99E"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Less recoveries in respect of outward secondments</w:t>
            </w:r>
          </w:p>
        </w:tc>
        <w:tc>
          <w:tcPr>
            <w:tcW w:w="1279" w:type="dxa"/>
            <w:noWrap/>
            <w:tcMar>
              <w:top w:w="15" w:type="dxa"/>
              <w:left w:w="108" w:type="dxa"/>
              <w:bottom w:w="0" w:type="dxa"/>
              <w:right w:w="108" w:type="dxa"/>
            </w:tcMar>
            <w:vAlign w:val="bottom"/>
            <w:hideMark/>
          </w:tcPr>
          <w:p w14:paraId="7F9FE6A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(90) </w:t>
            </w:r>
          </w:p>
        </w:tc>
        <w:tc>
          <w:tcPr>
            <w:tcW w:w="1134" w:type="dxa"/>
            <w:noWrap/>
            <w:tcMar>
              <w:top w:w="15" w:type="dxa"/>
              <w:left w:w="108" w:type="dxa"/>
              <w:bottom w:w="0" w:type="dxa"/>
              <w:right w:w="108" w:type="dxa"/>
            </w:tcMar>
            <w:vAlign w:val="bottom"/>
            <w:hideMark/>
          </w:tcPr>
          <w:p w14:paraId="3460A71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(111) </w:t>
            </w:r>
          </w:p>
        </w:tc>
      </w:tr>
      <w:tr w:rsidR="00560745" w14:paraId="3A2F0D84" w14:textId="77777777" w:rsidTr="00D02968">
        <w:trPr>
          <w:trHeight w:val="285"/>
        </w:trPr>
        <w:tc>
          <w:tcPr>
            <w:tcW w:w="6518" w:type="dxa"/>
            <w:gridSpan w:val="2"/>
            <w:noWrap/>
            <w:tcMar>
              <w:top w:w="15" w:type="dxa"/>
              <w:left w:w="108" w:type="dxa"/>
              <w:bottom w:w="0" w:type="dxa"/>
              <w:right w:w="108" w:type="dxa"/>
            </w:tcMar>
            <w:vAlign w:val="bottom"/>
            <w:hideMark/>
          </w:tcPr>
          <w:p w14:paraId="76285128"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Purchase of goods and services:</w:t>
            </w:r>
          </w:p>
        </w:tc>
        <w:tc>
          <w:tcPr>
            <w:tcW w:w="1279" w:type="dxa"/>
            <w:noWrap/>
            <w:tcMar>
              <w:top w:w="15" w:type="dxa"/>
              <w:left w:w="108" w:type="dxa"/>
              <w:bottom w:w="0" w:type="dxa"/>
              <w:right w:w="108" w:type="dxa"/>
            </w:tcMar>
            <w:vAlign w:val="bottom"/>
            <w:hideMark/>
          </w:tcPr>
          <w:p w14:paraId="03BE6093" w14:textId="77777777" w:rsidR="00560745" w:rsidRDefault="00560745">
            <w:pPr>
              <w:rPr>
                <w:rFonts w:eastAsia="Times New Roman"/>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98B9064" w14:textId="77777777" w:rsidR="00560745" w:rsidRDefault="00560745">
            <w:pPr>
              <w:spacing w:after="0"/>
              <w:rPr>
                <w:kern w:val="0"/>
                <w:sz w:val="20"/>
                <w:szCs w:val="20"/>
                <w:lang w:eastAsia="en-GB"/>
                <w14:ligatures w14:val="none"/>
              </w:rPr>
            </w:pPr>
          </w:p>
        </w:tc>
      </w:tr>
      <w:tr w:rsidR="00560745" w14:paraId="2BDAC277" w14:textId="77777777" w:rsidTr="00D02968">
        <w:trPr>
          <w:trHeight w:val="285"/>
        </w:trPr>
        <w:tc>
          <w:tcPr>
            <w:tcW w:w="6518" w:type="dxa"/>
            <w:gridSpan w:val="2"/>
            <w:noWrap/>
            <w:tcMar>
              <w:top w:w="15" w:type="dxa"/>
              <w:left w:w="108" w:type="dxa"/>
              <w:bottom w:w="0" w:type="dxa"/>
              <w:right w:w="108" w:type="dxa"/>
            </w:tcMar>
            <w:vAlign w:val="bottom"/>
            <w:hideMark/>
          </w:tcPr>
          <w:p w14:paraId="6C9E2D9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IT infrastructure expenses</w:t>
            </w:r>
          </w:p>
        </w:tc>
        <w:tc>
          <w:tcPr>
            <w:tcW w:w="1279" w:type="dxa"/>
            <w:noWrap/>
            <w:tcMar>
              <w:top w:w="15" w:type="dxa"/>
              <w:left w:w="108" w:type="dxa"/>
              <w:bottom w:w="0" w:type="dxa"/>
              <w:right w:w="108" w:type="dxa"/>
            </w:tcMar>
            <w:vAlign w:val="bottom"/>
            <w:hideMark/>
          </w:tcPr>
          <w:p w14:paraId="0B487FB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22,809 </w:t>
            </w:r>
          </w:p>
        </w:tc>
        <w:tc>
          <w:tcPr>
            <w:tcW w:w="1134" w:type="dxa"/>
            <w:noWrap/>
            <w:tcMar>
              <w:top w:w="15" w:type="dxa"/>
              <w:left w:w="108" w:type="dxa"/>
              <w:bottom w:w="0" w:type="dxa"/>
              <w:right w:w="108" w:type="dxa"/>
            </w:tcMar>
            <w:vAlign w:val="bottom"/>
            <w:hideMark/>
          </w:tcPr>
          <w:p w14:paraId="7758FC7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25,713 </w:t>
            </w:r>
          </w:p>
        </w:tc>
      </w:tr>
      <w:tr w:rsidR="00560745" w14:paraId="0C8847A5" w14:textId="77777777" w:rsidTr="00D02968">
        <w:trPr>
          <w:trHeight w:val="285"/>
        </w:trPr>
        <w:tc>
          <w:tcPr>
            <w:tcW w:w="6518" w:type="dxa"/>
            <w:gridSpan w:val="2"/>
            <w:noWrap/>
            <w:tcMar>
              <w:top w:w="15" w:type="dxa"/>
              <w:left w:w="108" w:type="dxa"/>
              <w:bottom w:w="0" w:type="dxa"/>
              <w:right w:w="108" w:type="dxa"/>
            </w:tcMar>
            <w:vAlign w:val="bottom"/>
            <w:hideMark/>
          </w:tcPr>
          <w:p w14:paraId="3142682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General administrative expenses</w:t>
            </w:r>
          </w:p>
        </w:tc>
        <w:tc>
          <w:tcPr>
            <w:tcW w:w="1279" w:type="dxa"/>
            <w:noWrap/>
            <w:tcMar>
              <w:top w:w="15" w:type="dxa"/>
              <w:left w:w="108" w:type="dxa"/>
              <w:bottom w:w="0" w:type="dxa"/>
              <w:right w:w="108" w:type="dxa"/>
            </w:tcMar>
            <w:vAlign w:val="bottom"/>
            <w:hideMark/>
          </w:tcPr>
          <w:p w14:paraId="5BA3652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1,881 </w:t>
            </w:r>
          </w:p>
        </w:tc>
        <w:tc>
          <w:tcPr>
            <w:tcW w:w="1134" w:type="dxa"/>
            <w:noWrap/>
            <w:tcMar>
              <w:top w:w="15" w:type="dxa"/>
              <w:left w:w="108" w:type="dxa"/>
              <w:bottom w:w="0" w:type="dxa"/>
              <w:right w:w="108" w:type="dxa"/>
            </w:tcMar>
            <w:vAlign w:val="bottom"/>
            <w:hideMark/>
          </w:tcPr>
          <w:p w14:paraId="266BB19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1,655 </w:t>
            </w:r>
          </w:p>
        </w:tc>
      </w:tr>
      <w:tr w:rsidR="00560745" w14:paraId="04F5C590" w14:textId="77777777" w:rsidTr="00D02968">
        <w:trPr>
          <w:trHeight w:val="285"/>
        </w:trPr>
        <w:tc>
          <w:tcPr>
            <w:tcW w:w="6518" w:type="dxa"/>
            <w:gridSpan w:val="2"/>
            <w:noWrap/>
            <w:tcMar>
              <w:top w:w="15" w:type="dxa"/>
              <w:left w:w="108" w:type="dxa"/>
              <w:bottom w:w="0" w:type="dxa"/>
              <w:right w:w="108" w:type="dxa"/>
            </w:tcMar>
            <w:vAlign w:val="bottom"/>
            <w:hideMark/>
          </w:tcPr>
          <w:p w14:paraId="7464DA7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Travel and subsistence</w:t>
            </w:r>
          </w:p>
        </w:tc>
        <w:tc>
          <w:tcPr>
            <w:tcW w:w="1279" w:type="dxa"/>
            <w:noWrap/>
            <w:tcMar>
              <w:top w:w="15" w:type="dxa"/>
              <w:left w:w="108" w:type="dxa"/>
              <w:bottom w:w="0" w:type="dxa"/>
              <w:right w:w="108" w:type="dxa"/>
            </w:tcMar>
            <w:vAlign w:val="bottom"/>
            <w:hideMark/>
          </w:tcPr>
          <w:p w14:paraId="5C1EC78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1,358 </w:t>
            </w:r>
          </w:p>
        </w:tc>
        <w:tc>
          <w:tcPr>
            <w:tcW w:w="1134" w:type="dxa"/>
            <w:noWrap/>
            <w:tcMar>
              <w:top w:w="15" w:type="dxa"/>
              <w:left w:w="108" w:type="dxa"/>
              <w:bottom w:w="0" w:type="dxa"/>
              <w:right w:w="108" w:type="dxa"/>
            </w:tcMar>
            <w:vAlign w:val="bottom"/>
            <w:hideMark/>
          </w:tcPr>
          <w:p w14:paraId="23DA337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1,011 </w:t>
            </w:r>
          </w:p>
        </w:tc>
      </w:tr>
      <w:tr w:rsidR="00560745" w14:paraId="6F46B980" w14:textId="77777777" w:rsidTr="00D02968">
        <w:trPr>
          <w:trHeight w:val="285"/>
        </w:trPr>
        <w:tc>
          <w:tcPr>
            <w:tcW w:w="6518" w:type="dxa"/>
            <w:gridSpan w:val="2"/>
            <w:noWrap/>
            <w:tcMar>
              <w:top w:w="15" w:type="dxa"/>
              <w:left w:w="108" w:type="dxa"/>
              <w:bottom w:w="0" w:type="dxa"/>
              <w:right w:w="108" w:type="dxa"/>
            </w:tcMar>
            <w:vAlign w:val="bottom"/>
            <w:hideMark/>
          </w:tcPr>
          <w:p w14:paraId="5D6F67A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Other operating expenditure:</w:t>
            </w:r>
          </w:p>
        </w:tc>
        <w:tc>
          <w:tcPr>
            <w:tcW w:w="1279" w:type="dxa"/>
            <w:noWrap/>
            <w:tcMar>
              <w:top w:w="15" w:type="dxa"/>
              <w:left w:w="108" w:type="dxa"/>
              <w:bottom w:w="0" w:type="dxa"/>
              <w:right w:w="108" w:type="dxa"/>
            </w:tcMar>
            <w:vAlign w:val="bottom"/>
            <w:hideMark/>
          </w:tcPr>
          <w:p w14:paraId="15E74E41" w14:textId="77777777" w:rsidR="00560745" w:rsidRDefault="00560745">
            <w:pPr>
              <w:rPr>
                <w:rFonts w:eastAsia="Times New Roman"/>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65B1C105" w14:textId="77777777" w:rsidR="00560745" w:rsidRDefault="00560745">
            <w:pPr>
              <w:spacing w:after="0"/>
              <w:rPr>
                <w:kern w:val="0"/>
                <w:sz w:val="20"/>
                <w:szCs w:val="20"/>
                <w:lang w:eastAsia="en-GB"/>
                <w14:ligatures w14:val="none"/>
              </w:rPr>
            </w:pPr>
          </w:p>
        </w:tc>
      </w:tr>
      <w:tr w:rsidR="00560745" w14:paraId="5D545CFB" w14:textId="77777777" w:rsidTr="00D02968">
        <w:trPr>
          <w:trHeight w:val="285"/>
        </w:trPr>
        <w:tc>
          <w:tcPr>
            <w:tcW w:w="6518" w:type="dxa"/>
            <w:gridSpan w:val="2"/>
            <w:noWrap/>
            <w:tcMar>
              <w:top w:w="15" w:type="dxa"/>
              <w:left w:w="108" w:type="dxa"/>
              <w:bottom w:w="0" w:type="dxa"/>
              <w:right w:w="108" w:type="dxa"/>
            </w:tcMar>
            <w:vAlign w:val="bottom"/>
            <w:hideMark/>
          </w:tcPr>
          <w:p w14:paraId="56FFB6A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Legal and other costs of investigation and enforcement</w:t>
            </w:r>
          </w:p>
        </w:tc>
        <w:tc>
          <w:tcPr>
            <w:tcW w:w="1279" w:type="dxa"/>
            <w:noWrap/>
            <w:tcMar>
              <w:top w:w="15" w:type="dxa"/>
              <w:left w:w="108" w:type="dxa"/>
              <w:bottom w:w="0" w:type="dxa"/>
              <w:right w:w="108" w:type="dxa"/>
            </w:tcMar>
            <w:vAlign w:val="bottom"/>
            <w:hideMark/>
          </w:tcPr>
          <w:p w14:paraId="2B0DF49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8,652 </w:t>
            </w:r>
          </w:p>
        </w:tc>
        <w:tc>
          <w:tcPr>
            <w:tcW w:w="1134" w:type="dxa"/>
            <w:noWrap/>
            <w:tcMar>
              <w:top w:w="15" w:type="dxa"/>
              <w:left w:w="108" w:type="dxa"/>
              <w:bottom w:w="0" w:type="dxa"/>
              <w:right w:w="108" w:type="dxa"/>
            </w:tcMar>
            <w:vAlign w:val="bottom"/>
            <w:hideMark/>
          </w:tcPr>
          <w:p w14:paraId="516CFDE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13,763 </w:t>
            </w:r>
          </w:p>
        </w:tc>
      </w:tr>
      <w:tr w:rsidR="00560745" w14:paraId="7D64E3F9" w14:textId="77777777" w:rsidTr="00D02968">
        <w:trPr>
          <w:trHeight w:val="285"/>
        </w:trPr>
        <w:tc>
          <w:tcPr>
            <w:tcW w:w="6518" w:type="dxa"/>
            <w:gridSpan w:val="2"/>
            <w:noWrap/>
            <w:tcMar>
              <w:top w:w="15" w:type="dxa"/>
              <w:left w:w="108" w:type="dxa"/>
              <w:bottom w:w="0" w:type="dxa"/>
              <w:right w:w="108" w:type="dxa"/>
            </w:tcMar>
            <w:vAlign w:val="bottom"/>
            <w:hideMark/>
          </w:tcPr>
          <w:p w14:paraId="2D6EAC4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Accommodation costs</w:t>
            </w:r>
          </w:p>
        </w:tc>
        <w:tc>
          <w:tcPr>
            <w:tcW w:w="1279" w:type="dxa"/>
            <w:noWrap/>
            <w:tcMar>
              <w:top w:w="15" w:type="dxa"/>
              <w:left w:w="108" w:type="dxa"/>
              <w:bottom w:w="0" w:type="dxa"/>
              <w:right w:w="108" w:type="dxa"/>
            </w:tcMar>
            <w:vAlign w:val="bottom"/>
            <w:hideMark/>
          </w:tcPr>
          <w:p w14:paraId="09D3806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4,995 </w:t>
            </w:r>
          </w:p>
        </w:tc>
        <w:tc>
          <w:tcPr>
            <w:tcW w:w="1134" w:type="dxa"/>
            <w:noWrap/>
            <w:tcMar>
              <w:top w:w="15" w:type="dxa"/>
              <w:left w:w="108" w:type="dxa"/>
              <w:bottom w:w="0" w:type="dxa"/>
              <w:right w:w="108" w:type="dxa"/>
            </w:tcMar>
            <w:vAlign w:val="bottom"/>
            <w:hideMark/>
          </w:tcPr>
          <w:p w14:paraId="11F19EC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5,245 </w:t>
            </w:r>
          </w:p>
        </w:tc>
      </w:tr>
      <w:tr w:rsidR="00560745" w14:paraId="72E25884" w14:textId="77777777" w:rsidTr="00D02968">
        <w:trPr>
          <w:trHeight w:val="285"/>
        </w:trPr>
        <w:tc>
          <w:tcPr>
            <w:tcW w:w="6518" w:type="dxa"/>
            <w:gridSpan w:val="2"/>
            <w:noWrap/>
            <w:tcMar>
              <w:top w:w="15" w:type="dxa"/>
              <w:left w:w="108" w:type="dxa"/>
              <w:bottom w:w="0" w:type="dxa"/>
              <w:right w:w="108" w:type="dxa"/>
            </w:tcMar>
            <w:vAlign w:val="bottom"/>
            <w:hideMark/>
          </w:tcPr>
          <w:p w14:paraId="4082171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Staffing and training costs</w:t>
            </w:r>
          </w:p>
        </w:tc>
        <w:tc>
          <w:tcPr>
            <w:tcW w:w="1279" w:type="dxa"/>
            <w:noWrap/>
            <w:tcMar>
              <w:top w:w="15" w:type="dxa"/>
              <w:left w:w="108" w:type="dxa"/>
              <w:bottom w:w="0" w:type="dxa"/>
              <w:right w:w="108" w:type="dxa"/>
            </w:tcMar>
            <w:vAlign w:val="bottom"/>
            <w:hideMark/>
          </w:tcPr>
          <w:p w14:paraId="59BBE91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3,116 </w:t>
            </w:r>
          </w:p>
        </w:tc>
        <w:tc>
          <w:tcPr>
            <w:tcW w:w="1134" w:type="dxa"/>
            <w:noWrap/>
            <w:tcMar>
              <w:top w:w="15" w:type="dxa"/>
              <w:left w:w="108" w:type="dxa"/>
              <w:bottom w:w="0" w:type="dxa"/>
              <w:right w:w="108" w:type="dxa"/>
            </w:tcMar>
            <w:vAlign w:val="bottom"/>
            <w:hideMark/>
          </w:tcPr>
          <w:p w14:paraId="18EA62F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2,290 </w:t>
            </w:r>
          </w:p>
        </w:tc>
      </w:tr>
      <w:tr w:rsidR="00560745" w14:paraId="1C3C5AB1" w14:textId="77777777" w:rsidTr="00D02968">
        <w:trPr>
          <w:trHeight w:val="285"/>
        </w:trPr>
        <w:tc>
          <w:tcPr>
            <w:tcW w:w="6518" w:type="dxa"/>
            <w:gridSpan w:val="2"/>
            <w:noWrap/>
            <w:tcMar>
              <w:top w:w="15" w:type="dxa"/>
              <w:left w:w="108" w:type="dxa"/>
              <w:bottom w:w="0" w:type="dxa"/>
              <w:right w:w="108" w:type="dxa"/>
            </w:tcMar>
            <w:vAlign w:val="bottom"/>
            <w:hideMark/>
          </w:tcPr>
          <w:p w14:paraId="49E7957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Other costs</w:t>
            </w:r>
          </w:p>
        </w:tc>
        <w:tc>
          <w:tcPr>
            <w:tcW w:w="1279" w:type="dxa"/>
            <w:noWrap/>
            <w:tcMar>
              <w:top w:w="15" w:type="dxa"/>
              <w:left w:w="108" w:type="dxa"/>
              <w:bottom w:w="0" w:type="dxa"/>
              <w:right w:w="108" w:type="dxa"/>
            </w:tcMar>
            <w:vAlign w:val="bottom"/>
            <w:hideMark/>
          </w:tcPr>
          <w:p w14:paraId="545D489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3,214 </w:t>
            </w:r>
          </w:p>
        </w:tc>
        <w:tc>
          <w:tcPr>
            <w:tcW w:w="1134" w:type="dxa"/>
            <w:noWrap/>
            <w:tcMar>
              <w:top w:w="15" w:type="dxa"/>
              <w:left w:w="108" w:type="dxa"/>
              <w:bottom w:w="0" w:type="dxa"/>
              <w:right w:w="108" w:type="dxa"/>
            </w:tcMar>
            <w:vAlign w:val="bottom"/>
            <w:hideMark/>
          </w:tcPr>
          <w:p w14:paraId="19B6FE0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1,521</w:t>
            </w:r>
          </w:p>
        </w:tc>
      </w:tr>
      <w:tr w:rsidR="00560745" w14:paraId="052287EA" w14:textId="77777777" w:rsidTr="00D02968">
        <w:trPr>
          <w:trHeight w:val="285"/>
        </w:trPr>
        <w:tc>
          <w:tcPr>
            <w:tcW w:w="6518" w:type="dxa"/>
            <w:gridSpan w:val="2"/>
            <w:noWrap/>
            <w:tcMar>
              <w:top w:w="15" w:type="dxa"/>
              <w:left w:w="108" w:type="dxa"/>
              <w:bottom w:w="0" w:type="dxa"/>
              <w:right w:w="108" w:type="dxa"/>
            </w:tcMar>
            <w:vAlign w:val="bottom"/>
            <w:hideMark/>
          </w:tcPr>
          <w:p w14:paraId="2AF1604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Non-cash items:</w:t>
            </w:r>
          </w:p>
        </w:tc>
        <w:tc>
          <w:tcPr>
            <w:tcW w:w="1279" w:type="dxa"/>
            <w:noWrap/>
            <w:tcMar>
              <w:top w:w="15" w:type="dxa"/>
              <w:left w:w="108" w:type="dxa"/>
              <w:bottom w:w="0" w:type="dxa"/>
              <w:right w:w="108" w:type="dxa"/>
            </w:tcMar>
            <w:vAlign w:val="bottom"/>
            <w:hideMark/>
          </w:tcPr>
          <w:p w14:paraId="090646D4" w14:textId="77777777" w:rsidR="00560745" w:rsidRDefault="00560745">
            <w:pPr>
              <w:rPr>
                <w:rFonts w:eastAsia="Times New Roman"/>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50D7E2BF" w14:textId="77777777" w:rsidR="00560745" w:rsidRDefault="00560745">
            <w:pPr>
              <w:spacing w:after="0"/>
              <w:rPr>
                <w:kern w:val="0"/>
                <w:sz w:val="20"/>
                <w:szCs w:val="20"/>
                <w:lang w:eastAsia="en-GB"/>
                <w14:ligatures w14:val="none"/>
              </w:rPr>
            </w:pPr>
          </w:p>
        </w:tc>
      </w:tr>
      <w:tr w:rsidR="00560745" w14:paraId="199762D4" w14:textId="77777777" w:rsidTr="00D02968">
        <w:trPr>
          <w:trHeight w:val="285"/>
        </w:trPr>
        <w:tc>
          <w:tcPr>
            <w:tcW w:w="6518" w:type="dxa"/>
            <w:gridSpan w:val="2"/>
            <w:noWrap/>
            <w:tcMar>
              <w:top w:w="15" w:type="dxa"/>
              <w:left w:w="108" w:type="dxa"/>
              <w:bottom w:w="0" w:type="dxa"/>
              <w:right w:w="108" w:type="dxa"/>
            </w:tcMar>
            <w:vAlign w:val="bottom"/>
            <w:hideMark/>
          </w:tcPr>
          <w:p w14:paraId="536981E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Audit fee²</w:t>
            </w:r>
          </w:p>
        </w:tc>
        <w:tc>
          <w:tcPr>
            <w:tcW w:w="1279" w:type="dxa"/>
            <w:noWrap/>
            <w:tcMar>
              <w:top w:w="15" w:type="dxa"/>
              <w:left w:w="108" w:type="dxa"/>
              <w:bottom w:w="0" w:type="dxa"/>
              <w:right w:w="108" w:type="dxa"/>
            </w:tcMar>
            <w:vAlign w:val="bottom"/>
            <w:hideMark/>
          </w:tcPr>
          <w:p w14:paraId="11AA1D1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236 </w:t>
            </w:r>
          </w:p>
        </w:tc>
        <w:tc>
          <w:tcPr>
            <w:tcW w:w="1134" w:type="dxa"/>
            <w:noWrap/>
            <w:tcMar>
              <w:top w:w="15" w:type="dxa"/>
              <w:left w:w="108" w:type="dxa"/>
              <w:bottom w:w="0" w:type="dxa"/>
              <w:right w:w="108" w:type="dxa"/>
            </w:tcMar>
            <w:vAlign w:val="bottom"/>
            <w:hideMark/>
          </w:tcPr>
          <w:p w14:paraId="462BCE5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240 </w:t>
            </w:r>
          </w:p>
        </w:tc>
      </w:tr>
      <w:tr w:rsidR="00560745" w14:paraId="0AB83BB4" w14:textId="77777777" w:rsidTr="00D02968">
        <w:trPr>
          <w:trHeight w:val="285"/>
        </w:trPr>
        <w:tc>
          <w:tcPr>
            <w:tcW w:w="6518" w:type="dxa"/>
            <w:gridSpan w:val="2"/>
            <w:noWrap/>
            <w:tcMar>
              <w:top w:w="15" w:type="dxa"/>
              <w:left w:w="108" w:type="dxa"/>
              <w:bottom w:w="0" w:type="dxa"/>
              <w:right w:w="108" w:type="dxa"/>
            </w:tcMar>
            <w:vAlign w:val="bottom"/>
            <w:hideMark/>
          </w:tcPr>
          <w:p w14:paraId="11F627C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Expected credit losses</w:t>
            </w:r>
          </w:p>
        </w:tc>
        <w:tc>
          <w:tcPr>
            <w:tcW w:w="1279" w:type="dxa"/>
            <w:noWrap/>
            <w:tcMar>
              <w:top w:w="15" w:type="dxa"/>
              <w:left w:w="108" w:type="dxa"/>
              <w:bottom w:w="0" w:type="dxa"/>
              <w:right w:w="108" w:type="dxa"/>
            </w:tcMar>
            <w:vAlign w:val="bottom"/>
            <w:hideMark/>
          </w:tcPr>
          <w:p w14:paraId="2B60C06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158 </w:t>
            </w:r>
          </w:p>
        </w:tc>
        <w:tc>
          <w:tcPr>
            <w:tcW w:w="1134" w:type="dxa"/>
            <w:noWrap/>
            <w:tcMar>
              <w:top w:w="15" w:type="dxa"/>
              <w:left w:w="108" w:type="dxa"/>
              <w:bottom w:w="0" w:type="dxa"/>
              <w:right w:w="108" w:type="dxa"/>
            </w:tcMar>
            <w:vAlign w:val="bottom"/>
            <w:hideMark/>
          </w:tcPr>
          <w:p w14:paraId="39C30C3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408</w:t>
            </w:r>
          </w:p>
        </w:tc>
      </w:tr>
      <w:tr w:rsidR="00560745" w14:paraId="76B7A57E" w14:textId="77777777" w:rsidTr="00D02968">
        <w:trPr>
          <w:trHeight w:val="310"/>
        </w:trPr>
        <w:tc>
          <w:tcPr>
            <w:tcW w:w="6518" w:type="dxa"/>
            <w:gridSpan w:val="2"/>
            <w:noWrap/>
            <w:tcMar>
              <w:top w:w="15" w:type="dxa"/>
              <w:left w:w="108" w:type="dxa"/>
              <w:bottom w:w="0" w:type="dxa"/>
              <w:right w:w="108" w:type="dxa"/>
            </w:tcMar>
            <w:vAlign w:val="bottom"/>
            <w:hideMark/>
          </w:tcPr>
          <w:p w14:paraId="4DD3B6A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Loss on disposal of non-current assets</w:t>
            </w:r>
          </w:p>
        </w:tc>
        <w:tc>
          <w:tcPr>
            <w:tcW w:w="1279" w:type="dxa"/>
            <w:noWrap/>
            <w:tcMar>
              <w:top w:w="15" w:type="dxa"/>
              <w:left w:w="108" w:type="dxa"/>
              <w:bottom w:w="0" w:type="dxa"/>
              <w:right w:w="108" w:type="dxa"/>
            </w:tcMar>
            <w:vAlign w:val="bottom"/>
            <w:hideMark/>
          </w:tcPr>
          <w:p w14:paraId="4E12E6D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462E3BC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276 </w:t>
            </w:r>
          </w:p>
        </w:tc>
      </w:tr>
      <w:tr w:rsidR="00560745" w14:paraId="77F62242" w14:textId="77777777" w:rsidTr="00D02968">
        <w:trPr>
          <w:trHeight w:val="285"/>
        </w:trPr>
        <w:tc>
          <w:tcPr>
            <w:tcW w:w="6518" w:type="dxa"/>
            <w:gridSpan w:val="2"/>
            <w:noWrap/>
            <w:tcMar>
              <w:top w:w="15" w:type="dxa"/>
              <w:left w:w="108" w:type="dxa"/>
              <w:bottom w:w="0" w:type="dxa"/>
              <w:right w:w="108" w:type="dxa"/>
            </w:tcMar>
            <w:vAlign w:val="bottom"/>
            <w:hideMark/>
          </w:tcPr>
          <w:p w14:paraId="14F28C3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Case administration - unwind discounting of receivables for fees</w:t>
            </w:r>
          </w:p>
        </w:tc>
        <w:tc>
          <w:tcPr>
            <w:tcW w:w="1279" w:type="dxa"/>
            <w:noWrap/>
            <w:tcMar>
              <w:top w:w="15" w:type="dxa"/>
              <w:left w:w="108" w:type="dxa"/>
              <w:bottom w:w="0" w:type="dxa"/>
              <w:right w:w="108" w:type="dxa"/>
            </w:tcMar>
            <w:vAlign w:val="bottom"/>
            <w:hideMark/>
          </w:tcPr>
          <w:p w14:paraId="37FA74F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(756) </w:t>
            </w:r>
          </w:p>
        </w:tc>
        <w:tc>
          <w:tcPr>
            <w:tcW w:w="1134" w:type="dxa"/>
            <w:noWrap/>
            <w:tcMar>
              <w:top w:w="15" w:type="dxa"/>
              <w:left w:w="108" w:type="dxa"/>
              <w:bottom w:w="0" w:type="dxa"/>
              <w:right w:w="108" w:type="dxa"/>
            </w:tcMar>
            <w:vAlign w:val="bottom"/>
            <w:hideMark/>
          </w:tcPr>
          <w:p w14:paraId="1E67320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(599) </w:t>
            </w:r>
          </w:p>
        </w:tc>
      </w:tr>
      <w:tr w:rsidR="00560745" w14:paraId="1C3F8311" w14:textId="77777777" w:rsidTr="00D02968">
        <w:trPr>
          <w:trHeight w:val="285"/>
        </w:trPr>
        <w:tc>
          <w:tcPr>
            <w:tcW w:w="6518" w:type="dxa"/>
            <w:gridSpan w:val="2"/>
            <w:noWrap/>
            <w:tcMar>
              <w:top w:w="15" w:type="dxa"/>
              <w:left w:w="108" w:type="dxa"/>
              <w:bottom w:w="0" w:type="dxa"/>
              <w:right w:w="108" w:type="dxa"/>
            </w:tcMar>
            <w:vAlign w:val="bottom"/>
            <w:hideMark/>
          </w:tcPr>
          <w:p w14:paraId="1AE83B4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Finance costs</w:t>
            </w:r>
          </w:p>
        </w:tc>
        <w:tc>
          <w:tcPr>
            <w:tcW w:w="1279" w:type="dxa"/>
            <w:noWrap/>
            <w:tcMar>
              <w:top w:w="15" w:type="dxa"/>
              <w:left w:w="108" w:type="dxa"/>
              <w:bottom w:w="0" w:type="dxa"/>
              <w:right w:w="108" w:type="dxa"/>
            </w:tcMar>
            <w:vAlign w:val="bottom"/>
            <w:hideMark/>
          </w:tcPr>
          <w:p w14:paraId="5A37791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326 </w:t>
            </w:r>
          </w:p>
        </w:tc>
        <w:tc>
          <w:tcPr>
            <w:tcW w:w="1134" w:type="dxa"/>
            <w:noWrap/>
            <w:tcMar>
              <w:top w:w="15" w:type="dxa"/>
              <w:left w:w="108" w:type="dxa"/>
              <w:bottom w:w="0" w:type="dxa"/>
              <w:right w:w="108" w:type="dxa"/>
            </w:tcMar>
            <w:vAlign w:val="bottom"/>
            <w:hideMark/>
          </w:tcPr>
          <w:p w14:paraId="1D2E820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319 </w:t>
            </w:r>
          </w:p>
        </w:tc>
      </w:tr>
      <w:tr w:rsidR="00560745" w14:paraId="3A47270E" w14:textId="77777777" w:rsidTr="00D02968">
        <w:trPr>
          <w:trHeight w:val="285"/>
        </w:trPr>
        <w:tc>
          <w:tcPr>
            <w:tcW w:w="6518" w:type="dxa"/>
            <w:gridSpan w:val="2"/>
            <w:noWrap/>
            <w:tcMar>
              <w:top w:w="15" w:type="dxa"/>
              <w:left w:w="108" w:type="dxa"/>
              <w:bottom w:w="0" w:type="dxa"/>
              <w:right w:w="108" w:type="dxa"/>
            </w:tcMar>
            <w:vAlign w:val="bottom"/>
            <w:hideMark/>
          </w:tcPr>
          <w:p w14:paraId="01AA15D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Other non-cash items:</w:t>
            </w:r>
          </w:p>
        </w:tc>
        <w:tc>
          <w:tcPr>
            <w:tcW w:w="1279" w:type="dxa"/>
            <w:noWrap/>
            <w:tcMar>
              <w:top w:w="15" w:type="dxa"/>
              <w:left w:w="108" w:type="dxa"/>
              <w:bottom w:w="0" w:type="dxa"/>
              <w:right w:w="108" w:type="dxa"/>
            </w:tcMar>
            <w:vAlign w:val="bottom"/>
            <w:hideMark/>
          </w:tcPr>
          <w:p w14:paraId="7514088E" w14:textId="77777777" w:rsidR="00560745" w:rsidRDefault="00560745">
            <w:pPr>
              <w:rPr>
                <w:rFonts w:eastAsia="Times New Roman"/>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1C9925AD" w14:textId="77777777" w:rsidR="00560745" w:rsidRDefault="00560745">
            <w:pPr>
              <w:spacing w:after="0"/>
              <w:rPr>
                <w:kern w:val="0"/>
                <w:sz w:val="20"/>
                <w:szCs w:val="20"/>
                <w:lang w:eastAsia="en-GB"/>
                <w14:ligatures w14:val="none"/>
              </w:rPr>
            </w:pPr>
          </w:p>
        </w:tc>
      </w:tr>
      <w:tr w:rsidR="00560745" w14:paraId="5F21BDB6" w14:textId="77777777" w:rsidTr="00D02968">
        <w:trPr>
          <w:trHeight w:val="285"/>
        </w:trPr>
        <w:tc>
          <w:tcPr>
            <w:tcW w:w="6518" w:type="dxa"/>
            <w:gridSpan w:val="2"/>
            <w:noWrap/>
            <w:tcMar>
              <w:top w:w="15" w:type="dxa"/>
              <w:left w:w="108" w:type="dxa"/>
              <w:bottom w:w="0" w:type="dxa"/>
              <w:right w:w="108" w:type="dxa"/>
            </w:tcMar>
            <w:vAlign w:val="bottom"/>
            <w:hideMark/>
          </w:tcPr>
          <w:p w14:paraId="071C625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Depreciation and amortisation</w:t>
            </w:r>
          </w:p>
        </w:tc>
        <w:tc>
          <w:tcPr>
            <w:tcW w:w="1279" w:type="dxa"/>
            <w:noWrap/>
            <w:tcMar>
              <w:top w:w="15" w:type="dxa"/>
              <w:left w:w="108" w:type="dxa"/>
              <w:bottom w:w="0" w:type="dxa"/>
              <w:right w:w="108" w:type="dxa"/>
            </w:tcMar>
            <w:vAlign w:val="bottom"/>
            <w:hideMark/>
          </w:tcPr>
          <w:p w14:paraId="66F5450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6,285 </w:t>
            </w:r>
          </w:p>
        </w:tc>
        <w:tc>
          <w:tcPr>
            <w:tcW w:w="1134" w:type="dxa"/>
            <w:noWrap/>
            <w:tcMar>
              <w:top w:w="15" w:type="dxa"/>
              <w:left w:w="108" w:type="dxa"/>
              <w:bottom w:w="0" w:type="dxa"/>
              <w:right w:w="108" w:type="dxa"/>
            </w:tcMar>
            <w:vAlign w:val="bottom"/>
            <w:hideMark/>
          </w:tcPr>
          <w:p w14:paraId="6A65D17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8,507 </w:t>
            </w:r>
          </w:p>
        </w:tc>
      </w:tr>
      <w:tr w:rsidR="00560745" w14:paraId="3FAE02A9" w14:textId="77777777" w:rsidTr="00D02968">
        <w:trPr>
          <w:trHeight w:val="285"/>
        </w:trPr>
        <w:tc>
          <w:tcPr>
            <w:tcW w:w="6518" w:type="dxa"/>
            <w:gridSpan w:val="2"/>
            <w:noWrap/>
            <w:tcMar>
              <w:top w:w="15" w:type="dxa"/>
              <w:left w:w="108" w:type="dxa"/>
              <w:bottom w:w="0" w:type="dxa"/>
              <w:right w:w="108" w:type="dxa"/>
            </w:tcMar>
            <w:vAlign w:val="bottom"/>
            <w:hideMark/>
          </w:tcPr>
          <w:p w14:paraId="0C5F19E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Provisions</w:t>
            </w:r>
          </w:p>
        </w:tc>
        <w:tc>
          <w:tcPr>
            <w:tcW w:w="1279" w:type="dxa"/>
            <w:noWrap/>
            <w:tcMar>
              <w:top w:w="15" w:type="dxa"/>
              <w:left w:w="108" w:type="dxa"/>
              <w:bottom w:w="0" w:type="dxa"/>
              <w:right w:w="108" w:type="dxa"/>
            </w:tcMar>
            <w:vAlign w:val="bottom"/>
            <w:hideMark/>
          </w:tcPr>
          <w:p w14:paraId="377202F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5,519 </w:t>
            </w:r>
          </w:p>
        </w:tc>
        <w:tc>
          <w:tcPr>
            <w:tcW w:w="1134" w:type="dxa"/>
            <w:noWrap/>
            <w:tcMar>
              <w:top w:w="15" w:type="dxa"/>
              <w:left w:w="108" w:type="dxa"/>
              <w:bottom w:w="0" w:type="dxa"/>
              <w:right w:w="108" w:type="dxa"/>
            </w:tcMar>
            <w:vAlign w:val="bottom"/>
            <w:hideMark/>
          </w:tcPr>
          <w:p w14:paraId="2BE9B41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287 </w:t>
            </w:r>
          </w:p>
        </w:tc>
      </w:tr>
      <w:tr w:rsidR="00560745" w14:paraId="12507FFB" w14:textId="77777777" w:rsidTr="00D02968">
        <w:trPr>
          <w:trHeight w:val="320"/>
        </w:trPr>
        <w:tc>
          <w:tcPr>
            <w:tcW w:w="6518" w:type="dxa"/>
            <w:gridSpan w:val="2"/>
            <w:noWrap/>
            <w:tcMar>
              <w:top w:w="15" w:type="dxa"/>
              <w:left w:w="108" w:type="dxa"/>
              <w:bottom w:w="0" w:type="dxa"/>
              <w:right w:w="108" w:type="dxa"/>
            </w:tcMar>
            <w:vAlign w:val="center"/>
            <w:hideMark/>
          </w:tcPr>
          <w:p w14:paraId="1859D35C"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expenditure</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490E26F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661,929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3EF9DAE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440,771 </w:t>
            </w:r>
          </w:p>
        </w:tc>
      </w:tr>
      <w:tr w:rsidR="00560745" w14:paraId="70303009" w14:textId="77777777" w:rsidTr="00D02968">
        <w:trPr>
          <w:trHeight w:val="310"/>
        </w:trPr>
        <w:tc>
          <w:tcPr>
            <w:tcW w:w="6518" w:type="dxa"/>
            <w:gridSpan w:val="2"/>
            <w:noWrap/>
            <w:tcMar>
              <w:top w:w="15" w:type="dxa"/>
              <w:left w:w="108" w:type="dxa"/>
              <w:bottom w:w="0" w:type="dxa"/>
              <w:right w:w="108" w:type="dxa"/>
            </w:tcMar>
            <w:vAlign w:val="bottom"/>
            <w:hideMark/>
          </w:tcPr>
          <w:p w14:paraId="04D3A59B" w14:textId="77777777" w:rsidR="00560745" w:rsidRDefault="00560745">
            <w:pPr>
              <w:spacing w:after="0"/>
              <w:rPr>
                <w:kern w:val="0"/>
                <w:sz w:val="20"/>
                <w:szCs w:val="20"/>
                <w:lang w:eastAsia="en-GB"/>
                <w14:ligatures w14:val="none"/>
              </w:rPr>
            </w:pPr>
          </w:p>
        </w:tc>
        <w:tc>
          <w:tcPr>
            <w:tcW w:w="2413" w:type="dxa"/>
            <w:gridSpan w:val="2"/>
            <w:tcMar>
              <w:top w:w="15" w:type="dxa"/>
              <w:left w:w="108" w:type="dxa"/>
              <w:bottom w:w="0" w:type="dxa"/>
              <w:right w:w="108" w:type="dxa"/>
            </w:tcMar>
            <w:vAlign w:val="center"/>
            <w:hideMark/>
          </w:tcPr>
          <w:p w14:paraId="4684D019" w14:textId="77777777" w:rsidR="00560745" w:rsidRDefault="00560745">
            <w:pPr>
              <w:spacing w:after="0"/>
              <w:rPr>
                <w:kern w:val="0"/>
                <w:sz w:val="20"/>
                <w:szCs w:val="20"/>
                <w:lang w:eastAsia="en-GB"/>
                <w14:ligatures w14:val="none"/>
              </w:rPr>
            </w:pPr>
          </w:p>
        </w:tc>
      </w:tr>
      <w:tr w:rsidR="00560745" w14:paraId="2AEF0B58" w14:textId="77777777" w:rsidTr="007248EC">
        <w:trPr>
          <w:trHeight w:val="300"/>
        </w:trPr>
        <w:tc>
          <w:tcPr>
            <w:tcW w:w="8931" w:type="dxa"/>
            <w:gridSpan w:val="4"/>
            <w:tcMar>
              <w:top w:w="15" w:type="dxa"/>
              <w:left w:w="108" w:type="dxa"/>
              <w:bottom w:w="0" w:type="dxa"/>
              <w:right w:w="108" w:type="dxa"/>
            </w:tcMar>
            <w:hideMark/>
          </w:tcPr>
          <w:p w14:paraId="0A1035DD"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¹ The increase in RPS expenditure is driven by an increase in the volume of redundancy claims.</w:t>
            </w:r>
          </w:p>
        </w:tc>
      </w:tr>
      <w:tr w:rsidR="00560745" w14:paraId="47B6ED56" w14:textId="77777777" w:rsidTr="007248EC">
        <w:trPr>
          <w:trHeight w:val="450"/>
        </w:trPr>
        <w:tc>
          <w:tcPr>
            <w:tcW w:w="8931" w:type="dxa"/>
            <w:gridSpan w:val="4"/>
            <w:vMerge w:val="restart"/>
            <w:tcMar>
              <w:top w:w="15" w:type="dxa"/>
              <w:left w:w="108" w:type="dxa"/>
              <w:bottom w:w="0" w:type="dxa"/>
              <w:right w:w="108" w:type="dxa"/>
            </w:tcMar>
            <w:hideMark/>
          </w:tcPr>
          <w:p w14:paraId="35A64BCE"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² The £236k audit fee includes £198k (2022-23: £210k) for the year end external audit of these Accounts, as well as £38k (2022-23: £30k) to audit the Insolvency Services Account.</w:t>
            </w:r>
          </w:p>
        </w:tc>
      </w:tr>
      <w:tr w:rsidR="00560745" w14:paraId="26B2FE00" w14:textId="77777777" w:rsidTr="007248EC">
        <w:trPr>
          <w:trHeight w:val="450"/>
        </w:trPr>
        <w:tc>
          <w:tcPr>
            <w:tcW w:w="8931" w:type="dxa"/>
            <w:gridSpan w:val="4"/>
            <w:vMerge/>
            <w:vAlign w:val="center"/>
            <w:hideMark/>
          </w:tcPr>
          <w:p w14:paraId="7275A7CB" w14:textId="77777777" w:rsidR="00560745" w:rsidRDefault="00560745">
            <w:pPr>
              <w:spacing w:after="0"/>
              <w:rPr>
                <w:rFonts w:ascii="Times New Roman" w:eastAsia="Times New Roman" w:hAnsi="Times New Roman" w:cs="Times New Roman"/>
                <w:kern w:val="0"/>
                <w:sz w:val="20"/>
                <w:szCs w:val="20"/>
                <w:lang w:eastAsia="en-GB"/>
                <w14:ligatures w14:val="none"/>
              </w:rPr>
            </w:pPr>
          </w:p>
        </w:tc>
      </w:tr>
      <w:tr w:rsidR="00560745" w14:paraId="4E064A9D" w14:textId="77777777" w:rsidTr="00D02968">
        <w:trPr>
          <w:trHeight w:val="310"/>
        </w:trPr>
        <w:tc>
          <w:tcPr>
            <w:tcW w:w="6518" w:type="dxa"/>
            <w:gridSpan w:val="2"/>
            <w:tcMar>
              <w:top w:w="15" w:type="dxa"/>
              <w:left w:w="108" w:type="dxa"/>
              <w:bottom w:w="0" w:type="dxa"/>
              <w:right w:w="108" w:type="dxa"/>
            </w:tcMar>
            <w:hideMark/>
          </w:tcPr>
          <w:p w14:paraId="5D1DFAD1" w14:textId="77777777" w:rsidR="00560745" w:rsidRDefault="00560745">
            <w:pPr>
              <w:spacing w:after="0"/>
              <w:rPr>
                <w:kern w:val="0"/>
                <w:sz w:val="20"/>
                <w:szCs w:val="20"/>
                <w:lang w:eastAsia="en-GB"/>
                <w14:ligatures w14:val="none"/>
              </w:rPr>
            </w:pPr>
          </w:p>
        </w:tc>
        <w:tc>
          <w:tcPr>
            <w:tcW w:w="2413" w:type="dxa"/>
            <w:gridSpan w:val="2"/>
            <w:tcMar>
              <w:top w:w="15" w:type="dxa"/>
              <w:left w:w="108" w:type="dxa"/>
              <w:bottom w:w="0" w:type="dxa"/>
              <w:right w:w="108" w:type="dxa"/>
            </w:tcMar>
            <w:vAlign w:val="center"/>
            <w:hideMark/>
          </w:tcPr>
          <w:p w14:paraId="622C069B" w14:textId="77777777" w:rsidR="00560745" w:rsidRDefault="00560745">
            <w:pPr>
              <w:spacing w:after="0"/>
              <w:rPr>
                <w:kern w:val="0"/>
                <w:sz w:val="20"/>
                <w:szCs w:val="20"/>
                <w:lang w:eastAsia="en-GB"/>
                <w14:ligatures w14:val="none"/>
              </w:rPr>
            </w:pPr>
          </w:p>
        </w:tc>
      </w:tr>
    </w:tbl>
    <w:p w14:paraId="7A5E51EC" w14:textId="77777777" w:rsidR="006F010A" w:rsidRDefault="006F010A">
      <w:r>
        <w:br w:type="page"/>
      </w:r>
    </w:p>
    <w:tbl>
      <w:tblPr>
        <w:tblW w:w="8925" w:type="dxa"/>
        <w:tblLayout w:type="fixed"/>
        <w:tblLook w:val="04A0" w:firstRow="1" w:lastRow="0" w:firstColumn="1" w:lastColumn="0" w:noHBand="0" w:noVBand="1"/>
      </w:tblPr>
      <w:tblGrid>
        <w:gridCol w:w="6517"/>
        <w:gridCol w:w="2408"/>
      </w:tblGrid>
      <w:tr w:rsidR="00560745" w14:paraId="2CCCAA7F" w14:textId="77777777" w:rsidTr="005D3553">
        <w:trPr>
          <w:trHeight w:val="138"/>
        </w:trPr>
        <w:tc>
          <w:tcPr>
            <w:tcW w:w="6517" w:type="dxa"/>
            <w:tcMar>
              <w:top w:w="15" w:type="dxa"/>
              <w:left w:w="108" w:type="dxa"/>
              <w:bottom w:w="0" w:type="dxa"/>
              <w:right w:w="108" w:type="dxa"/>
            </w:tcMar>
            <w:vAlign w:val="bottom"/>
            <w:hideMark/>
          </w:tcPr>
          <w:p w14:paraId="7D03485A" w14:textId="77777777" w:rsidR="00560745" w:rsidRPr="004839AA" w:rsidRDefault="00560745">
            <w:pPr>
              <w:spacing w:after="0" w:line="240" w:lineRule="auto"/>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lastRenderedPageBreak/>
              <w:t>Redundancy Payments Service</w:t>
            </w:r>
          </w:p>
        </w:tc>
        <w:tc>
          <w:tcPr>
            <w:tcW w:w="2408" w:type="dxa"/>
            <w:tcMar>
              <w:top w:w="15" w:type="dxa"/>
              <w:left w:w="108" w:type="dxa"/>
              <w:bottom w:w="0" w:type="dxa"/>
              <w:right w:w="108" w:type="dxa"/>
            </w:tcMar>
            <w:vAlign w:val="center"/>
            <w:hideMark/>
          </w:tcPr>
          <w:p w14:paraId="01FB9D42" w14:textId="77777777" w:rsidR="00560745" w:rsidRPr="004839AA" w:rsidRDefault="00560745">
            <w:pPr>
              <w:rPr>
                <w:rFonts w:ascii="Arial" w:eastAsia="Times New Roman" w:hAnsi="Arial" w:cs="Arial"/>
                <w:b/>
                <w:bCs/>
                <w:kern w:val="0"/>
                <w:sz w:val="24"/>
                <w:szCs w:val="24"/>
                <w:lang w:eastAsia="en-GB"/>
                <w14:ligatures w14:val="none"/>
              </w:rPr>
            </w:pPr>
          </w:p>
        </w:tc>
      </w:tr>
      <w:tr w:rsidR="002D4D9E" w14:paraId="00877156" w14:textId="77777777" w:rsidTr="00D02968">
        <w:trPr>
          <w:trHeight w:val="6186"/>
        </w:trPr>
        <w:tc>
          <w:tcPr>
            <w:tcW w:w="8925" w:type="dxa"/>
            <w:gridSpan w:val="2"/>
            <w:tcMar>
              <w:top w:w="15" w:type="dxa"/>
              <w:left w:w="108" w:type="dxa"/>
              <w:bottom w:w="0" w:type="dxa"/>
              <w:right w:w="108" w:type="dxa"/>
            </w:tcMar>
            <w:hideMark/>
          </w:tcPr>
          <w:p w14:paraId="7B142A79" w14:textId="3177F28B" w:rsidR="002D4D9E" w:rsidRPr="004839AA"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 xml:space="preserve">The Agency is responsible for the approval and processing of claims under the RPS, which is financed from the National Insurance Fund (NIF). Redundancy payments are made by the Agency to employees whose employers have failed to make payments due or who were insolvent. The associated expenditure is paid on behalf of </w:t>
            </w:r>
            <w:r w:rsidR="006A12EE">
              <w:rPr>
                <w:rFonts w:ascii="Arial" w:eastAsia="Times New Roman" w:hAnsi="Arial" w:cs="Arial"/>
                <w:sz w:val="24"/>
                <w:szCs w:val="24"/>
              </w:rPr>
              <w:t>HM Revenue &amp; Customs</w:t>
            </w:r>
            <w:r w:rsidRPr="004839AA">
              <w:rPr>
                <w:rFonts w:ascii="Arial" w:eastAsia="Times New Roman" w:hAnsi="Arial" w:cs="Arial"/>
                <w:kern w:val="0"/>
                <w:sz w:val="24"/>
                <w:szCs w:val="24"/>
                <w:lang w:eastAsia="en-GB"/>
                <w14:ligatures w14:val="none"/>
              </w:rPr>
              <w:t>.</w:t>
            </w:r>
            <w:r>
              <w:rPr>
                <w:rFonts w:ascii="Arial" w:eastAsia="Times New Roman" w:hAnsi="Arial" w:cs="Arial"/>
                <w:kern w:val="0"/>
                <w:sz w:val="24"/>
                <w:szCs w:val="24"/>
                <w:lang w:eastAsia="en-GB"/>
                <w14:ligatures w14:val="none"/>
              </w:rPr>
              <w:br/>
            </w:r>
          </w:p>
          <w:p w14:paraId="17A6DA98" w14:textId="77777777" w:rsidR="002D4D9E" w:rsidRPr="004839AA"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There is associated income arising from two sources:</w:t>
            </w:r>
          </w:p>
          <w:p w14:paraId="771CC112" w14:textId="4C774073" w:rsidR="002D4D9E" w:rsidRPr="004839AA"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(a) solvent recovery: where monies are recovered for the NIF over a period of up to three years from companies, that are continuing to trade but would not be able to do so if they had to meet the full costs of redundancy payments at that time.</w:t>
            </w:r>
          </w:p>
          <w:p w14:paraId="485BB04E" w14:textId="5B6D493B" w:rsidR="002D4D9E" w:rsidRPr="004839AA" w:rsidRDefault="002D4D9E">
            <w:pPr>
              <w:spacing w:after="0" w:line="240" w:lineRule="auto"/>
              <w:rPr>
                <w:rFonts w:ascii="Arial" w:eastAsia="Times New Roman" w:hAnsi="Arial" w:cs="Arial"/>
                <w:kern w:val="0"/>
                <w:sz w:val="24"/>
                <w:szCs w:val="24"/>
                <w:lang w:eastAsia="en-GB"/>
                <w14:ligatures w14:val="none"/>
              </w:rPr>
            </w:pPr>
            <w:r w:rsidRPr="004839AA">
              <w:rPr>
                <w:rFonts w:ascii="Arial" w:eastAsia="Times New Roman" w:hAnsi="Arial" w:cs="Arial"/>
                <w:kern w:val="0"/>
                <w:sz w:val="24"/>
                <w:szCs w:val="24"/>
                <w:lang w:eastAsia="en-GB"/>
                <w14:ligatures w14:val="none"/>
              </w:rPr>
              <w:t>(b) insolvent recovery: the Agency becomes a creditor of the insolvent company in place of the employee and receives a dividend if there are sufficient funds to make a payment to creditors in the winding-up of the company.</w:t>
            </w:r>
            <w:r>
              <w:rPr>
                <w:rFonts w:ascii="Arial" w:eastAsia="Times New Roman" w:hAnsi="Arial" w:cs="Arial"/>
                <w:kern w:val="0"/>
                <w:sz w:val="24"/>
                <w:szCs w:val="24"/>
                <w:lang w:eastAsia="en-GB"/>
                <w14:ligatures w14:val="none"/>
              </w:rPr>
              <w:br/>
            </w:r>
            <w:r>
              <w:rPr>
                <w:rFonts w:ascii="Arial" w:eastAsia="Times New Roman" w:hAnsi="Arial" w:cs="Arial"/>
                <w:kern w:val="0"/>
                <w:sz w:val="24"/>
                <w:szCs w:val="24"/>
                <w:lang w:eastAsia="en-GB"/>
                <w14:ligatures w14:val="none"/>
              </w:rPr>
              <w:br/>
            </w:r>
            <w:r w:rsidRPr="004839AA">
              <w:rPr>
                <w:rFonts w:ascii="Arial" w:eastAsia="Times New Roman" w:hAnsi="Arial" w:cs="Arial"/>
                <w:kern w:val="0"/>
                <w:sz w:val="24"/>
                <w:szCs w:val="24"/>
                <w:lang w:eastAsia="en-GB"/>
                <w14:ligatures w14:val="none"/>
              </w:rPr>
              <w:t>Expenditure in respect of RPS is funded by the NIF who re-imburse the Agency on a daily basis for the claims paid out.</w:t>
            </w:r>
            <w:r>
              <w:rPr>
                <w:rFonts w:ascii="Arial" w:eastAsia="Times New Roman" w:hAnsi="Arial" w:cs="Arial"/>
                <w:kern w:val="0"/>
                <w:sz w:val="24"/>
                <w:szCs w:val="24"/>
                <w:lang w:eastAsia="en-GB"/>
                <w14:ligatures w14:val="none"/>
              </w:rPr>
              <w:br/>
            </w:r>
            <w:r>
              <w:rPr>
                <w:rFonts w:ascii="Arial" w:eastAsia="Times New Roman" w:hAnsi="Arial" w:cs="Arial"/>
                <w:kern w:val="0"/>
                <w:sz w:val="24"/>
                <w:szCs w:val="24"/>
                <w:lang w:eastAsia="en-GB"/>
                <w14:ligatures w14:val="none"/>
              </w:rPr>
              <w:br/>
            </w:r>
            <w:r w:rsidRPr="004839AA">
              <w:rPr>
                <w:rFonts w:ascii="Arial" w:eastAsia="Times New Roman" w:hAnsi="Arial" w:cs="Arial"/>
                <w:kern w:val="0"/>
                <w:sz w:val="24"/>
                <w:szCs w:val="24"/>
                <w:lang w:eastAsia="en-GB"/>
                <w14:ligatures w14:val="none"/>
              </w:rPr>
              <w:t>Most of the payments made are in respect of employees of insolvent companies and therefore most of the debt is unrecoverable. However, a small proportion (13%) of the debt is assessed as preferential, and has a higher recovery rate.</w:t>
            </w:r>
          </w:p>
        </w:tc>
      </w:tr>
    </w:tbl>
    <w:p w14:paraId="1F289F78" w14:textId="77777777" w:rsidR="00560745" w:rsidRDefault="00560745" w:rsidP="00560745">
      <w:pPr>
        <w:rPr>
          <w:rFonts w:ascii="Arial" w:hAnsi="Arial" w:cs="Arial"/>
          <w:sz w:val="24"/>
          <w:szCs w:val="24"/>
        </w:rPr>
      </w:pPr>
    </w:p>
    <w:p w14:paraId="3B98A04C" w14:textId="77777777" w:rsidR="00FB624B" w:rsidRDefault="00FB624B">
      <w:r>
        <w:br w:type="page"/>
      </w:r>
    </w:p>
    <w:tbl>
      <w:tblPr>
        <w:tblW w:w="8931" w:type="dxa"/>
        <w:tblLayout w:type="fixed"/>
        <w:tblLook w:val="04A0" w:firstRow="1" w:lastRow="0" w:firstColumn="1" w:lastColumn="0" w:noHBand="0" w:noVBand="1"/>
      </w:tblPr>
      <w:tblGrid>
        <w:gridCol w:w="561"/>
        <w:gridCol w:w="5995"/>
        <w:gridCol w:w="1119"/>
        <w:gridCol w:w="1256"/>
      </w:tblGrid>
      <w:tr w:rsidR="00560745" w14:paraId="184D03E4" w14:textId="77777777" w:rsidTr="007248EC">
        <w:trPr>
          <w:trHeight w:val="310"/>
        </w:trPr>
        <w:tc>
          <w:tcPr>
            <w:tcW w:w="567" w:type="dxa"/>
            <w:tcMar>
              <w:top w:w="15" w:type="dxa"/>
              <w:left w:w="108" w:type="dxa"/>
              <w:bottom w:w="0" w:type="dxa"/>
              <w:right w:w="108" w:type="dxa"/>
            </w:tcMar>
            <w:vAlign w:val="bottom"/>
            <w:hideMark/>
          </w:tcPr>
          <w:p w14:paraId="747A8EEA" w14:textId="0FFEC357" w:rsidR="00560745" w:rsidRPr="004839AA" w:rsidRDefault="00560745">
            <w:pPr>
              <w:spacing w:after="0" w:line="240" w:lineRule="auto"/>
              <w:ind w:firstLineChars="12" w:firstLine="29"/>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lastRenderedPageBreak/>
              <w:t>4</w:t>
            </w:r>
          </w:p>
        </w:tc>
        <w:tc>
          <w:tcPr>
            <w:tcW w:w="5950" w:type="dxa"/>
            <w:tcMar>
              <w:top w:w="15" w:type="dxa"/>
              <w:left w:w="108" w:type="dxa"/>
              <w:bottom w:w="0" w:type="dxa"/>
              <w:right w:w="108" w:type="dxa"/>
            </w:tcMar>
            <w:vAlign w:val="bottom"/>
            <w:hideMark/>
          </w:tcPr>
          <w:p w14:paraId="1CC99C6C" w14:textId="77777777" w:rsidR="00560745" w:rsidRPr="004839AA" w:rsidRDefault="00560745">
            <w:pPr>
              <w:spacing w:after="0" w:line="240" w:lineRule="auto"/>
              <w:rPr>
                <w:rFonts w:ascii="Arial" w:eastAsia="Times New Roman" w:hAnsi="Arial" w:cs="Arial"/>
                <w:b/>
                <w:bCs/>
                <w:kern w:val="0"/>
                <w:sz w:val="24"/>
                <w:szCs w:val="24"/>
                <w:lang w:eastAsia="en-GB"/>
                <w14:ligatures w14:val="none"/>
              </w:rPr>
            </w:pPr>
            <w:r w:rsidRPr="004839AA">
              <w:rPr>
                <w:rFonts w:ascii="Arial" w:eastAsia="Times New Roman" w:hAnsi="Arial" w:cs="Arial"/>
                <w:b/>
                <w:bCs/>
                <w:kern w:val="0"/>
                <w:sz w:val="24"/>
                <w:szCs w:val="24"/>
                <w:lang w:eastAsia="en-GB"/>
                <w14:ligatures w14:val="none"/>
              </w:rPr>
              <w:t>Income</w:t>
            </w:r>
          </w:p>
        </w:tc>
        <w:tc>
          <w:tcPr>
            <w:tcW w:w="2408" w:type="dxa"/>
            <w:gridSpan w:val="2"/>
            <w:tcMar>
              <w:top w:w="15" w:type="dxa"/>
              <w:left w:w="108" w:type="dxa"/>
              <w:bottom w:w="0" w:type="dxa"/>
              <w:right w:w="108" w:type="dxa"/>
            </w:tcMar>
            <w:vAlign w:val="center"/>
          </w:tcPr>
          <w:p w14:paraId="7D82A6FC"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p>
        </w:tc>
      </w:tr>
      <w:tr w:rsidR="00560745" w14:paraId="0199B8CE" w14:textId="77777777" w:rsidTr="007248EC">
        <w:trPr>
          <w:trHeight w:val="310"/>
        </w:trPr>
        <w:tc>
          <w:tcPr>
            <w:tcW w:w="6663" w:type="dxa"/>
            <w:gridSpan w:val="2"/>
            <w:noWrap/>
            <w:tcMar>
              <w:top w:w="15" w:type="dxa"/>
              <w:left w:w="108" w:type="dxa"/>
              <w:bottom w:w="0" w:type="dxa"/>
              <w:right w:w="108" w:type="dxa"/>
            </w:tcMar>
            <w:hideMark/>
          </w:tcPr>
          <w:p w14:paraId="1DD57698"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2133729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134" w:type="dxa"/>
            <w:noWrap/>
            <w:tcMar>
              <w:top w:w="15" w:type="dxa"/>
              <w:left w:w="108" w:type="dxa"/>
              <w:bottom w:w="0" w:type="dxa"/>
              <w:right w:w="108" w:type="dxa"/>
            </w:tcMar>
            <w:vAlign w:val="bottom"/>
            <w:hideMark/>
          </w:tcPr>
          <w:p w14:paraId="4DC1099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560745" w14:paraId="557F6F20" w14:textId="77777777" w:rsidTr="007248EC">
        <w:trPr>
          <w:trHeight w:val="310"/>
        </w:trPr>
        <w:tc>
          <w:tcPr>
            <w:tcW w:w="6663" w:type="dxa"/>
            <w:gridSpan w:val="2"/>
            <w:noWrap/>
            <w:tcMar>
              <w:top w:w="15" w:type="dxa"/>
              <w:left w:w="108" w:type="dxa"/>
              <w:bottom w:w="0" w:type="dxa"/>
              <w:right w:w="108" w:type="dxa"/>
            </w:tcMar>
            <w:hideMark/>
          </w:tcPr>
          <w:p w14:paraId="78926BB0" w14:textId="77777777" w:rsidR="00560745" w:rsidRDefault="00560745">
            <w:pPr>
              <w:spacing w:after="0"/>
              <w:rPr>
                <w:kern w:val="0"/>
                <w:sz w:val="20"/>
                <w:szCs w:val="20"/>
                <w:lang w:eastAsia="en-GB"/>
                <w14:ligatures w14:val="none"/>
              </w:rPr>
            </w:pPr>
          </w:p>
        </w:tc>
        <w:tc>
          <w:tcPr>
            <w:tcW w:w="1134" w:type="dxa"/>
            <w:tcBorders>
              <w:top w:val="nil"/>
              <w:left w:val="nil"/>
              <w:bottom w:val="single" w:sz="8" w:space="0" w:color="auto"/>
              <w:right w:val="nil"/>
            </w:tcBorders>
            <w:noWrap/>
            <w:tcMar>
              <w:top w:w="15" w:type="dxa"/>
              <w:left w:w="108" w:type="dxa"/>
              <w:bottom w:w="0" w:type="dxa"/>
              <w:right w:w="108" w:type="dxa"/>
            </w:tcMar>
            <w:vAlign w:val="bottom"/>
            <w:hideMark/>
          </w:tcPr>
          <w:p w14:paraId="243A42E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4" w:type="dxa"/>
            <w:tcBorders>
              <w:top w:val="nil"/>
              <w:left w:val="nil"/>
              <w:bottom w:val="single" w:sz="8" w:space="0" w:color="auto"/>
              <w:right w:val="nil"/>
            </w:tcBorders>
            <w:noWrap/>
            <w:tcMar>
              <w:top w:w="15" w:type="dxa"/>
              <w:left w:w="108" w:type="dxa"/>
              <w:bottom w:w="0" w:type="dxa"/>
              <w:right w:w="108" w:type="dxa"/>
            </w:tcMar>
            <w:vAlign w:val="bottom"/>
            <w:hideMark/>
          </w:tcPr>
          <w:p w14:paraId="6A262C5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4F87C4CA" w14:textId="77777777" w:rsidTr="007248EC">
        <w:trPr>
          <w:trHeight w:val="310"/>
        </w:trPr>
        <w:tc>
          <w:tcPr>
            <w:tcW w:w="6663" w:type="dxa"/>
            <w:gridSpan w:val="2"/>
            <w:noWrap/>
            <w:tcMar>
              <w:top w:w="15" w:type="dxa"/>
              <w:left w:w="108" w:type="dxa"/>
              <w:bottom w:w="0" w:type="dxa"/>
              <w:right w:w="108" w:type="dxa"/>
            </w:tcMar>
            <w:hideMark/>
          </w:tcPr>
          <w:p w14:paraId="18F21D48"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Income from contracts with customers:</w:t>
            </w:r>
          </w:p>
        </w:tc>
        <w:tc>
          <w:tcPr>
            <w:tcW w:w="1134" w:type="dxa"/>
            <w:noWrap/>
            <w:tcMar>
              <w:top w:w="15" w:type="dxa"/>
              <w:left w:w="108" w:type="dxa"/>
              <w:bottom w:w="0" w:type="dxa"/>
              <w:right w:w="108" w:type="dxa"/>
            </w:tcMar>
            <w:vAlign w:val="bottom"/>
            <w:hideMark/>
          </w:tcPr>
          <w:p w14:paraId="1B5A08E2" w14:textId="77777777" w:rsidR="00560745" w:rsidRDefault="00560745">
            <w:pPr>
              <w:rPr>
                <w:rFonts w:eastAsia="Times New Roman"/>
                <w:b/>
                <w:bCs/>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681382A4" w14:textId="77777777" w:rsidR="00560745" w:rsidRDefault="00560745">
            <w:pPr>
              <w:spacing w:after="0"/>
              <w:rPr>
                <w:kern w:val="0"/>
                <w:sz w:val="20"/>
                <w:szCs w:val="20"/>
                <w:lang w:eastAsia="en-GB"/>
                <w14:ligatures w14:val="none"/>
              </w:rPr>
            </w:pPr>
          </w:p>
        </w:tc>
      </w:tr>
      <w:tr w:rsidR="00560745" w14:paraId="6F34FA76" w14:textId="77777777" w:rsidTr="007248EC">
        <w:trPr>
          <w:trHeight w:val="310"/>
        </w:trPr>
        <w:tc>
          <w:tcPr>
            <w:tcW w:w="6663" w:type="dxa"/>
            <w:gridSpan w:val="2"/>
            <w:noWrap/>
            <w:tcMar>
              <w:top w:w="15" w:type="dxa"/>
              <w:left w:w="108" w:type="dxa"/>
              <w:bottom w:w="0" w:type="dxa"/>
              <w:right w:w="108" w:type="dxa"/>
            </w:tcMar>
            <w:vAlign w:val="bottom"/>
            <w:hideMark/>
          </w:tcPr>
          <w:p w14:paraId="4998240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Insolvency case administration:¹</w:t>
            </w:r>
          </w:p>
        </w:tc>
        <w:tc>
          <w:tcPr>
            <w:tcW w:w="1134" w:type="dxa"/>
            <w:noWrap/>
            <w:tcMar>
              <w:top w:w="15" w:type="dxa"/>
              <w:left w:w="108" w:type="dxa"/>
              <w:bottom w:w="0" w:type="dxa"/>
              <w:right w:w="108" w:type="dxa"/>
            </w:tcMar>
            <w:vAlign w:val="bottom"/>
            <w:hideMark/>
          </w:tcPr>
          <w:p w14:paraId="6CAAE82C" w14:textId="77777777" w:rsidR="00560745" w:rsidRDefault="00560745">
            <w:pPr>
              <w:rPr>
                <w:rFonts w:eastAsia="Times New Roman"/>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7399D2B2" w14:textId="77777777" w:rsidR="00560745" w:rsidRDefault="00560745">
            <w:pPr>
              <w:spacing w:after="0"/>
              <w:rPr>
                <w:kern w:val="0"/>
                <w:sz w:val="20"/>
                <w:szCs w:val="20"/>
                <w:lang w:eastAsia="en-GB"/>
                <w14:ligatures w14:val="none"/>
              </w:rPr>
            </w:pPr>
          </w:p>
        </w:tc>
      </w:tr>
      <w:tr w:rsidR="00560745" w14:paraId="7CB2FB59" w14:textId="77777777" w:rsidTr="007248EC">
        <w:trPr>
          <w:trHeight w:val="156"/>
        </w:trPr>
        <w:tc>
          <w:tcPr>
            <w:tcW w:w="6663" w:type="dxa"/>
            <w:gridSpan w:val="2"/>
            <w:tcMar>
              <w:top w:w="15" w:type="dxa"/>
              <w:left w:w="108" w:type="dxa"/>
              <w:bottom w:w="0" w:type="dxa"/>
              <w:right w:w="108" w:type="dxa"/>
            </w:tcMar>
            <w:vAlign w:val="bottom"/>
            <w:hideMark/>
          </w:tcPr>
          <w:p w14:paraId="738501E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Case administration income (pre-2016-17)²</w:t>
            </w:r>
          </w:p>
        </w:tc>
        <w:tc>
          <w:tcPr>
            <w:tcW w:w="1134" w:type="dxa"/>
            <w:noWrap/>
            <w:tcMar>
              <w:top w:w="15" w:type="dxa"/>
              <w:left w:w="108" w:type="dxa"/>
              <w:bottom w:w="0" w:type="dxa"/>
              <w:right w:w="108" w:type="dxa"/>
            </w:tcMar>
            <w:vAlign w:val="bottom"/>
            <w:hideMark/>
          </w:tcPr>
          <w:p w14:paraId="50A5D16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19,857 </w:t>
            </w:r>
          </w:p>
        </w:tc>
        <w:tc>
          <w:tcPr>
            <w:tcW w:w="1134" w:type="dxa"/>
            <w:noWrap/>
            <w:tcMar>
              <w:top w:w="15" w:type="dxa"/>
              <w:left w:w="108" w:type="dxa"/>
              <w:bottom w:w="0" w:type="dxa"/>
              <w:right w:w="108" w:type="dxa"/>
            </w:tcMar>
            <w:vAlign w:val="bottom"/>
            <w:hideMark/>
          </w:tcPr>
          <w:p w14:paraId="046047E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69,310 </w:t>
            </w:r>
          </w:p>
        </w:tc>
      </w:tr>
      <w:tr w:rsidR="00560745" w14:paraId="0316E2DE" w14:textId="77777777" w:rsidTr="007248EC">
        <w:trPr>
          <w:trHeight w:val="174"/>
        </w:trPr>
        <w:tc>
          <w:tcPr>
            <w:tcW w:w="6663" w:type="dxa"/>
            <w:gridSpan w:val="2"/>
            <w:noWrap/>
            <w:tcMar>
              <w:top w:w="15" w:type="dxa"/>
              <w:left w:w="108" w:type="dxa"/>
              <w:bottom w:w="0" w:type="dxa"/>
              <w:right w:w="108" w:type="dxa"/>
            </w:tcMar>
            <w:vAlign w:val="bottom"/>
            <w:hideMark/>
          </w:tcPr>
          <w:p w14:paraId="2B7AFF78"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Case administration income (post-2016-17): </w:t>
            </w:r>
          </w:p>
        </w:tc>
        <w:tc>
          <w:tcPr>
            <w:tcW w:w="1134" w:type="dxa"/>
            <w:noWrap/>
            <w:tcMar>
              <w:top w:w="15" w:type="dxa"/>
              <w:left w:w="108" w:type="dxa"/>
              <w:bottom w:w="0" w:type="dxa"/>
              <w:right w:w="108" w:type="dxa"/>
            </w:tcMar>
            <w:vAlign w:val="bottom"/>
            <w:hideMark/>
          </w:tcPr>
          <w:p w14:paraId="28A7681A" w14:textId="77777777" w:rsidR="00560745" w:rsidRDefault="00560745">
            <w:pPr>
              <w:rPr>
                <w:rFonts w:eastAsia="Times New Roman"/>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9516831" w14:textId="77777777" w:rsidR="00560745" w:rsidRDefault="00560745">
            <w:pPr>
              <w:spacing w:after="0"/>
              <w:rPr>
                <w:kern w:val="0"/>
                <w:sz w:val="20"/>
                <w:szCs w:val="20"/>
                <w:lang w:eastAsia="en-GB"/>
                <w14:ligatures w14:val="none"/>
              </w:rPr>
            </w:pPr>
          </w:p>
        </w:tc>
      </w:tr>
      <w:tr w:rsidR="00560745" w14:paraId="2F6F0AB6" w14:textId="77777777" w:rsidTr="007248EC">
        <w:trPr>
          <w:trHeight w:val="206"/>
        </w:trPr>
        <w:tc>
          <w:tcPr>
            <w:tcW w:w="6663" w:type="dxa"/>
            <w:gridSpan w:val="2"/>
            <w:noWrap/>
            <w:tcMar>
              <w:top w:w="15" w:type="dxa"/>
              <w:left w:w="108" w:type="dxa"/>
              <w:bottom w:w="0" w:type="dxa"/>
              <w:right w:w="108" w:type="dxa"/>
            </w:tcMar>
            <w:vAlign w:val="bottom"/>
            <w:hideMark/>
          </w:tcPr>
          <w:p w14:paraId="3AEAE3E1"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Administration fee</w:t>
            </w:r>
          </w:p>
        </w:tc>
        <w:tc>
          <w:tcPr>
            <w:tcW w:w="1134" w:type="dxa"/>
            <w:noWrap/>
            <w:tcMar>
              <w:top w:w="15" w:type="dxa"/>
              <w:left w:w="108" w:type="dxa"/>
              <w:bottom w:w="0" w:type="dxa"/>
              <w:right w:w="108" w:type="dxa"/>
            </w:tcMar>
            <w:vAlign w:val="bottom"/>
            <w:hideMark/>
          </w:tcPr>
          <w:p w14:paraId="6035152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18,494 </w:t>
            </w:r>
          </w:p>
        </w:tc>
        <w:tc>
          <w:tcPr>
            <w:tcW w:w="1134" w:type="dxa"/>
            <w:noWrap/>
            <w:tcMar>
              <w:top w:w="15" w:type="dxa"/>
              <w:left w:w="108" w:type="dxa"/>
              <w:bottom w:w="0" w:type="dxa"/>
              <w:right w:w="108" w:type="dxa"/>
            </w:tcMar>
            <w:vAlign w:val="bottom"/>
            <w:hideMark/>
          </w:tcPr>
          <w:p w14:paraId="6F79D1B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12,919 </w:t>
            </w:r>
          </w:p>
        </w:tc>
      </w:tr>
      <w:tr w:rsidR="00560745" w14:paraId="62D9DFFF" w14:textId="77777777" w:rsidTr="007248EC">
        <w:trPr>
          <w:trHeight w:val="83"/>
        </w:trPr>
        <w:tc>
          <w:tcPr>
            <w:tcW w:w="6663" w:type="dxa"/>
            <w:gridSpan w:val="2"/>
            <w:noWrap/>
            <w:tcMar>
              <w:top w:w="15" w:type="dxa"/>
              <w:left w:w="108" w:type="dxa"/>
              <w:bottom w:w="0" w:type="dxa"/>
              <w:right w:w="108" w:type="dxa"/>
            </w:tcMar>
            <w:vAlign w:val="bottom"/>
            <w:hideMark/>
          </w:tcPr>
          <w:p w14:paraId="1824116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General fee³</w:t>
            </w:r>
          </w:p>
        </w:tc>
        <w:tc>
          <w:tcPr>
            <w:tcW w:w="1134" w:type="dxa"/>
            <w:noWrap/>
            <w:tcMar>
              <w:top w:w="15" w:type="dxa"/>
              <w:left w:w="108" w:type="dxa"/>
              <w:bottom w:w="0" w:type="dxa"/>
              <w:right w:w="108" w:type="dxa"/>
            </w:tcMar>
            <w:vAlign w:val="bottom"/>
            <w:hideMark/>
          </w:tcPr>
          <w:p w14:paraId="3ABBE83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9,746 </w:t>
            </w:r>
          </w:p>
        </w:tc>
        <w:tc>
          <w:tcPr>
            <w:tcW w:w="1134" w:type="dxa"/>
            <w:noWrap/>
            <w:tcMar>
              <w:top w:w="15" w:type="dxa"/>
              <w:left w:w="108" w:type="dxa"/>
              <w:bottom w:w="0" w:type="dxa"/>
              <w:right w:w="108" w:type="dxa"/>
            </w:tcMar>
            <w:vAlign w:val="bottom"/>
            <w:hideMark/>
          </w:tcPr>
          <w:p w14:paraId="55C788D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7,711 </w:t>
            </w:r>
          </w:p>
        </w:tc>
      </w:tr>
      <w:tr w:rsidR="00560745" w14:paraId="1ACB889E" w14:textId="77777777" w:rsidTr="007248EC">
        <w:trPr>
          <w:trHeight w:val="256"/>
        </w:trPr>
        <w:tc>
          <w:tcPr>
            <w:tcW w:w="6663" w:type="dxa"/>
            <w:gridSpan w:val="2"/>
            <w:noWrap/>
            <w:tcMar>
              <w:top w:w="15" w:type="dxa"/>
              <w:left w:w="108" w:type="dxa"/>
              <w:bottom w:w="0" w:type="dxa"/>
              <w:right w:w="108" w:type="dxa"/>
            </w:tcMar>
            <w:vAlign w:val="bottom"/>
            <w:hideMark/>
          </w:tcPr>
          <w:p w14:paraId="69CA54F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Distribution (time and rate) fee</w:t>
            </w:r>
          </w:p>
        </w:tc>
        <w:tc>
          <w:tcPr>
            <w:tcW w:w="1134" w:type="dxa"/>
            <w:noWrap/>
            <w:tcMar>
              <w:top w:w="15" w:type="dxa"/>
              <w:left w:w="108" w:type="dxa"/>
              <w:bottom w:w="0" w:type="dxa"/>
              <w:right w:w="108" w:type="dxa"/>
            </w:tcMar>
            <w:vAlign w:val="bottom"/>
            <w:hideMark/>
          </w:tcPr>
          <w:p w14:paraId="122A617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320 </w:t>
            </w:r>
          </w:p>
        </w:tc>
        <w:tc>
          <w:tcPr>
            <w:tcW w:w="1134" w:type="dxa"/>
            <w:noWrap/>
            <w:tcMar>
              <w:top w:w="15" w:type="dxa"/>
              <w:left w:w="108" w:type="dxa"/>
              <w:bottom w:w="0" w:type="dxa"/>
              <w:right w:w="108" w:type="dxa"/>
            </w:tcMar>
            <w:vAlign w:val="bottom"/>
            <w:hideMark/>
          </w:tcPr>
          <w:p w14:paraId="7EEB0FD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246 </w:t>
            </w:r>
          </w:p>
        </w:tc>
      </w:tr>
      <w:tr w:rsidR="00560745" w14:paraId="4B768F75" w14:textId="77777777" w:rsidTr="007248EC">
        <w:trPr>
          <w:trHeight w:val="132"/>
        </w:trPr>
        <w:tc>
          <w:tcPr>
            <w:tcW w:w="6663" w:type="dxa"/>
            <w:gridSpan w:val="2"/>
            <w:noWrap/>
            <w:tcMar>
              <w:top w:w="15" w:type="dxa"/>
              <w:left w:w="108" w:type="dxa"/>
              <w:bottom w:w="0" w:type="dxa"/>
              <w:right w:w="108" w:type="dxa"/>
            </w:tcMar>
            <w:vAlign w:val="bottom"/>
            <w:hideMark/>
          </w:tcPr>
          <w:p w14:paraId="26CEDD8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Trustee liquidator fee - national interest cases⁴</w:t>
            </w:r>
          </w:p>
        </w:tc>
        <w:tc>
          <w:tcPr>
            <w:tcW w:w="1134" w:type="dxa"/>
            <w:noWrap/>
            <w:tcMar>
              <w:top w:w="15" w:type="dxa"/>
              <w:left w:w="108" w:type="dxa"/>
              <w:bottom w:w="0" w:type="dxa"/>
              <w:right w:w="108" w:type="dxa"/>
            </w:tcMar>
            <w:vAlign w:val="bottom"/>
            <w:hideMark/>
          </w:tcPr>
          <w:p w14:paraId="69153E4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7,000 </w:t>
            </w:r>
          </w:p>
        </w:tc>
        <w:tc>
          <w:tcPr>
            <w:tcW w:w="1134" w:type="dxa"/>
            <w:noWrap/>
            <w:tcMar>
              <w:top w:w="15" w:type="dxa"/>
              <w:left w:w="108" w:type="dxa"/>
              <w:bottom w:w="0" w:type="dxa"/>
              <w:right w:w="108" w:type="dxa"/>
            </w:tcMar>
            <w:vAlign w:val="bottom"/>
            <w:hideMark/>
          </w:tcPr>
          <w:p w14:paraId="6F026F5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16,165 </w:t>
            </w:r>
          </w:p>
        </w:tc>
      </w:tr>
      <w:tr w:rsidR="00560745" w14:paraId="7E7648A2" w14:textId="77777777" w:rsidTr="007248EC">
        <w:trPr>
          <w:trHeight w:val="150"/>
        </w:trPr>
        <w:tc>
          <w:tcPr>
            <w:tcW w:w="6663" w:type="dxa"/>
            <w:gridSpan w:val="2"/>
            <w:noWrap/>
            <w:tcMar>
              <w:top w:w="15" w:type="dxa"/>
              <w:left w:w="108" w:type="dxa"/>
              <w:bottom w:w="0" w:type="dxa"/>
              <w:right w:w="108" w:type="dxa"/>
            </w:tcMar>
            <w:vAlign w:val="bottom"/>
            <w:hideMark/>
          </w:tcPr>
          <w:p w14:paraId="73ABBC5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Trustee liquidator fee - business as usual</w:t>
            </w:r>
          </w:p>
        </w:tc>
        <w:tc>
          <w:tcPr>
            <w:tcW w:w="1134" w:type="dxa"/>
            <w:noWrap/>
            <w:tcMar>
              <w:top w:w="15" w:type="dxa"/>
              <w:left w:w="108" w:type="dxa"/>
              <w:bottom w:w="0" w:type="dxa"/>
              <w:right w:w="108" w:type="dxa"/>
            </w:tcMar>
            <w:vAlign w:val="bottom"/>
            <w:hideMark/>
          </w:tcPr>
          <w:p w14:paraId="1E65F69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4,960 </w:t>
            </w:r>
          </w:p>
        </w:tc>
        <w:tc>
          <w:tcPr>
            <w:tcW w:w="1134" w:type="dxa"/>
            <w:noWrap/>
            <w:tcMar>
              <w:top w:w="15" w:type="dxa"/>
              <w:left w:w="108" w:type="dxa"/>
              <w:bottom w:w="0" w:type="dxa"/>
              <w:right w:w="108" w:type="dxa"/>
            </w:tcMar>
            <w:vAlign w:val="bottom"/>
            <w:hideMark/>
          </w:tcPr>
          <w:p w14:paraId="48B2626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3,387 </w:t>
            </w:r>
          </w:p>
        </w:tc>
      </w:tr>
      <w:tr w:rsidR="00560745" w14:paraId="6403BDB9" w14:textId="77777777" w:rsidTr="007248EC">
        <w:trPr>
          <w:trHeight w:val="168"/>
        </w:trPr>
        <w:tc>
          <w:tcPr>
            <w:tcW w:w="6663" w:type="dxa"/>
            <w:gridSpan w:val="2"/>
            <w:noWrap/>
            <w:tcMar>
              <w:top w:w="15" w:type="dxa"/>
              <w:left w:w="108" w:type="dxa"/>
              <w:bottom w:w="0" w:type="dxa"/>
              <w:right w:w="108" w:type="dxa"/>
            </w:tcMar>
            <w:vAlign w:val="bottom"/>
            <w:hideMark/>
          </w:tcPr>
          <w:p w14:paraId="538F5BD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RPS recoveries⁵</w:t>
            </w:r>
          </w:p>
        </w:tc>
        <w:tc>
          <w:tcPr>
            <w:tcW w:w="1134" w:type="dxa"/>
            <w:noWrap/>
            <w:tcMar>
              <w:top w:w="15" w:type="dxa"/>
              <w:left w:w="108" w:type="dxa"/>
              <w:bottom w:w="0" w:type="dxa"/>
              <w:right w:w="108" w:type="dxa"/>
            </w:tcMar>
            <w:vAlign w:val="bottom"/>
            <w:hideMark/>
          </w:tcPr>
          <w:p w14:paraId="3DC2FE1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39,813 </w:t>
            </w:r>
          </w:p>
        </w:tc>
        <w:tc>
          <w:tcPr>
            <w:tcW w:w="1134" w:type="dxa"/>
            <w:noWrap/>
            <w:tcMar>
              <w:top w:w="15" w:type="dxa"/>
              <w:left w:w="108" w:type="dxa"/>
              <w:bottom w:w="0" w:type="dxa"/>
              <w:right w:w="108" w:type="dxa"/>
            </w:tcMar>
            <w:vAlign w:val="bottom"/>
            <w:hideMark/>
          </w:tcPr>
          <w:p w14:paraId="7C9B11B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28,507 </w:t>
            </w:r>
          </w:p>
        </w:tc>
      </w:tr>
      <w:tr w:rsidR="00560745" w14:paraId="623049CB" w14:textId="77777777" w:rsidTr="007248EC">
        <w:trPr>
          <w:trHeight w:val="186"/>
        </w:trPr>
        <w:tc>
          <w:tcPr>
            <w:tcW w:w="6663" w:type="dxa"/>
            <w:gridSpan w:val="2"/>
            <w:noWrap/>
            <w:tcMar>
              <w:top w:w="15" w:type="dxa"/>
              <w:left w:w="108" w:type="dxa"/>
              <w:bottom w:w="0" w:type="dxa"/>
              <w:right w:w="108" w:type="dxa"/>
            </w:tcMar>
            <w:vAlign w:val="bottom"/>
            <w:hideMark/>
          </w:tcPr>
          <w:p w14:paraId="4BFC5FA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Debt relief order administration fee</w:t>
            </w:r>
          </w:p>
        </w:tc>
        <w:tc>
          <w:tcPr>
            <w:tcW w:w="1134" w:type="dxa"/>
            <w:noWrap/>
            <w:tcMar>
              <w:top w:w="15" w:type="dxa"/>
              <w:left w:w="108" w:type="dxa"/>
              <w:bottom w:w="0" w:type="dxa"/>
              <w:right w:w="108" w:type="dxa"/>
            </w:tcMar>
            <w:vAlign w:val="bottom"/>
            <w:hideMark/>
          </w:tcPr>
          <w:p w14:paraId="2BEFA5B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2,969 </w:t>
            </w:r>
          </w:p>
        </w:tc>
        <w:tc>
          <w:tcPr>
            <w:tcW w:w="1134" w:type="dxa"/>
            <w:noWrap/>
            <w:tcMar>
              <w:top w:w="15" w:type="dxa"/>
              <w:left w:w="108" w:type="dxa"/>
              <w:bottom w:w="0" w:type="dxa"/>
              <w:right w:w="108" w:type="dxa"/>
            </w:tcMar>
            <w:vAlign w:val="bottom"/>
            <w:hideMark/>
          </w:tcPr>
          <w:p w14:paraId="23B497C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2,198 </w:t>
            </w:r>
          </w:p>
        </w:tc>
      </w:tr>
      <w:tr w:rsidR="00560745" w14:paraId="51C6704E" w14:textId="77777777" w:rsidTr="007248EC">
        <w:trPr>
          <w:trHeight w:val="218"/>
        </w:trPr>
        <w:tc>
          <w:tcPr>
            <w:tcW w:w="6663" w:type="dxa"/>
            <w:gridSpan w:val="2"/>
            <w:noWrap/>
            <w:tcMar>
              <w:top w:w="15" w:type="dxa"/>
              <w:left w:w="108" w:type="dxa"/>
              <w:bottom w:w="0" w:type="dxa"/>
              <w:right w:w="108" w:type="dxa"/>
            </w:tcMar>
            <w:vAlign w:val="bottom"/>
            <w:hideMark/>
          </w:tcPr>
          <w:p w14:paraId="1EDE608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Investigation and enforcement:</w:t>
            </w:r>
          </w:p>
        </w:tc>
        <w:tc>
          <w:tcPr>
            <w:tcW w:w="1134" w:type="dxa"/>
            <w:noWrap/>
            <w:tcMar>
              <w:top w:w="15" w:type="dxa"/>
              <w:left w:w="108" w:type="dxa"/>
              <w:bottom w:w="0" w:type="dxa"/>
              <w:right w:w="108" w:type="dxa"/>
            </w:tcMar>
            <w:vAlign w:val="bottom"/>
            <w:hideMark/>
          </w:tcPr>
          <w:p w14:paraId="54295E20" w14:textId="77777777" w:rsidR="00560745" w:rsidRDefault="00560745">
            <w:pPr>
              <w:rPr>
                <w:rFonts w:eastAsia="Times New Roman"/>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520CD7FA" w14:textId="77777777" w:rsidR="00560745" w:rsidRDefault="00560745">
            <w:pPr>
              <w:spacing w:after="0"/>
              <w:rPr>
                <w:kern w:val="0"/>
                <w:sz w:val="20"/>
                <w:szCs w:val="20"/>
                <w:lang w:eastAsia="en-GB"/>
                <w14:ligatures w14:val="none"/>
              </w:rPr>
            </w:pPr>
          </w:p>
        </w:tc>
      </w:tr>
      <w:tr w:rsidR="00560745" w14:paraId="67BFF0A9" w14:textId="77777777" w:rsidTr="007248EC">
        <w:trPr>
          <w:trHeight w:val="250"/>
        </w:trPr>
        <w:tc>
          <w:tcPr>
            <w:tcW w:w="6663" w:type="dxa"/>
            <w:gridSpan w:val="2"/>
            <w:noWrap/>
            <w:tcMar>
              <w:top w:w="15" w:type="dxa"/>
              <w:left w:w="108" w:type="dxa"/>
              <w:bottom w:w="0" w:type="dxa"/>
              <w:right w:w="108" w:type="dxa"/>
            </w:tcMar>
            <w:vAlign w:val="bottom"/>
            <w:hideMark/>
          </w:tcPr>
          <w:p w14:paraId="5D3F7EC9"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Civil recoveries</w:t>
            </w:r>
          </w:p>
        </w:tc>
        <w:tc>
          <w:tcPr>
            <w:tcW w:w="1134" w:type="dxa"/>
            <w:noWrap/>
            <w:tcMar>
              <w:top w:w="15" w:type="dxa"/>
              <w:left w:w="108" w:type="dxa"/>
              <w:bottom w:w="0" w:type="dxa"/>
              <w:right w:w="108" w:type="dxa"/>
            </w:tcMar>
            <w:vAlign w:val="bottom"/>
            <w:hideMark/>
          </w:tcPr>
          <w:p w14:paraId="67EFCA7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4,450 </w:t>
            </w:r>
          </w:p>
        </w:tc>
        <w:tc>
          <w:tcPr>
            <w:tcW w:w="1134" w:type="dxa"/>
            <w:noWrap/>
            <w:tcMar>
              <w:top w:w="15" w:type="dxa"/>
              <w:left w:w="108" w:type="dxa"/>
              <w:bottom w:w="0" w:type="dxa"/>
              <w:right w:w="108" w:type="dxa"/>
            </w:tcMar>
            <w:vAlign w:val="bottom"/>
            <w:hideMark/>
          </w:tcPr>
          <w:p w14:paraId="75375B8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1,447 </w:t>
            </w:r>
          </w:p>
        </w:tc>
      </w:tr>
      <w:tr w:rsidR="00560745" w14:paraId="78FE6C88" w14:textId="77777777" w:rsidTr="007248EC">
        <w:trPr>
          <w:trHeight w:val="126"/>
        </w:trPr>
        <w:tc>
          <w:tcPr>
            <w:tcW w:w="6663" w:type="dxa"/>
            <w:gridSpan w:val="2"/>
            <w:noWrap/>
            <w:tcMar>
              <w:top w:w="15" w:type="dxa"/>
              <w:left w:w="108" w:type="dxa"/>
              <w:bottom w:w="0" w:type="dxa"/>
              <w:right w:w="108" w:type="dxa"/>
            </w:tcMar>
            <w:vAlign w:val="bottom"/>
            <w:hideMark/>
          </w:tcPr>
          <w:p w14:paraId="5DBC0A8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Criminal recoveries </w:t>
            </w:r>
          </w:p>
        </w:tc>
        <w:tc>
          <w:tcPr>
            <w:tcW w:w="1134" w:type="dxa"/>
            <w:noWrap/>
            <w:tcMar>
              <w:top w:w="15" w:type="dxa"/>
              <w:left w:w="108" w:type="dxa"/>
              <w:bottom w:w="0" w:type="dxa"/>
              <w:right w:w="108" w:type="dxa"/>
            </w:tcMar>
            <w:vAlign w:val="bottom"/>
            <w:hideMark/>
          </w:tcPr>
          <w:p w14:paraId="11EBB92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270 </w:t>
            </w:r>
          </w:p>
        </w:tc>
        <w:tc>
          <w:tcPr>
            <w:tcW w:w="1134" w:type="dxa"/>
            <w:noWrap/>
            <w:tcMar>
              <w:top w:w="15" w:type="dxa"/>
              <w:left w:w="108" w:type="dxa"/>
              <w:bottom w:w="0" w:type="dxa"/>
              <w:right w:w="108" w:type="dxa"/>
            </w:tcMar>
            <w:vAlign w:val="bottom"/>
            <w:hideMark/>
          </w:tcPr>
          <w:p w14:paraId="1B2BC3A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234 </w:t>
            </w:r>
          </w:p>
        </w:tc>
      </w:tr>
      <w:tr w:rsidR="00560745" w14:paraId="3B0E5EB9" w14:textId="77777777" w:rsidTr="007248EC">
        <w:trPr>
          <w:trHeight w:val="144"/>
        </w:trPr>
        <w:tc>
          <w:tcPr>
            <w:tcW w:w="6663" w:type="dxa"/>
            <w:gridSpan w:val="2"/>
            <w:noWrap/>
            <w:tcMar>
              <w:top w:w="15" w:type="dxa"/>
              <w:left w:w="108" w:type="dxa"/>
              <w:bottom w:w="0" w:type="dxa"/>
              <w:right w:w="108" w:type="dxa"/>
            </w:tcMar>
            <w:vAlign w:val="bottom"/>
            <w:hideMark/>
          </w:tcPr>
          <w:p w14:paraId="5209F3E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Individual voluntary arrangements and deeds of arrangements</w:t>
            </w:r>
          </w:p>
        </w:tc>
        <w:tc>
          <w:tcPr>
            <w:tcW w:w="1134" w:type="dxa"/>
            <w:noWrap/>
            <w:tcMar>
              <w:top w:w="15" w:type="dxa"/>
              <w:left w:w="108" w:type="dxa"/>
              <w:bottom w:w="0" w:type="dxa"/>
              <w:right w:w="108" w:type="dxa"/>
            </w:tcMar>
            <w:vAlign w:val="bottom"/>
            <w:hideMark/>
          </w:tcPr>
          <w:p w14:paraId="62E00AC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936 </w:t>
            </w:r>
          </w:p>
        </w:tc>
        <w:tc>
          <w:tcPr>
            <w:tcW w:w="1134" w:type="dxa"/>
            <w:noWrap/>
            <w:tcMar>
              <w:top w:w="15" w:type="dxa"/>
              <w:left w:w="108" w:type="dxa"/>
              <w:bottom w:w="0" w:type="dxa"/>
              <w:right w:w="108" w:type="dxa"/>
            </w:tcMar>
            <w:vAlign w:val="bottom"/>
            <w:hideMark/>
          </w:tcPr>
          <w:p w14:paraId="4809CD1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1,276 </w:t>
            </w:r>
          </w:p>
        </w:tc>
      </w:tr>
      <w:tr w:rsidR="00560745" w14:paraId="5A65BF97" w14:textId="77777777" w:rsidTr="007248EC">
        <w:trPr>
          <w:trHeight w:val="176"/>
        </w:trPr>
        <w:tc>
          <w:tcPr>
            <w:tcW w:w="6663" w:type="dxa"/>
            <w:gridSpan w:val="2"/>
            <w:noWrap/>
            <w:tcMar>
              <w:top w:w="15" w:type="dxa"/>
              <w:left w:w="108" w:type="dxa"/>
              <w:bottom w:w="0" w:type="dxa"/>
              <w:right w:w="108" w:type="dxa"/>
            </w:tcMar>
            <w:vAlign w:val="bottom"/>
            <w:hideMark/>
          </w:tcPr>
          <w:p w14:paraId="1A1DD51A"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Regulation of insolvency practitioners</w:t>
            </w:r>
          </w:p>
        </w:tc>
        <w:tc>
          <w:tcPr>
            <w:tcW w:w="1134" w:type="dxa"/>
            <w:noWrap/>
            <w:tcMar>
              <w:top w:w="15" w:type="dxa"/>
              <w:left w:w="108" w:type="dxa"/>
              <w:bottom w:w="0" w:type="dxa"/>
              <w:right w:w="108" w:type="dxa"/>
            </w:tcMar>
            <w:vAlign w:val="bottom"/>
            <w:hideMark/>
          </w:tcPr>
          <w:p w14:paraId="0585150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830 </w:t>
            </w:r>
          </w:p>
        </w:tc>
        <w:tc>
          <w:tcPr>
            <w:tcW w:w="1134" w:type="dxa"/>
            <w:noWrap/>
            <w:tcMar>
              <w:top w:w="15" w:type="dxa"/>
              <w:left w:w="108" w:type="dxa"/>
              <w:bottom w:w="0" w:type="dxa"/>
              <w:right w:w="108" w:type="dxa"/>
            </w:tcMar>
            <w:vAlign w:val="bottom"/>
            <w:hideMark/>
          </w:tcPr>
          <w:p w14:paraId="5D85359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821 </w:t>
            </w:r>
          </w:p>
        </w:tc>
      </w:tr>
      <w:tr w:rsidR="00560745" w14:paraId="3D2307EE" w14:textId="77777777" w:rsidTr="007248EC">
        <w:trPr>
          <w:trHeight w:val="195"/>
        </w:trPr>
        <w:tc>
          <w:tcPr>
            <w:tcW w:w="6663" w:type="dxa"/>
            <w:gridSpan w:val="2"/>
            <w:noWrap/>
            <w:tcMar>
              <w:top w:w="15" w:type="dxa"/>
              <w:left w:w="108" w:type="dxa"/>
              <w:bottom w:w="0" w:type="dxa"/>
              <w:right w:w="108" w:type="dxa"/>
            </w:tcMar>
            <w:vAlign w:val="bottom"/>
            <w:hideMark/>
          </w:tcPr>
          <w:p w14:paraId="5562D7F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Rental income</w:t>
            </w:r>
          </w:p>
        </w:tc>
        <w:tc>
          <w:tcPr>
            <w:tcW w:w="1134" w:type="dxa"/>
            <w:noWrap/>
            <w:tcMar>
              <w:top w:w="15" w:type="dxa"/>
              <w:left w:w="108" w:type="dxa"/>
              <w:bottom w:w="0" w:type="dxa"/>
              <w:right w:w="108" w:type="dxa"/>
            </w:tcMar>
            <w:vAlign w:val="bottom"/>
            <w:hideMark/>
          </w:tcPr>
          <w:p w14:paraId="4C03409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341 </w:t>
            </w:r>
          </w:p>
        </w:tc>
        <w:tc>
          <w:tcPr>
            <w:tcW w:w="1134" w:type="dxa"/>
            <w:noWrap/>
            <w:tcMar>
              <w:top w:w="15" w:type="dxa"/>
              <w:left w:w="108" w:type="dxa"/>
              <w:bottom w:w="0" w:type="dxa"/>
              <w:right w:w="108" w:type="dxa"/>
            </w:tcMar>
            <w:vAlign w:val="bottom"/>
            <w:hideMark/>
          </w:tcPr>
          <w:p w14:paraId="33D2E83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805 </w:t>
            </w:r>
          </w:p>
        </w:tc>
      </w:tr>
      <w:tr w:rsidR="00560745" w14:paraId="27A5512A" w14:textId="77777777" w:rsidTr="007248EC">
        <w:trPr>
          <w:trHeight w:val="226"/>
        </w:trPr>
        <w:tc>
          <w:tcPr>
            <w:tcW w:w="6663" w:type="dxa"/>
            <w:gridSpan w:val="2"/>
            <w:noWrap/>
            <w:tcMar>
              <w:top w:w="15" w:type="dxa"/>
              <w:left w:w="108" w:type="dxa"/>
              <w:bottom w:w="0" w:type="dxa"/>
              <w:right w:w="108" w:type="dxa"/>
            </w:tcMar>
            <w:vAlign w:val="bottom"/>
            <w:hideMark/>
          </w:tcPr>
          <w:p w14:paraId="4363A10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Online Debt Solutions</w:t>
            </w:r>
          </w:p>
        </w:tc>
        <w:tc>
          <w:tcPr>
            <w:tcW w:w="1134" w:type="dxa"/>
            <w:noWrap/>
            <w:tcMar>
              <w:top w:w="15" w:type="dxa"/>
              <w:left w:w="108" w:type="dxa"/>
              <w:bottom w:w="0" w:type="dxa"/>
              <w:right w:w="108" w:type="dxa"/>
            </w:tcMar>
            <w:vAlign w:val="bottom"/>
            <w:hideMark/>
          </w:tcPr>
          <w:p w14:paraId="6024ACD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806 </w:t>
            </w:r>
          </w:p>
        </w:tc>
        <w:tc>
          <w:tcPr>
            <w:tcW w:w="1134" w:type="dxa"/>
            <w:noWrap/>
            <w:tcMar>
              <w:top w:w="15" w:type="dxa"/>
              <w:left w:w="108" w:type="dxa"/>
              <w:bottom w:w="0" w:type="dxa"/>
              <w:right w:w="108" w:type="dxa"/>
            </w:tcMar>
            <w:vAlign w:val="bottom"/>
            <w:hideMark/>
          </w:tcPr>
          <w:p w14:paraId="7A08334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730 </w:t>
            </w:r>
          </w:p>
        </w:tc>
      </w:tr>
      <w:tr w:rsidR="00560745" w14:paraId="6F23F122" w14:textId="77777777" w:rsidTr="007248EC">
        <w:trPr>
          <w:trHeight w:val="300"/>
        </w:trPr>
        <w:tc>
          <w:tcPr>
            <w:tcW w:w="6663" w:type="dxa"/>
            <w:gridSpan w:val="2"/>
            <w:noWrap/>
            <w:tcMar>
              <w:top w:w="15" w:type="dxa"/>
              <w:left w:w="108" w:type="dxa"/>
              <w:bottom w:w="0" w:type="dxa"/>
              <w:right w:w="108" w:type="dxa"/>
            </w:tcMar>
            <w:vAlign w:val="bottom"/>
            <w:hideMark/>
          </w:tcPr>
          <w:p w14:paraId="649860B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Estates accounts </w:t>
            </w:r>
          </w:p>
        </w:tc>
        <w:tc>
          <w:tcPr>
            <w:tcW w:w="1134" w:type="dxa"/>
            <w:noWrap/>
            <w:tcMar>
              <w:top w:w="15" w:type="dxa"/>
              <w:left w:w="108" w:type="dxa"/>
              <w:bottom w:w="0" w:type="dxa"/>
              <w:right w:w="108" w:type="dxa"/>
            </w:tcMar>
            <w:vAlign w:val="bottom"/>
            <w:hideMark/>
          </w:tcPr>
          <w:p w14:paraId="44C2B08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639 </w:t>
            </w:r>
          </w:p>
        </w:tc>
        <w:tc>
          <w:tcPr>
            <w:tcW w:w="1134" w:type="dxa"/>
            <w:noWrap/>
            <w:tcMar>
              <w:top w:w="15" w:type="dxa"/>
              <w:left w:w="108" w:type="dxa"/>
              <w:bottom w:w="0" w:type="dxa"/>
              <w:right w:w="108" w:type="dxa"/>
            </w:tcMar>
            <w:vAlign w:val="bottom"/>
            <w:hideMark/>
          </w:tcPr>
          <w:p w14:paraId="7BFB34C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589 </w:t>
            </w:r>
          </w:p>
        </w:tc>
      </w:tr>
      <w:tr w:rsidR="00560745" w14:paraId="1F70EC97" w14:textId="77777777" w:rsidTr="007248EC">
        <w:trPr>
          <w:trHeight w:val="300"/>
        </w:trPr>
        <w:tc>
          <w:tcPr>
            <w:tcW w:w="6663" w:type="dxa"/>
            <w:gridSpan w:val="2"/>
            <w:noWrap/>
            <w:tcMar>
              <w:top w:w="15" w:type="dxa"/>
              <w:left w:w="108" w:type="dxa"/>
              <w:bottom w:w="0" w:type="dxa"/>
              <w:right w:w="108" w:type="dxa"/>
            </w:tcMar>
            <w:vAlign w:val="bottom"/>
            <w:hideMark/>
          </w:tcPr>
          <w:p w14:paraId="37A9F58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Miscellaneous income</w:t>
            </w:r>
          </w:p>
        </w:tc>
        <w:tc>
          <w:tcPr>
            <w:tcW w:w="1134" w:type="dxa"/>
            <w:noWrap/>
            <w:tcMar>
              <w:top w:w="15" w:type="dxa"/>
              <w:left w:w="108" w:type="dxa"/>
              <w:bottom w:w="0" w:type="dxa"/>
              <w:right w:w="108" w:type="dxa"/>
            </w:tcMar>
            <w:vAlign w:val="bottom"/>
            <w:hideMark/>
          </w:tcPr>
          <w:p w14:paraId="0E3D17C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 </w:t>
            </w:r>
          </w:p>
        </w:tc>
        <w:tc>
          <w:tcPr>
            <w:tcW w:w="1134" w:type="dxa"/>
            <w:noWrap/>
            <w:tcMar>
              <w:top w:w="15" w:type="dxa"/>
              <w:left w:w="108" w:type="dxa"/>
              <w:bottom w:w="0" w:type="dxa"/>
              <w:right w:w="108" w:type="dxa"/>
            </w:tcMar>
            <w:vAlign w:val="bottom"/>
            <w:hideMark/>
          </w:tcPr>
          <w:p w14:paraId="58C52D8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 </w:t>
            </w:r>
          </w:p>
        </w:tc>
      </w:tr>
      <w:tr w:rsidR="00560745" w14:paraId="563B9A05" w14:textId="77777777" w:rsidTr="007248EC">
        <w:trPr>
          <w:trHeight w:val="300"/>
        </w:trPr>
        <w:tc>
          <w:tcPr>
            <w:tcW w:w="6663" w:type="dxa"/>
            <w:gridSpan w:val="2"/>
            <w:noWrap/>
            <w:tcMar>
              <w:top w:w="15" w:type="dxa"/>
              <w:left w:w="108" w:type="dxa"/>
              <w:bottom w:w="0" w:type="dxa"/>
              <w:right w:w="108" w:type="dxa"/>
            </w:tcMar>
            <w:vAlign w:val="bottom"/>
            <w:hideMark/>
          </w:tcPr>
          <w:p w14:paraId="56F6226E"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Discounting costs</w:t>
            </w:r>
          </w:p>
        </w:tc>
        <w:tc>
          <w:tcPr>
            <w:tcW w:w="1134" w:type="dxa"/>
            <w:noWrap/>
            <w:tcMar>
              <w:top w:w="15" w:type="dxa"/>
              <w:left w:w="108" w:type="dxa"/>
              <w:bottom w:w="0" w:type="dxa"/>
              <w:right w:w="108" w:type="dxa"/>
            </w:tcMar>
            <w:vAlign w:val="bottom"/>
            <w:hideMark/>
          </w:tcPr>
          <w:p w14:paraId="3B93B7E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(1,003) </w:t>
            </w:r>
          </w:p>
        </w:tc>
        <w:tc>
          <w:tcPr>
            <w:tcW w:w="1134" w:type="dxa"/>
            <w:noWrap/>
            <w:tcMar>
              <w:top w:w="15" w:type="dxa"/>
              <w:left w:w="108" w:type="dxa"/>
              <w:bottom w:w="0" w:type="dxa"/>
              <w:right w:w="108" w:type="dxa"/>
            </w:tcMar>
            <w:vAlign w:val="bottom"/>
            <w:hideMark/>
          </w:tcPr>
          <w:p w14:paraId="2D028F2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(756) </w:t>
            </w:r>
          </w:p>
        </w:tc>
      </w:tr>
      <w:tr w:rsidR="00560745" w14:paraId="366ACFEB" w14:textId="77777777" w:rsidTr="007248EC">
        <w:trPr>
          <w:trHeight w:val="300"/>
        </w:trPr>
        <w:tc>
          <w:tcPr>
            <w:tcW w:w="6663" w:type="dxa"/>
            <w:gridSpan w:val="2"/>
            <w:noWrap/>
            <w:tcMar>
              <w:top w:w="15" w:type="dxa"/>
              <w:left w:w="108" w:type="dxa"/>
              <w:bottom w:w="0" w:type="dxa"/>
              <w:right w:w="108" w:type="dxa"/>
            </w:tcMar>
            <w:vAlign w:val="bottom"/>
            <w:hideMark/>
          </w:tcPr>
          <w:p w14:paraId="139D2BE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Other operating income:</w:t>
            </w:r>
          </w:p>
        </w:tc>
        <w:tc>
          <w:tcPr>
            <w:tcW w:w="1134" w:type="dxa"/>
            <w:noWrap/>
            <w:tcMar>
              <w:top w:w="15" w:type="dxa"/>
              <w:left w:w="108" w:type="dxa"/>
              <w:bottom w:w="0" w:type="dxa"/>
              <w:right w:w="108" w:type="dxa"/>
            </w:tcMar>
            <w:vAlign w:val="bottom"/>
            <w:hideMark/>
          </w:tcPr>
          <w:p w14:paraId="0FAA7BB0" w14:textId="77777777" w:rsidR="00560745" w:rsidRDefault="00560745">
            <w:pPr>
              <w:rPr>
                <w:rFonts w:eastAsia="Times New Roman"/>
                <w:b/>
                <w:bCs/>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1A57D3F3" w14:textId="77777777" w:rsidR="00560745" w:rsidRDefault="00560745">
            <w:pPr>
              <w:spacing w:after="0"/>
              <w:rPr>
                <w:kern w:val="0"/>
                <w:sz w:val="20"/>
                <w:szCs w:val="20"/>
                <w:lang w:eastAsia="en-GB"/>
                <w14:ligatures w14:val="none"/>
              </w:rPr>
            </w:pPr>
          </w:p>
        </w:tc>
      </w:tr>
      <w:tr w:rsidR="00560745" w14:paraId="0664C8BE" w14:textId="77777777" w:rsidTr="007248EC">
        <w:trPr>
          <w:trHeight w:val="310"/>
        </w:trPr>
        <w:tc>
          <w:tcPr>
            <w:tcW w:w="6663" w:type="dxa"/>
            <w:gridSpan w:val="2"/>
            <w:noWrap/>
            <w:tcMar>
              <w:top w:w="15" w:type="dxa"/>
              <w:left w:w="108" w:type="dxa"/>
              <w:bottom w:w="0" w:type="dxa"/>
              <w:right w:w="108" w:type="dxa"/>
            </w:tcMar>
            <w:vAlign w:val="center"/>
            <w:hideMark/>
          </w:tcPr>
          <w:p w14:paraId="22E6271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Redundancy payments administration⁶</w:t>
            </w:r>
          </w:p>
        </w:tc>
        <w:tc>
          <w:tcPr>
            <w:tcW w:w="1134" w:type="dxa"/>
            <w:noWrap/>
            <w:tcMar>
              <w:top w:w="15" w:type="dxa"/>
              <w:left w:w="108" w:type="dxa"/>
              <w:bottom w:w="0" w:type="dxa"/>
              <w:right w:w="108" w:type="dxa"/>
            </w:tcMar>
            <w:vAlign w:val="center"/>
            <w:hideMark/>
          </w:tcPr>
          <w:p w14:paraId="7277899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9,524 </w:t>
            </w:r>
          </w:p>
        </w:tc>
        <w:tc>
          <w:tcPr>
            <w:tcW w:w="1134" w:type="dxa"/>
            <w:noWrap/>
            <w:tcMar>
              <w:top w:w="15" w:type="dxa"/>
              <w:left w:w="108" w:type="dxa"/>
              <w:bottom w:w="0" w:type="dxa"/>
              <w:right w:w="108" w:type="dxa"/>
            </w:tcMar>
            <w:vAlign w:val="center"/>
            <w:hideMark/>
          </w:tcPr>
          <w:p w14:paraId="6EE5F13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9,538 </w:t>
            </w:r>
          </w:p>
        </w:tc>
      </w:tr>
      <w:tr w:rsidR="00560745" w14:paraId="284CD648" w14:textId="77777777" w:rsidTr="007248EC">
        <w:trPr>
          <w:trHeight w:val="214"/>
        </w:trPr>
        <w:tc>
          <w:tcPr>
            <w:tcW w:w="6663" w:type="dxa"/>
            <w:gridSpan w:val="2"/>
            <w:noWrap/>
            <w:tcMar>
              <w:top w:w="15" w:type="dxa"/>
              <w:left w:w="108" w:type="dxa"/>
              <w:bottom w:w="0" w:type="dxa"/>
              <w:right w:w="108" w:type="dxa"/>
            </w:tcMar>
            <w:vAlign w:val="bottom"/>
            <w:hideMark/>
          </w:tcPr>
          <w:p w14:paraId="3D0C65A7"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income</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FA4839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119,953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55851F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155,129 </w:t>
            </w:r>
          </w:p>
        </w:tc>
      </w:tr>
      <w:tr w:rsidR="00560745" w14:paraId="3C954136" w14:textId="77777777" w:rsidTr="007248EC">
        <w:trPr>
          <w:trHeight w:val="281"/>
        </w:trPr>
        <w:tc>
          <w:tcPr>
            <w:tcW w:w="6663" w:type="dxa"/>
            <w:gridSpan w:val="2"/>
            <w:noWrap/>
            <w:tcMar>
              <w:top w:w="15" w:type="dxa"/>
              <w:left w:w="108" w:type="dxa"/>
              <w:bottom w:w="0" w:type="dxa"/>
              <w:right w:w="108" w:type="dxa"/>
            </w:tcMar>
            <w:vAlign w:val="bottom"/>
            <w:hideMark/>
          </w:tcPr>
          <w:p w14:paraId="7C9DED32" w14:textId="77777777" w:rsidR="00560745" w:rsidRDefault="00560745">
            <w:pPr>
              <w:spacing w:after="0"/>
              <w:rPr>
                <w:kern w:val="0"/>
                <w:sz w:val="20"/>
                <w:szCs w:val="20"/>
                <w:lang w:eastAsia="en-GB"/>
                <w14:ligatures w14:val="none"/>
              </w:rPr>
            </w:pPr>
          </w:p>
        </w:tc>
        <w:tc>
          <w:tcPr>
            <w:tcW w:w="2268" w:type="dxa"/>
            <w:gridSpan w:val="2"/>
            <w:tcMar>
              <w:top w:w="15" w:type="dxa"/>
              <w:left w:w="108" w:type="dxa"/>
              <w:bottom w:w="0" w:type="dxa"/>
              <w:right w:w="108" w:type="dxa"/>
            </w:tcMar>
            <w:vAlign w:val="center"/>
            <w:hideMark/>
          </w:tcPr>
          <w:p w14:paraId="51A185C2" w14:textId="77777777" w:rsidR="00560745" w:rsidRDefault="00560745">
            <w:pPr>
              <w:spacing w:after="0"/>
              <w:rPr>
                <w:kern w:val="0"/>
                <w:sz w:val="20"/>
                <w:szCs w:val="20"/>
                <w:lang w:eastAsia="en-GB"/>
                <w14:ligatures w14:val="none"/>
              </w:rPr>
            </w:pPr>
          </w:p>
        </w:tc>
      </w:tr>
      <w:tr w:rsidR="00560745" w14:paraId="1E4200BA" w14:textId="77777777" w:rsidTr="007248EC">
        <w:trPr>
          <w:trHeight w:val="929"/>
        </w:trPr>
        <w:tc>
          <w:tcPr>
            <w:tcW w:w="8931" w:type="dxa"/>
            <w:gridSpan w:val="4"/>
            <w:tcMar>
              <w:top w:w="15" w:type="dxa"/>
              <w:left w:w="108" w:type="dxa"/>
              <w:bottom w:w="0" w:type="dxa"/>
              <w:right w:w="108" w:type="dxa"/>
            </w:tcMar>
            <w:hideMark/>
          </w:tcPr>
          <w:p w14:paraId="500300C9"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¹ Overall case administration has decreased from £110m to £60m with the principal movements, which are not due to be surrendered to the Consolidated Fund, being an increase in Administration Fees of £5.6m, and Trustee Liquidator fees on National Interest Cases having reduced by £9m due to lower activity on the highest impact cases.  </w:t>
            </w:r>
          </w:p>
        </w:tc>
      </w:tr>
      <w:tr w:rsidR="00560745" w14:paraId="3F83DD30" w14:textId="77777777" w:rsidTr="007248EC">
        <w:trPr>
          <w:trHeight w:val="983"/>
        </w:trPr>
        <w:tc>
          <w:tcPr>
            <w:tcW w:w="8931" w:type="dxa"/>
            <w:gridSpan w:val="4"/>
            <w:tcMar>
              <w:top w:w="15" w:type="dxa"/>
              <w:left w:w="108" w:type="dxa"/>
              <w:bottom w:w="0" w:type="dxa"/>
              <w:right w:w="108" w:type="dxa"/>
            </w:tcMar>
            <w:hideMark/>
          </w:tcPr>
          <w:p w14:paraId="7F60CC20" w14:textId="7A178FAC"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² The Case administration income (pre-2016-17) reduced from £69 to £20m due to fees on the cash settlement of historic </w:t>
            </w:r>
            <w:r w:rsidR="0094236C" w:rsidRPr="0094236C">
              <w:rPr>
                <w:rFonts w:eastAsia="Times New Roman" w:cstheme="minorHAnsi"/>
                <w:sz w:val="20"/>
                <w:szCs w:val="20"/>
              </w:rPr>
              <w:t>Payment Protection Insurance (</w:t>
            </w:r>
            <w:r w:rsidRPr="0094236C">
              <w:rPr>
                <w:rFonts w:eastAsia="Times New Roman" w:cstheme="minorHAnsi"/>
                <w:sz w:val="20"/>
                <w:szCs w:val="20"/>
              </w:rPr>
              <w:t>PPI</w:t>
            </w:r>
            <w:r w:rsidR="0094236C" w:rsidRPr="0094236C">
              <w:rPr>
                <w:rFonts w:eastAsia="Times New Roman" w:cstheme="minorHAnsi"/>
                <w:sz w:val="20"/>
                <w:szCs w:val="20"/>
              </w:rPr>
              <w:t>)</w:t>
            </w:r>
            <w:r>
              <w:rPr>
                <w:rFonts w:eastAsia="Times New Roman"/>
                <w:kern w:val="0"/>
                <w:sz w:val="20"/>
                <w:szCs w:val="20"/>
                <w:lang w:eastAsia="en-GB"/>
                <w14:ligatures w14:val="none"/>
              </w:rPr>
              <w:t xml:space="preserve"> claims on insolvent estates where performance obligations were substantially satisfied and could be recognised as income upon receipt. In 2023-24 this total is £11.8m (2022-23: £61.2m).</w:t>
            </w:r>
          </w:p>
        </w:tc>
      </w:tr>
      <w:tr w:rsidR="00560745" w14:paraId="3E8C4FD7" w14:textId="77777777" w:rsidTr="007248EC">
        <w:trPr>
          <w:trHeight w:val="828"/>
        </w:trPr>
        <w:tc>
          <w:tcPr>
            <w:tcW w:w="8931" w:type="dxa"/>
            <w:gridSpan w:val="4"/>
            <w:tcMar>
              <w:top w:w="15" w:type="dxa"/>
              <w:left w:w="108" w:type="dxa"/>
              <w:bottom w:w="0" w:type="dxa"/>
              <w:right w:w="108" w:type="dxa"/>
            </w:tcMar>
            <w:hideMark/>
          </w:tcPr>
          <w:p w14:paraId="06AD39BA" w14:textId="667A6811"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³ 'Managing Public Money' treats the General Fee as a tax however we are including this under income from contracts with customers as it represents part of the Insolvency case administration and retention has been agreed with </w:t>
            </w:r>
            <w:r w:rsidR="00BA2669" w:rsidRPr="00BA2669">
              <w:rPr>
                <w:rFonts w:eastAsia="Times New Roman" w:cstheme="minorHAnsi"/>
                <w:sz w:val="20"/>
                <w:szCs w:val="20"/>
              </w:rPr>
              <w:t>HM Treasury</w:t>
            </w:r>
            <w:r>
              <w:rPr>
                <w:rFonts w:eastAsia="Times New Roman"/>
                <w:kern w:val="0"/>
                <w:sz w:val="20"/>
                <w:szCs w:val="20"/>
                <w:lang w:eastAsia="en-GB"/>
                <w14:ligatures w14:val="none"/>
              </w:rPr>
              <w:t>.</w:t>
            </w:r>
          </w:p>
        </w:tc>
      </w:tr>
      <w:tr w:rsidR="00560745" w14:paraId="701898EB" w14:textId="77777777" w:rsidTr="007248EC">
        <w:trPr>
          <w:trHeight w:val="552"/>
        </w:trPr>
        <w:tc>
          <w:tcPr>
            <w:tcW w:w="8931" w:type="dxa"/>
            <w:gridSpan w:val="4"/>
            <w:tcMar>
              <w:top w:w="15" w:type="dxa"/>
              <w:left w:w="108" w:type="dxa"/>
              <w:bottom w:w="0" w:type="dxa"/>
              <w:right w:w="108" w:type="dxa"/>
            </w:tcMar>
            <w:hideMark/>
          </w:tcPr>
          <w:p w14:paraId="4CB8FEED" w14:textId="7543143A"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⁴ The Trustee </w:t>
            </w:r>
            <w:r w:rsidR="00342E3D">
              <w:rPr>
                <w:rFonts w:eastAsia="Times New Roman"/>
                <w:kern w:val="0"/>
                <w:sz w:val="20"/>
                <w:szCs w:val="20"/>
                <w:lang w:eastAsia="en-GB"/>
                <w14:ligatures w14:val="none"/>
              </w:rPr>
              <w:t>L</w:t>
            </w:r>
            <w:r>
              <w:rPr>
                <w:rFonts w:eastAsia="Times New Roman"/>
                <w:kern w:val="0"/>
                <w:sz w:val="20"/>
                <w:szCs w:val="20"/>
                <w:lang w:eastAsia="en-GB"/>
                <w14:ligatures w14:val="none"/>
              </w:rPr>
              <w:t xml:space="preserve">iquidator fee for </w:t>
            </w:r>
            <w:r w:rsidR="00342E3D">
              <w:rPr>
                <w:rFonts w:eastAsia="Times New Roman"/>
                <w:kern w:val="0"/>
                <w:sz w:val="20"/>
                <w:szCs w:val="20"/>
                <w:lang w:eastAsia="en-GB"/>
                <w14:ligatures w14:val="none"/>
              </w:rPr>
              <w:t>N</w:t>
            </w:r>
            <w:r>
              <w:rPr>
                <w:rFonts w:eastAsia="Times New Roman"/>
                <w:kern w:val="0"/>
                <w:sz w:val="20"/>
                <w:szCs w:val="20"/>
                <w:lang w:eastAsia="en-GB"/>
                <w14:ligatures w14:val="none"/>
              </w:rPr>
              <w:t xml:space="preserve">ational </w:t>
            </w:r>
            <w:r w:rsidR="00342E3D">
              <w:rPr>
                <w:rFonts w:eastAsia="Times New Roman"/>
                <w:kern w:val="0"/>
                <w:sz w:val="20"/>
                <w:szCs w:val="20"/>
                <w:lang w:eastAsia="en-GB"/>
                <w14:ligatures w14:val="none"/>
              </w:rPr>
              <w:t>I</w:t>
            </w:r>
            <w:r>
              <w:rPr>
                <w:rFonts w:eastAsia="Times New Roman"/>
                <w:kern w:val="0"/>
                <w:sz w:val="20"/>
                <w:szCs w:val="20"/>
                <w:lang w:eastAsia="en-GB"/>
                <w14:ligatures w14:val="none"/>
              </w:rPr>
              <w:t xml:space="preserve">nterest </w:t>
            </w:r>
            <w:r w:rsidR="00342E3D">
              <w:rPr>
                <w:rFonts w:eastAsia="Times New Roman"/>
                <w:kern w:val="0"/>
                <w:sz w:val="20"/>
                <w:szCs w:val="20"/>
                <w:lang w:eastAsia="en-GB"/>
                <w14:ligatures w14:val="none"/>
              </w:rPr>
              <w:t>C</w:t>
            </w:r>
            <w:r>
              <w:rPr>
                <w:rFonts w:eastAsia="Times New Roman"/>
                <w:kern w:val="0"/>
                <w:sz w:val="20"/>
                <w:szCs w:val="20"/>
                <w:lang w:eastAsia="en-GB"/>
                <w14:ligatures w14:val="none"/>
              </w:rPr>
              <w:t>ases includes £0.6m (2022-23: £4.7m) in fees which is due to be surrendered to the Consolidated Fund.</w:t>
            </w:r>
          </w:p>
        </w:tc>
      </w:tr>
      <w:tr w:rsidR="00560745" w14:paraId="40BCC16D" w14:textId="77777777" w:rsidTr="007248EC">
        <w:trPr>
          <w:trHeight w:val="830"/>
        </w:trPr>
        <w:tc>
          <w:tcPr>
            <w:tcW w:w="8931" w:type="dxa"/>
            <w:gridSpan w:val="4"/>
            <w:tcMar>
              <w:top w:w="15" w:type="dxa"/>
              <w:left w:w="108" w:type="dxa"/>
              <w:bottom w:w="0" w:type="dxa"/>
              <w:right w:w="108" w:type="dxa"/>
            </w:tcMar>
            <w:hideMark/>
          </w:tcPr>
          <w:p w14:paraId="37D6A676"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⁵ The income recognised for RPS was £39.8m, which includes £1.1m of cash receipts in year, and £38.7m of estimated future recoveries. RPS recoveries are from solvent companies, or via recovery through administration or liquidation process for insolvent companies. </w:t>
            </w:r>
          </w:p>
        </w:tc>
      </w:tr>
      <w:tr w:rsidR="00560745" w14:paraId="6C20DB8C" w14:textId="77777777" w:rsidTr="007248EC">
        <w:trPr>
          <w:trHeight w:val="700"/>
        </w:trPr>
        <w:tc>
          <w:tcPr>
            <w:tcW w:w="8931" w:type="dxa"/>
            <w:gridSpan w:val="4"/>
            <w:tcMar>
              <w:top w:w="15" w:type="dxa"/>
              <w:left w:w="108" w:type="dxa"/>
              <w:bottom w:w="0" w:type="dxa"/>
              <w:right w:w="108" w:type="dxa"/>
            </w:tcMar>
            <w:hideMark/>
          </w:tcPr>
          <w:p w14:paraId="788A4909" w14:textId="65EE5A33"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⁶ Redundancy payments administration income is money received from </w:t>
            </w:r>
            <w:r w:rsidR="006A12EE" w:rsidRPr="006A12EE">
              <w:rPr>
                <w:rFonts w:eastAsia="Times New Roman" w:cstheme="minorHAnsi"/>
                <w:sz w:val="20"/>
                <w:szCs w:val="20"/>
              </w:rPr>
              <w:t>HM Revenue &amp; Customs</w:t>
            </w:r>
            <w:r>
              <w:rPr>
                <w:rFonts w:eastAsia="Times New Roman"/>
                <w:kern w:val="0"/>
                <w:sz w:val="20"/>
                <w:szCs w:val="20"/>
                <w:lang w:eastAsia="en-GB"/>
                <w14:ligatures w14:val="none"/>
              </w:rPr>
              <w:t xml:space="preserve"> to support the Agency in running the scheme which is funded via the NIF.</w:t>
            </w:r>
          </w:p>
        </w:tc>
      </w:tr>
      <w:tr w:rsidR="002907F5" w14:paraId="1798A6F4" w14:textId="77777777" w:rsidTr="007248EC">
        <w:trPr>
          <w:trHeight w:val="283"/>
        </w:trPr>
        <w:tc>
          <w:tcPr>
            <w:tcW w:w="8931" w:type="dxa"/>
            <w:gridSpan w:val="4"/>
            <w:tcMar>
              <w:top w:w="0" w:type="dxa"/>
              <w:left w:w="108" w:type="dxa"/>
              <w:bottom w:w="0" w:type="dxa"/>
              <w:right w:w="108" w:type="dxa"/>
            </w:tcMar>
          </w:tcPr>
          <w:p w14:paraId="6DE8D0A1" w14:textId="49C31ECB" w:rsidR="002907F5" w:rsidRPr="00FB60D5" w:rsidRDefault="00FB60D5" w:rsidP="00FB60D5">
            <w:pPr>
              <w:tabs>
                <w:tab w:val="left" w:pos="6173"/>
              </w:tabs>
              <w:rPr>
                <w:rFonts w:ascii="Arial" w:eastAsia="Times New Roman" w:hAnsi="Arial" w:cs="Arial"/>
                <w:b/>
                <w:bCs/>
                <w:kern w:val="0"/>
                <w:sz w:val="20"/>
                <w:szCs w:val="20"/>
                <w:lang w:eastAsia="en-GB"/>
                <w14:ligatures w14:val="none"/>
              </w:rPr>
            </w:pPr>
            <w:r>
              <w:rPr>
                <w:rFonts w:ascii="Arial" w:eastAsia="Times New Roman" w:hAnsi="Arial" w:cs="Arial"/>
                <w:b/>
                <w:bCs/>
                <w:kern w:val="0"/>
                <w:sz w:val="24"/>
                <w:szCs w:val="24"/>
                <w:lang w:eastAsia="en-GB"/>
                <w14:ligatures w14:val="none"/>
              </w:rPr>
              <w:tab/>
            </w:r>
          </w:p>
        </w:tc>
      </w:tr>
      <w:tr w:rsidR="006B1CA9" w14:paraId="0620E5E1" w14:textId="77777777" w:rsidTr="007248EC">
        <w:trPr>
          <w:trHeight w:val="130"/>
        </w:trPr>
        <w:tc>
          <w:tcPr>
            <w:tcW w:w="567" w:type="dxa"/>
            <w:tcMar>
              <w:top w:w="0" w:type="dxa"/>
              <w:left w:w="108" w:type="dxa"/>
              <w:bottom w:w="0" w:type="dxa"/>
              <w:right w:w="108" w:type="dxa"/>
            </w:tcMar>
            <w:hideMark/>
          </w:tcPr>
          <w:p w14:paraId="0C6F6D38" w14:textId="77777777" w:rsidR="006B1CA9" w:rsidRPr="00B92A62" w:rsidRDefault="006B1CA9">
            <w:pPr>
              <w:spacing w:after="0" w:line="240" w:lineRule="auto"/>
              <w:ind w:firstLineChars="12" w:firstLine="29"/>
              <w:rPr>
                <w:rFonts w:ascii="Arial" w:eastAsia="Times New Roman" w:hAnsi="Arial" w:cs="Arial"/>
                <w:b/>
                <w:bCs/>
                <w:kern w:val="0"/>
                <w:sz w:val="24"/>
                <w:szCs w:val="24"/>
                <w:lang w:eastAsia="en-GB"/>
                <w14:ligatures w14:val="none"/>
              </w:rPr>
            </w:pPr>
            <w:r w:rsidRPr="00B92A62">
              <w:rPr>
                <w:rFonts w:ascii="Arial" w:eastAsia="Times New Roman" w:hAnsi="Arial" w:cs="Arial"/>
                <w:b/>
                <w:bCs/>
                <w:kern w:val="0"/>
                <w:sz w:val="24"/>
                <w:szCs w:val="24"/>
                <w:lang w:eastAsia="en-GB"/>
                <w14:ligatures w14:val="none"/>
              </w:rPr>
              <w:lastRenderedPageBreak/>
              <w:t>5</w:t>
            </w:r>
          </w:p>
        </w:tc>
        <w:tc>
          <w:tcPr>
            <w:tcW w:w="8358" w:type="dxa"/>
            <w:gridSpan w:val="3"/>
            <w:tcMar>
              <w:top w:w="0" w:type="dxa"/>
              <w:left w:w="108" w:type="dxa"/>
              <w:bottom w:w="0" w:type="dxa"/>
              <w:right w:w="108" w:type="dxa"/>
            </w:tcMar>
            <w:hideMark/>
          </w:tcPr>
          <w:p w14:paraId="701238FB" w14:textId="3C1BF1B7" w:rsidR="006B1CA9" w:rsidRPr="00B92A62" w:rsidRDefault="006B1CA9">
            <w:pPr>
              <w:rPr>
                <w:rFonts w:ascii="Arial" w:eastAsia="Times New Roman" w:hAnsi="Arial" w:cs="Arial"/>
                <w:b/>
                <w:bCs/>
                <w:kern w:val="0"/>
                <w:sz w:val="24"/>
                <w:szCs w:val="24"/>
                <w:lang w:eastAsia="en-GB"/>
                <w14:ligatures w14:val="none"/>
              </w:rPr>
            </w:pPr>
            <w:r w:rsidRPr="00B92A62">
              <w:rPr>
                <w:rFonts w:ascii="Arial" w:eastAsia="Times New Roman" w:hAnsi="Arial" w:cs="Arial"/>
                <w:b/>
                <w:bCs/>
                <w:kern w:val="0"/>
                <w:sz w:val="24"/>
                <w:szCs w:val="24"/>
                <w:lang w:eastAsia="en-GB"/>
                <w14:ligatures w14:val="none"/>
              </w:rPr>
              <w:t>Segmental reporting</w:t>
            </w:r>
          </w:p>
        </w:tc>
      </w:tr>
      <w:tr w:rsidR="002D4D9E" w14:paraId="6E6B848F" w14:textId="77777777" w:rsidTr="007248EC">
        <w:trPr>
          <w:trHeight w:val="3327"/>
        </w:trPr>
        <w:tc>
          <w:tcPr>
            <w:tcW w:w="8925" w:type="dxa"/>
            <w:gridSpan w:val="4"/>
            <w:tcMar>
              <w:top w:w="15" w:type="dxa"/>
              <w:left w:w="108" w:type="dxa"/>
              <w:bottom w:w="0" w:type="dxa"/>
              <w:right w:w="108" w:type="dxa"/>
            </w:tcMar>
            <w:vAlign w:val="bottom"/>
            <w:hideMark/>
          </w:tcPr>
          <w:p w14:paraId="4864A5F0" w14:textId="4F64E783" w:rsidR="002D4D9E" w:rsidRPr="00B92A62" w:rsidRDefault="002D4D9E">
            <w:pPr>
              <w:spacing w:after="0" w:line="240" w:lineRule="auto"/>
              <w:rPr>
                <w:rFonts w:ascii="Arial" w:eastAsia="Times New Roman" w:hAnsi="Arial" w:cs="Arial"/>
                <w:kern w:val="0"/>
                <w:sz w:val="24"/>
                <w:szCs w:val="24"/>
                <w:lang w:eastAsia="en-GB"/>
                <w14:ligatures w14:val="none"/>
              </w:rPr>
            </w:pPr>
            <w:r w:rsidRPr="00B92A62">
              <w:rPr>
                <w:rFonts w:ascii="Arial" w:eastAsia="Times New Roman" w:hAnsi="Arial" w:cs="Arial"/>
                <w:kern w:val="0"/>
                <w:sz w:val="24"/>
                <w:szCs w:val="24"/>
                <w:lang w:eastAsia="en-GB"/>
                <w14:ligatures w14:val="none"/>
              </w:rPr>
              <w:t>All significant activities of the Agency are derived from the Insolvency Act 1986, The Company Disqualification Act 1986, the Employment Rights Act 1996 and the Companies Act 2006 and are considered for segmental purposes to be one single class of business.</w:t>
            </w:r>
            <w:r>
              <w:rPr>
                <w:rFonts w:ascii="Arial" w:eastAsia="Times New Roman" w:hAnsi="Arial" w:cs="Arial"/>
                <w:kern w:val="0"/>
                <w:sz w:val="24"/>
                <w:szCs w:val="24"/>
                <w:lang w:eastAsia="en-GB"/>
                <w14:ligatures w14:val="none"/>
              </w:rPr>
              <w:br/>
            </w:r>
          </w:p>
          <w:p w14:paraId="53CCAF3C" w14:textId="2CEEA8BB" w:rsidR="002D4D9E" w:rsidRPr="00B92A62" w:rsidRDefault="002D4D9E">
            <w:pPr>
              <w:spacing w:after="0" w:line="240" w:lineRule="auto"/>
              <w:rPr>
                <w:rFonts w:ascii="Arial" w:eastAsia="Times New Roman" w:hAnsi="Arial" w:cs="Arial"/>
                <w:kern w:val="0"/>
                <w:sz w:val="24"/>
                <w:szCs w:val="24"/>
                <w:lang w:eastAsia="en-GB"/>
                <w14:ligatures w14:val="none"/>
              </w:rPr>
            </w:pPr>
            <w:r w:rsidRPr="00B92A62">
              <w:rPr>
                <w:rFonts w:ascii="Arial" w:eastAsia="Times New Roman" w:hAnsi="Arial" w:cs="Arial"/>
                <w:kern w:val="0"/>
                <w:sz w:val="24"/>
                <w:szCs w:val="24"/>
                <w:lang w:eastAsia="en-GB"/>
                <w14:ligatures w14:val="none"/>
              </w:rPr>
              <w:t xml:space="preserve">The following information on the main funding activities of the Agency constitutes segmental reporting under IFRS 8, Operating Segments. Costs and income are reported to senior management monthly; the year-end figures are reported below. The SoFP is not reported to senior management so is not included below. Figures showing DBT and </w:t>
            </w:r>
            <w:r w:rsidR="006A12EE">
              <w:rPr>
                <w:rFonts w:ascii="Arial" w:eastAsia="Times New Roman" w:hAnsi="Arial" w:cs="Arial"/>
                <w:sz w:val="24"/>
                <w:szCs w:val="24"/>
              </w:rPr>
              <w:t>HM Revenue &amp; Customs</w:t>
            </w:r>
            <w:r w:rsidRPr="00B92A62">
              <w:rPr>
                <w:rFonts w:ascii="Arial" w:eastAsia="Times New Roman" w:hAnsi="Arial" w:cs="Arial"/>
                <w:kern w:val="0"/>
                <w:sz w:val="24"/>
                <w:szCs w:val="24"/>
                <w:lang w:eastAsia="en-GB"/>
                <w14:ligatures w14:val="none"/>
              </w:rPr>
              <w:t xml:space="preserve"> funding amounts can be found in the Statement of Changes in Taxpayers' Equity (SoCITE) as funding is accounted through reserves rather than income.</w:t>
            </w:r>
          </w:p>
        </w:tc>
      </w:tr>
    </w:tbl>
    <w:p w14:paraId="3C6E0A9B" w14:textId="53AC9E3A" w:rsidR="00CD078F" w:rsidRDefault="00CD078F"/>
    <w:tbl>
      <w:tblPr>
        <w:tblW w:w="8931" w:type="dxa"/>
        <w:tblLayout w:type="fixed"/>
        <w:tblLook w:val="04A0" w:firstRow="1" w:lastRow="0" w:firstColumn="1" w:lastColumn="0" w:noHBand="0" w:noVBand="1"/>
      </w:tblPr>
      <w:tblGrid>
        <w:gridCol w:w="2551"/>
        <w:gridCol w:w="992"/>
        <w:gridCol w:w="991"/>
        <w:gridCol w:w="992"/>
        <w:gridCol w:w="991"/>
        <w:gridCol w:w="1275"/>
        <w:gridCol w:w="1133"/>
        <w:gridCol w:w="6"/>
      </w:tblGrid>
      <w:tr w:rsidR="00560745" w14:paraId="31358AD5" w14:textId="77777777" w:rsidTr="00A65B43">
        <w:trPr>
          <w:gridAfter w:val="1"/>
          <w:wAfter w:w="6" w:type="dxa"/>
          <w:trHeight w:val="330"/>
        </w:trPr>
        <w:tc>
          <w:tcPr>
            <w:tcW w:w="2551" w:type="dxa"/>
            <w:noWrap/>
            <w:tcMar>
              <w:top w:w="15" w:type="dxa"/>
              <w:left w:w="108" w:type="dxa"/>
              <w:bottom w:w="0" w:type="dxa"/>
              <w:right w:w="108" w:type="dxa"/>
            </w:tcMar>
            <w:vAlign w:val="bottom"/>
            <w:hideMark/>
          </w:tcPr>
          <w:p w14:paraId="311DCF89" w14:textId="255B58E5" w:rsidR="00560745" w:rsidRDefault="00560745"/>
        </w:tc>
        <w:tc>
          <w:tcPr>
            <w:tcW w:w="1983" w:type="dxa"/>
            <w:gridSpan w:val="2"/>
            <w:noWrap/>
            <w:tcMar>
              <w:top w:w="15" w:type="dxa"/>
              <w:left w:w="108" w:type="dxa"/>
              <w:bottom w:w="0" w:type="dxa"/>
              <w:right w:w="108" w:type="dxa"/>
            </w:tcMar>
            <w:vAlign w:val="bottom"/>
            <w:hideMark/>
          </w:tcPr>
          <w:p w14:paraId="5FAF979B" w14:textId="77777777" w:rsidR="00560745" w:rsidRDefault="00560745">
            <w:pPr>
              <w:spacing w:after="0" w:line="240" w:lineRule="auto"/>
              <w:jc w:val="center"/>
              <w:rPr>
                <w:rFonts w:eastAsia="Times New Roman"/>
                <w:b/>
                <w:bCs/>
                <w:kern w:val="0"/>
                <w:sz w:val="20"/>
                <w:szCs w:val="20"/>
                <w:lang w:eastAsia="en-GB"/>
                <w14:ligatures w14:val="none"/>
              </w:rPr>
            </w:pPr>
            <w:r>
              <w:rPr>
                <w:rFonts w:eastAsia="Times New Roman"/>
                <w:b/>
                <w:bCs/>
                <w:kern w:val="0"/>
                <w:sz w:val="20"/>
                <w:szCs w:val="20"/>
                <w:lang w:eastAsia="en-GB"/>
                <w14:ligatures w14:val="none"/>
              </w:rPr>
              <w:t>Income</w:t>
            </w:r>
          </w:p>
        </w:tc>
        <w:tc>
          <w:tcPr>
            <w:tcW w:w="1983" w:type="dxa"/>
            <w:gridSpan w:val="2"/>
            <w:noWrap/>
            <w:tcMar>
              <w:top w:w="15" w:type="dxa"/>
              <w:left w:w="108" w:type="dxa"/>
              <w:bottom w:w="0" w:type="dxa"/>
              <w:right w:w="108" w:type="dxa"/>
            </w:tcMar>
            <w:vAlign w:val="bottom"/>
            <w:hideMark/>
          </w:tcPr>
          <w:p w14:paraId="6E57F12B" w14:textId="77777777" w:rsidR="00560745" w:rsidRDefault="00560745">
            <w:pPr>
              <w:spacing w:after="0" w:line="240" w:lineRule="auto"/>
              <w:jc w:val="center"/>
              <w:rPr>
                <w:rFonts w:eastAsia="Times New Roman"/>
                <w:b/>
                <w:bCs/>
                <w:kern w:val="0"/>
                <w:sz w:val="20"/>
                <w:szCs w:val="20"/>
                <w:lang w:eastAsia="en-GB"/>
                <w14:ligatures w14:val="none"/>
              </w:rPr>
            </w:pPr>
            <w:r>
              <w:rPr>
                <w:rFonts w:eastAsia="Times New Roman"/>
                <w:b/>
                <w:bCs/>
                <w:kern w:val="0"/>
                <w:sz w:val="20"/>
                <w:szCs w:val="20"/>
                <w:lang w:eastAsia="en-GB"/>
                <w14:ligatures w14:val="none"/>
              </w:rPr>
              <w:t>Cost of service</w:t>
            </w:r>
          </w:p>
        </w:tc>
        <w:tc>
          <w:tcPr>
            <w:tcW w:w="2408" w:type="dxa"/>
            <w:gridSpan w:val="2"/>
            <w:noWrap/>
            <w:tcMar>
              <w:top w:w="15" w:type="dxa"/>
              <w:left w:w="108" w:type="dxa"/>
              <w:bottom w:w="0" w:type="dxa"/>
              <w:right w:w="108" w:type="dxa"/>
            </w:tcMar>
            <w:vAlign w:val="bottom"/>
            <w:hideMark/>
          </w:tcPr>
          <w:p w14:paraId="3ECBF2FC" w14:textId="77777777" w:rsidR="00560745" w:rsidRDefault="00560745">
            <w:pPr>
              <w:spacing w:after="0" w:line="240" w:lineRule="auto"/>
              <w:jc w:val="center"/>
              <w:rPr>
                <w:rFonts w:eastAsia="Times New Roman"/>
                <w:b/>
                <w:bCs/>
                <w:kern w:val="0"/>
                <w:sz w:val="20"/>
                <w:szCs w:val="20"/>
                <w:lang w:eastAsia="en-GB"/>
                <w14:ligatures w14:val="none"/>
              </w:rPr>
            </w:pPr>
            <w:r>
              <w:rPr>
                <w:rFonts w:eastAsia="Times New Roman"/>
                <w:b/>
                <w:bCs/>
                <w:kern w:val="0"/>
                <w:sz w:val="20"/>
                <w:szCs w:val="20"/>
                <w:lang w:eastAsia="en-GB"/>
                <w14:ligatures w14:val="none"/>
              </w:rPr>
              <w:t>Surplus/(deficit)</w:t>
            </w:r>
          </w:p>
        </w:tc>
      </w:tr>
      <w:tr w:rsidR="00560745" w14:paraId="37520997" w14:textId="77777777" w:rsidTr="00A65B43">
        <w:trPr>
          <w:gridAfter w:val="1"/>
          <w:wAfter w:w="6" w:type="dxa"/>
          <w:trHeight w:val="310"/>
        </w:trPr>
        <w:tc>
          <w:tcPr>
            <w:tcW w:w="2551" w:type="dxa"/>
            <w:noWrap/>
            <w:tcMar>
              <w:top w:w="15" w:type="dxa"/>
              <w:left w:w="108" w:type="dxa"/>
              <w:bottom w:w="0" w:type="dxa"/>
              <w:right w:w="108" w:type="dxa"/>
            </w:tcMar>
            <w:vAlign w:val="bottom"/>
            <w:hideMark/>
          </w:tcPr>
          <w:p w14:paraId="6E1BECAF" w14:textId="77777777" w:rsidR="00560745" w:rsidRDefault="00560745">
            <w:pPr>
              <w:rPr>
                <w:rFonts w:eastAsia="Times New Roman"/>
                <w:b/>
                <w:bCs/>
                <w:kern w:val="0"/>
                <w:sz w:val="20"/>
                <w:szCs w:val="20"/>
                <w:lang w:eastAsia="en-GB"/>
                <w14:ligatures w14:val="none"/>
              </w:rPr>
            </w:pPr>
          </w:p>
        </w:tc>
        <w:tc>
          <w:tcPr>
            <w:tcW w:w="992" w:type="dxa"/>
            <w:tcMar>
              <w:top w:w="15" w:type="dxa"/>
              <w:left w:w="108" w:type="dxa"/>
              <w:bottom w:w="0" w:type="dxa"/>
              <w:right w:w="108" w:type="dxa"/>
            </w:tcMar>
            <w:hideMark/>
          </w:tcPr>
          <w:p w14:paraId="4053F793" w14:textId="77777777" w:rsidR="00560745" w:rsidRDefault="00560745">
            <w:pPr>
              <w:spacing w:after="0"/>
              <w:rPr>
                <w:kern w:val="0"/>
                <w:sz w:val="20"/>
                <w:szCs w:val="20"/>
                <w:lang w:eastAsia="en-GB"/>
                <w14:ligatures w14:val="none"/>
              </w:rPr>
            </w:pPr>
          </w:p>
        </w:tc>
        <w:tc>
          <w:tcPr>
            <w:tcW w:w="991" w:type="dxa"/>
            <w:tcMar>
              <w:top w:w="15" w:type="dxa"/>
              <w:left w:w="108" w:type="dxa"/>
              <w:bottom w:w="0" w:type="dxa"/>
              <w:right w:w="108" w:type="dxa"/>
            </w:tcMar>
            <w:hideMark/>
          </w:tcPr>
          <w:p w14:paraId="704DA1EF" w14:textId="77777777" w:rsidR="00560745" w:rsidRDefault="00560745">
            <w:pPr>
              <w:spacing w:after="0"/>
              <w:rPr>
                <w:kern w:val="0"/>
                <w:sz w:val="20"/>
                <w:szCs w:val="20"/>
                <w:lang w:eastAsia="en-GB"/>
                <w14:ligatures w14:val="none"/>
              </w:rPr>
            </w:pPr>
          </w:p>
        </w:tc>
        <w:tc>
          <w:tcPr>
            <w:tcW w:w="992" w:type="dxa"/>
            <w:noWrap/>
            <w:tcMar>
              <w:top w:w="15" w:type="dxa"/>
              <w:left w:w="108" w:type="dxa"/>
              <w:bottom w:w="0" w:type="dxa"/>
              <w:right w:w="108" w:type="dxa"/>
            </w:tcMar>
            <w:vAlign w:val="bottom"/>
            <w:hideMark/>
          </w:tcPr>
          <w:p w14:paraId="6D4A3E5D" w14:textId="77777777" w:rsidR="00560745" w:rsidRDefault="00560745">
            <w:pPr>
              <w:spacing w:after="0"/>
              <w:rPr>
                <w:kern w:val="0"/>
                <w:sz w:val="20"/>
                <w:szCs w:val="20"/>
                <w:lang w:eastAsia="en-GB"/>
                <w14:ligatures w14:val="none"/>
              </w:rPr>
            </w:pPr>
          </w:p>
        </w:tc>
        <w:tc>
          <w:tcPr>
            <w:tcW w:w="991" w:type="dxa"/>
            <w:noWrap/>
            <w:tcMar>
              <w:top w:w="15" w:type="dxa"/>
              <w:left w:w="108" w:type="dxa"/>
              <w:bottom w:w="0" w:type="dxa"/>
              <w:right w:w="108" w:type="dxa"/>
            </w:tcMar>
            <w:vAlign w:val="bottom"/>
            <w:hideMark/>
          </w:tcPr>
          <w:p w14:paraId="54476F65" w14:textId="77777777" w:rsidR="00560745" w:rsidRDefault="00560745">
            <w:pPr>
              <w:spacing w:after="0"/>
              <w:rPr>
                <w:kern w:val="0"/>
                <w:sz w:val="20"/>
                <w:szCs w:val="20"/>
                <w:lang w:eastAsia="en-GB"/>
                <w14:ligatures w14:val="none"/>
              </w:rPr>
            </w:pPr>
          </w:p>
        </w:tc>
        <w:tc>
          <w:tcPr>
            <w:tcW w:w="1275" w:type="dxa"/>
            <w:noWrap/>
            <w:tcMar>
              <w:top w:w="15" w:type="dxa"/>
              <w:left w:w="108" w:type="dxa"/>
              <w:bottom w:w="0" w:type="dxa"/>
              <w:right w:w="108" w:type="dxa"/>
            </w:tcMar>
            <w:vAlign w:val="bottom"/>
            <w:hideMark/>
          </w:tcPr>
          <w:p w14:paraId="53894809" w14:textId="77777777" w:rsidR="00560745" w:rsidRDefault="00560745">
            <w:pPr>
              <w:spacing w:after="0"/>
              <w:rPr>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549D7302" w14:textId="77777777" w:rsidR="00560745" w:rsidRDefault="00560745">
            <w:pPr>
              <w:spacing w:after="0"/>
              <w:rPr>
                <w:kern w:val="0"/>
                <w:sz w:val="20"/>
                <w:szCs w:val="20"/>
                <w:lang w:eastAsia="en-GB"/>
                <w14:ligatures w14:val="none"/>
              </w:rPr>
            </w:pPr>
          </w:p>
        </w:tc>
      </w:tr>
      <w:tr w:rsidR="00560745" w14:paraId="27D8640A" w14:textId="77777777" w:rsidTr="00A65B43">
        <w:trPr>
          <w:gridAfter w:val="1"/>
          <w:wAfter w:w="6" w:type="dxa"/>
          <w:trHeight w:val="310"/>
        </w:trPr>
        <w:tc>
          <w:tcPr>
            <w:tcW w:w="2551" w:type="dxa"/>
            <w:noWrap/>
            <w:tcMar>
              <w:top w:w="15" w:type="dxa"/>
              <w:left w:w="108" w:type="dxa"/>
              <w:bottom w:w="0" w:type="dxa"/>
              <w:right w:w="108" w:type="dxa"/>
            </w:tcMar>
            <w:vAlign w:val="bottom"/>
            <w:hideMark/>
          </w:tcPr>
          <w:p w14:paraId="6146B4FA" w14:textId="77777777" w:rsidR="00560745" w:rsidRDefault="00560745">
            <w:pPr>
              <w:spacing w:after="0"/>
              <w:rPr>
                <w:kern w:val="0"/>
                <w:sz w:val="20"/>
                <w:szCs w:val="20"/>
                <w:lang w:eastAsia="en-GB"/>
                <w14:ligatures w14:val="none"/>
              </w:rPr>
            </w:pPr>
          </w:p>
        </w:tc>
        <w:tc>
          <w:tcPr>
            <w:tcW w:w="992" w:type="dxa"/>
            <w:noWrap/>
            <w:tcMar>
              <w:top w:w="15" w:type="dxa"/>
              <w:left w:w="108" w:type="dxa"/>
              <w:bottom w:w="0" w:type="dxa"/>
              <w:right w:w="108" w:type="dxa"/>
            </w:tcMar>
            <w:vAlign w:val="bottom"/>
            <w:hideMark/>
          </w:tcPr>
          <w:p w14:paraId="7099D3D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991" w:type="dxa"/>
            <w:noWrap/>
            <w:tcMar>
              <w:top w:w="15" w:type="dxa"/>
              <w:left w:w="108" w:type="dxa"/>
              <w:bottom w:w="0" w:type="dxa"/>
              <w:right w:w="108" w:type="dxa"/>
            </w:tcMar>
            <w:vAlign w:val="bottom"/>
            <w:hideMark/>
          </w:tcPr>
          <w:p w14:paraId="5860534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2022-23</w:t>
            </w:r>
          </w:p>
        </w:tc>
        <w:tc>
          <w:tcPr>
            <w:tcW w:w="992" w:type="dxa"/>
            <w:noWrap/>
            <w:tcMar>
              <w:top w:w="15" w:type="dxa"/>
              <w:left w:w="108" w:type="dxa"/>
              <w:bottom w:w="0" w:type="dxa"/>
              <w:right w:w="108" w:type="dxa"/>
            </w:tcMar>
            <w:vAlign w:val="bottom"/>
            <w:hideMark/>
          </w:tcPr>
          <w:p w14:paraId="02673D3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991" w:type="dxa"/>
            <w:noWrap/>
            <w:tcMar>
              <w:top w:w="15" w:type="dxa"/>
              <w:left w:w="108" w:type="dxa"/>
              <w:bottom w:w="0" w:type="dxa"/>
              <w:right w:w="108" w:type="dxa"/>
            </w:tcMar>
            <w:vAlign w:val="bottom"/>
            <w:hideMark/>
          </w:tcPr>
          <w:p w14:paraId="4DA4DEF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2022-23</w:t>
            </w:r>
          </w:p>
        </w:tc>
        <w:tc>
          <w:tcPr>
            <w:tcW w:w="1275" w:type="dxa"/>
            <w:noWrap/>
            <w:tcMar>
              <w:top w:w="15" w:type="dxa"/>
              <w:left w:w="108" w:type="dxa"/>
              <w:bottom w:w="0" w:type="dxa"/>
              <w:right w:w="108" w:type="dxa"/>
            </w:tcMar>
            <w:vAlign w:val="bottom"/>
            <w:hideMark/>
          </w:tcPr>
          <w:p w14:paraId="490B98F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133" w:type="dxa"/>
            <w:noWrap/>
            <w:tcMar>
              <w:top w:w="15" w:type="dxa"/>
              <w:left w:w="108" w:type="dxa"/>
              <w:bottom w:w="0" w:type="dxa"/>
              <w:right w:w="108" w:type="dxa"/>
            </w:tcMar>
            <w:vAlign w:val="bottom"/>
            <w:hideMark/>
          </w:tcPr>
          <w:p w14:paraId="5CF7C1F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2022-23</w:t>
            </w:r>
          </w:p>
        </w:tc>
      </w:tr>
      <w:tr w:rsidR="00560745" w14:paraId="2AA62A7C" w14:textId="77777777" w:rsidTr="00A65B43">
        <w:trPr>
          <w:gridAfter w:val="1"/>
          <w:wAfter w:w="6" w:type="dxa"/>
          <w:trHeight w:val="320"/>
        </w:trPr>
        <w:tc>
          <w:tcPr>
            <w:tcW w:w="2551" w:type="dxa"/>
            <w:noWrap/>
            <w:tcMar>
              <w:top w:w="15" w:type="dxa"/>
              <w:left w:w="108" w:type="dxa"/>
              <w:bottom w:w="0" w:type="dxa"/>
              <w:right w:w="108" w:type="dxa"/>
            </w:tcMar>
            <w:vAlign w:val="bottom"/>
            <w:hideMark/>
          </w:tcPr>
          <w:p w14:paraId="3382A887"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Activities funded from:</w:t>
            </w:r>
          </w:p>
        </w:tc>
        <w:tc>
          <w:tcPr>
            <w:tcW w:w="992" w:type="dxa"/>
            <w:tcBorders>
              <w:top w:val="nil"/>
              <w:left w:val="nil"/>
              <w:bottom w:val="single" w:sz="8" w:space="0" w:color="auto"/>
              <w:right w:val="nil"/>
            </w:tcBorders>
            <w:noWrap/>
            <w:tcMar>
              <w:top w:w="15" w:type="dxa"/>
              <w:left w:w="108" w:type="dxa"/>
              <w:bottom w:w="0" w:type="dxa"/>
              <w:right w:w="108" w:type="dxa"/>
            </w:tcMar>
            <w:vAlign w:val="bottom"/>
            <w:hideMark/>
          </w:tcPr>
          <w:p w14:paraId="3688152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991" w:type="dxa"/>
            <w:tcBorders>
              <w:top w:val="nil"/>
              <w:left w:val="nil"/>
              <w:bottom w:val="single" w:sz="8" w:space="0" w:color="auto"/>
              <w:right w:val="nil"/>
            </w:tcBorders>
            <w:noWrap/>
            <w:tcMar>
              <w:top w:w="15" w:type="dxa"/>
              <w:left w:w="108" w:type="dxa"/>
              <w:bottom w:w="0" w:type="dxa"/>
              <w:right w:w="108" w:type="dxa"/>
            </w:tcMar>
            <w:vAlign w:val="bottom"/>
            <w:hideMark/>
          </w:tcPr>
          <w:p w14:paraId="1DA0C91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£'000</w:t>
            </w:r>
          </w:p>
        </w:tc>
        <w:tc>
          <w:tcPr>
            <w:tcW w:w="992" w:type="dxa"/>
            <w:tcBorders>
              <w:top w:val="nil"/>
              <w:left w:val="nil"/>
              <w:bottom w:val="single" w:sz="8" w:space="0" w:color="auto"/>
              <w:right w:val="nil"/>
            </w:tcBorders>
            <w:noWrap/>
            <w:tcMar>
              <w:top w:w="15" w:type="dxa"/>
              <w:left w:w="108" w:type="dxa"/>
              <w:bottom w:w="0" w:type="dxa"/>
              <w:right w:w="108" w:type="dxa"/>
            </w:tcMar>
            <w:vAlign w:val="bottom"/>
            <w:hideMark/>
          </w:tcPr>
          <w:p w14:paraId="3C4F799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991" w:type="dxa"/>
            <w:tcBorders>
              <w:top w:val="nil"/>
              <w:left w:val="nil"/>
              <w:bottom w:val="single" w:sz="8" w:space="0" w:color="auto"/>
              <w:right w:val="nil"/>
            </w:tcBorders>
            <w:noWrap/>
            <w:tcMar>
              <w:top w:w="15" w:type="dxa"/>
              <w:left w:w="108" w:type="dxa"/>
              <w:bottom w:w="0" w:type="dxa"/>
              <w:right w:w="108" w:type="dxa"/>
            </w:tcMar>
            <w:vAlign w:val="bottom"/>
            <w:hideMark/>
          </w:tcPr>
          <w:p w14:paraId="4FF8172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£'000</w:t>
            </w:r>
          </w:p>
        </w:tc>
        <w:tc>
          <w:tcPr>
            <w:tcW w:w="1275" w:type="dxa"/>
            <w:tcBorders>
              <w:top w:val="nil"/>
              <w:left w:val="nil"/>
              <w:bottom w:val="single" w:sz="8" w:space="0" w:color="auto"/>
              <w:right w:val="nil"/>
            </w:tcBorders>
            <w:noWrap/>
            <w:tcMar>
              <w:top w:w="15" w:type="dxa"/>
              <w:left w:w="108" w:type="dxa"/>
              <w:bottom w:w="0" w:type="dxa"/>
              <w:right w:w="108" w:type="dxa"/>
            </w:tcMar>
            <w:vAlign w:val="bottom"/>
            <w:hideMark/>
          </w:tcPr>
          <w:p w14:paraId="7B9C2A3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3" w:type="dxa"/>
            <w:tcBorders>
              <w:top w:val="nil"/>
              <w:left w:val="nil"/>
              <w:bottom w:val="single" w:sz="8" w:space="0" w:color="auto"/>
              <w:right w:val="nil"/>
            </w:tcBorders>
            <w:noWrap/>
            <w:tcMar>
              <w:top w:w="15" w:type="dxa"/>
              <w:left w:w="108" w:type="dxa"/>
              <w:bottom w:w="0" w:type="dxa"/>
              <w:right w:w="108" w:type="dxa"/>
            </w:tcMar>
            <w:vAlign w:val="bottom"/>
            <w:hideMark/>
          </w:tcPr>
          <w:p w14:paraId="310BBED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£'000</w:t>
            </w:r>
          </w:p>
        </w:tc>
      </w:tr>
      <w:tr w:rsidR="00560745" w14:paraId="621A4F11" w14:textId="77777777" w:rsidTr="00A65B43">
        <w:trPr>
          <w:gridAfter w:val="1"/>
          <w:wAfter w:w="6" w:type="dxa"/>
          <w:trHeight w:val="285"/>
        </w:trPr>
        <w:tc>
          <w:tcPr>
            <w:tcW w:w="2551" w:type="dxa"/>
            <w:noWrap/>
            <w:tcMar>
              <w:top w:w="15" w:type="dxa"/>
              <w:left w:w="108" w:type="dxa"/>
              <w:bottom w:w="0" w:type="dxa"/>
              <w:right w:w="108" w:type="dxa"/>
            </w:tcMar>
            <w:vAlign w:val="bottom"/>
            <w:hideMark/>
          </w:tcPr>
          <w:p w14:paraId="43B896BC" w14:textId="77777777" w:rsidR="00560745" w:rsidRDefault="00560745" w:rsidP="00D57688">
            <w:pPr>
              <w:spacing w:after="0" w:line="240" w:lineRule="auto"/>
              <w:ind w:left="34" w:hanging="142"/>
              <w:rPr>
                <w:rFonts w:eastAsia="Times New Roman"/>
                <w:kern w:val="0"/>
                <w:sz w:val="20"/>
                <w:szCs w:val="20"/>
                <w:lang w:eastAsia="en-GB"/>
                <w14:ligatures w14:val="none"/>
              </w:rPr>
            </w:pPr>
            <w:r>
              <w:rPr>
                <w:rFonts w:eastAsia="Times New Roman"/>
                <w:kern w:val="0"/>
                <w:sz w:val="20"/>
                <w:szCs w:val="20"/>
                <w:lang w:eastAsia="en-GB"/>
                <w14:ligatures w14:val="none"/>
              </w:rPr>
              <w:t xml:space="preserve">   DBT/BEIS financing</w:t>
            </w:r>
          </w:p>
        </w:tc>
        <w:tc>
          <w:tcPr>
            <w:tcW w:w="992" w:type="dxa"/>
            <w:noWrap/>
            <w:tcMar>
              <w:top w:w="15" w:type="dxa"/>
              <w:left w:w="108" w:type="dxa"/>
              <w:bottom w:w="0" w:type="dxa"/>
              <w:right w:w="108" w:type="dxa"/>
            </w:tcMar>
            <w:vAlign w:val="bottom"/>
            <w:hideMark/>
          </w:tcPr>
          <w:p w14:paraId="1B7B934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4,841 </w:t>
            </w:r>
          </w:p>
        </w:tc>
        <w:tc>
          <w:tcPr>
            <w:tcW w:w="991" w:type="dxa"/>
            <w:noWrap/>
            <w:tcMar>
              <w:top w:w="15" w:type="dxa"/>
              <w:left w:w="108" w:type="dxa"/>
              <w:bottom w:w="0" w:type="dxa"/>
              <w:right w:w="108" w:type="dxa"/>
            </w:tcMar>
            <w:vAlign w:val="bottom"/>
            <w:hideMark/>
          </w:tcPr>
          <w:p w14:paraId="6ECDAA4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1,954 </w:t>
            </w:r>
          </w:p>
        </w:tc>
        <w:tc>
          <w:tcPr>
            <w:tcW w:w="992" w:type="dxa"/>
            <w:noWrap/>
            <w:tcMar>
              <w:top w:w="15" w:type="dxa"/>
              <w:left w:w="108" w:type="dxa"/>
              <w:bottom w:w="0" w:type="dxa"/>
              <w:right w:w="108" w:type="dxa"/>
            </w:tcMar>
            <w:vAlign w:val="bottom"/>
            <w:hideMark/>
          </w:tcPr>
          <w:p w14:paraId="6309B14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79,180 </w:t>
            </w:r>
          </w:p>
        </w:tc>
        <w:tc>
          <w:tcPr>
            <w:tcW w:w="991" w:type="dxa"/>
            <w:noWrap/>
            <w:tcMar>
              <w:top w:w="15" w:type="dxa"/>
              <w:left w:w="108" w:type="dxa"/>
              <w:bottom w:w="0" w:type="dxa"/>
              <w:right w:w="108" w:type="dxa"/>
            </w:tcMar>
            <w:vAlign w:val="bottom"/>
            <w:hideMark/>
          </w:tcPr>
          <w:p w14:paraId="05E2715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81,469 </w:t>
            </w:r>
          </w:p>
        </w:tc>
        <w:tc>
          <w:tcPr>
            <w:tcW w:w="1275" w:type="dxa"/>
            <w:noWrap/>
            <w:tcMar>
              <w:top w:w="15" w:type="dxa"/>
              <w:left w:w="108" w:type="dxa"/>
              <w:bottom w:w="0" w:type="dxa"/>
              <w:right w:w="108" w:type="dxa"/>
            </w:tcMar>
            <w:vAlign w:val="bottom"/>
            <w:hideMark/>
          </w:tcPr>
          <w:p w14:paraId="5B2214A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(74,339) </w:t>
            </w:r>
          </w:p>
        </w:tc>
        <w:tc>
          <w:tcPr>
            <w:tcW w:w="1133" w:type="dxa"/>
            <w:noWrap/>
            <w:tcMar>
              <w:top w:w="15" w:type="dxa"/>
              <w:left w:w="108" w:type="dxa"/>
              <w:bottom w:w="0" w:type="dxa"/>
              <w:right w:w="108" w:type="dxa"/>
            </w:tcMar>
            <w:vAlign w:val="bottom"/>
            <w:hideMark/>
          </w:tcPr>
          <w:p w14:paraId="4580326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(79,515) </w:t>
            </w:r>
          </w:p>
        </w:tc>
      </w:tr>
      <w:tr w:rsidR="00560745" w14:paraId="0A9960A9" w14:textId="77777777" w:rsidTr="00A65B43">
        <w:trPr>
          <w:gridAfter w:val="1"/>
          <w:wAfter w:w="6" w:type="dxa"/>
          <w:trHeight w:val="285"/>
        </w:trPr>
        <w:tc>
          <w:tcPr>
            <w:tcW w:w="2551" w:type="dxa"/>
            <w:noWrap/>
            <w:tcMar>
              <w:top w:w="15" w:type="dxa"/>
              <w:left w:w="108" w:type="dxa"/>
              <w:bottom w:w="0" w:type="dxa"/>
              <w:right w:w="108" w:type="dxa"/>
            </w:tcMar>
            <w:vAlign w:val="bottom"/>
            <w:hideMark/>
          </w:tcPr>
          <w:p w14:paraId="26581B1D" w14:textId="77777777" w:rsidR="00560745" w:rsidRDefault="00560745" w:rsidP="00D57688">
            <w:pPr>
              <w:spacing w:after="0" w:line="240" w:lineRule="auto"/>
              <w:ind w:left="34" w:hanging="142"/>
              <w:rPr>
                <w:rFonts w:eastAsia="Times New Roman"/>
                <w:kern w:val="0"/>
                <w:sz w:val="20"/>
                <w:szCs w:val="20"/>
                <w:lang w:eastAsia="en-GB"/>
                <w14:ligatures w14:val="none"/>
              </w:rPr>
            </w:pPr>
            <w:r>
              <w:rPr>
                <w:rFonts w:eastAsia="Times New Roman"/>
                <w:kern w:val="0"/>
                <w:sz w:val="20"/>
                <w:szCs w:val="20"/>
                <w:lang w:eastAsia="en-GB"/>
                <w14:ligatures w14:val="none"/>
              </w:rPr>
              <w:t xml:space="preserve">   Fees</w:t>
            </w:r>
          </w:p>
        </w:tc>
        <w:tc>
          <w:tcPr>
            <w:tcW w:w="992" w:type="dxa"/>
            <w:noWrap/>
            <w:tcMar>
              <w:top w:w="15" w:type="dxa"/>
              <w:left w:w="108" w:type="dxa"/>
              <w:bottom w:w="0" w:type="dxa"/>
              <w:right w:w="108" w:type="dxa"/>
            </w:tcMar>
            <w:vAlign w:val="bottom"/>
            <w:hideMark/>
          </w:tcPr>
          <w:p w14:paraId="1D14FC8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53,347 </w:t>
            </w:r>
          </w:p>
        </w:tc>
        <w:tc>
          <w:tcPr>
            <w:tcW w:w="991" w:type="dxa"/>
            <w:noWrap/>
            <w:tcMar>
              <w:top w:w="15" w:type="dxa"/>
              <w:left w:w="108" w:type="dxa"/>
              <w:bottom w:w="0" w:type="dxa"/>
              <w:right w:w="108" w:type="dxa"/>
            </w:tcMar>
            <w:vAlign w:val="bottom"/>
            <w:hideMark/>
          </w:tcPr>
          <w:p w14:paraId="4927B9F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49,132 </w:t>
            </w:r>
          </w:p>
        </w:tc>
        <w:tc>
          <w:tcPr>
            <w:tcW w:w="992" w:type="dxa"/>
            <w:noWrap/>
            <w:tcMar>
              <w:top w:w="15" w:type="dxa"/>
              <w:left w:w="108" w:type="dxa"/>
              <w:bottom w:w="0" w:type="dxa"/>
              <w:right w:w="108" w:type="dxa"/>
            </w:tcMar>
            <w:vAlign w:val="bottom"/>
            <w:hideMark/>
          </w:tcPr>
          <w:p w14:paraId="14159E5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63,263 </w:t>
            </w:r>
          </w:p>
        </w:tc>
        <w:tc>
          <w:tcPr>
            <w:tcW w:w="991" w:type="dxa"/>
            <w:noWrap/>
            <w:tcMar>
              <w:top w:w="15" w:type="dxa"/>
              <w:left w:w="108" w:type="dxa"/>
              <w:bottom w:w="0" w:type="dxa"/>
              <w:right w:w="108" w:type="dxa"/>
            </w:tcMar>
            <w:vAlign w:val="bottom"/>
            <w:hideMark/>
          </w:tcPr>
          <w:p w14:paraId="1C68E54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58,055 </w:t>
            </w:r>
          </w:p>
        </w:tc>
        <w:tc>
          <w:tcPr>
            <w:tcW w:w="1275" w:type="dxa"/>
            <w:noWrap/>
            <w:tcMar>
              <w:top w:w="15" w:type="dxa"/>
              <w:left w:w="108" w:type="dxa"/>
              <w:bottom w:w="0" w:type="dxa"/>
              <w:right w:w="108" w:type="dxa"/>
            </w:tcMar>
            <w:vAlign w:val="bottom"/>
            <w:hideMark/>
          </w:tcPr>
          <w:p w14:paraId="7F315F1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(9,916) </w:t>
            </w:r>
          </w:p>
        </w:tc>
        <w:tc>
          <w:tcPr>
            <w:tcW w:w="1133" w:type="dxa"/>
            <w:noWrap/>
            <w:tcMar>
              <w:top w:w="15" w:type="dxa"/>
              <w:left w:w="108" w:type="dxa"/>
              <w:bottom w:w="0" w:type="dxa"/>
              <w:right w:w="108" w:type="dxa"/>
            </w:tcMar>
            <w:vAlign w:val="bottom"/>
            <w:hideMark/>
          </w:tcPr>
          <w:p w14:paraId="2419BDF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(8,923) </w:t>
            </w:r>
          </w:p>
        </w:tc>
      </w:tr>
      <w:tr w:rsidR="00560745" w14:paraId="714760B1" w14:textId="77777777" w:rsidTr="00A65B43">
        <w:trPr>
          <w:gridAfter w:val="1"/>
          <w:wAfter w:w="6" w:type="dxa"/>
          <w:trHeight w:val="285"/>
        </w:trPr>
        <w:tc>
          <w:tcPr>
            <w:tcW w:w="2551" w:type="dxa"/>
            <w:noWrap/>
            <w:tcMar>
              <w:top w:w="15" w:type="dxa"/>
              <w:left w:w="108" w:type="dxa"/>
              <w:bottom w:w="0" w:type="dxa"/>
              <w:right w:w="108" w:type="dxa"/>
            </w:tcMar>
            <w:vAlign w:val="bottom"/>
            <w:hideMark/>
          </w:tcPr>
          <w:p w14:paraId="391DE227" w14:textId="77777777" w:rsidR="00560745" w:rsidRDefault="00560745" w:rsidP="00D57688">
            <w:pPr>
              <w:spacing w:after="0" w:line="240" w:lineRule="auto"/>
              <w:ind w:left="34" w:hanging="142"/>
              <w:rPr>
                <w:rFonts w:eastAsia="Times New Roman"/>
                <w:kern w:val="0"/>
                <w:sz w:val="20"/>
                <w:szCs w:val="20"/>
                <w:lang w:eastAsia="en-GB"/>
                <w14:ligatures w14:val="none"/>
              </w:rPr>
            </w:pPr>
            <w:r>
              <w:rPr>
                <w:rFonts w:eastAsia="Times New Roman"/>
                <w:kern w:val="0"/>
                <w:sz w:val="20"/>
                <w:szCs w:val="20"/>
                <w:lang w:eastAsia="en-GB"/>
                <w14:ligatures w14:val="none"/>
              </w:rPr>
              <w:t xml:space="preserve">   Fees (excess income)¹</w:t>
            </w:r>
          </w:p>
        </w:tc>
        <w:tc>
          <w:tcPr>
            <w:tcW w:w="992" w:type="dxa"/>
            <w:noWrap/>
            <w:tcMar>
              <w:top w:w="15" w:type="dxa"/>
              <w:left w:w="108" w:type="dxa"/>
              <w:bottom w:w="0" w:type="dxa"/>
              <w:right w:w="108" w:type="dxa"/>
            </w:tcMar>
            <w:vAlign w:val="bottom"/>
            <w:hideMark/>
          </w:tcPr>
          <w:p w14:paraId="4A79B2D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12,401 </w:t>
            </w:r>
          </w:p>
        </w:tc>
        <w:tc>
          <w:tcPr>
            <w:tcW w:w="991" w:type="dxa"/>
            <w:noWrap/>
            <w:tcMar>
              <w:top w:w="15" w:type="dxa"/>
              <w:left w:w="108" w:type="dxa"/>
              <w:bottom w:w="0" w:type="dxa"/>
              <w:right w:w="108" w:type="dxa"/>
            </w:tcMar>
            <w:vAlign w:val="bottom"/>
            <w:hideMark/>
          </w:tcPr>
          <w:p w14:paraId="39CE65D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65,939 </w:t>
            </w:r>
          </w:p>
        </w:tc>
        <w:tc>
          <w:tcPr>
            <w:tcW w:w="992" w:type="dxa"/>
            <w:noWrap/>
            <w:tcMar>
              <w:top w:w="15" w:type="dxa"/>
              <w:left w:w="108" w:type="dxa"/>
              <w:bottom w:w="0" w:type="dxa"/>
              <w:right w:w="108" w:type="dxa"/>
            </w:tcMar>
            <w:vAlign w:val="bottom"/>
            <w:hideMark/>
          </w:tcPr>
          <w:p w14:paraId="3E26392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991" w:type="dxa"/>
            <w:noWrap/>
            <w:tcMar>
              <w:top w:w="15" w:type="dxa"/>
              <w:left w:w="108" w:type="dxa"/>
              <w:bottom w:w="0" w:type="dxa"/>
              <w:right w:w="108" w:type="dxa"/>
            </w:tcMar>
            <w:vAlign w:val="bottom"/>
            <w:hideMark/>
          </w:tcPr>
          <w:p w14:paraId="5B6C838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5" w:type="dxa"/>
            <w:noWrap/>
            <w:tcMar>
              <w:top w:w="15" w:type="dxa"/>
              <w:left w:w="108" w:type="dxa"/>
              <w:bottom w:w="0" w:type="dxa"/>
              <w:right w:w="108" w:type="dxa"/>
            </w:tcMar>
            <w:vAlign w:val="bottom"/>
            <w:hideMark/>
          </w:tcPr>
          <w:p w14:paraId="6CFDFE5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12,401 </w:t>
            </w:r>
          </w:p>
        </w:tc>
        <w:tc>
          <w:tcPr>
            <w:tcW w:w="1133" w:type="dxa"/>
            <w:noWrap/>
            <w:tcMar>
              <w:top w:w="15" w:type="dxa"/>
              <w:left w:w="108" w:type="dxa"/>
              <w:bottom w:w="0" w:type="dxa"/>
              <w:right w:w="108" w:type="dxa"/>
            </w:tcMar>
            <w:vAlign w:val="bottom"/>
            <w:hideMark/>
          </w:tcPr>
          <w:p w14:paraId="67137A4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65,939 </w:t>
            </w:r>
          </w:p>
        </w:tc>
      </w:tr>
      <w:tr w:rsidR="00560745" w14:paraId="04C99919" w14:textId="77777777" w:rsidTr="00A65B43">
        <w:trPr>
          <w:gridAfter w:val="1"/>
          <w:wAfter w:w="6" w:type="dxa"/>
          <w:trHeight w:val="285"/>
        </w:trPr>
        <w:tc>
          <w:tcPr>
            <w:tcW w:w="2551" w:type="dxa"/>
            <w:noWrap/>
            <w:tcMar>
              <w:top w:w="15" w:type="dxa"/>
              <w:left w:w="108" w:type="dxa"/>
              <w:bottom w:w="0" w:type="dxa"/>
              <w:right w:w="108" w:type="dxa"/>
            </w:tcMar>
            <w:vAlign w:val="bottom"/>
            <w:hideMark/>
          </w:tcPr>
          <w:p w14:paraId="1616F98C" w14:textId="12FB1327" w:rsidR="00560745" w:rsidRDefault="00560745" w:rsidP="00D57688">
            <w:pPr>
              <w:spacing w:after="0" w:line="240" w:lineRule="auto"/>
              <w:ind w:left="34" w:hanging="142"/>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r w:rsidR="00200B29" w:rsidRPr="00200B29">
              <w:rPr>
                <w:rFonts w:eastAsia="Times New Roman" w:cstheme="minorHAnsi"/>
                <w:sz w:val="20"/>
                <w:szCs w:val="20"/>
              </w:rPr>
              <w:t>HM Revenue &amp; Customs</w:t>
            </w:r>
            <w:r>
              <w:rPr>
                <w:rFonts w:eastAsia="Times New Roman"/>
                <w:kern w:val="0"/>
                <w:sz w:val="20"/>
                <w:szCs w:val="20"/>
                <w:lang w:eastAsia="en-GB"/>
                <w14:ligatures w14:val="none"/>
              </w:rPr>
              <w:t xml:space="preserve"> </w:t>
            </w:r>
            <w:r w:rsidR="00F417D3">
              <w:rPr>
                <w:rFonts w:eastAsia="Times New Roman"/>
                <w:kern w:val="0"/>
                <w:sz w:val="20"/>
                <w:szCs w:val="20"/>
                <w:lang w:eastAsia="en-GB"/>
                <w14:ligatures w14:val="none"/>
              </w:rPr>
              <w:t xml:space="preserve">  </w:t>
            </w:r>
            <w:r>
              <w:rPr>
                <w:rFonts w:eastAsia="Times New Roman"/>
                <w:kern w:val="0"/>
                <w:sz w:val="20"/>
                <w:szCs w:val="20"/>
                <w:lang w:eastAsia="en-GB"/>
                <w14:ligatures w14:val="none"/>
              </w:rPr>
              <w:t xml:space="preserve"> for RPS administration</w:t>
            </w:r>
          </w:p>
        </w:tc>
        <w:tc>
          <w:tcPr>
            <w:tcW w:w="992" w:type="dxa"/>
            <w:noWrap/>
            <w:tcMar>
              <w:top w:w="15" w:type="dxa"/>
              <w:left w:w="108" w:type="dxa"/>
              <w:bottom w:w="0" w:type="dxa"/>
              <w:right w:w="108" w:type="dxa"/>
            </w:tcMar>
            <w:vAlign w:val="bottom"/>
            <w:hideMark/>
          </w:tcPr>
          <w:p w14:paraId="0A70221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9,551 </w:t>
            </w:r>
          </w:p>
        </w:tc>
        <w:tc>
          <w:tcPr>
            <w:tcW w:w="991" w:type="dxa"/>
            <w:noWrap/>
            <w:tcMar>
              <w:top w:w="15" w:type="dxa"/>
              <w:left w:w="108" w:type="dxa"/>
              <w:bottom w:w="0" w:type="dxa"/>
              <w:right w:w="108" w:type="dxa"/>
            </w:tcMar>
            <w:vAlign w:val="bottom"/>
            <w:hideMark/>
          </w:tcPr>
          <w:p w14:paraId="0AD78E1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9,597 </w:t>
            </w:r>
          </w:p>
        </w:tc>
        <w:tc>
          <w:tcPr>
            <w:tcW w:w="992" w:type="dxa"/>
            <w:noWrap/>
            <w:tcMar>
              <w:top w:w="15" w:type="dxa"/>
              <w:left w:w="108" w:type="dxa"/>
              <w:bottom w:w="0" w:type="dxa"/>
              <w:right w:w="108" w:type="dxa"/>
            </w:tcMar>
            <w:vAlign w:val="bottom"/>
            <w:hideMark/>
          </w:tcPr>
          <w:p w14:paraId="0A73C14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9,474 </w:t>
            </w:r>
          </w:p>
        </w:tc>
        <w:tc>
          <w:tcPr>
            <w:tcW w:w="991" w:type="dxa"/>
            <w:noWrap/>
            <w:tcMar>
              <w:top w:w="15" w:type="dxa"/>
              <w:left w:w="108" w:type="dxa"/>
              <w:bottom w:w="0" w:type="dxa"/>
              <w:right w:w="108" w:type="dxa"/>
            </w:tcMar>
            <w:vAlign w:val="bottom"/>
            <w:hideMark/>
          </w:tcPr>
          <w:p w14:paraId="15C9C8D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8,878 </w:t>
            </w:r>
          </w:p>
        </w:tc>
        <w:tc>
          <w:tcPr>
            <w:tcW w:w="1275" w:type="dxa"/>
            <w:noWrap/>
            <w:tcMar>
              <w:top w:w="15" w:type="dxa"/>
              <w:left w:w="108" w:type="dxa"/>
              <w:bottom w:w="0" w:type="dxa"/>
              <w:right w:w="108" w:type="dxa"/>
            </w:tcMar>
            <w:vAlign w:val="bottom"/>
            <w:hideMark/>
          </w:tcPr>
          <w:p w14:paraId="792A74A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77 </w:t>
            </w:r>
          </w:p>
        </w:tc>
        <w:tc>
          <w:tcPr>
            <w:tcW w:w="1133" w:type="dxa"/>
            <w:noWrap/>
            <w:tcMar>
              <w:top w:w="15" w:type="dxa"/>
              <w:left w:w="108" w:type="dxa"/>
              <w:bottom w:w="0" w:type="dxa"/>
              <w:right w:w="108" w:type="dxa"/>
            </w:tcMar>
            <w:vAlign w:val="bottom"/>
            <w:hideMark/>
          </w:tcPr>
          <w:p w14:paraId="6CC9623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719 </w:t>
            </w:r>
          </w:p>
        </w:tc>
      </w:tr>
      <w:tr w:rsidR="00560745" w14:paraId="6C087954" w14:textId="77777777" w:rsidTr="00A65B43">
        <w:trPr>
          <w:gridAfter w:val="1"/>
          <w:wAfter w:w="6" w:type="dxa"/>
          <w:trHeight w:val="285"/>
        </w:trPr>
        <w:tc>
          <w:tcPr>
            <w:tcW w:w="2551" w:type="dxa"/>
            <w:noWrap/>
            <w:tcMar>
              <w:top w:w="15" w:type="dxa"/>
              <w:left w:w="108" w:type="dxa"/>
              <w:bottom w:w="0" w:type="dxa"/>
              <w:right w:w="108" w:type="dxa"/>
            </w:tcMar>
            <w:vAlign w:val="bottom"/>
            <w:hideMark/>
          </w:tcPr>
          <w:p w14:paraId="1F6594B6" w14:textId="3D010EC1" w:rsidR="00560745" w:rsidRDefault="00560745" w:rsidP="00D57688">
            <w:pPr>
              <w:spacing w:after="0" w:line="240" w:lineRule="auto"/>
              <w:ind w:left="34" w:hanging="142"/>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r w:rsidR="00F417D3" w:rsidRPr="00F417D3">
              <w:rPr>
                <w:rFonts w:eastAsia="Times New Roman" w:cstheme="minorHAnsi"/>
                <w:sz w:val="20"/>
                <w:szCs w:val="20"/>
              </w:rPr>
              <w:t>HM Revenue &amp; Customs</w:t>
            </w:r>
            <w:r>
              <w:rPr>
                <w:rFonts w:eastAsia="Times New Roman"/>
                <w:kern w:val="0"/>
                <w:sz w:val="20"/>
                <w:szCs w:val="20"/>
                <w:lang w:eastAsia="en-GB"/>
                <w14:ligatures w14:val="none"/>
              </w:rPr>
              <w:t xml:space="preserve"> for redundancy payments</w:t>
            </w:r>
          </w:p>
        </w:tc>
        <w:tc>
          <w:tcPr>
            <w:tcW w:w="992" w:type="dxa"/>
            <w:noWrap/>
            <w:tcMar>
              <w:top w:w="15" w:type="dxa"/>
              <w:left w:w="108" w:type="dxa"/>
              <w:bottom w:w="0" w:type="dxa"/>
              <w:right w:w="108" w:type="dxa"/>
            </w:tcMar>
            <w:vAlign w:val="bottom"/>
            <w:hideMark/>
          </w:tcPr>
          <w:p w14:paraId="1706CBA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39,813 </w:t>
            </w:r>
          </w:p>
        </w:tc>
        <w:tc>
          <w:tcPr>
            <w:tcW w:w="991" w:type="dxa"/>
            <w:noWrap/>
            <w:tcMar>
              <w:top w:w="15" w:type="dxa"/>
              <w:left w:w="108" w:type="dxa"/>
              <w:bottom w:w="0" w:type="dxa"/>
              <w:right w:w="108" w:type="dxa"/>
            </w:tcMar>
            <w:vAlign w:val="bottom"/>
            <w:hideMark/>
          </w:tcPr>
          <w:p w14:paraId="7AC0A99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28,507 </w:t>
            </w:r>
          </w:p>
        </w:tc>
        <w:tc>
          <w:tcPr>
            <w:tcW w:w="992" w:type="dxa"/>
            <w:noWrap/>
            <w:tcMar>
              <w:top w:w="15" w:type="dxa"/>
              <w:left w:w="108" w:type="dxa"/>
              <w:bottom w:w="0" w:type="dxa"/>
              <w:right w:w="108" w:type="dxa"/>
            </w:tcMar>
            <w:vAlign w:val="bottom"/>
            <w:hideMark/>
          </w:tcPr>
          <w:p w14:paraId="4C3664A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510,012 </w:t>
            </w:r>
          </w:p>
        </w:tc>
        <w:tc>
          <w:tcPr>
            <w:tcW w:w="991" w:type="dxa"/>
            <w:noWrap/>
            <w:tcMar>
              <w:top w:w="15" w:type="dxa"/>
              <w:left w:w="108" w:type="dxa"/>
              <w:bottom w:w="0" w:type="dxa"/>
              <w:right w:w="108" w:type="dxa"/>
            </w:tcMar>
            <w:vAlign w:val="bottom"/>
            <w:hideMark/>
          </w:tcPr>
          <w:p w14:paraId="5DC095C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292,369 </w:t>
            </w:r>
          </w:p>
        </w:tc>
        <w:tc>
          <w:tcPr>
            <w:tcW w:w="1275" w:type="dxa"/>
            <w:noWrap/>
            <w:tcMar>
              <w:top w:w="15" w:type="dxa"/>
              <w:left w:w="108" w:type="dxa"/>
              <w:bottom w:w="0" w:type="dxa"/>
              <w:right w:w="108" w:type="dxa"/>
            </w:tcMar>
            <w:vAlign w:val="bottom"/>
            <w:hideMark/>
          </w:tcPr>
          <w:p w14:paraId="403E490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(470,199) </w:t>
            </w:r>
          </w:p>
        </w:tc>
        <w:tc>
          <w:tcPr>
            <w:tcW w:w="1133" w:type="dxa"/>
            <w:noWrap/>
            <w:tcMar>
              <w:top w:w="15" w:type="dxa"/>
              <w:left w:w="108" w:type="dxa"/>
              <w:bottom w:w="0" w:type="dxa"/>
              <w:right w:w="108" w:type="dxa"/>
            </w:tcMar>
            <w:vAlign w:val="bottom"/>
            <w:hideMark/>
          </w:tcPr>
          <w:p w14:paraId="3084A70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(263,862) </w:t>
            </w:r>
          </w:p>
        </w:tc>
      </w:tr>
      <w:tr w:rsidR="00560745" w14:paraId="63563834" w14:textId="77777777" w:rsidTr="00A65B43">
        <w:trPr>
          <w:gridAfter w:val="1"/>
          <w:wAfter w:w="6" w:type="dxa"/>
          <w:trHeight w:val="285"/>
        </w:trPr>
        <w:tc>
          <w:tcPr>
            <w:tcW w:w="2551" w:type="dxa"/>
            <w:noWrap/>
            <w:tcMar>
              <w:top w:w="15" w:type="dxa"/>
              <w:left w:w="108" w:type="dxa"/>
              <w:bottom w:w="0" w:type="dxa"/>
              <w:right w:w="108" w:type="dxa"/>
            </w:tcMar>
            <w:vAlign w:val="bottom"/>
            <w:hideMark/>
          </w:tcPr>
          <w:p w14:paraId="1C2377C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of all activities</w:t>
            </w:r>
          </w:p>
        </w:tc>
        <w:tc>
          <w:tcPr>
            <w:tcW w:w="99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7B745F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119,953 </w:t>
            </w:r>
          </w:p>
        </w:tc>
        <w:tc>
          <w:tcPr>
            <w:tcW w:w="991"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D04F14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155,129 </w:t>
            </w:r>
          </w:p>
        </w:tc>
        <w:tc>
          <w:tcPr>
            <w:tcW w:w="99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1A9CA2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661,929 </w:t>
            </w:r>
          </w:p>
        </w:tc>
        <w:tc>
          <w:tcPr>
            <w:tcW w:w="991"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9BCF00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440,771 </w:t>
            </w:r>
          </w:p>
        </w:tc>
        <w:tc>
          <w:tcPr>
            <w:tcW w:w="127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051A08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(541,976) </w:t>
            </w:r>
          </w:p>
        </w:tc>
        <w:tc>
          <w:tcPr>
            <w:tcW w:w="1133"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68910C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(285,642) </w:t>
            </w:r>
          </w:p>
        </w:tc>
      </w:tr>
      <w:tr w:rsidR="00560745" w14:paraId="598EFB83" w14:textId="77777777" w:rsidTr="00A65B43">
        <w:trPr>
          <w:trHeight w:val="825"/>
        </w:trPr>
        <w:tc>
          <w:tcPr>
            <w:tcW w:w="8931" w:type="dxa"/>
            <w:gridSpan w:val="8"/>
            <w:tcMar>
              <w:top w:w="15" w:type="dxa"/>
              <w:left w:w="108" w:type="dxa"/>
              <w:bottom w:w="0" w:type="dxa"/>
              <w:right w:w="108" w:type="dxa"/>
            </w:tcMar>
            <w:vAlign w:val="bottom"/>
            <w:hideMark/>
          </w:tcPr>
          <w:p w14:paraId="2DFC2387" w14:textId="77777777" w:rsidR="00FB60D5" w:rsidRDefault="00FB60D5">
            <w:pPr>
              <w:spacing w:after="0" w:line="240" w:lineRule="auto"/>
              <w:rPr>
                <w:rFonts w:eastAsia="Times New Roman"/>
                <w:kern w:val="0"/>
                <w:sz w:val="20"/>
                <w:szCs w:val="20"/>
                <w:lang w:eastAsia="en-GB"/>
                <w14:ligatures w14:val="none"/>
              </w:rPr>
            </w:pPr>
          </w:p>
          <w:p w14:paraId="02E3004B"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¹ The Fees (excess income) is a result of fees on the cash settlement of historic PPI claims on insolvent estates where performance obligations were substantially satisfied and have therefore been recognised as income upon receipt, as well as from National Interest Cases. This income is surrendered to the Consolidated Fund.</w:t>
            </w:r>
          </w:p>
        </w:tc>
      </w:tr>
      <w:tr w:rsidR="00560745" w14:paraId="34E30CB6" w14:textId="77777777" w:rsidTr="00A65B43">
        <w:trPr>
          <w:trHeight w:val="285"/>
        </w:trPr>
        <w:tc>
          <w:tcPr>
            <w:tcW w:w="8931" w:type="dxa"/>
            <w:gridSpan w:val="8"/>
            <w:tcMar>
              <w:top w:w="15" w:type="dxa"/>
              <w:left w:w="108" w:type="dxa"/>
              <w:bottom w:w="0" w:type="dxa"/>
              <w:right w:w="108" w:type="dxa"/>
            </w:tcMar>
            <w:vAlign w:val="bottom"/>
            <w:hideMark/>
          </w:tcPr>
          <w:p w14:paraId="6D6ACA62"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The figures in the table above are apportioned based on direct costs and overhead allocations.</w:t>
            </w:r>
          </w:p>
        </w:tc>
      </w:tr>
    </w:tbl>
    <w:p w14:paraId="056B6661" w14:textId="77777777" w:rsidR="00560745" w:rsidRDefault="00560745" w:rsidP="00560745">
      <w:pPr>
        <w:rPr>
          <w:rFonts w:ascii="Arial" w:hAnsi="Arial" w:cs="Arial"/>
          <w:sz w:val="24"/>
          <w:szCs w:val="24"/>
        </w:rPr>
      </w:pPr>
    </w:p>
    <w:p w14:paraId="6174BE8A" w14:textId="77777777" w:rsidR="00FB624B" w:rsidRDefault="00FB624B">
      <w:r>
        <w:br w:type="page"/>
      </w:r>
    </w:p>
    <w:tbl>
      <w:tblPr>
        <w:tblW w:w="8931" w:type="dxa"/>
        <w:tblLayout w:type="fixed"/>
        <w:tblLook w:val="04A0" w:firstRow="1" w:lastRow="0" w:firstColumn="1" w:lastColumn="0" w:noHBand="0" w:noVBand="1"/>
      </w:tblPr>
      <w:tblGrid>
        <w:gridCol w:w="567"/>
        <w:gridCol w:w="1558"/>
        <w:gridCol w:w="992"/>
        <w:gridCol w:w="1133"/>
        <w:gridCol w:w="1137"/>
        <w:gridCol w:w="1276"/>
        <w:gridCol w:w="1134"/>
        <w:gridCol w:w="1128"/>
        <w:gridCol w:w="6"/>
      </w:tblGrid>
      <w:tr w:rsidR="00560745" w14:paraId="53605DC4" w14:textId="77777777" w:rsidTr="0000519D">
        <w:trPr>
          <w:gridAfter w:val="1"/>
          <w:wAfter w:w="6" w:type="dxa"/>
          <w:trHeight w:val="127"/>
        </w:trPr>
        <w:tc>
          <w:tcPr>
            <w:tcW w:w="567" w:type="dxa"/>
            <w:tcMar>
              <w:top w:w="15" w:type="dxa"/>
              <w:left w:w="108" w:type="dxa"/>
              <w:bottom w:w="0" w:type="dxa"/>
              <w:right w:w="108" w:type="dxa"/>
            </w:tcMar>
            <w:vAlign w:val="bottom"/>
            <w:hideMark/>
          </w:tcPr>
          <w:p w14:paraId="5B32D4FD" w14:textId="694A4638" w:rsidR="00560745" w:rsidRPr="00B92A62" w:rsidRDefault="00560745" w:rsidP="00530284">
            <w:pPr>
              <w:spacing w:after="0" w:line="240" w:lineRule="auto"/>
              <w:rPr>
                <w:rFonts w:ascii="Arial" w:eastAsia="Times New Roman" w:hAnsi="Arial" w:cs="Arial"/>
                <w:b/>
                <w:bCs/>
                <w:kern w:val="0"/>
                <w:sz w:val="24"/>
                <w:szCs w:val="24"/>
                <w:lang w:eastAsia="en-GB"/>
                <w14:ligatures w14:val="none"/>
              </w:rPr>
            </w:pPr>
            <w:r w:rsidRPr="00B92A62">
              <w:rPr>
                <w:rFonts w:ascii="Arial" w:eastAsia="Times New Roman" w:hAnsi="Arial" w:cs="Arial"/>
                <w:b/>
                <w:bCs/>
                <w:kern w:val="0"/>
                <w:sz w:val="24"/>
                <w:szCs w:val="24"/>
                <w:lang w:eastAsia="en-GB"/>
                <w14:ligatures w14:val="none"/>
              </w:rPr>
              <w:lastRenderedPageBreak/>
              <w:t>6</w:t>
            </w:r>
          </w:p>
        </w:tc>
        <w:tc>
          <w:tcPr>
            <w:tcW w:w="8358" w:type="dxa"/>
            <w:gridSpan w:val="7"/>
            <w:tcMar>
              <w:top w:w="15" w:type="dxa"/>
              <w:left w:w="108" w:type="dxa"/>
              <w:bottom w:w="0" w:type="dxa"/>
              <w:right w:w="108" w:type="dxa"/>
            </w:tcMar>
            <w:vAlign w:val="bottom"/>
            <w:hideMark/>
          </w:tcPr>
          <w:p w14:paraId="4821CA72" w14:textId="77777777" w:rsidR="00560745" w:rsidRPr="00B92A62" w:rsidRDefault="00560745">
            <w:pPr>
              <w:spacing w:after="0" w:line="240" w:lineRule="auto"/>
              <w:rPr>
                <w:rFonts w:ascii="Arial" w:eastAsia="Times New Roman" w:hAnsi="Arial" w:cs="Arial"/>
                <w:kern w:val="0"/>
                <w:sz w:val="24"/>
                <w:szCs w:val="24"/>
                <w:lang w:eastAsia="en-GB"/>
                <w14:ligatures w14:val="none"/>
              </w:rPr>
            </w:pPr>
            <w:r w:rsidRPr="00B92A62">
              <w:rPr>
                <w:rFonts w:ascii="Arial" w:eastAsia="Times New Roman" w:hAnsi="Arial" w:cs="Arial"/>
                <w:b/>
                <w:bCs/>
                <w:kern w:val="0"/>
                <w:sz w:val="24"/>
                <w:szCs w:val="24"/>
                <w:lang w:eastAsia="en-GB"/>
                <w14:ligatures w14:val="none"/>
              </w:rPr>
              <w:t>Property, plant and equipment</w:t>
            </w:r>
          </w:p>
        </w:tc>
      </w:tr>
      <w:tr w:rsidR="00025D8A" w14:paraId="5EC7961E" w14:textId="77777777" w:rsidTr="0000519D">
        <w:trPr>
          <w:trHeight w:val="237"/>
        </w:trPr>
        <w:tc>
          <w:tcPr>
            <w:tcW w:w="2125" w:type="dxa"/>
            <w:gridSpan w:val="2"/>
            <w:noWrap/>
            <w:tcMar>
              <w:top w:w="15" w:type="dxa"/>
              <w:left w:w="108" w:type="dxa"/>
              <w:bottom w:w="0" w:type="dxa"/>
              <w:right w:w="108" w:type="dxa"/>
            </w:tcMar>
            <w:vAlign w:val="bottom"/>
          </w:tcPr>
          <w:p w14:paraId="1EAC8F7D" w14:textId="77777777" w:rsidR="00025D8A" w:rsidRDefault="00025D8A">
            <w:pPr>
              <w:spacing w:after="0" w:line="240" w:lineRule="auto"/>
              <w:rPr>
                <w:rFonts w:eastAsia="Times New Roman"/>
                <w:b/>
                <w:bCs/>
                <w:kern w:val="0"/>
                <w:sz w:val="20"/>
                <w:szCs w:val="20"/>
                <w:lang w:eastAsia="en-GB"/>
                <w14:ligatures w14:val="none"/>
              </w:rPr>
            </w:pPr>
          </w:p>
        </w:tc>
        <w:tc>
          <w:tcPr>
            <w:tcW w:w="992" w:type="dxa"/>
            <w:noWrap/>
            <w:tcMar>
              <w:top w:w="15" w:type="dxa"/>
              <w:left w:w="108" w:type="dxa"/>
              <w:bottom w:w="0" w:type="dxa"/>
              <w:right w:w="108" w:type="dxa"/>
            </w:tcMar>
            <w:vAlign w:val="bottom"/>
          </w:tcPr>
          <w:p w14:paraId="5D09821B" w14:textId="77777777" w:rsidR="00025D8A" w:rsidRDefault="00025D8A">
            <w:pPr>
              <w:spacing w:after="0" w:line="240" w:lineRule="auto"/>
              <w:rPr>
                <w:rFonts w:eastAsia="Times New Roman"/>
                <w:b/>
                <w:bCs/>
                <w:kern w:val="0"/>
                <w:sz w:val="20"/>
                <w:szCs w:val="20"/>
                <w:lang w:eastAsia="en-GB"/>
                <w14:ligatures w14:val="none"/>
              </w:rPr>
            </w:pPr>
          </w:p>
        </w:tc>
        <w:tc>
          <w:tcPr>
            <w:tcW w:w="1133" w:type="dxa"/>
            <w:noWrap/>
            <w:tcMar>
              <w:top w:w="15" w:type="dxa"/>
              <w:left w:w="108" w:type="dxa"/>
              <w:bottom w:w="0" w:type="dxa"/>
              <w:right w:w="108" w:type="dxa"/>
            </w:tcMar>
            <w:vAlign w:val="bottom"/>
          </w:tcPr>
          <w:p w14:paraId="50D11B87" w14:textId="77777777" w:rsidR="00025D8A" w:rsidRDefault="00025D8A">
            <w:pPr>
              <w:spacing w:after="0" w:line="240" w:lineRule="auto"/>
              <w:rPr>
                <w:rFonts w:ascii="Times New Roman" w:eastAsia="Times New Roman" w:hAnsi="Times New Roman" w:cs="Times New Roman"/>
                <w:kern w:val="0"/>
                <w:sz w:val="20"/>
                <w:szCs w:val="20"/>
                <w:lang w:eastAsia="en-GB"/>
                <w14:ligatures w14:val="none"/>
              </w:rPr>
            </w:pPr>
          </w:p>
        </w:tc>
        <w:tc>
          <w:tcPr>
            <w:tcW w:w="1137" w:type="dxa"/>
            <w:noWrap/>
            <w:tcMar>
              <w:top w:w="15" w:type="dxa"/>
              <w:left w:w="108" w:type="dxa"/>
              <w:bottom w:w="0" w:type="dxa"/>
              <w:right w:w="108" w:type="dxa"/>
            </w:tcMar>
            <w:vAlign w:val="bottom"/>
          </w:tcPr>
          <w:p w14:paraId="0119DC18" w14:textId="77777777" w:rsidR="00025D8A" w:rsidRDefault="00025D8A">
            <w:pPr>
              <w:spacing w:after="0" w:line="240" w:lineRule="auto"/>
              <w:rPr>
                <w:rFonts w:ascii="Times New Roman" w:eastAsia="Times New Roman" w:hAnsi="Times New Roman" w:cs="Times New Roman"/>
                <w:kern w:val="0"/>
                <w:sz w:val="20"/>
                <w:szCs w:val="20"/>
                <w:lang w:eastAsia="en-GB"/>
                <w14:ligatures w14:val="none"/>
              </w:rPr>
            </w:pPr>
          </w:p>
        </w:tc>
        <w:tc>
          <w:tcPr>
            <w:tcW w:w="1276" w:type="dxa"/>
            <w:noWrap/>
            <w:tcMar>
              <w:top w:w="15" w:type="dxa"/>
              <w:left w:w="108" w:type="dxa"/>
              <w:bottom w:w="0" w:type="dxa"/>
              <w:right w:w="108" w:type="dxa"/>
            </w:tcMar>
            <w:vAlign w:val="bottom"/>
          </w:tcPr>
          <w:p w14:paraId="581D3439" w14:textId="77777777" w:rsidR="00025D8A" w:rsidRDefault="00025D8A">
            <w:pPr>
              <w:spacing w:after="0" w:line="240" w:lineRule="auto"/>
              <w:jc w:val="right"/>
              <w:rPr>
                <w:rFonts w:ascii="Times New Roman" w:eastAsia="Times New Roman" w:hAnsi="Times New Roman" w:cs="Times New Roman"/>
                <w:kern w:val="0"/>
                <w:sz w:val="20"/>
                <w:szCs w:val="20"/>
                <w:lang w:eastAsia="en-GB"/>
                <w14:ligatures w14:val="none"/>
              </w:rPr>
            </w:pPr>
          </w:p>
        </w:tc>
        <w:tc>
          <w:tcPr>
            <w:tcW w:w="1134" w:type="dxa"/>
            <w:noWrap/>
            <w:tcMar>
              <w:top w:w="15" w:type="dxa"/>
              <w:left w:w="108" w:type="dxa"/>
              <w:bottom w:w="0" w:type="dxa"/>
              <w:right w:w="108" w:type="dxa"/>
            </w:tcMar>
            <w:vAlign w:val="bottom"/>
          </w:tcPr>
          <w:p w14:paraId="73694EB0" w14:textId="77777777" w:rsidR="00025D8A" w:rsidRDefault="00025D8A">
            <w:pPr>
              <w:spacing w:after="0" w:line="240" w:lineRule="auto"/>
              <w:jc w:val="right"/>
              <w:rPr>
                <w:rFonts w:ascii="Times New Roman" w:eastAsia="Times New Roman" w:hAnsi="Times New Roman" w:cs="Times New Roman"/>
                <w:kern w:val="0"/>
                <w:sz w:val="20"/>
                <w:szCs w:val="20"/>
                <w:lang w:eastAsia="en-GB"/>
                <w14:ligatures w14:val="none"/>
              </w:rPr>
            </w:pPr>
          </w:p>
        </w:tc>
        <w:tc>
          <w:tcPr>
            <w:tcW w:w="1134" w:type="dxa"/>
            <w:gridSpan w:val="2"/>
            <w:tcMar>
              <w:top w:w="15" w:type="dxa"/>
              <w:left w:w="108" w:type="dxa"/>
              <w:bottom w:w="0" w:type="dxa"/>
              <w:right w:w="108" w:type="dxa"/>
            </w:tcMar>
          </w:tcPr>
          <w:p w14:paraId="29FCB564" w14:textId="77777777" w:rsidR="00025D8A" w:rsidRDefault="00025D8A">
            <w:pPr>
              <w:spacing w:after="0" w:line="240" w:lineRule="auto"/>
              <w:jc w:val="right"/>
              <w:rPr>
                <w:rFonts w:ascii="Times New Roman" w:eastAsia="Times New Roman" w:hAnsi="Times New Roman" w:cs="Times New Roman"/>
                <w:kern w:val="0"/>
                <w:sz w:val="20"/>
                <w:szCs w:val="20"/>
                <w:lang w:eastAsia="en-GB"/>
                <w14:ligatures w14:val="none"/>
              </w:rPr>
            </w:pPr>
          </w:p>
        </w:tc>
      </w:tr>
      <w:tr w:rsidR="00560745" w14:paraId="445C6186" w14:textId="77777777" w:rsidTr="0000519D">
        <w:trPr>
          <w:trHeight w:val="360"/>
        </w:trPr>
        <w:tc>
          <w:tcPr>
            <w:tcW w:w="2125" w:type="dxa"/>
            <w:gridSpan w:val="2"/>
            <w:noWrap/>
            <w:tcMar>
              <w:top w:w="15" w:type="dxa"/>
              <w:left w:w="108" w:type="dxa"/>
              <w:bottom w:w="0" w:type="dxa"/>
              <w:right w:w="108" w:type="dxa"/>
            </w:tcMar>
            <w:vAlign w:val="bottom"/>
            <w:hideMark/>
          </w:tcPr>
          <w:p w14:paraId="61E4EBBB" w14:textId="77777777" w:rsidR="00560745" w:rsidRDefault="00560745">
            <w:pPr>
              <w:spacing w:after="0" w:line="240" w:lineRule="auto"/>
              <w:rPr>
                <w:rFonts w:ascii="Arial" w:eastAsia="Times New Roman" w:hAnsi="Arial" w:cs="Arial"/>
                <w:b/>
                <w:bCs/>
                <w:kern w:val="0"/>
                <w:sz w:val="20"/>
                <w:szCs w:val="20"/>
                <w:lang w:eastAsia="en-GB"/>
                <w14:ligatures w14:val="none"/>
              </w:rPr>
            </w:pPr>
            <w:r>
              <w:rPr>
                <w:rFonts w:eastAsia="Times New Roman"/>
                <w:b/>
                <w:bCs/>
                <w:kern w:val="0"/>
                <w:sz w:val="20"/>
                <w:szCs w:val="20"/>
                <w:lang w:eastAsia="en-GB"/>
                <w14:ligatures w14:val="none"/>
              </w:rPr>
              <w:t>2023-24</w:t>
            </w:r>
          </w:p>
        </w:tc>
        <w:tc>
          <w:tcPr>
            <w:tcW w:w="992" w:type="dxa"/>
            <w:noWrap/>
            <w:tcMar>
              <w:top w:w="15" w:type="dxa"/>
              <w:left w:w="108" w:type="dxa"/>
              <w:bottom w:w="0" w:type="dxa"/>
              <w:right w:w="108" w:type="dxa"/>
            </w:tcMar>
            <w:vAlign w:val="bottom"/>
          </w:tcPr>
          <w:p w14:paraId="26344A63" w14:textId="77777777" w:rsidR="00560745" w:rsidRDefault="00560745">
            <w:pPr>
              <w:spacing w:after="0" w:line="240" w:lineRule="auto"/>
              <w:rPr>
                <w:rFonts w:eastAsia="Times New Roman"/>
                <w:b/>
                <w:bCs/>
                <w:kern w:val="0"/>
                <w:sz w:val="20"/>
                <w:szCs w:val="20"/>
                <w:lang w:eastAsia="en-GB"/>
                <w14:ligatures w14:val="none"/>
              </w:rPr>
            </w:pPr>
          </w:p>
        </w:tc>
        <w:tc>
          <w:tcPr>
            <w:tcW w:w="1133" w:type="dxa"/>
            <w:noWrap/>
            <w:tcMar>
              <w:top w:w="15" w:type="dxa"/>
              <w:left w:w="108" w:type="dxa"/>
              <w:bottom w:w="0" w:type="dxa"/>
              <w:right w:w="108" w:type="dxa"/>
            </w:tcMar>
            <w:vAlign w:val="bottom"/>
          </w:tcPr>
          <w:p w14:paraId="3F168F8E"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p>
        </w:tc>
        <w:tc>
          <w:tcPr>
            <w:tcW w:w="1137" w:type="dxa"/>
            <w:noWrap/>
            <w:tcMar>
              <w:top w:w="15" w:type="dxa"/>
              <w:left w:w="108" w:type="dxa"/>
              <w:bottom w:w="0" w:type="dxa"/>
              <w:right w:w="108" w:type="dxa"/>
            </w:tcMar>
            <w:vAlign w:val="bottom"/>
          </w:tcPr>
          <w:p w14:paraId="5F8E2163"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p>
        </w:tc>
        <w:tc>
          <w:tcPr>
            <w:tcW w:w="1276" w:type="dxa"/>
            <w:noWrap/>
            <w:tcMar>
              <w:top w:w="15" w:type="dxa"/>
              <w:left w:w="108" w:type="dxa"/>
              <w:bottom w:w="0" w:type="dxa"/>
              <w:right w:w="108" w:type="dxa"/>
            </w:tcMar>
            <w:vAlign w:val="bottom"/>
          </w:tcPr>
          <w:p w14:paraId="6AA3B4E5" w14:textId="77777777" w:rsidR="00560745" w:rsidRDefault="00560745">
            <w:pPr>
              <w:spacing w:after="0" w:line="240" w:lineRule="auto"/>
              <w:jc w:val="right"/>
              <w:rPr>
                <w:rFonts w:ascii="Times New Roman" w:eastAsia="Times New Roman" w:hAnsi="Times New Roman" w:cs="Times New Roman"/>
                <w:kern w:val="0"/>
                <w:sz w:val="20"/>
                <w:szCs w:val="20"/>
                <w:lang w:eastAsia="en-GB"/>
                <w14:ligatures w14:val="none"/>
              </w:rPr>
            </w:pPr>
          </w:p>
        </w:tc>
        <w:tc>
          <w:tcPr>
            <w:tcW w:w="1134" w:type="dxa"/>
            <w:noWrap/>
            <w:tcMar>
              <w:top w:w="15" w:type="dxa"/>
              <w:left w:w="108" w:type="dxa"/>
              <w:bottom w:w="0" w:type="dxa"/>
              <w:right w:w="108" w:type="dxa"/>
            </w:tcMar>
            <w:vAlign w:val="bottom"/>
          </w:tcPr>
          <w:p w14:paraId="255F9E8B" w14:textId="77777777" w:rsidR="00560745" w:rsidRDefault="00560745">
            <w:pPr>
              <w:spacing w:after="0" w:line="240" w:lineRule="auto"/>
              <w:jc w:val="right"/>
              <w:rPr>
                <w:rFonts w:ascii="Times New Roman" w:eastAsia="Times New Roman" w:hAnsi="Times New Roman" w:cs="Times New Roman"/>
                <w:kern w:val="0"/>
                <w:sz w:val="20"/>
                <w:szCs w:val="20"/>
                <w:lang w:eastAsia="en-GB"/>
                <w14:ligatures w14:val="none"/>
              </w:rPr>
            </w:pPr>
          </w:p>
        </w:tc>
        <w:tc>
          <w:tcPr>
            <w:tcW w:w="1134" w:type="dxa"/>
            <w:gridSpan w:val="2"/>
            <w:tcMar>
              <w:top w:w="15" w:type="dxa"/>
              <w:left w:w="108" w:type="dxa"/>
              <w:bottom w:w="0" w:type="dxa"/>
              <w:right w:w="108" w:type="dxa"/>
            </w:tcMar>
          </w:tcPr>
          <w:p w14:paraId="6051FCCE" w14:textId="77777777" w:rsidR="00560745" w:rsidRDefault="00560745">
            <w:pPr>
              <w:spacing w:after="0" w:line="240" w:lineRule="auto"/>
              <w:jc w:val="right"/>
              <w:rPr>
                <w:rFonts w:ascii="Times New Roman" w:eastAsia="Times New Roman" w:hAnsi="Times New Roman" w:cs="Times New Roman"/>
                <w:kern w:val="0"/>
                <w:sz w:val="20"/>
                <w:szCs w:val="20"/>
                <w:lang w:eastAsia="en-GB"/>
                <w14:ligatures w14:val="none"/>
              </w:rPr>
            </w:pPr>
          </w:p>
        </w:tc>
      </w:tr>
      <w:tr w:rsidR="00560745" w14:paraId="259E46AE" w14:textId="77777777" w:rsidTr="0000519D">
        <w:trPr>
          <w:trHeight w:val="360"/>
        </w:trPr>
        <w:tc>
          <w:tcPr>
            <w:tcW w:w="2125" w:type="dxa"/>
            <w:gridSpan w:val="2"/>
            <w:noWrap/>
            <w:tcMar>
              <w:top w:w="15" w:type="dxa"/>
              <w:left w:w="108" w:type="dxa"/>
              <w:bottom w:w="0" w:type="dxa"/>
              <w:right w:w="108" w:type="dxa"/>
            </w:tcMar>
            <w:vAlign w:val="bottom"/>
            <w:hideMark/>
          </w:tcPr>
          <w:p w14:paraId="16F2719D" w14:textId="77777777" w:rsidR="00560745" w:rsidRDefault="00560745">
            <w:pPr>
              <w:spacing w:after="0"/>
              <w:rPr>
                <w:kern w:val="0"/>
                <w:sz w:val="20"/>
                <w:szCs w:val="20"/>
                <w:lang w:eastAsia="en-GB"/>
                <w14:ligatures w14:val="none"/>
              </w:rPr>
            </w:pPr>
          </w:p>
        </w:tc>
        <w:tc>
          <w:tcPr>
            <w:tcW w:w="992" w:type="dxa"/>
            <w:noWrap/>
            <w:tcMar>
              <w:top w:w="15" w:type="dxa"/>
              <w:left w:w="108" w:type="dxa"/>
              <w:bottom w:w="0" w:type="dxa"/>
              <w:right w:w="108" w:type="dxa"/>
            </w:tcMar>
            <w:vAlign w:val="bottom"/>
            <w:hideMark/>
          </w:tcPr>
          <w:p w14:paraId="6DFD590B"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Right of</w:t>
            </w:r>
          </w:p>
          <w:p w14:paraId="2B4DE000"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Use</w:t>
            </w:r>
          </w:p>
        </w:tc>
        <w:tc>
          <w:tcPr>
            <w:tcW w:w="1133" w:type="dxa"/>
            <w:noWrap/>
            <w:tcMar>
              <w:top w:w="15" w:type="dxa"/>
              <w:left w:w="108" w:type="dxa"/>
              <w:bottom w:w="0" w:type="dxa"/>
              <w:right w:w="108" w:type="dxa"/>
            </w:tcMar>
            <w:vAlign w:val="bottom"/>
            <w:hideMark/>
          </w:tcPr>
          <w:p w14:paraId="65973424"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Information</w:t>
            </w:r>
          </w:p>
          <w:p w14:paraId="74B8489A"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Technology</w:t>
            </w:r>
          </w:p>
        </w:tc>
        <w:tc>
          <w:tcPr>
            <w:tcW w:w="1137" w:type="dxa"/>
            <w:noWrap/>
            <w:tcMar>
              <w:top w:w="15" w:type="dxa"/>
              <w:left w:w="108" w:type="dxa"/>
              <w:bottom w:w="0" w:type="dxa"/>
              <w:right w:w="108" w:type="dxa"/>
            </w:tcMar>
            <w:vAlign w:val="bottom"/>
            <w:hideMark/>
          </w:tcPr>
          <w:p w14:paraId="5CC641FE"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Plant &amp;</w:t>
            </w:r>
          </w:p>
          <w:p w14:paraId="3CDE8577"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Machinery</w:t>
            </w:r>
          </w:p>
        </w:tc>
        <w:tc>
          <w:tcPr>
            <w:tcW w:w="1276" w:type="dxa"/>
            <w:noWrap/>
            <w:tcMar>
              <w:top w:w="15" w:type="dxa"/>
              <w:left w:w="108" w:type="dxa"/>
              <w:bottom w:w="0" w:type="dxa"/>
              <w:right w:w="108" w:type="dxa"/>
            </w:tcMar>
            <w:vAlign w:val="bottom"/>
            <w:hideMark/>
          </w:tcPr>
          <w:p w14:paraId="3FB2F80D"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Furniture &amp;</w:t>
            </w:r>
          </w:p>
          <w:p w14:paraId="4FE2F20C"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Fittings</w:t>
            </w:r>
          </w:p>
        </w:tc>
        <w:tc>
          <w:tcPr>
            <w:tcW w:w="1134" w:type="dxa"/>
            <w:noWrap/>
            <w:tcMar>
              <w:top w:w="15" w:type="dxa"/>
              <w:left w:w="108" w:type="dxa"/>
              <w:bottom w:w="0" w:type="dxa"/>
              <w:right w:w="108" w:type="dxa"/>
            </w:tcMar>
            <w:vAlign w:val="bottom"/>
            <w:hideMark/>
          </w:tcPr>
          <w:p w14:paraId="506CA2B4"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Assets Under</w:t>
            </w:r>
          </w:p>
          <w:p w14:paraId="72AAC641"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Construction</w:t>
            </w:r>
          </w:p>
        </w:tc>
        <w:tc>
          <w:tcPr>
            <w:tcW w:w="1134" w:type="dxa"/>
            <w:gridSpan w:val="2"/>
            <w:noWrap/>
            <w:tcMar>
              <w:top w:w="15" w:type="dxa"/>
              <w:left w:w="108" w:type="dxa"/>
              <w:bottom w:w="0" w:type="dxa"/>
              <w:right w:w="108" w:type="dxa"/>
            </w:tcMar>
            <w:vAlign w:val="bottom"/>
            <w:hideMark/>
          </w:tcPr>
          <w:p w14:paraId="1C8496EA" w14:textId="54C6B4E2" w:rsidR="00560745" w:rsidRDefault="006C7547" w:rsidP="006C7547">
            <w:pPr>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Total</w:t>
            </w:r>
          </w:p>
        </w:tc>
      </w:tr>
      <w:tr w:rsidR="00560745" w14:paraId="1E8D8FBD" w14:textId="77777777" w:rsidTr="0000519D">
        <w:trPr>
          <w:trHeight w:val="360"/>
        </w:trPr>
        <w:tc>
          <w:tcPr>
            <w:tcW w:w="2125" w:type="dxa"/>
            <w:gridSpan w:val="2"/>
            <w:noWrap/>
            <w:tcMar>
              <w:top w:w="15" w:type="dxa"/>
              <w:left w:w="108" w:type="dxa"/>
              <w:bottom w:w="0" w:type="dxa"/>
              <w:right w:w="108" w:type="dxa"/>
            </w:tcMar>
            <w:vAlign w:val="bottom"/>
            <w:hideMark/>
          </w:tcPr>
          <w:p w14:paraId="5C17761C" w14:textId="77777777" w:rsidR="00560745" w:rsidRDefault="00560745">
            <w:pPr>
              <w:spacing w:after="0"/>
              <w:rPr>
                <w:kern w:val="0"/>
                <w:sz w:val="20"/>
                <w:szCs w:val="20"/>
                <w:lang w:eastAsia="en-GB"/>
                <w14:ligatures w14:val="none"/>
              </w:rPr>
            </w:pPr>
          </w:p>
        </w:tc>
        <w:tc>
          <w:tcPr>
            <w:tcW w:w="992" w:type="dxa"/>
            <w:tcBorders>
              <w:top w:val="nil"/>
              <w:left w:val="nil"/>
              <w:bottom w:val="single" w:sz="8" w:space="0" w:color="auto"/>
              <w:right w:val="nil"/>
            </w:tcBorders>
            <w:noWrap/>
            <w:tcMar>
              <w:top w:w="15" w:type="dxa"/>
              <w:left w:w="108" w:type="dxa"/>
              <w:bottom w:w="0" w:type="dxa"/>
              <w:right w:w="108" w:type="dxa"/>
            </w:tcMar>
            <w:vAlign w:val="bottom"/>
            <w:hideMark/>
          </w:tcPr>
          <w:p w14:paraId="0B1AF36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3" w:type="dxa"/>
            <w:tcBorders>
              <w:top w:val="nil"/>
              <w:left w:val="nil"/>
              <w:bottom w:val="single" w:sz="8" w:space="0" w:color="auto"/>
              <w:right w:val="nil"/>
            </w:tcBorders>
            <w:noWrap/>
            <w:tcMar>
              <w:top w:w="15" w:type="dxa"/>
              <w:left w:w="108" w:type="dxa"/>
              <w:bottom w:w="0" w:type="dxa"/>
              <w:right w:w="108" w:type="dxa"/>
            </w:tcMar>
            <w:vAlign w:val="bottom"/>
            <w:hideMark/>
          </w:tcPr>
          <w:p w14:paraId="23F7969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7" w:type="dxa"/>
            <w:tcBorders>
              <w:top w:val="nil"/>
              <w:left w:val="nil"/>
              <w:bottom w:val="single" w:sz="8" w:space="0" w:color="auto"/>
              <w:right w:val="nil"/>
            </w:tcBorders>
            <w:noWrap/>
            <w:tcMar>
              <w:top w:w="15" w:type="dxa"/>
              <w:left w:w="108" w:type="dxa"/>
              <w:bottom w:w="0" w:type="dxa"/>
              <w:right w:w="108" w:type="dxa"/>
            </w:tcMar>
            <w:vAlign w:val="bottom"/>
            <w:hideMark/>
          </w:tcPr>
          <w:p w14:paraId="6C59348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276" w:type="dxa"/>
            <w:tcBorders>
              <w:top w:val="nil"/>
              <w:left w:val="nil"/>
              <w:bottom w:val="single" w:sz="8" w:space="0" w:color="auto"/>
              <w:right w:val="nil"/>
            </w:tcBorders>
            <w:noWrap/>
            <w:tcMar>
              <w:top w:w="15" w:type="dxa"/>
              <w:left w:w="108" w:type="dxa"/>
              <w:bottom w:w="0" w:type="dxa"/>
              <w:right w:w="108" w:type="dxa"/>
            </w:tcMar>
            <w:vAlign w:val="bottom"/>
            <w:hideMark/>
          </w:tcPr>
          <w:p w14:paraId="35424F0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4" w:type="dxa"/>
            <w:tcBorders>
              <w:top w:val="nil"/>
              <w:left w:val="nil"/>
              <w:bottom w:val="single" w:sz="8" w:space="0" w:color="auto"/>
              <w:right w:val="nil"/>
            </w:tcBorders>
            <w:noWrap/>
            <w:tcMar>
              <w:top w:w="15" w:type="dxa"/>
              <w:left w:w="108" w:type="dxa"/>
              <w:bottom w:w="0" w:type="dxa"/>
              <w:right w:w="108" w:type="dxa"/>
            </w:tcMar>
            <w:vAlign w:val="bottom"/>
            <w:hideMark/>
          </w:tcPr>
          <w:p w14:paraId="4BDDB95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4" w:type="dxa"/>
            <w:gridSpan w:val="2"/>
            <w:tcBorders>
              <w:top w:val="nil"/>
              <w:left w:val="nil"/>
              <w:bottom w:val="single" w:sz="8" w:space="0" w:color="auto"/>
              <w:right w:val="nil"/>
            </w:tcBorders>
            <w:noWrap/>
            <w:tcMar>
              <w:top w:w="15" w:type="dxa"/>
              <w:left w:w="108" w:type="dxa"/>
              <w:bottom w:w="0" w:type="dxa"/>
              <w:right w:w="108" w:type="dxa"/>
            </w:tcMar>
            <w:vAlign w:val="bottom"/>
            <w:hideMark/>
          </w:tcPr>
          <w:p w14:paraId="141C58F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0F064BC7" w14:textId="77777777" w:rsidTr="0000519D">
        <w:trPr>
          <w:trHeight w:val="219"/>
        </w:trPr>
        <w:tc>
          <w:tcPr>
            <w:tcW w:w="2125" w:type="dxa"/>
            <w:gridSpan w:val="2"/>
            <w:noWrap/>
            <w:tcMar>
              <w:top w:w="15" w:type="dxa"/>
              <w:left w:w="108" w:type="dxa"/>
              <w:bottom w:w="0" w:type="dxa"/>
              <w:right w:w="108" w:type="dxa"/>
            </w:tcMar>
            <w:vAlign w:val="bottom"/>
            <w:hideMark/>
          </w:tcPr>
          <w:p w14:paraId="43728469"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Cost or valuation</w:t>
            </w:r>
          </w:p>
        </w:tc>
        <w:tc>
          <w:tcPr>
            <w:tcW w:w="992" w:type="dxa"/>
            <w:noWrap/>
            <w:tcMar>
              <w:top w:w="15" w:type="dxa"/>
              <w:left w:w="108" w:type="dxa"/>
              <w:bottom w:w="0" w:type="dxa"/>
              <w:right w:w="108" w:type="dxa"/>
            </w:tcMar>
            <w:vAlign w:val="bottom"/>
            <w:hideMark/>
          </w:tcPr>
          <w:p w14:paraId="1B4E7A7A" w14:textId="77777777" w:rsidR="00560745" w:rsidRDefault="00560745">
            <w:pPr>
              <w:rPr>
                <w:rFonts w:eastAsia="Times New Roman"/>
                <w:b/>
                <w:bCs/>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2CBD54FE" w14:textId="77777777" w:rsidR="00560745" w:rsidRDefault="00560745">
            <w:pPr>
              <w:spacing w:after="0"/>
              <w:rPr>
                <w:kern w:val="0"/>
                <w:sz w:val="20"/>
                <w:szCs w:val="20"/>
                <w:lang w:eastAsia="en-GB"/>
                <w14:ligatures w14:val="none"/>
              </w:rPr>
            </w:pPr>
          </w:p>
        </w:tc>
        <w:tc>
          <w:tcPr>
            <w:tcW w:w="1137" w:type="dxa"/>
            <w:noWrap/>
            <w:tcMar>
              <w:top w:w="15" w:type="dxa"/>
              <w:left w:w="108" w:type="dxa"/>
              <w:bottom w:w="0" w:type="dxa"/>
              <w:right w:w="108" w:type="dxa"/>
            </w:tcMar>
            <w:vAlign w:val="bottom"/>
            <w:hideMark/>
          </w:tcPr>
          <w:p w14:paraId="7672505D"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1A81F38D"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06693421" w14:textId="77777777" w:rsidR="00560745" w:rsidRDefault="00560745">
            <w:pPr>
              <w:spacing w:after="0"/>
              <w:rPr>
                <w:kern w:val="0"/>
                <w:sz w:val="20"/>
                <w:szCs w:val="20"/>
                <w:lang w:eastAsia="en-GB"/>
                <w14:ligatures w14:val="none"/>
              </w:rPr>
            </w:pPr>
          </w:p>
        </w:tc>
        <w:tc>
          <w:tcPr>
            <w:tcW w:w="1134" w:type="dxa"/>
            <w:gridSpan w:val="2"/>
            <w:noWrap/>
            <w:tcMar>
              <w:top w:w="15" w:type="dxa"/>
              <w:left w:w="108" w:type="dxa"/>
              <w:bottom w:w="0" w:type="dxa"/>
              <w:right w:w="108" w:type="dxa"/>
            </w:tcMar>
            <w:vAlign w:val="bottom"/>
            <w:hideMark/>
          </w:tcPr>
          <w:p w14:paraId="0D01898B" w14:textId="77777777" w:rsidR="00560745" w:rsidRDefault="00560745">
            <w:pPr>
              <w:spacing w:after="0"/>
              <w:rPr>
                <w:kern w:val="0"/>
                <w:sz w:val="20"/>
                <w:szCs w:val="20"/>
                <w:lang w:eastAsia="en-GB"/>
                <w14:ligatures w14:val="none"/>
              </w:rPr>
            </w:pPr>
          </w:p>
        </w:tc>
      </w:tr>
      <w:tr w:rsidR="00560745" w14:paraId="7D02CABF" w14:textId="77777777" w:rsidTr="0000519D">
        <w:trPr>
          <w:trHeight w:val="228"/>
        </w:trPr>
        <w:tc>
          <w:tcPr>
            <w:tcW w:w="2125" w:type="dxa"/>
            <w:gridSpan w:val="2"/>
            <w:noWrap/>
            <w:tcMar>
              <w:top w:w="15" w:type="dxa"/>
              <w:left w:w="108" w:type="dxa"/>
              <w:bottom w:w="0" w:type="dxa"/>
              <w:right w:w="108" w:type="dxa"/>
            </w:tcMar>
            <w:vAlign w:val="bottom"/>
            <w:hideMark/>
          </w:tcPr>
          <w:p w14:paraId="2EFB3321"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At 1 April 2023</w:t>
            </w:r>
          </w:p>
        </w:tc>
        <w:tc>
          <w:tcPr>
            <w:tcW w:w="992" w:type="dxa"/>
            <w:noWrap/>
            <w:tcMar>
              <w:top w:w="15" w:type="dxa"/>
              <w:left w:w="108" w:type="dxa"/>
              <w:bottom w:w="0" w:type="dxa"/>
              <w:right w:w="108" w:type="dxa"/>
            </w:tcMar>
            <w:vAlign w:val="bottom"/>
            <w:hideMark/>
          </w:tcPr>
          <w:p w14:paraId="75E5414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25,317 </w:t>
            </w:r>
          </w:p>
        </w:tc>
        <w:tc>
          <w:tcPr>
            <w:tcW w:w="1133" w:type="dxa"/>
            <w:noWrap/>
            <w:tcMar>
              <w:top w:w="15" w:type="dxa"/>
              <w:left w:w="108" w:type="dxa"/>
              <w:bottom w:w="0" w:type="dxa"/>
              <w:right w:w="108" w:type="dxa"/>
            </w:tcMar>
            <w:vAlign w:val="bottom"/>
            <w:hideMark/>
          </w:tcPr>
          <w:p w14:paraId="7706BEF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58D84EE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7D582A5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5,998 </w:t>
            </w:r>
          </w:p>
        </w:tc>
        <w:tc>
          <w:tcPr>
            <w:tcW w:w="1134" w:type="dxa"/>
            <w:noWrap/>
            <w:tcMar>
              <w:top w:w="15" w:type="dxa"/>
              <w:left w:w="108" w:type="dxa"/>
              <w:bottom w:w="0" w:type="dxa"/>
              <w:right w:w="108" w:type="dxa"/>
            </w:tcMar>
            <w:vAlign w:val="bottom"/>
            <w:hideMark/>
          </w:tcPr>
          <w:p w14:paraId="3A5E3D4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4C62953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31,315 </w:t>
            </w:r>
          </w:p>
        </w:tc>
      </w:tr>
      <w:tr w:rsidR="00560745" w14:paraId="74D3D9E9" w14:textId="77777777" w:rsidTr="0000519D">
        <w:trPr>
          <w:trHeight w:val="260"/>
        </w:trPr>
        <w:tc>
          <w:tcPr>
            <w:tcW w:w="2125" w:type="dxa"/>
            <w:gridSpan w:val="2"/>
            <w:noWrap/>
            <w:tcMar>
              <w:top w:w="15" w:type="dxa"/>
              <w:left w:w="108" w:type="dxa"/>
              <w:bottom w:w="0" w:type="dxa"/>
              <w:right w:w="108" w:type="dxa"/>
            </w:tcMar>
            <w:vAlign w:val="bottom"/>
            <w:hideMark/>
          </w:tcPr>
          <w:p w14:paraId="12EF927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Additions</w:t>
            </w:r>
          </w:p>
        </w:tc>
        <w:tc>
          <w:tcPr>
            <w:tcW w:w="992" w:type="dxa"/>
            <w:noWrap/>
            <w:tcMar>
              <w:top w:w="15" w:type="dxa"/>
              <w:left w:w="108" w:type="dxa"/>
              <w:bottom w:w="0" w:type="dxa"/>
              <w:right w:w="108" w:type="dxa"/>
            </w:tcMar>
            <w:vAlign w:val="bottom"/>
            <w:hideMark/>
          </w:tcPr>
          <w:p w14:paraId="0BD20DC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3,256 </w:t>
            </w:r>
          </w:p>
        </w:tc>
        <w:tc>
          <w:tcPr>
            <w:tcW w:w="1133" w:type="dxa"/>
            <w:noWrap/>
            <w:tcMar>
              <w:top w:w="15" w:type="dxa"/>
              <w:left w:w="108" w:type="dxa"/>
              <w:bottom w:w="0" w:type="dxa"/>
              <w:right w:w="108" w:type="dxa"/>
            </w:tcMar>
            <w:vAlign w:val="bottom"/>
            <w:hideMark/>
          </w:tcPr>
          <w:p w14:paraId="1467A0D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669293F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2042B96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1,906 </w:t>
            </w:r>
          </w:p>
        </w:tc>
        <w:tc>
          <w:tcPr>
            <w:tcW w:w="1134" w:type="dxa"/>
            <w:noWrap/>
            <w:tcMar>
              <w:top w:w="15" w:type="dxa"/>
              <w:left w:w="108" w:type="dxa"/>
              <w:bottom w:w="0" w:type="dxa"/>
              <w:right w:w="108" w:type="dxa"/>
            </w:tcMar>
            <w:vAlign w:val="bottom"/>
            <w:hideMark/>
          </w:tcPr>
          <w:p w14:paraId="3AD076D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6A6D0E8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5,162 </w:t>
            </w:r>
          </w:p>
        </w:tc>
      </w:tr>
      <w:tr w:rsidR="00560745" w14:paraId="34C46596" w14:textId="77777777" w:rsidTr="0000519D">
        <w:trPr>
          <w:trHeight w:val="264"/>
        </w:trPr>
        <w:tc>
          <w:tcPr>
            <w:tcW w:w="2125" w:type="dxa"/>
            <w:gridSpan w:val="2"/>
            <w:noWrap/>
            <w:tcMar>
              <w:top w:w="15" w:type="dxa"/>
              <w:left w:w="108" w:type="dxa"/>
              <w:bottom w:w="0" w:type="dxa"/>
              <w:right w:w="108" w:type="dxa"/>
            </w:tcMar>
            <w:vAlign w:val="bottom"/>
            <w:hideMark/>
          </w:tcPr>
          <w:p w14:paraId="216E530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Disposals</w:t>
            </w:r>
          </w:p>
        </w:tc>
        <w:tc>
          <w:tcPr>
            <w:tcW w:w="992" w:type="dxa"/>
            <w:noWrap/>
            <w:tcMar>
              <w:top w:w="15" w:type="dxa"/>
              <w:left w:w="108" w:type="dxa"/>
              <w:bottom w:w="0" w:type="dxa"/>
              <w:right w:w="108" w:type="dxa"/>
            </w:tcMar>
            <w:vAlign w:val="bottom"/>
            <w:hideMark/>
          </w:tcPr>
          <w:p w14:paraId="20753B7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(1,700) </w:t>
            </w:r>
          </w:p>
        </w:tc>
        <w:tc>
          <w:tcPr>
            <w:tcW w:w="1133" w:type="dxa"/>
            <w:noWrap/>
            <w:tcMar>
              <w:top w:w="15" w:type="dxa"/>
              <w:left w:w="108" w:type="dxa"/>
              <w:bottom w:w="0" w:type="dxa"/>
              <w:right w:w="108" w:type="dxa"/>
            </w:tcMar>
            <w:vAlign w:val="bottom"/>
            <w:hideMark/>
          </w:tcPr>
          <w:p w14:paraId="4C7830D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39F62FF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349B401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(272) </w:t>
            </w:r>
          </w:p>
        </w:tc>
        <w:tc>
          <w:tcPr>
            <w:tcW w:w="1134" w:type="dxa"/>
            <w:noWrap/>
            <w:tcMar>
              <w:top w:w="15" w:type="dxa"/>
              <w:left w:w="108" w:type="dxa"/>
              <w:bottom w:w="0" w:type="dxa"/>
              <w:right w:w="108" w:type="dxa"/>
            </w:tcMar>
            <w:vAlign w:val="bottom"/>
            <w:hideMark/>
          </w:tcPr>
          <w:p w14:paraId="42F5B97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67DA178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(1,972) </w:t>
            </w:r>
          </w:p>
        </w:tc>
      </w:tr>
      <w:tr w:rsidR="00560745" w14:paraId="177EE15F" w14:textId="77777777" w:rsidTr="0000519D">
        <w:trPr>
          <w:trHeight w:val="126"/>
        </w:trPr>
        <w:tc>
          <w:tcPr>
            <w:tcW w:w="2125" w:type="dxa"/>
            <w:gridSpan w:val="2"/>
            <w:noWrap/>
            <w:tcMar>
              <w:top w:w="15" w:type="dxa"/>
              <w:left w:w="108" w:type="dxa"/>
              <w:bottom w:w="0" w:type="dxa"/>
              <w:right w:w="108" w:type="dxa"/>
            </w:tcMar>
            <w:vAlign w:val="center"/>
            <w:hideMark/>
          </w:tcPr>
          <w:p w14:paraId="7E872FE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Remeasurement</w:t>
            </w:r>
          </w:p>
        </w:tc>
        <w:tc>
          <w:tcPr>
            <w:tcW w:w="992" w:type="dxa"/>
            <w:noWrap/>
            <w:tcMar>
              <w:top w:w="15" w:type="dxa"/>
              <w:left w:w="108" w:type="dxa"/>
              <w:bottom w:w="0" w:type="dxa"/>
              <w:right w:w="108" w:type="dxa"/>
            </w:tcMar>
            <w:vAlign w:val="bottom"/>
            <w:hideMark/>
          </w:tcPr>
          <w:p w14:paraId="23458A7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1,965 </w:t>
            </w:r>
          </w:p>
        </w:tc>
        <w:tc>
          <w:tcPr>
            <w:tcW w:w="1133" w:type="dxa"/>
            <w:noWrap/>
            <w:tcMar>
              <w:top w:w="15" w:type="dxa"/>
              <w:left w:w="108" w:type="dxa"/>
              <w:bottom w:w="0" w:type="dxa"/>
              <w:right w:w="108" w:type="dxa"/>
            </w:tcMar>
            <w:vAlign w:val="bottom"/>
            <w:hideMark/>
          </w:tcPr>
          <w:p w14:paraId="3DDD86B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7686F18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31EBAA7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38F797E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0D8A8E3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1,965 </w:t>
            </w:r>
          </w:p>
        </w:tc>
      </w:tr>
      <w:tr w:rsidR="00560745" w14:paraId="17E46E5C" w14:textId="77777777" w:rsidTr="0000519D">
        <w:trPr>
          <w:trHeight w:val="290"/>
        </w:trPr>
        <w:tc>
          <w:tcPr>
            <w:tcW w:w="2125" w:type="dxa"/>
            <w:gridSpan w:val="2"/>
            <w:noWrap/>
            <w:tcMar>
              <w:top w:w="15" w:type="dxa"/>
              <w:left w:w="108" w:type="dxa"/>
              <w:bottom w:w="0" w:type="dxa"/>
              <w:right w:w="108" w:type="dxa"/>
            </w:tcMar>
            <w:vAlign w:val="center"/>
            <w:hideMark/>
          </w:tcPr>
          <w:p w14:paraId="7589A588"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At 31 March 2024</w:t>
            </w:r>
          </w:p>
        </w:tc>
        <w:tc>
          <w:tcPr>
            <w:tcW w:w="99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CA03C4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28,838 </w:t>
            </w:r>
          </w:p>
        </w:tc>
        <w:tc>
          <w:tcPr>
            <w:tcW w:w="1133"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A3562F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D2231D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3DDC61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7,632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E06204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C11F4A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36,470 </w:t>
            </w:r>
          </w:p>
        </w:tc>
      </w:tr>
      <w:tr w:rsidR="00560745" w14:paraId="21ED601D" w14:textId="77777777" w:rsidTr="0000519D">
        <w:trPr>
          <w:trHeight w:val="257"/>
        </w:trPr>
        <w:tc>
          <w:tcPr>
            <w:tcW w:w="2125" w:type="dxa"/>
            <w:gridSpan w:val="2"/>
            <w:noWrap/>
            <w:tcMar>
              <w:top w:w="15" w:type="dxa"/>
              <w:left w:w="108" w:type="dxa"/>
              <w:bottom w:w="0" w:type="dxa"/>
              <w:right w:w="108" w:type="dxa"/>
            </w:tcMar>
            <w:vAlign w:val="bottom"/>
            <w:hideMark/>
          </w:tcPr>
          <w:p w14:paraId="5FBA85B4" w14:textId="77777777" w:rsidR="00560745" w:rsidRDefault="00560745">
            <w:pPr>
              <w:spacing w:after="0"/>
              <w:rPr>
                <w:kern w:val="0"/>
                <w:sz w:val="20"/>
                <w:szCs w:val="20"/>
                <w:lang w:eastAsia="en-GB"/>
                <w14:ligatures w14:val="none"/>
              </w:rPr>
            </w:pPr>
          </w:p>
        </w:tc>
        <w:tc>
          <w:tcPr>
            <w:tcW w:w="992" w:type="dxa"/>
            <w:noWrap/>
            <w:tcMar>
              <w:top w:w="15" w:type="dxa"/>
              <w:left w:w="108" w:type="dxa"/>
              <w:bottom w:w="0" w:type="dxa"/>
              <w:right w:w="108" w:type="dxa"/>
            </w:tcMar>
            <w:vAlign w:val="bottom"/>
            <w:hideMark/>
          </w:tcPr>
          <w:p w14:paraId="11A82AFA" w14:textId="77777777" w:rsidR="00560745" w:rsidRDefault="00560745">
            <w:pPr>
              <w:spacing w:after="0"/>
              <w:rPr>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7B857176" w14:textId="77777777" w:rsidR="00560745" w:rsidRDefault="00560745">
            <w:pPr>
              <w:spacing w:after="0"/>
              <w:rPr>
                <w:kern w:val="0"/>
                <w:sz w:val="20"/>
                <w:szCs w:val="20"/>
                <w:lang w:eastAsia="en-GB"/>
                <w14:ligatures w14:val="none"/>
              </w:rPr>
            </w:pPr>
          </w:p>
        </w:tc>
        <w:tc>
          <w:tcPr>
            <w:tcW w:w="1137" w:type="dxa"/>
            <w:noWrap/>
            <w:tcMar>
              <w:top w:w="15" w:type="dxa"/>
              <w:left w:w="108" w:type="dxa"/>
              <w:bottom w:w="0" w:type="dxa"/>
              <w:right w:w="108" w:type="dxa"/>
            </w:tcMar>
            <w:vAlign w:val="bottom"/>
            <w:hideMark/>
          </w:tcPr>
          <w:p w14:paraId="495EC85C"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54393B13"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29C36F2" w14:textId="77777777" w:rsidR="00560745" w:rsidRDefault="00560745">
            <w:pPr>
              <w:spacing w:after="0"/>
              <w:rPr>
                <w:kern w:val="0"/>
                <w:sz w:val="20"/>
                <w:szCs w:val="20"/>
                <w:lang w:eastAsia="en-GB"/>
                <w14:ligatures w14:val="none"/>
              </w:rPr>
            </w:pPr>
          </w:p>
        </w:tc>
        <w:tc>
          <w:tcPr>
            <w:tcW w:w="1134" w:type="dxa"/>
            <w:gridSpan w:val="2"/>
            <w:noWrap/>
            <w:tcMar>
              <w:top w:w="15" w:type="dxa"/>
              <w:left w:w="108" w:type="dxa"/>
              <w:bottom w:w="0" w:type="dxa"/>
              <w:right w:w="108" w:type="dxa"/>
            </w:tcMar>
            <w:vAlign w:val="bottom"/>
            <w:hideMark/>
          </w:tcPr>
          <w:p w14:paraId="2DF4C319" w14:textId="77777777" w:rsidR="00560745" w:rsidRDefault="00560745">
            <w:pPr>
              <w:spacing w:after="0"/>
              <w:rPr>
                <w:kern w:val="0"/>
                <w:sz w:val="20"/>
                <w:szCs w:val="20"/>
                <w:lang w:eastAsia="en-GB"/>
                <w14:ligatures w14:val="none"/>
              </w:rPr>
            </w:pPr>
          </w:p>
        </w:tc>
      </w:tr>
      <w:tr w:rsidR="00560745" w14:paraId="2E293F66" w14:textId="77777777" w:rsidTr="0000519D">
        <w:trPr>
          <w:trHeight w:val="182"/>
        </w:trPr>
        <w:tc>
          <w:tcPr>
            <w:tcW w:w="2125" w:type="dxa"/>
            <w:gridSpan w:val="2"/>
            <w:noWrap/>
            <w:tcMar>
              <w:top w:w="15" w:type="dxa"/>
              <w:left w:w="108" w:type="dxa"/>
              <w:bottom w:w="0" w:type="dxa"/>
              <w:right w:w="108" w:type="dxa"/>
            </w:tcMar>
            <w:vAlign w:val="bottom"/>
            <w:hideMark/>
          </w:tcPr>
          <w:p w14:paraId="7DED623D"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Depreciation</w:t>
            </w:r>
          </w:p>
        </w:tc>
        <w:tc>
          <w:tcPr>
            <w:tcW w:w="992" w:type="dxa"/>
            <w:noWrap/>
            <w:tcMar>
              <w:top w:w="15" w:type="dxa"/>
              <w:left w:w="108" w:type="dxa"/>
              <w:bottom w:w="0" w:type="dxa"/>
              <w:right w:w="108" w:type="dxa"/>
            </w:tcMar>
            <w:vAlign w:val="bottom"/>
            <w:hideMark/>
          </w:tcPr>
          <w:p w14:paraId="16DEB06E" w14:textId="77777777" w:rsidR="00560745" w:rsidRDefault="00560745">
            <w:pPr>
              <w:rPr>
                <w:rFonts w:eastAsia="Times New Roman"/>
                <w:b/>
                <w:bCs/>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78231F95" w14:textId="77777777" w:rsidR="00560745" w:rsidRDefault="00560745">
            <w:pPr>
              <w:spacing w:after="0"/>
              <w:rPr>
                <w:kern w:val="0"/>
                <w:sz w:val="20"/>
                <w:szCs w:val="20"/>
                <w:lang w:eastAsia="en-GB"/>
                <w14:ligatures w14:val="none"/>
              </w:rPr>
            </w:pPr>
          </w:p>
        </w:tc>
        <w:tc>
          <w:tcPr>
            <w:tcW w:w="1137" w:type="dxa"/>
            <w:noWrap/>
            <w:tcMar>
              <w:top w:w="15" w:type="dxa"/>
              <w:left w:w="108" w:type="dxa"/>
              <w:bottom w:w="0" w:type="dxa"/>
              <w:right w:w="108" w:type="dxa"/>
            </w:tcMar>
            <w:vAlign w:val="bottom"/>
            <w:hideMark/>
          </w:tcPr>
          <w:p w14:paraId="767F9D19"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18BABF98"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4F54F944" w14:textId="77777777" w:rsidR="00560745" w:rsidRDefault="00560745">
            <w:pPr>
              <w:spacing w:after="0"/>
              <w:rPr>
                <w:kern w:val="0"/>
                <w:sz w:val="20"/>
                <w:szCs w:val="20"/>
                <w:lang w:eastAsia="en-GB"/>
                <w14:ligatures w14:val="none"/>
              </w:rPr>
            </w:pPr>
          </w:p>
        </w:tc>
        <w:tc>
          <w:tcPr>
            <w:tcW w:w="1134" w:type="dxa"/>
            <w:gridSpan w:val="2"/>
            <w:noWrap/>
            <w:tcMar>
              <w:top w:w="15" w:type="dxa"/>
              <w:left w:w="108" w:type="dxa"/>
              <w:bottom w:w="0" w:type="dxa"/>
              <w:right w:w="108" w:type="dxa"/>
            </w:tcMar>
            <w:vAlign w:val="bottom"/>
            <w:hideMark/>
          </w:tcPr>
          <w:p w14:paraId="09EB97BF" w14:textId="77777777" w:rsidR="00560745" w:rsidRDefault="00560745">
            <w:pPr>
              <w:spacing w:after="0"/>
              <w:rPr>
                <w:kern w:val="0"/>
                <w:sz w:val="20"/>
                <w:szCs w:val="20"/>
                <w:lang w:eastAsia="en-GB"/>
                <w14:ligatures w14:val="none"/>
              </w:rPr>
            </w:pPr>
          </w:p>
        </w:tc>
      </w:tr>
      <w:tr w:rsidR="00560745" w14:paraId="00B198FE" w14:textId="77777777" w:rsidTr="0000519D">
        <w:trPr>
          <w:trHeight w:val="298"/>
        </w:trPr>
        <w:tc>
          <w:tcPr>
            <w:tcW w:w="2125" w:type="dxa"/>
            <w:gridSpan w:val="2"/>
            <w:noWrap/>
            <w:tcMar>
              <w:top w:w="15" w:type="dxa"/>
              <w:left w:w="108" w:type="dxa"/>
              <w:bottom w:w="0" w:type="dxa"/>
              <w:right w:w="108" w:type="dxa"/>
            </w:tcMar>
            <w:vAlign w:val="bottom"/>
            <w:hideMark/>
          </w:tcPr>
          <w:p w14:paraId="504582C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At 1 April 2023</w:t>
            </w:r>
          </w:p>
        </w:tc>
        <w:tc>
          <w:tcPr>
            <w:tcW w:w="992" w:type="dxa"/>
            <w:noWrap/>
            <w:tcMar>
              <w:top w:w="15" w:type="dxa"/>
              <w:left w:w="108" w:type="dxa"/>
              <w:bottom w:w="0" w:type="dxa"/>
              <w:right w:w="108" w:type="dxa"/>
            </w:tcMar>
            <w:vAlign w:val="bottom"/>
            <w:hideMark/>
          </w:tcPr>
          <w:p w14:paraId="15B8187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10,905 </w:t>
            </w:r>
          </w:p>
        </w:tc>
        <w:tc>
          <w:tcPr>
            <w:tcW w:w="1133" w:type="dxa"/>
            <w:noWrap/>
            <w:tcMar>
              <w:top w:w="15" w:type="dxa"/>
              <w:left w:w="108" w:type="dxa"/>
              <w:bottom w:w="0" w:type="dxa"/>
              <w:right w:w="108" w:type="dxa"/>
            </w:tcMar>
            <w:vAlign w:val="bottom"/>
            <w:hideMark/>
          </w:tcPr>
          <w:p w14:paraId="528E675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3C1F489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1731072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2,931 </w:t>
            </w:r>
          </w:p>
        </w:tc>
        <w:tc>
          <w:tcPr>
            <w:tcW w:w="1134" w:type="dxa"/>
            <w:noWrap/>
            <w:tcMar>
              <w:top w:w="15" w:type="dxa"/>
              <w:left w:w="108" w:type="dxa"/>
              <w:bottom w:w="0" w:type="dxa"/>
              <w:right w:w="108" w:type="dxa"/>
            </w:tcMar>
            <w:vAlign w:val="bottom"/>
            <w:hideMark/>
          </w:tcPr>
          <w:p w14:paraId="4EED0AE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76C8640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13,836 </w:t>
            </w:r>
          </w:p>
        </w:tc>
      </w:tr>
      <w:tr w:rsidR="00560745" w14:paraId="6C83234A" w14:textId="77777777" w:rsidTr="0000519D">
        <w:trPr>
          <w:trHeight w:val="260"/>
        </w:trPr>
        <w:tc>
          <w:tcPr>
            <w:tcW w:w="2125" w:type="dxa"/>
            <w:gridSpan w:val="2"/>
            <w:noWrap/>
            <w:tcMar>
              <w:top w:w="15" w:type="dxa"/>
              <w:left w:w="108" w:type="dxa"/>
              <w:bottom w:w="0" w:type="dxa"/>
              <w:right w:w="108" w:type="dxa"/>
            </w:tcMar>
            <w:vAlign w:val="center"/>
            <w:hideMark/>
          </w:tcPr>
          <w:p w14:paraId="1388A535"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Charged in year</w:t>
            </w:r>
          </w:p>
        </w:tc>
        <w:tc>
          <w:tcPr>
            <w:tcW w:w="992" w:type="dxa"/>
            <w:noWrap/>
            <w:tcMar>
              <w:top w:w="15" w:type="dxa"/>
              <w:left w:w="108" w:type="dxa"/>
              <w:bottom w:w="0" w:type="dxa"/>
              <w:right w:w="108" w:type="dxa"/>
            </w:tcMar>
            <w:vAlign w:val="bottom"/>
            <w:hideMark/>
          </w:tcPr>
          <w:p w14:paraId="7C36901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4,347 </w:t>
            </w:r>
          </w:p>
        </w:tc>
        <w:tc>
          <w:tcPr>
            <w:tcW w:w="1133" w:type="dxa"/>
            <w:noWrap/>
            <w:tcMar>
              <w:top w:w="15" w:type="dxa"/>
              <w:left w:w="108" w:type="dxa"/>
              <w:bottom w:w="0" w:type="dxa"/>
              <w:right w:w="108" w:type="dxa"/>
            </w:tcMar>
            <w:vAlign w:val="bottom"/>
            <w:hideMark/>
          </w:tcPr>
          <w:p w14:paraId="5443624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381F25F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1E00A0E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986 </w:t>
            </w:r>
          </w:p>
        </w:tc>
        <w:tc>
          <w:tcPr>
            <w:tcW w:w="1134" w:type="dxa"/>
            <w:noWrap/>
            <w:tcMar>
              <w:top w:w="15" w:type="dxa"/>
              <w:left w:w="108" w:type="dxa"/>
              <w:bottom w:w="0" w:type="dxa"/>
              <w:right w:w="108" w:type="dxa"/>
            </w:tcMar>
            <w:vAlign w:val="bottom"/>
            <w:hideMark/>
          </w:tcPr>
          <w:p w14:paraId="192A1A9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7F4A9D5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5,333 </w:t>
            </w:r>
          </w:p>
        </w:tc>
      </w:tr>
      <w:tr w:rsidR="00560745" w14:paraId="2DD37738" w14:textId="77777777" w:rsidTr="0000519D">
        <w:trPr>
          <w:trHeight w:val="278"/>
        </w:trPr>
        <w:tc>
          <w:tcPr>
            <w:tcW w:w="2125" w:type="dxa"/>
            <w:gridSpan w:val="2"/>
            <w:noWrap/>
            <w:tcMar>
              <w:top w:w="15" w:type="dxa"/>
              <w:left w:w="108" w:type="dxa"/>
              <w:bottom w:w="0" w:type="dxa"/>
              <w:right w:w="108" w:type="dxa"/>
            </w:tcMar>
            <w:vAlign w:val="center"/>
            <w:hideMark/>
          </w:tcPr>
          <w:p w14:paraId="2598044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Disposals</w:t>
            </w:r>
          </w:p>
        </w:tc>
        <w:tc>
          <w:tcPr>
            <w:tcW w:w="992" w:type="dxa"/>
            <w:noWrap/>
            <w:tcMar>
              <w:top w:w="15" w:type="dxa"/>
              <w:left w:w="108" w:type="dxa"/>
              <w:bottom w:w="0" w:type="dxa"/>
              <w:right w:w="108" w:type="dxa"/>
            </w:tcMar>
            <w:vAlign w:val="bottom"/>
            <w:hideMark/>
          </w:tcPr>
          <w:p w14:paraId="53E9881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(1,700) </w:t>
            </w:r>
          </w:p>
        </w:tc>
        <w:tc>
          <w:tcPr>
            <w:tcW w:w="1133" w:type="dxa"/>
            <w:noWrap/>
            <w:tcMar>
              <w:top w:w="15" w:type="dxa"/>
              <w:left w:w="108" w:type="dxa"/>
              <w:bottom w:w="0" w:type="dxa"/>
              <w:right w:w="108" w:type="dxa"/>
            </w:tcMar>
            <w:vAlign w:val="bottom"/>
            <w:hideMark/>
          </w:tcPr>
          <w:p w14:paraId="4116A1D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1C4B738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159B9AE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(272) </w:t>
            </w:r>
          </w:p>
        </w:tc>
        <w:tc>
          <w:tcPr>
            <w:tcW w:w="1134" w:type="dxa"/>
            <w:noWrap/>
            <w:tcMar>
              <w:top w:w="15" w:type="dxa"/>
              <w:left w:w="108" w:type="dxa"/>
              <w:bottom w:w="0" w:type="dxa"/>
              <w:right w:w="108" w:type="dxa"/>
            </w:tcMar>
            <w:vAlign w:val="bottom"/>
            <w:hideMark/>
          </w:tcPr>
          <w:p w14:paraId="0D930EE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5DAF6C1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(1,972) </w:t>
            </w:r>
          </w:p>
        </w:tc>
      </w:tr>
      <w:tr w:rsidR="00560745" w14:paraId="1620FF77" w14:textId="77777777" w:rsidTr="0000519D">
        <w:trPr>
          <w:trHeight w:val="258"/>
        </w:trPr>
        <w:tc>
          <w:tcPr>
            <w:tcW w:w="2125" w:type="dxa"/>
            <w:gridSpan w:val="2"/>
            <w:noWrap/>
            <w:tcMar>
              <w:top w:w="15" w:type="dxa"/>
              <w:left w:w="108" w:type="dxa"/>
              <w:bottom w:w="0" w:type="dxa"/>
              <w:right w:w="108" w:type="dxa"/>
            </w:tcMar>
            <w:vAlign w:val="center"/>
            <w:hideMark/>
          </w:tcPr>
          <w:p w14:paraId="7767E558"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At 31 March 2024</w:t>
            </w:r>
          </w:p>
        </w:tc>
        <w:tc>
          <w:tcPr>
            <w:tcW w:w="99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7D65B6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13,552 </w:t>
            </w:r>
          </w:p>
        </w:tc>
        <w:tc>
          <w:tcPr>
            <w:tcW w:w="1133"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57D50C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3903A9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F2435A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3,645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B2A309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C97C9A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17,197 </w:t>
            </w:r>
          </w:p>
        </w:tc>
      </w:tr>
      <w:tr w:rsidR="00560745" w14:paraId="6D0B449F" w14:textId="77777777" w:rsidTr="0000519D">
        <w:trPr>
          <w:trHeight w:val="267"/>
        </w:trPr>
        <w:tc>
          <w:tcPr>
            <w:tcW w:w="2125" w:type="dxa"/>
            <w:gridSpan w:val="2"/>
            <w:noWrap/>
            <w:tcMar>
              <w:top w:w="15" w:type="dxa"/>
              <w:left w:w="108" w:type="dxa"/>
              <w:bottom w:w="0" w:type="dxa"/>
              <w:right w:w="108" w:type="dxa"/>
            </w:tcMar>
            <w:vAlign w:val="bottom"/>
            <w:hideMark/>
          </w:tcPr>
          <w:p w14:paraId="7C5AFC3F" w14:textId="77777777" w:rsidR="00560745" w:rsidRDefault="00560745">
            <w:pPr>
              <w:spacing w:after="0"/>
              <w:rPr>
                <w:kern w:val="0"/>
                <w:sz w:val="20"/>
                <w:szCs w:val="20"/>
                <w:lang w:eastAsia="en-GB"/>
                <w14:ligatures w14:val="none"/>
              </w:rPr>
            </w:pPr>
          </w:p>
        </w:tc>
        <w:tc>
          <w:tcPr>
            <w:tcW w:w="992" w:type="dxa"/>
            <w:noWrap/>
            <w:tcMar>
              <w:top w:w="15" w:type="dxa"/>
              <w:left w:w="108" w:type="dxa"/>
              <w:bottom w:w="0" w:type="dxa"/>
              <w:right w:w="108" w:type="dxa"/>
            </w:tcMar>
            <w:vAlign w:val="bottom"/>
            <w:hideMark/>
          </w:tcPr>
          <w:p w14:paraId="498C05EE" w14:textId="77777777" w:rsidR="00560745" w:rsidRDefault="00560745">
            <w:pPr>
              <w:spacing w:after="0"/>
              <w:rPr>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1BCC5DD8" w14:textId="77777777" w:rsidR="00560745" w:rsidRDefault="00560745">
            <w:pPr>
              <w:spacing w:after="0"/>
              <w:rPr>
                <w:kern w:val="0"/>
                <w:sz w:val="20"/>
                <w:szCs w:val="20"/>
                <w:lang w:eastAsia="en-GB"/>
                <w14:ligatures w14:val="none"/>
              </w:rPr>
            </w:pPr>
          </w:p>
        </w:tc>
        <w:tc>
          <w:tcPr>
            <w:tcW w:w="1137" w:type="dxa"/>
            <w:noWrap/>
            <w:tcMar>
              <w:top w:w="15" w:type="dxa"/>
              <w:left w:w="108" w:type="dxa"/>
              <w:bottom w:w="0" w:type="dxa"/>
              <w:right w:w="108" w:type="dxa"/>
            </w:tcMar>
            <w:vAlign w:val="bottom"/>
            <w:hideMark/>
          </w:tcPr>
          <w:p w14:paraId="0A38EDE8"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450B86DE"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6641C538" w14:textId="77777777" w:rsidR="00560745" w:rsidRDefault="00560745">
            <w:pPr>
              <w:spacing w:after="0"/>
              <w:rPr>
                <w:kern w:val="0"/>
                <w:sz w:val="20"/>
                <w:szCs w:val="20"/>
                <w:lang w:eastAsia="en-GB"/>
                <w14:ligatures w14:val="none"/>
              </w:rPr>
            </w:pPr>
          </w:p>
        </w:tc>
        <w:tc>
          <w:tcPr>
            <w:tcW w:w="1134" w:type="dxa"/>
            <w:gridSpan w:val="2"/>
            <w:noWrap/>
            <w:tcMar>
              <w:top w:w="15" w:type="dxa"/>
              <w:left w:w="108" w:type="dxa"/>
              <w:bottom w:w="0" w:type="dxa"/>
              <w:right w:w="108" w:type="dxa"/>
            </w:tcMar>
            <w:vAlign w:val="bottom"/>
            <w:hideMark/>
          </w:tcPr>
          <w:p w14:paraId="0437D5A1" w14:textId="77777777" w:rsidR="00560745" w:rsidRDefault="00560745">
            <w:pPr>
              <w:spacing w:after="0"/>
              <w:rPr>
                <w:kern w:val="0"/>
                <w:sz w:val="20"/>
                <w:szCs w:val="20"/>
                <w:lang w:eastAsia="en-GB"/>
                <w14:ligatures w14:val="none"/>
              </w:rPr>
            </w:pPr>
          </w:p>
        </w:tc>
      </w:tr>
      <w:tr w:rsidR="00560745" w14:paraId="24687591" w14:textId="77777777" w:rsidTr="0000519D">
        <w:trPr>
          <w:trHeight w:val="320"/>
        </w:trPr>
        <w:tc>
          <w:tcPr>
            <w:tcW w:w="2125" w:type="dxa"/>
            <w:gridSpan w:val="2"/>
            <w:noWrap/>
            <w:tcMar>
              <w:top w:w="15" w:type="dxa"/>
              <w:left w:w="108" w:type="dxa"/>
              <w:bottom w:w="0" w:type="dxa"/>
              <w:right w:w="108" w:type="dxa"/>
            </w:tcMar>
            <w:vAlign w:val="bottom"/>
            <w:hideMark/>
          </w:tcPr>
          <w:p w14:paraId="1880F109"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Carrying value at 31 March 2024</w:t>
            </w:r>
          </w:p>
        </w:tc>
        <w:tc>
          <w:tcPr>
            <w:tcW w:w="99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5AB96A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15,286 </w:t>
            </w:r>
          </w:p>
        </w:tc>
        <w:tc>
          <w:tcPr>
            <w:tcW w:w="1133"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2C02B5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14C515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7D89C0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3,987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BE62E8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892D7A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19,273 </w:t>
            </w:r>
          </w:p>
        </w:tc>
      </w:tr>
      <w:tr w:rsidR="00560745" w14:paraId="41F37599" w14:textId="77777777" w:rsidTr="0000519D">
        <w:trPr>
          <w:trHeight w:val="281"/>
        </w:trPr>
        <w:tc>
          <w:tcPr>
            <w:tcW w:w="2125" w:type="dxa"/>
            <w:gridSpan w:val="2"/>
            <w:noWrap/>
            <w:tcMar>
              <w:top w:w="15" w:type="dxa"/>
              <w:left w:w="108" w:type="dxa"/>
              <w:bottom w:w="0" w:type="dxa"/>
              <w:right w:w="108" w:type="dxa"/>
            </w:tcMar>
            <w:vAlign w:val="bottom"/>
            <w:hideMark/>
          </w:tcPr>
          <w:p w14:paraId="1635CFD6" w14:textId="77777777" w:rsidR="00560745" w:rsidRDefault="00560745">
            <w:pPr>
              <w:spacing w:after="0"/>
              <w:rPr>
                <w:kern w:val="0"/>
                <w:sz w:val="20"/>
                <w:szCs w:val="20"/>
                <w:lang w:eastAsia="en-GB"/>
                <w14:ligatures w14:val="none"/>
              </w:rPr>
            </w:pPr>
          </w:p>
        </w:tc>
        <w:tc>
          <w:tcPr>
            <w:tcW w:w="992" w:type="dxa"/>
            <w:noWrap/>
            <w:tcMar>
              <w:top w:w="15" w:type="dxa"/>
              <w:left w:w="108" w:type="dxa"/>
              <w:bottom w:w="0" w:type="dxa"/>
              <w:right w:w="108" w:type="dxa"/>
            </w:tcMar>
            <w:vAlign w:val="bottom"/>
            <w:hideMark/>
          </w:tcPr>
          <w:p w14:paraId="29730F73" w14:textId="77777777" w:rsidR="00560745" w:rsidRDefault="00560745">
            <w:pPr>
              <w:spacing w:after="0"/>
              <w:rPr>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3E2465ED" w14:textId="77777777" w:rsidR="00560745" w:rsidRDefault="00560745">
            <w:pPr>
              <w:spacing w:after="0"/>
              <w:rPr>
                <w:kern w:val="0"/>
                <w:sz w:val="20"/>
                <w:szCs w:val="20"/>
                <w:lang w:eastAsia="en-GB"/>
                <w14:ligatures w14:val="none"/>
              </w:rPr>
            </w:pPr>
          </w:p>
        </w:tc>
        <w:tc>
          <w:tcPr>
            <w:tcW w:w="1137" w:type="dxa"/>
            <w:noWrap/>
            <w:tcMar>
              <w:top w:w="15" w:type="dxa"/>
              <w:left w:w="108" w:type="dxa"/>
              <w:bottom w:w="0" w:type="dxa"/>
              <w:right w:w="108" w:type="dxa"/>
            </w:tcMar>
            <w:vAlign w:val="bottom"/>
            <w:hideMark/>
          </w:tcPr>
          <w:p w14:paraId="156702F3"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2BE8F38E"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22D448CF" w14:textId="77777777" w:rsidR="00560745" w:rsidRDefault="00560745">
            <w:pPr>
              <w:spacing w:after="0"/>
              <w:rPr>
                <w:kern w:val="0"/>
                <w:sz w:val="20"/>
                <w:szCs w:val="20"/>
                <w:lang w:eastAsia="en-GB"/>
                <w14:ligatures w14:val="none"/>
              </w:rPr>
            </w:pPr>
          </w:p>
        </w:tc>
        <w:tc>
          <w:tcPr>
            <w:tcW w:w="1134" w:type="dxa"/>
            <w:gridSpan w:val="2"/>
            <w:noWrap/>
            <w:tcMar>
              <w:top w:w="15" w:type="dxa"/>
              <w:left w:w="108" w:type="dxa"/>
              <w:bottom w:w="0" w:type="dxa"/>
              <w:right w:w="108" w:type="dxa"/>
            </w:tcMar>
            <w:vAlign w:val="bottom"/>
            <w:hideMark/>
          </w:tcPr>
          <w:p w14:paraId="44F9E5D8" w14:textId="77777777" w:rsidR="00560745" w:rsidRDefault="00560745">
            <w:pPr>
              <w:spacing w:after="0"/>
              <w:rPr>
                <w:kern w:val="0"/>
                <w:sz w:val="20"/>
                <w:szCs w:val="20"/>
                <w:lang w:eastAsia="en-GB"/>
                <w14:ligatures w14:val="none"/>
              </w:rPr>
            </w:pPr>
          </w:p>
        </w:tc>
      </w:tr>
      <w:tr w:rsidR="00560745" w14:paraId="79F3A637" w14:textId="77777777" w:rsidTr="0000519D">
        <w:trPr>
          <w:trHeight w:val="272"/>
        </w:trPr>
        <w:tc>
          <w:tcPr>
            <w:tcW w:w="2125" w:type="dxa"/>
            <w:gridSpan w:val="2"/>
            <w:noWrap/>
            <w:tcMar>
              <w:top w:w="15" w:type="dxa"/>
              <w:left w:w="108" w:type="dxa"/>
              <w:bottom w:w="0" w:type="dxa"/>
              <w:right w:w="108" w:type="dxa"/>
            </w:tcMar>
            <w:vAlign w:val="bottom"/>
            <w:hideMark/>
          </w:tcPr>
          <w:p w14:paraId="14BE64F9"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Asset financing:</w:t>
            </w:r>
          </w:p>
        </w:tc>
        <w:tc>
          <w:tcPr>
            <w:tcW w:w="992" w:type="dxa"/>
            <w:noWrap/>
            <w:tcMar>
              <w:top w:w="15" w:type="dxa"/>
              <w:left w:w="108" w:type="dxa"/>
              <w:bottom w:w="0" w:type="dxa"/>
              <w:right w:w="108" w:type="dxa"/>
            </w:tcMar>
            <w:vAlign w:val="bottom"/>
            <w:hideMark/>
          </w:tcPr>
          <w:p w14:paraId="67346365" w14:textId="77777777" w:rsidR="00560745" w:rsidRDefault="00560745">
            <w:pPr>
              <w:rPr>
                <w:rFonts w:eastAsia="Times New Roman"/>
                <w:b/>
                <w:bCs/>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5FD609B5" w14:textId="77777777" w:rsidR="00560745" w:rsidRDefault="00560745">
            <w:pPr>
              <w:spacing w:after="0"/>
              <w:rPr>
                <w:kern w:val="0"/>
                <w:sz w:val="20"/>
                <w:szCs w:val="20"/>
                <w:lang w:eastAsia="en-GB"/>
                <w14:ligatures w14:val="none"/>
              </w:rPr>
            </w:pPr>
          </w:p>
        </w:tc>
        <w:tc>
          <w:tcPr>
            <w:tcW w:w="1137" w:type="dxa"/>
            <w:noWrap/>
            <w:tcMar>
              <w:top w:w="15" w:type="dxa"/>
              <w:left w:w="108" w:type="dxa"/>
              <w:bottom w:w="0" w:type="dxa"/>
              <w:right w:w="108" w:type="dxa"/>
            </w:tcMar>
            <w:vAlign w:val="bottom"/>
            <w:hideMark/>
          </w:tcPr>
          <w:p w14:paraId="313F53CD"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657E9A4A"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44F1F946" w14:textId="77777777" w:rsidR="00560745" w:rsidRDefault="00560745">
            <w:pPr>
              <w:spacing w:after="0"/>
              <w:rPr>
                <w:kern w:val="0"/>
                <w:sz w:val="20"/>
                <w:szCs w:val="20"/>
                <w:lang w:eastAsia="en-GB"/>
                <w14:ligatures w14:val="none"/>
              </w:rPr>
            </w:pPr>
          </w:p>
        </w:tc>
        <w:tc>
          <w:tcPr>
            <w:tcW w:w="1134" w:type="dxa"/>
            <w:gridSpan w:val="2"/>
            <w:noWrap/>
            <w:tcMar>
              <w:top w:w="15" w:type="dxa"/>
              <w:left w:w="108" w:type="dxa"/>
              <w:bottom w:w="0" w:type="dxa"/>
              <w:right w:w="108" w:type="dxa"/>
            </w:tcMar>
            <w:vAlign w:val="bottom"/>
            <w:hideMark/>
          </w:tcPr>
          <w:p w14:paraId="11F4DDF4" w14:textId="77777777" w:rsidR="00560745" w:rsidRDefault="00560745">
            <w:pPr>
              <w:spacing w:after="0"/>
              <w:rPr>
                <w:kern w:val="0"/>
                <w:sz w:val="20"/>
                <w:szCs w:val="20"/>
                <w:lang w:eastAsia="en-GB"/>
                <w14:ligatures w14:val="none"/>
              </w:rPr>
            </w:pPr>
          </w:p>
        </w:tc>
      </w:tr>
      <w:tr w:rsidR="00560745" w14:paraId="224E4C83" w14:textId="77777777" w:rsidTr="0000519D">
        <w:trPr>
          <w:trHeight w:val="124"/>
        </w:trPr>
        <w:tc>
          <w:tcPr>
            <w:tcW w:w="2125" w:type="dxa"/>
            <w:gridSpan w:val="2"/>
            <w:noWrap/>
            <w:tcMar>
              <w:top w:w="15" w:type="dxa"/>
              <w:left w:w="108" w:type="dxa"/>
              <w:bottom w:w="0" w:type="dxa"/>
              <w:right w:w="108" w:type="dxa"/>
            </w:tcMar>
            <w:vAlign w:val="bottom"/>
            <w:hideMark/>
          </w:tcPr>
          <w:p w14:paraId="12C410E1"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Owned</w:t>
            </w:r>
          </w:p>
        </w:tc>
        <w:tc>
          <w:tcPr>
            <w:tcW w:w="992" w:type="dxa"/>
            <w:noWrap/>
            <w:tcMar>
              <w:top w:w="15" w:type="dxa"/>
              <w:left w:w="108" w:type="dxa"/>
              <w:bottom w:w="0" w:type="dxa"/>
              <w:right w:w="108" w:type="dxa"/>
            </w:tcMar>
            <w:vAlign w:val="bottom"/>
            <w:hideMark/>
          </w:tcPr>
          <w:p w14:paraId="06C840F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15,286 </w:t>
            </w:r>
          </w:p>
        </w:tc>
        <w:tc>
          <w:tcPr>
            <w:tcW w:w="1133" w:type="dxa"/>
            <w:noWrap/>
            <w:tcMar>
              <w:top w:w="15" w:type="dxa"/>
              <w:left w:w="108" w:type="dxa"/>
              <w:bottom w:w="0" w:type="dxa"/>
              <w:right w:w="108" w:type="dxa"/>
            </w:tcMar>
            <w:vAlign w:val="bottom"/>
            <w:hideMark/>
          </w:tcPr>
          <w:p w14:paraId="4B71D4B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68F97FA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46A27B4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3,987 </w:t>
            </w:r>
          </w:p>
        </w:tc>
        <w:tc>
          <w:tcPr>
            <w:tcW w:w="1134" w:type="dxa"/>
            <w:noWrap/>
            <w:tcMar>
              <w:top w:w="15" w:type="dxa"/>
              <w:left w:w="108" w:type="dxa"/>
              <w:bottom w:w="0" w:type="dxa"/>
              <w:right w:w="108" w:type="dxa"/>
            </w:tcMar>
            <w:vAlign w:val="bottom"/>
            <w:hideMark/>
          </w:tcPr>
          <w:p w14:paraId="62608F0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2D5B4AB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19,273 </w:t>
            </w:r>
          </w:p>
        </w:tc>
      </w:tr>
      <w:tr w:rsidR="00560745" w14:paraId="3C3DCE8B" w14:textId="77777777" w:rsidTr="0000519D">
        <w:trPr>
          <w:trHeight w:val="360"/>
        </w:trPr>
        <w:tc>
          <w:tcPr>
            <w:tcW w:w="2125" w:type="dxa"/>
            <w:gridSpan w:val="2"/>
            <w:noWrap/>
            <w:tcMar>
              <w:top w:w="15" w:type="dxa"/>
              <w:left w:w="108" w:type="dxa"/>
              <w:bottom w:w="0" w:type="dxa"/>
              <w:right w:w="108" w:type="dxa"/>
            </w:tcMar>
            <w:vAlign w:val="bottom"/>
            <w:hideMark/>
          </w:tcPr>
          <w:p w14:paraId="36FE8873"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Carrying value at 31 March 2024</w:t>
            </w:r>
          </w:p>
        </w:tc>
        <w:tc>
          <w:tcPr>
            <w:tcW w:w="99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DC5672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15,286 </w:t>
            </w:r>
          </w:p>
        </w:tc>
        <w:tc>
          <w:tcPr>
            <w:tcW w:w="1133"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9128ED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7FFBCB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8F822E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3,987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260EBD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B454A3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19,273 </w:t>
            </w:r>
          </w:p>
        </w:tc>
      </w:tr>
    </w:tbl>
    <w:p w14:paraId="2A296FCE" w14:textId="1404FE6D" w:rsidR="00560745" w:rsidRDefault="00560745" w:rsidP="00560745">
      <w:pPr>
        <w:rPr>
          <w:rFonts w:ascii="Arial" w:hAnsi="Arial" w:cs="Arial"/>
          <w:sz w:val="24"/>
          <w:szCs w:val="24"/>
        </w:rPr>
      </w:pPr>
    </w:p>
    <w:p w14:paraId="2F7FC543" w14:textId="77777777" w:rsidR="00887023" w:rsidRDefault="00887023">
      <w:r>
        <w:br w:type="page"/>
      </w:r>
    </w:p>
    <w:tbl>
      <w:tblPr>
        <w:tblW w:w="8931" w:type="dxa"/>
        <w:tblLayout w:type="fixed"/>
        <w:tblLook w:val="04A0" w:firstRow="1" w:lastRow="0" w:firstColumn="1" w:lastColumn="0" w:noHBand="0" w:noVBand="1"/>
      </w:tblPr>
      <w:tblGrid>
        <w:gridCol w:w="1985"/>
        <w:gridCol w:w="1132"/>
        <w:gridCol w:w="1085"/>
        <w:gridCol w:w="1185"/>
        <w:gridCol w:w="1276"/>
        <w:gridCol w:w="1134"/>
        <w:gridCol w:w="1134"/>
      </w:tblGrid>
      <w:tr w:rsidR="00560745" w14:paraId="37530E5E" w14:textId="77777777" w:rsidTr="008C4B78">
        <w:trPr>
          <w:trHeight w:val="269"/>
        </w:trPr>
        <w:tc>
          <w:tcPr>
            <w:tcW w:w="1985" w:type="dxa"/>
            <w:noWrap/>
            <w:tcMar>
              <w:top w:w="15" w:type="dxa"/>
              <w:left w:w="108" w:type="dxa"/>
              <w:bottom w:w="0" w:type="dxa"/>
              <w:right w:w="108" w:type="dxa"/>
            </w:tcMar>
            <w:vAlign w:val="bottom"/>
            <w:hideMark/>
          </w:tcPr>
          <w:p w14:paraId="79ED9C5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lastRenderedPageBreak/>
              <w:t>2022-23</w:t>
            </w:r>
          </w:p>
        </w:tc>
        <w:tc>
          <w:tcPr>
            <w:tcW w:w="1132" w:type="dxa"/>
            <w:noWrap/>
            <w:tcMar>
              <w:top w:w="15" w:type="dxa"/>
              <w:left w:w="108" w:type="dxa"/>
              <w:bottom w:w="0" w:type="dxa"/>
              <w:right w:w="108" w:type="dxa"/>
            </w:tcMar>
            <w:vAlign w:val="bottom"/>
            <w:hideMark/>
          </w:tcPr>
          <w:p w14:paraId="2B9429B9" w14:textId="77777777" w:rsidR="00560745" w:rsidRDefault="00560745">
            <w:pPr>
              <w:rPr>
                <w:rFonts w:eastAsia="Times New Roman"/>
                <w:b/>
                <w:bCs/>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6E116FF4"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2E00C400"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6E6BFE40"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4005DDAD" w14:textId="77777777" w:rsidR="00560745" w:rsidRDefault="00560745">
            <w:pPr>
              <w:spacing w:after="0"/>
              <w:rPr>
                <w:kern w:val="0"/>
                <w:sz w:val="20"/>
                <w:szCs w:val="20"/>
                <w:lang w:eastAsia="en-GB"/>
                <w14:ligatures w14:val="none"/>
              </w:rPr>
            </w:pPr>
          </w:p>
        </w:tc>
        <w:tc>
          <w:tcPr>
            <w:tcW w:w="1134" w:type="dxa"/>
            <w:tcMar>
              <w:top w:w="15" w:type="dxa"/>
              <w:left w:w="108" w:type="dxa"/>
              <w:bottom w:w="0" w:type="dxa"/>
              <w:right w:w="108" w:type="dxa"/>
            </w:tcMar>
            <w:hideMark/>
          </w:tcPr>
          <w:p w14:paraId="3C161C93" w14:textId="77777777" w:rsidR="00560745" w:rsidRDefault="00560745">
            <w:pPr>
              <w:spacing w:after="0"/>
              <w:rPr>
                <w:kern w:val="0"/>
                <w:sz w:val="20"/>
                <w:szCs w:val="20"/>
                <w:lang w:eastAsia="en-GB"/>
                <w14:ligatures w14:val="none"/>
              </w:rPr>
            </w:pPr>
          </w:p>
        </w:tc>
      </w:tr>
      <w:tr w:rsidR="00560745" w14:paraId="6993973A" w14:textId="77777777" w:rsidTr="008C4B78">
        <w:trPr>
          <w:trHeight w:val="310"/>
        </w:trPr>
        <w:tc>
          <w:tcPr>
            <w:tcW w:w="1985" w:type="dxa"/>
            <w:noWrap/>
            <w:tcMar>
              <w:top w:w="15" w:type="dxa"/>
              <w:left w:w="108" w:type="dxa"/>
              <w:bottom w:w="0" w:type="dxa"/>
              <w:right w:w="108" w:type="dxa"/>
            </w:tcMar>
            <w:vAlign w:val="bottom"/>
            <w:hideMark/>
          </w:tcPr>
          <w:p w14:paraId="2432ECEA" w14:textId="77777777" w:rsidR="00560745" w:rsidRDefault="00560745">
            <w:pPr>
              <w:spacing w:after="0"/>
              <w:rPr>
                <w:kern w:val="0"/>
                <w:sz w:val="20"/>
                <w:szCs w:val="20"/>
                <w:lang w:eastAsia="en-GB"/>
                <w14:ligatures w14:val="none"/>
              </w:rPr>
            </w:pPr>
          </w:p>
        </w:tc>
        <w:tc>
          <w:tcPr>
            <w:tcW w:w="1132" w:type="dxa"/>
            <w:noWrap/>
            <w:tcMar>
              <w:top w:w="15" w:type="dxa"/>
              <w:left w:w="108" w:type="dxa"/>
              <w:bottom w:w="0" w:type="dxa"/>
              <w:right w:w="108" w:type="dxa"/>
            </w:tcMar>
            <w:vAlign w:val="bottom"/>
            <w:hideMark/>
          </w:tcPr>
          <w:p w14:paraId="50B7A0DA"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Right of Use</w:t>
            </w:r>
          </w:p>
        </w:tc>
        <w:tc>
          <w:tcPr>
            <w:tcW w:w="1085" w:type="dxa"/>
            <w:noWrap/>
            <w:tcMar>
              <w:top w:w="15" w:type="dxa"/>
              <w:left w:w="108" w:type="dxa"/>
              <w:bottom w:w="0" w:type="dxa"/>
              <w:right w:w="108" w:type="dxa"/>
            </w:tcMar>
            <w:vAlign w:val="bottom"/>
            <w:hideMark/>
          </w:tcPr>
          <w:p w14:paraId="2FA2AEDA"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Information Technology</w:t>
            </w:r>
          </w:p>
        </w:tc>
        <w:tc>
          <w:tcPr>
            <w:tcW w:w="1185" w:type="dxa"/>
            <w:noWrap/>
            <w:tcMar>
              <w:top w:w="15" w:type="dxa"/>
              <w:left w:w="108" w:type="dxa"/>
              <w:bottom w:w="0" w:type="dxa"/>
              <w:right w:w="108" w:type="dxa"/>
            </w:tcMar>
            <w:vAlign w:val="bottom"/>
            <w:hideMark/>
          </w:tcPr>
          <w:p w14:paraId="0F1AAB01"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Plant &amp; Machinery</w:t>
            </w:r>
          </w:p>
        </w:tc>
        <w:tc>
          <w:tcPr>
            <w:tcW w:w="1276" w:type="dxa"/>
            <w:noWrap/>
            <w:tcMar>
              <w:top w:w="15" w:type="dxa"/>
              <w:left w:w="108" w:type="dxa"/>
              <w:bottom w:w="0" w:type="dxa"/>
              <w:right w:w="108" w:type="dxa"/>
            </w:tcMar>
            <w:vAlign w:val="bottom"/>
            <w:hideMark/>
          </w:tcPr>
          <w:p w14:paraId="0D1EF59F"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Furniture &amp; Fittings</w:t>
            </w:r>
          </w:p>
        </w:tc>
        <w:tc>
          <w:tcPr>
            <w:tcW w:w="1134" w:type="dxa"/>
            <w:noWrap/>
            <w:tcMar>
              <w:top w:w="15" w:type="dxa"/>
              <w:left w:w="108" w:type="dxa"/>
              <w:bottom w:w="0" w:type="dxa"/>
              <w:right w:w="108" w:type="dxa"/>
            </w:tcMar>
            <w:vAlign w:val="bottom"/>
            <w:hideMark/>
          </w:tcPr>
          <w:p w14:paraId="77C18756"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Assets Under Construction</w:t>
            </w:r>
          </w:p>
        </w:tc>
        <w:tc>
          <w:tcPr>
            <w:tcW w:w="1134" w:type="dxa"/>
            <w:noWrap/>
            <w:tcMar>
              <w:top w:w="15" w:type="dxa"/>
              <w:left w:w="108" w:type="dxa"/>
              <w:bottom w:w="0" w:type="dxa"/>
              <w:right w:w="108" w:type="dxa"/>
            </w:tcMar>
            <w:vAlign w:val="bottom"/>
            <w:hideMark/>
          </w:tcPr>
          <w:p w14:paraId="5671DF62"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Total</w:t>
            </w:r>
          </w:p>
        </w:tc>
      </w:tr>
      <w:tr w:rsidR="00560745" w14:paraId="08CB0450" w14:textId="77777777" w:rsidTr="008C4B78">
        <w:trPr>
          <w:trHeight w:val="320"/>
        </w:trPr>
        <w:tc>
          <w:tcPr>
            <w:tcW w:w="1985" w:type="dxa"/>
            <w:noWrap/>
            <w:tcMar>
              <w:top w:w="15" w:type="dxa"/>
              <w:left w:w="108" w:type="dxa"/>
              <w:bottom w:w="0" w:type="dxa"/>
              <w:right w:w="108" w:type="dxa"/>
            </w:tcMar>
            <w:vAlign w:val="bottom"/>
            <w:hideMark/>
          </w:tcPr>
          <w:p w14:paraId="2E47CEDA" w14:textId="77777777" w:rsidR="00560745" w:rsidRDefault="00560745">
            <w:pPr>
              <w:spacing w:after="0"/>
              <w:rPr>
                <w:kern w:val="0"/>
                <w:sz w:val="20"/>
                <w:szCs w:val="20"/>
                <w:lang w:eastAsia="en-GB"/>
                <w14:ligatures w14:val="none"/>
              </w:rPr>
            </w:pPr>
          </w:p>
        </w:tc>
        <w:tc>
          <w:tcPr>
            <w:tcW w:w="1132" w:type="dxa"/>
            <w:tcBorders>
              <w:top w:val="nil"/>
              <w:left w:val="nil"/>
              <w:bottom w:val="single" w:sz="8" w:space="0" w:color="auto"/>
              <w:right w:val="nil"/>
            </w:tcBorders>
            <w:noWrap/>
            <w:tcMar>
              <w:top w:w="15" w:type="dxa"/>
              <w:left w:w="108" w:type="dxa"/>
              <w:bottom w:w="0" w:type="dxa"/>
              <w:right w:w="108" w:type="dxa"/>
            </w:tcMar>
            <w:vAlign w:val="bottom"/>
            <w:hideMark/>
          </w:tcPr>
          <w:p w14:paraId="13D75F0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085" w:type="dxa"/>
            <w:tcBorders>
              <w:top w:val="nil"/>
              <w:left w:val="nil"/>
              <w:bottom w:val="single" w:sz="8" w:space="0" w:color="auto"/>
              <w:right w:val="nil"/>
            </w:tcBorders>
            <w:noWrap/>
            <w:tcMar>
              <w:top w:w="15" w:type="dxa"/>
              <w:left w:w="108" w:type="dxa"/>
              <w:bottom w:w="0" w:type="dxa"/>
              <w:right w:w="108" w:type="dxa"/>
            </w:tcMar>
            <w:vAlign w:val="bottom"/>
            <w:hideMark/>
          </w:tcPr>
          <w:p w14:paraId="4864931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85" w:type="dxa"/>
            <w:tcBorders>
              <w:top w:val="nil"/>
              <w:left w:val="nil"/>
              <w:bottom w:val="single" w:sz="8" w:space="0" w:color="auto"/>
              <w:right w:val="nil"/>
            </w:tcBorders>
            <w:noWrap/>
            <w:tcMar>
              <w:top w:w="15" w:type="dxa"/>
              <w:left w:w="108" w:type="dxa"/>
              <w:bottom w:w="0" w:type="dxa"/>
              <w:right w:w="108" w:type="dxa"/>
            </w:tcMar>
            <w:vAlign w:val="bottom"/>
            <w:hideMark/>
          </w:tcPr>
          <w:p w14:paraId="556B982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276" w:type="dxa"/>
            <w:tcBorders>
              <w:top w:val="nil"/>
              <w:left w:val="nil"/>
              <w:bottom w:val="single" w:sz="8" w:space="0" w:color="auto"/>
              <w:right w:val="nil"/>
            </w:tcBorders>
            <w:noWrap/>
            <w:tcMar>
              <w:top w:w="15" w:type="dxa"/>
              <w:left w:w="108" w:type="dxa"/>
              <w:bottom w:w="0" w:type="dxa"/>
              <w:right w:w="108" w:type="dxa"/>
            </w:tcMar>
            <w:vAlign w:val="bottom"/>
            <w:hideMark/>
          </w:tcPr>
          <w:p w14:paraId="1BB8A58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4" w:type="dxa"/>
            <w:tcBorders>
              <w:top w:val="nil"/>
              <w:left w:val="nil"/>
              <w:bottom w:val="single" w:sz="8" w:space="0" w:color="auto"/>
              <w:right w:val="nil"/>
            </w:tcBorders>
            <w:noWrap/>
            <w:tcMar>
              <w:top w:w="15" w:type="dxa"/>
              <w:left w:w="108" w:type="dxa"/>
              <w:bottom w:w="0" w:type="dxa"/>
              <w:right w:w="108" w:type="dxa"/>
            </w:tcMar>
            <w:vAlign w:val="bottom"/>
            <w:hideMark/>
          </w:tcPr>
          <w:p w14:paraId="15B2D69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4" w:type="dxa"/>
            <w:tcBorders>
              <w:top w:val="nil"/>
              <w:left w:val="nil"/>
              <w:bottom w:val="single" w:sz="8" w:space="0" w:color="auto"/>
              <w:right w:val="nil"/>
            </w:tcBorders>
            <w:noWrap/>
            <w:tcMar>
              <w:top w:w="15" w:type="dxa"/>
              <w:left w:w="108" w:type="dxa"/>
              <w:bottom w:w="0" w:type="dxa"/>
              <w:right w:w="108" w:type="dxa"/>
            </w:tcMar>
            <w:vAlign w:val="bottom"/>
            <w:hideMark/>
          </w:tcPr>
          <w:p w14:paraId="08DFB26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787203B0" w14:textId="77777777" w:rsidTr="008C4B78">
        <w:trPr>
          <w:trHeight w:val="310"/>
        </w:trPr>
        <w:tc>
          <w:tcPr>
            <w:tcW w:w="1985" w:type="dxa"/>
            <w:noWrap/>
            <w:tcMar>
              <w:top w:w="15" w:type="dxa"/>
              <w:left w:w="108" w:type="dxa"/>
              <w:bottom w:w="0" w:type="dxa"/>
              <w:right w:w="108" w:type="dxa"/>
            </w:tcMar>
            <w:vAlign w:val="bottom"/>
            <w:hideMark/>
          </w:tcPr>
          <w:p w14:paraId="65A7305E"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Cost or valuation</w:t>
            </w:r>
          </w:p>
        </w:tc>
        <w:tc>
          <w:tcPr>
            <w:tcW w:w="1132" w:type="dxa"/>
            <w:noWrap/>
            <w:tcMar>
              <w:top w:w="15" w:type="dxa"/>
              <w:left w:w="108" w:type="dxa"/>
              <w:bottom w:w="0" w:type="dxa"/>
              <w:right w:w="108" w:type="dxa"/>
            </w:tcMar>
            <w:vAlign w:val="bottom"/>
            <w:hideMark/>
          </w:tcPr>
          <w:p w14:paraId="59F77544" w14:textId="77777777" w:rsidR="00560745" w:rsidRDefault="00560745">
            <w:pPr>
              <w:rPr>
                <w:rFonts w:eastAsia="Times New Roman"/>
                <w:b/>
                <w:bCs/>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055A99DB"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7FCD2C77"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7D2FBD20"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2B77640C"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1E45D7BC" w14:textId="77777777" w:rsidR="00560745" w:rsidRDefault="00560745">
            <w:pPr>
              <w:spacing w:after="0"/>
              <w:rPr>
                <w:kern w:val="0"/>
                <w:sz w:val="20"/>
                <w:szCs w:val="20"/>
                <w:lang w:eastAsia="en-GB"/>
                <w14:ligatures w14:val="none"/>
              </w:rPr>
            </w:pPr>
          </w:p>
        </w:tc>
      </w:tr>
      <w:tr w:rsidR="00560745" w14:paraId="002F7ABF" w14:textId="77777777" w:rsidTr="008C4B78">
        <w:trPr>
          <w:trHeight w:val="189"/>
        </w:trPr>
        <w:tc>
          <w:tcPr>
            <w:tcW w:w="1985" w:type="dxa"/>
            <w:noWrap/>
            <w:tcMar>
              <w:top w:w="15" w:type="dxa"/>
              <w:left w:w="108" w:type="dxa"/>
              <w:bottom w:w="0" w:type="dxa"/>
              <w:right w:w="108" w:type="dxa"/>
            </w:tcMar>
            <w:vAlign w:val="bottom"/>
            <w:hideMark/>
          </w:tcPr>
          <w:p w14:paraId="47EBD96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At 1 April 2022</w:t>
            </w:r>
          </w:p>
        </w:tc>
        <w:tc>
          <w:tcPr>
            <w:tcW w:w="1132" w:type="dxa"/>
            <w:noWrap/>
            <w:tcMar>
              <w:top w:w="15" w:type="dxa"/>
              <w:left w:w="108" w:type="dxa"/>
              <w:bottom w:w="0" w:type="dxa"/>
              <w:right w:w="108" w:type="dxa"/>
            </w:tcMar>
            <w:vAlign w:val="bottom"/>
            <w:hideMark/>
          </w:tcPr>
          <w:p w14:paraId="3DFFF97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27,230 </w:t>
            </w:r>
          </w:p>
        </w:tc>
        <w:tc>
          <w:tcPr>
            <w:tcW w:w="1085" w:type="dxa"/>
            <w:noWrap/>
            <w:tcMar>
              <w:top w:w="15" w:type="dxa"/>
              <w:left w:w="108" w:type="dxa"/>
              <w:bottom w:w="0" w:type="dxa"/>
              <w:right w:w="108" w:type="dxa"/>
            </w:tcMar>
            <w:vAlign w:val="bottom"/>
            <w:hideMark/>
          </w:tcPr>
          <w:p w14:paraId="20123B2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187 </w:t>
            </w:r>
          </w:p>
        </w:tc>
        <w:tc>
          <w:tcPr>
            <w:tcW w:w="1185" w:type="dxa"/>
            <w:noWrap/>
            <w:tcMar>
              <w:top w:w="15" w:type="dxa"/>
              <w:left w:w="108" w:type="dxa"/>
              <w:bottom w:w="0" w:type="dxa"/>
              <w:right w:w="108" w:type="dxa"/>
            </w:tcMar>
            <w:vAlign w:val="bottom"/>
            <w:hideMark/>
          </w:tcPr>
          <w:p w14:paraId="7673F06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1,068 </w:t>
            </w:r>
          </w:p>
        </w:tc>
        <w:tc>
          <w:tcPr>
            <w:tcW w:w="1276" w:type="dxa"/>
            <w:noWrap/>
            <w:tcMar>
              <w:top w:w="15" w:type="dxa"/>
              <w:left w:w="108" w:type="dxa"/>
              <w:bottom w:w="0" w:type="dxa"/>
              <w:right w:w="108" w:type="dxa"/>
            </w:tcMar>
            <w:vAlign w:val="bottom"/>
            <w:hideMark/>
          </w:tcPr>
          <w:p w14:paraId="58D98F5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5,085 </w:t>
            </w:r>
          </w:p>
        </w:tc>
        <w:tc>
          <w:tcPr>
            <w:tcW w:w="1134" w:type="dxa"/>
            <w:noWrap/>
            <w:tcMar>
              <w:top w:w="15" w:type="dxa"/>
              <w:left w:w="108" w:type="dxa"/>
              <w:bottom w:w="0" w:type="dxa"/>
              <w:right w:w="108" w:type="dxa"/>
            </w:tcMar>
            <w:vAlign w:val="bottom"/>
            <w:hideMark/>
          </w:tcPr>
          <w:p w14:paraId="2D5C7E7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1,002 </w:t>
            </w:r>
          </w:p>
        </w:tc>
        <w:tc>
          <w:tcPr>
            <w:tcW w:w="1134" w:type="dxa"/>
            <w:noWrap/>
            <w:tcMar>
              <w:top w:w="15" w:type="dxa"/>
              <w:left w:w="108" w:type="dxa"/>
              <w:bottom w:w="0" w:type="dxa"/>
              <w:right w:w="108" w:type="dxa"/>
            </w:tcMar>
            <w:vAlign w:val="bottom"/>
            <w:hideMark/>
          </w:tcPr>
          <w:p w14:paraId="506CFCE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34,572 </w:t>
            </w:r>
          </w:p>
        </w:tc>
      </w:tr>
      <w:tr w:rsidR="00560745" w14:paraId="1B24DB03" w14:textId="77777777" w:rsidTr="008C4B78">
        <w:trPr>
          <w:trHeight w:val="220"/>
        </w:trPr>
        <w:tc>
          <w:tcPr>
            <w:tcW w:w="1985" w:type="dxa"/>
            <w:noWrap/>
            <w:tcMar>
              <w:top w:w="15" w:type="dxa"/>
              <w:left w:w="108" w:type="dxa"/>
              <w:bottom w:w="0" w:type="dxa"/>
              <w:right w:w="108" w:type="dxa"/>
            </w:tcMar>
            <w:vAlign w:val="bottom"/>
            <w:hideMark/>
          </w:tcPr>
          <w:p w14:paraId="550B9491"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Additions</w:t>
            </w:r>
          </w:p>
        </w:tc>
        <w:tc>
          <w:tcPr>
            <w:tcW w:w="1132" w:type="dxa"/>
            <w:noWrap/>
            <w:tcMar>
              <w:top w:w="15" w:type="dxa"/>
              <w:left w:w="108" w:type="dxa"/>
              <w:bottom w:w="0" w:type="dxa"/>
              <w:right w:w="108" w:type="dxa"/>
            </w:tcMar>
            <w:vAlign w:val="bottom"/>
            <w:hideMark/>
          </w:tcPr>
          <w:p w14:paraId="384F6EC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1,658 </w:t>
            </w:r>
          </w:p>
        </w:tc>
        <w:tc>
          <w:tcPr>
            <w:tcW w:w="1085" w:type="dxa"/>
            <w:noWrap/>
            <w:tcMar>
              <w:top w:w="15" w:type="dxa"/>
              <w:left w:w="108" w:type="dxa"/>
              <w:bottom w:w="0" w:type="dxa"/>
              <w:right w:w="108" w:type="dxa"/>
            </w:tcMar>
            <w:vAlign w:val="bottom"/>
            <w:hideMark/>
          </w:tcPr>
          <w:p w14:paraId="5A594B3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85" w:type="dxa"/>
            <w:noWrap/>
            <w:tcMar>
              <w:top w:w="15" w:type="dxa"/>
              <w:left w:w="108" w:type="dxa"/>
              <w:bottom w:w="0" w:type="dxa"/>
              <w:right w:w="108" w:type="dxa"/>
            </w:tcMar>
            <w:vAlign w:val="bottom"/>
            <w:hideMark/>
          </w:tcPr>
          <w:p w14:paraId="2EA75A0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6536226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68D28B0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702D766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1,658 </w:t>
            </w:r>
          </w:p>
        </w:tc>
      </w:tr>
      <w:tr w:rsidR="00560745" w14:paraId="690F2451" w14:textId="77777777" w:rsidTr="008C4B78">
        <w:trPr>
          <w:trHeight w:val="238"/>
        </w:trPr>
        <w:tc>
          <w:tcPr>
            <w:tcW w:w="1985" w:type="dxa"/>
            <w:noWrap/>
            <w:tcMar>
              <w:top w:w="15" w:type="dxa"/>
              <w:left w:w="108" w:type="dxa"/>
              <w:bottom w:w="0" w:type="dxa"/>
              <w:right w:w="108" w:type="dxa"/>
            </w:tcMar>
            <w:vAlign w:val="bottom"/>
            <w:hideMark/>
          </w:tcPr>
          <w:p w14:paraId="5051292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Disposals</w:t>
            </w:r>
          </w:p>
        </w:tc>
        <w:tc>
          <w:tcPr>
            <w:tcW w:w="1132" w:type="dxa"/>
            <w:noWrap/>
            <w:tcMar>
              <w:top w:w="15" w:type="dxa"/>
              <w:left w:w="108" w:type="dxa"/>
              <w:bottom w:w="0" w:type="dxa"/>
              <w:right w:w="108" w:type="dxa"/>
            </w:tcMar>
            <w:vAlign w:val="bottom"/>
            <w:hideMark/>
          </w:tcPr>
          <w:p w14:paraId="54A3FA4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(1,032) </w:t>
            </w:r>
          </w:p>
        </w:tc>
        <w:tc>
          <w:tcPr>
            <w:tcW w:w="1085" w:type="dxa"/>
            <w:noWrap/>
            <w:tcMar>
              <w:top w:w="15" w:type="dxa"/>
              <w:left w:w="108" w:type="dxa"/>
              <w:bottom w:w="0" w:type="dxa"/>
              <w:right w:w="108" w:type="dxa"/>
            </w:tcMar>
            <w:vAlign w:val="bottom"/>
            <w:hideMark/>
          </w:tcPr>
          <w:p w14:paraId="31C487F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(187) </w:t>
            </w:r>
          </w:p>
        </w:tc>
        <w:tc>
          <w:tcPr>
            <w:tcW w:w="1185" w:type="dxa"/>
            <w:noWrap/>
            <w:tcMar>
              <w:top w:w="15" w:type="dxa"/>
              <w:left w:w="108" w:type="dxa"/>
              <w:bottom w:w="0" w:type="dxa"/>
              <w:right w:w="108" w:type="dxa"/>
            </w:tcMar>
            <w:vAlign w:val="bottom"/>
            <w:hideMark/>
          </w:tcPr>
          <w:p w14:paraId="5BA0442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(1,068) </w:t>
            </w:r>
          </w:p>
        </w:tc>
        <w:tc>
          <w:tcPr>
            <w:tcW w:w="1276" w:type="dxa"/>
            <w:noWrap/>
            <w:tcMar>
              <w:top w:w="15" w:type="dxa"/>
              <w:left w:w="108" w:type="dxa"/>
              <w:bottom w:w="0" w:type="dxa"/>
              <w:right w:w="108" w:type="dxa"/>
            </w:tcMar>
            <w:vAlign w:val="bottom"/>
            <w:hideMark/>
          </w:tcPr>
          <w:p w14:paraId="2E64567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(89) </w:t>
            </w:r>
          </w:p>
        </w:tc>
        <w:tc>
          <w:tcPr>
            <w:tcW w:w="1134" w:type="dxa"/>
            <w:noWrap/>
            <w:tcMar>
              <w:top w:w="15" w:type="dxa"/>
              <w:left w:w="108" w:type="dxa"/>
              <w:bottom w:w="0" w:type="dxa"/>
              <w:right w:w="108" w:type="dxa"/>
            </w:tcMar>
            <w:vAlign w:val="bottom"/>
            <w:hideMark/>
          </w:tcPr>
          <w:p w14:paraId="5A556D6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1A52799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(2,376) </w:t>
            </w:r>
          </w:p>
        </w:tc>
      </w:tr>
      <w:tr w:rsidR="00560745" w14:paraId="6F620853" w14:textId="77777777" w:rsidTr="008C4B78">
        <w:trPr>
          <w:trHeight w:val="114"/>
        </w:trPr>
        <w:tc>
          <w:tcPr>
            <w:tcW w:w="1985" w:type="dxa"/>
            <w:noWrap/>
            <w:tcMar>
              <w:top w:w="15" w:type="dxa"/>
              <w:left w:w="108" w:type="dxa"/>
              <w:bottom w:w="0" w:type="dxa"/>
              <w:right w:w="108" w:type="dxa"/>
            </w:tcMar>
            <w:vAlign w:val="center"/>
            <w:hideMark/>
          </w:tcPr>
          <w:p w14:paraId="2F838BA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Reclassifications</w:t>
            </w:r>
          </w:p>
        </w:tc>
        <w:tc>
          <w:tcPr>
            <w:tcW w:w="1132" w:type="dxa"/>
            <w:noWrap/>
            <w:tcMar>
              <w:top w:w="15" w:type="dxa"/>
              <w:left w:w="108" w:type="dxa"/>
              <w:bottom w:w="0" w:type="dxa"/>
              <w:right w:w="108" w:type="dxa"/>
            </w:tcMar>
            <w:vAlign w:val="bottom"/>
            <w:hideMark/>
          </w:tcPr>
          <w:p w14:paraId="64904E1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085" w:type="dxa"/>
            <w:noWrap/>
            <w:tcMar>
              <w:top w:w="15" w:type="dxa"/>
              <w:left w:w="108" w:type="dxa"/>
              <w:bottom w:w="0" w:type="dxa"/>
              <w:right w:w="108" w:type="dxa"/>
            </w:tcMar>
            <w:vAlign w:val="bottom"/>
            <w:hideMark/>
          </w:tcPr>
          <w:p w14:paraId="0F10C7D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85" w:type="dxa"/>
            <w:noWrap/>
            <w:tcMar>
              <w:top w:w="15" w:type="dxa"/>
              <w:left w:w="108" w:type="dxa"/>
              <w:bottom w:w="0" w:type="dxa"/>
              <w:right w:w="108" w:type="dxa"/>
            </w:tcMar>
            <w:vAlign w:val="bottom"/>
            <w:hideMark/>
          </w:tcPr>
          <w:p w14:paraId="11CE28E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2D04753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1,002 </w:t>
            </w:r>
          </w:p>
        </w:tc>
        <w:tc>
          <w:tcPr>
            <w:tcW w:w="1134" w:type="dxa"/>
            <w:noWrap/>
            <w:tcMar>
              <w:top w:w="15" w:type="dxa"/>
              <w:left w:w="108" w:type="dxa"/>
              <w:bottom w:w="0" w:type="dxa"/>
              <w:right w:w="108" w:type="dxa"/>
            </w:tcMar>
            <w:vAlign w:val="bottom"/>
            <w:hideMark/>
          </w:tcPr>
          <w:p w14:paraId="1F12BC5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(1,002) </w:t>
            </w:r>
          </w:p>
        </w:tc>
        <w:tc>
          <w:tcPr>
            <w:tcW w:w="1134" w:type="dxa"/>
            <w:noWrap/>
            <w:tcMar>
              <w:top w:w="15" w:type="dxa"/>
              <w:left w:w="108" w:type="dxa"/>
              <w:bottom w:w="0" w:type="dxa"/>
              <w:right w:w="108" w:type="dxa"/>
            </w:tcMar>
            <w:vAlign w:val="bottom"/>
            <w:hideMark/>
          </w:tcPr>
          <w:p w14:paraId="2CD12AC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r>
      <w:tr w:rsidR="00560745" w14:paraId="668BC21D" w14:textId="77777777" w:rsidTr="008C4B78">
        <w:trPr>
          <w:trHeight w:val="146"/>
        </w:trPr>
        <w:tc>
          <w:tcPr>
            <w:tcW w:w="1985" w:type="dxa"/>
            <w:noWrap/>
            <w:tcMar>
              <w:top w:w="15" w:type="dxa"/>
              <w:left w:w="108" w:type="dxa"/>
              <w:bottom w:w="0" w:type="dxa"/>
              <w:right w:w="108" w:type="dxa"/>
            </w:tcMar>
            <w:vAlign w:val="center"/>
            <w:hideMark/>
          </w:tcPr>
          <w:p w14:paraId="041800F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Remeasurement</w:t>
            </w:r>
          </w:p>
        </w:tc>
        <w:tc>
          <w:tcPr>
            <w:tcW w:w="1132" w:type="dxa"/>
            <w:noWrap/>
            <w:tcMar>
              <w:top w:w="15" w:type="dxa"/>
              <w:left w:w="108" w:type="dxa"/>
              <w:bottom w:w="0" w:type="dxa"/>
              <w:right w:w="108" w:type="dxa"/>
            </w:tcMar>
            <w:vAlign w:val="bottom"/>
            <w:hideMark/>
          </w:tcPr>
          <w:p w14:paraId="27EA744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(2,539) </w:t>
            </w:r>
          </w:p>
        </w:tc>
        <w:tc>
          <w:tcPr>
            <w:tcW w:w="1085" w:type="dxa"/>
            <w:noWrap/>
            <w:tcMar>
              <w:top w:w="15" w:type="dxa"/>
              <w:left w:w="108" w:type="dxa"/>
              <w:bottom w:w="0" w:type="dxa"/>
              <w:right w:w="108" w:type="dxa"/>
            </w:tcMar>
            <w:vAlign w:val="bottom"/>
            <w:hideMark/>
          </w:tcPr>
          <w:p w14:paraId="687A97A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85" w:type="dxa"/>
            <w:noWrap/>
            <w:tcMar>
              <w:top w:w="15" w:type="dxa"/>
              <w:left w:w="108" w:type="dxa"/>
              <w:bottom w:w="0" w:type="dxa"/>
              <w:right w:w="108" w:type="dxa"/>
            </w:tcMar>
            <w:vAlign w:val="bottom"/>
            <w:hideMark/>
          </w:tcPr>
          <w:p w14:paraId="421820A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32A8A73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0B23C3F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7620E205" w14:textId="77777777" w:rsidR="00560745" w:rsidRPr="006D2AE1" w:rsidRDefault="00560745">
            <w:pPr>
              <w:spacing w:after="0" w:line="240" w:lineRule="auto"/>
              <w:jc w:val="right"/>
              <w:rPr>
                <w:rFonts w:eastAsia="Times New Roman"/>
                <w:b/>
                <w:kern w:val="0"/>
                <w:sz w:val="20"/>
                <w:szCs w:val="20"/>
                <w:lang w:eastAsia="en-GB"/>
                <w14:ligatures w14:val="none"/>
              </w:rPr>
            </w:pPr>
            <w:r w:rsidRPr="006D2AE1">
              <w:rPr>
                <w:rFonts w:eastAsia="Times New Roman"/>
                <w:b/>
                <w:kern w:val="0"/>
                <w:sz w:val="20"/>
                <w:szCs w:val="20"/>
                <w:lang w:eastAsia="en-GB"/>
                <w14:ligatures w14:val="none"/>
              </w:rPr>
              <w:t xml:space="preserve">(2,539) </w:t>
            </w:r>
          </w:p>
        </w:tc>
      </w:tr>
      <w:tr w:rsidR="00560745" w14:paraId="68F50FBC" w14:textId="77777777" w:rsidTr="008C4B78">
        <w:trPr>
          <w:trHeight w:val="155"/>
        </w:trPr>
        <w:tc>
          <w:tcPr>
            <w:tcW w:w="1985" w:type="dxa"/>
            <w:noWrap/>
            <w:tcMar>
              <w:top w:w="15" w:type="dxa"/>
              <w:left w:w="108" w:type="dxa"/>
              <w:bottom w:w="0" w:type="dxa"/>
              <w:right w:w="108" w:type="dxa"/>
            </w:tcMar>
            <w:vAlign w:val="center"/>
            <w:hideMark/>
          </w:tcPr>
          <w:p w14:paraId="729578AD"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At 31 March 2023</w:t>
            </w:r>
          </w:p>
        </w:tc>
        <w:tc>
          <w:tcPr>
            <w:tcW w:w="113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B43750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25,317 </w:t>
            </w:r>
          </w:p>
        </w:tc>
        <w:tc>
          <w:tcPr>
            <w:tcW w:w="10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5ECF12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DEBF86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0A63B3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5,998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43ADA7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0DAE7A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31,315 </w:t>
            </w:r>
          </w:p>
        </w:tc>
      </w:tr>
      <w:tr w:rsidR="00560745" w14:paraId="150E4BC0" w14:textId="77777777" w:rsidTr="008C4B78">
        <w:trPr>
          <w:trHeight w:val="319"/>
        </w:trPr>
        <w:tc>
          <w:tcPr>
            <w:tcW w:w="1985" w:type="dxa"/>
            <w:noWrap/>
            <w:tcMar>
              <w:top w:w="15" w:type="dxa"/>
              <w:left w:w="108" w:type="dxa"/>
              <w:bottom w:w="0" w:type="dxa"/>
              <w:right w:w="108" w:type="dxa"/>
            </w:tcMar>
            <w:vAlign w:val="bottom"/>
            <w:hideMark/>
          </w:tcPr>
          <w:p w14:paraId="18C5C969" w14:textId="77777777" w:rsidR="00560745" w:rsidRDefault="00560745">
            <w:pPr>
              <w:spacing w:after="0"/>
              <w:rPr>
                <w:kern w:val="0"/>
                <w:sz w:val="20"/>
                <w:szCs w:val="20"/>
                <w:lang w:eastAsia="en-GB"/>
                <w14:ligatures w14:val="none"/>
              </w:rPr>
            </w:pPr>
          </w:p>
        </w:tc>
        <w:tc>
          <w:tcPr>
            <w:tcW w:w="1132" w:type="dxa"/>
            <w:noWrap/>
            <w:tcMar>
              <w:top w:w="15" w:type="dxa"/>
              <w:left w:w="108" w:type="dxa"/>
              <w:bottom w:w="0" w:type="dxa"/>
              <w:right w:w="108" w:type="dxa"/>
            </w:tcMar>
            <w:vAlign w:val="bottom"/>
            <w:hideMark/>
          </w:tcPr>
          <w:p w14:paraId="76CC7537" w14:textId="77777777" w:rsidR="00560745" w:rsidRDefault="00560745">
            <w:pPr>
              <w:spacing w:after="0"/>
              <w:rPr>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1CB9C867"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1E49CFFE"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10BCFC13"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D1F0C3D"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6B2567DC" w14:textId="77777777" w:rsidR="00560745" w:rsidRDefault="00560745">
            <w:pPr>
              <w:spacing w:after="0"/>
              <w:rPr>
                <w:kern w:val="0"/>
                <w:sz w:val="20"/>
                <w:szCs w:val="20"/>
                <w:lang w:eastAsia="en-GB"/>
                <w14:ligatures w14:val="none"/>
              </w:rPr>
            </w:pPr>
          </w:p>
        </w:tc>
      </w:tr>
      <w:tr w:rsidR="00560745" w14:paraId="2327BCFA" w14:textId="77777777" w:rsidTr="008C4B78">
        <w:trPr>
          <w:trHeight w:val="272"/>
        </w:trPr>
        <w:tc>
          <w:tcPr>
            <w:tcW w:w="1985" w:type="dxa"/>
            <w:noWrap/>
            <w:tcMar>
              <w:top w:w="15" w:type="dxa"/>
              <w:left w:w="108" w:type="dxa"/>
              <w:bottom w:w="0" w:type="dxa"/>
              <w:right w:w="108" w:type="dxa"/>
            </w:tcMar>
            <w:vAlign w:val="bottom"/>
            <w:hideMark/>
          </w:tcPr>
          <w:p w14:paraId="2C60D2FC"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Depreciation</w:t>
            </w:r>
          </w:p>
        </w:tc>
        <w:tc>
          <w:tcPr>
            <w:tcW w:w="1132" w:type="dxa"/>
            <w:noWrap/>
            <w:tcMar>
              <w:top w:w="15" w:type="dxa"/>
              <w:left w:w="108" w:type="dxa"/>
              <w:bottom w:w="0" w:type="dxa"/>
              <w:right w:w="108" w:type="dxa"/>
            </w:tcMar>
            <w:vAlign w:val="bottom"/>
            <w:hideMark/>
          </w:tcPr>
          <w:p w14:paraId="198AD5DB" w14:textId="77777777" w:rsidR="00560745" w:rsidRDefault="00560745">
            <w:pPr>
              <w:rPr>
                <w:rFonts w:eastAsia="Times New Roman"/>
                <w:b/>
                <w:bCs/>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7E3AF0E5"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36388631"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3180C92A"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4B20F0C"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2DF82171" w14:textId="77777777" w:rsidR="00560745" w:rsidRDefault="00560745">
            <w:pPr>
              <w:spacing w:after="0"/>
              <w:rPr>
                <w:kern w:val="0"/>
                <w:sz w:val="20"/>
                <w:szCs w:val="20"/>
                <w:lang w:eastAsia="en-GB"/>
                <w14:ligatures w14:val="none"/>
              </w:rPr>
            </w:pPr>
          </w:p>
        </w:tc>
      </w:tr>
      <w:tr w:rsidR="00560745" w14:paraId="7AA9486D" w14:textId="77777777" w:rsidTr="008C4B78">
        <w:trPr>
          <w:trHeight w:val="262"/>
        </w:trPr>
        <w:tc>
          <w:tcPr>
            <w:tcW w:w="1985" w:type="dxa"/>
            <w:noWrap/>
            <w:tcMar>
              <w:top w:w="15" w:type="dxa"/>
              <w:left w:w="108" w:type="dxa"/>
              <w:bottom w:w="0" w:type="dxa"/>
              <w:right w:w="108" w:type="dxa"/>
            </w:tcMar>
            <w:vAlign w:val="bottom"/>
            <w:hideMark/>
          </w:tcPr>
          <w:p w14:paraId="238907E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At 1 April 2022</w:t>
            </w:r>
          </w:p>
        </w:tc>
        <w:tc>
          <w:tcPr>
            <w:tcW w:w="1132" w:type="dxa"/>
            <w:noWrap/>
            <w:tcMar>
              <w:top w:w="15" w:type="dxa"/>
              <w:left w:w="108" w:type="dxa"/>
              <w:bottom w:w="0" w:type="dxa"/>
              <w:right w:w="108" w:type="dxa"/>
            </w:tcMar>
            <w:vAlign w:val="bottom"/>
            <w:hideMark/>
          </w:tcPr>
          <w:p w14:paraId="5B00F0E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5,786 </w:t>
            </w:r>
          </w:p>
        </w:tc>
        <w:tc>
          <w:tcPr>
            <w:tcW w:w="1085" w:type="dxa"/>
            <w:noWrap/>
            <w:tcMar>
              <w:top w:w="15" w:type="dxa"/>
              <w:left w:w="108" w:type="dxa"/>
              <w:bottom w:w="0" w:type="dxa"/>
              <w:right w:w="108" w:type="dxa"/>
            </w:tcMar>
            <w:vAlign w:val="bottom"/>
            <w:hideMark/>
          </w:tcPr>
          <w:p w14:paraId="4E277CE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171 </w:t>
            </w:r>
          </w:p>
        </w:tc>
        <w:tc>
          <w:tcPr>
            <w:tcW w:w="1185" w:type="dxa"/>
            <w:noWrap/>
            <w:tcMar>
              <w:top w:w="15" w:type="dxa"/>
              <w:left w:w="108" w:type="dxa"/>
              <w:bottom w:w="0" w:type="dxa"/>
              <w:right w:w="108" w:type="dxa"/>
            </w:tcMar>
            <w:vAlign w:val="bottom"/>
            <w:hideMark/>
          </w:tcPr>
          <w:p w14:paraId="5BF07F3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570 </w:t>
            </w:r>
          </w:p>
        </w:tc>
        <w:tc>
          <w:tcPr>
            <w:tcW w:w="1276" w:type="dxa"/>
            <w:noWrap/>
            <w:tcMar>
              <w:top w:w="15" w:type="dxa"/>
              <w:left w:w="108" w:type="dxa"/>
              <w:bottom w:w="0" w:type="dxa"/>
              <w:right w:w="108" w:type="dxa"/>
            </w:tcMar>
            <w:vAlign w:val="bottom"/>
            <w:hideMark/>
          </w:tcPr>
          <w:p w14:paraId="344D492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2,006 </w:t>
            </w:r>
          </w:p>
        </w:tc>
        <w:tc>
          <w:tcPr>
            <w:tcW w:w="1134" w:type="dxa"/>
            <w:noWrap/>
            <w:tcMar>
              <w:top w:w="15" w:type="dxa"/>
              <w:left w:w="108" w:type="dxa"/>
              <w:bottom w:w="0" w:type="dxa"/>
              <w:right w:w="108" w:type="dxa"/>
            </w:tcMar>
            <w:vAlign w:val="bottom"/>
            <w:hideMark/>
          </w:tcPr>
          <w:p w14:paraId="13FB634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2E1BC6E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8,533 </w:t>
            </w:r>
          </w:p>
        </w:tc>
      </w:tr>
      <w:tr w:rsidR="00560745" w14:paraId="5330FBF6" w14:textId="77777777" w:rsidTr="008C4B78">
        <w:trPr>
          <w:trHeight w:val="310"/>
        </w:trPr>
        <w:tc>
          <w:tcPr>
            <w:tcW w:w="1985" w:type="dxa"/>
            <w:noWrap/>
            <w:tcMar>
              <w:top w:w="15" w:type="dxa"/>
              <w:left w:w="108" w:type="dxa"/>
              <w:bottom w:w="0" w:type="dxa"/>
              <w:right w:w="108" w:type="dxa"/>
            </w:tcMar>
            <w:vAlign w:val="center"/>
            <w:hideMark/>
          </w:tcPr>
          <w:p w14:paraId="51158CB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Charged in year</w:t>
            </w:r>
          </w:p>
        </w:tc>
        <w:tc>
          <w:tcPr>
            <w:tcW w:w="1132" w:type="dxa"/>
            <w:noWrap/>
            <w:tcMar>
              <w:top w:w="15" w:type="dxa"/>
              <w:left w:w="108" w:type="dxa"/>
              <w:bottom w:w="0" w:type="dxa"/>
              <w:right w:w="108" w:type="dxa"/>
            </w:tcMar>
            <w:vAlign w:val="bottom"/>
            <w:hideMark/>
          </w:tcPr>
          <w:p w14:paraId="42C383F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6,151 </w:t>
            </w:r>
          </w:p>
        </w:tc>
        <w:tc>
          <w:tcPr>
            <w:tcW w:w="1085" w:type="dxa"/>
            <w:noWrap/>
            <w:tcMar>
              <w:top w:w="15" w:type="dxa"/>
              <w:left w:w="108" w:type="dxa"/>
              <w:bottom w:w="0" w:type="dxa"/>
              <w:right w:w="108" w:type="dxa"/>
            </w:tcMar>
            <w:vAlign w:val="bottom"/>
            <w:hideMark/>
          </w:tcPr>
          <w:p w14:paraId="61ABA6B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 </w:t>
            </w:r>
          </w:p>
        </w:tc>
        <w:tc>
          <w:tcPr>
            <w:tcW w:w="1185" w:type="dxa"/>
            <w:noWrap/>
            <w:tcMar>
              <w:top w:w="15" w:type="dxa"/>
              <w:left w:w="108" w:type="dxa"/>
              <w:bottom w:w="0" w:type="dxa"/>
              <w:right w:w="108" w:type="dxa"/>
            </w:tcMar>
            <w:vAlign w:val="bottom"/>
            <w:hideMark/>
          </w:tcPr>
          <w:p w14:paraId="1128064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223 </w:t>
            </w:r>
          </w:p>
        </w:tc>
        <w:tc>
          <w:tcPr>
            <w:tcW w:w="1276" w:type="dxa"/>
            <w:noWrap/>
            <w:tcMar>
              <w:top w:w="15" w:type="dxa"/>
              <w:left w:w="108" w:type="dxa"/>
              <w:bottom w:w="0" w:type="dxa"/>
              <w:right w:w="108" w:type="dxa"/>
            </w:tcMar>
            <w:vAlign w:val="bottom"/>
            <w:hideMark/>
          </w:tcPr>
          <w:p w14:paraId="4785FAC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1,014 </w:t>
            </w:r>
          </w:p>
        </w:tc>
        <w:tc>
          <w:tcPr>
            <w:tcW w:w="1134" w:type="dxa"/>
            <w:noWrap/>
            <w:tcMar>
              <w:top w:w="15" w:type="dxa"/>
              <w:left w:w="108" w:type="dxa"/>
              <w:bottom w:w="0" w:type="dxa"/>
              <w:right w:w="108" w:type="dxa"/>
            </w:tcMar>
            <w:vAlign w:val="bottom"/>
            <w:hideMark/>
          </w:tcPr>
          <w:p w14:paraId="79F1AEF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47D1B59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7,404 </w:t>
            </w:r>
          </w:p>
        </w:tc>
      </w:tr>
      <w:tr w:rsidR="00560745" w14:paraId="5566B67E" w14:textId="77777777" w:rsidTr="008C4B78">
        <w:trPr>
          <w:trHeight w:val="228"/>
        </w:trPr>
        <w:tc>
          <w:tcPr>
            <w:tcW w:w="1985" w:type="dxa"/>
            <w:noWrap/>
            <w:tcMar>
              <w:top w:w="15" w:type="dxa"/>
              <w:left w:w="108" w:type="dxa"/>
              <w:bottom w:w="0" w:type="dxa"/>
              <w:right w:w="108" w:type="dxa"/>
            </w:tcMar>
            <w:vAlign w:val="bottom"/>
            <w:hideMark/>
          </w:tcPr>
          <w:p w14:paraId="1C5D391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Disposals</w:t>
            </w:r>
          </w:p>
        </w:tc>
        <w:tc>
          <w:tcPr>
            <w:tcW w:w="1132" w:type="dxa"/>
            <w:noWrap/>
            <w:tcMar>
              <w:top w:w="15" w:type="dxa"/>
              <w:left w:w="108" w:type="dxa"/>
              <w:bottom w:w="0" w:type="dxa"/>
              <w:right w:w="108" w:type="dxa"/>
            </w:tcMar>
            <w:vAlign w:val="bottom"/>
            <w:hideMark/>
          </w:tcPr>
          <w:p w14:paraId="3F635E6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(1,032) </w:t>
            </w:r>
          </w:p>
        </w:tc>
        <w:tc>
          <w:tcPr>
            <w:tcW w:w="1085" w:type="dxa"/>
            <w:noWrap/>
            <w:tcMar>
              <w:top w:w="15" w:type="dxa"/>
              <w:left w:w="108" w:type="dxa"/>
              <w:bottom w:w="0" w:type="dxa"/>
              <w:right w:w="108" w:type="dxa"/>
            </w:tcMar>
            <w:vAlign w:val="bottom"/>
            <w:hideMark/>
          </w:tcPr>
          <w:p w14:paraId="622865D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(187) </w:t>
            </w:r>
          </w:p>
        </w:tc>
        <w:tc>
          <w:tcPr>
            <w:tcW w:w="1185" w:type="dxa"/>
            <w:noWrap/>
            <w:tcMar>
              <w:top w:w="15" w:type="dxa"/>
              <w:left w:w="108" w:type="dxa"/>
              <w:bottom w:w="0" w:type="dxa"/>
              <w:right w:w="108" w:type="dxa"/>
            </w:tcMar>
            <w:vAlign w:val="bottom"/>
            <w:hideMark/>
          </w:tcPr>
          <w:p w14:paraId="42D892B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(793) </w:t>
            </w:r>
          </w:p>
        </w:tc>
        <w:tc>
          <w:tcPr>
            <w:tcW w:w="1276" w:type="dxa"/>
            <w:noWrap/>
            <w:tcMar>
              <w:top w:w="15" w:type="dxa"/>
              <w:left w:w="108" w:type="dxa"/>
              <w:bottom w:w="0" w:type="dxa"/>
              <w:right w:w="108" w:type="dxa"/>
            </w:tcMar>
            <w:vAlign w:val="bottom"/>
            <w:hideMark/>
          </w:tcPr>
          <w:p w14:paraId="098188F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(89) </w:t>
            </w:r>
          </w:p>
        </w:tc>
        <w:tc>
          <w:tcPr>
            <w:tcW w:w="1134" w:type="dxa"/>
            <w:noWrap/>
            <w:tcMar>
              <w:top w:w="15" w:type="dxa"/>
              <w:left w:w="108" w:type="dxa"/>
              <w:bottom w:w="0" w:type="dxa"/>
              <w:right w:w="108" w:type="dxa"/>
            </w:tcMar>
            <w:vAlign w:val="bottom"/>
            <w:hideMark/>
          </w:tcPr>
          <w:p w14:paraId="497049B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73C7DC9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(2,101) </w:t>
            </w:r>
          </w:p>
        </w:tc>
      </w:tr>
      <w:tr w:rsidR="00560745" w14:paraId="6FF5DFD8" w14:textId="77777777" w:rsidTr="008C4B78">
        <w:trPr>
          <w:trHeight w:val="320"/>
        </w:trPr>
        <w:tc>
          <w:tcPr>
            <w:tcW w:w="1985" w:type="dxa"/>
            <w:noWrap/>
            <w:tcMar>
              <w:top w:w="15" w:type="dxa"/>
              <w:left w:w="108" w:type="dxa"/>
              <w:bottom w:w="0" w:type="dxa"/>
              <w:right w:w="108" w:type="dxa"/>
            </w:tcMar>
            <w:vAlign w:val="center"/>
            <w:hideMark/>
          </w:tcPr>
          <w:p w14:paraId="58C91E30"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At 31 March 2023</w:t>
            </w:r>
          </w:p>
        </w:tc>
        <w:tc>
          <w:tcPr>
            <w:tcW w:w="113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697F50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10,905 </w:t>
            </w:r>
          </w:p>
        </w:tc>
        <w:tc>
          <w:tcPr>
            <w:tcW w:w="10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E9FBBF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0FC172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211143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2,931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440CAF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4B7F31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13,836 </w:t>
            </w:r>
          </w:p>
        </w:tc>
      </w:tr>
      <w:tr w:rsidR="00560745" w14:paraId="7DEDABBB" w14:textId="77777777" w:rsidTr="008C4B78">
        <w:trPr>
          <w:trHeight w:val="310"/>
        </w:trPr>
        <w:tc>
          <w:tcPr>
            <w:tcW w:w="1985" w:type="dxa"/>
            <w:noWrap/>
            <w:tcMar>
              <w:top w:w="15" w:type="dxa"/>
              <w:left w:w="108" w:type="dxa"/>
              <w:bottom w:w="0" w:type="dxa"/>
              <w:right w:w="108" w:type="dxa"/>
            </w:tcMar>
            <w:vAlign w:val="bottom"/>
            <w:hideMark/>
          </w:tcPr>
          <w:p w14:paraId="03002F5C" w14:textId="77777777" w:rsidR="00560745" w:rsidRDefault="00560745">
            <w:pPr>
              <w:spacing w:after="0"/>
              <w:rPr>
                <w:kern w:val="0"/>
                <w:sz w:val="20"/>
                <w:szCs w:val="20"/>
                <w:lang w:eastAsia="en-GB"/>
                <w14:ligatures w14:val="none"/>
              </w:rPr>
            </w:pPr>
          </w:p>
        </w:tc>
        <w:tc>
          <w:tcPr>
            <w:tcW w:w="1132" w:type="dxa"/>
            <w:noWrap/>
            <w:tcMar>
              <w:top w:w="15" w:type="dxa"/>
              <w:left w:w="108" w:type="dxa"/>
              <w:bottom w:w="0" w:type="dxa"/>
              <w:right w:w="108" w:type="dxa"/>
            </w:tcMar>
            <w:vAlign w:val="bottom"/>
            <w:hideMark/>
          </w:tcPr>
          <w:p w14:paraId="39258AE1" w14:textId="77777777" w:rsidR="00560745" w:rsidRDefault="00560745">
            <w:pPr>
              <w:spacing w:after="0"/>
              <w:rPr>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704DA4E4"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6DBBB6C9"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556035E1"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66FFD220"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7F2D0A36" w14:textId="77777777" w:rsidR="00560745" w:rsidRDefault="00560745">
            <w:pPr>
              <w:spacing w:after="0"/>
              <w:rPr>
                <w:kern w:val="0"/>
                <w:sz w:val="20"/>
                <w:szCs w:val="20"/>
                <w:lang w:eastAsia="en-GB"/>
                <w14:ligatures w14:val="none"/>
              </w:rPr>
            </w:pPr>
          </w:p>
        </w:tc>
      </w:tr>
      <w:tr w:rsidR="00560745" w14:paraId="12744FC8" w14:textId="77777777" w:rsidTr="008C4B78">
        <w:trPr>
          <w:trHeight w:val="320"/>
        </w:trPr>
        <w:tc>
          <w:tcPr>
            <w:tcW w:w="1985" w:type="dxa"/>
            <w:noWrap/>
            <w:tcMar>
              <w:top w:w="15" w:type="dxa"/>
              <w:left w:w="108" w:type="dxa"/>
              <w:bottom w:w="0" w:type="dxa"/>
              <w:right w:w="108" w:type="dxa"/>
            </w:tcMar>
            <w:vAlign w:val="bottom"/>
            <w:hideMark/>
          </w:tcPr>
          <w:p w14:paraId="79A69941"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Carrying value at 31 March 2023</w:t>
            </w:r>
          </w:p>
        </w:tc>
        <w:tc>
          <w:tcPr>
            <w:tcW w:w="113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752505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14,412 </w:t>
            </w:r>
          </w:p>
        </w:tc>
        <w:tc>
          <w:tcPr>
            <w:tcW w:w="10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BE1120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47CF95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9759EE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3,067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05E9F4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911FF1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17,479 </w:t>
            </w:r>
          </w:p>
        </w:tc>
      </w:tr>
      <w:tr w:rsidR="00560745" w14:paraId="631E60E4" w14:textId="77777777" w:rsidTr="008C4B78">
        <w:trPr>
          <w:trHeight w:val="310"/>
        </w:trPr>
        <w:tc>
          <w:tcPr>
            <w:tcW w:w="1985" w:type="dxa"/>
            <w:noWrap/>
            <w:tcMar>
              <w:top w:w="15" w:type="dxa"/>
              <w:left w:w="108" w:type="dxa"/>
              <w:bottom w:w="0" w:type="dxa"/>
              <w:right w:w="108" w:type="dxa"/>
            </w:tcMar>
            <w:vAlign w:val="bottom"/>
            <w:hideMark/>
          </w:tcPr>
          <w:p w14:paraId="1B4C7233" w14:textId="77777777" w:rsidR="00560745" w:rsidRDefault="00560745">
            <w:pPr>
              <w:spacing w:after="0"/>
              <w:rPr>
                <w:kern w:val="0"/>
                <w:sz w:val="20"/>
                <w:szCs w:val="20"/>
                <w:lang w:eastAsia="en-GB"/>
                <w14:ligatures w14:val="none"/>
              </w:rPr>
            </w:pPr>
          </w:p>
        </w:tc>
        <w:tc>
          <w:tcPr>
            <w:tcW w:w="1132" w:type="dxa"/>
            <w:noWrap/>
            <w:tcMar>
              <w:top w:w="15" w:type="dxa"/>
              <w:left w:w="108" w:type="dxa"/>
              <w:bottom w:w="0" w:type="dxa"/>
              <w:right w:w="108" w:type="dxa"/>
            </w:tcMar>
            <w:vAlign w:val="bottom"/>
            <w:hideMark/>
          </w:tcPr>
          <w:p w14:paraId="5EC5CCF1" w14:textId="77777777" w:rsidR="00560745" w:rsidRDefault="00560745">
            <w:pPr>
              <w:spacing w:after="0"/>
              <w:rPr>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65541F27"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673C00B2"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03F38B3A"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130EC64"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CE97445" w14:textId="77777777" w:rsidR="00560745" w:rsidRDefault="00560745">
            <w:pPr>
              <w:spacing w:after="0"/>
              <w:rPr>
                <w:kern w:val="0"/>
                <w:sz w:val="20"/>
                <w:szCs w:val="20"/>
                <w:lang w:eastAsia="en-GB"/>
                <w14:ligatures w14:val="none"/>
              </w:rPr>
            </w:pPr>
          </w:p>
        </w:tc>
      </w:tr>
      <w:tr w:rsidR="00560745" w14:paraId="7BAF5605" w14:textId="77777777" w:rsidTr="008C4B78">
        <w:trPr>
          <w:trHeight w:val="154"/>
        </w:trPr>
        <w:tc>
          <w:tcPr>
            <w:tcW w:w="1985" w:type="dxa"/>
            <w:noWrap/>
            <w:tcMar>
              <w:top w:w="15" w:type="dxa"/>
              <w:left w:w="108" w:type="dxa"/>
              <w:bottom w:w="0" w:type="dxa"/>
              <w:right w:w="108" w:type="dxa"/>
            </w:tcMar>
            <w:vAlign w:val="bottom"/>
            <w:hideMark/>
          </w:tcPr>
          <w:p w14:paraId="5A6EAD89"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Asset financing:</w:t>
            </w:r>
          </w:p>
        </w:tc>
        <w:tc>
          <w:tcPr>
            <w:tcW w:w="1132" w:type="dxa"/>
            <w:noWrap/>
            <w:tcMar>
              <w:top w:w="15" w:type="dxa"/>
              <w:left w:w="108" w:type="dxa"/>
              <w:bottom w:w="0" w:type="dxa"/>
              <w:right w:w="108" w:type="dxa"/>
            </w:tcMar>
            <w:vAlign w:val="bottom"/>
            <w:hideMark/>
          </w:tcPr>
          <w:p w14:paraId="63044492" w14:textId="77777777" w:rsidR="00560745" w:rsidRDefault="00560745">
            <w:pPr>
              <w:rPr>
                <w:rFonts w:eastAsia="Times New Roman"/>
                <w:b/>
                <w:bCs/>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35C79325"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4464C0D1"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6845EB9D"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5D6CD022"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27989FC" w14:textId="77777777" w:rsidR="00560745" w:rsidRDefault="00560745">
            <w:pPr>
              <w:spacing w:after="0"/>
              <w:rPr>
                <w:kern w:val="0"/>
                <w:sz w:val="20"/>
                <w:szCs w:val="20"/>
                <w:lang w:eastAsia="en-GB"/>
                <w14:ligatures w14:val="none"/>
              </w:rPr>
            </w:pPr>
          </w:p>
        </w:tc>
      </w:tr>
      <w:tr w:rsidR="00560745" w14:paraId="7312097E" w14:textId="77777777" w:rsidTr="008C4B78">
        <w:trPr>
          <w:trHeight w:val="172"/>
        </w:trPr>
        <w:tc>
          <w:tcPr>
            <w:tcW w:w="1985" w:type="dxa"/>
            <w:noWrap/>
            <w:tcMar>
              <w:top w:w="15" w:type="dxa"/>
              <w:left w:w="108" w:type="dxa"/>
              <w:bottom w:w="0" w:type="dxa"/>
              <w:right w:w="108" w:type="dxa"/>
            </w:tcMar>
            <w:vAlign w:val="bottom"/>
            <w:hideMark/>
          </w:tcPr>
          <w:p w14:paraId="31A6A3B9"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Owned</w:t>
            </w:r>
          </w:p>
        </w:tc>
        <w:tc>
          <w:tcPr>
            <w:tcW w:w="1132" w:type="dxa"/>
            <w:noWrap/>
            <w:tcMar>
              <w:top w:w="15" w:type="dxa"/>
              <w:left w:w="108" w:type="dxa"/>
              <w:bottom w:w="0" w:type="dxa"/>
              <w:right w:w="108" w:type="dxa"/>
            </w:tcMar>
            <w:vAlign w:val="bottom"/>
            <w:hideMark/>
          </w:tcPr>
          <w:p w14:paraId="60E3ADF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14,412 </w:t>
            </w:r>
          </w:p>
        </w:tc>
        <w:tc>
          <w:tcPr>
            <w:tcW w:w="1085" w:type="dxa"/>
            <w:noWrap/>
            <w:tcMar>
              <w:top w:w="15" w:type="dxa"/>
              <w:left w:w="108" w:type="dxa"/>
              <w:bottom w:w="0" w:type="dxa"/>
              <w:right w:w="108" w:type="dxa"/>
            </w:tcMar>
            <w:vAlign w:val="bottom"/>
            <w:hideMark/>
          </w:tcPr>
          <w:p w14:paraId="1995108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85" w:type="dxa"/>
            <w:noWrap/>
            <w:tcMar>
              <w:top w:w="15" w:type="dxa"/>
              <w:left w:w="108" w:type="dxa"/>
              <w:bottom w:w="0" w:type="dxa"/>
              <w:right w:w="108" w:type="dxa"/>
            </w:tcMar>
            <w:vAlign w:val="bottom"/>
            <w:hideMark/>
          </w:tcPr>
          <w:p w14:paraId="06A7EF4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739411C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3,067 </w:t>
            </w:r>
          </w:p>
        </w:tc>
        <w:tc>
          <w:tcPr>
            <w:tcW w:w="1134" w:type="dxa"/>
            <w:noWrap/>
            <w:tcMar>
              <w:top w:w="15" w:type="dxa"/>
              <w:left w:w="108" w:type="dxa"/>
              <w:bottom w:w="0" w:type="dxa"/>
              <w:right w:w="108" w:type="dxa"/>
            </w:tcMar>
            <w:vAlign w:val="bottom"/>
            <w:hideMark/>
          </w:tcPr>
          <w:p w14:paraId="127B9B2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2AFAD03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17,479 </w:t>
            </w:r>
          </w:p>
        </w:tc>
      </w:tr>
      <w:tr w:rsidR="00560745" w14:paraId="0788547D" w14:textId="77777777" w:rsidTr="008C4B78">
        <w:trPr>
          <w:trHeight w:val="320"/>
        </w:trPr>
        <w:tc>
          <w:tcPr>
            <w:tcW w:w="1985" w:type="dxa"/>
            <w:noWrap/>
            <w:tcMar>
              <w:top w:w="15" w:type="dxa"/>
              <w:left w:w="108" w:type="dxa"/>
              <w:bottom w:w="0" w:type="dxa"/>
              <w:right w:w="108" w:type="dxa"/>
            </w:tcMar>
            <w:vAlign w:val="bottom"/>
            <w:hideMark/>
          </w:tcPr>
          <w:p w14:paraId="11DE57DD"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Carrying value at 31 March 2023</w:t>
            </w:r>
          </w:p>
        </w:tc>
        <w:tc>
          <w:tcPr>
            <w:tcW w:w="113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9DD762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14,412 </w:t>
            </w:r>
          </w:p>
        </w:tc>
        <w:tc>
          <w:tcPr>
            <w:tcW w:w="10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009965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AD99D4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974DCC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3,067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345B81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4B464B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17,479 </w:t>
            </w:r>
          </w:p>
        </w:tc>
      </w:tr>
    </w:tbl>
    <w:p w14:paraId="141E05FF" w14:textId="77777777" w:rsidR="00560745" w:rsidRDefault="00560745" w:rsidP="00560745">
      <w:pPr>
        <w:rPr>
          <w:rFonts w:ascii="Arial" w:hAnsi="Arial" w:cs="Arial"/>
          <w:sz w:val="24"/>
          <w:szCs w:val="24"/>
        </w:rPr>
      </w:pPr>
    </w:p>
    <w:p w14:paraId="5ED8BF28" w14:textId="77777777" w:rsidR="00560745" w:rsidRDefault="00560745" w:rsidP="00560745">
      <w:r>
        <w:rPr>
          <w:rFonts w:ascii="Times New Roman" w:hAnsi="Times New Roman" w:cs="Times New Roman"/>
          <w:kern w:val="0"/>
          <w:lang w:eastAsia="en-GB"/>
          <w14:ligatures w14:val="none"/>
        </w:rPr>
        <w:br w:type="page"/>
      </w:r>
    </w:p>
    <w:tbl>
      <w:tblPr>
        <w:tblW w:w="8931" w:type="dxa"/>
        <w:tblLayout w:type="fixed"/>
        <w:tblLook w:val="04A0" w:firstRow="1" w:lastRow="0" w:firstColumn="1" w:lastColumn="0" w:noHBand="0" w:noVBand="1"/>
      </w:tblPr>
      <w:tblGrid>
        <w:gridCol w:w="567"/>
        <w:gridCol w:w="2694"/>
        <w:gridCol w:w="703"/>
        <w:gridCol w:w="856"/>
        <w:gridCol w:w="383"/>
        <w:gridCol w:w="1034"/>
        <w:gridCol w:w="206"/>
        <w:gridCol w:w="1212"/>
        <w:gridCol w:w="1270"/>
        <w:gridCol w:w="6"/>
      </w:tblGrid>
      <w:tr w:rsidR="00560745" w14:paraId="0C43F3A3" w14:textId="77777777" w:rsidTr="00517DE5">
        <w:trPr>
          <w:gridAfter w:val="1"/>
          <w:wAfter w:w="6" w:type="dxa"/>
          <w:trHeight w:val="269"/>
        </w:trPr>
        <w:tc>
          <w:tcPr>
            <w:tcW w:w="567" w:type="dxa"/>
            <w:tcMar>
              <w:top w:w="15" w:type="dxa"/>
              <w:left w:w="108" w:type="dxa"/>
              <w:bottom w:w="0" w:type="dxa"/>
              <w:right w:w="108" w:type="dxa"/>
            </w:tcMar>
            <w:vAlign w:val="bottom"/>
            <w:hideMark/>
          </w:tcPr>
          <w:p w14:paraId="3C2A5239" w14:textId="77777777" w:rsidR="00560745" w:rsidRPr="009E6123" w:rsidRDefault="00560745">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b/>
                <w:bCs/>
                <w:kern w:val="0"/>
                <w:sz w:val="24"/>
                <w:szCs w:val="24"/>
                <w:lang w:eastAsia="en-GB"/>
                <w14:ligatures w14:val="none"/>
              </w:rPr>
              <w:lastRenderedPageBreak/>
              <w:t>7</w:t>
            </w:r>
          </w:p>
        </w:tc>
        <w:tc>
          <w:tcPr>
            <w:tcW w:w="3397" w:type="dxa"/>
            <w:gridSpan w:val="2"/>
            <w:noWrap/>
            <w:tcMar>
              <w:top w:w="15" w:type="dxa"/>
              <w:left w:w="108" w:type="dxa"/>
              <w:bottom w:w="0" w:type="dxa"/>
              <w:right w:w="108" w:type="dxa"/>
            </w:tcMar>
            <w:vAlign w:val="bottom"/>
            <w:hideMark/>
          </w:tcPr>
          <w:p w14:paraId="3EA135BD" w14:textId="77777777"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Intangible assets</w:t>
            </w:r>
          </w:p>
        </w:tc>
        <w:tc>
          <w:tcPr>
            <w:tcW w:w="1239" w:type="dxa"/>
            <w:gridSpan w:val="2"/>
            <w:noWrap/>
            <w:tcMar>
              <w:top w:w="15" w:type="dxa"/>
              <w:left w:w="108" w:type="dxa"/>
              <w:bottom w:w="0" w:type="dxa"/>
              <w:right w:w="108" w:type="dxa"/>
            </w:tcMar>
            <w:vAlign w:val="bottom"/>
          </w:tcPr>
          <w:p w14:paraId="4997761E" w14:textId="77777777" w:rsidR="00560745" w:rsidRDefault="00560745">
            <w:pPr>
              <w:spacing w:after="0" w:line="240" w:lineRule="auto"/>
              <w:rPr>
                <w:rFonts w:eastAsia="Times New Roman"/>
                <w:b/>
                <w:bCs/>
                <w:kern w:val="0"/>
                <w:sz w:val="20"/>
                <w:szCs w:val="20"/>
                <w:lang w:eastAsia="en-GB"/>
                <w14:ligatures w14:val="none"/>
              </w:rPr>
            </w:pPr>
          </w:p>
        </w:tc>
        <w:tc>
          <w:tcPr>
            <w:tcW w:w="1240" w:type="dxa"/>
            <w:gridSpan w:val="2"/>
            <w:noWrap/>
            <w:tcMar>
              <w:top w:w="15" w:type="dxa"/>
              <w:left w:w="108" w:type="dxa"/>
              <w:bottom w:w="0" w:type="dxa"/>
              <w:right w:w="108" w:type="dxa"/>
            </w:tcMar>
            <w:vAlign w:val="bottom"/>
          </w:tcPr>
          <w:p w14:paraId="529B2A4C" w14:textId="77777777" w:rsidR="00560745" w:rsidRDefault="00560745">
            <w:pPr>
              <w:spacing w:after="0" w:line="240" w:lineRule="auto"/>
              <w:jc w:val="right"/>
              <w:rPr>
                <w:rFonts w:eastAsia="Times New Roman"/>
                <w:b/>
                <w:bCs/>
                <w:kern w:val="0"/>
                <w:sz w:val="20"/>
                <w:szCs w:val="20"/>
                <w:lang w:eastAsia="en-GB"/>
                <w14:ligatures w14:val="none"/>
              </w:rPr>
            </w:pPr>
          </w:p>
        </w:tc>
        <w:tc>
          <w:tcPr>
            <w:tcW w:w="1212" w:type="dxa"/>
            <w:noWrap/>
            <w:tcMar>
              <w:top w:w="15" w:type="dxa"/>
              <w:left w:w="108" w:type="dxa"/>
              <w:bottom w:w="0" w:type="dxa"/>
              <w:right w:w="108" w:type="dxa"/>
            </w:tcMar>
            <w:vAlign w:val="bottom"/>
          </w:tcPr>
          <w:p w14:paraId="25B297CD" w14:textId="77777777" w:rsidR="00560745" w:rsidRDefault="00560745">
            <w:pPr>
              <w:spacing w:after="0" w:line="240" w:lineRule="auto"/>
              <w:jc w:val="right"/>
              <w:rPr>
                <w:rFonts w:eastAsia="Times New Roman"/>
                <w:b/>
                <w:bCs/>
                <w:kern w:val="0"/>
                <w:sz w:val="20"/>
                <w:szCs w:val="20"/>
                <w:lang w:eastAsia="en-GB"/>
                <w14:ligatures w14:val="none"/>
              </w:rPr>
            </w:pPr>
          </w:p>
        </w:tc>
        <w:tc>
          <w:tcPr>
            <w:tcW w:w="1270" w:type="dxa"/>
            <w:noWrap/>
            <w:tcMar>
              <w:top w:w="15" w:type="dxa"/>
              <w:left w:w="108" w:type="dxa"/>
              <w:bottom w:w="0" w:type="dxa"/>
              <w:right w:w="108" w:type="dxa"/>
            </w:tcMar>
            <w:vAlign w:val="bottom"/>
          </w:tcPr>
          <w:p w14:paraId="4F76666B"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p>
        </w:tc>
      </w:tr>
      <w:tr w:rsidR="00560745" w14:paraId="43314E48" w14:textId="77777777" w:rsidTr="00517DE5">
        <w:trPr>
          <w:trHeight w:val="117"/>
        </w:trPr>
        <w:tc>
          <w:tcPr>
            <w:tcW w:w="3261" w:type="dxa"/>
            <w:gridSpan w:val="2"/>
            <w:noWrap/>
            <w:tcMar>
              <w:top w:w="15" w:type="dxa"/>
              <w:left w:w="108" w:type="dxa"/>
              <w:bottom w:w="0" w:type="dxa"/>
              <w:right w:w="108" w:type="dxa"/>
            </w:tcMar>
            <w:vAlign w:val="bottom"/>
          </w:tcPr>
          <w:p w14:paraId="12670B83" w14:textId="77777777" w:rsidR="00560745" w:rsidRDefault="00560745">
            <w:pPr>
              <w:spacing w:after="0" w:line="240" w:lineRule="auto"/>
              <w:rPr>
                <w:rFonts w:ascii="Arial" w:eastAsia="Times New Roman" w:hAnsi="Arial" w:cs="Arial"/>
                <w:b/>
                <w:bCs/>
                <w:kern w:val="0"/>
                <w:sz w:val="20"/>
                <w:szCs w:val="20"/>
                <w:lang w:eastAsia="en-GB"/>
                <w14:ligatures w14:val="none"/>
              </w:rPr>
            </w:pPr>
          </w:p>
        </w:tc>
        <w:tc>
          <w:tcPr>
            <w:tcW w:w="1559" w:type="dxa"/>
            <w:gridSpan w:val="2"/>
            <w:noWrap/>
            <w:tcMar>
              <w:top w:w="15" w:type="dxa"/>
              <w:left w:w="108" w:type="dxa"/>
              <w:bottom w:w="0" w:type="dxa"/>
              <w:right w:w="108" w:type="dxa"/>
            </w:tcMar>
            <w:vAlign w:val="bottom"/>
          </w:tcPr>
          <w:p w14:paraId="16315711" w14:textId="77777777" w:rsidR="00560745" w:rsidRDefault="00560745">
            <w:pPr>
              <w:spacing w:after="0" w:line="240" w:lineRule="auto"/>
              <w:rPr>
                <w:rFonts w:eastAsia="Times New Roman"/>
                <w:b/>
                <w:bCs/>
                <w:kern w:val="0"/>
                <w:sz w:val="20"/>
                <w:szCs w:val="20"/>
                <w:lang w:eastAsia="en-GB"/>
                <w14:ligatures w14:val="none"/>
              </w:rPr>
            </w:pPr>
          </w:p>
        </w:tc>
        <w:tc>
          <w:tcPr>
            <w:tcW w:w="1417" w:type="dxa"/>
            <w:gridSpan w:val="2"/>
            <w:noWrap/>
            <w:tcMar>
              <w:top w:w="15" w:type="dxa"/>
              <w:left w:w="108" w:type="dxa"/>
              <w:bottom w:w="0" w:type="dxa"/>
              <w:right w:w="108" w:type="dxa"/>
            </w:tcMar>
            <w:vAlign w:val="bottom"/>
          </w:tcPr>
          <w:p w14:paraId="7DE5DCAC" w14:textId="77777777" w:rsidR="00560745" w:rsidRDefault="00560745">
            <w:pPr>
              <w:spacing w:after="0" w:line="240" w:lineRule="auto"/>
              <w:jc w:val="right"/>
              <w:rPr>
                <w:rFonts w:eastAsia="Times New Roman"/>
                <w:b/>
                <w:bCs/>
                <w:kern w:val="0"/>
                <w:sz w:val="20"/>
                <w:szCs w:val="20"/>
                <w:lang w:eastAsia="en-GB"/>
                <w14:ligatures w14:val="none"/>
              </w:rPr>
            </w:pPr>
          </w:p>
        </w:tc>
        <w:tc>
          <w:tcPr>
            <w:tcW w:w="1418" w:type="dxa"/>
            <w:gridSpan w:val="2"/>
            <w:noWrap/>
            <w:tcMar>
              <w:top w:w="15" w:type="dxa"/>
              <w:left w:w="108" w:type="dxa"/>
              <w:bottom w:w="0" w:type="dxa"/>
              <w:right w:w="108" w:type="dxa"/>
            </w:tcMar>
            <w:vAlign w:val="bottom"/>
          </w:tcPr>
          <w:p w14:paraId="764FA6D8" w14:textId="77777777" w:rsidR="00560745" w:rsidRDefault="00560745">
            <w:pPr>
              <w:spacing w:after="0" w:line="240" w:lineRule="auto"/>
              <w:jc w:val="right"/>
              <w:rPr>
                <w:rFonts w:eastAsia="Times New Roman"/>
                <w:b/>
                <w:bCs/>
                <w:kern w:val="0"/>
                <w:sz w:val="20"/>
                <w:szCs w:val="20"/>
                <w:lang w:eastAsia="en-GB"/>
                <w14:ligatures w14:val="none"/>
              </w:rPr>
            </w:pPr>
          </w:p>
        </w:tc>
        <w:tc>
          <w:tcPr>
            <w:tcW w:w="1276" w:type="dxa"/>
            <w:gridSpan w:val="2"/>
            <w:noWrap/>
            <w:tcMar>
              <w:top w:w="15" w:type="dxa"/>
              <w:left w:w="108" w:type="dxa"/>
              <w:bottom w:w="0" w:type="dxa"/>
              <w:right w:w="108" w:type="dxa"/>
            </w:tcMar>
            <w:vAlign w:val="bottom"/>
          </w:tcPr>
          <w:p w14:paraId="68C0B01E"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p>
        </w:tc>
      </w:tr>
      <w:tr w:rsidR="00560745" w14:paraId="56BBDE1C" w14:textId="77777777" w:rsidTr="00517DE5">
        <w:trPr>
          <w:trHeight w:val="315"/>
        </w:trPr>
        <w:tc>
          <w:tcPr>
            <w:tcW w:w="3261" w:type="dxa"/>
            <w:gridSpan w:val="2"/>
            <w:noWrap/>
            <w:tcMar>
              <w:top w:w="15" w:type="dxa"/>
              <w:left w:w="108" w:type="dxa"/>
              <w:bottom w:w="0" w:type="dxa"/>
              <w:right w:w="108" w:type="dxa"/>
            </w:tcMar>
            <w:vAlign w:val="bottom"/>
            <w:hideMark/>
          </w:tcPr>
          <w:p w14:paraId="5097CE2D"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559" w:type="dxa"/>
            <w:gridSpan w:val="2"/>
            <w:noWrap/>
            <w:tcMar>
              <w:top w:w="15" w:type="dxa"/>
              <w:left w:w="108" w:type="dxa"/>
              <w:bottom w:w="0" w:type="dxa"/>
              <w:right w:w="108" w:type="dxa"/>
            </w:tcMar>
            <w:vAlign w:val="bottom"/>
            <w:hideMark/>
          </w:tcPr>
          <w:p w14:paraId="6ACD7E4B" w14:textId="77777777" w:rsidR="00560745" w:rsidRDefault="00560745">
            <w:pPr>
              <w:rPr>
                <w:rFonts w:eastAsia="Times New Roman"/>
                <w:b/>
                <w:bCs/>
                <w:kern w:val="0"/>
                <w:sz w:val="20"/>
                <w:szCs w:val="20"/>
                <w:lang w:eastAsia="en-GB"/>
                <w14:ligatures w14:val="none"/>
              </w:rPr>
            </w:pPr>
          </w:p>
        </w:tc>
        <w:tc>
          <w:tcPr>
            <w:tcW w:w="1417" w:type="dxa"/>
            <w:gridSpan w:val="2"/>
            <w:noWrap/>
            <w:tcMar>
              <w:top w:w="15" w:type="dxa"/>
              <w:left w:w="108" w:type="dxa"/>
              <w:bottom w:w="0" w:type="dxa"/>
              <w:right w:w="108" w:type="dxa"/>
            </w:tcMar>
            <w:vAlign w:val="bottom"/>
          </w:tcPr>
          <w:p w14:paraId="6872FD4D" w14:textId="77777777" w:rsidR="00560745" w:rsidRDefault="00560745">
            <w:pPr>
              <w:spacing w:after="0" w:line="240" w:lineRule="auto"/>
              <w:jc w:val="right"/>
              <w:rPr>
                <w:rFonts w:eastAsia="Times New Roman"/>
                <w:b/>
                <w:bCs/>
                <w:kern w:val="0"/>
                <w:sz w:val="20"/>
                <w:szCs w:val="20"/>
                <w:lang w:eastAsia="en-GB"/>
                <w14:ligatures w14:val="none"/>
              </w:rPr>
            </w:pPr>
          </w:p>
        </w:tc>
        <w:tc>
          <w:tcPr>
            <w:tcW w:w="1418" w:type="dxa"/>
            <w:gridSpan w:val="2"/>
            <w:noWrap/>
            <w:tcMar>
              <w:top w:w="15" w:type="dxa"/>
              <w:left w:w="108" w:type="dxa"/>
              <w:bottom w:w="0" w:type="dxa"/>
              <w:right w:w="108" w:type="dxa"/>
            </w:tcMar>
            <w:vAlign w:val="bottom"/>
            <w:hideMark/>
          </w:tcPr>
          <w:p w14:paraId="1E6C6F22" w14:textId="77777777" w:rsidR="00560745" w:rsidRDefault="00560745">
            <w:pPr>
              <w:rPr>
                <w:rFonts w:eastAsia="Times New Roman"/>
                <w:b/>
                <w:bCs/>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40F01E01" w14:textId="77777777" w:rsidR="00560745" w:rsidRDefault="00560745">
            <w:pPr>
              <w:spacing w:after="0"/>
              <w:rPr>
                <w:kern w:val="0"/>
                <w:sz w:val="20"/>
                <w:szCs w:val="20"/>
                <w:lang w:eastAsia="en-GB"/>
                <w14:ligatures w14:val="none"/>
              </w:rPr>
            </w:pPr>
          </w:p>
        </w:tc>
      </w:tr>
      <w:tr w:rsidR="00560745" w14:paraId="30090EA6" w14:textId="77777777" w:rsidTr="00517DE5">
        <w:trPr>
          <w:trHeight w:val="315"/>
        </w:trPr>
        <w:tc>
          <w:tcPr>
            <w:tcW w:w="3261" w:type="dxa"/>
            <w:gridSpan w:val="2"/>
            <w:noWrap/>
            <w:tcMar>
              <w:top w:w="15" w:type="dxa"/>
              <w:left w:w="108" w:type="dxa"/>
              <w:bottom w:w="0" w:type="dxa"/>
              <w:right w:w="108" w:type="dxa"/>
            </w:tcMar>
            <w:vAlign w:val="bottom"/>
            <w:hideMark/>
          </w:tcPr>
          <w:p w14:paraId="67680382" w14:textId="77777777" w:rsidR="00560745" w:rsidRDefault="00560745">
            <w:pPr>
              <w:spacing w:after="0"/>
              <w:rPr>
                <w:kern w:val="0"/>
                <w:sz w:val="20"/>
                <w:szCs w:val="20"/>
                <w:lang w:eastAsia="en-GB"/>
                <w14:ligatures w14:val="none"/>
              </w:rPr>
            </w:pPr>
          </w:p>
        </w:tc>
        <w:tc>
          <w:tcPr>
            <w:tcW w:w="1559" w:type="dxa"/>
            <w:gridSpan w:val="2"/>
            <w:noWrap/>
            <w:tcMar>
              <w:top w:w="15" w:type="dxa"/>
              <w:left w:w="108" w:type="dxa"/>
              <w:bottom w:w="0" w:type="dxa"/>
              <w:right w:w="108" w:type="dxa"/>
            </w:tcMar>
            <w:vAlign w:val="bottom"/>
            <w:hideMark/>
          </w:tcPr>
          <w:p w14:paraId="1C5B84B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Software Licences</w:t>
            </w:r>
          </w:p>
        </w:tc>
        <w:tc>
          <w:tcPr>
            <w:tcW w:w="1417" w:type="dxa"/>
            <w:gridSpan w:val="2"/>
            <w:noWrap/>
            <w:tcMar>
              <w:top w:w="15" w:type="dxa"/>
              <w:left w:w="108" w:type="dxa"/>
              <w:bottom w:w="0" w:type="dxa"/>
              <w:right w:w="108" w:type="dxa"/>
            </w:tcMar>
            <w:vAlign w:val="bottom"/>
            <w:hideMark/>
          </w:tcPr>
          <w:p w14:paraId="7DFF5DAF" w14:textId="37E68E7B"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Internally Developed</w:t>
            </w:r>
            <w:r w:rsidR="00FD72A4">
              <w:rPr>
                <w:rFonts w:eastAsia="Times New Roman"/>
                <w:b/>
                <w:bCs/>
                <w:kern w:val="0"/>
                <w:sz w:val="20"/>
                <w:szCs w:val="20"/>
                <w:lang w:eastAsia="en-GB"/>
                <w14:ligatures w14:val="none"/>
              </w:rPr>
              <w:t xml:space="preserve"> System</w:t>
            </w:r>
          </w:p>
        </w:tc>
        <w:tc>
          <w:tcPr>
            <w:tcW w:w="1418" w:type="dxa"/>
            <w:gridSpan w:val="2"/>
            <w:noWrap/>
            <w:tcMar>
              <w:top w:w="15" w:type="dxa"/>
              <w:left w:w="108" w:type="dxa"/>
              <w:bottom w:w="0" w:type="dxa"/>
              <w:right w:w="108" w:type="dxa"/>
            </w:tcMar>
            <w:vAlign w:val="bottom"/>
            <w:hideMark/>
          </w:tcPr>
          <w:p w14:paraId="48B9F06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Assets Under Construction</w:t>
            </w:r>
          </w:p>
        </w:tc>
        <w:tc>
          <w:tcPr>
            <w:tcW w:w="1276" w:type="dxa"/>
            <w:gridSpan w:val="2"/>
            <w:noWrap/>
            <w:tcMar>
              <w:top w:w="15" w:type="dxa"/>
              <w:left w:w="108" w:type="dxa"/>
              <w:bottom w:w="0" w:type="dxa"/>
              <w:right w:w="108" w:type="dxa"/>
            </w:tcMar>
            <w:vAlign w:val="bottom"/>
            <w:hideMark/>
          </w:tcPr>
          <w:p w14:paraId="20491DC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Total</w:t>
            </w:r>
          </w:p>
        </w:tc>
      </w:tr>
      <w:tr w:rsidR="00560745" w14:paraId="6150C6BE" w14:textId="77777777" w:rsidTr="00517DE5">
        <w:trPr>
          <w:trHeight w:val="303"/>
        </w:trPr>
        <w:tc>
          <w:tcPr>
            <w:tcW w:w="3261" w:type="dxa"/>
            <w:gridSpan w:val="2"/>
            <w:noWrap/>
            <w:tcMar>
              <w:top w:w="15" w:type="dxa"/>
              <w:left w:w="108" w:type="dxa"/>
              <w:bottom w:w="0" w:type="dxa"/>
              <w:right w:w="108" w:type="dxa"/>
            </w:tcMar>
            <w:vAlign w:val="bottom"/>
            <w:hideMark/>
          </w:tcPr>
          <w:p w14:paraId="6A592729" w14:textId="77777777" w:rsidR="00560745" w:rsidRDefault="00560745">
            <w:pPr>
              <w:spacing w:after="0"/>
              <w:rPr>
                <w:kern w:val="0"/>
                <w:sz w:val="20"/>
                <w:szCs w:val="20"/>
                <w:lang w:eastAsia="en-GB"/>
                <w14:ligatures w14:val="none"/>
              </w:rPr>
            </w:pPr>
          </w:p>
        </w:tc>
        <w:tc>
          <w:tcPr>
            <w:tcW w:w="1559" w:type="dxa"/>
            <w:gridSpan w:val="2"/>
            <w:tcBorders>
              <w:top w:val="nil"/>
              <w:left w:val="nil"/>
              <w:bottom w:val="single" w:sz="8" w:space="0" w:color="auto"/>
              <w:right w:val="nil"/>
            </w:tcBorders>
            <w:noWrap/>
            <w:tcMar>
              <w:top w:w="15" w:type="dxa"/>
              <w:left w:w="108" w:type="dxa"/>
              <w:bottom w:w="0" w:type="dxa"/>
              <w:right w:w="108" w:type="dxa"/>
            </w:tcMar>
            <w:vAlign w:val="bottom"/>
            <w:hideMark/>
          </w:tcPr>
          <w:p w14:paraId="794051E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417" w:type="dxa"/>
            <w:gridSpan w:val="2"/>
            <w:tcBorders>
              <w:top w:val="nil"/>
              <w:left w:val="nil"/>
              <w:bottom w:val="single" w:sz="8" w:space="0" w:color="auto"/>
              <w:right w:val="nil"/>
            </w:tcBorders>
            <w:noWrap/>
            <w:tcMar>
              <w:top w:w="15" w:type="dxa"/>
              <w:left w:w="108" w:type="dxa"/>
              <w:bottom w:w="0" w:type="dxa"/>
              <w:right w:w="108" w:type="dxa"/>
            </w:tcMar>
            <w:vAlign w:val="bottom"/>
            <w:hideMark/>
          </w:tcPr>
          <w:p w14:paraId="33929DA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418" w:type="dxa"/>
            <w:gridSpan w:val="2"/>
            <w:tcBorders>
              <w:top w:val="nil"/>
              <w:left w:val="nil"/>
              <w:bottom w:val="single" w:sz="8" w:space="0" w:color="auto"/>
              <w:right w:val="nil"/>
            </w:tcBorders>
            <w:noWrap/>
            <w:tcMar>
              <w:top w:w="15" w:type="dxa"/>
              <w:left w:w="108" w:type="dxa"/>
              <w:bottom w:w="0" w:type="dxa"/>
              <w:right w:w="108" w:type="dxa"/>
            </w:tcMar>
            <w:vAlign w:val="bottom"/>
            <w:hideMark/>
          </w:tcPr>
          <w:p w14:paraId="1AB6D30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276" w:type="dxa"/>
            <w:gridSpan w:val="2"/>
            <w:tcBorders>
              <w:top w:val="nil"/>
              <w:left w:val="nil"/>
              <w:bottom w:val="single" w:sz="8" w:space="0" w:color="auto"/>
              <w:right w:val="nil"/>
            </w:tcBorders>
            <w:noWrap/>
            <w:tcMar>
              <w:top w:w="15" w:type="dxa"/>
              <w:left w:w="108" w:type="dxa"/>
              <w:bottom w:w="0" w:type="dxa"/>
              <w:right w:w="108" w:type="dxa"/>
            </w:tcMar>
            <w:vAlign w:val="bottom"/>
            <w:hideMark/>
          </w:tcPr>
          <w:p w14:paraId="72CA98B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65AAAAAF" w14:textId="77777777" w:rsidTr="00517DE5">
        <w:trPr>
          <w:trHeight w:val="315"/>
        </w:trPr>
        <w:tc>
          <w:tcPr>
            <w:tcW w:w="3261" w:type="dxa"/>
            <w:gridSpan w:val="2"/>
            <w:noWrap/>
            <w:tcMar>
              <w:top w:w="15" w:type="dxa"/>
              <w:left w:w="108" w:type="dxa"/>
              <w:bottom w:w="0" w:type="dxa"/>
              <w:right w:w="108" w:type="dxa"/>
            </w:tcMar>
            <w:vAlign w:val="bottom"/>
            <w:hideMark/>
          </w:tcPr>
          <w:p w14:paraId="6462BD00"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Cost or valuation</w:t>
            </w:r>
          </w:p>
        </w:tc>
        <w:tc>
          <w:tcPr>
            <w:tcW w:w="1559" w:type="dxa"/>
            <w:gridSpan w:val="2"/>
            <w:noWrap/>
            <w:tcMar>
              <w:top w:w="15" w:type="dxa"/>
              <w:left w:w="108" w:type="dxa"/>
              <w:bottom w:w="0" w:type="dxa"/>
              <w:right w:w="108" w:type="dxa"/>
            </w:tcMar>
            <w:vAlign w:val="bottom"/>
            <w:hideMark/>
          </w:tcPr>
          <w:p w14:paraId="3AF99C51" w14:textId="77777777" w:rsidR="00560745" w:rsidRDefault="00560745">
            <w:pPr>
              <w:rPr>
                <w:rFonts w:eastAsia="Times New Roman"/>
                <w:b/>
                <w:bCs/>
                <w:kern w:val="0"/>
                <w:sz w:val="20"/>
                <w:szCs w:val="20"/>
                <w:lang w:eastAsia="en-GB"/>
                <w14:ligatures w14:val="none"/>
              </w:rPr>
            </w:pPr>
          </w:p>
        </w:tc>
        <w:tc>
          <w:tcPr>
            <w:tcW w:w="1417" w:type="dxa"/>
            <w:gridSpan w:val="2"/>
            <w:noWrap/>
            <w:tcMar>
              <w:top w:w="15" w:type="dxa"/>
              <w:left w:w="108" w:type="dxa"/>
              <w:bottom w:w="0" w:type="dxa"/>
              <w:right w:w="108" w:type="dxa"/>
            </w:tcMar>
            <w:vAlign w:val="bottom"/>
            <w:hideMark/>
          </w:tcPr>
          <w:p w14:paraId="14EE97CF" w14:textId="77777777" w:rsidR="00560745" w:rsidRDefault="00560745">
            <w:pPr>
              <w:spacing w:after="0"/>
              <w:rPr>
                <w:kern w:val="0"/>
                <w:sz w:val="20"/>
                <w:szCs w:val="20"/>
                <w:lang w:eastAsia="en-GB"/>
                <w14:ligatures w14:val="none"/>
              </w:rPr>
            </w:pPr>
          </w:p>
        </w:tc>
        <w:tc>
          <w:tcPr>
            <w:tcW w:w="1418" w:type="dxa"/>
            <w:gridSpan w:val="2"/>
            <w:noWrap/>
            <w:tcMar>
              <w:top w:w="15" w:type="dxa"/>
              <w:left w:w="108" w:type="dxa"/>
              <w:bottom w:w="0" w:type="dxa"/>
              <w:right w:w="108" w:type="dxa"/>
            </w:tcMar>
            <w:vAlign w:val="bottom"/>
            <w:hideMark/>
          </w:tcPr>
          <w:p w14:paraId="2042A583"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37D446BE" w14:textId="77777777" w:rsidR="00560745" w:rsidRDefault="00560745">
            <w:pPr>
              <w:spacing w:after="0"/>
              <w:rPr>
                <w:kern w:val="0"/>
                <w:sz w:val="20"/>
                <w:szCs w:val="20"/>
                <w:lang w:eastAsia="en-GB"/>
                <w14:ligatures w14:val="none"/>
              </w:rPr>
            </w:pPr>
          </w:p>
        </w:tc>
      </w:tr>
      <w:tr w:rsidR="00560745" w14:paraId="6BDC0109" w14:textId="77777777" w:rsidTr="00517DE5">
        <w:trPr>
          <w:trHeight w:val="315"/>
        </w:trPr>
        <w:tc>
          <w:tcPr>
            <w:tcW w:w="3261" w:type="dxa"/>
            <w:gridSpan w:val="2"/>
            <w:noWrap/>
            <w:tcMar>
              <w:top w:w="15" w:type="dxa"/>
              <w:left w:w="108" w:type="dxa"/>
              <w:bottom w:w="0" w:type="dxa"/>
              <w:right w:w="108" w:type="dxa"/>
            </w:tcMar>
            <w:vAlign w:val="bottom"/>
            <w:hideMark/>
          </w:tcPr>
          <w:p w14:paraId="6DC1B3C1"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At 1 April 2023</w:t>
            </w:r>
          </w:p>
        </w:tc>
        <w:tc>
          <w:tcPr>
            <w:tcW w:w="1559" w:type="dxa"/>
            <w:gridSpan w:val="2"/>
            <w:noWrap/>
            <w:tcMar>
              <w:top w:w="15" w:type="dxa"/>
              <w:left w:w="108" w:type="dxa"/>
              <w:bottom w:w="0" w:type="dxa"/>
              <w:right w:w="108" w:type="dxa"/>
            </w:tcMar>
            <w:vAlign w:val="bottom"/>
            <w:hideMark/>
          </w:tcPr>
          <w:p w14:paraId="3B19EBE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1,094 </w:t>
            </w:r>
          </w:p>
        </w:tc>
        <w:tc>
          <w:tcPr>
            <w:tcW w:w="1417" w:type="dxa"/>
            <w:gridSpan w:val="2"/>
            <w:noWrap/>
            <w:tcMar>
              <w:top w:w="15" w:type="dxa"/>
              <w:left w:w="108" w:type="dxa"/>
              <w:bottom w:w="0" w:type="dxa"/>
              <w:right w:w="108" w:type="dxa"/>
            </w:tcMar>
            <w:vAlign w:val="bottom"/>
            <w:hideMark/>
          </w:tcPr>
          <w:p w14:paraId="6C7BA8E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15,971 </w:t>
            </w:r>
          </w:p>
        </w:tc>
        <w:tc>
          <w:tcPr>
            <w:tcW w:w="1418" w:type="dxa"/>
            <w:gridSpan w:val="2"/>
            <w:noWrap/>
            <w:tcMar>
              <w:top w:w="15" w:type="dxa"/>
              <w:left w:w="108" w:type="dxa"/>
              <w:bottom w:w="0" w:type="dxa"/>
              <w:right w:w="108" w:type="dxa"/>
            </w:tcMar>
            <w:vAlign w:val="bottom"/>
            <w:hideMark/>
          </w:tcPr>
          <w:p w14:paraId="5F0B714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59 </w:t>
            </w:r>
          </w:p>
        </w:tc>
        <w:tc>
          <w:tcPr>
            <w:tcW w:w="1276" w:type="dxa"/>
            <w:gridSpan w:val="2"/>
            <w:noWrap/>
            <w:tcMar>
              <w:top w:w="15" w:type="dxa"/>
              <w:left w:w="108" w:type="dxa"/>
              <w:bottom w:w="0" w:type="dxa"/>
              <w:right w:w="108" w:type="dxa"/>
            </w:tcMar>
            <w:vAlign w:val="bottom"/>
            <w:hideMark/>
          </w:tcPr>
          <w:p w14:paraId="5506404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17,124 </w:t>
            </w:r>
          </w:p>
        </w:tc>
      </w:tr>
      <w:tr w:rsidR="00560745" w14:paraId="627B8477" w14:textId="77777777" w:rsidTr="00517DE5">
        <w:trPr>
          <w:trHeight w:val="315"/>
        </w:trPr>
        <w:tc>
          <w:tcPr>
            <w:tcW w:w="3261" w:type="dxa"/>
            <w:gridSpan w:val="2"/>
            <w:noWrap/>
            <w:tcMar>
              <w:top w:w="15" w:type="dxa"/>
              <w:left w:w="108" w:type="dxa"/>
              <w:bottom w:w="0" w:type="dxa"/>
              <w:right w:w="108" w:type="dxa"/>
            </w:tcMar>
            <w:vAlign w:val="bottom"/>
            <w:hideMark/>
          </w:tcPr>
          <w:p w14:paraId="69B4EC58"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Additions</w:t>
            </w:r>
          </w:p>
        </w:tc>
        <w:tc>
          <w:tcPr>
            <w:tcW w:w="1559" w:type="dxa"/>
            <w:gridSpan w:val="2"/>
            <w:noWrap/>
            <w:tcMar>
              <w:top w:w="15" w:type="dxa"/>
              <w:left w:w="108" w:type="dxa"/>
              <w:bottom w:w="0" w:type="dxa"/>
              <w:right w:w="108" w:type="dxa"/>
            </w:tcMar>
            <w:vAlign w:val="bottom"/>
            <w:hideMark/>
          </w:tcPr>
          <w:p w14:paraId="5CDBD15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7" w:type="dxa"/>
            <w:gridSpan w:val="2"/>
            <w:noWrap/>
            <w:tcMar>
              <w:top w:w="15" w:type="dxa"/>
              <w:left w:w="108" w:type="dxa"/>
              <w:bottom w:w="0" w:type="dxa"/>
              <w:right w:w="108" w:type="dxa"/>
            </w:tcMar>
            <w:vAlign w:val="bottom"/>
            <w:hideMark/>
          </w:tcPr>
          <w:p w14:paraId="77FB13F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8" w:type="dxa"/>
            <w:gridSpan w:val="2"/>
            <w:noWrap/>
            <w:tcMar>
              <w:top w:w="15" w:type="dxa"/>
              <w:left w:w="108" w:type="dxa"/>
              <w:bottom w:w="0" w:type="dxa"/>
              <w:right w:w="108" w:type="dxa"/>
            </w:tcMar>
            <w:vAlign w:val="bottom"/>
            <w:hideMark/>
          </w:tcPr>
          <w:p w14:paraId="7639628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568 </w:t>
            </w:r>
          </w:p>
        </w:tc>
        <w:tc>
          <w:tcPr>
            <w:tcW w:w="1276" w:type="dxa"/>
            <w:gridSpan w:val="2"/>
            <w:noWrap/>
            <w:tcMar>
              <w:top w:w="15" w:type="dxa"/>
              <w:left w:w="108" w:type="dxa"/>
              <w:bottom w:w="0" w:type="dxa"/>
              <w:right w:w="108" w:type="dxa"/>
            </w:tcMar>
            <w:vAlign w:val="bottom"/>
            <w:hideMark/>
          </w:tcPr>
          <w:p w14:paraId="12870FF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568 </w:t>
            </w:r>
          </w:p>
        </w:tc>
      </w:tr>
      <w:tr w:rsidR="00560745" w14:paraId="73DC6011" w14:textId="77777777" w:rsidTr="00517DE5">
        <w:trPr>
          <w:trHeight w:val="315"/>
        </w:trPr>
        <w:tc>
          <w:tcPr>
            <w:tcW w:w="3261" w:type="dxa"/>
            <w:gridSpan w:val="2"/>
            <w:noWrap/>
            <w:tcMar>
              <w:top w:w="15" w:type="dxa"/>
              <w:left w:w="108" w:type="dxa"/>
              <w:bottom w:w="0" w:type="dxa"/>
              <w:right w:w="108" w:type="dxa"/>
            </w:tcMar>
            <w:vAlign w:val="bottom"/>
            <w:hideMark/>
          </w:tcPr>
          <w:p w14:paraId="029ADB58"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Disposals</w:t>
            </w:r>
          </w:p>
        </w:tc>
        <w:tc>
          <w:tcPr>
            <w:tcW w:w="1559" w:type="dxa"/>
            <w:gridSpan w:val="2"/>
            <w:noWrap/>
            <w:tcMar>
              <w:top w:w="15" w:type="dxa"/>
              <w:left w:w="108" w:type="dxa"/>
              <w:bottom w:w="0" w:type="dxa"/>
              <w:right w:w="108" w:type="dxa"/>
            </w:tcMar>
            <w:vAlign w:val="bottom"/>
            <w:hideMark/>
          </w:tcPr>
          <w:p w14:paraId="09DD761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(1,094) </w:t>
            </w:r>
          </w:p>
        </w:tc>
        <w:tc>
          <w:tcPr>
            <w:tcW w:w="1417" w:type="dxa"/>
            <w:gridSpan w:val="2"/>
            <w:noWrap/>
            <w:tcMar>
              <w:top w:w="15" w:type="dxa"/>
              <w:left w:w="108" w:type="dxa"/>
              <w:bottom w:w="0" w:type="dxa"/>
              <w:right w:w="108" w:type="dxa"/>
            </w:tcMar>
            <w:vAlign w:val="bottom"/>
            <w:hideMark/>
          </w:tcPr>
          <w:p w14:paraId="10092AC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8" w:type="dxa"/>
            <w:gridSpan w:val="2"/>
            <w:noWrap/>
            <w:tcMar>
              <w:top w:w="15" w:type="dxa"/>
              <w:left w:w="108" w:type="dxa"/>
              <w:bottom w:w="0" w:type="dxa"/>
              <w:right w:w="108" w:type="dxa"/>
            </w:tcMar>
            <w:vAlign w:val="bottom"/>
            <w:hideMark/>
          </w:tcPr>
          <w:p w14:paraId="4AB9EE0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gridSpan w:val="2"/>
            <w:noWrap/>
            <w:tcMar>
              <w:top w:w="15" w:type="dxa"/>
              <w:left w:w="108" w:type="dxa"/>
              <w:bottom w:w="0" w:type="dxa"/>
              <w:right w:w="108" w:type="dxa"/>
            </w:tcMar>
            <w:vAlign w:val="bottom"/>
            <w:hideMark/>
          </w:tcPr>
          <w:p w14:paraId="59ECFE1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(1,094) </w:t>
            </w:r>
          </w:p>
        </w:tc>
      </w:tr>
      <w:tr w:rsidR="00560745" w14:paraId="2794F6EF" w14:textId="77777777" w:rsidTr="00517DE5">
        <w:trPr>
          <w:trHeight w:val="315"/>
        </w:trPr>
        <w:tc>
          <w:tcPr>
            <w:tcW w:w="3261" w:type="dxa"/>
            <w:gridSpan w:val="2"/>
            <w:noWrap/>
            <w:tcMar>
              <w:top w:w="15" w:type="dxa"/>
              <w:left w:w="108" w:type="dxa"/>
              <w:bottom w:w="0" w:type="dxa"/>
              <w:right w:w="108" w:type="dxa"/>
            </w:tcMar>
            <w:vAlign w:val="center"/>
            <w:hideMark/>
          </w:tcPr>
          <w:p w14:paraId="053D875B"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At 31 March 2024</w:t>
            </w:r>
          </w:p>
        </w:tc>
        <w:tc>
          <w:tcPr>
            <w:tcW w:w="1559"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47E6EC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417"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16D5F8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15,971 </w:t>
            </w:r>
          </w:p>
        </w:tc>
        <w:tc>
          <w:tcPr>
            <w:tcW w:w="1418"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BF77D1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627 </w:t>
            </w:r>
          </w:p>
        </w:tc>
        <w:tc>
          <w:tcPr>
            <w:tcW w:w="1276"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0869F2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16,598 </w:t>
            </w:r>
          </w:p>
        </w:tc>
      </w:tr>
      <w:tr w:rsidR="00560745" w14:paraId="16AD1720" w14:textId="77777777" w:rsidTr="00517DE5">
        <w:trPr>
          <w:trHeight w:val="297"/>
        </w:trPr>
        <w:tc>
          <w:tcPr>
            <w:tcW w:w="3261" w:type="dxa"/>
            <w:gridSpan w:val="2"/>
            <w:noWrap/>
            <w:tcMar>
              <w:top w:w="15" w:type="dxa"/>
              <w:left w:w="108" w:type="dxa"/>
              <w:bottom w:w="0" w:type="dxa"/>
              <w:right w:w="108" w:type="dxa"/>
            </w:tcMar>
            <w:vAlign w:val="bottom"/>
            <w:hideMark/>
          </w:tcPr>
          <w:p w14:paraId="4B3623DB" w14:textId="77777777" w:rsidR="00560745" w:rsidRDefault="00560745">
            <w:pPr>
              <w:spacing w:after="0"/>
              <w:rPr>
                <w:kern w:val="0"/>
                <w:sz w:val="20"/>
                <w:szCs w:val="20"/>
                <w:lang w:eastAsia="en-GB"/>
                <w14:ligatures w14:val="none"/>
              </w:rPr>
            </w:pPr>
          </w:p>
        </w:tc>
        <w:tc>
          <w:tcPr>
            <w:tcW w:w="1559" w:type="dxa"/>
            <w:gridSpan w:val="2"/>
            <w:noWrap/>
            <w:tcMar>
              <w:top w:w="15" w:type="dxa"/>
              <w:left w:w="108" w:type="dxa"/>
              <w:bottom w:w="0" w:type="dxa"/>
              <w:right w:w="108" w:type="dxa"/>
            </w:tcMar>
            <w:vAlign w:val="bottom"/>
            <w:hideMark/>
          </w:tcPr>
          <w:p w14:paraId="770A543C" w14:textId="77777777" w:rsidR="00560745" w:rsidRDefault="00560745">
            <w:pPr>
              <w:spacing w:after="0"/>
              <w:rPr>
                <w:kern w:val="0"/>
                <w:sz w:val="20"/>
                <w:szCs w:val="20"/>
                <w:lang w:eastAsia="en-GB"/>
                <w14:ligatures w14:val="none"/>
              </w:rPr>
            </w:pPr>
          </w:p>
        </w:tc>
        <w:tc>
          <w:tcPr>
            <w:tcW w:w="1417" w:type="dxa"/>
            <w:gridSpan w:val="2"/>
            <w:noWrap/>
            <w:tcMar>
              <w:top w:w="15" w:type="dxa"/>
              <w:left w:w="108" w:type="dxa"/>
              <w:bottom w:w="0" w:type="dxa"/>
              <w:right w:w="108" w:type="dxa"/>
            </w:tcMar>
            <w:vAlign w:val="bottom"/>
            <w:hideMark/>
          </w:tcPr>
          <w:p w14:paraId="624E6D2B" w14:textId="77777777" w:rsidR="00560745" w:rsidRDefault="00560745">
            <w:pPr>
              <w:spacing w:after="0"/>
              <w:rPr>
                <w:kern w:val="0"/>
                <w:sz w:val="20"/>
                <w:szCs w:val="20"/>
                <w:lang w:eastAsia="en-GB"/>
                <w14:ligatures w14:val="none"/>
              </w:rPr>
            </w:pPr>
          </w:p>
        </w:tc>
        <w:tc>
          <w:tcPr>
            <w:tcW w:w="1418" w:type="dxa"/>
            <w:gridSpan w:val="2"/>
            <w:noWrap/>
            <w:tcMar>
              <w:top w:w="15" w:type="dxa"/>
              <w:left w:w="108" w:type="dxa"/>
              <w:bottom w:w="0" w:type="dxa"/>
              <w:right w:w="108" w:type="dxa"/>
            </w:tcMar>
            <w:vAlign w:val="bottom"/>
            <w:hideMark/>
          </w:tcPr>
          <w:p w14:paraId="75BEEFB2"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38FE8124" w14:textId="77777777" w:rsidR="00560745" w:rsidRDefault="00560745">
            <w:pPr>
              <w:spacing w:after="0"/>
              <w:rPr>
                <w:kern w:val="0"/>
                <w:sz w:val="20"/>
                <w:szCs w:val="20"/>
                <w:lang w:eastAsia="en-GB"/>
                <w14:ligatures w14:val="none"/>
              </w:rPr>
            </w:pPr>
          </w:p>
        </w:tc>
      </w:tr>
      <w:tr w:rsidR="00560745" w14:paraId="7655C19A" w14:textId="77777777" w:rsidTr="00517DE5">
        <w:trPr>
          <w:trHeight w:val="264"/>
        </w:trPr>
        <w:tc>
          <w:tcPr>
            <w:tcW w:w="3261" w:type="dxa"/>
            <w:gridSpan w:val="2"/>
            <w:noWrap/>
            <w:tcMar>
              <w:top w:w="15" w:type="dxa"/>
              <w:left w:w="108" w:type="dxa"/>
              <w:bottom w:w="0" w:type="dxa"/>
              <w:right w:w="108" w:type="dxa"/>
            </w:tcMar>
            <w:vAlign w:val="bottom"/>
            <w:hideMark/>
          </w:tcPr>
          <w:p w14:paraId="4B167E62"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Amortisation</w:t>
            </w:r>
          </w:p>
        </w:tc>
        <w:tc>
          <w:tcPr>
            <w:tcW w:w="1559" w:type="dxa"/>
            <w:gridSpan w:val="2"/>
            <w:noWrap/>
            <w:tcMar>
              <w:top w:w="15" w:type="dxa"/>
              <w:left w:w="108" w:type="dxa"/>
              <w:bottom w:w="0" w:type="dxa"/>
              <w:right w:w="108" w:type="dxa"/>
            </w:tcMar>
            <w:vAlign w:val="bottom"/>
            <w:hideMark/>
          </w:tcPr>
          <w:p w14:paraId="38FB5237" w14:textId="77777777" w:rsidR="00560745" w:rsidRDefault="00560745">
            <w:pPr>
              <w:rPr>
                <w:rFonts w:eastAsia="Times New Roman"/>
                <w:b/>
                <w:bCs/>
                <w:kern w:val="0"/>
                <w:sz w:val="20"/>
                <w:szCs w:val="20"/>
                <w:lang w:eastAsia="en-GB"/>
                <w14:ligatures w14:val="none"/>
              </w:rPr>
            </w:pPr>
          </w:p>
        </w:tc>
        <w:tc>
          <w:tcPr>
            <w:tcW w:w="1417" w:type="dxa"/>
            <w:gridSpan w:val="2"/>
            <w:noWrap/>
            <w:tcMar>
              <w:top w:w="15" w:type="dxa"/>
              <w:left w:w="108" w:type="dxa"/>
              <w:bottom w:w="0" w:type="dxa"/>
              <w:right w:w="108" w:type="dxa"/>
            </w:tcMar>
            <w:vAlign w:val="bottom"/>
            <w:hideMark/>
          </w:tcPr>
          <w:p w14:paraId="1C8DCEF1" w14:textId="77777777" w:rsidR="00560745" w:rsidRDefault="00560745">
            <w:pPr>
              <w:spacing w:after="0"/>
              <w:rPr>
                <w:kern w:val="0"/>
                <w:sz w:val="20"/>
                <w:szCs w:val="20"/>
                <w:lang w:eastAsia="en-GB"/>
                <w14:ligatures w14:val="none"/>
              </w:rPr>
            </w:pPr>
          </w:p>
        </w:tc>
        <w:tc>
          <w:tcPr>
            <w:tcW w:w="1418" w:type="dxa"/>
            <w:gridSpan w:val="2"/>
            <w:noWrap/>
            <w:tcMar>
              <w:top w:w="15" w:type="dxa"/>
              <w:left w:w="108" w:type="dxa"/>
              <w:bottom w:w="0" w:type="dxa"/>
              <w:right w:w="108" w:type="dxa"/>
            </w:tcMar>
            <w:vAlign w:val="bottom"/>
            <w:hideMark/>
          </w:tcPr>
          <w:p w14:paraId="0748A78E"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0950A850" w14:textId="77777777" w:rsidR="00560745" w:rsidRDefault="00560745">
            <w:pPr>
              <w:spacing w:after="0"/>
              <w:rPr>
                <w:kern w:val="0"/>
                <w:sz w:val="20"/>
                <w:szCs w:val="20"/>
                <w:lang w:eastAsia="en-GB"/>
                <w14:ligatures w14:val="none"/>
              </w:rPr>
            </w:pPr>
          </w:p>
        </w:tc>
      </w:tr>
      <w:tr w:rsidR="00560745" w14:paraId="24B9E555" w14:textId="77777777" w:rsidTr="00517DE5">
        <w:trPr>
          <w:trHeight w:val="315"/>
        </w:trPr>
        <w:tc>
          <w:tcPr>
            <w:tcW w:w="3261" w:type="dxa"/>
            <w:gridSpan w:val="2"/>
            <w:noWrap/>
            <w:tcMar>
              <w:top w:w="15" w:type="dxa"/>
              <w:left w:w="108" w:type="dxa"/>
              <w:bottom w:w="0" w:type="dxa"/>
              <w:right w:w="108" w:type="dxa"/>
            </w:tcMar>
            <w:vAlign w:val="bottom"/>
            <w:hideMark/>
          </w:tcPr>
          <w:p w14:paraId="089E601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At 1 April 2023</w:t>
            </w:r>
          </w:p>
        </w:tc>
        <w:tc>
          <w:tcPr>
            <w:tcW w:w="1559" w:type="dxa"/>
            <w:gridSpan w:val="2"/>
            <w:noWrap/>
            <w:tcMar>
              <w:top w:w="15" w:type="dxa"/>
              <w:left w:w="108" w:type="dxa"/>
              <w:bottom w:w="0" w:type="dxa"/>
              <w:right w:w="108" w:type="dxa"/>
            </w:tcMar>
            <w:vAlign w:val="bottom"/>
            <w:hideMark/>
          </w:tcPr>
          <w:p w14:paraId="3ED86EB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803 </w:t>
            </w:r>
          </w:p>
        </w:tc>
        <w:tc>
          <w:tcPr>
            <w:tcW w:w="1417" w:type="dxa"/>
            <w:gridSpan w:val="2"/>
            <w:noWrap/>
            <w:tcMar>
              <w:top w:w="15" w:type="dxa"/>
              <w:left w:w="108" w:type="dxa"/>
              <w:bottom w:w="0" w:type="dxa"/>
              <w:right w:w="108" w:type="dxa"/>
            </w:tcMar>
            <w:vAlign w:val="bottom"/>
            <w:hideMark/>
          </w:tcPr>
          <w:p w14:paraId="101BB2E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14,063 </w:t>
            </w:r>
          </w:p>
        </w:tc>
        <w:tc>
          <w:tcPr>
            <w:tcW w:w="1418" w:type="dxa"/>
            <w:gridSpan w:val="2"/>
            <w:noWrap/>
            <w:tcMar>
              <w:top w:w="15" w:type="dxa"/>
              <w:left w:w="108" w:type="dxa"/>
              <w:bottom w:w="0" w:type="dxa"/>
              <w:right w:w="108" w:type="dxa"/>
            </w:tcMar>
            <w:vAlign w:val="bottom"/>
            <w:hideMark/>
          </w:tcPr>
          <w:p w14:paraId="11AB14A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gridSpan w:val="2"/>
            <w:noWrap/>
            <w:tcMar>
              <w:top w:w="15" w:type="dxa"/>
              <w:left w:w="108" w:type="dxa"/>
              <w:bottom w:w="0" w:type="dxa"/>
              <w:right w:w="108" w:type="dxa"/>
            </w:tcMar>
            <w:vAlign w:val="bottom"/>
            <w:hideMark/>
          </w:tcPr>
          <w:p w14:paraId="6B43D7C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14,866 </w:t>
            </w:r>
          </w:p>
        </w:tc>
      </w:tr>
      <w:tr w:rsidR="00560745" w14:paraId="547A9962" w14:textId="77777777" w:rsidTr="00517DE5">
        <w:trPr>
          <w:trHeight w:val="315"/>
        </w:trPr>
        <w:tc>
          <w:tcPr>
            <w:tcW w:w="3261" w:type="dxa"/>
            <w:gridSpan w:val="2"/>
            <w:noWrap/>
            <w:tcMar>
              <w:top w:w="15" w:type="dxa"/>
              <w:left w:w="108" w:type="dxa"/>
              <w:bottom w:w="0" w:type="dxa"/>
              <w:right w:w="108" w:type="dxa"/>
            </w:tcMar>
            <w:vAlign w:val="bottom"/>
            <w:hideMark/>
          </w:tcPr>
          <w:p w14:paraId="28F2724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Charged in year</w:t>
            </w:r>
          </w:p>
        </w:tc>
        <w:tc>
          <w:tcPr>
            <w:tcW w:w="1559" w:type="dxa"/>
            <w:gridSpan w:val="2"/>
            <w:noWrap/>
            <w:tcMar>
              <w:top w:w="15" w:type="dxa"/>
              <w:left w:w="108" w:type="dxa"/>
              <w:bottom w:w="0" w:type="dxa"/>
              <w:right w:w="108" w:type="dxa"/>
            </w:tcMar>
            <w:vAlign w:val="bottom"/>
            <w:hideMark/>
          </w:tcPr>
          <w:p w14:paraId="7815C4C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291 </w:t>
            </w:r>
          </w:p>
        </w:tc>
        <w:tc>
          <w:tcPr>
            <w:tcW w:w="1417" w:type="dxa"/>
            <w:gridSpan w:val="2"/>
            <w:noWrap/>
            <w:tcMar>
              <w:top w:w="15" w:type="dxa"/>
              <w:left w:w="108" w:type="dxa"/>
              <w:bottom w:w="0" w:type="dxa"/>
              <w:right w:w="108" w:type="dxa"/>
            </w:tcMar>
            <w:vAlign w:val="bottom"/>
            <w:hideMark/>
          </w:tcPr>
          <w:p w14:paraId="762A399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661 </w:t>
            </w:r>
          </w:p>
        </w:tc>
        <w:tc>
          <w:tcPr>
            <w:tcW w:w="1418" w:type="dxa"/>
            <w:gridSpan w:val="2"/>
            <w:noWrap/>
            <w:tcMar>
              <w:top w:w="15" w:type="dxa"/>
              <w:left w:w="108" w:type="dxa"/>
              <w:bottom w:w="0" w:type="dxa"/>
              <w:right w:w="108" w:type="dxa"/>
            </w:tcMar>
            <w:vAlign w:val="bottom"/>
            <w:hideMark/>
          </w:tcPr>
          <w:p w14:paraId="4CEF498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gridSpan w:val="2"/>
            <w:noWrap/>
            <w:tcMar>
              <w:top w:w="15" w:type="dxa"/>
              <w:left w:w="108" w:type="dxa"/>
              <w:bottom w:w="0" w:type="dxa"/>
              <w:right w:w="108" w:type="dxa"/>
            </w:tcMar>
            <w:vAlign w:val="bottom"/>
            <w:hideMark/>
          </w:tcPr>
          <w:p w14:paraId="12E41EB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952 </w:t>
            </w:r>
          </w:p>
        </w:tc>
      </w:tr>
      <w:tr w:rsidR="00560745" w14:paraId="1AA47FEE" w14:textId="77777777" w:rsidTr="00517DE5">
        <w:trPr>
          <w:trHeight w:val="315"/>
        </w:trPr>
        <w:tc>
          <w:tcPr>
            <w:tcW w:w="3261" w:type="dxa"/>
            <w:gridSpan w:val="2"/>
            <w:noWrap/>
            <w:tcMar>
              <w:top w:w="15" w:type="dxa"/>
              <w:left w:w="108" w:type="dxa"/>
              <w:bottom w:w="0" w:type="dxa"/>
              <w:right w:w="108" w:type="dxa"/>
            </w:tcMar>
            <w:vAlign w:val="bottom"/>
            <w:hideMark/>
          </w:tcPr>
          <w:p w14:paraId="0C0FBFA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Disposals</w:t>
            </w:r>
          </w:p>
        </w:tc>
        <w:tc>
          <w:tcPr>
            <w:tcW w:w="1559" w:type="dxa"/>
            <w:gridSpan w:val="2"/>
            <w:noWrap/>
            <w:tcMar>
              <w:top w:w="15" w:type="dxa"/>
              <w:left w:w="108" w:type="dxa"/>
              <w:bottom w:w="0" w:type="dxa"/>
              <w:right w:w="108" w:type="dxa"/>
            </w:tcMar>
            <w:vAlign w:val="bottom"/>
            <w:hideMark/>
          </w:tcPr>
          <w:p w14:paraId="5338CB9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(1,094) </w:t>
            </w:r>
          </w:p>
        </w:tc>
        <w:tc>
          <w:tcPr>
            <w:tcW w:w="1417" w:type="dxa"/>
            <w:gridSpan w:val="2"/>
            <w:noWrap/>
            <w:tcMar>
              <w:top w:w="15" w:type="dxa"/>
              <w:left w:w="108" w:type="dxa"/>
              <w:bottom w:w="0" w:type="dxa"/>
              <w:right w:w="108" w:type="dxa"/>
            </w:tcMar>
            <w:vAlign w:val="bottom"/>
            <w:hideMark/>
          </w:tcPr>
          <w:p w14:paraId="44E6B90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8" w:type="dxa"/>
            <w:gridSpan w:val="2"/>
            <w:noWrap/>
            <w:tcMar>
              <w:top w:w="15" w:type="dxa"/>
              <w:left w:w="108" w:type="dxa"/>
              <w:bottom w:w="0" w:type="dxa"/>
              <w:right w:w="108" w:type="dxa"/>
            </w:tcMar>
            <w:vAlign w:val="bottom"/>
            <w:hideMark/>
          </w:tcPr>
          <w:p w14:paraId="6255B16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gridSpan w:val="2"/>
            <w:noWrap/>
            <w:tcMar>
              <w:top w:w="15" w:type="dxa"/>
              <w:left w:w="108" w:type="dxa"/>
              <w:bottom w:w="0" w:type="dxa"/>
              <w:right w:w="108" w:type="dxa"/>
            </w:tcMar>
            <w:vAlign w:val="bottom"/>
            <w:hideMark/>
          </w:tcPr>
          <w:p w14:paraId="0C830D5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(1,094) </w:t>
            </w:r>
          </w:p>
        </w:tc>
      </w:tr>
      <w:tr w:rsidR="00560745" w14:paraId="2F89F34D" w14:textId="77777777" w:rsidTr="00517DE5">
        <w:trPr>
          <w:trHeight w:val="315"/>
        </w:trPr>
        <w:tc>
          <w:tcPr>
            <w:tcW w:w="3261" w:type="dxa"/>
            <w:gridSpan w:val="2"/>
            <w:noWrap/>
            <w:tcMar>
              <w:top w:w="15" w:type="dxa"/>
              <w:left w:w="108" w:type="dxa"/>
              <w:bottom w:w="0" w:type="dxa"/>
              <w:right w:w="108" w:type="dxa"/>
            </w:tcMar>
            <w:vAlign w:val="center"/>
            <w:hideMark/>
          </w:tcPr>
          <w:p w14:paraId="48E8586F"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At 31 March 2024</w:t>
            </w:r>
          </w:p>
        </w:tc>
        <w:tc>
          <w:tcPr>
            <w:tcW w:w="1559"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495816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417"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6930A0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14,724 </w:t>
            </w:r>
          </w:p>
        </w:tc>
        <w:tc>
          <w:tcPr>
            <w:tcW w:w="1418"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1F4FA8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E3AC44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14,724 </w:t>
            </w:r>
          </w:p>
        </w:tc>
      </w:tr>
      <w:tr w:rsidR="00560745" w14:paraId="6FD69493" w14:textId="77777777" w:rsidTr="00517DE5">
        <w:trPr>
          <w:trHeight w:val="197"/>
        </w:trPr>
        <w:tc>
          <w:tcPr>
            <w:tcW w:w="3261" w:type="dxa"/>
            <w:gridSpan w:val="2"/>
            <w:noWrap/>
            <w:tcMar>
              <w:top w:w="15" w:type="dxa"/>
              <w:left w:w="108" w:type="dxa"/>
              <w:bottom w:w="0" w:type="dxa"/>
              <w:right w:w="108" w:type="dxa"/>
            </w:tcMar>
            <w:vAlign w:val="bottom"/>
            <w:hideMark/>
          </w:tcPr>
          <w:p w14:paraId="07F85BB1" w14:textId="77777777" w:rsidR="00560745" w:rsidRDefault="00560745">
            <w:pPr>
              <w:spacing w:after="0"/>
              <w:rPr>
                <w:kern w:val="0"/>
                <w:sz w:val="20"/>
                <w:szCs w:val="20"/>
                <w:lang w:eastAsia="en-GB"/>
                <w14:ligatures w14:val="none"/>
              </w:rPr>
            </w:pPr>
          </w:p>
        </w:tc>
        <w:tc>
          <w:tcPr>
            <w:tcW w:w="1559" w:type="dxa"/>
            <w:gridSpan w:val="2"/>
            <w:noWrap/>
            <w:tcMar>
              <w:top w:w="15" w:type="dxa"/>
              <w:left w:w="108" w:type="dxa"/>
              <w:bottom w:w="0" w:type="dxa"/>
              <w:right w:w="108" w:type="dxa"/>
            </w:tcMar>
            <w:vAlign w:val="bottom"/>
            <w:hideMark/>
          </w:tcPr>
          <w:p w14:paraId="5DE23A3D" w14:textId="77777777" w:rsidR="00560745" w:rsidRDefault="00560745">
            <w:pPr>
              <w:spacing w:after="0"/>
              <w:rPr>
                <w:kern w:val="0"/>
                <w:sz w:val="20"/>
                <w:szCs w:val="20"/>
                <w:lang w:eastAsia="en-GB"/>
                <w14:ligatures w14:val="none"/>
              </w:rPr>
            </w:pPr>
          </w:p>
        </w:tc>
        <w:tc>
          <w:tcPr>
            <w:tcW w:w="1417" w:type="dxa"/>
            <w:gridSpan w:val="2"/>
            <w:noWrap/>
            <w:tcMar>
              <w:top w:w="15" w:type="dxa"/>
              <w:left w:w="108" w:type="dxa"/>
              <w:bottom w:w="0" w:type="dxa"/>
              <w:right w:w="108" w:type="dxa"/>
            </w:tcMar>
            <w:vAlign w:val="bottom"/>
            <w:hideMark/>
          </w:tcPr>
          <w:p w14:paraId="4AE1250E" w14:textId="77777777" w:rsidR="00560745" w:rsidRDefault="00560745">
            <w:pPr>
              <w:spacing w:after="0"/>
              <w:rPr>
                <w:kern w:val="0"/>
                <w:sz w:val="20"/>
                <w:szCs w:val="20"/>
                <w:lang w:eastAsia="en-GB"/>
                <w14:ligatures w14:val="none"/>
              </w:rPr>
            </w:pPr>
          </w:p>
        </w:tc>
        <w:tc>
          <w:tcPr>
            <w:tcW w:w="1418" w:type="dxa"/>
            <w:gridSpan w:val="2"/>
            <w:noWrap/>
            <w:tcMar>
              <w:top w:w="15" w:type="dxa"/>
              <w:left w:w="108" w:type="dxa"/>
              <w:bottom w:w="0" w:type="dxa"/>
              <w:right w:w="108" w:type="dxa"/>
            </w:tcMar>
            <w:vAlign w:val="bottom"/>
            <w:hideMark/>
          </w:tcPr>
          <w:p w14:paraId="3A575D55"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44A45826" w14:textId="77777777" w:rsidR="00560745" w:rsidRDefault="00560745">
            <w:pPr>
              <w:spacing w:after="0"/>
              <w:rPr>
                <w:kern w:val="0"/>
                <w:sz w:val="20"/>
                <w:szCs w:val="20"/>
                <w:lang w:eastAsia="en-GB"/>
                <w14:ligatures w14:val="none"/>
              </w:rPr>
            </w:pPr>
          </w:p>
        </w:tc>
      </w:tr>
      <w:tr w:rsidR="00560745" w14:paraId="3C7F8D90" w14:textId="77777777" w:rsidTr="00517DE5">
        <w:trPr>
          <w:trHeight w:val="140"/>
        </w:trPr>
        <w:tc>
          <w:tcPr>
            <w:tcW w:w="3261" w:type="dxa"/>
            <w:gridSpan w:val="2"/>
            <w:noWrap/>
            <w:tcMar>
              <w:top w:w="15" w:type="dxa"/>
              <w:left w:w="108" w:type="dxa"/>
              <w:bottom w:w="0" w:type="dxa"/>
              <w:right w:w="108" w:type="dxa"/>
            </w:tcMar>
            <w:vAlign w:val="bottom"/>
            <w:hideMark/>
          </w:tcPr>
          <w:p w14:paraId="4FB735B7"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Carrying value at 31 March 2024</w:t>
            </w:r>
          </w:p>
        </w:tc>
        <w:tc>
          <w:tcPr>
            <w:tcW w:w="1559"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29483A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417"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68B4CC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1,247 </w:t>
            </w:r>
          </w:p>
        </w:tc>
        <w:tc>
          <w:tcPr>
            <w:tcW w:w="1418"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90E119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627 </w:t>
            </w:r>
          </w:p>
        </w:tc>
        <w:tc>
          <w:tcPr>
            <w:tcW w:w="1276"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BC6964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1,874 </w:t>
            </w:r>
          </w:p>
        </w:tc>
      </w:tr>
      <w:tr w:rsidR="00560745" w14:paraId="40E2A1EE" w14:textId="77777777" w:rsidTr="00517DE5">
        <w:trPr>
          <w:trHeight w:val="289"/>
        </w:trPr>
        <w:tc>
          <w:tcPr>
            <w:tcW w:w="3261" w:type="dxa"/>
            <w:gridSpan w:val="2"/>
            <w:noWrap/>
            <w:tcMar>
              <w:top w:w="15" w:type="dxa"/>
              <w:left w:w="108" w:type="dxa"/>
              <w:bottom w:w="0" w:type="dxa"/>
              <w:right w:w="108" w:type="dxa"/>
            </w:tcMar>
            <w:vAlign w:val="bottom"/>
            <w:hideMark/>
          </w:tcPr>
          <w:p w14:paraId="70EDD76C" w14:textId="77777777" w:rsidR="00560745" w:rsidRDefault="00560745">
            <w:pPr>
              <w:spacing w:after="0"/>
              <w:rPr>
                <w:kern w:val="0"/>
                <w:sz w:val="20"/>
                <w:szCs w:val="20"/>
                <w:lang w:eastAsia="en-GB"/>
                <w14:ligatures w14:val="none"/>
              </w:rPr>
            </w:pPr>
          </w:p>
        </w:tc>
        <w:tc>
          <w:tcPr>
            <w:tcW w:w="1559" w:type="dxa"/>
            <w:gridSpan w:val="2"/>
            <w:noWrap/>
            <w:tcMar>
              <w:top w:w="15" w:type="dxa"/>
              <w:left w:w="108" w:type="dxa"/>
              <w:bottom w:w="0" w:type="dxa"/>
              <w:right w:w="108" w:type="dxa"/>
            </w:tcMar>
            <w:vAlign w:val="bottom"/>
            <w:hideMark/>
          </w:tcPr>
          <w:p w14:paraId="6F6E4FAE" w14:textId="77777777" w:rsidR="00560745" w:rsidRDefault="00560745">
            <w:pPr>
              <w:spacing w:after="0"/>
              <w:rPr>
                <w:kern w:val="0"/>
                <w:sz w:val="20"/>
                <w:szCs w:val="20"/>
                <w:lang w:eastAsia="en-GB"/>
                <w14:ligatures w14:val="none"/>
              </w:rPr>
            </w:pPr>
          </w:p>
        </w:tc>
        <w:tc>
          <w:tcPr>
            <w:tcW w:w="1417" w:type="dxa"/>
            <w:gridSpan w:val="2"/>
            <w:noWrap/>
            <w:tcMar>
              <w:top w:w="15" w:type="dxa"/>
              <w:left w:w="108" w:type="dxa"/>
              <w:bottom w:w="0" w:type="dxa"/>
              <w:right w:w="108" w:type="dxa"/>
            </w:tcMar>
            <w:vAlign w:val="bottom"/>
            <w:hideMark/>
          </w:tcPr>
          <w:p w14:paraId="75F3B361" w14:textId="77777777" w:rsidR="00560745" w:rsidRDefault="00560745">
            <w:pPr>
              <w:spacing w:after="0"/>
              <w:rPr>
                <w:kern w:val="0"/>
                <w:sz w:val="20"/>
                <w:szCs w:val="20"/>
                <w:lang w:eastAsia="en-GB"/>
                <w14:ligatures w14:val="none"/>
              </w:rPr>
            </w:pPr>
          </w:p>
        </w:tc>
        <w:tc>
          <w:tcPr>
            <w:tcW w:w="1418" w:type="dxa"/>
            <w:gridSpan w:val="2"/>
            <w:noWrap/>
            <w:tcMar>
              <w:top w:w="15" w:type="dxa"/>
              <w:left w:w="108" w:type="dxa"/>
              <w:bottom w:w="0" w:type="dxa"/>
              <w:right w:w="108" w:type="dxa"/>
            </w:tcMar>
            <w:vAlign w:val="bottom"/>
            <w:hideMark/>
          </w:tcPr>
          <w:p w14:paraId="2135831B"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1CF367D2" w14:textId="77777777" w:rsidR="00560745" w:rsidRDefault="00560745">
            <w:pPr>
              <w:spacing w:after="0"/>
              <w:rPr>
                <w:kern w:val="0"/>
                <w:sz w:val="20"/>
                <w:szCs w:val="20"/>
                <w:lang w:eastAsia="en-GB"/>
                <w14:ligatures w14:val="none"/>
              </w:rPr>
            </w:pPr>
          </w:p>
        </w:tc>
      </w:tr>
      <w:tr w:rsidR="00560745" w14:paraId="0F2CAD08" w14:textId="77777777" w:rsidTr="00517DE5">
        <w:trPr>
          <w:trHeight w:val="270"/>
        </w:trPr>
        <w:tc>
          <w:tcPr>
            <w:tcW w:w="3261" w:type="dxa"/>
            <w:gridSpan w:val="2"/>
            <w:noWrap/>
            <w:tcMar>
              <w:top w:w="15" w:type="dxa"/>
              <w:left w:w="108" w:type="dxa"/>
              <w:bottom w:w="0" w:type="dxa"/>
              <w:right w:w="108" w:type="dxa"/>
            </w:tcMar>
            <w:vAlign w:val="bottom"/>
            <w:hideMark/>
          </w:tcPr>
          <w:p w14:paraId="1043427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Asset financing:</w:t>
            </w:r>
          </w:p>
        </w:tc>
        <w:tc>
          <w:tcPr>
            <w:tcW w:w="1559" w:type="dxa"/>
            <w:gridSpan w:val="2"/>
            <w:noWrap/>
            <w:tcMar>
              <w:top w:w="15" w:type="dxa"/>
              <w:left w:w="108" w:type="dxa"/>
              <w:bottom w:w="0" w:type="dxa"/>
              <w:right w:w="108" w:type="dxa"/>
            </w:tcMar>
            <w:vAlign w:val="bottom"/>
            <w:hideMark/>
          </w:tcPr>
          <w:p w14:paraId="7F59FBA3" w14:textId="77777777" w:rsidR="00560745" w:rsidRDefault="00560745">
            <w:pPr>
              <w:rPr>
                <w:rFonts w:eastAsia="Times New Roman"/>
                <w:b/>
                <w:bCs/>
                <w:kern w:val="0"/>
                <w:sz w:val="20"/>
                <w:szCs w:val="20"/>
                <w:lang w:eastAsia="en-GB"/>
                <w14:ligatures w14:val="none"/>
              </w:rPr>
            </w:pPr>
          </w:p>
        </w:tc>
        <w:tc>
          <w:tcPr>
            <w:tcW w:w="1417" w:type="dxa"/>
            <w:gridSpan w:val="2"/>
            <w:noWrap/>
            <w:tcMar>
              <w:top w:w="15" w:type="dxa"/>
              <w:left w:w="108" w:type="dxa"/>
              <w:bottom w:w="0" w:type="dxa"/>
              <w:right w:w="108" w:type="dxa"/>
            </w:tcMar>
            <w:vAlign w:val="bottom"/>
            <w:hideMark/>
          </w:tcPr>
          <w:p w14:paraId="3A179AB2" w14:textId="77777777" w:rsidR="00560745" w:rsidRDefault="00560745">
            <w:pPr>
              <w:spacing w:after="0"/>
              <w:rPr>
                <w:kern w:val="0"/>
                <w:sz w:val="20"/>
                <w:szCs w:val="20"/>
                <w:lang w:eastAsia="en-GB"/>
                <w14:ligatures w14:val="none"/>
              </w:rPr>
            </w:pPr>
          </w:p>
        </w:tc>
        <w:tc>
          <w:tcPr>
            <w:tcW w:w="1418" w:type="dxa"/>
            <w:gridSpan w:val="2"/>
            <w:noWrap/>
            <w:tcMar>
              <w:top w:w="15" w:type="dxa"/>
              <w:left w:w="108" w:type="dxa"/>
              <w:bottom w:w="0" w:type="dxa"/>
              <w:right w:w="108" w:type="dxa"/>
            </w:tcMar>
            <w:vAlign w:val="bottom"/>
            <w:hideMark/>
          </w:tcPr>
          <w:p w14:paraId="36966985"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435AD867" w14:textId="77777777" w:rsidR="00560745" w:rsidRDefault="00560745">
            <w:pPr>
              <w:spacing w:after="0"/>
              <w:rPr>
                <w:kern w:val="0"/>
                <w:sz w:val="20"/>
                <w:szCs w:val="20"/>
                <w:lang w:eastAsia="en-GB"/>
                <w14:ligatures w14:val="none"/>
              </w:rPr>
            </w:pPr>
          </w:p>
        </w:tc>
      </w:tr>
      <w:tr w:rsidR="00560745" w14:paraId="65961A61" w14:textId="77777777" w:rsidTr="00517DE5">
        <w:trPr>
          <w:trHeight w:val="260"/>
        </w:trPr>
        <w:tc>
          <w:tcPr>
            <w:tcW w:w="3261" w:type="dxa"/>
            <w:gridSpan w:val="2"/>
            <w:noWrap/>
            <w:tcMar>
              <w:top w:w="15" w:type="dxa"/>
              <w:left w:w="108" w:type="dxa"/>
              <w:bottom w:w="0" w:type="dxa"/>
              <w:right w:w="108" w:type="dxa"/>
            </w:tcMar>
            <w:vAlign w:val="bottom"/>
            <w:hideMark/>
          </w:tcPr>
          <w:p w14:paraId="76A0553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Owned</w:t>
            </w:r>
          </w:p>
        </w:tc>
        <w:tc>
          <w:tcPr>
            <w:tcW w:w="1559" w:type="dxa"/>
            <w:gridSpan w:val="2"/>
            <w:noWrap/>
            <w:tcMar>
              <w:top w:w="15" w:type="dxa"/>
              <w:left w:w="108" w:type="dxa"/>
              <w:bottom w:w="0" w:type="dxa"/>
              <w:right w:w="108" w:type="dxa"/>
            </w:tcMar>
            <w:vAlign w:val="bottom"/>
            <w:hideMark/>
          </w:tcPr>
          <w:p w14:paraId="7FF1FB2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7" w:type="dxa"/>
            <w:gridSpan w:val="2"/>
            <w:noWrap/>
            <w:tcMar>
              <w:top w:w="15" w:type="dxa"/>
              <w:left w:w="108" w:type="dxa"/>
              <w:bottom w:w="0" w:type="dxa"/>
              <w:right w:w="108" w:type="dxa"/>
            </w:tcMar>
            <w:vAlign w:val="bottom"/>
            <w:hideMark/>
          </w:tcPr>
          <w:p w14:paraId="013C7E1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1,247 </w:t>
            </w:r>
          </w:p>
        </w:tc>
        <w:tc>
          <w:tcPr>
            <w:tcW w:w="1418" w:type="dxa"/>
            <w:gridSpan w:val="2"/>
            <w:noWrap/>
            <w:tcMar>
              <w:top w:w="15" w:type="dxa"/>
              <w:left w:w="108" w:type="dxa"/>
              <w:bottom w:w="0" w:type="dxa"/>
              <w:right w:w="108" w:type="dxa"/>
            </w:tcMar>
            <w:vAlign w:val="bottom"/>
            <w:hideMark/>
          </w:tcPr>
          <w:p w14:paraId="08BE863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627 </w:t>
            </w:r>
          </w:p>
        </w:tc>
        <w:tc>
          <w:tcPr>
            <w:tcW w:w="1276" w:type="dxa"/>
            <w:gridSpan w:val="2"/>
            <w:noWrap/>
            <w:tcMar>
              <w:top w:w="15" w:type="dxa"/>
              <w:left w:w="108" w:type="dxa"/>
              <w:bottom w:w="0" w:type="dxa"/>
              <w:right w:w="108" w:type="dxa"/>
            </w:tcMar>
            <w:vAlign w:val="bottom"/>
            <w:hideMark/>
          </w:tcPr>
          <w:p w14:paraId="102E91A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1,874 </w:t>
            </w:r>
          </w:p>
        </w:tc>
      </w:tr>
      <w:tr w:rsidR="00560745" w14:paraId="5378B578" w14:textId="77777777" w:rsidTr="00517DE5">
        <w:trPr>
          <w:trHeight w:val="315"/>
        </w:trPr>
        <w:tc>
          <w:tcPr>
            <w:tcW w:w="3261" w:type="dxa"/>
            <w:gridSpan w:val="2"/>
            <w:noWrap/>
            <w:tcMar>
              <w:top w:w="15" w:type="dxa"/>
              <w:left w:w="108" w:type="dxa"/>
              <w:bottom w:w="0" w:type="dxa"/>
              <w:right w:w="108" w:type="dxa"/>
            </w:tcMar>
            <w:vAlign w:val="bottom"/>
            <w:hideMark/>
          </w:tcPr>
          <w:p w14:paraId="7FE214E6"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Carrying value at 31 March 2024</w:t>
            </w:r>
          </w:p>
        </w:tc>
        <w:tc>
          <w:tcPr>
            <w:tcW w:w="1559"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F48BFA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417"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4ED4C8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1,247 </w:t>
            </w:r>
          </w:p>
        </w:tc>
        <w:tc>
          <w:tcPr>
            <w:tcW w:w="1418"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E9C946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627 </w:t>
            </w:r>
          </w:p>
        </w:tc>
        <w:tc>
          <w:tcPr>
            <w:tcW w:w="1276"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7F52AD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1,874 </w:t>
            </w:r>
          </w:p>
        </w:tc>
      </w:tr>
      <w:tr w:rsidR="00560745" w14:paraId="3C4CF9C4" w14:textId="77777777" w:rsidTr="00517DE5">
        <w:trPr>
          <w:trHeight w:val="207"/>
        </w:trPr>
        <w:tc>
          <w:tcPr>
            <w:tcW w:w="3261" w:type="dxa"/>
            <w:gridSpan w:val="2"/>
            <w:noWrap/>
            <w:tcMar>
              <w:top w:w="15" w:type="dxa"/>
              <w:left w:w="108" w:type="dxa"/>
              <w:bottom w:w="0" w:type="dxa"/>
              <w:right w:w="108" w:type="dxa"/>
            </w:tcMar>
            <w:vAlign w:val="bottom"/>
            <w:hideMark/>
          </w:tcPr>
          <w:p w14:paraId="3EE24921" w14:textId="77777777" w:rsidR="00560745" w:rsidRDefault="00560745">
            <w:pPr>
              <w:spacing w:after="0"/>
              <w:rPr>
                <w:kern w:val="0"/>
                <w:sz w:val="20"/>
                <w:szCs w:val="20"/>
                <w:lang w:eastAsia="en-GB"/>
                <w14:ligatures w14:val="none"/>
              </w:rPr>
            </w:pPr>
          </w:p>
        </w:tc>
        <w:tc>
          <w:tcPr>
            <w:tcW w:w="1559" w:type="dxa"/>
            <w:gridSpan w:val="2"/>
            <w:noWrap/>
            <w:tcMar>
              <w:top w:w="15" w:type="dxa"/>
              <w:left w:w="108" w:type="dxa"/>
              <w:bottom w:w="0" w:type="dxa"/>
              <w:right w:w="108" w:type="dxa"/>
            </w:tcMar>
            <w:vAlign w:val="bottom"/>
            <w:hideMark/>
          </w:tcPr>
          <w:p w14:paraId="0A1C527B" w14:textId="77777777" w:rsidR="00560745" w:rsidRDefault="00560745">
            <w:pPr>
              <w:spacing w:after="0"/>
              <w:rPr>
                <w:kern w:val="0"/>
                <w:sz w:val="20"/>
                <w:szCs w:val="20"/>
                <w:lang w:eastAsia="en-GB"/>
                <w14:ligatures w14:val="none"/>
              </w:rPr>
            </w:pPr>
          </w:p>
        </w:tc>
        <w:tc>
          <w:tcPr>
            <w:tcW w:w="1417" w:type="dxa"/>
            <w:gridSpan w:val="2"/>
            <w:noWrap/>
            <w:tcMar>
              <w:top w:w="15" w:type="dxa"/>
              <w:left w:w="108" w:type="dxa"/>
              <w:bottom w:w="0" w:type="dxa"/>
              <w:right w:w="108" w:type="dxa"/>
            </w:tcMar>
            <w:vAlign w:val="bottom"/>
            <w:hideMark/>
          </w:tcPr>
          <w:p w14:paraId="7B94E3D7" w14:textId="77777777" w:rsidR="00560745" w:rsidRDefault="00560745">
            <w:pPr>
              <w:spacing w:after="0"/>
              <w:rPr>
                <w:kern w:val="0"/>
                <w:sz w:val="20"/>
                <w:szCs w:val="20"/>
                <w:lang w:eastAsia="en-GB"/>
                <w14:ligatures w14:val="none"/>
              </w:rPr>
            </w:pPr>
          </w:p>
        </w:tc>
        <w:tc>
          <w:tcPr>
            <w:tcW w:w="1418" w:type="dxa"/>
            <w:gridSpan w:val="2"/>
            <w:noWrap/>
            <w:tcMar>
              <w:top w:w="15" w:type="dxa"/>
              <w:left w:w="108" w:type="dxa"/>
              <w:bottom w:w="0" w:type="dxa"/>
              <w:right w:w="108" w:type="dxa"/>
            </w:tcMar>
            <w:vAlign w:val="bottom"/>
            <w:hideMark/>
          </w:tcPr>
          <w:p w14:paraId="19F5A0ED"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7F2B5446" w14:textId="77777777" w:rsidR="00560745" w:rsidRDefault="00560745">
            <w:pPr>
              <w:spacing w:after="0"/>
              <w:rPr>
                <w:kern w:val="0"/>
                <w:sz w:val="20"/>
                <w:szCs w:val="20"/>
                <w:lang w:eastAsia="en-GB"/>
                <w14:ligatures w14:val="none"/>
              </w:rPr>
            </w:pPr>
          </w:p>
        </w:tc>
      </w:tr>
      <w:tr w:rsidR="00560745" w14:paraId="0CBF8FD2" w14:textId="77777777" w:rsidTr="00517DE5">
        <w:trPr>
          <w:trHeight w:val="272"/>
        </w:trPr>
        <w:tc>
          <w:tcPr>
            <w:tcW w:w="3261" w:type="dxa"/>
            <w:gridSpan w:val="2"/>
            <w:noWrap/>
            <w:tcMar>
              <w:top w:w="15" w:type="dxa"/>
              <w:left w:w="108" w:type="dxa"/>
              <w:bottom w:w="0" w:type="dxa"/>
              <w:right w:w="108" w:type="dxa"/>
            </w:tcMar>
            <w:vAlign w:val="bottom"/>
            <w:hideMark/>
          </w:tcPr>
          <w:p w14:paraId="2F81C04B" w14:textId="77777777" w:rsidR="00560745" w:rsidRDefault="00560745">
            <w:pPr>
              <w:spacing w:after="0"/>
              <w:rPr>
                <w:kern w:val="0"/>
                <w:sz w:val="20"/>
                <w:szCs w:val="20"/>
                <w:lang w:eastAsia="en-GB"/>
                <w14:ligatures w14:val="none"/>
              </w:rPr>
            </w:pPr>
          </w:p>
        </w:tc>
        <w:tc>
          <w:tcPr>
            <w:tcW w:w="1559" w:type="dxa"/>
            <w:gridSpan w:val="2"/>
            <w:noWrap/>
            <w:tcMar>
              <w:top w:w="15" w:type="dxa"/>
              <w:left w:w="108" w:type="dxa"/>
              <w:bottom w:w="0" w:type="dxa"/>
              <w:right w:w="108" w:type="dxa"/>
            </w:tcMar>
            <w:vAlign w:val="bottom"/>
            <w:hideMark/>
          </w:tcPr>
          <w:p w14:paraId="1FBAC268" w14:textId="77777777" w:rsidR="00560745" w:rsidRDefault="00560745">
            <w:pPr>
              <w:spacing w:after="0"/>
              <w:rPr>
                <w:kern w:val="0"/>
                <w:sz w:val="20"/>
                <w:szCs w:val="20"/>
                <w:lang w:eastAsia="en-GB"/>
                <w14:ligatures w14:val="none"/>
              </w:rPr>
            </w:pPr>
          </w:p>
        </w:tc>
        <w:tc>
          <w:tcPr>
            <w:tcW w:w="1417" w:type="dxa"/>
            <w:gridSpan w:val="2"/>
            <w:noWrap/>
            <w:tcMar>
              <w:top w:w="15" w:type="dxa"/>
              <w:left w:w="108" w:type="dxa"/>
              <w:bottom w:w="0" w:type="dxa"/>
              <w:right w:w="108" w:type="dxa"/>
            </w:tcMar>
            <w:vAlign w:val="bottom"/>
            <w:hideMark/>
          </w:tcPr>
          <w:p w14:paraId="5AC0DC5B" w14:textId="77777777" w:rsidR="00560745" w:rsidRDefault="00560745">
            <w:pPr>
              <w:spacing w:after="0"/>
              <w:rPr>
                <w:kern w:val="0"/>
                <w:sz w:val="20"/>
                <w:szCs w:val="20"/>
                <w:lang w:eastAsia="en-GB"/>
                <w14:ligatures w14:val="none"/>
              </w:rPr>
            </w:pPr>
          </w:p>
        </w:tc>
        <w:tc>
          <w:tcPr>
            <w:tcW w:w="1418" w:type="dxa"/>
            <w:gridSpan w:val="2"/>
            <w:noWrap/>
            <w:tcMar>
              <w:top w:w="15" w:type="dxa"/>
              <w:left w:w="108" w:type="dxa"/>
              <w:bottom w:w="0" w:type="dxa"/>
              <w:right w:w="108" w:type="dxa"/>
            </w:tcMar>
            <w:vAlign w:val="bottom"/>
            <w:hideMark/>
          </w:tcPr>
          <w:p w14:paraId="33D28153"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2DB82711" w14:textId="77777777" w:rsidR="00560745" w:rsidRDefault="00560745">
            <w:pPr>
              <w:spacing w:after="0"/>
              <w:rPr>
                <w:kern w:val="0"/>
                <w:sz w:val="20"/>
                <w:szCs w:val="20"/>
                <w:lang w:eastAsia="en-GB"/>
                <w14:ligatures w14:val="none"/>
              </w:rPr>
            </w:pPr>
          </w:p>
        </w:tc>
      </w:tr>
    </w:tbl>
    <w:p w14:paraId="6902C7FD" w14:textId="77777777" w:rsidR="00FB624B" w:rsidRDefault="00FB624B">
      <w:r>
        <w:br w:type="page"/>
      </w:r>
    </w:p>
    <w:tbl>
      <w:tblPr>
        <w:tblW w:w="8931" w:type="dxa"/>
        <w:tblLayout w:type="fixed"/>
        <w:tblLook w:val="04A0" w:firstRow="1" w:lastRow="0" w:firstColumn="1" w:lastColumn="0" w:noHBand="0" w:noVBand="1"/>
      </w:tblPr>
      <w:tblGrid>
        <w:gridCol w:w="3402"/>
        <w:gridCol w:w="1418"/>
        <w:gridCol w:w="1417"/>
        <w:gridCol w:w="1418"/>
        <w:gridCol w:w="1276"/>
      </w:tblGrid>
      <w:tr w:rsidR="00560745" w14:paraId="786C7FF6" w14:textId="77777777" w:rsidTr="00D611D6">
        <w:trPr>
          <w:trHeight w:val="315"/>
        </w:trPr>
        <w:tc>
          <w:tcPr>
            <w:tcW w:w="3402" w:type="dxa"/>
            <w:noWrap/>
            <w:tcMar>
              <w:top w:w="15" w:type="dxa"/>
              <w:left w:w="108" w:type="dxa"/>
              <w:bottom w:w="0" w:type="dxa"/>
              <w:right w:w="108" w:type="dxa"/>
            </w:tcMar>
            <w:vAlign w:val="bottom"/>
            <w:hideMark/>
          </w:tcPr>
          <w:p w14:paraId="27E2BEC4"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lastRenderedPageBreak/>
              <w:t>2022-23</w:t>
            </w:r>
          </w:p>
        </w:tc>
        <w:tc>
          <w:tcPr>
            <w:tcW w:w="1418" w:type="dxa"/>
            <w:noWrap/>
            <w:tcMar>
              <w:top w:w="15" w:type="dxa"/>
              <w:left w:w="108" w:type="dxa"/>
              <w:bottom w:w="0" w:type="dxa"/>
              <w:right w:w="108" w:type="dxa"/>
            </w:tcMar>
            <w:vAlign w:val="bottom"/>
            <w:hideMark/>
          </w:tcPr>
          <w:p w14:paraId="40BD2D6F"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3484D90F"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6787F734"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66236F2A" w14:textId="77777777" w:rsidR="00560745" w:rsidRDefault="00560745">
            <w:pPr>
              <w:spacing w:after="0"/>
              <w:rPr>
                <w:kern w:val="0"/>
                <w:sz w:val="20"/>
                <w:szCs w:val="20"/>
                <w:lang w:eastAsia="en-GB"/>
                <w14:ligatures w14:val="none"/>
              </w:rPr>
            </w:pPr>
          </w:p>
        </w:tc>
      </w:tr>
      <w:tr w:rsidR="00560745" w14:paraId="36679971" w14:textId="77777777" w:rsidTr="00D611D6">
        <w:trPr>
          <w:trHeight w:val="315"/>
        </w:trPr>
        <w:tc>
          <w:tcPr>
            <w:tcW w:w="3402" w:type="dxa"/>
            <w:noWrap/>
            <w:tcMar>
              <w:top w:w="15" w:type="dxa"/>
              <w:left w:w="108" w:type="dxa"/>
              <w:bottom w:w="0" w:type="dxa"/>
              <w:right w:w="108" w:type="dxa"/>
            </w:tcMar>
            <w:vAlign w:val="bottom"/>
            <w:hideMark/>
          </w:tcPr>
          <w:p w14:paraId="4A31BC19"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7109E15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Software Licences</w:t>
            </w:r>
          </w:p>
        </w:tc>
        <w:tc>
          <w:tcPr>
            <w:tcW w:w="1417" w:type="dxa"/>
            <w:noWrap/>
            <w:tcMar>
              <w:top w:w="15" w:type="dxa"/>
              <w:left w:w="108" w:type="dxa"/>
              <w:bottom w:w="0" w:type="dxa"/>
              <w:right w:w="108" w:type="dxa"/>
            </w:tcMar>
            <w:vAlign w:val="bottom"/>
            <w:hideMark/>
          </w:tcPr>
          <w:p w14:paraId="2316099E" w14:textId="2835EB59"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Internally Developed</w:t>
            </w:r>
            <w:r w:rsidR="00F64CF9">
              <w:rPr>
                <w:rFonts w:eastAsia="Times New Roman"/>
                <w:b/>
                <w:bCs/>
                <w:kern w:val="0"/>
                <w:sz w:val="20"/>
                <w:szCs w:val="20"/>
                <w:lang w:eastAsia="en-GB"/>
                <w14:ligatures w14:val="none"/>
              </w:rPr>
              <w:t xml:space="preserve"> System</w:t>
            </w:r>
          </w:p>
        </w:tc>
        <w:tc>
          <w:tcPr>
            <w:tcW w:w="1418" w:type="dxa"/>
            <w:noWrap/>
            <w:tcMar>
              <w:top w:w="15" w:type="dxa"/>
              <w:left w:w="108" w:type="dxa"/>
              <w:bottom w:w="0" w:type="dxa"/>
              <w:right w:w="108" w:type="dxa"/>
            </w:tcMar>
            <w:vAlign w:val="bottom"/>
            <w:hideMark/>
          </w:tcPr>
          <w:p w14:paraId="1F7BAB9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Assets Under Construction</w:t>
            </w:r>
          </w:p>
        </w:tc>
        <w:tc>
          <w:tcPr>
            <w:tcW w:w="1276" w:type="dxa"/>
            <w:noWrap/>
            <w:tcMar>
              <w:top w:w="15" w:type="dxa"/>
              <w:left w:w="108" w:type="dxa"/>
              <w:bottom w:w="0" w:type="dxa"/>
              <w:right w:w="108" w:type="dxa"/>
            </w:tcMar>
            <w:vAlign w:val="bottom"/>
            <w:hideMark/>
          </w:tcPr>
          <w:p w14:paraId="6671CA3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Total</w:t>
            </w:r>
          </w:p>
        </w:tc>
      </w:tr>
      <w:tr w:rsidR="00560745" w14:paraId="742550F1" w14:textId="77777777" w:rsidTr="00D611D6">
        <w:trPr>
          <w:trHeight w:val="315"/>
        </w:trPr>
        <w:tc>
          <w:tcPr>
            <w:tcW w:w="3402" w:type="dxa"/>
            <w:noWrap/>
            <w:tcMar>
              <w:top w:w="15" w:type="dxa"/>
              <w:left w:w="108" w:type="dxa"/>
              <w:bottom w:w="0" w:type="dxa"/>
              <w:right w:w="108" w:type="dxa"/>
            </w:tcMar>
            <w:vAlign w:val="bottom"/>
            <w:hideMark/>
          </w:tcPr>
          <w:p w14:paraId="37C3CA9E" w14:textId="77777777" w:rsidR="00560745" w:rsidRDefault="00560745">
            <w:pPr>
              <w:spacing w:after="0"/>
              <w:rPr>
                <w:kern w:val="0"/>
                <w:sz w:val="20"/>
                <w:szCs w:val="20"/>
                <w:lang w:eastAsia="en-GB"/>
                <w14:ligatures w14:val="none"/>
              </w:rPr>
            </w:pPr>
          </w:p>
        </w:tc>
        <w:tc>
          <w:tcPr>
            <w:tcW w:w="1418" w:type="dxa"/>
            <w:tcBorders>
              <w:top w:val="nil"/>
              <w:left w:val="nil"/>
              <w:bottom w:val="single" w:sz="8" w:space="0" w:color="auto"/>
              <w:right w:val="nil"/>
            </w:tcBorders>
            <w:noWrap/>
            <w:tcMar>
              <w:top w:w="15" w:type="dxa"/>
              <w:left w:w="108" w:type="dxa"/>
              <w:bottom w:w="0" w:type="dxa"/>
              <w:right w:w="108" w:type="dxa"/>
            </w:tcMar>
            <w:vAlign w:val="bottom"/>
            <w:hideMark/>
          </w:tcPr>
          <w:p w14:paraId="6D40E24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417" w:type="dxa"/>
            <w:tcBorders>
              <w:top w:val="nil"/>
              <w:left w:val="nil"/>
              <w:bottom w:val="single" w:sz="8" w:space="0" w:color="auto"/>
              <w:right w:val="nil"/>
            </w:tcBorders>
            <w:noWrap/>
            <w:tcMar>
              <w:top w:w="15" w:type="dxa"/>
              <w:left w:w="108" w:type="dxa"/>
              <w:bottom w:w="0" w:type="dxa"/>
              <w:right w:w="108" w:type="dxa"/>
            </w:tcMar>
            <w:vAlign w:val="bottom"/>
            <w:hideMark/>
          </w:tcPr>
          <w:p w14:paraId="6D3546D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418" w:type="dxa"/>
            <w:tcBorders>
              <w:top w:val="nil"/>
              <w:left w:val="nil"/>
              <w:bottom w:val="single" w:sz="8" w:space="0" w:color="auto"/>
              <w:right w:val="nil"/>
            </w:tcBorders>
            <w:noWrap/>
            <w:tcMar>
              <w:top w:w="15" w:type="dxa"/>
              <w:left w:w="108" w:type="dxa"/>
              <w:bottom w:w="0" w:type="dxa"/>
              <w:right w:w="108" w:type="dxa"/>
            </w:tcMar>
            <w:vAlign w:val="bottom"/>
            <w:hideMark/>
          </w:tcPr>
          <w:p w14:paraId="2FEC3F0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276" w:type="dxa"/>
            <w:tcBorders>
              <w:top w:val="nil"/>
              <w:left w:val="nil"/>
              <w:bottom w:val="single" w:sz="8" w:space="0" w:color="auto"/>
              <w:right w:val="nil"/>
            </w:tcBorders>
            <w:noWrap/>
            <w:tcMar>
              <w:top w:w="15" w:type="dxa"/>
              <w:left w:w="108" w:type="dxa"/>
              <w:bottom w:w="0" w:type="dxa"/>
              <w:right w:w="108" w:type="dxa"/>
            </w:tcMar>
            <w:vAlign w:val="bottom"/>
            <w:hideMark/>
          </w:tcPr>
          <w:p w14:paraId="153A2EE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4F236AD7" w14:textId="77777777" w:rsidTr="00D611D6">
        <w:trPr>
          <w:trHeight w:val="315"/>
        </w:trPr>
        <w:tc>
          <w:tcPr>
            <w:tcW w:w="3402" w:type="dxa"/>
            <w:noWrap/>
            <w:tcMar>
              <w:top w:w="15" w:type="dxa"/>
              <w:left w:w="108" w:type="dxa"/>
              <w:bottom w:w="0" w:type="dxa"/>
              <w:right w:w="108" w:type="dxa"/>
            </w:tcMar>
            <w:vAlign w:val="bottom"/>
            <w:hideMark/>
          </w:tcPr>
          <w:p w14:paraId="30BFB87C"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Cost or valuation</w:t>
            </w:r>
          </w:p>
        </w:tc>
        <w:tc>
          <w:tcPr>
            <w:tcW w:w="1418" w:type="dxa"/>
            <w:noWrap/>
            <w:tcMar>
              <w:top w:w="15" w:type="dxa"/>
              <w:left w:w="108" w:type="dxa"/>
              <w:bottom w:w="0" w:type="dxa"/>
              <w:right w:w="108" w:type="dxa"/>
            </w:tcMar>
            <w:vAlign w:val="bottom"/>
            <w:hideMark/>
          </w:tcPr>
          <w:p w14:paraId="46154AB5"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39DFDD8B"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5C42E487"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0D45F061" w14:textId="77777777" w:rsidR="00560745" w:rsidRDefault="00560745">
            <w:pPr>
              <w:spacing w:after="0"/>
              <w:rPr>
                <w:kern w:val="0"/>
                <w:sz w:val="20"/>
                <w:szCs w:val="20"/>
                <w:lang w:eastAsia="en-GB"/>
                <w14:ligatures w14:val="none"/>
              </w:rPr>
            </w:pPr>
          </w:p>
        </w:tc>
      </w:tr>
      <w:tr w:rsidR="00560745" w14:paraId="78EC6210" w14:textId="77777777" w:rsidTr="00D611D6">
        <w:trPr>
          <w:trHeight w:val="315"/>
        </w:trPr>
        <w:tc>
          <w:tcPr>
            <w:tcW w:w="3402" w:type="dxa"/>
            <w:noWrap/>
            <w:tcMar>
              <w:top w:w="15" w:type="dxa"/>
              <w:left w:w="108" w:type="dxa"/>
              <w:bottom w:w="0" w:type="dxa"/>
              <w:right w:w="108" w:type="dxa"/>
            </w:tcMar>
            <w:vAlign w:val="bottom"/>
            <w:hideMark/>
          </w:tcPr>
          <w:p w14:paraId="0A90AC4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At 1 April 2022</w:t>
            </w:r>
          </w:p>
        </w:tc>
        <w:tc>
          <w:tcPr>
            <w:tcW w:w="1418" w:type="dxa"/>
            <w:noWrap/>
            <w:tcMar>
              <w:top w:w="15" w:type="dxa"/>
              <w:left w:w="108" w:type="dxa"/>
              <w:bottom w:w="0" w:type="dxa"/>
              <w:right w:w="108" w:type="dxa"/>
            </w:tcMar>
            <w:vAlign w:val="bottom"/>
            <w:hideMark/>
          </w:tcPr>
          <w:p w14:paraId="6B2E7E1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1,094 </w:t>
            </w:r>
          </w:p>
        </w:tc>
        <w:tc>
          <w:tcPr>
            <w:tcW w:w="1417" w:type="dxa"/>
            <w:noWrap/>
            <w:tcMar>
              <w:top w:w="15" w:type="dxa"/>
              <w:left w:w="108" w:type="dxa"/>
              <w:bottom w:w="0" w:type="dxa"/>
              <w:right w:w="108" w:type="dxa"/>
            </w:tcMar>
            <w:vAlign w:val="bottom"/>
            <w:hideMark/>
          </w:tcPr>
          <w:p w14:paraId="71A8A8D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15,971 </w:t>
            </w:r>
          </w:p>
        </w:tc>
        <w:tc>
          <w:tcPr>
            <w:tcW w:w="1418" w:type="dxa"/>
            <w:noWrap/>
            <w:tcMar>
              <w:top w:w="15" w:type="dxa"/>
              <w:left w:w="108" w:type="dxa"/>
              <w:bottom w:w="0" w:type="dxa"/>
              <w:right w:w="108" w:type="dxa"/>
            </w:tcMar>
            <w:vAlign w:val="bottom"/>
            <w:hideMark/>
          </w:tcPr>
          <w:p w14:paraId="6E6375E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78AF521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17,065 </w:t>
            </w:r>
          </w:p>
        </w:tc>
      </w:tr>
      <w:tr w:rsidR="00560745" w14:paraId="6E83A3D0" w14:textId="77777777" w:rsidTr="00D611D6">
        <w:trPr>
          <w:trHeight w:val="315"/>
        </w:trPr>
        <w:tc>
          <w:tcPr>
            <w:tcW w:w="3402" w:type="dxa"/>
            <w:noWrap/>
            <w:tcMar>
              <w:top w:w="15" w:type="dxa"/>
              <w:left w:w="108" w:type="dxa"/>
              <w:bottom w:w="0" w:type="dxa"/>
              <w:right w:w="108" w:type="dxa"/>
            </w:tcMar>
            <w:vAlign w:val="bottom"/>
            <w:hideMark/>
          </w:tcPr>
          <w:p w14:paraId="4D7462E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Additions</w:t>
            </w:r>
          </w:p>
        </w:tc>
        <w:tc>
          <w:tcPr>
            <w:tcW w:w="1418" w:type="dxa"/>
            <w:noWrap/>
            <w:tcMar>
              <w:top w:w="15" w:type="dxa"/>
              <w:left w:w="108" w:type="dxa"/>
              <w:bottom w:w="0" w:type="dxa"/>
              <w:right w:w="108" w:type="dxa"/>
            </w:tcMar>
            <w:vAlign w:val="bottom"/>
            <w:hideMark/>
          </w:tcPr>
          <w:p w14:paraId="0503DCE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7" w:type="dxa"/>
            <w:noWrap/>
            <w:tcMar>
              <w:top w:w="15" w:type="dxa"/>
              <w:left w:w="108" w:type="dxa"/>
              <w:bottom w:w="0" w:type="dxa"/>
              <w:right w:w="108" w:type="dxa"/>
            </w:tcMar>
            <w:vAlign w:val="bottom"/>
            <w:hideMark/>
          </w:tcPr>
          <w:p w14:paraId="003DD28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8" w:type="dxa"/>
            <w:noWrap/>
            <w:tcMar>
              <w:top w:w="15" w:type="dxa"/>
              <w:left w:w="108" w:type="dxa"/>
              <w:bottom w:w="0" w:type="dxa"/>
              <w:right w:w="108" w:type="dxa"/>
            </w:tcMar>
            <w:vAlign w:val="bottom"/>
            <w:hideMark/>
          </w:tcPr>
          <w:p w14:paraId="5EC315C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59 </w:t>
            </w:r>
          </w:p>
        </w:tc>
        <w:tc>
          <w:tcPr>
            <w:tcW w:w="1276" w:type="dxa"/>
            <w:noWrap/>
            <w:tcMar>
              <w:top w:w="15" w:type="dxa"/>
              <w:left w:w="108" w:type="dxa"/>
              <w:bottom w:w="0" w:type="dxa"/>
              <w:right w:w="108" w:type="dxa"/>
            </w:tcMar>
            <w:vAlign w:val="bottom"/>
            <w:hideMark/>
          </w:tcPr>
          <w:p w14:paraId="7D277A1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59 </w:t>
            </w:r>
          </w:p>
        </w:tc>
      </w:tr>
      <w:tr w:rsidR="00560745" w14:paraId="5FB501F4" w14:textId="77777777" w:rsidTr="00D611D6">
        <w:trPr>
          <w:trHeight w:val="315"/>
        </w:trPr>
        <w:tc>
          <w:tcPr>
            <w:tcW w:w="3402" w:type="dxa"/>
            <w:noWrap/>
            <w:tcMar>
              <w:top w:w="15" w:type="dxa"/>
              <w:left w:w="108" w:type="dxa"/>
              <w:bottom w:w="0" w:type="dxa"/>
              <w:right w:w="108" w:type="dxa"/>
            </w:tcMar>
            <w:vAlign w:val="center"/>
            <w:hideMark/>
          </w:tcPr>
          <w:p w14:paraId="16EB71C0"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At 31 March 2023</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177956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1,094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3ACB67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15,971 </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3E1BA3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59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5B1C3E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17,124 </w:t>
            </w:r>
          </w:p>
        </w:tc>
      </w:tr>
      <w:tr w:rsidR="00560745" w14:paraId="105A2324" w14:textId="77777777" w:rsidTr="00D611D6">
        <w:trPr>
          <w:trHeight w:val="321"/>
        </w:trPr>
        <w:tc>
          <w:tcPr>
            <w:tcW w:w="3402" w:type="dxa"/>
            <w:noWrap/>
            <w:tcMar>
              <w:top w:w="15" w:type="dxa"/>
              <w:left w:w="108" w:type="dxa"/>
              <w:bottom w:w="0" w:type="dxa"/>
              <w:right w:w="108" w:type="dxa"/>
            </w:tcMar>
            <w:vAlign w:val="bottom"/>
            <w:hideMark/>
          </w:tcPr>
          <w:p w14:paraId="5B24A343"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2798358E" w14:textId="77777777" w:rsidR="00560745" w:rsidRDefault="00560745">
            <w:pPr>
              <w:spacing w:after="0"/>
              <w:rPr>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154B57DD"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06767382"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0939FAE0" w14:textId="77777777" w:rsidR="00560745" w:rsidRDefault="00560745">
            <w:pPr>
              <w:spacing w:after="0"/>
              <w:rPr>
                <w:kern w:val="0"/>
                <w:sz w:val="20"/>
                <w:szCs w:val="20"/>
                <w:lang w:eastAsia="en-GB"/>
                <w14:ligatures w14:val="none"/>
              </w:rPr>
            </w:pPr>
          </w:p>
        </w:tc>
      </w:tr>
      <w:tr w:rsidR="00560745" w14:paraId="720CF20B" w14:textId="77777777" w:rsidTr="00D611D6">
        <w:trPr>
          <w:trHeight w:val="315"/>
        </w:trPr>
        <w:tc>
          <w:tcPr>
            <w:tcW w:w="3402" w:type="dxa"/>
            <w:noWrap/>
            <w:tcMar>
              <w:top w:w="15" w:type="dxa"/>
              <w:left w:w="108" w:type="dxa"/>
              <w:bottom w:w="0" w:type="dxa"/>
              <w:right w:w="108" w:type="dxa"/>
            </w:tcMar>
            <w:vAlign w:val="bottom"/>
            <w:hideMark/>
          </w:tcPr>
          <w:p w14:paraId="2331461C"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Amortisation</w:t>
            </w:r>
          </w:p>
        </w:tc>
        <w:tc>
          <w:tcPr>
            <w:tcW w:w="1418" w:type="dxa"/>
            <w:noWrap/>
            <w:tcMar>
              <w:top w:w="15" w:type="dxa"/>
              <w:left w:w="108" w:type="dxa"/>
              <w:bottom w:w="0" w:type="dxa"/>
              <w:right w:w="108" w:type="dxa"/>
            </w:tcMar>
            <w:vAlign w:val="bottom"/>
            <w:hideMark/>
          </w:tcPr>
          <w:p w14:paraId="345B5F30"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305F8510"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5B807B5F"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6B09CD11" w14:textId="77777777" w:rsidR="00560745" w:rsidRDefault="00560745">
            <w:pPr>
              <w:spacing w:after="0"/>
              <w:rPr>
                <w:kern w:val="0"/>
                <w:sz w:val="20"/>
                <w:szCs w:val="20"/>
                <w:lang w:eastAsia="en-GB"/>
                <w14:ligatures w14:val="none"/>
              </w:rPr>
            </w:pPr>
          </w:p>
        </w:tc>
      </w:tr>
      <w:tr w:rsidR="00560745" w14:paraId="177A21A3" w14:textId="77777777" w:rsidTr="00D611D6">
        <w:trPr>
          <w:trHeight w:val="315"/>
        </w:trPr>
        <w:tc>
          <w:tcPr>
            <w:tcW w:w="3402" w:type="dxa"/>
            <w:noWrap/>
            <w:tcMar>
              <w:top w:w="15" w:type="dxa"/>
              <w:left w:w="108" w:type="dxa"/>
              <w:bottom w:w="0" w:type="dxa"/>
              <w:right w:w="108" w:type="dxa"/>
            </w:tcMar>
            <w:vAlign w:val="bottom"/>
            <w:hideMark/>
          </w:tcPr>
          <w:p w14:paraId="44718B3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At 1 April 2022</w:t>
            </w:r>
          </w:p>
        </w:tc>
        <w:tc>
          <w:tcPr>
            <w:tcW w:w="1418" w:type="dxa"/>
            <w:noWrap/>
            <w:tcMar>
              <w:top w:w="15" w:type="dxa"/>
              <w:left w:w="108" w:type="dxa"/>
              <w:bottom w:w="0" w:type="dxa"/>
              <w:right w:w="108" w:type="dxa"/>
            </w:tcMar>
            <w:vAlign w:val="bottom"/>
            <w:hideMark/>
          </w:tcPr>
          <w:p w14:paraId="52F5940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366 </w:t>
            </w:r>
          </w:p>
        </w:tc>
        <w:tc>
          <w:tcPr>
            <w:tcW w:w="1417" w:type="dxa"/>
            <w:noWrap/>
            <w:tcMar>
              <w:top w:w="15" w:type="dxa"/>
              <w:left w:w="108" w:type="dxa"/>
              <w:bottom w:w="0" w:type="dxa"/>
              <w:right w:w="108" w:type="dxa"/>
            </w:tcMar>
            <w:vAlign w:val="bottom"/>
            <w:hideMark/>
          </w:tcPr>
          <w:p w14:paraId="323C46A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13,397 </w:t>
            </w:r>
          </w:p>
        </w:tc>
        <w:tc>
          <w:tcPr>
            <w:tcW w:w="1418" w:type="dxa"/>
            <w:noWrap/>
            <w:tcMar>
              <w:top w:w="15" w:type="dxa"/>
              <w:left w:w="108" w:type="dxa"/>
              <w:bottom w:w="0" w:type="dxa"/>
              <w:right w:w="108" w:type="dxa"/>
            </w:tcMar>
            <w:vAlign w:val="bottom"/>
            <w:hideMark/>
          </w:tcPr>
          <w:p w14:paraId="4D6F4F6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4246215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13,763 </w:t>
            </w:r>
          </w:p>
        </w:tc>
      </w:tr>
      <w:tr w:rsidR="00560745" w14:paraId="75786FDB" w14:textId="77777777" w:rsidTr="00D611D6">
        <w:trPr>
          <w:trHeight w:val="315"/>
        </w:trPr>
        <w:tc>
          <w:tcPr>
            <w:tcW w:w="3402" w:type="dxa"/>
            <w:noWrap/>
            <w:tcMar>
              <w:top w:w="15" w:type="dxa"/>
              <w:left w:w="108" w:type="dxa"/>
              <w:bottom w:w="0" w:type="dxa"/>
              <w:right w:w="108" w:type="dxa"/>
            </w:tcMar>
            <w:vAlign w:val="bottom"/>
            <w:hideMark/>
          </w:tcPr>
          <w:p w14:paraId="3193CD4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Charged in year</w:t>
            </w:r>
          </w:p>
        </w:tc>
        <w:tc>
          <w:tcPr>
            <w:tcW w:w="1418" w:type="dxa"/>
            <w:noWrap/>
            <w:tcMar>
              <w:top w:w="15" w:type="dxa"/>
              <w:left w:w="108" w:type="dxa"/>
              <w:bottom w:w="0" w:type="dxa"/>
              <w:right w:w="108" w:type="dxa"/>
            </w:tcMar>
            <w:vAlign w:val="bottom"/>
            <w:hideMark/>
          </w:tcPr>
          <w:p w14:paraId="0E363E3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437 </w:t>
            </w:r>
          </w:p>
        </w:tc>
        <w:tc>
          <w:tcPr>
            <w:tcW w:w="1417" w:type="dxa"/>
            <w:noWrap/>
            <w:tcMar>
              <w:top w:w="15" w:type="dxa"/>
              <w:left w:w="108" w:type="dxa"/>
              <w:bottom w:w="0" w:type="dxa"/>
              <w:right w:w="108" w:type="dxa"/>
            </w:tcMar>
            <w:vAlign w:val="bottom"/>
            <w:hideMark/>
          </w:tcPr>
          <w:p w14:paraId="51FE54C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666 </w:t>
            </w:r>
          </w:p>
        </w:tc>
        <w:tc>
          <w:tcPr>
            <w:tcW w:w="1418" w:type="dxa"/>
            <w:noWrap/>
            <w:tcMar>
              <w:top w:w="15" w:type="dxa"/>
              <w:left w:w="108" w:type="dxa"/>
              <w:bottom w:w="0" w:type="dxa"/>
              <w:right w:w="108" w:type="dxa"/>
            </w:tcMar>
            <w:vAlign w:val="bottom"/>
            <w:hideMark/>
          </w:tcPr>
          <w:p w14:paraId="2507D72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38D599C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1,103 </w:t>
            </w:r>
          </w:p>
        </w:tc>
      </w:tr>
      <w:tr w:rsidR="00560745" w14:paraId="455CA7E0" w14:textId="77777777" w:rsidTr="00D611D6">
        <w:trPr>
          <w:trHeight w:val="315"/>
        </w:trPr>
        <w:tc>
          <w:tcPr>
            <w:tcW w:w="3402" w:type="dxa"/>
            <w:noWrap/>
            <w:tcMar>
              <w:top w:w="15" w:type="dxa"/>
              <w:left w:w="108" w:type="dxa"/>
              <w:bottom w:w="0" w:type="dxa"/>
              <w:right w:w="108" w:type="dxa"/>
            </w:tcMar>
            <w:vAlign w:val="center"/>
            <w:hideMark/>
          </w:tcPr>
          <w:p w14:paraId="3B438206"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At 31 March 2023</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7DFEAC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803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43FDDB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14,063 </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12A93F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97C6C8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14,866 </w:t>
            </w:r>
          </w:p>
        </w:tc>
      </w:tr>
      <w:tr w:rsidR="00560745" w14:paraId="148FC9AC" w14:textId="77777777" w:rsidTr="00D611D6">
        <w:trPr>
          <w:trHeight w:val="315"/>
        </w:trPr>
        <w:tc>
          <w:tcPr>
            <w:tcW w:w="3402" w:type="dxa"/>
            <w:noWrap/>
            <w:tcMar>
              <w:top w:w="15" w:type="dxa"/>
              <w:left w:w="108" w:type="dxa"/>
              <w:bottom w:w="0" w:type="dxa"/>
              <w:right w:w="108" w:type="dxa"/>
            </w:tcMar>
            <w:vAlign w:val="bottom"/>
            <w:hideMark/>
          </w:tcPr>
          <w:p w14:paraId="52FB2361"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07891B6E" w14:textId="77777777" w:rsidR="00560745" w:rsidRDefault="00560745">
            <w:pPr>
              <w:spacing w:after="0"/>
              <w:rPr>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31EE009C"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129A3C9D"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421401A4" w14:textId="77777777" w:rsidR="00560745" w:rsidRDefault="00560745">
            <w:pPr>
              <w:spacing w:after="0"/>
              <w:rPr>
                <w:kern w:val="0"/>
                <w:sz w:val="20"/>
                <w:szCs w:val="20"/>
                <w:lang w:eastAsia="en-GB"/>
                <w14:ligatures w14:val="none"/>
              </w:rPr>
            </w:pPr>
          </w:p>
        </w:tc>
      </w:tr>
      <w:tr w:rsidR="00560745" w14:paraId="5D033386" w14:textId="77777777" w:rsidTr="00D611D6">
        <w:trPr>
          <w:trHeight w:val="315"/>
        </w:trPr>
        <w:tc>
          <w:tcPr>
            <w:tcW w:w="3402" w:type="dxa"/>
            <w:noWrap/>
            <w:tcMar>
              <w:top w:w="15" w:type="dxa"/>
              <w:left w:w="108" w:type="dxa"/>
              <w:bottom w:w="0" w:type="dxa"/>
              <w:right w:w="108" w:type="dxa"/>
            </w:tcMar>
            <w:vAlign w:val="bottom"/>
            <w:hideMark/>
          </w:tcPr>
          <w:p w14:paraId="714056F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Carrying value at 31 March 2023</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C55A5B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291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CC4135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1,908 </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9259AC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59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2AEF53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2,258 </w:t>
            </w:r>
          </w:p>
        </w:tc>
      </w:tr>
      <w:tr w:rsidR="00560745" w14:paraId="71CC9B80" w14:textId="77777777" w:rsidTr="00D611D6">
        <w:trPr>
          <w:trHeight w:val="315"/>
        </w:trPr>
        <w:tc>
          <w:tcPr>
            <w:tcW w:w="3402" w:type="dxa"/>
            <w:noWrap/>
            <w:tcMar>
              <w:top w:w="15" w:type="dxa"/>
              <w:left w:w="108" w:type="dxa"/>
              <w:bottom w:w="0" w:type="dxa"/>
              <w:right w:w="108" w:type="dxa"/>
            </w:tcMar>
            <w:vAlign w:val="bottom"/>
            <w:hideMark/>
          </w:tcPr>
          <w:p w14:paraId="4B41B93A"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336BD4BE" w14:textId="77777777" w:rsidR="00560745" w:rsidRDefault="00560745">
            <w:pPr>
              <w:spacing w:after="0"/>
              <w:rPr>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4ACD3B5D"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3E6B3D6C"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33201B85" w14:textId="77777777" w:rsidR="00560745" w:rsidRDefault="00560745">
            <w:pPr>
              <w:spacing w:after="0"/>
              <w:rPr>
                <w:kern w:val="0"/>
                <w:sz w:val="20"/>
                <w:szCs w:val="20"/>
                <w:lang w:eastAsia="en-GB"/>
                <w14:ligatures w14:val="none"/>
              </w:rPr>
            </w:pPr>
          </w:p>
        </w:tc>
      </w:tr>
      <w:tr w:rsidR="00560745" w14:paraId="4FEB193A" w14:textId="77777777" w:rsidTr="00D611D6">
        <w:trPr>
          <w:trHeight w:val="127"/>
        </w:trPr>
        <w:tc>
          <w:tcPr>
            <w:tcW w:w="3402" w:type="dxa"/>
            <w:noWrap/>
            <w:tcMar>
              <w:top w:w="15" w:type="dxa"/>
              <w:left w:w="108" w:type="dxa"/>
              <w:bottom w:w="0" w:type="dxa"/>
              <w:right w:w="108" w:type="dxa"/>
            </w:tcMar>
            <w:vAlign w:val="bottom"/>
            <w:hideMark/>
          </w:tcPr>
          <w:p w14:paraId="45DBC0F0"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Asset financing:</w:t>
            </w:r>
          </w:p>
        </w:tc>
        <w:tc>
          <w:tcPr>
            <w:tcW w:w="1418" w:type="dxa"/>
            <w:noWrap/>
            <w:tcMar>
              <w:top w:w="15" w:type="dxa"/>
              <w:left w:w="108" w:type="dxa"/>
              <w:bottom w:w="0" w:type="dxa"/>
              <w:right w:w="108" w:type="dxa"/>
            </w:tcMar>
            <w:vAlign w:val="bottom"/>
            <w:hideMark/>
          </w:tcPr>
          <w:p w14:paraId="1A859B25"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129D99C2"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43206D9C"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4E19D41C" w14:textId="77777777" w:rsidR="00560745" w:rsidRDefault="00560745">
            <w:pPr>
              <w:spacing w:after="0"/>
              <w:rPr>
                <w:kern w:val="0"/>
                <w:sz w:val="20"/>
                <w:szCs w:val="20"/>
                <w:lang w:eastAsia="en-GB"/>
                <w14:ligatures w14:val="none"/>
              </w:rPr>
            </w:pPr>
          </w:p>
        </w:tc>
      </w:tr>
      <w:tr w:rsidR="00560745" w14:paraId="5BC133D8" w14:textId="77777777" w:rsidTr="00D611D6">
        <w:trPr>
          <w:trHeight w:val="159"/>
        </w:trPr>
        <w:tc>
          <w:tcPr>
            <w:tcW w:w="3402" w:type="dxa"/>
            <w:noWrap/>
            <w:tcMar>
              <w:top w:w="15" w:type="dxa"/>
              <w:left w:w="108" w:type="dxa"/>
              <w:bottom w:w="0" w:type="dxa"/>
              <w:right w:w="108" w:type="dxa"/>
            </w:tcMar>
            <w:vAlign w:val="bottom"/>
            <w:hideMark/>
          </w:tcPr>
          <w:p w14:paraId="1D4836C9"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Owned</w:t>
            </w:r>
          </w:p>
        </w:tc>
        <w:tc>
          <w:tcPr>
            <w:tcW w:w="1418" w:type="dxa"/>
            <w:noWrap/>
            <w:tcMar>
              <w:top w:w="15" w:type="dxa"/>
              <w:left w:w="108" w:type="dxa"/>
              <w:bottom w:w="0" w:type="dxa"/>
              <w:right w:w="108" w:type="dxa"/>
            </w:tcMar>
            <w:vAlign w:val="bottom"/>
            <w:hideMark/>
          </w:tcPr>
          <w:p w14:paraId="766A6C9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291 </w:t>
            </w:r>
          </w:p>
        </w:tc>
        <w:tc>
          <w:tcPr>
            <w:tcW w:w="1417" w:type="dxa"/>
            <w:noWrap/>
            <w:tcMar>
              <w:top w:w="15" w:type="dxa"/>
              <w:left w:w="108" w:type="dxa"/>
              <w:bottom w:w="0" w:type="dxa"/>
              <w:right w:w="108" w:type="dxa"/>
            </w:tcMar>
            <w:vAlign w:val="bottom"/>
            <w:hideMark/>
          </w:tcPr>
          <w:p w14:paraId="6BD5108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1,908 </w:t>
            </w:r>
          </w:p>
        </w:tc>
        <w:tc>
          <w:tcPr>
            <w:tcW w:w="1418" w:type="dxa"/>
            <w:noWrap/>
            <w:tcMar>
              <w:top w:w="15" w:type="dxa"/>
              <w:left w:w="108" w:type="dxa"/>
              <w:bottom w:w="0" w:type="dxa"/>
              <w:right w:w="108" w:type="dxa"/>
            </w:tcMar>
            <w:vAlign w:val="bottom"/>
            <w:hideMark/>
          </w:tcPr>
          <w:p w14:paraId="67E8216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59 </w:t>
            </w:r>
          </w:p>
        </w:tc>
        <w:tc>
          <w:tcPr>
            <w:tcW w:w="1276" w:type="dxa"/>
            <w:noWrap/>
            <w:tcMar>
              <w:top w:w="15" w:type="dxa"/>
              <w:left w:w="108" w:type="dxa"/>
              <w:bottom w:w="0" w:type="dxa"/>
              <w:right w:w="108" w:type="dxa"/>
            </w:tcMar>
            <w:vAlign w:val="bottom"/>
            <w:hideMark/>
          </w:tcPr>
          <w:p w14:paraId="4F571B5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2,258 </w:t>
            </w:r>
          </w:p>
        </w:tc>
      </w:tr>
      <w:tr w:rsidR="00560745" w14:paraId="34E19CFA" w14:textId="77777777" w:rsidTr="00D611D6">
        <w:trPr>
          <w:trHeight w:val="167"/>
        </w:trPr>
        <w:tc>
          <w:tcPr>
            <w:tcW w:w="3402" w:type="dxa"/>
            <w:noWrap/>
            <w:tcMar>
              <w:top w:w="15" w:type="dxa"/>
              <w:left w:w="108" w:type="dxa"/>
              <w:bottom w:w="0" w:type="dxa"/>
              <w:right w:w="108" w:type="dxa"/>
            </w:tcMar>
            <w:vAlign w:val="bottom"/>
            <w:hideMark/>
          </w:tcPr>
          <w:p w14:paraId="6DF12B8E"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Carrying value at 31 March 2023</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820D60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291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EBEC21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1,908 </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7291BD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59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F1DCA2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2,258 </w:t>
            </w:r>
          </w:p>
        </w:tc>
      </w:tr>
    </w:tbl>
    <w:p w14:paraId="4E4FF611" w14:textId="77777777" w:rsidR="00560745" w:rsidRDefault="00560745" w:rsidP="00560745">
      <w:pPr>
        <w:rPr>
          <w:rFonts w:ascii="Arial" w:hAnsi="Arial" w:cs="Arial"/>
          <w:sz w:val="24"/>
          <w:szCs w:val="24"/>
        </w:rPr>
      </w:pPr>
    </w:p>
    <w:tbl>
      <w:tblPr>
        <w:tblW w:w="8925" w:type="dxa"/>
        <w:tblLayout w:type="fixed"/>
        <w:tblLook w:val="04A0" w:firstRow="1" w:lastRow="0" w:firstColumn="1" w:lastColumn="0" w:noHBand="0" w:noVBand="1"/>
      </w:tblPr>
      <w:tblGrid>
        <w:gridCol w:w="567"/>
        <w:gridCol w:w="8358"/>
      </w:tblGrid>
      <w:tr w:rsidR="00560745" w14:paraId="6430A121" w14:textId="77777777" w:rsidTr="00FB624B">
        <w:trPr>
          <w:trHeight w:val="310"/>
        </w:trPr>
        <w:tc>
          <w:tcPr>
            <w:tcW w:w="567" w:type="dxa"/>
            <w:tcMar>
              <w:top w:w="15" w:type="dxa"/>
              <w:left w:w="108" w:type="dxa"/>
              <w:bottom w:w="0" w:type="dxa"/>
              <w:right w:w="108" w:type="dxa"/>
            </w:tcMar>
            <w:vAlign w:val="bottom"/>
            <w:hideMark/>
          </w:tcPr>
          <w:p w14:paraId="6C9FBC72" w14:textId="77777777" w:rsidR="00560745" w:rsidRPr="009E6123" w:rsidRDefault="00560745">
            <w:pPr>
              <w:spacing w:after="0" w:line="240" w:lineRule="auto"/>
              <w:ind w:firstLineChars="12" w:firstLine="29"/>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8</w:t>
            </w:r>
          </w:p>
        </w:tc>
        <w:tc>
          <w:tcPr>
            <w:tcW w:w="8358" w:type="dxa"/>
            <w:noWrap/>
            <w:tcMar>
              <w:top w:w="15" w:type="dxa"/>
              <w:left w:w="108" w:type="dxa"/>
              <w:bottom w:w="0" w:type="dxa"/>
              <w:right w:w="108" w:type="dxa"/>
            </w:tcMar>
            <w:vAlign w:val="bottom"/>
            <w:hideMark/>
          </w:tcPr>
          <w:p w14:paraId="470D4C30" w14:textId="77777777"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Financial instruments</w:t>
            </w:r>
          </w:p>
        </w:tc>
      </w:tr>
      <w:tr w:rsidR="002D4D9E" w14:paraId="72E3475B" w14:textId="77777777" w:rsidTr="00D72ABB">
        <w:trPr>
          <w:trHeight w:val="5841"/>
        </w:trPr>
        <w:tc>
          <w:tcPr>
            <w:tcW w:w="8925" w:type="dxa"/>
            <w:gridSpan w:val="2"/>
            <w:tcMar>
              <w:top w:w="15" w:type="dxa"/>
              <w:left w:w="108" w:type="dxa"/>
              <w:bottom w:w="0" w:type="dxa"/>
              <w:right w:w="108" w:type="dxa"/>
            </w:tcMar>
            <w:hideMark/>
          </w:tcPr>
          <w:p w14:paraId="50E11BB1" w14:textId="7D4A3066"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The Agency has classified its case administration fee receivables and RPS receivables as financial assets within the scope of IFRS 9 Financial Instruments.</w:t>
            </w:r>
            <w:r>
              <w:rPr>
                <w:rFonts w:ascii="Arial" w:eastAsia="Times New Roman" w:hAnsi="Arial" w:cs="Arial"/>
                <w:kern w:val="0"/>
                <w:sz w:val="24"/>
                <w:szCs w:val="24"/>
                <w:lang w:eastAsia="en-GB"/>
                <w14:ligatures w14:val="none"/>
              </w:rPr>
              <w:br/>
            </w:r>
          </w:p>
          <w:p w14:paraId="68DFD503" w14:textId="222FAF25"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The majority of case administration fees are recovered over a period of 6 years, but a small proportion will be recovered beyond 6 years, as the recoveries can only be made when assets are realised in an insolvent estate.</w:t>
            </w:r>
            <w:r>
              <w:rPr>
                <w:rFonts w:ascii="Arial" w:eastAsia="Times New Roman" w:hAnsi="Arial" w:cs="Arial"/>
                <w:kern w:val="0"/>
                <w:sz w:val="24"/>
                <w:szCs w:val="24"/>
                <w:lang w:eastAsia="en-GB"/>
                <w14:ligatures w14:val="none"/>
              </w:rPr>
              <w:br/>
            </w:r>
          </w:p>
          <w:p w14:paraId="6DFBC5AE" w14:textId="1A5EDC1C"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Due to the nature of RPS receivables, the vast majority is not actually recovered. RPS recoveries are also dependant on assets realised from insolvencies, hence any actual recoveries are achieved over many years. While these receivables appear to play a significant medium to long-term role in the financial risk profile of the Agency, any losses, including inflation rate risks, are underwritten by the National Insurance Fund (See Note 16).</w:t>
            </w:r>
            <w:r>
              <w:rPr>
                <w:rFonts w:ascii="Arial" w:eastAsia="Times New Roman" w:hAnsi="Arial" w:cs="Arial"/>
                <w:kern w:val="0"/>
                <w:sz w:val="24"/>
                <w:szCs w:val="24"/>
                <w:lang w:eastAsia="en-GB"/>
                <w14:ligatures w14:val="none"/>
              </w:rPr>
              <w:br/>
            </w:r>
          </w:p>
          <w:p w14:paraId="49F26396" w14:textId="6EDB8C22"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The cash requirements of the Agency are met through the government annual estimates process. Most financial instruments relate to contracts to buy non-financial items in line with the Agency’s expected purchase and usage requirements and the Agency has therefore minimised exposure to credit, liquidity or market risks.</w:t>
            </w:r>
          </w:p>
        </w:tc>
      </w:tr>
    </w:tbl>
    <w:p w14:paraId="4E282C4B" w14:textId="77777777" w:rsidR="00FB624B" w:rsidRDefault="00FB624B">
      <w:r>
        <w:br w:type="page"/>
      </w:r>
    </w:p>
    <w:tbl>
      <w:tblPr>
        <w:tblW w:w="8931" w:type="dxa"/>
        <w:tblLayout w:type="fixed"/>
        <w:tblLook w:val="04A0" w:firstRow="1" w:lastRow="0" w:firstColumn="1" w:lastColumn="0" w:noHBand="0" w:noVBand="1"/>
      </w:tblPr>
      <w:tblGrid>
        <w:gridCol w:w="8931"/>
      </w:tblGrid>
      <w:tr w:rsidR="002D4D9E" w14:paraId="16BD5BD9" w14:textId="77777777" w:rsidTr="002D4D9E">
        <w:trPr>
          <w:trHeight w:val="1095"/>
        </w:trPr>
        <w:tc>
          <w:tcPr>
            <w:tcW w:w="8931" w:type="dxa"/>
            <w:tcMar>
              <w:top w:w="15" w:type="dxa"/>
              <w:left w:w="108" w:type="dxa"/>
              <w:bottom w:w="0" w:type="dxa"/>
              <w:right w:w="108" w:type="dxa"/>
            </w:tcMar>
            <w:hideMark/>
          </w:tcPr>
          <w:p w14:paraId="764D8391" w14:textId="77777777"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lastRenderedPageBreak/>
              <w:t>Financial instruments play a more limited role in creating and managing risk than would apply to a non-public sector body. The value of a financial instrument will fluctuate due to changes in market interest rates. The Agency discounts its financial assets at the nominal rate determined by HM Treasury for financial assets, currently 2.1% (2022-23: 1.9%). Accounting estimates and judgements regarding the recoverability of receivables are disclosed within Note 2.</w:t>
            </w:r>
          </w:p>
        </w:tc>
      </w:tr>
    </w:tbl>
    <w:p w14:paraId="6A8F6D81" w14:textId="76380C57" w:rsidR="00DD7DEB" w:rsidRDefault="00DD7DEB"/>
    <w:tbl>
      <w:tblPr>
        <w:tblW w:w="8931" w:type="dxa"/>
        <w:tblLayout w:type="fixed"/>
        <w:tblLook w:val="04A0" w:firstRow="1" w:lastRow="0" w:firstColumn="1" w:lastColumn="0" w:noHBand="0" w:noVBand="1"/>
      </w:tblPr>
      <w:tblGrid>
        <w:gridCol w:w="567"/>
        <w:gridCol w:w="5809"/>
        <w:gridCol w:w="1279"/>
        <w:gridCol w:w="1276"/>
      </w:tblGrid>
      <w:tr w:rsidR="00560745" w14:paraId="345D94CB" w14:textId="77777777" w:rsidTr="00A56C6C">
        <w:trPr>
          <w:trHeight w:val="315"/>
        </w:trPr>
        <w:tc>
          <w:tcPr>
            <w:tcW w:w="567" w:type="dxa"/>
            <w:tcMar>
              <w:top w:w="15" w:type="dxa"/>
              <w:left w:w="108" w:type="dxa"/>
              <w:bottom w:w="0" w:type="dxa"/>
              <w:right w:w="108" w:type="dxa"/>
            </w:tcMar>
            <w:vAlign w:val="bottom"/>
            <w:hideMark/>
          </w:tcPr>
          <w:p w14:paraId="3C60F6FE" w14:textId="73DFC4D7" w:rsidR="00560745" w:rsidRPr="00AA2610" w:rsidRDefault="00560745">
            <w:pPr>
              <w:spacing w:after="0" w:line="240" w:lineRule="auto"/>
              <w:ind w:firstLineChars="12" w:firstLine="29"/>
              <w:rPr>
                <w:rFonts w:ascii="Arial" w:eastAsia="Times New Roman" w:hAnsi="Arial" w:cs="Arial"/>
                <w:b/>
                <w:kern w:val="0"/>
                <w:sz w:val="24"/>
                <w:szCs w:val="24"/>
                <w:lang w:eastAsia="en-GB"/>
                <w14:ligatures w14:val="none"/>
              </w:rPr>
            </w:pPr>
            <w:r w:rsidRPr="00AA2610">
              <w:rPr>
                <w:rFonts w:ascii="Arial" w:eastAsia="Times New Roman" w:hAnsi="Arial" w:cs="Arial"/>
                <w:b/>
                <w:kern w:val="0"/>
                <w:sz w:val="24"/>
                <w:szCs w:val="24"/>
                <w:lang w:eastAsia="en-GB"/>
                <w14:ligatures w14:val="none"/>
              </w:rPr>
              <w:t>9</w:t>
            </w:r>
          </w:p>
        </w:tc>
        <w:tc>
          <w:tcPr>
            <w:tcW w:w="5809" w:type="dxa"/>
            <w:noWrap/>
            <w:tcMar>
              <w:top w:w="15" w:type="dxa"/>
              <w:left w:w="108" w:type="dxa"/>
              <w:bottom w:w="0" w:type="dxa"/>
              <w:right w:w="108" w:type="dxa"/>
            </w:tcMar>
            <w:vAlign w:val="bottom"/>
            <w:hideMark/>
          </w:tcPr>
          <w:p w14:paraId="6EF0481C" w14:textId="77777777" w:rsidR="00560745" w:rsidRPr="00AA2610" w:rsidRDefault="00560745">
            <w:pPr>
              <w:spacing w:after="0" w:line="240" w:lineRule="auto"/>
              <w:rPr>
                <w:rFonts w:ascii="Arial" w:eastAsia="Times New Roman" w:hAnsi="Arial" w:cs="Arial"/>
                <w:b/>
                <w:kern w:val="0"/>
                <w:sz w:val="24"/>
                <w:szCs w:val="24"/>
                <w:lang w:eastAsia="en-GB"/>
                <w14:ligatures w14:val="none"/>
              </w:rPr>
            </w:pPr>
            <w:r w:rsidRPr="00AA2610">
              <w:rPr>
                <w:rFonts w:ascii="Arial" w:eastAsia="Times New Roman" w:hAnsi="Arial" w:cs="Arial"/>
                <w:b/>
                <w:kern w:val="0"/>
                <w:sz w:val="24"/>
                <w:szCs w:val="24"/>
                <w:lang w:eastAsia="en-GB"/>
                <w14:ligatures w14:val="none"/>
              </w:rPr>
              <w:t>Trade receivables, financial and other assets</w:t>
            </w:r>
          </w:p>
        </w:tc>
        <w:tc>
          <w:tcPr>
            <w:tcW w:w="2555" w:type="dxa"/>
            <w:gridSpan w:val="2"/>
            <w:tcMar>
              <w:top w:w="15" w:type="dxa"/>
              <w:left w:w="108" w:type="dxa"/>
              <w:bottom w:w="0" w:type="dxa"/>
              <w:right w:w="108" w:type="dxa"/>
            </w:tcMar>
            <w:vAlign w:val="center"/>
            <w:hideMark/>
          </w:tcPr>
          <w:p w14:paraId="130B5236" w14:textId="77777777" w:rsidR="00560745" w:rsidRDefault="00560745">
            <w:pPr>
              <w:rPr>
                <w:rFonts w:eastAsia="Times New Roman"/>
                <w:b/>
                <w:bCs/>
                <w:kern w:val="0"/>
                <w:lang w:eastAsia="en-GB"/>
                <w14:ligatures w14:val="none"/>
              </w:rPr>
            </w:pPr>
          </w:p>
        </w:tc>
      </w:tr>
      <w:tr w:rsidR="00560745" w14:paraId="5E3390AC" w14:textId="77777777" w:rsidTr="000929E3">
        <w:trPr>
          <w:trHeight w:val="310"/>
        </w:trPr>
        <w:tc>
          <w:tcPr>
            <w:tcW w:w="6376" w:type="dxa"/>
            <w:gridSpan w:val="2"/>
            <w:noWrap/>
            <w:tcMar>
              <w:top w:w="15" w:type="dxa"/>
              <w:left w:w="108" w:type="dxa"/>
              <w:bottom w:w="0" w:type="dxa"/>
              <w:right w:w="108" w:type="dxa"/>
            </w:tcMar>
            <w:vAlign w:val="bottom"/>
            <w:hideMark/>
          </w:tcPr>
          <w:p w14:paraId="062FAD29"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6E12A44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276" w:type="dxa"/>
            <w:noWrap/>
            <w:tcMar>
              <w:top w:w="15" w:type="dxa"/>
              <w:left w:w="108" w:type="dxa"/>
              <w:bottom w:w="0" w:type="dxa"/>
              <w:right w:w="108" w:type="dxa"/>
            </w:tcMar>
            <w:vAlign w:val="bottom"/>
            <w:hideMark/>
          </w:tcPr>
          <w:p w14:paraId="5C3451D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560745" w14:paraId="73AA8273" w14:textId="77777777" w:rsidTr="000929E3">
        <w:trPr>
          <w:trHeight w:val="320"/>
        </w:trPr>
        <w:tc>
          <w:tcPr>
            <w:tcW w:w="6376" w:type="dxa"/>
            <w:gridSpan w:val="2"/>
            <w:noWrap/>
            <w:tcMar>
              <w:top w:w="15" w:type="dxa"/>
              <w:left w:w="108" w:type="dxa"/>
              <w:bottom w:w="0" w:type="dxa"/>
              <w:right w:w="108" w:type="dxa"/>
            </w:tcMar>
            <w:vAlign w:val="bottom"/>
            <w:hideMark/>
          </w:tcPr>
          <w:p w14:paraId="2CA78693" w14:textId="77777777" w:rsidR="00560745" w:rsidRDefault="00560745">
            <w:pPr>
              <w:spacing w:after="0"/>
              <w:rPr>
                <w:kern w:val="0"/>
                <w:sz w:val="20"/>
                <w:szCs w:val="20"/>
                <w:lang w:eastAsia="en-GB"/>
                <w14:ligatures w14:val="none"/>
              </w:rPr>
            </w:pPr>
          </w:p>
        </w:tc>
        <w:tc>
          <w:tcPr>
            <w:tcW w:w="1279" w:type="dxa"/>
            <w:tcBorders>
              <w:top w:val="nil"/>
              <w:left w:val="nil"/>
              <w:bottom w:val="single" w:sz="8" w:space="0" w:color="auto"/>
              <w:right w:val="nil"/>
            </w:tcBorders>
            <w:noWrap/>
            <w:tcMar>
              <w:top w:w="15" w:type="dxa"/>
              <w:left w:w="108" w:type="dxa"/>
              <w:bottom w:w="0" w:type="dxa"/>
              <w:right w:w="108" w:type="dxa"/>
            </w:tcMar>
            <w:vAlign w:val="bottom"/>
            <w:hideMark/>
          </w:tcPr>
          <w:p w14:paraId="31E2819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276" w:type="dxa"/>
            <w:tcBorders>
              <w:top w:val="nil"/>
              <w:left w:val="nil"/>
              <w:bottom w:val="single" w:sz="8" w:space="0" w:color="auto"/>
              <w:right w:val="nil"/>
            </w:tcBorders>
            <w:noWrap/>
            <w:tcMar>
              <w:top w:w="15" w:type="dxa"/>
              <w:left w:w="108" w:type="dxa"/>
              <w:bottom w:w="0" w:type="dxa"/>
              <w:right w:w="108" w:type="dxa"/>
            </w:tcMar>
            <w:vAlign w:val="bottom"/>
            <w:hideMark/>
          </w:tcPr>
          <w:p w14:paraId="5992E6B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007429CA" w14:textId="77777777" w:rsidTr="000929E3">
        <w:trPr>
          <w:trHeight w:val="310"/>
        </w:trPr>
        <w:tc>
          <w:tcPr>
            <w:tcW w:w="6376" w:type="dxa"/>
            <w:gridSpan w:val="2"/>
            <w:noWrap/>
            <w:tcMar>
              <w:top w:w="15" w:type="dxa"/>
              <w:left w:w="108" w:type="dxa"/>
              <w:bottom w:w="0" w:type="dxa"/>
              <w:right w:w="108" w:type="dxa"/>
            </w:tcMar>
            <w:vAlign w:val="center"/>
            <w:hideMark/>
          </w:tcPr>
          <w:p w14:paraId="2254154F"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Amounts falling due within one year:</w:t>
            </w:r>
          </w:p>
        </w:tc>
        <w:tc>
          <w:tcPr>
            <w:tcW w:w="1279" w:type="dxa"/>
            <w:noWrap/>
            <w:tcMar>
              <w:top w:w="15" w:type="dxa"/>
              <w:left w:w="108" w:type="dxa"/>
              <w:bottom w:w="0" w:type="dxa"/>
              <w:right w:w="108" w:type="dxa"/>
            </w:tcMar>
            <w:vAlign w:val="bottom"/>
            <w:hideMark/>
          </w:tcPr>
          <w:p w14:paraId="0EC24840"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4E5A7CD7" w14:textId="77777777" w:rsidR="00560745" w:rsidRDefault="00560745">
            <w:pPr>
              <w:spacing w:after="0"/>
              <w:rPr>
                <w:kern w:val="0"/>
                <w:sz w:val="20"/>
                <w:szCs w:val="20"/>
                <w:lang w:eastAsia="en-GB"/>
                <w14:ligatures w14:val="none"/>
              </w:rPr>
            </w:pPr>
          </w:p>
        </w:tc>
      </w:tr>
      <w:tr w:rsidR="00560745" w14:paraId="22C6F6DF" w14:textId="77777777" w:rsidTr="000929E3">
        <w:trPr>
          <w:trHeight w:val="310"/>
        </w:trPr>
        <w:tc>
          <w:tcPr>
            <w:tcW w:w="6376" w:type="dxa"/>
            <w:gridSpan w:val="2"/>
            <w:noWrap/>
            <w:tcMar>
              <w:top w:w="15" w:type="dxa"/>
              <w:left w:w="108" w:type="dxa"/>
              <w:bottom w:w="0" w:type="dxa"/>
              <w:right w:w="108" w:type="dxa"/>
            </w:tcMar>
            <w:vAlign w:val="center"/>
            <w:hideMark/>
          </w:tcPr>
          <w:p w14:paraId="0C1F149C"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Financial assets</w:t>
            </w:r>
          </w:p>
        </w:tc>
        <w:tc>
          <w:tcPr>
            <w:tcW w:w="1279" w:type="dxa"/>
            <w:noWrap/>
            <w:tcMar>
              <w:top w:w="15" w:type="dxa"/>
              <w:left w:w="108" w:type="dxa"/>
              <w:bottom w:w="0" w:type="dxa"/>
              <w:right w:w="108" w:type="dxa"/>
            </w:tcMar>
            <w:vAlign w:val="bottom"/>
            <w:hideMark/>
          </w:tcPr>
          <w:p w14:paraId="1F666CDD"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376B19BB" w14:textId="77777777" w:rsidR="00560745" w:rsidRDefault="00560745">
            <w:pPr>
              <w:spacing w:after="0"/>
              <w:rPr>
                <w:kern w:val="0"/>
                <w:sz w:val="20"/>
                <w:szCs w:val="20"/>
                <w:lang w:eastAsia="en-GB"/>
                <w14:ligatures w14:val="none"/>
              </w:rPr>
            </w:pPr>
          </w:p>
        </w:tc>
      </w:tr>
      <w:tr w:rsidR="00560745" w14:paraId="3B1149B1" w14:textId="77777777" w:rsidTr="000929E3">
        <w:trPr>
          <w:trHeight w:val="310"/>
        </w:trPr>
        <w:tc>
          <w:tcPr>
            <w:tcW w:w="6376" w:type="dxa"/>
            <w:gridSpan w:val="2"/>
            <w:noWrap/>
            <w:tcMar>
              <w:top w:w="15" w:type="dxa"/>
              <w:left w:w="108" w:type="dxa"/>
              <w:bottom w:w="0" w:type="dxa"/>
              <w:right w:w="108" w:type="dxa"/>
            </w:tcMar>
            <w:vAlign w:val="center"/>
            <w:hideMark/>
          </w:tcPr>
          <w:p w14:paraId="142E7F4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Receivables for fees - case administration</w:t>
            </w:r>
          </w:p>
        </w:tc>
        <w:tc>
          <w:tcPr>
            <w:tcW w:w="1279" w:type="dxa"/>
            <w:noWrap/>
            <w:tcMar>
              <w:top w:w="15" w:type="dxa"/>
              <w:left w:w="108" w:type="dxa"/>
              <w:bottom w:w="0" w:type="dxa"/>
              <w:right w:w="108" w:type="dxa"/>
            </w:tcMar>
            <w:vAlign w:val="center"/>
            <w:hideMark/>
          </w:tcPr>
          <w:p w14:paraId="56D5792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32,761 </w:t>
            </w:r>
          </w:p>
        </w:tc>
        <w:tc>
          <w:tcPr>
            <w:tcW w:w="1276" w:type="dxa"/>
            <w:noWrap/>
            <w:tcMar>
              <w:top w:w="15" w:type="dxa"/>
              <w:left w:w="108" w:type="dxa"/>
              <w:bottom w:w="0" w:type="dxa"/>
              <w:right w:w="108" w:type="dxa"/>
            </w:tcMar>
            <w:vAlign w:val="center"/>
            <w:hideMark/>
          </w:tcPr>
          <w:p w14:paraId="56955CA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33,210 </w:t>
            </w:r>
          </w:p>
        </w:tc>
      </w:tr>
      <w:tr w:rsidR="00560745" w14:paraId="23C35E39" w14:textId="77777777" w:rsidTr="000929E3">
        <w:trPr>
          <w:trHeight w:val="310"/>
        </w:trPr>
        <w:tc>
          <w:tcPr>
            <w:tcW w:w="6376" w:type="dxa"/>
            <w:gridSpan w:val="2"/>
            <w:noWrap/>
            <w:tcMar>
              <w:top w:w="15" w:type="dxa"/>
              <w:left w:w="108" w:type="dxa"/>
              <w:bottom w:w="0" w:type="dxa"/>
              <w:right w:w="108" w:type="dxa"/>
            </w:tcMar>
            <w:vAlign w:val="center"/>
            <w:hideMark/>
          </w:tcPr>
          <w:p w14:paraId="6882457E"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Receivables for disqualification costs</w:t>
            </w:r>
          </w:p>
        </w:tc>
        <w:tc>
          <w:tcPr>
            <w:tcW w:w="1279" w:type="dxa"/>
            <w:noWrap/>
            <w:tcMar>
              <w:top w:w="15" w:type="dxa"/>
              <w:left w:w="108" w:type="dxa"/>
              <w:bottom w:w="0" w:type="dxa"/>
              <w:right w:w="108" w:type="dxa"/>
            </w:tcMar>
            <w:vAlign w:val="center"/>
            <w:hideMark/>
          </w:tcPr>
          <w:p w14:paraId="68B0E74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221 </w:t>
            </w:r>
          </w:p>
        </w:tc>
        <w:tc>
          <w:tcPr>
            <w:tcW w:w="1276" w:type="dxa"/>
            <w:noWrap/>
            <w:tcMar>
              <w:top w:w="15" w:type="dxa"/>
              <w:left w:w="108" w:type="dxa"/>
              <w:bottom w:w="0" w:type="dxa"/>
              <w:right w:w="108" w:type="dxa"/>
            </w:tcMar>
            <w:vAlign w:val="center"/>
            <w:hideMark/>
          </w:tcPr>
          <w:p w14:paraId="65A5C6A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374 </w:t>
            </w:r>
          </w:p>
        </w:tc>
      </w:tr>
      <w:tr w:rsidR="00560745" w14:paraId="54E1E1E9" w14:textId="77777777" w:rsidTr="000929E3">
        <w:trPr>
          <w:trHeight w:val="310"/>
        </w:trPr>
        <w:tc>
          <w:tcPr>
            <w:tcW w:w="6376" w:type="dxa"/>
            <w:gridSpan w:val="2"/>
            <w:noWrap/>
            <w:tcMar>
              <w:top w:w="15" w:type="dxa"/>
              <w:left w:w="108" w:type="dxa"/>
              <w:bottom w:w="0" w:type="dxa"/>
              <w:right w:w="108" w:type="dxa"/>
            </w:tcMar>
            <w:vAlign w:val="bottom"/>
            <w:hideMark/>
          </w:tcPr>
          <w:p w14:paraId="0CCA053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Receivables for redundancy payments service</w:t>
            </w:r>
          </w:p>
        </w:tc>
        <w:tc>
          <w:tcPr>
            <w:tcW w:w="1279" w:type="dxa"/>
            <w:noWrap/>
            <w:tcMar>
              <w:top w:w="15" w:type="dxa"/>
              <w:left w:w="108" w:type="dxa"/>
              <w:bottom w:w="0" w:type="dxa"/>
              <w:right w:w="108" w:type="dxa"/>
            </w:tcMar>
            <w:vAlign w:val="center"/>
            <w:hideMark/>
          </w:tcPr>
          <w:p w14:paraId="3D37B90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33,372 </w:t>
            </w:r>
          </w:p>
        </w:tc>
        <w:tc>
          <w:tcPr>
            <w:tcW w:w="1276" w:type="dxa"/>
            <w:noWrap/>
            <w:tcMar>
              <w:top w:w="15" w:type="dxa"/>
              <w:left w:w="108" w:type="dxa"/>
              <w:bottom w:w="0" w:type="dxa"/>
              <w:right w:w="108" w:type="dxa"/>
            </w:tcMar>
            <w:vAlign w:val="center"/>
            <w:hideMark/>
          </w:tcPr>
          <w:p w14:paraId="1DC2CA9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34,776 </w:t>
            </w:r>
          </w:p>
        </w:tc>
      </w:tr>
      <w:tr w:rsidR="00560745" w14:paraId="0C0111B9" w14:textId="77777777" w:rsidTr="000929E3">
        <w:trPr>
          <w:trHeight w:val="320"/>
        </w:trPr>
        <w:tc>
          <w:tcPr>
            <w:tcW w:w="6376" w:type="dxa"/>
            <w:gridSpan w:val="2"/>
            <w:noWrap/>
            <w:tcMar>
              <w:top w:w="15" w:type="dxa"/>
              <w:left w:w="108" w:type="dxa"/>
              <w:bottom w:w="0" w:type="dxa"/>
              <w:right w:w="108" w:type="dxa"/>
            </w:tcMar>
            <w:vAlign w:val="bottom"/>
            <w:hideMark/>
          </w:tcPr>
          <w:p w14:paraId="5916CE95"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financial assets</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5B00049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66,354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2ABC11B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68,360 </w:t>
            </w:r>
          </w:p>
        </w:tc>
      </w:tr>
      <w:tr w:rsidR="00560745" w14:paraId="5EA77022" w14:textId="77777777" w:rsidTr="000929E3">
        <w:trPr>
          <w:trHeight w:val="310"/>
        </w:trPr>
        <w:tc>
          <w:tcPr>
            <w:tcW w:w="6376" w:type="dxa"/>
            <w:gridSpan w:val="2"/>
            <w:noWrap/>
            <w:tcMar>
              <w:top w:w="15" w:type="dxa"/>
              <w:left w:w="108" w:type="dxa"/>
              <w:bottom w:w="0" w:type="dxa"/>
              <w:right w:w="108" w:type="dxa"/>
            </w:tcMar>
            <w:vAlign w:val="bottom"/>
            <w:hideMark/>
          </w:tcPr>
          <w:p w14:paraId="5CF70F1E"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center"/>
            <w:hideMark/>
          </w:tcPr>
          <w:p w14:paraId="0D0BD8DA"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1A8AECB4" w14:textId="77777777" w:rsidR="00560745" w:rsidRDefault="00560745">
            <w:pPr>
              <w:spacing w:after="0"/>
              <w:rPr>
                <w:kern w:val="0"/>
                <w:sz w:val="20"/>
                <w:szCs w:val="20"/>
                <w:lang w:eastAsia="en-GB"/>
                <w14:ligatures w14:val="none"/>
              </w:rPr>
            </w:pPr>
          </w:p>
        </w:tc>
      </w:tr>
      <w:tr w:rsidR="00560745" w14:paraId="02FE6C75" w14:textId="77777777" w:rsidTr="000929E3">
        <w:trPr>
          <w:trHeight w:val="310"/>
        </w:trPr>
        <w:tc>
          <w:tcPr>
            <w:tcW w:w="6376" w:type="dxa"/>
            <w:gridSpan w:val="2"/>
            <w:noWrap/>
            <w:tcMar>
              <w:top w:w="15" w:type="dxa"/>
              <w:left w:w="108" w:type="dxa"/>
              <w:bottom w:w="0" w:type="dxa"/>
              <w:right w:w="108" w:type="dxa"/>
            </w:tcMar>
            <w:vAlign w:val="center"/>
            <w:hideMark/>
          </w:tcPr>
          <w:p w14:paraId="1C01E893"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Trade receivables and other assets</w:t>
            </w:r>
          </w:p>
        </w:tc>
        <w:tc>
          <w:tcPr>
            <w:tcW w:w="1279" w:type="dxa"/>
            <w:noWrap/>
            <w:tcMar>
              <w:top w:w="15" w:type="dxa"/>
              <w:left w:w="108" w:type="dxa"/>
              <w:bottom w:w="0" w:type="dxa"/>
              <w:right w:w="108" w:type="dxa"/>
            </w:tcMar>
            <w:vAlign w:val="center"/>
            <w:hideMark/>
          </w:tcPr>
          <w:p w14:paraId="10441B9C"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1FE3D8BC" w14:textId="77777777" w:rsidR="00560745" w:rsidRDefault="00560745">
            <w:pPr>
              <w:spacing w:after="0"/>
              <w:rPr>
                <w:kern w:val="0"/>
                <w:sz w:val="20"/>
                <w:szCs w:val="20"/>
                <w:lang w:eastAsia="en-GB"/>
                <w14:ligatures w14:val="none"/>
              </w:rPr>
            </w:pPr>
          </w:p>
        </w:tc>
      </w:tr>
      <w:tr w:rsidR="00560745" w14:paraId="268DBDEC" w14:textId="77777777" w:rsidTr="000929E3">
        <w:trPr>
          <w:trHeight w:val="310"/>
        </w:trPr>
        <w:tc>
          <w:tcPr>
            <w:tcW w:w="6376" w:type="dxa"/>
            <w:gridSpan w:val="2"/>
            <w:noWrap/>
            <w:tcMar>
              <w:top w:w="15" w:type="dxa"/>
              <w:left w:w="108" w:type="dxa"/>
              <w:bottom w:w="0" w:type="dxa"/>
              <w:right w:w="108" w:type="dxa"/>
            </w:tcMar>
            <w:vAlign w:val="bottom"/>
            <w:hideMark/>
          </w:tcPr>
          <w:p w14:paraId="34F8CF29"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Prepayments</w:t>
            </w:r>
          </w:p>
        </w:tc>
        <w:tc>
          <w:tcPr>
            <w:tcW w:w="1279" w:type="dxa"/>
            <w:noWrap/>
            <w:tcMar>
              <w:top w:w="15" w:type="dxa"/>
              <w:left w:w="108" w:type="dxa"/>
              <w:bottom w:w="0" w:type="dxa"/>
              <w:right w:w="108" w:type="dxa"/>
            </w:tcMar>
            <w:vAlign w:val="center"/>
            <w:hideMark/>
          </w:tcPr>
          <w:p w14:paraId="4830316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3,757 </w:t>
            </w:r>
          </w:p>
        </w:tc>
        <w:tc>
          <w:tcPr>
            <w:tcW w:w="1276" w:type="dxa"/>
            <w:noWrap/>
            <w:tcMar>
              <w:top w:w="15" w:type="dxa"/>
              <w:left w:w="108" w:type="dxa"/>
              <w:bottom w:w="0" w:type="dxa"/>
              <w:right w:w="108" w:type="dxa"/>
            </w:tcMar>
            <w:vAlign w:val="center"/>
            <w:hideMark/>
          </w:tcPr>
          <w:p w14:paraId="7BE54B7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3,093 </w:t>
            </w:r>
          </w:p>
        </w:tc>
      </w:tr>
      <w:tr w:rsidR="00560745" w14:paraId="799F69A7" w14:textId="77777777" w:rsidTr="000929E3">
        <w:trPr>
          <w:trHeight w:val="310"/>
        </w:trPr>
        <w:tc>
          <w:tcPr>
            <w:tcW w:w="6376" w:type="dxa"/>
            <w:gridSpan w:val="2"/>
            <w:noWrap/>
            <w:tcMar>
              <w:top w:w="15" w:type="dxa"/>
              <w:left w:w="108" w:type="dxa"/>
              <w:bottom w:w="0" w:type="dxa"/>
              <w:right w:w="108" w:type="dxa"/>
            </w:tcMar>
            <w:vAlign w:val="center"/>
            <w:hideMark/>
          </w:tcPr>
          <w:p w14:paraId="0EAF0F95"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VAT receivables </w:t>
            </w:r>
          </w:p>
        </w:tc>
        <w:tc>
          <w:tcPr>
            <w:tcW w:w="1279" w:type="dxa"/>
            <w:noWrap/>
            <w:tcMar>
              <w:top w:w="15" w:type="dxa"/>
              <w:left w:w="108" w:type="dxa"/>
              <w:bottom w:w="0" w:type="dxa"/>
              <w:right w:w="108" w:type="dxa"/>
            </w:tcMar>
            <w:vAlign w:val="center"/>
            <w:hideMark/>
          </w:tcPr>
          <w:p w14:paraId="6CF56E5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1,002 </w:t>
            </w:r>
          </w:p>
        </w:tc>
        <w:tc>
          <w:tcPr>
            <w:tcW w:w="1276" w:type="dxa"/>
            <w:noWrap/>
            <w:tcMar>
              <w:top w:w="15" w:type="dxa"/>
              <w:left w:w="108" w:type="dxa"/>
              <w:bottom w:w="0" w:type="dxa"/>
              <w:right w:w="108" w:type="dxa"/>
            </w:tcMar>
            <w:vAlign w:val="center"/>
            <w:hideMark/>
          </w:tcPr>
          <w:p w14:paraId="1E95F33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1,112 </w:t>
            </w:r>
          </w:p>
        </w:tc>
      </w:tr>
      <w:tr w:rsidR="00560745" w14:paraId="1B09D9D8" w14:textId="77777777" w:rsidTr="000929E3">
        <w:trPr>
          <w:trHeight w:val="310"/>
        </w:trPr>
        <w:tc>
          <w:tcPr>
            <w:tcW w:w="6376" w:type="dxa"/>
            <w:gridSpan w:val="2"/>
            <w:noWrap/>
            <w:tcMar>
              <w:top w:w="15" w:type="dxa"/>
              <w:left w:w="108" w:type="dxa"/>
              <w:bottom w:w="0" w:type="dxa"/>
              <w:right w:w="108" w:type="dxa"/>
            </w:tcMar>
            <w:vAlign w:val="center"/>
            <w:hideMark/>
          </w:tcPr>
          <w:p w14:paraId="1F749FA9"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NIF receivables</w:t>
            </w:r>
          </w:p>
        </w:tc>
        <w:tc>
          <w:tcPr>
            <w:tcW w:w="1279" w:type="dxa"/>
            <w:noWrap/>
            <w:tcMar>
              <w:top w:w="15" w:type="dxa"/>
              <w:left w:w="108" w:type="dxa"/>
              <w:bottom w:w="0" w:type="dxa"/>
              <w:right w:w="108" w:type="dxa"/>
            </w:tcMar>
            <w:vAlign w:val="center"/>
            <w:hideMark/>
          </w:tcPr>
          <w:p w14:paraId="581DCE1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219 </w:t>
            </w:r>
          </w:p>
        </w:tc>
        <w:tc>
          <w:tcPr>
            <w:tcW w:w="1276" w:type="dxa"/>
            <w:noWrap/>
            <w:tcMar>
              <w:top w:w="15" w:type="dxa"/>
              <w:left w:w="108" w:type="dxa"/>
              <w:bottom w:w="0" w:type="dxa"/>
              <w:right w:w="108" w:type="dxa"/>
            </w:tcMar>
            <w:vAlign w:val="center"/>
            <w:hideMark/>
          </w:tcPr>
          <w:p w14:paraId="0A773A7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2,039 </w:t>
            </w:r>
          </w:p>
        </w:tc>
      </w:tr>
      <w:tr w:rsidR="00560745" w14:paraId="579B6177" w14:textId="77777777" w:rsidTr="000929E3">
        <w:trPr>
          <w:trHeight w:val="310"/>
        </w:trPr>
        <w:tc>
          <w:tcPr>
            <w:tcW w:w="6376" w:type="dxa"/>
            <w:gridSpan w:val="2"/>
            <w:noWrap/>
            <w:tcMar>
              <w:top w:w="15" w:type="dxa"/>
              <w:left w:w="108" w:type="dxa"/>
              <w:bottom w:w="0" w:type="dxa"/>
              <w:right w:w="108" w:type="dxa"/>
            </w:tcMar>
            <w:vAlign w:val="center"/>
            <w:hideMark/>
          </w:tcPr>
          <w:p w14:paraId="136DF36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Trade receivables</w:t>
            </w:r>
          </w:p>
        </w:tc>
        <w:tc>
          <w:tcPr>
            <w:tcW w:w="1279" w:type="dxa"/>
            <w:noWrap/>
            <w:tcMar>
              <w:top w:w="15" w:type="dxa"/>
              <w:left w:w="108" w:type="dxa"/>
              <w:bottom w:w="0" w:type="dxa"/>
              <w:right w:w="108" w:type="dxa"/>
            </w:tcMar>
            <w:vAlign w:val="center"/>
            <w:hideMark/>
          </w:tcPr>
          <w:p w14:paraId="7C203F3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1,065 </w:t>
            </w:r>
          </w:p>
        </w:tc>
        <w:tc>
          <w:tcPr>
            <w:tcW w:w="1276" w:type="dxa"/>
            <w:noWrap/>
            <w:tcMar>
              <w:top w:w="15" w:type="dxa"/>
              <w:left w:w="108" w:type="dxa"/>
              <w:bottom w:w="0" w:type="dxa"/>
              <w:right w:w="108" w:type="dxa"/>
            </w:tcMar>
            <w:vAlign w:val="center"/>
            <w:hideMark/>
          </w:tcPr>
          <w:p w14:paraId="7C25F7A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859 </w:t>
            </w:r>
          </w:p>
        </w:tc>
      </w:tr>
      <w:tr w:rsidR="00560745" w14:paraId="6C0CBA8A" w14:textId="77777777" w:rsidTr="000929E3">
        <w:trPr>
          <w:trHeight w:val="310"/>
        </w:trPr>
        <w:tc>
          <w:tcPr>
            <w:tcW w:w="6376" w:type="dxa"/>
            <w:gridSpan w:val="2"/>
            <w:noWrap/>
            <w:tcMar>
              <w:top w:w="15" w:type="dxa"/>
              <w:left w:w="108" w:type="dxa"/>
              <w:bottom w:w="0" w:type="dxa"/>
              <w:right w:w="108" w:type="dxa"/>
            </w:tcMar>
            <w:vAlign w:val="center"/>
            <w:hideMark/>
          </w:tcPr>
          <w:p w14:paraId="65B952F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Employee receivables</w:t>
            </w:r>
          </w:p>
        </w:tc>
        <w:tc>
          <w:tcPr>
            <w:tcW w:w="1279" w:type="dxa"/>
            <w:noWrap/>
            <w:tcMar>
              <w:top w:w="15" w:type="dxa"/>
              <w:left w:w="108" w:type="dxa"/>
              <w:bottom w:w="0" w:type="dxa"/>
              <w:right w:w="108" w:type="dxa"/>
            </w:tcMar>
            <w:vAlign w:val="center"/>
            <w:hideMark/>
          </w:tcPr>
          <w:p w14:paraId="11AFF6B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46 </w:t>
            </w:r>
          </w:p>
        </w:tc>
        <w:tc>
          <w:tcPr>
            <w:tcW w:w="1276" w:type="dxa"/>
            <w:noWrap/>
            <w:tcMar>
              <w:top w:w="15" w:type="dxa"/>
              <w:left w:w="108" w:type="dxa"/>
              <w:bottom w:w="0" w:type="dxa"/>
              <w:right w:w="108" w:type="dxa"/>
            </w:tcMar>
            <w:vAlign w:val="center"/>
            <w:hideMark/>
          </w:tcPr>
          <w:p w14:paraId="26998EE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44 </w:t>
            </w:r>
          </w:p>
        </w:tc>
      </w:tr>
      <w:tr w:rsidR="00560745" w14:paraId="03A7979B" w14:textId="77777777" w:rsidTr="000929E3">
        <w:trPr>
          <w:trHeight w:val="320"/>
        </w:trPr>
        <w:tc>
          <w:tcPr>
            <w:tcW w:w="6376" w:type="dxa"/>
            <w:gridSpan w:val="2"/>
            <w:noWrap/>
            <w:tcMar>
              <w:top w:w="15" w:type="dxa"/>
              <w:left w:w="108" w:type="dxa"/>
              <w:bottom w:w="0" w:type="dxa"/>
              <w:right w:w="108" w:type="dxa"/>
            </w:tcMar>
            <w:vAlign w:val="center"/>
            <w:hideMark/>
          </w:tcPr>
          <w:p w14:paraId="75776C0F"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trade receivables and other assets</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017983F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6,089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2DC8992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7,147 </w:t>
            </w:r>
          </w:p>
        </w:tc>
      </w:tr>
      <w:tr w:rsidR="00560745" w14:paraId="4CD34426" w14:textId="77777777" w:rsidTr="000929E3">
        <w:trPr>
          <w:trHeight w:val="310"/>
        </w:trPr>
        <w:tc>
          <w:tcPr>
            <w:tcW w:w="6376" w:type="dxa"/>
            <w:gridSpan w:val="2"/>
            <w:noWrap/>
            <w:tcMar>
              <w:top w:w="15" w:type="dxa"/>
              <w:left w:w="108" w:type="dxa"/>
              <w:bottom w:w="0" w:type="dxa"/>
              <w:right w:w="108" w:type="dxa"/>
            </w:tcMar>
            <w:vAlign w:val="center"/>
            <w:hideMark/>
          </w:tcPr>
          <w:p w14:paraId="0DB1B18E"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center"/>
            <w:hideMark/>
          </w:tcPr>
          <w:p w14:paraId="74F54224"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7FF749B3" w14:textId="77777777" w:rsidR="00560745" w:rsidRDefault="00560745">
            <w:pPr>
              <w:spacing w:after="0"/>
              <w:rPr>
                <w:kern w:val="0"/>
                <w:sz w:val="20"/>
                <w:szCs w:val="20"/>
                <w:lang w:eastAsia="en-GB"/>
                <w14:ligatures w14:val="none"/>
              </w:rPr>
            </w:pPr>
          </w:p>
        </w:tc>
      </w:tr>
      <w:tr w:rsidR="00560745" w14:paraId="607CC411" w14:textId="77777777" w:rsidTr="000929E3">
        <w:trPr>
          <w:trHeight w:val="320"/>
        </w:trPr>
        <w:tc>
          <w:tcPr>
            <w:tcW w:w="6376" w:type="dxa"/>
            <w:gridSpan w:val="2"/>
            <w:noWrap/>
            <w:tcMar>
              <w:top w:w="15" w:type="dxa"/>
              <w:left w:w="108" w:type="dxa"/>
              <w:bottom w:w="0" w:type="dxa"/>
              <w:right w:w="108" w:type="dxa"/>
            </w:tcMar>
            <w:vAlign w:val="bottom"/>
            <w:hideMark/>
          </w:tcPr>
          <w:p w14:paraId="3939675F"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amounts falling due within one year</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6A3F804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72,443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2129ED2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75,507 </w:t>
            </w:r>
          </w:p>
        </w:tc>
      </w:tr>
      <w:tr w:rsidR="00560745" w14:paraId="26351ADE" w14:textId="77777777" w:rsidTr="000929E3">
        <w:trPr>
          <w:trHeight w:val="310"/>
        </w:trPr>
        <w:tc>
          <w:tcPr>
            <w:tcW w:w="6376" w:type="dxa"/>
            <w:gridSpan w:val="2"/>
            <w:noWrap/>
            <w:tcMar>
              <w:top w:w="15" w:type="dxa"/>
              <w:left w:w="108" w:type="dxa"/>
              <w:bottom w:w="0" w:type="dxa"/>
              <w:right w:w="108" w:type="dxa"/>
            </w:tcMar>
            <w:vAlign w:val="bottom"/>
            <w:hideMark/>
          </w:tcPr>
          <w:p w14:paraId="56AC5802"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2CB924A3"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55BF47DF" w14:textId="77777777" w:rsidR="00560745" w:rsidRDefault="00560745">
            <w:pPr>
              <w:spacing w:after="0"/>
              <w:rPr>
                <w:kern w:val="0"/>
                <w:sz w:val="20"/>
                <w:szCs w:val="20"/>
                <w:lang w:eastAsia="en-GB"/>
                <w14:ligatures w14:val="none"/>
              </w:rPr>
            </w:pPr>
          </w:p>
        </w:tc>
      </w:tr>
      <w:tr w:rsidR="00560745" w14:paraId="67042512" w14:textId="77777777" w:rsidTr="000929E3">
        <w:trPr>
          <w:trHeight w:val="310"/>
        </w:trPr>
        <w:tc>
          <w:tcPr>
            <w:tcW w:w="6376" w:type="dxa"/>
            <w:gridSpan w:val="2"/>
            <w:noWrap/>
            <w:tcMar>
              <w:top w:w="15" w:type="dxa"/>
              <w:left w:w="108" w:type="dxa"/>
              <w:bottom w:w="0" w:type="dxa"/>
              <w:right w:w="108" w:type="dxa"/>
            </w:tcMar>
            <w:vAlign w:val="bottom"/>
            <w:hideMark/>
          </w:tcPr>
          <w:p w14:paraId="6A46BEF7"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Amounts falling due after more than one year:</w:t>
            </w:r>
          </w:p>
        </w:tc>
        <w:tc>
          <w:tcPr>
            <w:tcW w:w="1279" w:type="dxa"/>
            <w:noWrap/>
            <w:tcMar>
              <w:top w:w="15" w:type="dxa"/>
              <w:left w:w="108" w:type="dxa"/>
              <w:bottom w:w="0" w:type="dxa"/>
              <w:right w:w="108" w:type="dxa"/>
            </w:tcMar>
            <w:vAlign w:val="bottom"/>
            <w:hideMark/>
          </w:tcPr>
          <w:p w14:paraId="3718E8AA"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51A2A0EA" w14:textId="77777777" w:rsidR="00560745" w:rsidRDefault="00560745">
            <w:pPr>
              <w:spacing w:after="0"/>
              <w:rPr>
                <w:kern w:val="0"/>
                <w:sz w:val="20"/>
                <w:szCs w:val="20"/>
                <w:lang w:eastAsia="en-GB"/>
                <w14:ligatures w14:val="none"/>
              </w:rPr>
            </w:pPr>
          </w:p>
        </w:tc>
      </w:tr>
      <w:tr w:rsidR="00560745" w14:paraId="285ED528" w14:textId="77777777" w:rsidTr="000929E3">
        <w:trPr>
          <w:trHeight w:val="310"/>
        </w:trPr>
        <w:tc>
          <w:tcPr>
            <w:tcW w:w="6376" w:type="dxa"/>
            <w:gridSpan w:val="2"/>
            <w:noWrap/>
            <w:tcMar>
              <w:top w:w="15" w:type="dxa"/>
              <w:left w:w="108" w:type="dxa"/>
              <w:bottom w:w="0" w:type="dxa"/>
              <w:right w:w="108" w:type="dxa"/>
            </w:tcMar>
            <w:vAlign w:val="bottom"/>
            <w:hideMark/>
          </w:tcPr>
          <w:p w14:paraId="4D2F0BFC"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Financial assets</w:t>
            </w:r>
          </w:p>
        </w:tc>
        <w:tc>
          <w:tcPr>
            <w:tcW w:w="1279" w:type="dxa"/>
            <w:noWrap/>
            <w:tcMar>
              <w:top w:w="15" w:type="dxa"/>
              <w:left w:w="108" w:type="dxa"/>
              <w:bottom w:w="0" w:type="dxa"/>
              <w:right w:w="108" w:type="dxa"/>
            </w:tcMar>
            <w:vAlign w:val="bottom"/>
            <w:hideMark/>
          </w:tcPr>
          <w:p w14:paraId="20EBA0CF"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0A84EC03" w14:textId="77777777" w:rsidR="00560745" w:rsidRDefault="00560745">
            <w:pPr>
              <w:spacing w:after="0"/>
              <w:rPr>
                <w:kern w:val="0"/>
                <w:sz w:val="20"/>
                <w:szCs w:val="20"/>
                <w:lang w:eastAsia="en-GB"/>
                <w14:ligatures w14:val="none"/>
              </w:rPr>
            </w:pPr>
          </w:p>
        </w:tc>
      </w:tr>
      <w:tr w:rsidR="00560745" w14:paraId="1BA368FE" w14:textId="77777777" w:rsidTr="000929E3">
        <w:trPr>
          <w:trHeight w:val="310"/>
        </w:trPr>
        <w:tc>
          <w:tcPr>
            <w:tcW w:w="6376" w:type="dxa"/>
            <w:gridSpan w:val="2"/>
            <w:noWrap/>
            <w:tcMar>
              <w:top w:w="15" w:type="dxa"/>
              <w:left w:w="108" w:type="dxa"/>
              <w:bottom w:w="0" w:type="dxa"/>
              <w:right w:w="108" w:type="dxa"/>
            </w:tcMar>
            <w:vAlign w:val="center"/>
            <w:hideMark/>
          </w:tcPr>
          <w:p w14:paraId="598C734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Receivables for fees - case administration </w:t>
            </w:r>
          </w:p>
        </w:tc>
        <w:tc>
          <w:tcPr>
            <w:tcW w:w="1279" w:type="dxa"/>
            <w:noWrap/>
            <w:tcMar>
              <w:top w:w="15" w:type="dxa"/>
              <w:left w:w="108" w:type="dxa"/>
              <w:bottom w:w="0" w:type="dxa"/>
              <w:right w:w="108" w:type="dxa"/>
            </w:tcMar>
            <w:vAlign w:val="center"/>
            <w:hideMark/>
          </w:tcPr>
          <w:p w14:paraId="7C2FDC2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19,800 </w:t>
            </w:r>
          </w:p>
        </w:tc>
        <w:tc>
          <w:tcPr>
            <w:tcW w:w="1276" w:type="dxa"/>
            <w:noWrap/>
            <w:tcMar>
              <w:top w:w="15" w:type="dxa"/>
              <w:left w:w="108" w:type="dxa"/>
              <w:bottom w:w="0" w:type="dxa"/>
              <w:right w:w="108" w:type="dxa"/>
            </w:tcMar>
            <w:vAlign w:val="center"/>
            <w:hideMark/>
          </w:tcPr>
          <w:p w14:paraId="531D070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19,760 </w:t>
            </w:r>
          </w:p>
        </w:tc>
      </w:tr>
      <w:tr w:rsidR="00560745" w14:paraId="40CE9F36" w14:textId="77777777" w:rsidTr="000929E3">
        <w:trPr>
          <w:trHeight w:val="310"/>
        </w:trPr>
        <w:tc>
          <w:tcPr>
            <w:tcW w:w="6376" w:type="dxa"/>
            <w:gridSpan w:val="2"/>
            <w:noWrap/>
            <w:tcMar>
              <w:top w:w="15" w:type="dxa"/>
              <w:left w:w="108" w:type="dxa"/>
              <w:bottom w:w="0" w:type="dxa"/>
              <w:right w:w="108" w:type="dxa"/>
            </w:tcMar>
            <w:vAlign w:val="center"/>
            <w:hideMark/>
          </w:tcPr>
          <w:p w14:paraId="772D991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Receivables for disqualification costs</w:t>
            </w:r>
          </w:p>
        </w:tc>
        <w:tc>
          <w:tcPr>
            <w:tcW w:w="1279" w:type="dxa"/>
            <w:noWrap/>
            <w:tcMar>
              <w:top w:w="15" w:type="dxa"/>
              <w:left w:w="108" w:type="dxa"/>
              <w:bottom w:w="0" w:type="dxa"/>
              <w:right w:w="108" w:type="dxa"/>
            </w:tcMar>
            <w:vAlign w:val="center"/>
            <w:hideMark/>
          </w:tcPr>
          <w:p w14:paraId="2B55EBC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2,325 </w:t>
            </w:r>
          </w:p>
        </w:tc>
        <w:tc>
          <w:tcPr>
            <w:tcW w:w="1276" w:type="dxa"/>
            <w:noWrap/>
            <w:tcMar>
              <w:top w:w="15" w:type="dxa"/>
              <w:left w:w="108" w:type="dxa"/>
              <w:bottom w:w="0" w:type="dxa"/>
              <w:right w:w="108" w:type="dxa"/>
            </w:tcMar>
            <w:vAlign w:val="center"/>
            <w:hideMark/>
          </w:tcPr>
          <w:p w14:paraId="1A44146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1,758 </w:t>
            </w:r>
          </w:p>
        </w:tc>
      </w:tr>
      <w:tr w:rsidR="00560745" w14:paraId="1105E159" w14:textId="77777777" w:rsidTr="000929E3">
        <w:trPr>
          <w:trHeight w:val="310"/>
        </w:trPr>
        <w:tc>
          <w:tcPr>
            <w:tcW w:w="6376" w:type="dxa"/>
            <w:gridSpan w:val="2"/>
            <w:noWrap/>
            <w:tcMar>
              <w:top w:w="15" w:type="dxa"/>
              <w:left w:w="108" w:type="dxa"/>
              <w:bottom w:w="0" w:type="dxa"/>
              <w:right w:w="108" w:type="dxa"/>
            </w:tcMar>
            <w:vAlign w:val="bottom"/>
            <w:hideMark/>
          </w:tcPr>
          <w:p w14:paraId="1A7A110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Receivables for redundancy payments service</w:t>
            </w:r>
          </w:p>
        </w:tc>
        <w:tc>
          <w:tcPr>
            <w:tcW w:w="1279" w:type="dxa"/>
            <w:noWrap/>
            <w:tcMar>
              <w:top w:w="15" w:type="dxa"/>
              <w:left w:w="108" w:type="dxa"/>
              <w:bottom w:w="0" w:type="dxa"/>
              <w:right w:w="108" w:type="dxa"/>
            </w:tcMar>
            <w:vAlign w:val="center"/>
            <w:hideMark/>
          </w:tcPr>
          <w:p w14:paraId="57ED39B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52,574 </w:t>
            </w:r>
          </w:p>
        </w:tc>
        <w:tc>
          <w:tcPr>
            <w:tcW w:w="1276" w:type="dxa"/>
            <w:noWrap/>
            <w:tcMar>
              <w:top w:w="15" w:type="dxa"/>
              <w:left w:w="108" w:type="dxa"/>
              <w:bottom w:w="0" w:type="dxa"/>
              <w:right w:w="108" w:type="dxa"/>
            </w:tcMar>
            <w:vAlign w:val="center"/>
            <w:hideMark/>
          </w:tcPr>
          <w:p w14:paraId="42CB6C4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48,449 </w:t>
            </w:r>
          </w:p>
        </w:tc>
      </w:tr>
      <w:tr w:rsidR="00560745" w14:paraId="05CE4C66" w14:textId="77777777" w:rsidTr="000929E3">
        <w:trPr>
          <w:trHeight w:val="320"/>
        </w:trPr>
        <w:tc>
          <w:tcPr>
            <w:tcW w:w="6376" w:type="dxa"/>
            <w:gridSpan w:val="2"/>
            <w:noWrap/>
            <w:tcMar>
              <w:top w:w="15" w:type="dxa"/>
              <w:left w:w="108" w:type="dxa"/>
              <w:bottom w:w="0" w:type="dxa"/>
              <w:right w:w="108" w:type="dxa"/>
            </w:tcMar>
            <w:vAlign w:val="bottom"/>
            <w:hideMark/>
          </w:tcPr>
          <w:p w14:paraId="6505211E"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financial assets</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10D4773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74,699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41EEEB8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69,967 </w:t>
            </w:r>
          </w:p>
        </w:tc>
      </w:tr>
      <w:tr w:rsidR="00560745" w14:paraId="75AF7989" w14:textId="77777777" w:rsidTr="000929E3">
        <w:trPr>
          <w:trHeight w:val="310"/>
        </w:trPr>
        <w:tc>
          <w:tcPr>
            <w:tcW w:w="6376" w:type="dxa"/>
            <w:gridSpan w:val="2"/>
            <w:noWrap/>
            <w:tcMar>
              <w:top w:w="15" w:type="dxa"/>
              <w:left w:w="108" w:type="dxa"/>
              <w:bottom w:w="0" w:type="dxa"/>
              <w:right w:w="108" w:type="dxa"/>
            </w:tcMar>
            <w:vAlign w:val="bottom"/>
            <w:hideMark/>
          </w:tcPr>
          <w:p w14:paraId="2D2566F1"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center"/>
            <w:hideMark/>
          </w:tcPr>
          <w:p w14:paraId="0EEAF429"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66A57CBE" w14:textId="77777777" w:rsidR="00560745" w:rsidRDefault="00560745">
            <w:pPr>
              <w:spacing w:after="0"/>
              <w:rPr>
                <w:kern w:val="0"/>
                <w:sz w:val="20"/>
                <w:szCs w:val="20"/>
                <w:lang w:eastAsia="en-GB"/>
                <w14:ligatures w14:val="none"/>
              </w:rPr>
            </w:pPr>
          </w:p>
        </w:tc>
      </w:tr>
      <w:tr w:rsidR="00560745" w14:paraId="6664BEB3" w14:textId="77777777" w:rsidTr="000929E3">
        <w:trPr>
          <w:trHeight w:val="320"/>
        </w:trPr>
        <w:tc>
          <w:tcPr>
            <w:tcW w:w="6376" w:type="dxa"/>
            <w:gridSpan w:val="2"/>
            <w:noWrap/>
            <w:tcMar>
              <w:top w:w="15" w:type="dxa"/>
              <w:left w:w="108" w:type="dxa"/>
              <w:bottom w:w="0" w:type="dxa"/>
              <w:right w:w="108" w:type="dxa"/>
            </w:tcMar>
            <w:vAlign w:val="bottom"/>
            <w:hideMark/>
          </w:tcPr>
          <w:p w14:paraId="275D729F"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amounts falling due after more than one year</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470305D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74,699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5A03FF4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69,967 </w:t>
            </w:r>
          </w:p>
        </w:tc>
      </w:tr>
      <w:tr w:rsidR="00560745" w14:paraId="1AF68C44" w14:textId="77777777" w:rsidTr="000929E3">
        <w:trPr>
          <w:trHeight w:val="310"/>
        </w:trPr>
        <w:tc>
          <w:tcPr>
            <w:tcW w:w="6376" w:type="dxa"/>
            <w:gridSpan w:val="2"/>
            <w:noWrap/>
            <w:tcMar>
              <w:top w:w="15" w:type="dxa"/>
              <w:left w:w="108" w:type="dxa"/>
              <w:bottom w:w="0" w:type="dxa"/>
              <w:right w:w="108" w:type="dxa"/>
            </w:tcMar>
            <w:vAlign w:val="bottom"/>
            <w:hideMark/>
          </w:tcPr>
          <w:p w14:paraId="65B226F8"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7E8DF5BF"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271991AE" w14:textId="77777777" w:rsidR="00560745" w:rsidRDefault="00560745">
            <w:pPr>
              <w:spacing w:after="0"/>
              <w:rPr>
                <w:kern w:val="0"/>
                <w:sz w:val="20"/>
                <w:szCs w:val="20"/>
                <w:lang w:eastAsia="en-GB"/>
                <w14:ligatures w14:val="none"/>
              </w:rPr>
            </w:pPr>
          </w:p>
        </w:tc>
      </w:tr>
      <w:tr w:rsidR="00560745" w14:paraId="53695204" w14:textId="77777777" w:rsidTr="000929E3">
        <w:trPr>
          <w:trHeight w:val="345"/>
        </w:trPr>
        <w:tc>
          <w:tcPr>
            <w:tcW w:w="6376" w:type="dxa"/>
            <w:gridSpan w:val="2"/>
            <w:noWrap/>
            <w:tcMar>
              <w:top w:w="15" w:type="dxa"/>
              <w:left w:w="108" w:type="dxa"/>
              <w:bottom w:w="0" w:type="dxa"/>
              <w:right w:w="108" w:type="dxa"/>
            </w:tcMar>
            <w:vAlign w:val="bottom"/>
            <w:hideMark/>
          </w:tcPr>
          <w:p w14:paraId="7F45FE32"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receivables, financial and other assets</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3B35C09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147,142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182B625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145,474 </w:t>
            </w:r>
          </w:p>
        </w:tc>
      </w:tr>
      <w:tr w:rsidR="00560745" w14:paraId="4ECE509C" w14:textId="77777777" w:rsidTr="000929E3">
        <w:trPr>
          <w:trHeight w:val="270"/>
        </w:trPr>
        <w:tc>
          <w:tcPr>
            <w:tcW w:w="6376" w:type="dxa"/>
            <w:gridSpan w:val="2"/>
            <w:noWrap/>
            <w:tcMar>
              <w:top w:w="15" w:type="dxa"/>
              <w:left w:w="108" w:type="dxa"/>
              <w:bottom w:w="0" w:type="dxa"/>
              <w:right w:w="108" w:type="dxa"/>
            </w:tcMar>
            <w:vAlign w:val="bottom"/>
            <w:hideMark/>
          </w:tcPr>
          <w:p w14:paraId="5BDDB131" w14:textId="77777777" w:rsidR="00560745" w:rsidRDefault="00560745">
            <w:pPr>
              <w:spacing w:after="0"/>
              <w:rPr>
                <w:kern w:val="0"/>
                <w:sz w:val="20"/>
                <w:szCs w:val="20"/>
                <w:lang w:eastAsia="en-GB"/>
                <w14:ligatures w14:val="none"/>
              </w:rPr>
            </w:pPr>
          </w:p>
        </w:tc>
        <w:tc>
          <w:tcPr>
            <w:tcW w:w="2555" w:type="dxa"/>
            <w:gridSpan w:val="2"/>
            <w:tcMar>
              <w:top w:w="15" w:type="dxa"/>
              <w:left w:w="108" w:type="dxa"/>
              <w:bottom w:w="0" w:type="dxa"/>
              <w:right w:w="108" w:type="dxa"/>
            </w:tcMar>
            <w:vAlign w:val="center"/>
            <w:hideMark/>
          </w:tcPr>
          <w:p w14:paraId="62E38E13" w14:textId="77777777" w:rsidR="00560745" w:rsidRDefault="00560745">
            <w:pPr>
              <w:spacing w:after="0"/>
              <w:rPr>
                <w:kern w:val="0"/>
                <w:sz w:val="20"/>
                <w:szCs w:val="20"/>
                <w:lang w:eastAsia="en-GB"/>
                <w14:ligatures w14:val="none"/>
              </w:rPr>
            </w:pPr>
          </w:p>
        </w:tc>
      </w:tr>
    </w:tbl>
    <w:p w14:paraId="1C095BF8" w14:textId="77777777" w:rsidR="00C803A5" w:rsidRDefault="00C803A5">
      <w:r>
        <w:br w:type="page"/>
      </w:r>
    </w:p>
    <w:tbl>
      <w:tblPr>
        <w:tblW w:w="9072" w:type="dxa"/>
        <w:tblLayout w:type="fixed"/>
        <w:tblLook w:val="04A0" w:firstRow="1" w:lastRow="0" w:firstColumn="1" w:lastColumn="0" w:noHBand="0" w:noVBand="1"/>
      </w:tblPr>
      <w:tblGrid>
        <w:gridCol w:w="9072"/>
      </w:tblGrid>
      <w:tr w:rsidR="002D4D9E" w14:paraId="3FEFFC9A" w14:textId="77777777" w:rsidTr="0024411D">
        <w:trPr>
          <w:trHeight w:val="13287"/>
        </w:trPr>
        <w:tc>
          <w:tcPr>
            <w:tcW w:w="9072" w:type="dxa"/>
            <w:tcMar>
              <w:top w:w="15" w:type="dxa"/>
              <w:left w:w="108" w:type="dxa"/>
              <w:bottom w:w="0" w:type="dxa"/>
              <w:right w:w="108" w:type="dxa"/>
            </w:tcMar>
            <w:hideMark/>
          </w:tcPr>
          <w:p w14:paraId="5E8525FE" w14:textId="7DEF6310" w:rsidR="002D4D9E" w:rsidRPr="00F140CC" w:rsidRDefault="002D4D9E">
            <w:pPr>
              <w:spacing w:after="0" w:line="240" w:lineRule="auto"/>
              <w:rPr>
                <w:rFonts w:ascii="Arial" w:eastAsia="Times New Roman" w:hAnsi="Arial" w:cs="Arial"/>
                <w:kern w:val="0"/>
                <w:sz w:val="24"/>
                <w:szCs w:val="24"/>
                <w:lang w:eastAsia="en-GB"/>
                <w14:ligatures w14:val="none"/>
              </w:rPr>
            </w:pPr>
            <w:r w:rsidRPr="00F140CC">
              <w:rPr>
                <w:rFonts w:ascii="Arial" w:eastAsia="Times New Roman" w:hAnsi="Arial" w:cs="Arial"/>
                <w:kern w:val="0"/>
                <w:sz w:val="24"/>
                <w:szCs w:val="24"/>
                <w:lang w:eastAsia="en-GB"/>
                <w14:ligatures w14:val="none"/>
              </w:rPr>
              <w:lastRenderedPageBreak/>
              <w:t xml:space="preserve">The RPS receivable is shown at estimated recoverable value. This is calculated by the Agency using a model which is approved by </w:t>
            </w:r>
            <w:r w:rsidR="00EE6F47">
              <w:rPr>
                <w:rFonts w:ascii="Arial" w:eastAsia="Times New Roman" w:hAnsi="Arial" w:cs="Arial"/>
                <w:sz w:val="24"/>
                <w:szCs w:val="24"/>
              </w:rPr>
              <w:t>HM Revenue &amp; Customs</w:t>
            </w:r>
            <w:r w:rsidRPr="00F140CC">
              <w:rPr>
                <w:rFonts w:ascii="Arial" w:eastAsia="Times New Roman" w:hAnsi="Arial" w:cs="Arial"/>
                <w:kern w:val="0"/>
                <w:sz w:val="24"/>
                <w:szCs w:val="24"/>
                <w:lang w:eastAsia="en-GB"/>
                <w14:ligatures w14:val="none"/>
              </w:rPr>
              <w:t>. The model calculates the recoverable debt as £86m as at 31 March 2024 of which current debt is £33m and £53m is non-current (2022-23: £83m of which £35m is current and £48m non-current). As detailed in Note 1(m), 1(n) and 2(d), debtors have been grouped</w:t>
            </w:r>
            <w:r>
              <w:rPr>
                <w:rFonts w:ascii="Arial" w:eastAsia="Times New Roman" w:hAnsi="Arial" w:cs="Arial"/>
                <w:kern w:val="0"/>
                <w:sz w:val="24"/>
                <w:szCs w:val="24"/>
                <w:lang w:eastAsia="en-GB"/>
                <w14:ligatures w14:val="none"/>
              </w:rPr>
              <w:t>;</w:t>
            </w:r>
            <w:r w:rsidRPr="00F140CC">
              <w:rPr>
                <w:rFonts w:ascii="Arial" w:eastAsia="Times New Roman" w:hAnsi="Arial" w:cs="Arial"/>
                <w:kern w:val="0"/>
                <w:sz w:val="24"/>
                <w:szCs w:val="24"/>
                <w:lang w:eastAsia="en-GB"/>
                <w14:ligatures w14:val="none"/>
              </w:rPr>
              <w:t xml:space="preserve"> estimated recoveries have been based upon historic performance. Total preferential debt as at 31 March 2024 was £29m (2022-23: £28m), and total non-preferential debt was £56m (2022-23: £52m).</w:t>
            </w:r>
          </w:p>
          <w:p w14:paraId="32BC2FFF" w14:textId="77777777" w:rsidR="00A56C6C" w:rsidRDefault="00A56C6C">
            <w:pPr>
              <w:spacing w:after="0" w:line="240" w:lineRule="auto"/>
              <w:rPr>
                <w:rFonts w:ascii="Arial" w:eastAsia="Times New Roman" w:hAnsi="Arial" w:cs="Arial"/>
                <w:kern w:val="0"/>
                <w:sz w:val="24"/>
                <w:szCs w:val="24"/>
                <w:lang w:eastAsia="en-GB"/>
                <w14:ligatures w14:val="none"/>
              </w:rPr>
            </w:pPr>
          </w:p>
          <w:p w14:paraId="68660FE6" w14:textId="2DF1DD1B" w:rsidR="002D4D9E" w:rsidRPr="00F140CC" w:rsidRDefault="002D4D9E">
            <w:pPr>
              <w:spacing w:after="0" w:line="240" w:lineRule="auto"/>
              <w:rPr>
                <w:rFonts w:ascii="Arial" w:eastAsia="Times New Roman" w:hAnsi="Arial" w:cs="Arial"/>
                <w:kern w:val="0"/>
                <w:sz w:val="24"/>
                <w:szCs w:val="24"/>
                <w:lang w:eastAsia="en-GB"/>
                <w14:ligatures w14:val="none"/>
              </w:rPr>
            </w:pPr>
            <w:r w:rsidRPr="00F140CC">
              <w:rPr>
                <w:rFonts w:ascii="Arial" w:eastAsia="Times New Roman" w:hAnsi="Arial" w:cs="Arial"/>
                <w:kern w:val="0"/>
                <w:sz w:val="24"/>
                <w:szCs w:val="24"/>
                <w:lang w:eastAsia="en-GB"/>
                <w14:ligatures w14:val="none"/>
              </w:rPr>
              <w:t>Included within the above figures are receivables for case administration fees £32.8m (2022-23: £33.2m) for amounts expected to be recovered within one year and £19.8m (2022-23: £19.8m) for case administration fees expected to be recovered in more than one year. These represent sums recoverable by the Agency for case administration work undertaken, but not yet received.</w:t>
            </w:r>
            <w:r>
              <w:rPr>
                <w:rFonts w:ascii="Arial" w:eastAsia="Times New Roman" w:hAnsi="Arial" w:cs="Arial"/>
                <w:kern w:val="0"/>
                <w:sz w:val="24"/>
                <w:szCs w:val="24"/>
                <w:lang w:eastAsia="en-GB"/>
                <w14:ligatures w14:val="none"/>
              </w:rPr>
              <w:br/>
            </w:r>
          </w:p>
          <w:p w14:paraId="2E7CC85E" w14:textId="374288C4" w:rsidR="002D4D9E" w:rsidRPr="00F140CC" w:rsidRDefault="002D4D9E">
            <w:pPr>
              <w:spacing w:after="0" w:line="240" w:lineRule="auto"/>
              <w:rPr>
                <w:rFonts w:ascii="Arial" w:eastAsia="Times New Roman" w:hAnsi="Arial" w:cs="Arial"/>
                <w:kern w:val="0"/>
                <w:sz w:val="24"/>
                <w:szCs w:val="24"/>
                <w:lang w:eastAsia="en-GB"/>
                <w14:ligatures w14:val="none"/>
              </w:rPr>
            </w:pPr>
            <w:r w:rsidRPr="00F140CC">
              <w:rPr>
                <w:rFonts w:ascii="Arial" w:eastAsia="Times New Roman" w:hAnsi="Arial" w:cs="Arial"/>
                <w:kern w:val="0"/>
                <w:sz w:val="24"/>
                <w:szCs w:val="24"/>
                <w:lang w:eastAsia="en-GB"/>
                <w14:ligatures w14:val="none"/>
              </w:rPr>
              <w:t>The costs to the Agency of administering personal bankruptcies and company liquidations are reflected in the charging of case administration fees. Case administration fees comprise the following individual fees charged to a case in the following order, Trustee Liquidator Fee, Administration Fee, General Fee and a Distribution (Time &amp; Rate) Fee.</w:t>
            </w:r>
            <w:r>
              <w:rPr>
                <w:rFonts w:ascii="Arial" w:eastAsia="Times New Roman" w:hAnsi="Arial" w:cs="Arial"/>
                <w:kern w:val="0"/>
                <w:sz w:val="24"/>
                <w:szCs w:val="24"/>
                <w:lang w:eastAsia="en-GB"/>
                <w14:ligatures w14:val="none"/>
              </w:rPr>
              <w:br/>
            </w:r>
          </w:p>
          <w:p w14:paraId="041F8183" w14:textId="0E85A6BD" w:rsidR="002D4D9E" w:rsidRPr="00F140CC" w:rsidRDefault="002D4D9E">
            <w:pPr>
              <w:spacing w:after="0" w:line="240" w:lineRule="auto"/>
              <w:rPr>
                <w:rFonts w:ascii="Arial" w:eastAsia="Times New Roman" w:hAnsi="Arial" w:cs="Arial"/>
                <w:kern w:val="0"/>
                <w:sz w:val="24"/>
                <w:szCs w:val="24"/>
                <w:lang w:eastAsia="en-GB"/>
                <w14:ligatures w14:val="none"/>
              </w:rPr>
            </w:pPr>
            <w:r w:rsidRPr="00F140CC">
              <w:rPr>
                <w:rFonts w:ascii="Arial" w:eastAsia="Times New Roman" w:hAnsi="Arial" w:cs="Arial"/>
                <w:kern w:val="0"/>
                <w:sz w:val="24"/>
                <w:szCs w:val="24"/>
                <w:lang w:eastAsia="en-GB"/>
                <w14:ligatures w14:val="none"/>
              </w:rPr>
              <w:t>In practice, the Agency recovers its fees in part through the receipt of a deposit with the balance of fees applied to the case being met as assets are realised. Actual cash recoveries from asset realisations lag income recognised in the accounts and the difference between the two is therefore reported as a receivable.</w:t>
            </w:r>
            <w:r>
              <w:rPr>
                <w:rFonts w:ascii="Arial" w:eastAsia="Times New Roman" w:hAnsi="Arial" w:cs="Arial"/>
                <w:kern w:val="0"/>
                <w:sz w:val="24"/>
                <w:szCs w:val="24"/>
                <w:lang w:eastAsia="en-GB"/>
                <w14:ligatures w14:val="none"/>
              </w:rPr>
              <w:br/>
            </w:r>
          </w:p>
          <w:p w14:paraId="47B83D61" w14:textId="77777777" w:rsidR="002D4D9E" w:rsidRPr="00F140CC" w:rsidRDefault="002D4D9E">
            <w:pPr>
              <w:spacing w:after="0" w:line="240" w:lineRule="auto"/>
              <w:rPr>
                <w:rFonts w:ascii="Arial" w:eastAsia="Times New Roman" w:hAnsi="Arial" w:cs="Arial"/>
                <w:kern w:val="0"/>
                <w:sz w:val="24"/>
                <w:szCs w:val="24"/>
                <w:lang w:eastAsia="en-GB"/>
                <w14:ligatures w14:val="none"/>
              </w:rPr>
            </w:pPr>
            <w:r w:rsidRPr="00F140CC">
              <w:rPr>
                <w:rFonts w:ascii="Arial" w:eastAsia="Times New Roman" w:hAnsi="Arial" w:cs="Arial"/>
                <w:kern w:val="0"/>
                <w:sz w:val="24"/>
                <w:szCs w:val="24"/>
                <w:lang w:eastAsia="en-GB"/>
                <w14:ligatures w14:val="none"/>
              </w:rPr>
              <w:t xml:space="preserve">Not all cases have sufficient assets to cover the fees due. The Agency has sought to mitigate the risks of under-recovery through aligning fees charged, to realisable assets and to ensure that the cost of the service is borne by users of the service. </w:t>
            </w:r>
          </w:p>
          <w:p w14:paraId="6F366571" w14:textId="77777777" w:rsidR="001558C8" w:rsidRPr="00F140CC" w:rsidRDefault="001558C8">
            <w:pPr>
              <w:spacing w:after="0" w:line="240" w:lineRule="auto"/>
              <w:rPr>
                <w:rFonts w:ascii="Arial" w:eastAsia="Times New Roman" w:hAnsi="Arial" w:cs="Arial"/>
                <w:kern w:val="0"/>
                <w:sz w:val="24"/>
                <w:szCs w:val="24"/>
                <w:lang w:eastAsia="en-GB"/>
                <w14:ligatures w14:val="none"/>
              </w:rPr>
            </w:pPr>
          </w:p>
          <w:p w14:paraId="02179453" w14:textId="77777777" w:rsidR="002D4D9E" w:rsidRPr="00F140CC" w:rsidRDefault="002D4D9E">
            <w:pPr>
              <w:spacing w:after="0" w:line="240" w:lineRule="auto"/>
              <w:rPr>
                <w:rFonts w:ascii="Arial" w:eastAsia="Times New Roman" w:hAnsi="Arial" w:cs="Arial"/>
                <w:kern w:val="0"/>
                <w:sz w:val="24"/>
                <w:szCs w:val="24"/>
                <w:lang w:eastAsia="en-GB"/>
                <w14:ligatures w14:val="none"/>
              </w:rPr>
            </w:pPr>
            <w:r w:rsidRPr="00F140CC">
              <w:rPr>
                <w:rFonts w:ascii="Arial" w:eastAsia="Times New Roman" w:hAnsi="Arial" w:cs="Arial"/>
                <w:b/>
                <w:bCs/>
                <w:kern w:val="0"/>
                <w:sz w:val="24"/>
                <w:szCs w:val="24"/>
                <w:lang w:eastAsia="en-GB"/>
                <w14:ligatures w14:val="none"/>
              </w:rPr>
              <w:t>Factors which influence the timing, nature and amount of future fee recoveries</w:t>
            </w:r>
          </w:p>
          <w:p w14:paraId="5DA1DEB6" w14:textId="385A6AD7" w:rsidR="002D4D9E" w:rsidRPr="00F140CC" w:rsidRDefault="002D4D9E">
            <w:pPr>
              <w:spacing w:after="0" w:line="240" w:lineRule="auto"/>
              <w:rPr>
                <w:rFonts w:ascii="Arial" w:eastAsia="Times New Roman" w:hAnsi="Arial" w:cs="Arial"/>
                <w:kern w:val="0"/>
                <w:sz w:val="24"/>
                <w:szCs w:val="24"/>
                <w:lang w:eastAsia="en-GB"/>
                <w14:ligatures w14:val="none"/>
              </w:rPr>
            </w:pPr>
            <w:r w:rsidRPr="00F140CC">
              <w:rPr>
                <w:rFonts w:ascii="Arial" w:eastAsia="Times New Roman" w:hAnsi="Arial" w:cs="Arial"/>
                <w:kern w:val="0"/>
                <w:sz w:val="24"/>
                <w:szCs w:val="24"/>
                <w:lang w:eastAsia="en-GB"/>
                <w14:ligatures w14:val="none"/>
              </w:rPr>
              <w:t>The determination of future fee recovery is subject to considerable uncertainty. It has proved difficult to establish reliable estimates of future asset realisations for cases in bankruptcy or liquidation. The Agency combines evidence of past asset recoveries with statistically based approaches to assess overall fee recoveries.</w:t>
            </w:r>
            <w:r>
              <w:rPr>
                <w:rFonts w:ascii="Arial" w:eastAsia="Times New Roman" w:hAnsi="Arial" w:cs="Arial"/>
                <w:kern w:val="0"/>
                <w:sz w:val="24"/>
                <w:szCs w:val="24"/>
                <w:lang w:eastAsia="en-GB"/>
                <w14:ligatures w14:val="none"/>
              </w:rPr>
              <w:br/>
            </w:r>
          </w:p>
          <w:p w14:paraId="25E9CC8E" w14:textId="77777777" w:rsidR="002D4D9E" w:rsidRPr="00F140CC" w:rsidRDefault="002D4D9E">
            <w:pPr>
              <w:spacing w:after="0" w:line="240" w:lineRule="auto"/>
              <w:rPr>
                <w:rFonts w:ascii="Arial" w:eastAsia="Times New Roman" w:hAnsi="Arial" w:cs="Arial"/>
                <w:kern w:val="0"/>
                <w:sz w:val="24"/>
                <w:szCs w:val="24"/>
                <w:lang w:eastAsia="en-GB"/>
                <w14:ligatures w14:val="none"/>
              </w:rPr>
            </w:pPr>
            <w:r w:rsidRPr="00F140CC">
              <w:rPr>
                <w:rFonts w:ascii="Arial" w:eastAsia="Times New Roman" w:hAnsi="Arial" w:cs="Arial"/>
                <w:kern w:val="0"/>
                <w:sz w:val="24"/>
                <w:szCs w:val="24"/>
                <w:lang w:eastAsia="en-GB"/>
                <w14:ligatures w14:val="none"/>
              </w:rPr>
              <w:t>The main forecasting uncertainties are:</w:t>
            </w:r>
          </w:p>
          <w:p w14:paraId="315D3481" w14:textId="77777777" w:rsidR="00450CEA" w:rsidRDefault="002D4D9E" w:rsidP="00A571E2">
            <w:pPr>
              <w:spacing w:after="0" w:line="240" w:lineRule="auto"/>
              <w:ind w:left="313" w:hanging="313"/>
              <w:rPr>
                <w:rFonts w:ascii="Arial" w:eastAsia="Times New Roman" w:hAnsi="Arial" w:cs="Arial"/>
                <w:kern w:val="0"/>
                <w:sz w:val="24"/>
                <w:szCs w:val="24"/>
                <w:lang w:eastAsia="en-GB"/>
                <w14:ligatures w14:val="none"/>
              </w:rPr>
            </w:pPr>
            <w:r w:rsidRPr="00F140CC">
              <w:rPr>
                <w:rFonts w:ascii="Arial" w:eastAsia="Times New Roman" w:hAnsi="Arial" w:cs="Arial"/>
                <w:kern w:val="0"/>
                <w:sz w:val="24"/>
                <w:szCs w:val="24"/>
                <w:lang w:eastAsia="en-GB"/>
                <w14:ligatures w14:val="none"/>
              </w:rPr>
              <w:t xml:space="preserve">     • the pattern and period over which assets will be realised to fund fee recoveries; </w:t>
            </w:r>
            <w:r w:rsidRPr="00F140CC">
              <w:rPr>
                <w:rFonts w:ascii="Arial" w:eastAsia="Times New Roman" w:hAnsi="Arial" w:cs="Arial"/>
                <w:kern w:val="0"/>
                <w:sz w:val="24"/>
                <w:szCs w:val="24"/>
                <w:lang w:eastAsia="en-GB"/>
                <w14:ligatures w14:val="none"/>
              </w:rPr>
              <w:br/>
              <w:t>• the average realisable value of assets of estates entering bankruptcy or liquidation.</w:t>
            </w:r>
            <w:r w:rsidR="00450CEA" w:rsidRPr="00F140CC">
              <w:rPr>
                <w:rFonts w:ascii="Arial" w:eastAsia="Times New Roman" w:hAnsi="Arial" w:cs="Arial"/>
                <w:kern w:val="0"/>
                <w:sz w:val="24"/>
                <w:szCs w:val="24"/>
                <w:lang w:eastAsia="en-GB"/>
                <w14:ligatures w14:val="none"/>
              </w:rPr>
              <w:t xml:space="preserve"> </w:t>
            </w:r>
          </w:p>
          <w:p w14:paraId="1A6C52FF" w14:textId="77777777" w:rsidR="00450CEA" w:rsidRDefault="00450CEA" w:rsidP="00A571E2">
            <w:pPr>
              <w:spacing w:after="0" w:line="240" w:lineRule="auto"/>
              <w:ind w:left="313" w:hanging="313"/>
              <w:rPr>
                <w:rFonts w:ascii="Arial" w:eastAsia="Times New Roman" w:hAnsi="Arial" w:cs="Arial"/>
                <w:kern w:val="0"/>
                <w:sz w:val="24"/>
                <w:szCs w:val="24"/>
                <w:lang w:eastAsia="en-GB"/>
                <w14:ligatures w14:val="none"/>
              </w:rPr>
            </w:pPr>
          </w:p>
          <w:p w14:paraId="38235E93" w14:textId="5FB413E6" w:rsidR="002D4D9E" w:rsidRPr="00F140CC" w:rsidRDefault="00450CEA" w:rsidP="00450CEA">
            <w:pPr>
              <w:spacing w:after="0" w:line="240" w:lineRule="auto"/>
              <w:ind w:left="35" w:hanging="35"/>
              <w:jc w:val="both"/>
              <w:rPr>
                <w:rFonts w:ascii="Arial" w:eastAsia="Times New Roman" w:hAnsi="Arial" w:cs="Arial"/>
                <w:kern w:val="0"/>
                <w:sz w:val="24"/>
                <w:szCs w:val="24"/>
                <w:lang w:eastAsia="en-GB"/>
                <w14:ligatures w14:val="none"/>
              </w:rPr>
            </w:pPr>
            <w:r w:rsidRPr="00F140CC">
              <w:rPr>
                <w:rFonts w:ascii="Arial" w:eastAsia="Times New Roman" w:hAnsi="Arial" w:cs="Arial"/>
                <w:kern w:val="0"/>
                <w:sz w:val="24"/>
                <w:szCs w:val="24"/>
                <w:lang w:eastAsia="en-GB"/>
                <w14:ligatures w14:val="none"/>
              </w:rPr>
              <w:t>The risk to fee recovery which might arise from impairment to the portfolio of assets has been subject to sensitivity testing, which estimated a &lt;2.3% impact on fees from a 5% impairment and a &lt;4.7% impact on fees from a 10% impairment. The wide range of assets within the portfolio mitigates the likelihood of any impact on the overall value of assets.</w:t>
            </w:r>
          </w:p>
        </w:tc>
      </w:tr>
    </w:tbl>
    <w:p w14:paraId="06BA23E9" w14:textId="77777777" w:rsidR="0024411D" w:rsidRDefault="0024411D">
      <w:r>
        <w:br w:type="page"/>
      </w:r>
    </w:p>
    <w:tbl>
      <w:tblPr>
        <w:tblW w:w="9072" w:type="dxa"/>
        <w:tblLayout w:type="fixed"/>
        <w:tblLook w:val="04A0" w:firstRow="1" w:lastRow="0" w:firstColumn="1" w:lastColumn="0" w:noHBand="0" w:noVBand="1"/>
      </w:tblPr>
      <w:tblGrid>
        <w:gridCol w:w="567"/>
        <w:gridCol w:w="5809"/>
        <w:gridCol w:w="1279"/>
        <w:gridCol w:w="1417"/>
      </w:tblGrid>
      <w:tr w:rsidR="00560745" w14:paraId="2BB2C870" w14:textId="77777777" w:rsidTr="0024411D">
        <w:trPr>
          <w:trHeight w:val="310"/>
        </w:trPr>
        <w:tc>
          <w:tcPr>
            <w:tcW w:w="567" w:type="dxa"/>
            <w:tcMar>
              <w:top w:w="15" w:type="dxa"/>
              <w:left w:w="108" w:type="dxa"/>
              <w:bottom w:w="0" w:type="dxa"/>
              <w:right w:w="108" w:type="dxa"/>
            </w:tcMar>
            <w:vAlign w:val="bottom"/>
            <w:hideMark/>
          </w:tcPr>
          <w:p w14:paraId="71CAFFA6" w14:textId="37DF25CE" w:rsidR="00560745" w:rsidRPr="00F140CC" w:rsidRDefault="00A56C6C">
            <w:pPr>
              <w:spacing w:after="0" w:line="240" w:lineRule="auto"/>
              <w:ind w:firstLineChars="12" w:firstLine="26"/>
              <w:rPr>
                <w:rFonts w:ascii="Arial" w:eastAsia="Times New Roman" w:hAnsi="Arial" w:cs="Arial"/>
                <w:b/>
                <w:bCs/>
                <w:kern w:val="0"/>
                <w:sz w:val="24"/>
                <w:szCs w:val="24"/>
                <w:lang w:eastAsia="en-GB"/>
                <w14:ligatures w14:val="none"/>
              </w:rPr>
            </w:pPr>
            <w:r>
              <w:lastRenderedPageBreak/>
              <w:br w:type="page"/>
            </w:r>
            <w:r>
              <w:br w:type="page"/>
            </w:r>
            <w:r w:rsidR="00560745" w:rsidRPr="00F140CC">
              <w:rPr>
                <w:rFonts w:ascii="Arial" w:eastAsia="Times New Roman" w:hAnsi="Arial" w:cs="Arial"/>
                <w:b/>
                <w:bCs/>
                <w:kern w:val="0"/>
                <w:sz w:val="24"/>
                <w:szCs w:val="24"/>
                <w:lang w:eastAsia="en-GB"/>
                <w14:ligatures w14:val="none"/>
              </w:rPr>
              <w:t>10</w:t>
            </w:r>
          </w:p>
        </w:tc>
        <w:tc>
          <w:tcPr>
            <w:tcW w:w="5809" w:type="dxa"/>
            <w:tcMar>
              <w:top w:w="15" w:type="dxa"/>
              <w:left w:w="108" w:type="dxa"/>
              <w:bottom w:w="0" w:type="dxa"/>
              <w:right w:w="108" w:type="dxa"/>
            </w:tcMar>
            <w:vAlign w:val="bottom"/>
            <w:hideMark/>
          </w:tcPr>
          <w:p w14:paraId="13BE781F" w14:textId="77777777" w:rsidR="00560745" w:rsidRPr="00F140CC" w:rsidRDefault="00560745">
            <w:pPr>
              <w:spacing w:after="0" w:line="240" w:lineRule="auto"/>
              <w:rPr>
                <w:rFonts w:ascii="Arial" w:eastAsia="Times New Roman" w:hAnsi="Arial" w:cs="Arial"/>
                <w:b/>
                <w:bCs/>
                <w:kern w:val="0"/>
                <w:sz w:val="24"/>
                <w:szCs w:val="24"/>
                <w:lang w:eastAsia="en-GB"/>
                <w14:ligatures w14:val="none"/>
              </w:rPr>
            </w:pPr>
            <w:r w:rsidRPr="00F140CC">
              <w:rPr>
                <w:rFonts w:ascii="Arial" w:eastAsia="Times New Roman" w:hAnsi="Arial" w:cs="Arial"/>
                <w:b/>
                <w:bCs/>
                <w:kern w:val="0"/>
                <w:sz w:val="24"/>
                <w:szCs w:val="24"/>
                <w:lang w:eastAsia="en-GB"/>
                <w14:ligatures w14:val="none"/>
              </w:rPr>
              <w:t>Cash and cash equivalents</w:t>
            </w:r>
          </w:p>
        </w:tc>
        <w:tc>
          <w:tcPr>
            <w:tcW w:w="2696" w:type="dxa"/>
            <w:gridSpan w:val="2"/>
            <w:tcMar>
              <w:top w:w="15" w:type="dxa"/>
              <w:left w:w="108" w:type="dxa"/>
              <w:bottom w:w="0" w:type="dxa"/>
              <w:right w:w="108" w:type="dxa"/>
            </w:tcMar>
            <w:vAlign w:val="center"/>
            <w:hideMark/>
          </w:tcPr>
          <w:p w14:paraId="0D12F7A2" w14:textId="77777777" w:rsidR="00560745" w:rsidRDefault="00560745">
            <w:pPr>
              <w:rPr>
                <w:rFonts w:eastAsia="Times New Roman"/>
                <w:b/>
                <w:bCs/>
                <w:kern w:val="0"/>
                <w:lang w:eastAsia="en-GB"/>
                <w14:ligatures w14:val="none"/>
              </w:rPr>
            </w:pPr>
          </w:p>
        </w:tc>
      </w:tr>
      <w:tr w:rsidR="00560745" w14:paraId="3FEC2910" w14:textId="77777777" w:rsidTr="0024411D">
        <w:trPr>
          <w:trHeight w:val="310"/>
        </w:trPr>
        <w:tc>
          <w:tcPr>
            <w:tcW w:w="6376" w:type="dxa"/>
            <w:gridSpan w:val="2"/>
            <w:noWrap/>
            <w:tcMar>
              <w:top w:w="15" w:type="dxa"/>
              <w:left w:w="108" w:type="dxa"/>
              <w:bottom w:w="0" w:type="dxa"/>
              <w:right w:w="108" w:type="dxa"/>
            </w:tcMar>
            <w:vAlign w:val="bottom"/>
            <w:hideMark/>
          </w:tcPr>
          <w:p w14:paraId="5AD369F2"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7B9449F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417" w:type="dxa"/>
            <w:noWrap/>
            <w:tcMar>
              <w:top w:w="15" w:type="dxa"/>
              <w:left w:w="108" w:type="dxa"/>
              <w:bottom w:w="0" w:type="dxa"/>
              <w:right w:w="108" w:type="dxa"/>
            </w:tcMar>
            <w:vAlign w:val="bottom"/>
            <w:hideMark/>
          </w:tcPr>
          <w:p w14:paraId="02E5AB6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560745" w14:paraId="3264C2EB" w14:textId="77777777" w:rsidTr="0024411D">
        <w:trPr>
          <w:trHeight w:val="320"/>
        </w:trPr>
        <w:tc>
          <w:tcPr>
            <w:tcW w:w="6376" w:type="dxa"/>
            <w:gridSpan w:val="2"/>
            <w:noWrap/>
            <w:tcMar>
              <w:top w:w="15" w:type="dxa"/>
              <w:left w:w="108" w:type="dxa"/>
              <w:bottom w:w="0" w:type="dxa"/>
              <w:right w:w="108" w:type="dxa"/>
            </w:tcMar>
            <w:vAlign w:val="bottom"/>
            <w:hideMark/>
          </w:tcPr>
          <w:p w14:paraId="54B82379" w14:textId="77777777" w:rsidR="00560745" w:rsidRDefault="00560745">
            <w:pPr>
              <w:spacing w:after="0"/>
              <w:rPr>
                <w:kern w:val="0"/>
                <w:sz w:val="20"/>
                <w:szCs w:val="20"/>
                <w:lang w:eastAsia="en-GB"/>
                <w14:ligatures w14:val="none"/>
              </w:rPr>
            </w:pPr>
          </w:p>
        </w:tc>
        <w:tc>
          <w:tcPr>
            <w:tcW w:w="1279" w:type="dxa"/>
            <w:tcBorders>
              <w:top w:val="nil"/>
              <w:left w:val="nil"/>
              <w:bottom w:val="single" w:sz="8" w:space="0" w:color="auto"/>
              <w:right w:val="nil"/>
            </w:tcBorders>
            <w:noWrap/>
            <w:tcMar>
              <w:top w:w="15" w:type="dxa"/>
              <w:left w:w="108" w:type="dxa"/>
              <w:bottom w:w="0" w:type="dxa"/>
              <w:right w:w="108" w:type="dxa"/>
            </w:tcMar>
            <w:vAlign w:val="bottom"/>
            <w:hideMark/>
          </w:tcPr>
          <w:p w14:paraId="3735AD6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417" w:type="dxa"/>
            <w:tcBorders>
              <w:top w:val="nil"/>
              <w:left w:val="nil"/>
              <w:bottom w:val="single" w:sz="8" w:space="0" w:color="auto"/>
              <w:right w:val="nil"/>
            </w:tcBorders>
            <w:noWrap/>
            <w:tcMar>
              <w:top w:w="15" w:type="dxa"/>
              <w:left w:w="108" w:type="dxa"/>
              <w:bottom w:w="0" w:type="dxa"/>
              <w:right w:w="108" w:type="dxa"/>
            </w:tcMar>
            <w:vAlign w:val="bottom"/>
            <w:hideMark/>
          </w:tcPr>
          <w:p w14:paraId="214A171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691C29AD" w14:textId="77777777" w:rsidTr="0024411D">
        <w:trPr>
          <w:trHeight w:val="310"/>
        </w:trPr>
        <w:tc>
          <w:tcPr>
            <w:tcW w:w="6376" w:type="dxa"/>
            <w:gridSpan w:val="2"/>
            <w:noWrap/>
            <w:tcMar>
              <w:top w:w="15" w:type="dxa"/>
              <w:left w:w="108" w:type="dxa"/>
              <w:bottom w:w="0" w:type="dxa"/>
              <w:right w:w="108" w:type="dxa"/>
            </w:tcMar>
            <w:vAlign w:val="bottom"/>
            <w:hideMark/>
          </w:tcPr>
          <w:p w14:paraId="505EC8A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Balance at 1 April </w:t>
            </w:r>
          </w:p>
        </w:tc>
        <w:tc>
          <w:tcPr>
            <w:tcW w:w="1279" w:type="dxa"/>
            <w:noWrap/>
            <w:tcMar>
              <w:top w:w="15" w:type="dxa"/>
              <w:left w:w="108" w:type="dxa"/>
              <w:bottom w:w="0" w:type="dxa"/>
              <w:right w:w="108" w:type="dxa"/>
            </w:tcMar>
            <w:vAlign w:val="center"/>
            <w:hideMark/>
          </w:tcPr>
          <w:p w14:paraId="5F457A9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335,902 </w:t>
            </w:r>
          </w:p>
        </w:tc>
        <w:tc>
          <w:tcPr>
            <w:tcW w:w="1417" w:type="dxa"/>
            <w:noWrap/>
            <w:tcMar>
              <w:top w:w="15" w:type="dxa"/>
              <w:left w:w="108" w:type="dxa"/>
              <w:bottom w:w="0" w:type="dxa"/>
              <w:right w:w="108" w:type="dxa"/>
            </w:tcMar>
            <w:vAlign w:val="center"/>
            <w:hideMark/>
          </w:tcPr>
          <w:p w14:paraId="077D330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283,366 </w:t>
            </w:r>
          </w:p>
        </w:tc>
      </w:tr>
      <w:tr w:rsidR="00560745" w14:paraId="1B13CC8D" w14:textId="77777777" w:rsidTr="0024411D">
        <w:trPr>
          <w:trHeight w:val="310"/>
        </w:trPr>
        <w:tc>
          <w:tcPr>
            <w:tcW w:w="6376" w:type="dxa"/>
            <w:gridSpan w:val="2"/>
            <w:noWrap/>
            <w:tcMar>
              <w:top w:w="15" w:type="dxa"/>
              <w:left w:w="108" w:type="dxa"/>
              <w:bottom w:w="0" w:type="dxa"/>
              <w:right w:w="108" w:type="dxa"/>
            </w:tcMar>
            <w:vAlign w:val="center"/>
            <w:hideMark/>
          </w:tcPr>
          <w:p w14:paraId="2372400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Net change in cash and cash equivalent balances</w:t>
            </w:r>
          </w:p>
        </w:tc>
        <w:tc>
          <w:tcPr>
            <w:tcW w:w="1279" w:type="dxa"/>
            <w:noWrap/>
            <w:tcMar>
              <w:top w:w="15" w:type="dxa"/>
              <w:left w:w="108" w:type="dxa"/>
              <w:bottom w:w="0" w:type="dxa"/>
              <w:right w:w="108" w:type="dxa"/>
            </w:tcMar>
            <w:vAlign w:val="center"/>
            <w:hideMark/>
          </w:tcPr>
          <w:p w14:paraId="71103C3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(139,107) </w:t>
            </w:r>
          </w:p>
        </w:tc>
        <w:tc>
          <w:tcPr>
            <w:tcW w:w="1417" w:type="dxa"/>
            <w:noWrap/>
            <w:tcMar>
              <w:top w:w="15" w:type="dxa"/>
              <w:left w:w="108" w:type="dxa"/>
              <w:bottom w:w="0" w:type="dxa"/>
              <w:right w:w="108" w:type="dxa"/>
            </w:tcMar>
            <w:vAlign w:val="center"/>
            <w:hideMark/>
          </w:tcPr>
          <w:p w14:paraId="16E2EFB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52,536 </w:t>
            </w:r>
          </w:p>
        </w:tc>
      </w:tr>
      <w:tr w:rsidR="00560745" w14:paraId="77DFC61F" w14:textId="77777777" w:rsidTr="0024411D">
        <w:trPr>
          <w:trHeight w:val="320"/>
        </w:trPr>
        <w:tc>
          <w:tcPr>
            <w:tcW w:w="6376" w:type="dxa"/>
            <w:gridSpan w:val="2"/>
            <w:noWrap/>
            <w:tcMar>
              <w:top w:w="15" w:type="dxa"/>
              <w:left w:w="108" w:type="dxa"/>
              <w:bottom w:w="0" w:type="dxa"/>
              <w:right w:w="108" w:type="dxa"/>
            </w:tcMar>
            <w:vAlign w:val="center"/>
            <w:hideMark/>
          </w:tcPr>
          <w:p w14:paraId="11A062B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Balance at 31 March</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50F82F3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196,795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5C38534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335,902 </w:t>
            </w:r>
          </w:p>
        </w:tc>
      </w:tr>
      <w:tr w:rsidR="00560745" w14:paraId="0A457A71" w14:textId="77777777" w:rsidTr="0024411D">
        <w:trPr>
          <w:trHeight w:val="310"/>
        </w:trPr>
        <w:tc>
          <w:tcPr>
            <w:tcW w:w="6376" w:type="dxa"/>
            <w:gridSpan w:val="2"/>
            <w:noWrap/>
            <w:tcMar>
              <w:top w:w="15" w:type="dxa"/>
              <w:left w:w="108" w:type="dxa"/>
              <w:bottom w:w="0" w:type="dxa"/>
              <w:right w:w="108" w:type="dxa"/>
            </w:tcMar>
            <w:vAlign w:val="bottom"/>
            <w:hideMark/>
          </w:tcPr>
          <w:p w14:paraId="1CC94F46"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71F2ED45" w14:textId="77777777" w:rsidR="00560745" w:rsidRDefault="00560745">
            <w:pPr>
              <w:spacing w:after="0"/>
              <w:rPr>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0F855CCA" w14:textId="77777777" w:rsidR="00560745" w:rsidRDefault="00560745">
            <w:pPr>
              <w:spacing w:after="0"/>
              <w:rPr>
                <w:kern w:val="0"/>
                <w:sz w:val="20"/>
                <w:szCs w:val="20"/>
                <w:lang w:eastAsia="en-GB"/>
                <w14:ligatures w14:val="none"/>
              </w:rPr>
            </w:pPr>
          </w:p>
        </w:tc>
      </w:tr>
      <w:tr w:rsidR="00560745" w14:paraId="323F29BC" w14:textId="77777777" w:rsidTr="0024411D">
        <w:trPr>
          <w:trHeight w:val="310"/>
        </w:trPr>
        <w:tc>
          <w:tcPr>
            <w:tcW w:w="6376" w:type="dxa"/>
            <w:gridSpan w:val="2"/>
            <w:noWrap/>
            <w:tcMar>
              <w:top w:w="15" w:type="dxa"/>
              <w:left w:w="108" w:type="dxa"/>
              <w:bottom w:w="0" w:type="dxa"/>
              <w:right w:w="108" w:type="dxa"/>
            </w:tcMar>
            <w:vAlign w:val="bottom"/>
            <w:hideMark/>
          </w:tcPr>
          <w:p w14:paraId="3D224A1F"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The following balances at 31 March were held at:</w:t>
            </w:r>
          </w:p>
        </w:tc>
        <w:tc>
          <w:tcPr>
            <w:tcW w:w="1279" w:type="dxa"/>
            <w:noWrap/>
            <w:tcMar>
              <w:top w:w="15" w:type="dxa"/>
              <w:left w:w="108" w:type="dxa"/>
              <w:bottom w:w="0" w:type="dxa"/>
              <w:right w:w="108" w:type="dxa"/>
            </w:tcMar>
            <w:vAlign w:val="bottom"/>
            <w:hideMark/>
          </w:tcPr>
          <w:p w14:paraId="67824E4B"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0D027495" w14:textId="77777777" w:rsidR="00560745" w:rsidRDefault="00560745">
            <w:pPr>
              <w:spacing w:after="0"/>
              <w:rPr>
                <w:kern w:val="0"/>
                <w:sz w:val="20"/>
                <w:szCs w:val="20"/>
                <w:lang w:eastAsia="en-GB"/>
                <w14:ligatures w14:val="none"/>
              </w:rPr>
            </w:pPr>
          </w:p>
        </w:tc>
      </w:tr>
      <w:tr w:rsidR="00560745" w14:paraId="323A9ED7" w14:textId="77777777" w:rsidTr="0024411D">
        <w:trPr>
          <w:trHeight w:val="310"/>
        </w:trPr>
        <w:tc>
          <w:tcPr>
            <w:tcW w:w="6376" w:type="dxa"/>
            <w:gridSpan w:val="2"/>
            <w:noWrap/>
            <w:tcMar>
              <w:top w:w="15" w:type="dxa"/>
              <w:left w:w="108" w:type="dxa"/>
              <w:bottom w:w="0" w:type="dxa"/>
              <w:right w:w="108" w:type="dxa"/>
            </w:tcMar>
            <w:vAlign w:val="center"/>
            <w:hideMark/>
          </w:tcPr>
          <w:p w14:paraId="3763E14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Government banking service (ISA account)</w:t>
            </w:r>
          </w:p>
        </w:tc>
        <w:tc>
          <w:tcPr>
            <w:tcW w:w="1279" w:type="dxa"/>
            <w:noWrap/>
            <w:tcMar>
              <w:top w:w="15" w:type="dxa"/>
              <w:left w:w="108" w:type="dxa"/>
              <w:bottom w:w="0" w:type="dxa"/>
              <w:right w:w="108" w:type="dxa"/>
            </w:tcMar>
            <w:vAlign w:val="center"/>
            <w:hideMark/>
          </w:tcPr>
          <w:p w14:paraId="0DC7589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186,297 </w:t>
            </w:r>
          </w:p>
        </w:tc>
        <w:tc>
          <w:tcPr>
            <w:tcW w:w="1417" w:type="dxa"/>
            <w:noWrap/>
            <w:tcMar>
              <w:top w:w="15" w:type="dxa"/>
              <w:left w:w="108" w:type="dxa"/>
              <w:bottom w:w="0" w:type="dxa"/>
              <w:right w:w="108" w:type="dxa"/>
            </w:tcMar>
            <w:vAlign w:val="center"/>
            <w:hideMark/>
          </w:tcPr>
          <w:p w14:paraId="339D3D0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305,656 </w:t>
            </w:r>
          </w:p>
        </w:tc>
      </w:tr>
      <w:tr w:rsidR="00560745" w14:paraId="4BF49D42" w14:textId="77777777" w:rsidTr="0024411D">
        <w:trPr>
          <w:trHeight w:val="310"/>
        </w:trPr>
        <w:tc>
          <w:tcPr>
            <w:tcW w:w="6376" w:type="dxa"/>
            <w:gridSpan w:val="2"/>
            <w:noWrap/>
            <w:tcMar>
              <w:top w:w="15" w:type="dxa"/>
              <w:left w:w="108" w:type="dxa"/>
              <w:bottom w:w="0" w:type="dxa"/>
              <w:right w:w="108" w:type="dxa"/>
            </w:tcMar>
            <w:vAlign w:val="center"/>
            <w:hideMark/>
          </w:tcPr>
          <w:p w14:paraId="438BB30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Government banking service</w:t>
            </w:r>
          </w:p>
        </w:tc>
        <w:tc>
          <w:tcPr>
            <w:tcW w:w="1279" w:type="dxa"/>
            <w:noWrap/>
            <w:tcMar>
              <w:top w:w="15" w:type="dxa"/>
              <w:left w:w="108" w:type="dxa"/>
              <w:bottom w:w="0" w:type="dxa"/>
              <w:right w:w="108" w:type="dxa"/>
            </w:tcMar>
            <w:vAlign w:val="center"/>
            <w:hideMark/>
          </w:tcPr>
          <w:p w14:paraId="616087F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10,498 </w:t>
            </w:r>
          </w:p>
        </w:tc>
        <w:tc>
          <w:tcPr>
            <w:tcW w:w="1417" w:type="dxa"/>
            <w:noWrap/>
            <w:tcMar>
              <w:top w:w="15" w:type="dxa"/>
              <w:left w:w="108" w:type="dxa"/>
              <w:bottom w:w="0" w:type="dxa"/>
              <w:right w:w="108" w:type="dxa"/>
            </w:tcMar>
            <w:vAlign w:val="center"/>
            <w:hideMark/>
          </w:tcPr>
          <w:p w14:paraId="4F4CAF7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30,246</w:t>
            </w:r>
          </w:p>
        </w:tc>
      </w:tr>
      <w:tr w:rsidR="00560745" w14:paraId="3AD4E11B" w14:textId="77777777" w:rsidTr="0024411D">
        <w:trPr>
          <w:trHeight w:val="320"/>
        </w:trPr>
        <w:tc>
          <w:tcPr>
            <w:tcW w:w="6376" w:type="dxa"/>
            <w:gridSpan w:val="2"/>
            <w:noWrap/>
            <w:tcMar>
              <w:top w:w="15" w:type="dxa"/>
              <w:left w:w="108" w:type="dxa"/>
              <w:bottom w:w="0" w:type="dxa"/>
              <w:right w:w="108" w:type="dxa"/>
            </w:tcMar>
            <w:vAlign w:val="center"/>
            <w:hideMark/>
          </w:tcPr>
          <w:p w14:paraId="2F8F1BF2"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Balance at 31 March</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202FDCB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196,795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67336C7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335,902 </w:t>
            </w:r>
          </w:p>
        </w:tc>
      </w:tr>
      <w:tr w:rsidR="00560745" w14:paraId="7C6C9250" w14:textId="77777777" w:rsidTr="0024411D">
        <w:trPr>
          <w:trHeight w:val="310"/>
        </w:trPr>
        <w:tc>
          <w:tcPr>
            <w:tcW w:w="567" w:type="dxa"/>
            <w:tcMar>
              <w:top w:w="15" w:type="dxa"/>
              <w:left w:w="108" w:type="dxa"/>
              <w:bottom w:w="0" w:type="dxa"/>
              <w:right w:w="108" w:type="dxa"/>
            </w:tcMar>
            <w:vAlign w:val="bottom"/>
            <w:hideMark/>
          </w:tcPr>
          <w:p w14:paraId="13CC946A" w14:textId="77777777" w:rsidR="00560745" w:rsidRDefault="00560745">
            <w:pPr>
              <w:rPr>
                <w:rFonts w:eastAsia="Times New Roman"/>
                <w:b/>
                <w:bCs/>
                <w:kern w:val="0"/>
                <w:sz w:val="20"/>
                <w:szCs w:val="20"/>
                <w:lang w:eastAsia="en-GB"/>
                <w14:ligatures w14:val="none"/>
              </w:rPr>
            </w:pPr>
          </w:p>
        </w:tc>
        <w:tc>
          <w:tcPr>
            <w:tcW w:w="5809" w:type="dxa"/>
            <w:noWrap/>
            <w:tcMar>
              <w:top w:w="15" w:type="dxa"/>
              <w:left w:w="108" w:type="dxa"/>
              <w:bottom w:w="0" w:type="dxa"/>
              <w:right w:w="108" w:type="dxa"/>
            </w:tcMar>
            <w:vAlign w:val="bottom"/>
            <w:hideMark/>
          </w:tcPr>
          <w:p w14:paraId="2A66648D" w14:textId="77777777" w:rsidR="00560745" w:rsidRDefault="00560745">
            <w:pPr>
              <w:spacing w:after="0"/>
              <w:rPr>
                <w:kern w:val="0"/>
                <w:sz w:val="20"/>
                <w:szCs w:val="20"/>
                <w:lang w:eastAsia="en-GB"/>
                <w14:ligatures w14:val="none"/>
              </w:rPr>
            </w:pPr>
          </w:p>
        </w:tc>
        <w:tc>
          <w:tcPr>
            <w:tcW w:w="2696" w:type="dxa"/>
            <w:gridSpan w:val="2"/>
            <w:tcMar>
              <w:top w:w="15" w:type="dxa"/>
              <w:left w:w="108" w:type="dxa"/>
              <w:bottom w:w="0" w:type="dxa"/>
              <w:right w:w="108" w:type="dxa"/>
            </w:tcMar>
            <w:vAlign w:val="center"/>
            <w:hideMark/>
          </w:tcPr>
          <w:p w14:paraId="352C37FC" w14:textId="77777777" w:rsidR="00560745" w:rsidRDefault="00560745">
            <w:pPr>
              <w:spacing w:after="0"/>
              <w:rPr>
                <w:kern w:val="0"/>
                <w:sz w:val="20"/>
                <w:szCs w:val="20"/>
                <w:lang w:eastAsia="en-GB"/>
                <w14:ligatures w14:val="none"/>
              </w:rPr>
            </w:pPr>
          </w:p>
        </w:tc>
      </w:tr>
      <w:tr w:rsidR="002D4D9E" w14:paraId="4DD00D0E" w14:textId="77777777" w:rsidTr="0024411D">
        <w:trPr>
          <w:trHeight w:val="2254"/>
        </w:trPr>
        <w:tc>
          <w:tcPr>
            <w:tcW w:w="9072" w:type="dxa"/>
            <w:gridSpan w:val="4"/>
            <w:tcMar>
              <w:top w:w="15" w:type="dxa"/>
              <w:left w:w="108" w:type="dxa"/>
              <w:bottom w:w="0" w:type="dxa"/>
              <w:right w:w="108" w:type="dxa"/>
            </w:tcMar>
            <w:vAlign w:val="bottom"/>
            <w:hideMark/>
          </w:tcPr>
          <w:p w14:paraId="702EC888" w14:textId="6CFF360A" w:rsidR="002D4D9E" w:rsidRPr="00F140CC" w:rsidRDefault="002D4D9E">
            <w:pPr>
              <w:spacing w:after="0" w:line="240" w:lineRule="auto"/>
              <w:rPr>
                <w:rFonts w:ascii="Arial" w:eastAsia="Times New Roman" w:hAnsi="Arial" w:cs="Arial"/>
                <w:kern w:val="0"/>
                <w:sz w:val="24"/>
                <w:szCs w:val="24"/>
                <w:lang w:eastAsia="en-GB"/>
                <w14:ligatures w14:val="none"/>
              </w:rPr>
            </w:pPr>
            <w:r w:rsidRPr="00F140CC">
              <w:rPr>
                <w:rFonts w:ascii="Arial" w:eastAsia="Times New Roman" w:hAnsi="Arial" w:cs="Arial"/>
                <w:kern w:val="0"/>
                <w:sz w:val="24"/>
                <w:szCs w:val="24"/>
                <w:lang w:eastAsia="en-GB"/>
                <w14:ligatures w14:val="none"/>
              </w:rPr>
              <w:t xml:space="preserve">Cash comprises cash at bank of £10m (2022-23: £30m) and a cash equivalent balance of £186m (2022-23: £306m). The cash equivalent balance is made up of cash received from fees charged during the normal course of Official Receiver's activities, which is held by the Official Receiver. Part of this balance is held in a bank account, part is held in an investment account with the Commissioners for the Reduction of the National Debt (CRND), as required by legislation, and part relates to balances which can be drawn down on cases indemnified by government departments or the </w:t>
            </w:r>
            <w:r w:rsidR="00546F2B">
              <w:rPr>
                <w:rFonts w:ascii="Arial" w:eastAsia="Times New Roman" w:hAnsi="Arial" w:cs="Arial"/>
                <w:kern w:val="0"/>
                <w:sz w:val="24"/>
                <w:szCs w:val="24"/>
                <w:lang w:eastAsia="en-GB"/>
                <w14:ligatures w14:val="none"/>
              </w:rPr>
              <w:t>C</w:t>
            </w:r>
            <w:r w:rsidRPr="00F140CC">
              <w:rPr>
                <w:rFonts w:ascii="Arial" w:eastAsia="Times New Roman" w:hAnsi="Arial" w:cs="Arial"/>
                <w:kern w:val="0"/>
                <w:sz w:val="24"/>
                <w:szCs w:val="24"/>
                <w:lang w:eastAsia="en-GB"/>
                <w14:ligatures w14:val="none"/>
              </w:rPr>
              <w:t xml:space="preserve">onsolidated </w:t>
            </w:r>
            <w:r w:rsidR="00546F2B">
              <w:rPr>
                <w:rFonts w:ascii="Arial" w:eastAsia="Times New Roman" w:hAnsi="Arial" w:cs="Arial"/>
                <w:kern w:val="0"/>
                <w:sz w:val="24"/>
                <w:szCs w:val="24"/>
                <w:lang w:eastAsia="en-GB"/>
                <w14:ligatures w14:val="none"/>
              </w:rPr>
              <w:t>F</w:t>
            </w:r>
            <w:r w:rsidRPr="00F140CC">
              <w:rPr>
                <w:rFonts w:ascii="Arial" w:eastAsia="Times New Roman" w:hAnsi="Arial" w:cs="Arial"/>
                <w:kern w:val="0"/>
                <w:sz w:val="24"/>
                <w:szCs w:val="24"/>
                <w:lang w:eastAsia="en-GB"/>
                <w14:ligatures w14:val="none"/>
              </w:rPr>
              <w:t>und. The amounts held in both accounts is drawn down on demand and transferred to the Agency’s bank account on a regular basis.</w:t>
            </w:r>
          </w:p>
        </w:tc>
      </w:tr>
    </w:tbl>
    <w:p w14:paraId="4191B178" w14:textId="77777777" w:rsidR="00560745" w:rsidRDefault="00560745" w:rsidP="00560745">
      <w:pPr>
        <w:rPr>
          <w:rFonts w:ascii="Arial" w:hAnsi="Arial" w:cs="Arial"/>
          <w:sz w:val="24"/>
          <w:szCs w:val="24"/>
        </w:rPr>
      </w:pPr>
    </w:p>
    <w:p w14:paraId="1DAB5001" w14:textId="77777777" w:rsidR="00C207C3" w:rsidRDefault="00C207C3">
      <w:r>
        <w:br w:type="page"/>
      </w:r>
    </w:p>
    <w:tbl>
      <w:tblPr>
        <w:tblW w:w="8931" w:type="dxa"/>
        <w:tblLayout w:type="fixed"/>
        <w:tblLook w:val="04A0" w:firstRow="1" w:lastRow="0" w:firstColumn="1" w:lastColumn="0" w:noHBand="0" w:noVBand="1"/>
      </w:tblPr>
      <w:tblGrid>
        <w:gridCol w:w="567"/>
        <w:gridCol w:w="5809"/>
        <w:gridCol w:w="1279"/>
        <w:gridCol w:w="1276"/>
      </w:tblGrid>
      <w:tr w:rsidR="00560745" w14:paraId="5B0C477E" w14:textId="77777777" w:rsidTr="000929E3">
        <w:trPr>
          <w:trHeight w:val="330"/>
        </w:trPr>
        <w:tc>
          <w:tcPr>
            <w:tcW w:w="567" w:type="dxa"/>
            <w:tcMar>
              <w:top w:w="15" w:type="dxa"/>
              <w:left w:w="108" w:type="dxa"/>
              <w:bottom w:w="0" w:type="dxa"/>
              <w:right w:w="108" w:type="dxa"/>
            </w:tcMar>
            <w:vAlign w:val="bottom"/>
            <w:hideMark/>
          </w:tcPr>
          <w:p w14:paraId="0D522B34" w14:textId="61B2A686" w:rsidR="00560745" w:rsidRPr="009E6123" w:rsidRDefault="00560745">
            <w:pPr>
              <w:spacing w:after="0" w:line="240" w:lineRule="auto"/>
              <w:ind w:firstLineChars="12" w:firstLine="29"/>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lastRenderedPageBreak/>
              <w:t>11</w:t>
            </w:r>
          </w:p>
        </w:tc>
        <w:tc>
          <w:tcPr>
            <w:tcW w:w="5809" w:type="dxa"/>
            <w:tcMar>
              <w:top w:w="15" w:type="dxa"/>
              <w:left w:w="108" w:type="dxa"/>
              <w:bottom w:w="0" w:type="dxa"/>
              <w:right w:w="108" w:type="dxa"/>
            </w:tcMar>
            <w:vAlign w:val="bottom"/>
            <w:hideMark/>
          </w:tcPr>
          <w:p w14:paraId="24501EDE" w14:textId="77777777"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Trade payables and other liabilities</w:t>
            </w:r>
          </w:p>
        </w:tc>
        <w:tc>
          <w:tcPr>
            <w:tcW w:w="2549" w:type="dxa"/>
            <w:gridSpan w:val="2"/>
            <w:tcMar>
              <w:top w:w="15" w:type="dxa"/>
              <w:left w:w="108" w:type="dxa"/>
              <w:bottom w:w="0" w:type="dxa"/>
              <w:right w:w="108" w:type="dxa"/>
            </w:tcMar>
            <w:vAlign w:val="center"/>
            <w:hideMark/>
          </w:tcPr>
          <w:p w14:paraId="30BCEE3C" w14:textId="77777777" w:rsidR="00560745" w:rsidRDefault="00560745">
            <w:pPr>
              <w:rPr>
                <w:rFonts w:eastAsia="Times New Roman"/>
                <w:b/>
                <w:bCs/>
                <w:kern w:val="0"/>
                <w:lang w:eastAsia="en-GB"/>
                <w14:ligatures w14:val="none"/>
              </w:rPr>
            </w:pPr>
          </w:p>
        </w:tc>
      </w:tr>
      <w:tr w:rsidR="00560745" w14:paraId="298556C4" w14:textId="77777777" w:rsidTr="000929E3">
        <w:trPr>
          <w:trHeight w:val="310"/>
        </w:trPr>
        <w:tc>
          <w:tcPr>
            <w:tcW w:w="6376" w:type="dxa"/>
            <w:gridSpan w:val="2"/>
            <w:noWrap/>
            <w:tcMar>
              <w:top w:w="15" w:type="dxa"/>
              <w:left w:w="108" w:type="dxa"/>
              <w:bottom w:w="0" w:type="dxa"/>
              <w:right w:w="108" w:type="dxa"/>
            </w:tcMar>
            <w:vAlign w:val="bottom"/>
            <w:hideMark/>
          </w:tcPr>
          <w:p w14:paraId="30DDEDD2"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4CF9672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276" w:type="dxa"/>
            <w:noWrap/>
            <w:tcMar>
              <w:top w:w="15" w:type="dxa"/>
              <w:left w:w="108" w:type="dxa"/>
              <w:bottom w:w="0" w:type="dxa"/>
              <w:right w:w="108" w:type="dxa"/>
            </w:tcMar>
            <w:vAlign w:val="bottom"/>
            <w:hideMark/>
          </w:tcPr>
          <w:p w14:paraId="16F7550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560745" w14:paraId="3F6A6601" w14:textId="77777777" w:rsidTr="000929E3">
        <w:trPr>
          <w:trHeight w:val="320"/>
        </w:trPr>
        <w:tc>
          <w:tcPr>
            <w:tcW w:w="6376" w:type="dxa"/>
            <w:gridSpan w:val="2"/>
            <w:noWrap/>
            <w:tcMar>
              <w:top w:w="15" w:type="dxa"/>
              <w:left w:w="108" w:type="dxa"/>
              <w:bottom w:w="0" w:type="dxa"/>
              <w:right w:w="108" w:type="dxa"/>
            </w:tcMar>
            <w:vAlign w:val="bottom"/>
            <w:hideMark/>
          </w:tcPr>
          <w:p w14:paraId="70C7C126" w14:textId="77777777" w:rsidR="00560745" w:rsidRDefault="00560745">
            <w:pPr>
              <w:spacing w:after="0"/>
              <w:rPr>
                <w:kern w:val="0"/>
                <w:sz w:val="20"/>
                <w:szCs w:val="20"/>
                <w:lang w:eastAsia="en-GB"/>
                <w14:ligatures w14:val="none"/>
              </w:rPr>
            </w:pPr>
          </w:p>
        </w:tc>
        <w:tc>
          <w:tcPr>
            <w:tcW w:w="1279" w:type="dxa"/>
            <w:tcBorders>
              <w:top w:val="nil"/>
              <w:left w:val="nil"/>
              <w:bottom w:val="single" w:sz="8" w:space="0" w:color="auto"/>
              <w:right w:val="nil"/>
            </w:tcBorders>
            <w:noWrap/>
            <w:tcMar>
              <w:top w:w="15" w:type="dxa"/>
              <w:left w:w="108" w:type="dxa"/>
              <w:bottom w:w="0" w:type="dxa"/>
              <w:right w:w="108" w:type="dxa"/>
            </w:tcMar>
            <w:vAlign w:val="bottom"/>
            <w:hideMark/>
          </w:tcPr>
          <w:p w14:paraId="3A49CFE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276" w:type="dxa"/>
            <w:tcBorders>
              <w:top w:val="nil"/>
              <w:left w:val="nil"/>
              <w:bottom w:val="single" w:sz="8" w:space="0" w:color="auto"/>
              <w:right w:val="nil"/>
            </w:tcBorders>
            <w:noWrap/>
            <w:tcMar>
              <w:top w:w="15" w:type="dxa"/>
              <w:left w:w="108" w:type="dxa"/>
              <w:bottom w:w="0" w:type="dxa"/>
              <w:right w:w="108" w:type="dxa"/>
            </w:tcMar>
            <w:vAlign w:val="bottom"/>
            <w:hideMark/>
          </w:tcPr>
          <w:p w14:paraId="3CB9CFE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3BB0A1CD" w14:textId="77777777" w:rsidTr="000929E3">
        <w:trPr>
          <w:trHeight w:val="310"/>
        </w:trPr>
        <w:tc>
          <w:tcPr>
            <w:tcW w:w="6376" w:type="dxa"/>
            <w:gridSpan w:val="2"/>
            <w:noWrap/>
            <w:tcMar>
              <w:top w:w="15" w:type="dxa"/>
              <w:left w:w="108" w:type="dxa"/>
              <w:bottom w:w="0" w:type="dxa"/>
              <w:right w:w="108" w:type="dxa"/>
            </w:tcMar>
            <w:vAlign w:val="center"/>
            <w:hideMark/>
          </w:tcPr>
          <w:p w14:paraId="4CF685F6"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Amounts falling due within one year:</w:t>
            </w:r>
          </w:p>
        </w:tc>
        <w:tc>
          <w:tcPr>
            <w:tcW w:w="1279" w:type="dxa"/>
            <w:noWrap/>
            <w:tcMar>
              <w:top w:w="15" w:type="dxa"/>
              <w:left w:w="108" w:type="dxa"/>
              <w:bottom w:w="0" w:type="dxa"/>
              <w:right w:w="108" w:type="dxa"/>
            </w:tcMar>
            <w:vAlign w:val="center"/>
            <w:hideMark/>
          </w:tcPr>
          <w:p w14:paraId="287E0C1B"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06A32434" w14:textId="77777777" w:rsidR="00560745" w:rsidRDefault="00560745">
            <w:pPr>
              <w:spacing w:after="0"/>
              <w:rPr>
                <w:kern w:val="0"/>
                <w:sz w:val="20"/>
                <w:szCs w:val="20"/>
                <w:lang w:eastAsia="en-GB"/>
                <w14:ligatures w14:val="none"/>
              </w:rPr>
            </w:pPr>
          </w:p>
        </w:tc>
      </w:tr>
      <w:tr w:rsidR="00560745" w14:paraId="6AF0CD0D" w14:textId="77777777" w:rsidTr="000929E3">
        <w:trPr>
          <w:trHeight w:val="310"/>
        </w:trPr>
        <w:tc>
          <w:tcPr>
            <w:tcW w:w="6376" w:type="dxa"/>
            <w:gridSpan w:val="2"/>
            <w:noWrap/>
            <w:tcMar>
              <w:top w:w="15" w:type="dxa"/>
              <w:left w:w="108" w:type="dxa"/>
              <w:bottom w:w="0" w:type="dxa"/>
              <w:right w:w="108" w:type="dxa"/>
            </w:tcMar>
            <w:vAlign w:val="center"/>
            <w:hideMark/>
          </w:tcPr>
          <w:p w14:paraId="5652142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Payables</w:t>
            </w:r>
          </w:p>
        </w:tc>
        <w:tc>
          <w:tcPr>
            <w:tcW w:w="1279" w:type="dxa"/>
            <w:noWrap/>
            <w:tcMar>
              <w:top w:w="15" w:type="dxa"/>
              <w:left w:w="108" w:type="dxa"/>
              <w:bottom w:w="0" w:type="dxa"/>
              <w:right w:w="108" w:type="dxa"/>
            </w:tcMar>
            <w:vAlign w:val="center"/>
            <w:hideMark/>
          </w:tcPr>
          <w:p w14:paraId="25DC113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3,802 </w:t>
            </w:r>
          </w:p>
        </w:tc>
        <w:tc>
          <w:tcPr>
            <w:tcW w:w="1276" w:type="dxa"/>
            <w:noWrap/>
            <w:tcMar>
              <w:top w:w="15" w:type="dxa"/>
              <w:left w:w="108" w:type="dxa"/>
              <w:bottom w:w="0" w:type="dxa"/>
              <w:right w:w="108" w:type="dxa"/>
            </w:tcMar>
            <w:vAlign w:val="center"/>
            <w:hideMark/>
          </w:tcPr>
          <w:p w14:paraId="068D047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3,265 </w:t>
            </w:r>
          </w:p>
        </w:tc>
      </w:tr>
      <w:tr w:rsidR="00560745" w14:paraId="389B3C7B" w14:textId="77777777" w:rsidTr="000929E3">
        <w:trPr>
          <w:trHeight w:val="310"/>
        </w:trPr>
        <w:tc>
          <w:tcPr>
            <w:tcW w:w="6376" w:type="dxa"/>
            <w:gridSpan w:val="2"/>
            <w:noWrap/>
            <w:tcMar>
              <w:top w:w="15" w:type="dxa"/>
              <w:left w:w="108" w:type="dxa"/>
              <w:bottom w:w="0" w:type="dxa"/>
              <w:right w:w="108" w:type="dxa"/>
            </w:tcMar>
            <w:vAlign w:val="center"/>
            <w:hideMark/>
          </w:tcPr>
          <w:p w14:paraId="54B885A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Accruals¹</w:t>
            </w:r>
          </w:p>
        </w:tc>
        <w:tc>
          <w:tcPr>
            <w:tcW w:w="1279" w:type="dxa"/>
            <w:noWrap/>
            <w:tcMar>
              <w:top w:w="15" w:type="dxa"/>
              <w:left w:w="108" w:type="dxa"/>
              <w:bottom w:w="0" w:type="dxa"/>
              <w:right w:w="108" w:type="dxa"/>
            </w:tcMar>
            <w:vAlign w:val="center"/>
            <w:hideMark/>
          </w:tcPr>
          <w:p w14:paraId="45ED11E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11,357 </w:t>
            </w:r>
          </w:p>
        </w:tc>
        <w:tc>
          <w:tcPr>
            <w:tcW w:w="1276" w:type="dxa"/>
            <w:noWrap/>
            <w:tcMar>
              <w:top w:w="15" w:type="dxa"/>
              <w:left w:w="108" w:type="dxa"/>
              <w:bottom w:w="0" w:type="dxa"/>
              <w:right w:w="108" w:type="dxa"/>
            </w:tcMar>
            <w:vAlign w:val="center"/>
            <w:hideMark/>
          </w:tcPr>
          <w:p w14:paraId="32D5369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11,862 </w:t>
            </w:r>
          </w:p>
        </w:tc>
      </w:tr>
      <w:tr w:rsidR="00560745" w14:paraId="34FE4BA3" w14:textId="77777777" w:rsidTr="000929E3">
        <w:trPr>
          <w:trHeight w:val="310"/>
        </w:trPr>
        <w:tc>
          <w:tcPr>
            <w:tcW w:w="6376" w:type="dxa"/>
            <w:gridSpan w:val="2"/>
            <w:noWrap/>
            <w:tcMar>
              <w:top w:w="15" w:type="dxa"/>
              <w:left w:w="108" w:type="dxa"/>
              <w:bottom w:w="0" w:type="dxa"/>
              <w:right w:w="108" w:type="dxa"/>
            </w:tcMar>
            <w:vAlign w:val="center"/>
            <w:hideMark/>
          </w:tcPr>
          <w:p w14:paraId="6B0BADF8"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Due to the Consolidated Fund</w:t>
            </w:r>
          </w:p>
        </w:tc>
        <w:tc>
          <w:tcPr>
            <w:tcW w:w="1279" w:type="dxa"/>
            <w:noWrap/>
            <w:tcMar>
              <w:top w:w="15" w:type="dxa"/>
              <w:left w:w="108" w:type="dxa"/>
              <w:bottom w:w="0" w:type="dxa"/>
              <w:right w:w="108" w:type="dxa"/>
            </w:tcMar>
            <w:vAlign w:val="center"/>
            <w:hideMark/>
          </w:tcPr>
          <w:p w14:paraId="3A1E032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12,401 </w:t>
            </w:r>
          </w:p>
        </w:tc>
        <w:tc>
          <w:tcPr>
            <w:tcW w:w="1276" w:type="dxa"/>
            <w:noWrap/>
            <w:tcMar>
              <w:top w:w="15" w:type="dxa"/>
              <w:left w:w="108" w:type="dxa"/>
              <w:bottom w:w="0" w:type="dxa"/>
              <w:right w:w="108" w:type="dxa"/>
            </w:tcMar>
            <w:vAlign w:val="center"/>
            <w:hideMark/>
          </w:tcPr>
          <w:p w14:paraId="2C6B8C9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137,109 </w:t>
            </w:r>
          </w:p>
        </w:tc>
      </w:tr>
      <w:tr w:rsidR="00560745" w14:paraId="18604CF4" w14:textId="77777777" w:rsidTr="000929E3">
        <w:trPr>
          <w:trHeight w:val="310"/>
        </w:trPr>
        <w:tc>
          <w:tcPr>
            <w:tcW w:w="6376" w:type="dxa"/>
            <w:gridSpan w:val="2"/>
            <w:noWrap/>
            <w:tcMar>
              <w:top w:w="15" w:type="dxa"/>
              <w:left w:w="108" w:type="dxa"/>
              <w:bottom w:w="0" w:type="dxa"/>
              <w:right w:w="108" w:type="dxa"/>
            </w:tcMar>
            <w:vAlign w:val="center"/>
            <w:hideMark/>
          </w:tcPr>
          <w:p w14:paraId="4BB3353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Deferred fee income</w:t>
            </w:r>
          </w:p>
        </w:tc>
        <w:tc>
          <w:tcPr>
            <w:tcW w:w="1279" w:type="dxa"/>
            <w:noWrap/>
            <w:tcMar>
              <w:top w:w="15" w:type="dxa"/>
              <w:left w:w="108" w:type="dxa"/>
              <w:bottom w:w="0" w:type="dxa"/>
              <w:right w:w="108" w:type="dxa"/>
            </w:tcMar>
            <w:vAlign w:val="center"/>
            <w:hideMark/>
          </w:tcPr>
          <w:p w14:paraId="350D23E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2,913 </w:t>
            </w:r>
          </w:p>
        </w:tc>
        <w:tc>
          <w:tcPr>
            <w:tcW w:w="1276" w:type="dxa"/>
            <w:noWrap/>
            <w:tcMar>
              <w:top w:w="15" w:type="dxa"/>
              <w:left w:w="108" w:type="dxa"/>
              <w:bottom w:w="0" w:type="dxa"/>
              <w:right w:w="108" w:type="dxa"/>
            </w:tcMar>
            <w:vAlign w:val="center"/>
            <w:hideMark/>
          </w:tcPr>
          <w:p w14:paraId="5427DD4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7,396 </w:t>
            </w:r>
          </w:p>
        </w:tc>
      </w:tr>
      <w:tr w:rsidR="00560745" w14:paraId="5C3660EC" w14:textId="77777777" w:rsidTr="000929E3">
        <w:trPr>
          <w:trHeight w:val="310"/>
        </w:trPr>
        <w:tc>
          <w:tcPr>
            <w:tcW w:w="6376" w:type="dxa"/>
            <w:gridSpan w:val="2"/>
            <w:noWrap/>
            <w:tcMar>
              <w:top w:w="15" w:type="dxa"/>
              <w:left w:w="108" w:type="dxa"/>
              <w:bottom w:w="0" w:type="dxa"/>
              <w:right w:w="108" w:type="dxa"/>
            </w:tcMar>
            <w:vAlign w:val="center"/>
            <w:hideMark/>
          </w:tcPr>
          <w:p w14:paraId="3AA45DA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Lease liabilities</w:t>
            </w:r>
          </w:p>
        </w:tc>
        <w:tc>
          <w:tcPr>
            <w:tcW w:w="1279" w:type="dxa"/>
            <w:noWrap/>
            <w:tcMar>
              <w:top w:w="15" w:type="dxa"/>
              <w:left w:w="108" w:type="dxa"/>
              <w:bottom w:w="0" w:type="dxa"/>
              <w:right w:w="108" w:type="dxa"/>
            </w:tcMar>
            <w:vAlign w:val="center"/>
            <w:hideMark/>
          </w:tcPr>
          <w:p w14:paraId="4EA8E37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3,352 </w:t>
            </w:r>
          </w:p>
        </w:tc>
        <w:tc>
          <w:tcPr>
            <w:tcW w:w="1276" w:type="dxa"/>
            <w:noWrap/>
            <w:tcMar>
              <w:top w:w="15" w:type="dxa"/>
              <w:left w:w="108" w:type="dxa"/>
              <w:bottom w:w="0" w:type="dxa"/>
              <w:right w:w="108" w:type="dxa"/>
            </w:tcMar>
            <w:vAlign w:val="center"/>
            <w:hideMark/>
          </w:tcPr>
          <w:p w14:paraId="402B67B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5,464 </w:t>
            </w:r>
          </w:p>
        </w:tc>
      </w:tr>
      <w:tr w:rsidR="00560745" w14:paraId="4953E74F" w14:textId="77777777" w:rsidTr="000929E3">
        <w:trPr>
          <w:trHeight w:val="310"/>
        </w:trPr>
        <w:tc>
          <w:tcPr>
            <w:tcW w:w="6376" w:type="dxa"/>
            <w:gridSpan w:val="2"/>
            <w:noWrap/>
            <w:tcMar>
              <w:top w:w="15" w:type="dxa"/>
              <w:left w:w="108" w:type="dxa"/>
              <w:bottom w:w="0" w:type="dxa"/>
              <w:right w:w="108" w:type="dxa"/>
            </w:tcMar>
            <w:vAlign w:val="center"/>
            <w:hideMark/>
          </w:tcPr>
          <w:p w14:paraId="4EBB7B9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Accrued employee benefits</w:t>
            </w:r>
          </w:p>
        </w:tc>
        <w:tc>
          <w:tcPr>
            <w:tcW w:w="1279" w:type="dxa"/>
            <w:noWrap/>
            <w:tcMar>
              <w:top w:w="15" w:type="dxa"/>
              <w:left w:w="108" w:type="dxa"/>
              <w:bottom w:w="0" w:type="dxa"/>
              <w:right w:w="108" w:type="dxa"/>
            </w:tcMar>
            <w:vAlign w:val="center"/>
            <w:hideMark/>
          </w:tcPr>
          <w:p w14:paraId="098098A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3,062 </w:t>
            </w:r>
          </w:p>
        </w:tc>
        <w:tc>
          <w:tcPr>
            <w:tcW w:w="1276" w:type="dxa"/>
            <w:noWrap/>
            <w:tcMar>
              <w:top w:w="15" w:type="dxa"/>
              <w:left w:w="108" w:type="dxa"/>
              <w:bottom w:w="0" w:type="dxa"/>
              <w:right w:w="108" w:type="dxa"/>
            </w:tcMar>
            <w:vAlign w:val="center"/>
            <w:hideMark/>
          </w:tcPr>
          <w:p w14:paraId="256C5DB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2,974 </w:t>
            </w:r>
          </w:p>
        </w:tc>
      </w:tr>
      <w:tr w:rsidR="00560745" w14:paraId="31E08B9F" w14:textId="77777777" w:rsidTr="000929E3">
        <w:trPr>
          <w:trHeight w:val="320"/>
        </w:trPr>
        <w:tc>
          <w:tcPr>
            <w:tcW w:w="6376" w:type="dxa"/>
            <w:gridSpan w:val="2"/>
            <w:noWrap/>
            <w:tcMar>
              <w:top w:w="15" w:type="dxa"/>
              <w:left w:w="108" w:type="dxa"/>
              <w:bottom w:w="0" w:type="dxa"/>
              <w:right w:w="108" w:type="dxa"/>
            </w:tcMar>
            <w:vAlign w:val="bottom"/>
            <w:hideMark/>
          </w:tcPr>
          <w:p w14:paraId="79713CA4"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8304BE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36,887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FDD8FC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168,070 </w:t>
            </w:r>
          </w:p>
        </w:tc>
      </w:tr>
      <w:tr w:rsidR="00560745" w14:paraId="226640A7" w14:textId="77777777" w:rsidTr="000929E3">
        <w:trPr>
          <w:trHeight w:val="310"/>
        </w:trPr>
        <w:tc>
          <w:tcPr>
            <w:tcW w:w="6376" w:type="dxa"/>
            <w:gridSpan w:val="2"/>
            <w:noWrap/>
            <w:tcMar>
              <w:top w:w="15" w:type="dxa"/>
              <w:left w:w="108" w:type="dxa"/>
              <w:bottom w:w="0" w:type="dxa"/>
              <w:right w:w="108" w:type="dxa"/>
            </w:tcMar>
            <w:vAlign w:val="bottom"/>
            <w:hideMark/>
          </w:tcPr>
          <w:p w14:paraId="0D75A89B"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center"/>
            <w:hideMark/>
          </w:tcPr>
          <w:p w14:paraId="75D1EDB0"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11987FA9" w14:textId="77777777" w:rsidR="00560745" w:rsidRDefault="00560745">
            <w:pPr>
              <w:spacing w:after="0"/>
              <w:rPr>
                <w:kern w:val="0"/>
                <w:sz w:val="20"/>
                <w:szCs w:val="20"/>
                <w:lang w:eastAsia="en-GB"/>
                <w14:ligatures w14:val="none"/>
              </w:rPr>
            </w:pPr>
          </w:p>
        </w:tc>
      </w:tr>
      <w:tr w:rsidR="00560745" w14:paraId="4AB1F003" w14:textId="77777777" w:rsidTr="000929E3">
        <w:trPr>
          <w:trHeight w:val="310"/>
        </w:trPr>
        <w:tc>
          <w:tcPr>
            <w:tcW w:w="6376" w:type="dxa"/>
            <w:gridSpan w:val="2"/>
            <w:noWrap/>
            <w:tcMar>
              <w:top w:w="15" w:type="dxa"/>
              <w:left w:w="108" w:type="dxa"/>
              <w:bottom w:w="0" w:type="dxa"/>
              <w:right w:w="108" w:type="dxa"/>
            </w:tcMar>
            <w:vAlign w:val="bottom"/>
            <w:hideMark/>
          </w:tcPr>
          <w:p w14:paraId="50F3CEB9"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Amounts falling due after one year:</w:t>
            </w:r>
          </w:p>
        </w:tc>
        <w:tc>
          <w:tcPr>
            <w:tcW w:w="1279" w:type="dxa"/>
            <w:noWrap/>
            <w:tcMar>
              <w:top w:w="15" w:type="dxa"/>
              <w:left w:w="108" w:type="dxa"/>
              <w:bottom w:w="0" w:type="dxa"/>
              <w:right w:w="108" w:type="dxa"/>
            </w:tcMar>
            <w:vAlign w:val="bottom"/>
            <w:hideMark/>
          </w:tcPr>
          <w:p w14:paraId="344E8299"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42F4F6EE" w14:textId="77777777" w:rsidR="00560745" w:rsidRDefault="00560745">
            <w:pPr>
              <w:spacing w:after="0"/>
              <w:rPr>
                <w:kern w:val="0"/>
                <w:sz w:val="20"/>
                <w:szCs w:val="20"/>
                <w:lang w:eastAsia="en-GB"/>
                <w14:ligatures w14:val="none"/>
              </w:rPr>
            </w:pPr>
          </w:p>
        </w:tc>
      </w:tr>
      <w:tr w:rsidR="00560745" w14:paraId="44ADB60A" w14:textId="77777777" w:rsidTr="000929E3">
        <w:trPr>
          <w:trHeight w:val="310"/>
        </w:trPr>
        <w:tc>
          <w:tcPr>
            <w:tcW w:w="6376" w:type="dxa"/>
            <w:gridSpan w:val="2"/>
            <w:noWrap/>
            <w:tcMar>
              <w:top w:w="15" w:type="dxa"/>
              <w:left w:w="108" w:type="dxa"/>
              <w:bottom w:w="0" w:type="dxa"/>
              <w:right w:w="108" w:type="dxa"/>
            </w:tcMar>
            <w:vAlign w:val="center"/>
            <w:hideMark/>
          </w:tcPr>
          <w:p w14:paraId="7C5AC65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Lease liabilities</w:t>
            </w:r>
          </w:p>
        </w:tc>
        <w:tc>
          <w:tcPr>
            <w:tcW w:w="1279" w:type="dxa"/>
            <w:noWrap/>
            <w:tcMar>
              <w:top w:w="15" w:type="dxa"/>
              <w:left w:w="108" w:type="dxa"/>
              <w:bottom w:w="0" w:type="dxa"/>
              <w:right w:w="108" w:type="dxa"/>
            </w:tcMar>
            <w:vAlign w:val="bottom"/>
            <w:hideMark/>
          </w:tcPr>
          <w:p w14:paraId="4177243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13,420 </w:t>
            </w:r>
          </w:p>
        </w:tc>
        <w:tc>
          <w:tcPr>
            <w:tcW w:w="1276" w:type="dxa"/>
            <w:noWrap/>
            <w:tcMar>
              <w:top w:w="15" w:type="dxa"/>
              <w:left w:w="108" w:type="dxa"/>
              <w:bottom w:w="0" w:type="dxa"/>
              <w:right w:w="108" w:type="dxa"/>
            </w:tcMar>
            <w:vAlign w:val="center"/>
            <w:hideMark/>
          </w:tcPr>
          <w:p w14:paraId="12B4FF2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11,489 </w:t>
            </w:r>
          </w:p>
        </w:tc>
      </w:tr>
      <w:tr w:rsidR="00560745" w14:paraId="42E993D9" w14:textId="77777777" w:rsidTr="000929E3">
        <w:trPr>
          <w:trHeight w:val="320"/>
        </w:trPr>
        <w:tc>
          <w:tcPr>
            <w:tcW w:w="6376" w:type="dxa"/>
            <w:gridSpan w:val="2"/>
            <w:noWrap/>
            <w:tcMar>
              <w:top w:w="15" w:type="dxa"/>
              <w:left w:w="108" w:type="dxa"/>
              <w:bottom w:w="0" w:type="dxa"/>
              <w:right w:w="108" w:type="dxa"/>
            </w:tcMar>
            <w:vAlign w:val="bottom"/>
            <w:hideMark/>
          </w:tcPr>
          <w:p w14:paraId="065E6DDB"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FA92B3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13,420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7EBFA2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11,489 </w:t>
            </w:r>
          </w:p>
        </w:tc>
      </w:tr>
      <w:tr w:rsidR="00560745" w14:paraId="5427D37F" w14:textId="77777777" w:rsidTr="000929E3">
        <w:trPr>
          <w:trHeight w:val="310"/>
        </w:trPr>
        <w:tc>
          <w:tcPr>
            <w:tcW w:w="6376" w:type="dxa"/>
            <w:gridSpan w:val="2"/>
            <w:noWrap/>
            <w:tcMar>
              <w:top w:w="15" w:type="dxa"/>
              <w:left w:w="108" w:type="dxa"/>
              <w:bottom w:w="0" w:type="dxa"/>
              <w:right w:w="108" w:type="dxa"/>
            </w:tcMar>
            <w:vAlign w:val="bottom"/>
            <w:hideMark/>
          </w:tcPr>
          <w:p w14:paraId="5D3C57C5"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6EFFFF46"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6DF1110B" w14:textId="77777777" w:rsidR="00560745" w:rsidRDefault="00560745">
            <w:pPr>
              <w:spacing w:after="0"/>
              <w:rPr>
                <w:kern w:val="0"/>
                <w:sz w:val="20"/>
                <w:szCs w:val="20"/>
                <w:lang w:eastAsia="en-GB"/>
                <w14:ligatures w14:val="none"/>
              </w:rPr>
            </w:pPr>
          </w:p>
        </w:tc>
      </w:tr>
      <w:tr w:rsidR="00560745" w14:paraId="2D37D237" w14:textId="77777777" w:rsidTr="000929E3">
        <w:trPr>
          <w:trHeight w:val="345"/>
        </w:trPr>
        <w:tc>
          <w:tcPr>
            <w:tcW w:w="6376" w:type="dxa"/>
            <w:gridSpan w:val="2"/>
            <w:noWrap/>
            <w:tcMar>
              <w:top w:w="15" w:type="dxa"/>
              <w:left w:w="108" w:type="dxa"/>
              <w:bottom w:w="0" w:type="dxa"/>
              <w:right w:w="108" w:type="dxa"/>
            </w:tcMar>
            <w:vAlign w:val="bottom"/>
            <w:hideMark/>
          </w:tcPr>
          <w:p w14:paraId="1B2F8E5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payables and other liabilities</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0A74DE4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50,307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4080EE0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179,559 </w:t>
            </w:r>
          </w:p>
        </w:tc>
      </w:tr>
      <w:tr w:rsidR="00560745" w14:paraId="6733D447" w14:textId="77777777" w:rsidTr="000929E3">
        <w:trPr>
          <w:trHeight w:val="310"/>
        </w:trPr>
        <w:tc>
          <w:tcPr>
            <w:tcW w:w="6376" w:type="dxa"/>
            <w:gridSpan w:val="2"/>
            <w:noWrap/>
            <w:tcMar>
              <w:top w:w="15" w:type="dxa"/>
              <w:left w:w="108" w:type="dxa"/>
              <w:bottom w:w="0" w:type="dxa"/>
              <w:right w:w="108" w:type="dxa"/>
            </w:tcMar>
            <w:vAlign w:val="bottom"/>
            <w:hideMark/>
          </w:tcPr>
          <w:p w14:paraId="7734B16F" w14:textId="77777777" w:rsidR="00560745" w:rsidRDefault="00560745">
            <w:pPr>
              <w:spacing w:after="0"/>
              <w:rPr>
                <w:kern w:val="0"/>
                <w:sz w:val="20"/>
                <w:szCs w:val="20"/>
                <w:lang w:eastAsia="en-GB"/>
                <w14:ligatures w14:val="none"/>
              </w:rPr>
            </w:pPr>
          </w:p>
        </w:tc>
        <w:tc>
          <w:tcPr>
            <w:tcW w:w="2555" w:type="dxa"/>
            <w:gridSpan w:val="2"/>
            <w:tcMar>
              <w:top w:w="15" w:type="dxa"/>
              <w:left w:w="108" w:type="dxa"/>
              <w:bottom w:w="0" w:type="dxa"/>
              <w:right w:w="108" w:type="dxa"/>
            </w:tcMar>
            <w:vAlign w:val="center"/>
            <w:hideMark/>
          </w:tcPr>
          <w:p w14:paraId="3B87E39D" w14:textId="77777777" w:rsidR="00560745" w:rsidRDefault="00560745">
            <w:pPr>
              <w:spacing w:after="0"/>
              <w:rPr>
                <w:kern w:val="0"/>
                <w:sz w:val="20"/>
                <w:szCs w:val="20"/>
                <w:lang w:eastAsia="en-GB"/>
                <w14:ligatures w14:val="none"/>
              </w:rPr>
            </w:pPr>
          </w:p>
        </w:tc>
      </w:tr>
      <w:tr w:rsidR="00560745" w14:paraId="2A28693E" w14:textId="77777777" w:rsidTr="000929E3">
        <w:trPr>
          <w:trHeight w:val="867"/>
        </w:trPr>
        <w:tc>
          <w:tcPr>
            <w:tcW w:w="8931" w:type="dxa"/>
            <w:gridSpan w:val="4"/>
            <w:tcMar>
              <w:top w:w="15" w:type="dxa"/>
              <w:left w:w="108" w:type="dxa"/>
              <w:bottom w:w="0" w:type="dxa"/>
              <w:right w:w="108" w:type="dxa"/>
            </w:tcMar>
            <w:hideMark/>
          </w:tcPr>
          <w:p w14:paraId="66D590FF"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¹ Accruals made in 2023-24 for expenditure relating to the year but not yet paid total £11.4m (2022-23:  £11.9m). Notable items include £4.9m in relation to staff costs, £2.9m for IT expenditure; and £1m for accommodation costs.</w:t>
            </w:r>
          </w:p>
        </w:tc>
      </w:tr>
      <w:tr w:rsidR="00560745" w14:paraId="72C515DB" w14:textId="77777777" w:rsidTr="000929E3">
        <w:trPr>
          <w:trHeight w:val="310"/>
        </w:trPr>
        <w:tc>
          <w:tcPr>
            <w:tcW w:w="8931" w:type="dxa"/>
            <w:gridSpan w:val="4"/>
            <w:tcMar>
              <w:top w:w="15" w:type="dxa"/>
              <w:left w:w="108" w:type="dxa"/>
              <w:bottom w:w="0" w:type="dxa"/>
              <w:right w:w="108" w:type="dxa"/>
            </w:tcMar>
            <w:hideMark/>
          </w:tcPr>
          <w:p w14:paraId="01F6C3E0" w14:textId="46EBB0F4"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² The 'Due to the Consolidated Fund' balance has reduced by £124.7m as the </w:t>
            </w:r>
            <w:r w:rsidR="027F38DC">
              <w:rPr>
                <w:rFonts w:eastAsia="Times New Roman"/>
                <w:kern w:val="0"/>
                <w:sz w:val="20"/>
                <w:szCs w:val="20"/>
                <w:lang w:eastAsia="en-GB"/>
                <w14:ligatures w14:val="none"/>
              </w:rPr>
              <w:t>Agency</w:t>
            </w:r>
            <w:r>
              <w:rPr>
                <w:rFonts w:eastAsia="Times New Roman"/>
                <w:kern w:val="0"/>
                <w:sz w:val="20"/>
                <w:szCs w:val="20"/>
                <w:lang w:eastAsia="en-GB"/>
                <w14:ligatures w14:val="none"/>
              </w:rPr>
              <w:t xml:space="preserve"> paid £137.1m to the Consolidated Fund in 2023-24. This was due to fees on the cash settlement of historic PPI claims on insolvent estates where performance obligations were substantially satisfied, as well as from National Interest Cases.</w:t>
            </w:r>
          </w:p>
        </w:tc>
      </w:tr>
    </w:tbl>
    <w:p w14:paraId="0DE45638" w14:textId="77777777" w:rsidR="00560745" w:rsidRDefault="00560745" w:rsidP="00560745">
      <w:pPr>
        <w:rPr>
          <w:rFonts w:ascii="Arial" w:hAnsi="Arial" w:cs="Arial"/>
          <w:sz w:val="24"/>
          <w:szCs w:val="24"/>
        </w:rPr>
      </w:pPr>
    </w:p>
    <w:p w14:paraId="44F4F638" w14:textId="77777777" w:rsidR="00C207C3" w:rsidRDefault="00C207C3">
      <w:r>
        <w:br w:type="page"/>
      </w:r>
    </w:p>
    <w:tbl>
      <w:tblPr>
        <w:tblW w:w="9072" w:type="dxa"/>
        <w:tblLayout w:type="fixed"/>
        <w:tblLook w:val="04A0" w:firstRow="1" w:lastRow="0" w:firstColumn="1" w:lastColumn="0" w:noHBand="0" w:noVBand="1"/>
      </w:tblPr>
      <w:tblGrid>
        <w:gridCol w:w="536"/>
        <w:gridCol w:w="5124"/>
        <w:gridCol w:w="1304"/>
        <w:gridCol w:w="1047"/>
        <w:gridCol w:w="920"/>
        <w:gridCol w:w="141"/>
      </w:tblGrid>
      <w:tr w:rsidR="00560745" w14:paraId="1428DA7B" w14:textId="77777777" w:rsidTr="000205E0">
        <w:trPr>
          <w:trHeight w:val="330"/>
        </w:trPr>
        <w:tc>
          <w:tcPr>
            <w:tcW w:w="536" w:type="dxa"/>
            <w:tcMar>
              <w:top w:w="15" w:type="dxa"/>
              <w:left w:w="108" w:type="dxa"/>
              <w:bottom w:w="0" w:type="dxa"/>
              <w:right w:w="108" w:type="dxa"/>
            </w:tcMar>
            <w:vAlign w:val="bottom"/>
            <w:hideMark/>
          </w:tcPr>
          <w:p w14:paraId="0BCC5CDE" w14:textId="28EDC6EB"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lastRenderedPageBreak/>
              <w:t>12</w:t>
            </w:r>
          </w:p>
        </w:tc>
        <w:tc>
          <w:tcPr>
            <w:tcW w:w="8536" w:type="dxa"/>
            <w:gridSpan w:val="5"/>
            <w:tcMar>
              <w:top w:w="15" w:type="dxa"/>
              <w:left w:w="108" w:type="dxa"/>
              <w:bottom w:w="0" w:type="dxa"/>
              <w:right w:w="108" w:type="dxa"/>
            </w:tcMar>
            <w:vAlign w:val="bottom"/>
            <w:hideMark/>
          </w:tcPr>
          <w:p w14:paraId="3A135ECE" w14:textId="77777777" w:rsidR="00560745" w:rsidRPr="009E6123" w:rsidRDefault="00560745">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b/>
                <w:bCs/>
                <w:kern w:val="0"/>
                <w:sz w:val="24"/>
                <w:szCs w:val="24"/>
                <w:lang w:eastAsia="en-GB"/>
                <w14:ligatures w14:val="none"/>
              </w:rPr>
              <w:t>Provisions for liabilities and charges</w:t>
            </w:r>
          </w:p>
        </w:tc>
      </w:tr>
      <w:tr w:rsidR="00560745" w14:paraId="783D7824" w14:textId="77777777" w:rsidTr="000205E0">
        <w:trPr>
          <w:gridAfter w:val="1"/>
          <w:wAfter w:w="141" w:type="dxa"/>
          <w:trHeight w:val="330"/>
        </w:trPr>
        <w:tc>
          <w:tcPr>
            <w:tcW w:w="5660" w:type="dxa"/>
            <w:gridSpan w:val="2"/>
            <w:noWrap/>
            <w:tcMar>
              <w:top w:w="15" w:type="dxa"/>
              <w:left w:w="108" w:type="dxa"/>
              <w:bottom w:w="0" w:type="dxa"/>
              <w:right w:w="108" w:type="dxa"/>
            </w:tcMar>
            <w:vAlign w:val="bottom"/>
            <w:hideMark/>
          </w:tcPr>
          <w:p w14:paraId="3AFCF1D4" w14:textId="77777777" w:rsidR="00560745" w:rsidRDefault="00560745">
            <w:pPr>
              <w:spacing w:after="0"/>
              <w:rPr>
                <w:kern w:val="0"/>
                <w:sz w:val="20"/>
                <w:szCs w:val="20"/>
                <w:lang w:eastAsia="en-GB"/>
                <w14:ligatures w14:val="none"/>
              </w:rPr>
            </w:pPr>
          </w:p>
        </w:tc>
        <w:tc>
          <w:tcPr>
            <w:tcW w:w="3271" w:type="dxa"/>
            <w:gridSpan w:val="3"/>
            <w:tcMar>
              <w:top w:w="15" w:type="dxa"/>
              <w:left w:w="108" w:type="dxa"/>
              <w:bottom w:w="0" w:type="dxa"/>
              <w:right w:w="108" w:type="dxa"/>
            </w:tcMar>
            <w:vAlign w:val="center"/>
            <w:hideMark/>
          </w:tcPr>
          <w:p w14:paraId="14D631B4" w14:textId="77777777" w:rsidR="00560745" w:rsidRDefault="00560745">
            <w:pPr>
              <w:spacing w:after="0"/>
              <w:rPr>
                <w:kern w:val="0"/>
                <w:sz w:val="20"/>
                <w:szCs w:val="20"/>
                <w:lang w:eastAsia="en-GB"/>
                <w14:ligatures w14:val="none"/>
              </w:rPr>
            </w:pPr>
          </w:p>
        </w:tc>
      </w:tr>
      <w:tr w:rsidR="00560745" w14:paraId="697EB685" w14:textId="77777777" w:rsidTr="000205E0">
        <w:trPr>
          <w:gridAfter w:val="1"/>
          <w:wAfter w:w="141" w:type="dxa"/>
          <w:trHeight w:val="330"/>
        </w:trPr>
        <w:tc>
          <w:tcPr>
            <w:tcW w:w="5660" w:type="dxa"/>
            <w:gridSpan w:val="2"/>
            <w:tcMar>
              <w:top w:w="15" w:type="dxa"/>
              <w:left w:w="108" w:type="dxa"/>
              <w:bottom w:w="0" w:type="dxa"/>
              <w:right w:w="108" w:type="dxa"/>
            </w:tcMar>
            <w:hideMark/>
          </w:tcPr>
          <w:p w14:paraId="7B609EC4"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304" w:type="dxa"/>
            <w:noWrap/>
            <w:tcMar>
              <w:top w:w="15" w:type="dxa"/>
              <w:left w:w="108" w:type="dxa"/>
              <w:bottom w:w="0" w:type="dxa"/>
              <w:right w:w="108" w:type="dxa"/>
            </w:tcMar>
            <w:vAlign w:val="bottom"/>
            <w:hideMark/>
          </w:tcPr>
          <w:p w14:paraId="44B7B82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Lease</w:t>
            </w:r>
          </w:p>
        </w:tc>
        <w:tc>
          <w:tcPr>
            <w:tcW w:w="1047" w:type="dxa"/>
            <w:noWrap/>
            <w:tcMar>
              <w:top w:w="15" w:type="dxa"/>
              <w:left w:w="108" w:type="dxa"/>
              <w:bottom w:w="0" w:type="dxa"/>
              <w:right w:w="108" w:type="dxa"/>
            </w:tcMar>
            <w:vAlign w:val="bottom"/>
            <w:hideMark/>
          </w:tcPr>
          <w:p w14:paraId="57202F7E" w14:textId="77777777" w:rsidR="00560745" w:rsidRDefault="00560745">
            <w:pPr>
              <w:rPr>
                <w:rFonts w:eastAsia="Times New Roman"/>
                <w:b/>
                <w:bCs/>
                <w:kern w:val="0"/>
                <w:sz w:val="20"/>
                <w:szCs w:val="20"/>
                <w:lang w:eastAsia="en-GB"/>
                <w14:ligatures w14:val="none"/>
              </w:rPr>
            </w:pPr>
          </w:p>
        </w:tc>
        <w:tc>
          <w:tcPr>
            <w:tcW w:w="920" w:type="dxa"/>
            <w:noWrap/>
            <w:tcMar>
              <w:top w:w="15" w:type="dxa"/>
              <w:left w:w="108" w:type="dxa"/>
              <w:bottom w:w="0" w:type="dxa"/>
              <w:right w:w="108" w:type="dxa"/>
            </w:tcMar>
            <w:vAlign w:val="bottom"/>
            <w:hideMark/>
          </w:tcPr>
          <w:p w14:paraId="08CADCA1" w14:textId="77777777" w:rsidR="00560745" w:rsidRDefault="00560745">
            <w:pPr>
              <w:spacing w:after="0"/>
              <w:rPr>
                <w:kern w:val="0"/>
                <w:sz w:val="20"/>
                <w:szCs w:val="20"/>
                <w:lang w:eastAsia="en-GB"/>
                <w14:ligatures w14:val="none"/>
              </w:rPr>
            </w:pPr>
          </w:p>
        </w:tc>
      </w:tr>
      <w:tr w:rsidR="00560745" w14:paraId="7048E3E7" w14:textId="77777777" w:rsidTr="000205E0">
        <w:trPr>
          <w:gridAfter w:val="1"/>
          <w:wAfter w:w="141" w:type="dxa"/>
          <w:trHeight w:val="227"/>
        </w:trPr>
        <w:tc>
          <w:tcPr>
            <w:tcW w:w="5660" w:type="dxa"/>
            <w:gridSpan w:val="2"/>
            <w:noWrap/>
            <w:tcMar>
              <w:top w:w="15" w:type="dxa"/>
              <w:left w:w="108" w:type="dxa"/>
              <w:bottom w:w="0" w:type="dxa"/>
              <w:right w:w="108" w:type="dxa"/>
            </w:tcMar>
            <w:vAlign w:val="bottom"/>
            <w:hideMark/>
          </w:tcPr>
          <w:p w14:paraId="03B38296" w14:textId="77777777" w:rsidR="00560745" w:rsidRDefault="00560745">
            <w:pPr>
              <w:spacing w:after="0"/>
              <w:rPr>
                <w:kern w:val="0"/>
                <w:sz w:val="20"/>
                <w:szCs w:val="20"/>
                <w:lang w:eastAsia="en-GB"/>
                <w14:ligatures w14:val="none"/>
              </w:rPr>
            </w:pPr>
          </w:p>
        </w:tc>
        <w:tc>
          <w:tcPr>
            <w:tcW w:w="1304" w:type="dxa"/>
            <w:noWrap/>
            <w:tcMar>
              <w:top w:w="15" w:type="dxa"/>
              <w:left w:w="108" w:type="dxa"/>
              <w:bottom w:w="0" w:type="dxa"/>
              <w:right w:w="108" w:type="dxa"/>
            </w:tcMar>
            <w:vAlign w:val="bottom"/>
            <w:hideMark/>
          </w:tcPr>
          <w:p w14:paraId="18A579E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dilapidations</w:t>
            </w:r>
          </w:p>
        </w:tc>
        <w:tc>
          <w:tcPr>
            <w:tcW w:w="1047" w:type="dxa"/>
            <w:noWrap/>
            <w:tcMar>
              <w:top w:w="15" w:type="dxa"/>
              <w:left w:w="108" w:type="dxa"/>
              <w:bottom w:w="0" w:type="dxa"/>
              <w:right w:w="108" w:type="dxa"/>
            </w:tcMar>
            <w:vAlign w:val="bottom"/>
            <w:hideMark/>
          </w:tcPr>
          <w:p w14:paraId="1F4167D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Other </w:t>
            </w:r>
          </w:p>
        </w:tc>
        <w:tc>
          <w:tcPr>
            <w:tcW w:w="920" w:type="dxa"/>
            <w:noWrap/>
            <w:tcMar>
              <w:top w:w="15" w:type="dxa"/>
              <w:left w:w="108" w:type="dxa"/>
              <w:bottom w:w="0" w:type="dxa"/>
              <w:right w:w="108" w:type="dxa"/>
            </w:tcMar>
            <w:vAlign w:val="bottom"/>
            <w:hideMark/>
          </w:tcPr>
          <w:p w14:paraId="2B3A227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Total </w:t>
            </w:r>
          </w:p>
        </w:tc>
      </w:tr>
      <w:tr w:rsidR="00560745" w14:paraId="1DBAED22" w14:textId="77777777" w:rsidTr="000205E0">
        <w:trPr>
          <w:gridAfter w:val="1"/>
          <w:wAfter w:w="141" w:type="dxa"/>
          <w:trHeight w:val="259"/>
        </w:trPr>
        <w:tc>
          <w:tcPr>
            <w:tcW w:w="5660" w:type="dxa"/>
            <w:gridSpan w:val="2"/>
            <w:noWrap/>
            <w:tcMar>
              <w:top w:w="15" w:type="dxa"/>
              <w:left w:w="108" w:type="dxa"/>
              <w:bottom w:w="0" w:type="dxa"/>
              <w:right w:w="108" w:type="dxa"/>
            </w:tcMar>
            <w:vAlign w:val="bottom"/>
            <w:hideMark/>
          </w:tcPr>
          <w:p w14:paraId="60DFCC63" w14:textId="77777777" w:rsidR="00560745" w:rsidRDefault="00560745">
            <w:pPr>
              <w:spacing w:after="0"/>
              <w:rPr>
                <w:kern w:val="0"/>
                <w:sz w:val="20"/>
                <w:szCs w:val="20"/>
                <w:lang w:eastAsia="en-GB"/>
                <w14:ligatures w14:val="none"/>
              </w:rPr>
            </w:pPr>
          </w:p>
        </w:tc>
        <w:tc>
          <w:tcPr>
            <w:tcW w:w="1304" w:type="dxa"/>
            <w:tcBorders>
              <w:top w:val="nil"/>
              <w:left w:val="nil"/>
              <w:bottom w:val="single" w:sz="8" w:space="0" w:color="auto"/>
              <w:right w:val="nil"/>
            </w:tcBorders>
            <w:noWrap/>
            <w:tcMar>
              <w:top w:w="15" w:type="dxa"/>
              <w:left w:w="108" w:type="dxa"/>
              <w:bottom w:w="0" w:type="dxa"/>
              <w:right w:w="108" w:type="dxa"/>
            </w:tcMar>
            <w:vAlign w:val="bottom"/>
            <w:hideMark/>
          </w:tcPr>
          <w:p w14:paraId="04B0D42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047" w:type="dxa"/>
            <w:tcBorders>
              <w:top w:val="nil"/>
              <w:left w:val="nil"/>
              <w:bottom w:val="single" w:sz="8" w:space="0" w:color="auto"/>
              <w:right w:val="nil"/>
            </w:tcBorders>
            <w:noWrap/>
            <w:tcMar>
              <w:top w:w="15" w:type="dxa"/>
              <w:left w:w="108" w:type="dxa"/>
              <w:bottom w:w="0" w:type="dxa"/>
              <w:right w:w="108" w:type="dxa"/>
            </w:tcMar>
            <w:vAlign w:val="bottom"/>
            <w:hideMark/>
          </w:tcPr>
          <w:p w14:paraId="0EC6812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920" w:type="dxa"/>
            <w:tcBorders>
              <w:top w:val="nil"/>
              <w:left w:val="nil"/>
              <w:bottom w:val="single" w:sz="8" w:space="0" w:color="auto"/>
              <w:right w:val="nil"/>
            </w:tcBorders>
            <w:noWrap/>
            <w:tcMar>
              <w:top w:w="15" w:type="dxa"/>
              <w:left w:w="108" w:type="dxa"/>
              <w:bottom w:w="0" w:type="dxa"/>
              <w:right w:w="108" w:type="dxa"/>
            </w:tcMar>
            <w:vAlign w:val="bottom"/>
            <w:hideMark/>
          </w:tcPr>
          <w:p w14:paraId="7055917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408213F0" w14:textId="77777777" w:rsidTr="000205E0">
        <w:trPr>
          <w:gridAfter w:val="1"/>
          <w:wAfter w:w="141" w:type="dxa"/>
          <w:trHeight w:val="243"/>
        </w:trPr>
        <w:tc>
          <w:tcPr>
            <w:tcW w:w="5660" w:type="dxa"/>
            <w:gridSpan w:val="2"/>
            <w:noWrap/>
            <w:tcMar>
              <w:top w:w="15" w:type="dxa"/>
              <w:left w:w="108" w:type="dxa"/>
              <w:bottom w:w="0" w:type="dxa"/>
              <w:right w:w="108" w:type="dxa"/>
            </w:tcMar>
            <w:vAlign w:val="bottom"/>
            <w:hideMark/>
          </w:tcPr>
          <w:p w14:paraId="4311CD3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Balance at 1 April 2023</w:t>
            </w:r>
          </w:p>
        </w:tc>
        <w:tc>
          <w:tcPr>
            <w:tcW w:w="1304" w:type="dxa"/>
            <w:noWrap/>
            <w:tcMar>
              <w:top w:w="15" w:type="dxa"/>
              <w:left w:w="108" w:type="dxa"/>
              <w:bottom w:w="0" w:type="dxa"/>
              <w:right w:w="108" w:type="dxa"/>
            </w:tcMar>
            <w:hideMark/>
          </w:tcPr>
          <w:p w14:paraId="1CFA0A6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1,813 </w:t>
            </w:r>
          </w:p>
        </w:tc>
        <w:tc>
          <w:tcPr>
            <w:tcW w:w="1047" w:type="dxa"/>
            <w:noWrap/>
            <w:tcMar>
              <w:top w:w="15" w:type="dxa"/>
              <w:left w:w="108" w:type="dxa"/>
              <w:bottom w:w="0" w:type="dxa"/>
              <w:right w:w="108" w:type="dxa"/>
            </w:tcMar>
            <w:hideMark/>
          </w:tcPr>
          <w:p w14:paraId="3F6DC1F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2,453 </w:t>
            </w:r>
          </w:p>
        </w:tc>
        <w:tc>
          <w:tcPr>
            <w:tcW w:w="920" w:type="dxa"/>
            <w:noWrap/>
            <w:tcMar>
              <w:top w:w="15" w:type="dxa"/>
              <w:left w:w="108" w:type="dxa"/>
              <w:bottom w:w="0" w:type="dxa"/>
              <w:right w:w="108" w:type="dxa"/>
            </w:tcMar>
            <w:hideMark/>
          </w:tcPr>
          <w:p w14:paraId="70B73BE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4,266 </w:t>
            </w:r>
          </w:p>
        </w:tc>
      </w:tr>
      <w:tr w:rsidR="00560745" w14:paraId="79776286" w14:textId="77777777" w:rsidTr="000205E0">
        <w:trPr>
          <w:gridAfter w:val="1"/>
          <w:wAfter w:w="141" w:type="dxa"/>
          <w:trHeight w:val="280"/>
        </w:trPr>
        <w:tc>
          <w:tcPr>
            <w:tcW w:w="5660" w:type="dxa"/>
            <w:gridSpan w:val="2"/>
            <w:noWrap/>
            <w:tcMar>
              <w:top w:w="15" w:type="dxa"/>
              <w:left w:w="108" w:type="dxa"/>
              <w:bottom w:w="0" w:type="dxa"/>
              <w:right w:w="108" w:type="dxa"/>
            </w:tcMar>
            <w:vAlign w:val="bottom"/>
            <w:hideMark/>
          </w:tcPr>
          <w:p w14:paraId="17CF210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Provided in the year</w:t>
            </w:r>
          </w:p>
        </w:tc>
        <w:tc>
          <w:tcPr>
            <w:tcW w:w="1304" w:type="dxa"/>
            <w:noWrap/>
            <w:tcMar>
              <w:top w:w="15" w:type="dxa"/>
              <w:left w:w="108" w:type="dxa"/>
              <w:bottom w:w="0" w:type="dxa"/>
              <w:right w:w="108" w:type="dxa"/>
            </w:tcMar>
            <w:hideMark/>
          </w:tcPr>
          <w:p w14:paraId="00320B7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163 </w:t>
            </w:r>
          </w:p>
        </w:tc>
        <w:tc>
          <w:tcPr>
            <w:tcW w:w="1047" w:type="dxa"/>
            <w:noWrap/>
            <w:tcMar>
              <w:top w:w="15" w:type="dxa"/>
              <w:left w:w="108" w:type="dxa"/>
              <w:bottom w:w="0" w:type="dxa"/>
              <w:right w:w="108" w:type="dxa"/>
            </w:tcMar>
            <w:hideMark/>
          </w:tcPr>
          <w:p w14:paraId="1AEDACF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5,446 </w:t>
            </w:r>
          </w:p>
        </w:tc>
        <w:tc>
          <w:tcPr>
            <w:tcW w:w="920" w:type="dxa"/>
            <w:noWrap/>
            <w:tcMar>
              <w:top w:w="15" w:type="dxa"/>
              <w:left w:w="108" w:type="dxa"/>
              <w:bottom w:w="0" w:type="dxa"/>
              <w:right w:w="108" w:type="dxa"/>
            </w:tcMar>
            <w:hideMark/>
          </w:tcPr>
          <w:p w14:paraId="2B1255E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5,609 </w:t>
            </w:r>
          </w:p>
        </w:tc>
      </w:tr>
      <w:tr w:rsidR="00560745" w14:paraId="35FF4883" w14:textId="77777777" w:rsidTr="000205E0">
        <w:trPr>
          <w:gridAfter w:val="1"/>
          <w:wAfter w:w="141" w:type="dxa"/>
          <w:trHeight w:val="256"/>
        </w:trPr>
        <w:tc>
          <w:tcPr>
            <w:tcW w:w="5660" w:type="dxa"/>
            <w:gridSpan w:val="2"/>
            <w:noWrap/>
            <w:tcMar>
              <w:top w:w="15" w:type="dxa"/>
              <w:left w:w="108" w:type="dxa"/>
              <w:bottom w:w="0" w:type="dxa"/>
              <w:right w:w="108" w:type="dxa"/>
            </w:tcMar>
            <w:vAlign w:val="bottom"/>
            <w:hideMark/>
          </w:tcPr>
          <w:p w14:paraId="7FA2A17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Provisions utilised in the year</w:t>
            </w:r>
          </w:p>
        </w:tc>
        <w:tc>
          <w:tcPr>
            <w:tcW w:w="1304" w:type="dxa"/>
            <w:noWrap/>
            <w:tcMar>
              <w:top w:w="15" w:type="dxa"/>
              <w:left w:w="108" w:type="dxa"/>
              <w:bottom w:w="0" w:type="dxa"/>
              <w:right w:w="108" w:type="dxa"/>
            </w:tcMar>
            <w:vAlign w:val="bottom"/>
            <w:hideMark/>
          </w:tcPr>
          <w:p w14:paraId="1D18A68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(56) </w:t>
            </w:r>
          </w:p>
        </w:tc>
        <w:tc>
          <w:tcPr>
            <w:tcW w:w="1047" w:type="dxa"/>
            <w:noWrap/>
            <w:tcMar>
              <w:top w:w="15" w:type="dxa"/>
              <w:left w:w="108" w:type="dxa"/>
              <w:bottom w:w="0" w:type="dxa"/>
              <w:right w:w="108" w:type="dxa"/>
            </w:tcMar>
            <w:hideMark/>
          </w:tcPr>
          <w:p w14:paraId="55BA26B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(45) </w:t>
            </w:r>
          </w:p>
        </w:tc>
        <w:tc>
          <w:tcPr>
            <w:tcW w:w="920" w:type="dxa"/>
            <w:noWrap/>
            <w:tcMar>
              <w:top w:w="15" w:type="dxa"/>
              <w:left w:w="108" w:type="dxa"/>
              <w:bottom w:w="0" w:type="dxa"/>
              <w:right w:w="108" w:type="dxa"/>
            </w:tcMar>
            <w:hideMark/>
          </w:tcPr>
          <w:p w14:paraId="616D37B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(101) </w:t>
            </w:r>
          </w:p>
        </w:tc>
      </w:tr>
      <w:tr w:rsidR="00560745" w14:paraId="46351815" w14:textId="77777777" w:rsidTr="000205E0">
        <w:trPr>
          <w:gridAfter w:val="1"/>
          <w:wAfter w:w="141" w:type="dxa"/>
          <w:trHeight w:val="274"/>
        </w:trPr>
        <w:tc>
          <w:tcPr>
            <w:tcW w:w="5660" w:type="dxa"/>
            <w:gridSpan w:val="2"/>
            <w:noWrap/>
            <w:tcMar>
              <w:top w:w="15" w:type="dxa"/>
              <w:left w:w="108" w:type="dxa"/>
              <w:bottom w:w="0" w:type="dxa"/>
              <w:right w:w="108" w:type="dxa"/>
            </w:tcMar>
            <w:vAlign w:val="bottom"/>
            <w:hideMark/>
          </w:tcPr>
          <w:p w14:paraId="5F0E15C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Provisions not required written back</w:t>
            </w:r>
          </w:p>
        </w:tc>
        <w:tc>
          <w:tcPr>
            <w:tcW w:w="1304" w:type="dxa"/>
            <w:noWrap/>
            <w:tcMar>
              <w:top w:w="15" w:type="dxa"/>
              <w:left w:w="108" w:type="dxa"/>
              <w:bottom w:w="0" w:type="dxa"/>
              <w:right w:w="108" w:type="dxa"/>
            </w:tcMar>
            <w:vAlign w:val="bottom"/>
            <w:hideMark/>
          </w:tcPr>
          <w:p w14:paraId="3A65A5A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(50) </w:t>
            </w:r>
          </w:p>
        </w:tc>
        <w:tc>
          <w:tcPr>
            <w:tcW w:w="1047" w:type="dxa"/>
            <w:noWrap/>
            <w:tcMar>
              <w:top w:w="15" w:type="dxa"/>
              <w:left w:w="108" w:type="dxa"/>
              <w:bottom w:w="0" w:type="dxa"/>
              <w:right w:w="108" w:type="dxa"/>
            </w:tcMar>
            <w:hideMark/>
          </w:tcPr>
          <w:p w14:paraId="6891641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(21) </w:t>
            </w:r>
          </w:p>
        </w:tc>
        <w:tc>
          <w:tcPr>
            <w:tcW w:w="920" w:type="dxa"/>
            <w:noWrap/>
            <w:tcMar>
              <w:top w:w="15" w:type="dxa"/>
              <w:left w:w="108" w:type="dxa"/>
              <w:bottom w:w="0" w:type="dxa"/>
              <w:right w:w="108" w:type="dxa"/>
            </w:tcMar>
            <w:hideMark/>
          </w:tcPr>
          <w:p w14:paraId="2CB8BCF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(71) </w:t>
            </w:r>
          </w:p>
        </w:tc>
      </w:tr>
      <w:tr w:rsidR="00560745" w14:paraId="1F2E53F1" w14:textId="77777777" w:rsidTr="000205E0">
        <w:trPr>
          <w:gridAfter w:val="1"/>
          <w:wAfter w:w="141" w:type="dxa"/>
          <w:trHeight w:val="264"/>
        </w:trPr>
        <w:tc>
          <w:tcPr>
            <w:tcW w:w="5660" w:type="dxa"/>
            <w:gridSpan w:val="2"/>
            <w:noWrap/>
            <w:tcMar>
              <w:top w:w="15" w:type="dxa"/>
              <w:left w:w="108" w:type="dxa"/>
              <w:bottom w:w="0" w:type="dxa"/>
              <w:right w:w="108" w:type="dxa"/>
            </w:tcMar>
            <w:vAlign w:val="bottom"/>
            <w:hideMark/>
          </w:tcPr>
          <w:p w14:paraId="0908359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Borrowing costs (unwinding of discount)</w:t>
            </w:r>
          </w:p>
        </w:tc>
        <w:tc>
          <w:tcPr>
            <w:tcW w:w="1304" w:type="dxa"/>
            <w:noWrap/>
            <w:tcMar>
              <w:top w:w="15" w:type="dxa"/>
              <w:left w:w="108" w:type="dxa"/>
              <w:bottom w:w="0" w:type="dxa"/>
              <w:right w:w="108" w:type="dxa"/>
            </w:tcMar>
            <w:hideMark/>
          </w:tcPr>
          <w:p w14:paraId="1AFC976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75 </w:t>
            </w:r>
          </w:p>
        </w:tc>
        <w:tc>
          <w:tcPr>
            <w:tcW w:w="1047" w:type="dxa"/>
            <w:noWrap/>
            <w:tcMar>
              <w:top w:w="15" w:type="dxa"/>
              <w:left w:w="108" w:type="dxa"/>
              <w:bottom w:w="0" w:type="dxa"/>
              <w:right w:w="108" w:type="dxa"/>
            </w:tcMar>
            <w:vAlign w:val="bottom"/>
            <w:hideMark/>
          </w:tcPr>
          <w:p w14:paraId="674A2BE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920" w:type="dxa"/>
            <w:noWrap/>
            <w:tcMar>
              <w:top w:w="15" w:type="dxa"/>
              <w:left w:w="108" w:type="dxa"/>
              <w:bottom w:w="0" w:type="dxa"/>
              <w:right w:w="108" w:type="dxa"/>
            </w:tcMar>
            <w:hideMark/>
          </w:tcPr>
          <w:p w14:paraId="2384228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75 </w:t>
            </w:r>
          </w:p>
        </w:tc>
      </w:tr>
      <w:tr w:rsidR="00560745" w14:paraId="178F1492" w14:textId="77777777" w:rsidTr="000205E0">
        <w:trPr>
          <w:gridAfter w:val="1"/>
          <w:wAfter w:w="141" w:type="dxa"/>
          <w:trHeight w:val="130"/>
        </w:trPr>
        <w:tc>
          <w:tcPr>
            <w:tcW w:w="5660" w:type="dxa"/>
            <w:gridSpan w:val="2"/>
            <w:noWrap/>
            <w:tcMar>
              <w:top w:w="15" w:type="dxa"/>
              <w:left w:w="108" w:type="dxa"/>
              <w:bottom w:w="0" w:type="dxa"/>
              <w:right w:w="108" w:type="dxa"/>
            </w:tcMar>
            <w:vAlign w:val="center"/>
            <w:hideMark/>
          </w:tcPr>
          <w:p w14:paraId="56D1F213"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Balance at 31 March 2024</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4F40B1D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1,945 </w:t>
            </w:r>
          </w:p>
        </w:tc>
        <w:tc>
          <w:tcPr>
            <w:tcW w:w="1047" w:type="dxa"/>
            <w:tcBorders>
              <w:top w:val="single" w:sz="4" w:space="0" w:color="auto"/>
              <w:left w:val="nil"/>
              <w:bottom w:val="single" w:sz="8" w:space="0" w:color="auto"/>
              <w:right w:val="nil"/>
            </w:tcBorders>
            <w:noWrap/>
            <w:tcMar>
              <w:top w:w="15" w:type="dxa"/>
              <w:left w:w="108" w:type="dxa"/>
              <w:bottom w:w="0" w:type="dxa"/>
              <w:right w:w="108" w:type="dxa"/>
            </w:tcMar>
            <w:hideMark/>
          </w:tcPr>
          <w:p w14:paraId="7FF4923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7,833 </w:t>
            </w:r>
          </w:p>
        </w:tc>
        <w:tc>
          <w:tcPr>
            <w:tcW w:w="920" w:type="dxa"/>
            <w:tcBorders>
              <w:top w:val="single" w:sz="4" w:space="0" w:color="auto"/>
              <w:left w:val="nil"/>
              <w:bottom w:val="single" w:sz="8" w:space="0" w:color="auto"/>
              <w:right w:val="nil"/>
            </w:tcBorders>
            <w:noWrap/>
            <w:tcMar>
              <w:top w:w="15" w:type="dxa"/>
              <w:left w:w="108" w:type="dxa"/>
              <w:bottom w:w="0" w:type="dxa"/>
              <w:right w:w="108" w:type="dxa"/>
            </w:tcMar>
            <w:hideMark/>
          </w:tcPr>
          <w:p w14:paraId="649A893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9,778 </w:t>
            </w:r>
          </w:p>
        </w:tc>
      </w:tr>
      <w:tr w:rsidR="00560745" w14:paraId="5199ABAB" w14:textId="77777777" w:rsidTr="000205E0">
        <w:trPr>
          <w:gridAfter w:val="1"/>
          <w:wAfter w:w="141" w:type="dxa"/>
          <w:trHeight w:val="281"/>
        </w:trPr>
        <w:tc>
          <w:tcPr>
            <w:tcW w:w="5660" w:type="dxa"/>
            <w:gridSpan w:val="2"/>
            <w:noWrap/>
            <w:tcMar>
              <w:top w:w="15" w:type="dxa"/>
              <w:left w:w="108" w:type="dxa"/>
              <w:bottom w:w="0" w:type="dxa"/>
              <w:right w:w="108" w:type="dxa"/>
            </w:tcMar>
            <w:vAlign w:val="bottom"/>
            <w:hideMark/>
          </w:tcPr>
          <w:p w14:paraId="2558B669" w14:textId="77777777" w:rsidR="00560745" w:rsidRDefault="00560745">
            <w:pPr>
              <w:spacing w:after="0"/>
              <w:rPr>
                <w:kern w:val="0"/>
                <w:sz w:val="20"/>
                <w:szCs w:val="20"/>
                <w:lang w:eastAsia="en-GB"/>
                <w14:ligatures w14:val="none"/>
              </w:rPr>
            </w:pPr>
          </w:p>
        </w:tc>
        <w:tc>
          <w:tcPr>
            <w:tcW w:w="1304" w:type="dxa"/>
            <w:noWrap/>
            <w:tcMar>
              <w:top w:w="15" w:type="dxa"/>
              <w:left w:w="108" w:type="dxa"/>
              <w:bottom w:w="0" w:type="dxa"/>
              <w:right w:w="108" w:type="dxa"/>
            </w:tcMar>
            <w:vAlign w:val="bottom"/>
            <w:hideMark/>
          </w:tcPr>
          <w:p w14:paraId="575AB28F" w14:textId="77777777" w:rsidR="00560745" w:rsidRDefault="00560745">
            <w:pPr>
              <w:spacing w:after="0"/>
              <w:rPr>
                <w:kern w:val="0"/>
                <w:sz w:val="20"/>
                <w:szCs w:val="20"/>
                <w:lang w:eastAsia="en-GB"/>
                <w14:ligatures w14:val="none"/>
              </w:rPr>
            </w:pPr>
          </w:p>
        </w:tc>
        <w:tc>
          <w:tcPr>
            <w:tcW w:w="1047" w:type="dxa"/>
            <w:noWrap/>
            <w:tcMar>
              <w:top w:w="15" w:type="dxa"/>
              <w:left w:w="108" w:type="dxa"/>
              <w:bottom w:w="0" w:type="dxa"/>
              <w:right w:w="108" w:type="dxa"/>
            </w:tcMar>
            <w:vAlign w:val="bottom"/>
            <w:hideMark/>
          </w:tcPr>
          <w:p w14:paraId="4D80FEAD" w14:textId="77777777" w:rsidR="00560745" w:rsidRDefault="00560745">
            <w:pPr>
              <w:spacing w:after="0"/>
              <w:rPr>
                <w:kern w:val="0"/>
                <w:sz w:val="20"/>
                <w:szCs w:val="20"/>
                <w:lang w:eastAsia="en-GB"/>
                <w14:ligatures w14:val="none"/>
              </w:rPr>
            </w:pPr>
          </w:p>
        </w:tc>
        <w:tc>
          <w:tcPr>
            <w:tcW w:w="920" w:type="dxa"/>
            <w:noWrap/>
            <w:tcMar>
              <w:top w:w="15" w:type="dxa"/>
              <w:left w:w="108" w:type="dxa"/>
              <w:bottom w:w="0" w:type="dxa"/>
              <w:right w:w="108" w:type="dxa"/>
            </w:tcMar>
            <w:vAlign w:val="bottom"/>
            <w:hideMark/>
          </w:tcPr>
          <w:p w14:paraId="68B70DCF" w14:textId="77777777" w:rsidR="00560745" w:rsidRDefault="00560745">
            <w:pPr>
              <w:spacing w:after="0"/>
              <w:rPr>
                <w:kern w:val="0"/>
                <w:sz w:val="20"/>
                <w:szCs w:val="20"/>
                <w:lang w:eastAsia="en-GB"/>
                <w14:ligatures w14:val="none"/>
              </w:rPr>
            </w:pPr>
          </w:p>
        </w:tc>
      </w:tr>
      <w:tr w:rsidR="00560745" w14:paraId="5BC9A9B0" w14:textId="77777777" w:rsidTr="000205E0">
        <w:trPr>
          <w:gridAfter w:val="1"/>
          <w:wAfter w:w="141" w:type="dxa"/>
          <w:trHeight w:val="134"/>
        </w:trPr>
        <w:tc>
          <w:tcPr>
            <w:tcW w:w="5660" w:type="dxa"/>
            <w:gridSpan w:val="2"/>
            <w:noWrap/>
            <w:tcMar>
              <w:top w:w="15" w:type="dxa"/>
              <w:left w:w="108" w:type="dxa"/>
              <w:bottom w:w="0" w:type="dxa"/>
              <w:right w:w="108" w:type="dxa"/>
            </w:tcMar>
            <w:vAlign w:val="bottom"/>
            <w:hideMark/>
          </w:tcPr>
          <w:p w14:paraId="4A32AE14"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Analysis of expected timing of discounted flows</w:t>
            </w:r>
          </w:p>
        </w:tc>
        <w:tc>
          <w:tcPr>
            <w:tcW w:w="1304" w:type="dxa"/>
            <w:noWrap/>
            <w:tcMar>
              <w:top w:w="15" w:type="dxa"/>
              <w:left w:w="108" w:type="dxa"/>
              <w:bottom w:w="0" w:type="dxa"/>
              <w:right w:w="108" w:type="dxa"/>
            </w:tcMar>
            <w:vAlign w:val="bottom"/>
            <w:hideMark/>
          </w:tcPr>
          <w:p w14:paraId="154D18EC" w14:textId="77777777" w:rsidR="00560745" w:rsidRDefault="00560745">
            <w:pPr>
              <w:rPr>
                <w:rFonts w:eastAsia="Times New Roman"/>
                <w:b/>
                <w:bCs/>
                <w:kern w:val="0"/>
                <w:sz w:val="20"/>
                <w:szCs w:val="20"/>
                <w:lang w:eastAsia="en-GB"/>
                <w14:ligatures w14:val="none"/>
              </w:rPr>
            </w:pPr>
          </w:p>
        </w:tc>
        <w:tc>
          <w:tcPr>
            <w:tcW w:w="1047" w:type="dxa"/>
            <w:noWrap/>
            <w:tcMar>
              <w:top w:w="15" w:type="dxa"/>
              <w:left w:w="108" w:type="dxa"/>
              <w:bottom w:w="0" w:type="dxa"/>
              <w:right w:w="108" w:type="dxa"/>
            </w:tcMar>
            <w:vAlign w:val="bottom"/>
            <w:hideMark/>
          </w:tcPr>
          <w:p w14:paraId="49C1DF8A" w14:textId="77777777" w:rsidR="00560745" w:rsidRDefault="00560745">
            <w:pPr>
              <w:spacing w:after="0"/>
              <w:rPr>
                <w:kern w:val="0"/>
                <w:sz w:val="20"/>
                <w:szCs w:val="20"/>
                <w:lang w:eastAsia="en-GB"/>
                <w14:ligatures w14:val="none"/>
              </w:rPr>
            </w:pPr>
          </w:p>
        </w:tc>
        <w:tc>
          <w:tcPr>
            <w:tcW w:w="920" w:type="dxa"/>
            <w:noWrap/>
            <w:tcMar>
              <w:top w:w="15" w:type="dxa"/>
              <w:left w:w="108" w:type="dxa"/>
              <w:bottom w:w="0" w:type="dxa"/>
              <w:right w:w="108" w:type="dxa"/>
            </w:tcMar>
            <w:vAlign w:val="bottom"/>
            <w:hideMark/>
          </w:tcPr>
          <w:p w14:paraId="2DA987C0" w14:textId="77777777" w:rsidR="00560745" w:rsidRDefault="00560745">
            <w:pPr>
              <w:spacing w:after="0"/>
              <w:rPr>
                <w:kern w:val="0"/>
                <w:sz w:val="20"/>
                <w:szCs w:val="20"/>
                <w:lang w:eastAsia="en-GB"/>
                <w14:ligatures w14:val="none"/>
              </w:rPr>
            </w:pPr>
          </w:p>
        </w:tc>
      </w:tr>
      <w:tr w:rsidR="00560745" w14:paraId="2C995F24" w14:textId="77777777" w:rsidTr="000205E0">
        <w:trPr>
          <w:gridAfter w:val="1"/>
          <w:wAfter w:w="141" w:type="dxa"/>
          <w:trHeight w:val="138"/>
        </w:trPr>
        <w:tc>
          <w:tcPr>
            <w:tcW w:w="5660" w:type="dxa"/>
            <w:gridSpan w:val="2"/>
            <w:noWrap/>
            <w:tcMar>
              <w:top w:w="15" w:type="dxa"/>
              <w:left w:w="108" w:type="dxa"/>
              <w:bottom w:w="0" w:type="dxa"/>
              <w:right w:w="108" w:type="dxa"/>
            </w:tcMar>
            <w:vAlign w:val="bottom"/>
            <w:hideMark/>
          </w:tcPr>
          <w:p w14:paraId="587901BE"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Not later than one year</w:t>
            </w:r>
          </w:p>
        </w:tc>
        <w:tc>
          <w:tcPr>
            <w:tcW w:w="1304" w:type="dxa"/>
            <w:noWrap/>
            <w:tcMar>
              <w:top w:w="15" w:type="dxa"/>
              <w:left w:w="108" w:type="dxa"/>
              <w:bottom w:w="0" w:type="dxa"/>
              <w:right w:w="108" w:type="dxa"/>
            </w:tcMar>
            <w:hideMark/>
          </w:tcPr>
          <w:p w14:paraId="3544C61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1,320 </w:t>
            </w:r>
          </w:p>
        </w:tc>
        <w:tc>
          <w:tcPr>
            <w:tcW w:w="1047" w:type="dxa"/>
            <w:noWrap/>
            <w:tcMar>
              <w:top w:w="15" w:type="dxa"/>
              <w:left w:w="108" w:type="dxa"/>
              <w:bottom w:w="0" w:type="dxa"/>
              <w:right w:w="108" w:type="dxa"/>
            </w:tcMar>
            <w:hideMark/>
          </w:tcPr>
          <w:p w14:paraId="2A713C8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2,670 </w:t>
            </w:r>
          </w:p>
        </w:tc>
        <w:tc>
          <w:tcPr>
            <w:tcW w:w="920" w:type="dxa"/>
            <w:noWrap/>
            <w:tcMar>
              <w:top w:w="15" w:type="dxa"/>
              <w:left w:w="108" w:type="dxa"/>
              <w:bottom w:w="0" w:type="dxa"/>
              <w:right w:w="108" w:type="dxa"/>
            </w:tcMar>
            <w:hideMark/>
          </w:tcPr>
          <w:p w14:paraId="552CA3E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3,990 </w:t>
            </w:r>
          </w:p>
        </w:tc>
      </w:tr>
      <w:tr w:rsidR="00560745" w14:paraId="3C5584A7" w14:textId="77777777" w:rsidTr="000205E0">
        <w:trPr>
          <w:gridAfter w:val="1"/>
          <w:wAfter w:w="141" w:type="dxa"/>
          <w:trHeight w:val="156"/>
        </w:trPr>
        <w:tc>
          <w:tcPr>
            <w:tcW w:w="5660" w:type="dxa"/>
            <w:gridSpan w:val="2"/>
            <w:noWrap/>
            <w:tcMar>
              <w:top w:w="15" w:type="dxa"/>
              <w:left w:w="108" w:type="dxa"/>
              <w:bottom w:w="0" w:type="dxa"/>
              <w:right w:w="108" w:type="dxa"/>
            </w:tcMar>
            <w:vAlign w:val="bottom"/>
            <w:hideMark/>
          </w:tcPr>
          <w:p w14:paraId="42F2AFD1"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Later than one year and not later than five years</w:t>
            </w:r>
          </w:p>
        </w:tc>
        <w:tc>
          <w:tcPr>
            <w:tcW w:w="1304" w:type="dxa"/>
            <w:noWrap/>
            <w:tcMar>
              <w:top w:w="15" w:type="dxa"/>
              <w:left w:w="108" w:type="dxa"/>
              <w:bottom w:w="0" w:type="dxa"/>
              <w:right w:w="108" w:type="dxa"/>
            </w:tcMar>
            <w:hideMark/>
          </w:tcPr>
          <w:p w14:paraId="734FB2B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174 </w:t>
            </w:r>
          </w:p>
        </w:tc>
        <w:tc>
          <w:tcPr>
            <w:tcW w:w="1047" w:type="dxa"/>
            <w:noWrap/>
            <w:tcMar>
              <w:top w:w="15" w:type="dxa"/>
              <w:left w:w="108" w:type="dxa"/>
              <w:bottom w:w="0" w:type="dxa"/>
              <w:right w:w="108" w:type="dxa"/>
            </w:tcMar>
            <w:hideMark/>
          </w:tcPr>
          <w:p w14:paraId="53876BB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5,163 </w:t>
            </w:r>
          </w:p>
        </w:tc>
        <w:tc>
          <w:tcPr>
            <w:tcW w:w="920" w:type="dxa"/>
            <w:noWrap/>
            <w:tcMar>
              <w:top w:w="15" w:type="dxa"/>
              <w:left w:w="108" w:type="dxa"/>
              <w:bottom w:w="0" w:type="dxa"/>
              <w:right w:w="108" w:type="dxa"/>
            </w:tcMar>
            <w:hideMark/>
          </w:tcPr>
          <w:p w14:paraId="0D3B707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5,337 </w:t>
            </w:r>
          </w:p>
        </w:tc>
      </w:tr>
      <w:tr w:rsidR="00560745" w14:paraId="7C92EEC2" w14:textId="77777777" w:rsidTr="000205E0">
        <w:trPr>
          <w:gridAfter w:val="1"/>
          <w:wAfter w:w="141" w:type="dxa"/>
          <w:trHeight w:val="188"/>
        </w:trPr>
        <w:tc>
          <w:tcPr>
            <w:tcW w:w="5660" w:type="dxa"/>
            <w:gridSpan w:val="2"/>
            <w:noWrap/>
            <w:tcMar>
              <w:top w:w="15" w:type="dxa"/>
              <w:left w:w="108" w:type="dxa"/>
              <w:bottom w:w="0" w:type="dxa"/>
              <w:right w:w="108" w:type="dxa"/>
            </w:tcMar>
            <w:vAlign w:val="bottom"/>
            <w:hideMark/>
          </w:tcPr>
          <w:p w14:paraId="167BBCBA"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Later than five years</w:t>
            </w:r>
          </w:p>
        </w:tc>
        <w:tc>
          <w:tcPr>
            <w:tcW w:w="1304" w:type="dxa"/>
            <w:noWrap/>
            <w:tcMar>
              <w:top w:w="15" w:type="dxa"/>
              <w:left w:w="108" w:type="dxa"/>
              <w:bottom w:w="0" w:type="dxa"/>
              <w:right w:w="108" w:type="dxa"/>
            </w:tcMar>
            <w:hideMark/>
          </w:tcPr>
          <w:p w14:paraId="2403E7E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451 </w:t>
            </w:r>
          </w:p>
        </w:tc>
        <w:tc>
          <w:tcPr>
            <w:tcW w:w="1047" w:type="dxa"/>
            <w:noWrap/>
            <w:tcMar>
              <w:top w:w="15" w:type="dxa"/>
              <w:left w:w="108" w:type="dxa"/>
              <w:bottom w:w="0" w:type="dxa"/>
              <w:right w:w="108" w:type="dxa"/>
            </w:tcMar>
            <w:hideMark/>
          </w:tcPr>
          <w:p w14:paraId="44E3D1C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920" w:type="dxa"/>
            <w:noWrap/>
            <w:tcMar>
              <w:top w:w="15" w:type="dxa"/>
              <w:left w:w="108" w:type="dxa"/>
              <w:bottom w:w="0" w:type="dxa"/>
              <w:right w:w="108" w:type="dxa"/>
            </w:tcMar>
            <w:hideMark/>
          </w:tcPr>
          <w:p w14:paraId="72F3586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451 </w:t>
            </w:r>
          </w:p>
        </w:tc>
      </w:tr>
      <w:tr w:rsidR="00560745" w14:paraId="39B2FAD1" w14:textId="77777777" w:rsidTr="000205E0">
        <w:trPr>
          <w:gridAfter w:val="1"/>
          <w:wAfter w:w="141" w:type="dxa"/>
          <w:trHeight w:val="210"/>
        </w:trPr>
        <w:tc>
          <w:tcPr>
            <w:tcW w:w="5660" w:type="dxa"/>
            <w:gridSpan w:val="2"/>
            <w:noWrap/>
            <w:tcMar>
              <w:top w:w="15" w:type="dxa"/>
              <w:left w:w="108" w:type="dxa"/>
              <w:bottom w:w="0" w:type="dxa"/>
              <w:right w:w="108" w:type="dxa"/>
            </w:tcMar>
            <w:vAlign w:val="center"/>
            <w:hideMark/>
          </w:tcPr>
          <w:p w14:paraId="120ED9E5"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Balance at 31 March 2024</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5EC9D64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1,945 </w:t>
            </w:r>
          </w:p>
        </w:tc>
        <w:tc>
          <w:tcPr>
            <w:tcW w:w="1047" w:type="dxa"/>
            <w:tcBorders>
              <w:top w:val="single" w:sz="4" w:space="0" w:color="auto"/>
              <w:left w:val="nil"/>
              <w:bottom w:val="single" w:sz="8" w:space="0" w:color="auto"/>
              <w:right w:val="nil"/>
            </w:tcBorders>
            <w:noWrap/>
            <w:tcMar>
              <w:top w:w="15" w:type="dxa"/>
              <w:left w:w="108" w:type="dxa"/>
              <w:bottom w:w="0" w:type="dxa"/>
              <w:right w:w="108" w:type="dxa"/>
            </w:tcMar>
            <w:hideMark/>
          </w:tcPr>
          <w:p w14:paraId="002EEC9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7,833 </w:t>
            </w:r>
          </w:p>
        </w:tc>
        <w:tc>
          <w:tcPr>
            <w:tcW w:w="920" w:type="dxa"/>
            <w:tcBorders>
              <w:top w:val="single" w:sz="4" w:space="0" w:color="auto"/>
              <w:left w:val="nil"/>
              <w:bottom w:val="single" w:sz="8" w:space="0" w:color="auto"/>
              <w:right w:val="nil"/>
            </w:tcBorders>
            <w:noWrap/>
            <w:tcMar>
              <w:top w:w="15" w:type="dxa"/>
              <w:left w:w="108" w:type="dxa"/>
              <w:bottom w:w="0" w:type="dxa"/>
              <w:right w:w="108" w:type="dxa"/>
            </w:tcMar>
            <w:hideMark/>
          </w:tcPr>
          <w:p w14:paraId="2338160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9,778 </w:t>
            </w:r>
          </w:p>
        </w:tc>
      </w:tr>
      <w:tr w:rsidR="00560745" w14:paraId="7C9361D0" w14:textId="77777777" w:rsidTr="000205E0">
        <w:trPr>
          <w:gridAfter w:val="1"/>
          <w:wAfter w:w="141" w:type="dxa"/>
          <w:trHeight w:val="388"/>
        </w:trPr>
        <w:tc>
          <w:tcPr>
            <w:tcW w:w="5660" w:type="dxa"/>
            <w:gridSpan w:val="2"/>
            <w:tcMar>
              <w:top w:w="15" w:type="dxa"/>
              <w:left w:w="108" w:type="dxa"/>
              <w:bottom w:w="0" w:type="dxa"/>
              <w:right w:w="108" w:type="dxa"/>
            </w:tcMar>
            <w:hideMark/>
          </w:tcPr>
          <w:p w14:paraId="7F7C30B0" w14:textId="77777777" w:rsidR="00560745" w:rsidRDefault="00560745">
            <w:pPr>
              <w:spacing w:after="0"/>
              <w:rPr>
                <w:kern w:val="0"/>
                <w:sz w:val="20"/>
                <w:szCs w:val="20"/>
                <w:lang w:eastAsia="en-GB"/>
                <w14:ligatures w14:val="none"/>
              </w:rPr>
            </w:pPr>
          </w:p>
        </w:tc>
        <w:tc>
          <w:tcPr>
            <w:tcW w:w="1304" w:type="dxa"/>
            <w:tcMar>
              <w:top w:w="15" w:type="dxa"/>
              <w:left w:w="108" w:type="dxa"/>
              <w:bottom w:w="0" w:type="dxa"/>
              <w:right w:w="108" w:type="dxa"/>
            </w:tcMar>
            <w:hideMark/>
          </w:tcPr>
          <w:p w14:paraId="5A64DE00" w14:textId="77777777" w:rsidR="00560745" w:rsidRDefault="00560745">
            <w:pPr>
              <w:spacing w:after="0"/>
              <w:rPr>
                <w:kern w:val="0"/>
                <w:sz w:val="20"/>
                <w:szCs w:val="20"/>
                <w:lang w:eastAsia="en-GB"/>
                <w14:ligatures w14:val="none"/>
              </w:rPr>
            </w:pPr>
          </w:p>
        </w:tc>
        <w:tc>
          <w:tcPr>
            <w:tcW w:w="1047" w:type="dxa"/>
            <w:tcMar>
              <w:top w:w="15" w:type="dxa"/>
              <w:left w:w="108" w:type="dxa"/>
              <w:bottom w:w="0" w:type="dxa"/>
              <w:right w:w="108" w:type="dxa"/>
            </w:tcMar>
            <w:hideMark/>
          </w:tcPr>
          <w:p w14:paraId="6AA58ED3" w14:textId="77777777" w:rsidR="00560745" w:rsidRDefault="00560745">
            <w:pPr>
              <w:spacing w:after="0"/>
              <w:rPr>
                <w:kern w:val="0"/>
                <w:sz w:val="20"/>
                <w:szCs w:val="20"/>
                <w:lang w:eastAsia="en-GB"/>
                <w14:ligatures w14:val="none"/>
              </w:rPr>
            </w:pPr>
          </w:p>
        </w:tc>
        <w:tc>
          <w:tcPr>
            <w:tcW w:w="920" w:type="dxa"/>
            <w:tcMar>
              <w:top w:w="15" w:type="dxa"/>
              <w:left w:w="108" w:type="dxa"/>
              <w:bottom w:w="0" w:type="dxa"/>
              <w:right w:w="108" w:type="dxa"/>
            </w:tcMar>
            <w:hideMark/>
          </w:tcPr>
          <w:p w14:paraId="6C6512E9" w14:textId="77777777" w:rsidR="00560745" w:rsidRDefault="00560745">
            <w:pPr>
              <w:spacing w:after="0"/>
              <w:rPr>
                <w:kern w:val="0"/>
                <w:sz w:val="20"/>
                <w:szCs w:val="20"/>
                <w:lang w:eastAsia="en-GB"/>
                <w14:ligatures w14:val="none"/>
              </w:rPr>
            </w:pPr>
          </w:p>
        </w:tc>
      </w:tr>
      <w:tr w:rsidR="00560745" w14:paraId="2F3C9236" w14:textId="77777777" w:rsidTr="000205E0">
        <w:trPr>
          <w:gridAfter w:val="1"/>
          <w:wAfter w:w="141" w:type="dxa"/>
          <w:trHeight w:val="274"/>
        </w:trPr>
        <w:tc>
          <w:tcPr>
            <w:tcW w:w="5660" w:type="dxa"/>
            <w:gridSpan w:val="2"/>
            <w:tcMar>
              <w:top w:w="15" w:type="dxa"/>
              <w:left w:w="108" w:type="dxa"/>
              <w:bottom w:w="0" w:type="dxa"/>
              <w:right w:w="108" w:type="dxa"/>
            </w:tcMar>
            <w:hideMark/>
          </w:tcPr>
          <w:p w14:paraId="31C7C554"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c>
          <w:tcPr>
            <w:tcW w:w="1304" w:type="dxa"/>
            <w:noWrap/>
            <w:tcMar>
              <w:top w:w="15" w:type="dxa"/>
              <w:left w:w="108" w:type="dxa"/>
              <w:bottom w:w="0" w:type="dxa"/>
              <w:right w:w="108" w:type="dxa"/>
            </w:tcMar>
            <w:vAlign w:val="bottom"/>
            <w:hideMark/>
          </w:tcPr>
          <w:p w14:paraId="57E9EC9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Lease</w:t>
            </w:r>
          </w:p>
        </w:tc>
        <w:tc>
          <w:tcPr>
            <w:tcW w:w="1047" w:type="dxa"/>
            <w:noWrap/>
            <w:tcMar>
              <w:top w:w="15" w:type="dxa"/>
              <w:left w:w="108" w:type="dxa"/>
              <w:bottom w:w="0" w:type="dxa"/>
              <w:right w:w="108" w:type="dxa"/>
            </w:tcMar>
            <w:vAlign w:val="bottom"/>
            <w:hideMark/>
          </w:tcPr>
          <w:p w14:paraId="4426958E" w14:textId="77777777" w:rsidR="00560745" w:rsidRDefault="00560745">
            <w:pPr>
              <w:rPr>
                <w:rFonts w:eastAsia="Times New Roman"/>
                <w:b/>
                <w:bCs/>
                <w:kern w:val="0"/>
                <w:sz w:val="20"/>
                <w:szCs w:val="20"/>
                <w:lang w:eastAsia="en-GB"/>
                <w14:ligatures w14:val="none"/>
              </w:rPr>
            </w:pPr>
          </w:p>
        </w:tc>
        <w:tc>
          <w:tcPr>
            <w:tcW w:w="920" w:type="dxa"/>
            <w:noWrap/>
            <w:tcMar>
              <w:top w:w="15" w:type="dxa"/>
              <w:left w:w="108" w:type="dxa"/>
              <w:bottom w:w="0" w:type="dxa"/>
              <w:right w:w="108" w:type="dxa"/>
            </w:tcMar>
            <w:vAlign w:val="bottom"/>
            <w:hideMark/>
          </w:tcPr>
          <w:p w14:paraId="1744389D" w14:textId="77777777" w:rsidR="00560745" w:rsidRDefault="00560745">
            <w:pPr>
              <w:spacing w:after="0"/>
              <w:rPr>
                <w:kern w:val="0"/>
                <w:sz w:val="20"/>
                <w:szCs w:val="20"/>
                <w:lang w:eastAsia="en-GB"/>
                <w14:ligatures w14:val="none"/>
              </w:rPr>
            </w:pPr>
          </w:p>
        </w:tc>
      </w:tr>
      <w:tr w:rsidR="00560745" w14:paraId="1586A64B" w14:textId="77777777" w:rsidTr="000205E0">
        <w:trPr>
          <w:gridAfter w:val="1"/>
          <w:wAfter w:w="141" w:type="dxa"/>
          <w:trHeight w:val="122"/>
        </w:trPr>
        <w:tc>
          <w:tcPr>
            <w:tcW w:w="5660" w:type="dxa"/>
            <w:gridSpan w:val="2"/>
            <w:noWrap/>
            <w:tcMar>
              <w:top w:w="15" w:type="dxa"/>
              <w:left w:w="108" w:type="dxa"/>
              <w:bottom w:w="0" w:type="dxa"/>
              <w:right w:w="108" w:type="dxa"/>
            </w:tcMar>
            <w:vAlign w:val="bottom"/>
            <w:hideMark/>
          </w:tcPr>
          <w:p w14:paraId="4A31A52B" w14:textId="77777777" w:rsidR="00560745" w:rsidRDefault="00560745">
            <w:pPr>
              <w:spacing w:after="0"/>
              <w:rPr>
                <w:kern w:val="0"/>
                <w:sz w:val="20"/>
                <w:szCs w:val="20"/>
                <w:lang w:eastAsia="en-GB"/>
                <w14:ligatures w14:val="none"/>
              </w:rPr>
            </w:pPr>
          </w:p>
        </w:tc>
        <w:tc>
          <w:tcPr>
            <w:tcW w:w="1304" w:type="dxa"/>
            <w:noWrap/>
            <w:tcMar>
              <w:top w:w="15" w:type="dxa"/>
              <w:left w:w="108" w:type="dxa"/>
              <w:bottom w:w="0" w:type="dxa"/>
              <w:right w:w="108" w:type="dxa"/>
            </w:tcMar>
            <w:vAlign w:val="bottom"/>
            <w:hideMark/>
          </w:tcPr>
          <w:p w14:paraId="6D9A2F5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dilapidations</w:t>
            </w:r>
          </w:p>
        </w:tc>
        <w:tc>
          <w:tcPr>
            <w:tcW w:w="1047" w:type="dxa"/>
            <w:noWrap/>
            <w:tcMar>
              <w:top w:w="15" w:type="dxa"/>
              <w:left w:w="108" w:type="dxa"/>
              <w:bottom w:w="0" w:type="dxa"/>
              <w:right w:w="108" w:type="dxa"/>
            </w:tcMar>
            <w:vAlign w:val="bottom"/>
            <w:hideMark/>
          </w:tcPr>
          <w:p w14:paraId="4F17432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Other </w:t>
            </w:r>
          </w:p>
        </w:tc>
        <w:tc>
          <w:tcPr>
            <w:tcW w:w="920" w:type="dxa"/>
            <w:noWrap/>
            <w:tcMar>
              <w:top w:w="15" w:type="dxa"/>
              <w:left w:w="108" w:type="dxa"/>
              <w:bottom w:w="0" w:type="dxa"/>
              <w:right w:w="108" w:type="dxa"/>
            </w:tcMar>
            <w:vAlign w:val="bottom"/>
            <w:hideMark/>
          </w:tcPr>
          <w:p w14:paraId="4A78C0B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Total </w:t>
            </w:r>
          </w:p>
        </w:tc>
      </w:tr>
      <w:tr w:rsidR="00560745" w14:paraId="45B4D005" w14:textId="77777777" w:rsidTr="000205E0">
        <w:trPr>
          <w:gridAfter w:val="1"/>
          <w:wAfter w:w="141" w:type="dxa"/>
          <w:trHeight w:val="154"/>
        </w:trPr>
        <w:tc>
          <w:tcPr>
            <w:tcW w:w="5660" w:type="dxa"/>
            <w:gridSpan w:val="2"/>
            <w:noWrap/>
            <w:tcMar>
              <w:top w:w="15" w:type="dxa"/>
              <w:left w:w="108" w:type="dxa"/>
              <w:bottom w:w="0" w:type="dxa"/>
              <w:right w:w="108" w:type="dxa"/>
            </w:tcMar>
            <w:vAlign w:val="bottom"/>
            <w:hideMark/>
          </w:tcPr>
          <w:p w14:paraId="2D2529D3" w14:textId="77777777" w:rsidR="00560745" w:rsidRDefault="00560745">
            <w:pPr>
              <w:spacing w:after="0"/>
              <w:rPr>
                <w:kern w:val="0"/>
                <w:sz w:val="20"/>
                <w:szCs w:val="20"/>
                <w:lang w:eastAsia="en-GB"/>
                <w14:ligatures w14:val="none"/>
              </w:rPr>
            </w:pPr>
          </w:p>
        </w:tc>
        <w:tc>
          <w:tcPr>
            <w:tcW w:w="1304" w:type="dxa"/>
            <w:tcBorders>
              <w:top w:val="nil"/>
              <w:left w:val="nil"/>
              <w:bottom w:val="single" w:sz="8" w:space="0" w:color="auto"/>
              <w:right w:val="nil"/>
            </w:tcBorders>
            <w:noWrap/>
            <w:tcMar>
              <w:top w:w="15" w:type="dxa"/>
              <w:left w:w="108" w:type="dxa"/>
              <w:bottom w:w="0" w:type="dxa"/>
              <w:right w:w="108" w:type="dxa"/>
            </w:tcMar>
            <w:vAlign w:val="bottom"/>
            <w:hideMark/>
          </w:tcPr>
          <w:p w14:paraId="05C24C1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047" w:type="dxa"/>
            <w:tcBorders>
              <w:top w:val="nil"/>
              <w:left w:val="nil"/>
              <w:bottom w:val="single" w:sz="8" w:space="0" w:color="auto"/>
              <w:right w:val="nil"/>
            </w:tcBorders>
            <w:noWrap/>
            <w:tcMar>
              <w:top w:w="15" w:type="dxa"/>
              <w:left w:w="108" w:type="dxa"/>
              <w:bottom w:w="0" w:type="dxa"/>
              <w:right w:w="108" w:type="dxa"/>
            </w:tcMar>
            <w:vAlign w:val="bottom"/>
            <w:hideMark/>
          </w:tcPr>
          <w:p w14:paraId="09EE9A7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920" w:type="dxa"/>
            <w:tcBorders>
              <w:top w:val="nil"/>
              <w:left w:val="nil"/>
              <w:bottom w:val="single" w:sz="8" w:space="0" w:color="auto"/>
              <w:right w:val="nil"/>
            </w:tcBorders>
            <w:noWrap/>
            <w:tcMar>
              <w:top w:w="15" w:type="dxa"/>
              <w:left w:w="108" w:type="dxa"/>
              <w:bottom w:w="0" w:type="dxa"/>
              <w:right w:w="108" w:type="dxa"/>
            </w:tcMar>
            <w:vAlign w:val="bottom"/>
            <w:hideMark/>
          </w:tcPr>
          <w:p w14:paraId="21A8042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17417CE8" w14:textId="77777777" w:rsidTr="000205E0">
        <w:trPr>
          <w:gridAfter w:val="1"/>
          <w:wAfter w:w="141" w:type="dxa"/>
          <w:trHeight w:val="167"/>
        </w:trPr>
        <w:tc>
          <w:tcPr>
            <w:tcW w:w="5660" w:type="dxa"/>
            <w:gridSpan w:val="2"/>
            <w:noWrap/>
            <w:tcMar>
              <w:top w:w="15" w:type="dxa"/>
              <w:left w:w="108" w:type="dxa"/>
              <w:bottom w:w="0" w:type="dxa"/>
              <w:right w:w="108" w:type="dxa"/>
            </w:tcMar>
            <w:vAlign w:val="bottom"/>
            <w:hideMark/>
          </w:tcPr>
          <w:p w14:paraId="5BEC685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Balance at 1 April 2022</w:t>
            </w:r>
          </w:p>
        </w:tc>
        <w:tc>
          <w:tcPr>
            <w:tcW w:w="1304" w:type="dxa"/>
            <w:noWrap/>
            <w:tcMar>
              <w:top w:w="15" w:type="dxa"/>
              <w:left w:w="108" w:type="dxa"/>
              <w:bottom w:w="0" w:type="dxa"/>
              <w:right w:w="108" w:type="dxa"/>
            </w:tcMar>
            <w:hideMark/>
          </w:tcPr>
          <w:p w14:paraId="176C65B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3,878 </w:t>
            </w:r>
          </w:p>
        </w:tc>
        <w:tc>
          <w:tcPr>
            <w:tcW w:w="1047" w:type="dxa"/>
            <w:noWrap/>
            <w:tcMar>
              <w:top w:w="15" w:type="dxa"/>
              <w:left w:w="108" w:type="dxa"/>
              <w:bottom w:w="0" w:type="dxa"/>
              <w:right w:w="108" w:type="dxa"/>
            </w:tcMar>
            <w:hideMark/>
          </w:tcPr>
          <w:p w14:paraId="3487049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460 </w:t>
            </w:r>
          </w:p>
        </w:tc>
        <w:tc>
          <w:tcPr>
            <w:tcW w:w="920" w:type="dxa"/>
            <w:noWrap/>
            <w:tcMar>
              <w:top w:w="15" w:type="dxa"/>
              <w:left w:w="108" w:type="dxa"/>
              <w:bottom w:w="0" w:type="dxa"/>
              <w:right w:w="108" w:type="dxa"/>
            </w:tcMar>
            <w:hideMark/>
          </w:tcPr>
          <w:p w14:paraId="3AC79F9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4,338 </w:t>
            </w:r>
          </w:p>
        </w:tc>
      </w:tr>
      <w:tr w:rsidR="00560745" w14:paraId="19566137" w14:textId="77777777" w:rsidTr="000205E0">
        <w:trPr>
          <w:gridAfter w:val="1"/>
          <w:wAfter w:w="141" w:type="dxa"/>
          <w:trHeight w:val="190"/>
        </w:trPr>
        <w:tc>
          <w:tcPr>
            <w:tcW w:w="5660" w:type="dxa"/>
            <w:gridSpan w:val="2"/>
            <w:noWrap/>
            <w:tcMar>
              <w:top w:w="15" w:type="dxa"/>
              <w:left w:w="108" w:type="dxa"/>
              <w:bottom w:w="0" w:type="dxa"/>
              <w:right w:w="108" w:type="dxa"/>
            </w:tcMar>
            <w:vAlign w:val="bottom"/>
            <w:hideMark/>
          </w:tcPr>
          <w:p w14:paraId="287B1EF5"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Provided in the year</w:t>
            </w:r>
          </w:p>
        </w:tc>
        <w:tc>
          <w:tcPr>
            <w:tcW w:w="1304" w:type="dxa"/>
            <w:noWrap/>
            <w:tcMar>
              <w:top w:w="15" w:type="dxa"/>
              <w:left w:w="108" w:type="dxa"/>
              <w:bottom w:w="0" w:type="dxa"/>
              <w:right w:w="108" w:type="dxa"/>
            </w:tcMar>
            <w:hideMark/>
          </w:tcPr>
          <w:p w14:paraId="165F665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047" w:type="dxa"/>
            <w:noWrap/>
            <w:tcMar>
              <w:top w:w="15" w:type="dxa"/>
              <w:left w:w="108" w:type="dxa"/>
              <w:bottom w:w="0" w:type="dxa"/>
              <w:right w:w="108" w:type="dxa"/>
            </w:tcMar>
            <w:hideMark/>
          </w:tcPr>
          <w:p w14:paraId="64E6AA9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2,453 </w:t>
            </w:r>
          </w:p>
        </w:tc>
        <w:tc>
          <w:tcPr>
            <w:tcW w:w="920" w:type="dxa"/>
            <w:noWrap/>
            <w:tcMar>
              <w:top w:w="15" w:type="dxa"/>
              <w:left w:w="108" w:type="dxa"/>
              <w:bottom w:w="0" w:type="dxa"/>
              <w:right w:w="108" w:type="dxa"/>
            </w:tcMar>
            <w:hideMark/>
          </w:tcPr>
          <w:p w14:paraId="002B548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2,453 </w:t>
            </w:r>
          </w:p>
        </w:tc>
      </w:tr>
      <w:tr w:rsidR="00560745" w14:paraId="257C489D" w14:textId="77777777" w:rsidTr="000205E0">
        <w:trPr>
          <w:gridAfter w:val="1"/>
          <w:wAfter w:w="141" w:type="dxa"/>
          <w:trHeight w:val="236"/>
        </w:trPr>
        <w:tc>
          <w:tcPr>
            <w:tcW w:w="5660" w:type="dxa"/>
            <w:gridSpan w:val="2"/>
            <w:noWrap/>
            <w:tcMar>
              <w:top w:w="15" w:type="dxa"/>
              <w:left w:w="108" w:type="dxa"/>
              <w:bottom w:w="0" w:type="dxa"/>
              <w:right w:w="108" w:type="dxa"/>
            </w:tcMar>
            <w:vAlign w:val="bottom"/>
            <w:hideMark/>
          </w:tcPr>
          <w:p w14:paraId="15F229E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Provisions utilised in the year</w:t>
            </w:r>
          </w:p>
        </w:tc>
        <w:tc>
          <w:tcPr>
            <w:tcW w:w="1304" w:type="dxa"/>
            <w:noWrap/>
            <w:tcMar>
              <w:top w:w="15" w:type="dxa"/>
              <w:left w:w="108" w:type="dxa"/>
              <w:bottom w:w="0" w:type="dxa"/>
              <w:right w:w="108" w:type="dxa"/>
            </w:tcMar>
            <w:hideMark/>
          </w:tcPr>
          <w:p w14:paraId="063F309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 </w:t>
            </w:r>
          </w:p>
        </w:tc>
        <w:tc>
          <w:tcPr>
            <w:tcW w:w="1047" w:type="dxa"/>
            <w:noWrap/>
            <w:tcMar>
              <w:top w:w="15" w:type="dxa"/>
              <w:left w:w="108" w:type="dxa"/>
              <w:bottom w:w="0" w:type="dxa"/>
              <w:right w:w="108" w:type="dxa"/>
            </w:tcMar>
            <w:hideMark/>
          </w:tcPr>
          <w:p w14:paraId="4137828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(350) </w:t>
            </w:r>
          </w:p>
        </w:tc>
        <w:tc>
          <w:tcPr>
            <w:tcW w:w="920" w:type="dxa"/>
            <w:noWrap/>
            <w:tcMar>
              <w:top w:w="15" w:type="dxa"/>
              <w:left w:w="108" w:type="dxa"/>
              <w:bottom w:w="0" w:type="dxa"/>
              <w:right w:w="108" w:type="dxa"/>
            </w:tcMar>
            <w:hideMark/>
          </w:tcPr>
          <w:p w14:paraId="0997F41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(359) </w:t>
            </w:r>
          </w:p>
        </w:tc>
      </w:tr>
      <w:tr w:rsidR="00560745" w14:paraId="7DB5D389" w14:textId="77777777" w:rsidTr="000205E0">
        <w:trPr>
          <w:gridAfter w:val="1"/>
          <w:wAfter w:w="141" w:type="dxa"/>
          <w:trHeight w:val="254"/>
        </w:trPr>
        <w:tc>
          <w:tcPr>
            <w:tcW w:w="5660" w:type="dxa"/>
            <w:gridSpan w:val="2"/>
            <w:noWrap/>
            <w:tcMar>
              <w:top w:w="15" w:type="dxa"/>
              <w:left w:w="108" w:type="dxa"/>
              <w:bottom w:w="0" w:type="dxa"/>
              <w:right w:w="108" w:type="dxa"/>
            </w:tcMar>
            <w:vAlign w:val="bottom"/>
            <w:hideMark/>
          </w:tcPr>
          <w:p w14:paraId="4057251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Provisions not required written back</w:t>
            </w:r>
          </w:p>
        </w:tc>
        <w:tc>
          <w:tcPr>
            <w:tcW w:w="1304" w:type="dxa"/>
            <w:noWrap/>
            <w:tcMar>
              <w:top w:w="15" w:type="dxa"/>
              <w:left w:w="108" w:type="dxa"/>
              <w:bottom w:w="0" w:type="dxa"/>
              <w:right w:w="108" w:type="dxa"/>
            </w:tcMar>
            <w:hideMark/>
          </w:tcPr>
          <w:p w14:paraId="6A37ABD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(2,176) </w:t>
            </w:r>
          </w:p>
        </w:tc>
        <w:tc>
          <w:tcPr>
            <w:tcW w:w="1047" w:type="dxa"/>
            <w:noWrap/>
            <w:tcMar>
              <w:top w:w="15" w:type="dxa"/>
              <w:left w:w="108" w:type="dxa"/>
              <w:bottom w:w="0" w:type="dxa"/>
              <w:right w:w="108" w:type="dxa"/>
            </w:tcMar>
            <w:hideMark/>
          </w:tcPr>
          <w:p w14:paraId="74C83CE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(110) </w:t>
            </w:r>
          </w:p>
        </w:tc>
        <w:tc>
          <w:tcPr>
            <w:tcW w:w="920" w:type="dxa"/>
            <w:noWrap/>
            <w:tcMar>
              <w:top w:w="15" w:type="dxa"/>
              <w:left w:w="108" w:type="dxa"/>
              <w:bottom w:w="0" w:type="dxa"/>
              <w:right w:w="108" w:type="dxa"/>
            </w:tcMar>
            <w:hideMark/>
          </w:tcPr>
          <w:p w14:paraId="40D670E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(2,286) </w:t>
            </w:r>
          </w:p>
        </w:tc>
      </w:tr>
      <w:tr w:rsidR="00560745" w14:paraId="58DD6B30" w14:textId="77777777" w:rsidTr="000205E0">
        <w:trPr>
          <w:gridAfter w:val="1"/>
          <w:wAfter w:w="141" w:type="dxa"/>
          <w:trHeight w:val="272"/>
        </w:trPr>
        <w:tc>
          <w:tcPr>
            <w:tcW w:w="5660" w:type="dxa"/>
            <w:gridSpan w:val="2"/>
            <w:noWrap/>
            <w:tcMar>
              <w:top w:w="15" w:type="dxa"/>
              <w:left w:w="108" w:type="dxa"/>
              <w:bottom w:w="0" w:type="dxa"/>
              <w:right w:w="108" w:type="dxa"/>
            </w:tcMar>
            <w:vAlign w:val="bottom"/>
            <w:hideMark/>
          </w:tcPr>
          <w:p w14:paraId="4BC9113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Borrowing costs (unwinding of discount)</w:t>
            </w:r>
          </w:p>
        </w:tc>
        <w:tc>
          <w:tcPr>
            <w:tcW w:w="1304" w:type="dxa"/>
            <w:noWrap/>
            <w:tcMar>
              <w:top w:w="15" w:type="dxa"/>
              <w:left w:w="108" w:type="dxa"/>
              <w:bottom w:w="0" w:type="dxa"/>
              <w:right w:w="108" w:type="dxa"/>
            </w:tcMar>
            <w:hideMark/>
          </w:tcPr>
          <w:p w14:paraId="7BA72E3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120 </w:t>
            </w:r>
          </w:p>
        </w:tc>
        <w:tc>
          <w:tcPr>
            <w:tcW w:w="1047" w:type="dxa"/>
            <w:noWrap/>
            <w:tcMar>
              <w:top w:w="15" w:type="dxa"/>
              <w:left w:w="108" w:type="dxa"/>
              <w:bottom w:w="0" w:type="dxa"/>
              <w:right w:w="108" w:type="dxa"/>
            </w:tcMar>
            <w:hideMark/>
          </w:tcPr>
          <w:p w14:paraId="57A50B1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920" w:type="dxa"/>
            <w:noWrap/>
            <w:tcMar>
              <w:top w:w="15" w:type="dxa"/>
              <w:left w:w="108" w:type="dxa"/>
              <w:bottom w:w="0" w:type="dxa"/>
              <w:right w:w="108" w:type="dxa"/>
            </w:tcMar>
            <w:hideMark/>
          </w:tcPr>
          <w:p w14:paraId="71A8193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120 </w:t>
            </w:r>
          </w:p>
        </w:tc>
      </w:tr>
      <w:tr w:rsidR="00560745" w14:paraId="3BFA954E" w14:textId="77777777" w:rsidTr="000205E0">
        <w:trPr>
          <w:gridAfter w:val="1"/>
          <w:wAfter w:w="141" w:type="dxa"/>
          <w:trHeight w:val="266"/>
        </w:trPr>
        <w:tc>
          <w:tcPr>
            <w:tcW w:w="5660" w:type="dxa"/>
            <w:gridSpan w:val="2"/>
            <w:noWrap/>
            <w:tcMar>
              <w:top w:w="15" w:type="dxa"/>
              <w:left w:w="108" w:type="dxa"/>
              <w:bottom w:w="0" w:type="dxa"/>
              <w:right w:w="108" w:type="dxa"/>
            </w:tcMar>
            <w:vAlign w:val="bottom"/>
            <w:hideMark/>
          </w:tcPr>
          <w:p w14:paraId="012C5130"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Balance at 31 March 2023</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1C33594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1,813 </w:t>
            </w:r>
          </w:p>
        </w:tc>
        <w:tc>
          <w:tcPr>
            <w:tcW w:w="1047" w:type="dxa"/>
            <w:tcBorders>
              <w:top w:val="single" w:sz="4" w:space="0" w:color="auto"/>
              <w:left w:val="nil"/>
              <w:bottom w:val="single" w:sz="8" w:space="0" w:color="auto"/>
              <w:right w:val="nil"/>
            </w:tcBorders>
            <w:noWrap/>
            <w:tcMar>
              <w:top w:w="15" w:type="dxa"/>
              <w:left w:w="108" w:type="dxa"/>
              <w:bottom w:w="0" w:type="dxa"/>
              <w:right w:w="108" w:type="dxa"/>
            </w:tcMar>
            <w:hideMark/>
          </w:tcPr>
          <w:p w14:paraId="78F4030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2,453 </w:t>
            </w:r>
          </w:p>
        </w:tc>
        <w:tc>
          <w:tcPr>
            <w:tcW w:w="920" w:type="dxa"/>
            <w:tcBorders>
              <w:top w:val="single" w:sz="4" w:space="0" w:color="auto"/>
              <w:left w:val="nil"/>
              <w:bottom w:val="single" w:sz="8" w:space="0" w:color="auto"/>
              <w:right w:val="nil"/>
            </w:tcBorders>
            <w:noWrap/>
            <w:tcMar>
              <w:top w:w="15" w:type="dxa"/>
              <w:left w:w="108" w:type="dxa"/>
              <w:bottom w:w="0" w:type="dxa"/>
              <w:right w:w="108" w:type="dxa"/>
            </w:tcMar>
            <w:hideMark/>
          </w:tcPr>
          <w:p w14:paraId="4424346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4,266 </w:t>
            </w:r>
          </w:p>
        </w:tc>
      </w:tr>
      <w:tr w:rsidR="00560745" w14:paraId="2F07F175" w14:textId="77777777" w:rsidTr="000205E0">
        <w:trPr>
          <w:gridAfter w:val="1"/>
          <w:wAfter w:w="141" w:type="dxa"/>
          <w:trHeight w:val="261"/>
        </w:trPr>
        <w:tc>
          <w:tcPr>
            <w:tcW w:w="5660" w:type="dxa"/>
            <w:gridSpan w:val="2"/>
            <w:noWrap/>
            <w:tcMar>
              <w:top w:w="15" w:type="dxa"/>
              <w:left w:w="108" w:type="dxa"/>
              <w:bottom w:w="0" w:type="dxa"/>
              <w:right w:w="108" w:type="dxa"/>
            </w:tcMar>
            <w:vAlign w:val="bottom"/>
            <w:hideMark/>
          </w:tcPr>
          <w:p w14:paraId="56E3F56E" w14:textId="77777777" w:rsidR="00560745" w:rsidRDefault="00560745">
            <w:pPr>
              <w:spacing w:after="0"/>
              <w:rPr>
                <w:kern w:val="0"/>
                <w:sz w:val="20"/>
                <w:szCs w:val="20"/>
                <w:lang w:eastAsia="en-GB"/>
                <w14:ligatures w14:val="none"/>
              </w:rPr>
            </w:pPr>
          </w:p>
        </w:tc>
        <w:tc>
          <w:tcPr>
            <w:tcW w:w="1304" w:type="dxa"/>
            <w:noWrap/>
            <w:tcMar>
              <w:top w:w="15" w:type="dxa"/>
              <w:left w:w="108" w:type="dxa"/>
              <w:bottom w:w="0" w:type="dxa"/>
              <w:right w:w="108" w:type="dxa"/>
            </w:tcMar>
            <w:vAlign w:val="bottom"/>
            <w:hideMark/>
          </w:tcPr>
          <w:p w14:paraId="024B52AF" w14:textId="77777777" w:rsidR="00560745" w:rsidRDefault="00560745">
            <w:pPr>
              <w:spacing w:after="0"/>
              <w:rPr>
                <w:kern w:val="0"/>
                <w:sz w:val="20"/>
                <w:szCs w:val="20"/>
                <w:lang w:eastAsia="en-GB"/>
                <w14:ligatures w14:val="none"/>
              </w:rPr>
            </w:pPr>
          </w:p>
        </w:tc>
        <w:tc>
          <w:tcPr>
            <w:tcW w:w="1047" w:type="dxa"/>
            <w:noWrap/>
            <w:tcMar>
              <w:top w:w="15" w:type="dxa"/>
              <w:left w:w="108" w:type="dxa"/>
              <w:bottom w:w="0" w:type="dxa"/>
              <w:right w:w="108" w:type="dxa"/>
            </w:tcMar>
            <w:vAlign w:val="bottom"/>
            <w:hideMark/>
          </w:tcPr>
          <w:p w14:paraId="1EAFAF43" w14:textId="77777777" w:rsidR="00560745" w:rsidRDefault="00560745">
            <w:pPr>
              <w:spacing w:after="0"/>
              <w:rPr>
                <w:kern w:val="0"/>
                <w:sz w:val="20"/>
                <w:szCs w:val="20"/>
                <w:lang w:eastAsia="en-GB"/>
                <w14:ligatures w14:val="none"/>
              </w:rPr>
            </w:pPr>
          </w:p>
        </w:tc>
        <w:tc>
          <w:tcPr>
            <w:tcW w:w="920" w:type="dxa"/>
            <w:noWrap/>
            <w:tcMar>
              <w:top w:w="15" w:type="dxa"/>
              <w:left w:w="108" w:type="dxa"/>
              <w:bottom w:w="0" w:type="dxa"/>
              <w:right w:w="108" w:type="dxa"/>
            </w:tcMar>
            <w:vAlign w:val="bottom"/>
            <w:hideMark/>
          </w:tcPr>
          <w:p w14:paraId="54E34CD9" w14:textId="77777777" w:rsidR="00560745" w:rsidRDefault="00560745">
            <w:pPr>
              <w:spacing w:after="0"/>
              <w:rPr>
                <w:kern w:val="0"/>
                <w:sz w:val="20"/>
                <w:szCs w:val="20"/>
                <w:lang w:eastAsia="en-GB"/>
                <w14:ligatures w14:val="none"/>
              </w:rPr>
            </w:pPr>
          </w:p>
        </w:tc>
      </w:tr>
      <w:tr w:rsidR="00560745" w14:paraId="67A9F00B" w14:textId="77777777" w:rsidTr="000205E0">
        <w:trPr>
          <w:gridAfter w:val="1"/>
          <w:wAfter w:w="141" w:type="dxa"/>
          <w:trHeight w:val="270"/>
        </w:trPr>
        <w:tc>
          <w:tcPr>
            <w:tcW w:w="5660" w:type="dxa"/>
            <w:gridSpan w:val="2"/>
            <w:noWrap/>
            <w:tcMar>
              <w:top w:w="15" w:type="dxa"/>
              <w:left w:w="108" w:type="dxa"/>
              <w:bottom w:w="0" w:type="dxa"/>
              <w:right w:w="108" w:type="dxa"/>
            </w:tcMar>
            <w:vAlign w:val="bottom"/>
            <w:hideMark/>
          </w:tcPr>
          <w:p w14:paraId="0DA8795F"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Analysis of expected timing of discounted flows</w:t>
            </w:r>
          </w:p>
        </w:tc>
        <w:tc>
          <w:tcPr>
            <w:tcW w:w="1304" w:type="dxa"/>
            <w:noWrap/>
            <w:tcMar>
              <w:top w:w="15" w:type="dxa"/>
              <w:left w:w="108" w:type="dxa"/>
              <w:bottom w:w="0" w:type="dxa"/>
              <w:right w:w="108" w:type="dxa"/>
            </w:tcMar>
            <w:vAlign w:val="bottom"/>
            <w:hideMark/>
          </w:tcPr>
          <w:p w14:paraId="1344F806" w14:textId="77777777" w:rsidR="00560745" w:rsidRDefault="00560745">
            <w:pPr>
              <w:rPr>
                <w:rFonts w:eastAsia="Times New Roman"/>
                <w:b/>
                <w:bCs/>
                <w:kern w:val="0"/>
                <w:sz w:val="20"/>
                <w:szCs w:val="20"/>
                <w:lang w:eastAsia="en-GB"/>
                <w14:ligatures w14:val="none"/>
              </w:rPr>
            </w:pPr>
          </w:p>
        </w:tc>
        <w:tc>
          <w:tcPr>
            <w:tcW w:w="1047" w:type="dxa"/>
            <w:noWrap/>
            <w:tcMar>
              <w:top w:w="15" w:type="dxa"/>
              <w:left w:w="108" w:type="dxa"/>
              <w:bottom w:w="0" w:type="dxa"/>
              <w:right w:w="108" w:type="dxa"/>
            </w:tcMar>
            <w:vAlign w:val="bottom"/>
            <w:hideMark/>
          </w:tcPr>
          <w:p w14:paraId="57EBAEBB" w14:textId="77777777" w:rsidR="00560745" w:rsidRDefault="00560745">
            <w:pPr>
              <w:spacing w:after="0"/>
              <w:rPr>
                <w:kern w:val="0"/>
                <w:sz w:val="20"/>
                <w:szCs w:val="20"/>
                <w:lang w:eastAsia="en-GB"/>
                <w14:ligatures w14:val="none"/>
              </w:rPr>
            </w:pPr>
          </w:p>
        </w:tc>
        <w:tc>
          <w:tcPr>
            <w:tcW w:w="920" w:type="dxa"/>
            <w:noWrap/>
            <w:tcMar>
              <w:top w:w="15" w:type="dxa"/>
              <w:left w:w="108" w:type="dxa"/>
              <w:bottom w:w="0" w:type="dxa"/>
              <w:right w:w="108" w:type="dxa"/>
            </w:tcMar>
            <w:vAlign w:val="bottom"/>
            <w:hideMark/>
          </w:tcPr>
          <w:p w14:paraId="079B30C0" w14:textId="77777777" w:rsidR="00560745" w:rsidRDefault="00560745">
            <w:pPr>
              <w:spacing w:after="0"/>
              <w:rPr>
                <w:kern w:val="0"/>
                <w:sz w:val="20"/>
                <w:szCs w:val="20"/>
                <w:lang w:eastAsia="en-GB"/>
                <w14:ligatures w14:val="none"/>
              </w:rPr>
            </w:pPr>
          </w:p>
        </w:tc>
      </w:tr>
      <w:tr w:rsidR="00560745" w14:paraId="7FDEB542" w14:textId="77777777" w:rsidTr="000205E0">
        <w:trPr>
          <w:gridAfter w:val="1"/>
          <w:wAfter w:w="141" w:type="dxa"/>
          <w:trHeight w:val="260"/>
        </w:trPr>
        <w:tc>
          <w:tcPr>
            <w:tcW w:w="5660" w:type="dxa"/>
            <w:gridSpan w:val="2"/>
            <w:noWrap/>
            <w:tcMar>
              <w:top w:w="15" w:type="dxa"/>
              <w:left w:w="108" w:type="dxa"/>
              <w:bottom w:w="0" w:type="dxa"/>
              <w:right w:w="108" w:type="dxa"/>
            </w:tcMar>
            <w:vAlign w:val="bottom"/>
            <w:hideMark/>
          </w:tcPr>
          <w:p w14:paraId="02BA2178"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Not later than one year</w:t>
            </w:r>
          </w:p>
        </w:tc>
        <w:tc>
          <w:tcPr>
            <w:tcW w:w="1304" w:type="dxa"/>
            <w:noWrap/>
            <w:tcMar>
              <w:top w:w="15" w:type="dxa"/>
              <w:left w:w="108" w:type="dxa"/>
              <w:bottom w:w="0" w:type="dxa"/>
              <w:right w:w="108" w:type="dxa"/>
            </w:tcMar>
            <w:hideMark/>
          </w:tcPr>
          <w:p w14:paraId="39A29C2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630 </w:t>
            </w:r>
          </w:p>
        </w:tc>
        <w:tc>
          <w:tcPr>
            <w:tcW w:w="1047" w:type="dxa"/>
            <w:noWrap/>
            <w:tcMar>
              <w:top w:w="15" w:type="dxa"/>
              <w:left w:w="108" w:type="dxa"/>
              <w:bottom w:w="0" w:type="dxa"/>
              <w:right w:w="108" w:type="dxa"/>
            </w:tcMar>
            <w:hideMark/>
          </w:tcPr>
          <w:p w14:paraId="2E4E9BA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2,453 </w:t>
            </w:r>
          </w:p>
        </w:tc>
        <w:tc>
          <w:tcPr>
            <w:tcW w:w="920" w:type="dxa"/>
            <w:noWrap/>
            <w:tcMar>
              <w:top w:w="15" w:type="dxa"/>
              <w:left w:w="108" w:type="dxa"/>
              <w:bottom w:w="0" w:type="dxa"/>
              <w:right w:w="108" w:type="dxa"/>
            </w:tcMar>
            <w:hideMark/>
          </w:tcPr>
          <w:p w14:paraId="18B5573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3,083 </w:t>
            </w:r>
          </w:p>
        </w:tc>
      </w:tr>
      <w:tr w:rsidR="00560745" w14:paraId="3C05C2CF" w14:textId="77777777" w:rsidTr="000205E0">
        <w:trPr>
          <w:gridAfter w:val="1"/>
          <w:wAfter w:w="141" w:type="dxa"/>
          <w:trHeight w:val="278"/>
        </w:trPr>
        <w:tc>
          <w:tcPr>
            <w:tcW w:w="5660" w:type="dxa"/>
            <w:gridSpan w:val="2"/>
            <w:noWrap/>
            <w:tcMar>
              <w:top w:w="15" w:type="dxa"/>
              <w:left w:w="108" w:type="dxa"/>
              <w:bottom w:w="0" w:type="dxa"/>
              <w:right w:w="108" w:type="dxa"/>
            </w:tcMar>
            <w:vAlign w:val="bottom"/>
            <w:hideMark/>
          </w:tcPr>
          <w:p w14:paraId="35633FE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Later than one year and not later than five years</w:t>
            </w:r>
          </w:p>
        </w:tc>
        <w:tc>
          <w:tcPr>
            <w:tcW w:w="1304" w:type="dxa"/>
            <w:noWrap/>
            <w:tcMar>
              <w:top w:w="15" w:type="dxa"/>
              <w:left w:w="108" w:type="dxa"/>
              <w:bottom w:w="0" w:type="dxa"/>
              <w:right w:w="108" w:type="dxa"/>
            </w:tcMar>
            <w:hideMark/>
          </w:tcPr>
          <w:p w14:paraId="3B975B4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734 </w:t>
            </w:r>
          </w:p>
        </w:tc>
        <w:tc>
          <w:tcPr>
            <w:tcW w:w="1047" w:type="dxa"/>
            <w:noWrap/>
            <w:tcMar>
              <w:top w:w="15" w:type="dxa"/>
              <w:left w:w="108" w:type="dxa"/>
              <w:bottom w:w="0" w:type="dxa"/>
              <w:right w:w="108" w:type="dxa"/>
            </w:tcMar>
            <w:hideMark/>
          </w:tcPr>
          <w:p w14:paraId="3895B53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920" w:type="dxa"/>
            <w:noWrap/>
            <w:tcMar>
              <w:top w:w="15" w:type="dxa"/>
              <w:left w:w="108" w:type="dxa"/>
              <w:bottom w:w="0" w:type="dxa"/>
              <w:right w:w="108" w:type="dxa"/>
            </w:tcMar>
            <w:hideMark/>
          </w:tcPr>
          <w:p w14:paraId="6256EE6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734 </w:t>
            </w:r>
          </w:p>
        </w:tc>
      </w:tr>
      <w:tr w:rsidR="00560745" w14:paraId="49C16CE1" w14:textId="77777777" w:rsidTr="000205E0">
        <w:trPr>
          <w:gridAfter w:val="1"/>
          <w:wAfter w:w="141" w:type="dxa"/>
          <w:trHeight w:val="268"/>
        </w:trPr>
        <w:tc>
          <w:tcPr>
            <w:tcW w:w="5660" w:type="dxa"/>
            <w:gridSpan w:val="2"/>
            <w:noWrap/>
            <w:tcMar>
              <w:top w:w="15" w:type="dxa"/>
              <w:left w:w="108" w:type="dxa"/>
              <w:bottom w:w="0" w:type="dxa"/>
              <w:right w:w="108" w:type="dxa"/>
            </w:tcMar>
            <w:vAlign w:val="bottom"/>
            <w:hideMark/>
          </w:tcPr>
          <w:p w14:paraId="1BC946F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Later than five years</w:t>
            </w:r>
          </w:p>
        </w:tc>
        <w:tc>
          <w:tcPr>
            <w:tcW w:w="1304" w:type="dxa"/>
            <w:noWrap/>
            <w:tcMar>
              <w:top w:w="15" w:type="dxa"/>
              <w:left w:w="108" w:type="dxa"/>
              <w:bottom w:w="0" w:type="dxa"/>
              <w:right w:w="108" w:type="dxa"/>
            </w:tcMar>
            <w:hideMark/>
          </w:tcPr>
          <w:p w14:paraId="13B3C64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449 </w:t>
            </w:r>
          </w:p>
        </w:tc>
        <w:tc>
          <w:tcPr>
            <w:tcW w:w="1047" w:type="dxa"/>
            <w:noWrap/>
            <w:tcMar>
              <w:top w:w="15" w:type="dxa"/>
              <w:left w:w="108" w:type="dxa"/>
              <w:bottom w:w="0" w:type="dxa"/>
              <w:right w:w="108" w:type="dxa"/>
            </w:tcMar>
            <w:hideMark/>
          </w:tcPr>
          <w:p w14:paraId="72CA37C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920" w:type="dxa"/>
            <w:noWrap/>
            <w:tcMar>
              <w:top w:w="15" w:type="dxa"/>
              <w:left w:w="108" w:type="dxa"/>
              <w:bottom w:w="0" w:type="dxa"/>
              <w:right w:w="108" w:type="dxa"/>
            </w:tcMar>
            <w:hideMark/>
          </w:tcPr>
          <w:p w14:paraId="52CAD10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449 </w:t>
            </w:r>
          </w:p>
        </w:tc>
      </w:tr>
      <w:tr w:rsidR="00560745" w14:paraId="0E877986" w14:textId="77777777" w:rsidTr="000205E0">
        <w:trPr>
          <w:gridAfter w:val="1"/>
          <w:wAfter w:w="141" w:type="dxa"/>
          <w:trHeight w:val="120"/>
        </w:trPr>
        <w:tc>
          <w:tcPr>
            <w:tcW w:w="5660" w:type="dxa"/>
            <w:gridSpan w:val="2"/>
            <w:noWrap/>
            <w:tcMar>
              <w:top w:w="15" w:type="dxa"/>
              <w:left w:w="108" w:type="dxa"/>
              <w:bottom w:w="0" w:type="dxa"/>
              <w:right w:w="108" w:type="dxa"/>
            </w:tcMar>
            <w:vAlign w:val="bottom"/>
            <w:hideMark/>
          </w:tcPr>
          <w:p w14:paraId="2FEB0465"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Balance at 31 March 2023</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6614572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1,813 </w:t>
            </w:r>
          </w:p>
        </w:tc>
        <w:tc>
          <w:tcPr>
            <w:tcW w:w="1047" w:type="dxa"/>
            <w:tcBorders>
              <w:top w:val="single" w:sz="4" w:space="0" w:color="auto"/>
              <w:left w:val="nil"/>
              <w:bottom w:val="single" w:sz="8" w:space="0" w:color="auto"/>
              <w:right w:val="nil"/>
            </w:tcBorders>
            <w:noWrap/>
            <w:tcMar>
              <w:top w:w="15" w:type="dxa"/>
              <w:left w:w="108" w:type="dxa"/>
              <w:bottom w:w="0" w:type="dxa"/>
              <w:right w:w="108" w:type="dxa"/>
            </w:tcMar>
            <w:hideMark/>
          </w:tcPr>
          <w:p w14:paraId="355F6EE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2,453 </w:t>
            </w:r>
          </w:p>
        </w:tc>
        <w:tc>
          <w:tcPr>
            <w:tcW w:w="920" w:type="dxa"/>
            <w:tcBorders>
              <w:top w:val="single" w:sz="4" w:space="0" w:color="auto"/>
              <w:left w:val="nil"/>
              <w:bottom w:val="single" w:sz="8" w:space="0" w:color="auto"/>
              <w:right w:val="nil"/>
            </w:tcBorders>
            <w:noWrap/>
            <w:tcMar>
              <w:top w:w="15" w:type="dxa"/>
              <w:left w:w="108" w:type="dxa"/>
              <w:bottom w:w="0" w:type="dxa"/>
              <w:right w:w="108" w:type="dxa"/>
            </w:tcMar>
            <w:hideMark/>
          </w:tcPr>
          <w:p w14:paraId="292F16B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4,266 </w:t>
            </w:r>
          </w:p>
        </w:tc>
      </w:tr>
      <w:tr w:rsidR="00560745" w14:paraId="2E984381" w14:textId="77777777" w:rsidTr="000205E0">
        <w:trPr>
          <w:gridAfter w:val="1"/>
          <w:wAfter w:w="141" w:type="dxa"/>
          <w:trHeight w:val="233"/>
        </w:trPr>
        <w:tc>
          <w:tcPr>
            <w:tcW w:w="5660" w:type="dxa"/>
            <w:gridSpan w:val="2"/>
            <w:tcMar>
              <w:top w:w="15" w:type="dxa"/>
              <w:left w:w="108" w:type="dxa"/>
              <w:bottom w:w="0" w:type="dxa"/>
              <w:right w:w="108" w:type="dxa"/>
            </w:tcMar>
            <w:hideMark/>
          </w:tcPr>
          <w:p w14:paraId="05F169A2" w14:textId="77777777" w:rsidR="00560745" w:rsidRDefault="00560745">
            <w:pPr>
              <w:spacing w:after="0"/>
              <w:rPr>
                <w:kern w:val="0"/>
                <w:sz w:val="20"/>
                <w:szCs w:val="20"/>
                <w:lang w:eastAsia="en-GB"/>
                <w14:ligatures w14:val="none"/>
              </w:rPr>
            </w:pPr>
          </w:p>
        </w:tc>
        <w:tc>
          <w:tcPr>
            <w:tcW w:w="3271" w:type="dxa"/>
            <w:gridSpan w:val="3"/>
            <w:tcMar>
              <w:top w:w="15" w:type="dxa"/>
              <w:left w:w="108" w:type="dxa"/>
              <w:bottom w:w="0" w:type="dxa"/>
              <w:right w:w="108" w:type="dxa"/>
            </w:tcMar>
            <w:vAlign w:val="center"/>
            <w:hideMark/>
          </w:tcPr>
          <w:p w14:paraId="196E113E" w14:textId="77777777" w:rsidR="00560745" w:rsidRDefault="00560745">
            <w:pPr>
              <w:spacing w:after="0"/>
              <w:rPr>
                <w:kern w:val="0"/>
                <w:sz w:val="20"/>
                <w:szCs w:val="20"/>
                <w:lang w:eastAsia="en-GB"/>
                <w14:ligatures w14:val="none"/>
              </w:rPr>
            </w:pPr>
          </w:p>
        </w:tc>
      </w:tr>
      <w:tr w:rsidR="002D4D9E" w14:paraId="483884E8" w14:textId="77777777" w:rsidTr="000205E0">
        <w:trPr>
          <w:trHeight w:val="836"/>
        </w:trPr>
        <w:tc>
          <w:tcPr>
            <w:tcW w:w="9072" w:type="dxa"/>
            <w:gridSpan w:val="6"/>
            <w:tcMar>
              <w:top w:w="15" w:type="dxa"/>
              <w:left w:w="108" w:type="dxa"/>
              <w:bottom w:w="0" w:type="dxa"/>
              <w:right w:w="108" w:type="dxa"/>
            </w:tcMar>
            <w:hideMark/>
          </w:tcPr>
          <w:p w14:paraId="0464BE66" w14:textId="00EE3BF4" w:rsidR="003F2295" w:rsidRDefault="002D4D9E">
            <w:pPr>
              <w:spacing w:after="0" w:line="240" w:lineRule="auto"/>
              <w:rPr>
                <w:rFonts w:ascii="Arial" w:eastAsia="Times New Roman" w:hAnsi="Arial" w:cs="Arial"/>
                <w:kern w:val="0"/>
                <w:sz w:val="24"/>
                <w:szCs w:val="24"/>
                <w:lang w:eastAsia="en-GB"/>
                <w14:ligatures w14:val="none"/>
              </w:rPr>
            </w:pPr>
            <w:r w:rsidRPr="00F140CC">
              <w:rPr>
                <w:rFonts w:ascii="Arial" w:eastAsia="Times New Roman" w:hAnsi="Arial" w:cs="Arial"/>
                <w:kern w:val="0"/>
                <w:sz w:val="24"/>
                <w:szCs w:val="24"/>
                <w:lang w:eastAsia="en-GB"/>
                <w14:ligatures w14:val="none"/>
              </w:rPr>
              <w:t>The Agency operates from a number of sites across the UK. Leases for buildings require payments of dilapidations on termination of the lease and exit of the building. Therefore, the Agency holds provisions for anticipated future dilapidation costs (which represents the estimated cost of making good the infrastructure of the leases, under the lease terms). As at 31 March 2024 the Agency holds provisions for dilapidations for 20 locations (2022-23: 20).</w:t>
            </w:r>
            <w:r>
              <w:rPr>
                <w:rFonts w:ascii="Arial" w:eastAsia="Times New Roman" w:hAnsi="Arial" w:cs="Arial"/>
                <w:kern w:val="0"/>
                <w:sz w:val="24"/>
                <w:szCs w:val="24"/>
                <w:lang w:eastAsia="en-GB"/>
                <w14:ligatures w14:val="none"/>
              </w:rPr>
              <w:br/>
            </w:r>
          </w:p>
          <w:p w14:paraId="50C7EEA8" w14:textId="77777777" w:rsidR="002D4D9E" w:rsidRDefault="002D4D9E">
            <w:pPr>
              <w:spacing w:after="0" w:line="240" w:lineRule="auto"/>
              <w:rPr>
                <w:rFonts w:ascii="Arial" w:eastAsia="Times New Roman" w:hAnsi="Arial" w:cs="Arial"/>
                <w:kern w:val="0"/>
                <w:sz w:val="24"/>
                <w:szCs w:val="24"/>
                <w:lang w:eastAsia="en-GB"/>
                <w14:ligatures w14:val="none"/>
              </w:rPr>
            </w:pPr>
            <w:r w:rsidRPr="00F140CC">
              <w:rPr>
                <w:rFonts w:ascii="Arial" w:eastAsia="Times New Roman" w:hAnsi="Arial" w:cs="Arial"/>
                <w:kern w:val="0"/>
                <w:sz w:val="24"/>
                <w:szCs w:val="24"/>
                <w:lang w:eastAsia="en-GB"/>
                <w14:ligatures w14:val="none"/>
              </w:rPr>
              <w:t>Included within the 2023-24 other provisions balance is £5.16m relating to the estimated cumulative over-deductions of National Insurance on Redundancy Payments, for further details please see the disclosure within the Governance Statement.</w:t>
            </w:r>
          </w:p>
          <w:p w14:paraId="1541E0F2" w14:textId="77777777" w:rsidR="00FE0B09" w:rsidRDefault="00FE0B09">
            <w:pPr>
              <w:spacing w:after="0" w:line="240" w:lineRule="auto"/>
              <w:rPr>
                <w:rFonts w:ascii="Arial" w:eastAsia="Times New Roman" w:hAnsi="Arial" w:cs="Arial"/>
                <w:kern w:val="0"/>
                <w:sz w:val="24"/>
                <w:szCs w:val="24"/>
                <w:lang w:eastAsia="en-GB"/>
                <w14:ligatures w14:val="none"/>
              </w:rPr>
            </w:pPr>
          </w:p>
          <w:p w14:paraId="33FE921F" w14:textId="1FB05E01" w:rsidR="002D4D9E" w:rsidRPr="00F140CC" w:rsidRDefault="00FE0B09">
            <w:pPr>
              <w:spacing w:after="0" w:line="240" w:lineRule="auto"/>
              <w:rPr>
                <w:rFonts w:ascii="Arial" w:eastAsia="Times New Roman" w:hAnsi="Arial" w:cs="Arial"/>
                <w:kern w:val="0"/>
                <w:sz w:val="24"/>
                <w:szCs w:val="24"/>
                <w:lang w:eastAsia="en-GB"/>
                <w14:ligatures w14:val="none"/>
              </w:rPr>
            </w:pPr>
            <w:r w:rsidRPr="00F140CC">
              <w:rPr>
                <w:rFonts w:ascii="Arial" w:eastAsia="Times New Roman" w:hAnsi="Arial" w:cs="Arial"/>
                <w:kern w:val="0"/>
                <w:sz w:val="24"/>
                <w:szCs w:val="24"/>
                <w:lang w:eastAsia="en-GB"/>
                <w14:ligatures w14:val="none"/>
              </w:rPr>
              <w:t>All amounts provided for in the year and all provisions not required and written back are recorded as non-cash costs (Note 3).</w:t>
            </w:r>
          </w:p>
        </w:tc>
      </w:tr>
      <w:tr w:rsidR="00560745" w14:paraId="04AFEA69" w14:textId="77777777" w:rsidTr="000205E0">
        <w:trPr>
          <w:gridAfter w:val="1"/>
          <w:wAfter w:w="141" w:type="dxa"/>
          <w:trHeight w:val="269"/>
        </w:trPr>
        <w:tc>
          <w:tcPr>
            <w:tcW w:w="536" w:type="dxa"/>
            <w:tcMar>
              <w:top w:w="15" w:type="dxa"/>
              <w:left w:w="108" w:type="dxa"/>
              <w:bottom w:w="0" w:type="dxa"/>
              <w:right w:w="108" w:type="dxa"/>
            </w:tcMar>
            <w:vAlign w:val="bottom"/>
            <w:hideMark/>
          </w:tcPr>
          <w:p w14:paraId="0C712166" w14:textId="40D2FB55"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lastRenderedPageBreak/>
              <w:t>13</w:t>
            </w:r>
          </w:p>
        </w:tc>
        <w:tc>
          <w:tcPr>
            <w:tcW w:w="8395" w:type="dxa"/>
            <w:gridSpan w:val="4"/>
            <w:tcMar>
              <w:top w:w="15" w:type="dxa"/>
              <w:left w:w="108" w:type="dxa"/>
              <w:bottom w:w="0" w:type="dxa"/>
              <w:right w:w="108" w:type="dxa"/>
            </w:tcMar>
            <w:vAlign w:val="bottom"/>
            <w:hideMark/>
          </w:tcPr>
          <w:p w14:paraId="6B1AF82E" w14:textId="77777777"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Lease Liabilities</w:t>
            </w:r>
          </w:p>
        </w:tc>
      </w:tr>
      <w:tr w:rsidR="00560745" w14:paraId="29709A3D" w14:textId="77777777" w:rsidTr="000205E0">
        <w:trPr>
          <w:gridAfter w:val="1"/>
          <w:wAfter w:w="141" w:type="dxa"/>
          <w:trHeight w:val="273"/>
        </w:trPr>
        <w:tc>
          <w:tcPr>
            <w:tcW w:w="536" w:type="dxa"/>
            <w:tcMar>
              <w:top w:w="15" w:type="dxa"/>
              <w:left w:w="108" w:type="dxa"/>
              <w:bottom w:w="0" w:type="dxa"/>
              <w:right w:w="108" w:type="dxa"/>
            </w:tcMar>
            <w:vAlign w:val="bottom"/>
            <w:hideMark/>
          </w:tcPr>
          <w:p w14:paraId="6BC06E9F" w14:textId="77777777" w:rsidR="00560745" w:rsidRDefault="00560745">
            <w:pPr>
              <w:rPr>
                <w:rFonts w:eastAsia="Times New Roman"/>
                <w:b/>
                <w:bCs/>
                <w:kern w:val="0"/>
                <w:lang w:eastAsia="en-GB"/>
                <w14:ligatures w14:val="none"/>
              </w:rPr>
            </w:pPr>
          </w:p>
        </w:tc>
        <w:tc>
          <w:tcPr>
            <w:tcW w:w="8395" w:type="dxa"/>
            <w:gridSpan w:val="4"/>
            <w:tcMar>
              <w:top w:w="15" w:type="dxa"/>
              <w:left w:w="108" w:type="dxa"/>
              <w:bottom w:w="0" w:type="dxa"/>
              <w:right w:w="108" w:type="dxa"/>
            </w:tcMar>
            <w:vAlign w:val="bottom"/>
            <w:hideMark/>
          </w:tcPr>
          <w:p w14:paraId="5060B79B" w14:textId="77777777" w:rsidR="00560745" w:rsidRDefault="00560745">
            <w:pPr>
              <w:spacing w:after="0"/>
              <w:rPr>
                <w:kern w:val="0"/>
                <w:sz w:val="20"/>
                <w:szCs w:val="20"/>
                <w:lang w:eastAsia="en-GB"/>
                <w14:ligatures w14:val="none"/>
              </w:rPr>
            </w:pPr>
          </w:p>
        </w:tc>
      </w:tr>
      <w:tr w:rsidR="00C274AF" w14:paraId="41A6155A" w14:textId="77777777" w:rsidTr="000205E0">
        <w:trPr>
          <w:gridAfter w:val="1"/>
          <w:wAfter w:w="141" w:type="dxa"/>
          <w:trHeight w:val="300"/>
        </w:trPr>
        <w:tc>
          <w:tcPr>
            <w:tcW w:w="8931" w:type="dxa"/>
            <w:gridSpan w:val="5"/>
            <w:tcMar>
              <w:top w:w="15" w:type="dxa"/>
              <w:left w:w="108" w:type="dxa"/>
              <w:bottom w:w="0" w:type="dxa"/>
              <w:right w:w="108" w:type="dxa"/>
            </w:tcMar>
            <w:vAlign w:val="bottom"/>
            <w:hideMark/>
          </w:tcPr>
          <w:p w14:paraId="44F33787" w14:textId="77777777" w:rsidR="00C274AF" w:rsidRPr="000B3F35" w:rsidRDefault="00C274AF">
            <w:pPr>
              <w:spacing w:after="0" w:line="240" w:lineRule="auto"/>
              <w:rPr>
                <w:rFonts w:ascii="Arial" w:eastAsia="Times New Roman" w:hAnsi="Arial" w:cs="Arial"/>
                <w:kern w:val="0"/>
                <w:sz w:val="24"/>
                <w:szCs w:val="24"/>
                <w:lang w:eastAsia="en-GB"/>
                <w14:ligatures w14:val="none"/>
              </w:rPr>
            </w:pPr>
            <w:r w:rsidRPr="000B3F35">
              <w:rPr>
                <w:rFonts w:ascii="Arial" w:eastAsia="Times New Roman" w:hAnsi="Arial" w:cs="Arial"/>
                <w:kern w:val="0"/>
                <w:sz w:val="24"/>
                <w:szCs w:val="24"/>
                <w:lang w:eastAsia="en-GB"/>
                <w14:ligatures w14:val="none"/>
              </w:rPr>
              <w:t>Total future minimum lease payments under IFRS 16 leases are given in the tables below for each of the following periods.</w:t>
            </w:r>
          </w:p>
        </w:tc>
      </w:tr>
      <w:tr w:rsidR="00C274AF" w14:paraId="7ADCF9D0" w14:textId="77777777" w:rsidTr="000205E0">
        <w:trPr>
          <w:gridAfter w:val="1"/>
          <w:wAfter w:w="141" w:type="dxa"/>
          <w:trHeight w:val="300"/>
        </w:trPr>
        <w:tc>
          <w:tcPr>
            <w:tcW w:w="8931" w:type="dxa"/>
            <w:gridSpan w:val="5"/>
            <w:tcMar>
              <w:top w:w="15" w:type="dxa"/>
              <w:left w:w="108" w:type="dxa"/>
              <w:bottom w:w="0" w:type="dxa"/>
              <w:right w:w="108" w:type="dxa"/>
            </w:tcMar>
            <w:vAlign w:val="bottom"/>
            <w:hideMark/>
          </w:tcPr>
          <w:p w14:paraId="30A31157" w14:textId="77777777" w:rsidR="00C274AF" w:rsidRDefault="00C274AF">
            <w:pPr>
              <w:spacing w:after="0"/>
              <w:rPr>
                <w:kern w:val="0"/>
                <w:sz w:val="20"/>
                <w:szCs w:val="20"/>
                <w:lang w:eastAsia="en-GB"/>
                <w14:ligatures w14:val="none"/>
              </w:rPr>
            </w:pPr>
          </w:p>
        </w:tc>
      </w:tr>
      <w:tr w:rsidR="00C274AF" w14:paraId="2AF0F8E0" w14:textId="77777777" w:rsidTr="000205E0">
        <w:trPr>
          <w:gridAfter w:val="1"/>
          <w:wAfter w:w="141" w:type="dxa"/>
          <w:trHeight w:val="275"/>
        </w:trPr>
        <w:tc>
          <w:tcPr>
            <w:tcW w:w="5660" w:type="dxa"/>
            <w:gridSpan w:val="2"/>
            <w:tcMar>
              <w:top w:w="15" w:type="dxa"/>
              <w:left w:w="108" w:type="dxa"/>
              <w:bottom w:w="0" w:type="dxa"/>
              <w:right w:w="108" w:type="dxa"/>
            </w:tcMar>
            <w:vAlign w:val="bottom"/>
            <w:hideMark/>
          </w:tcPr>
          <w:p w14:paraId="6A87B566" w14:textId="77777777" w:rsidR="00C274AF" w:rsidRDefault="00C274AF">
            <w:pPr>
              <w:spacing w:after="0"/>
              <w:rPr>
                <w:kern w:val="0"/>
                <w:sz w:val="20"/>
                <w:szCs w:val="20"/>
                <w:lang w:eastAsia="en-GB"/>
                <w14:ligatures w14:val="none"/>
              </w:rPr>
            </w:pPr>
          </w:p>
        </w:tc>
        <w:tc>
          <w:tcPr>
            <w:tcW w:w="1304" w:type="dxa"/>
            <w:noWrap/>
            <w:tcMar>
              <w:top w:w="15" w:type="dxa"/>
              <w:left w:w="108" w:type="dxa"/>
              <w:bottom w:w="0" w:type="dxa"/>
              <w:right w:w="108" w:type="dxa"/>
            </w:tcMar>
            <w:vAlign w:val="bottom"/>
            <w:hideMark/>
          </w:tcPr>
          <w:p w14:paraId="73470097"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967" w:type="dxa"/>
            <w:gridSpan w:val="2"/>
            <w:noWrap/>
            <w:tcMar>
              <w:top w:w="15" w:type="dxa"/>
              <w:left w:w="108" w:type="dxa"/>
              <w:bottom w:w="0" w:type="dxa"/>
              <w:right w:w="108" w:type="dxa"/>
            </w:tcMar>
            <w:vAlign w:val="bottom"/>
            <w:hideMark/>
          </w:tcPr>
          <w:p w14:paraId="05EE8856"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C274AF" w14:paraId="51B50388" w14:textId="77777777" w:rsidTr="000205E0">
        <w:trPr>
          <w:gridAfter w:val="1"/>
          <w:wAfter w:w="141" w:type="dxa"/>
          <w:trHeight w:val="264"/>
        </w:trPr>
        <w:tc>
          <w:tcPr>
            <w:tcW w:w="5660" w:type="dxa"/>
            <w:gridSpan w:val="2"/>
            <w:noWrap/>
            <w:tcMar>
              <w:top w:w="15" w:type="dxa"/>
              <w:left w:w="108" w:type="dxa"/>
              <w:bottom w:w="0" w:type="dxa"/>
              <w:right w:w="108" w:type="dxa"/>
            </w:tcMar>
            <w:vAlign w:val="bottom"/>
            <w:hideMark/>
          </w:tcPr>
          <w:p w14:paraId="02EE1FE0" w14:textId="77777777" w:rsidR="00C274AF" w:rsidRDefault="00C274AF">
            <w:pPr>
              <w:spacing w:after="0"/>
              <w:rPr>
                <w:kern w:val="0"/>
                <w:sz w:val="20"/>
                <w:szCs w:val="20"/>
                <w:lang w:eastAsia="en-GB"/>
                <w14:ligatures w14:val="none"/>
              </w:rPr>
            </w:pPr>
          </w:p>
        </w:tc>
        <w:tc>
          <w:tcPr>
            <w:tcW w:w="1304" w:type="dxa"/>
            <w:tcBorders>
              <w:top w:val="nil"/>
              <w:left w:val="nil"/>
              <w:bottom w:val="single" w:sz="8" w:space="0" w:color="auto"/>
              <w:right w:val="nil"/>
            </w:tcBorders>
            <w:noWrap/>
            <w:tcMar>
              <w:top w:w="15" w:type="dxa"/>
              <w:left w:w="108" w:type="dxa"/>
              <w:bottom w:w="0" w:type="dxa"/>
              <w:right w:w="108" w:type="dxa"/>
            </w:tcMar>
            <w:vAlign w:val="bottom"/>
            <w:hideMark/>
          </w:tcPr>
          <w:p w14:paraId="04498575"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967" w:type="dxa"/>
            <w:gridSpan w:val="2"/>
            <w:tcBorders>
              <w:top w:val="nil"/>
              <w:left w:val="nil"/>
              <w:bottom w:val="single" w:sz="8" w:space="0" w:color="auto"/>
              <w:right w:val="nil"/>
            </w:tcBorders>
            <w:noWrap/>
            <w:tcMar>
              <w:top w:w="15" w:type="dxa"/>
              <w:left w:w="108" w:type="dxa"/>
              <w:bottom w:w="0" w:type="dxa"/>
              <w:right w:w="108" w:type="dxa"/>
            </w:tcMar>
            <w:vAlign w:val="bottom"/>
            <w:hideMark/>
          </w:tcPr>
          <w:p w14:paraId="13918C03"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C274AF" w14:paraId="22B5415B" w14:textId="77777777" w:rsidTr="000205E0">
        <w:trPr>
          <w:gridAfter w:val="1"/>
          <w:wAfter w:w="141" w:type="dxa"/>
          <w:trHeight w:val="263"/>
        </w:trPr>
        <w:tc>
          <w:tcPr>
            <w:tcW w:w="5660" w:type="dxa"/>
            <w:gridSpan w:val="2"/>
            <w:noWrap/>
            <w:tcMar>
              <w:top w:w="15" w:type="dxa"/>
              <w:left w:w="108" w:type="dxa"/>
              <w:bottom w:w="0" w:type="dxa"/>
              <w:right w:w="108" w:type="dxa"/>
            </w:tcMar>
            <w:vAlign w:val="bottom"/>
            <w:hideMark/>
          </w:tcPr>
          <w:p w14:paraId="6AD28D02"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Balance at 1 April </w:t>
            </w:r>
          </w:p>
        </w:tc>
        <w:tc>
          <w:tcPr>
            <w:tcW w:w="1304" w:type="dxa"/>
            <w:noWrap/>
            <w:tcMar>
              <w:top w:w="15" w:type="dxa"/>
              <w:left w:w="108" w:type="dxa"/>
              <w:bottom w:w="0" w:type="dxa"/>
              <w:right w:w="108" w:type="dxa"/>
            </w:tcMar>
            <w:hideMark/>
          </w:tcPr>
          <w:p w14:paraId="2A787658"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16,953 </w:t>
            </w:r>
          </w:p>
        </w:tc>
        <w:tc>
          <w:tcPr>
            <w:tcW w:w="1967" w:type="dxa"/>
            <w:gridSpan w:val="2"/>
            <w:noWrap/>
            <w:tcMar>
              <w:top w:w="15" w:type="dxa"/>
              <w:left w:w="108" w:type="dxa"/>
              <w:bottom w:w="0" w:type="dxa"/>
              <w:right w:w="108" w:type="dxa"/>
            </w:tcMar>
            <w:hideMark/>
          </w:tcPr>
          <w:p w14:paraId="6A60E81B"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23,307 </w:t>
            </w:r>
          </w:p>
        </w:tc>
      </w:tr>
      <w:tr w:rsidR="00C274AF" w14:paraId="1A82BBF4" w14:textId="77777777" w:rsidTr="000205E0">
        <w:trPr>
          <w:gridAfter w:val="1"/>
          <w:wAfter w:w="141" w:type="dxa"/>
          <w:trHeight w:val="272"/>
        </w:trPr>
        <w:tc>
          <w:tcPr>
            <w:tcW w:w="5660" w:type="dxa"/>
            <w:gridSpan w:val="2"/>
            <w:noWrap/>
            <w:tcMar>
              <w:top w:w="15" w:type="dxa"/>
              <w:left w:w="108" w:type="dxa"/>
              <w:bottom w:w="0" w:type="dxa"/>
              <w:right w:w="108" w:type="dxa"/>
            </w:tcMar>
            <w:vAlign w:val="bottom"/>
            <w:hideMark/>
          </w:tcPr>
          <w:p w14:paraId="6FF9BB74"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Additions</w:t>
            </w:r>
          </w:p>
        </w:tc>
        <w:tc>
          <w:tcPr>
            <w:tcW w:w="1304" w:type="dxa"/>
            <w:noWrap/>
            <w:tcMar>
              <w:top w:w="15" w:type="dxa"/>
              <w:left w:w="108" w:type="dxa"/>
              <w:bottom w:w="0" w:type="dxa"/>
              <w:right w:w="108" w:type="dxa"/>
            </w:tcMar>
            <w:hideMark/>
          </w:tcPr>
          <w:p w14:paraId="5A99352B"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3,163 </w:t>
            </w:r>
          </w:p>
        </w:tc>
        <w:tc>
          <w:tcPr>
            <w:tcW w:w="1967" w:type="dxa"/>
            <w:gridSpan w:val="2"/>
            <w:noWrap/>
            <w:tcMar>
              <w:top w:w="15" w:type="dxa"/>
              <w:left w:w="108" w:type="dxa"/>
              <w:bottom w:w="0" w:type="dxa"/>
              <w:right w:w="108" w:type="dxa"/>
            </w:tcMar>
            <w:hideMark/>
          </w:tcPr>
          <w:p w14:paraId="42999F58"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1,658 </w:t>
            </w:r>
          </w:p>
        </w:tc>
      </w:tr>
      <w:tr w:rsidR="00C274AF" w14:paraId="18ACC6B2" w14:textId="77777777" w:rsidTr="000205E0">
        <w:trPr>
          <w:gridAfter w:val="1"/>
          <w:wAfter w:w="141" w:type="dxa"/>
          <w:trHeight w:val="262"/>
        </w:trPr>
        <w:tc>
          <w:tcPr>
            <w:tcW w:w="5660" w:type="dxa"/>
            <w:gridSpan w:val="2"/>
            <w:noWrap/>
            <w:tcMar>
              <w:top w:w="15" w:type="dxa"/>
              <w:left w:w="108" w:type="dxa"/>
              <w:bottom w:w="0" w:type="dxa"/>
              <w:right w:w="108" w:type="dxa"/>
            </w:tcMar>
            <w:vAlign w:val="bottom"/>
            <w:hideMark/>
          </w:tcPr>
          <w:p w14:paraId="254A1D01"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Payments</w:t>
            </w:r>
          </w:p>
        </w:tc>
        <w:tc>
          <w:tcPr>
            <w:tcW w:w="1304" w:type="dxa"/>
            <w:noWrap/>
            <w:tcMar>
              <w:top w:w="15" w:type="dxa"/>
              <w:left w:w="108" w:type="dxa"/>
              <w:bottom w:w="0" w:type="dxa"/>
              <w:right w:w="108" w:type="dxa"/>
            </w:tcMar>
            <w:hideMark/>
          </w:tcPr>
          <w:p w14:paraId="27477606"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(5,518) </w:t>
            </w:r>
          </w:p>
        </w:tc>
        <w:tc>
          <w:tcPr>
            <w:tcW w:w="1967" w:type="dxa"/>
            <w:gridSpan w:val="2"/>
            <w:noWrap/>
            <w:tcMar>
              <w:top w:w="15" w:type="dxa"/>
              <w:left w:w="108" w:type="dxa"/>
              <w:bottom w:w="0" w:type="dxa"/>
              <w:right w:w="108" w:type="dxa"/>
            </w:tcMar>
            <w:hideMark/>
          </w:tcPr>
          <w:p w14:paraId="7B8782AB"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(5,676) </w:t>
            </w:r>
          </w:p>
        </w:tc>
      </w:tr>
      <w:tr w:rsidR="00C274AF" w14:paraId="0B1C459A" w14:textId="77777777" w:rsidTr="000205E0">
        <w:trPr>
          <w:gridAfter w:val="1"/>
          <w:wAfter w:w="141" w:type="dxa"/>
          <w:trHeight w:val="280"/>
        </w:trPr>
        <w:tc>
          <w:tcPr>
            <w:tcW w:w="5660" w:type="dxa"/>
            <w:gridSpan w:val="2"/>
            <w:noWrap/>
            <w:tcMar>
              <w:top w:w="15" w:type="dxa"/>
              <w:left w:w="108" w:type="dxa"/>
              <w:bottom w:w="0" w:type="dxa"/>
              <w:right w:w="108" w:type="dxa"/>
            </w:tcMar>
            <w:vAlign w:val="bottom"/>
            <w:hideMark/>
          </w:tcPr>
          <w:p w14:paraId="799ABF8E"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Remeasurement</w:t>
            </w:r>
          </w:p>
        </w:tc>
        <w:tc>
          <w:tcPr>
            <w:tcW w:w="1304" w:type="dxa"/>
            <w:noWrap/>
            <w:tcMar>
              <w:top w:w="15" w:type="dxa"/>
              <w:left w:w="108" w:type="dxa"/>
              <w:bottom w:w="0" w:type="dxa"/>
              <w:right w:w="108" w:type="dxa"/>
            </w:tcMar>
            <w:vAlign w:val="bottom"/>
            <w:hideMark/>
          </w:tcPr>
          <w:p w14:paraId="40B3ABFD"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1,965 </w:t>
            </w:r>
          </w:p>
        </w:tc>
        <w:tc>
          <w:tcPr>
            <w:tcW w:w="1967" w:type="dxa"/>
            <w:gridSpan w:val="2"/>
            <w:noWrap/>
            <w:tcMar>
              <w:top w:w="15" w:type="dxa"/>
              <w:left w:w="108" w:type="dxa"/>
              <w:bottom w:w="0" w:type="dxa"/>
              <w:right w:w="108" w:type="dxa"/>
            </w:tcMar>
            <w:vAlign w:val="bottom"/>
            <w:hideMark/>
          </w:tcPr>
          <w:p w14:paraId="47D9D70F"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(2,539) </w:t>
            </w:r>
          </w:p>
        </w:tc>
      </w:tr>
      <w:tr w:rsidR="00C274AF" w14:paraId="057114E7" w14:textId="77777777" w:rsidTr="000205E0">
        <w:trPr>
          <w:gridAfter w:val="1"/>
          <w:wAfter w:w="141" w:type="dxa"/>
          <w:trHeight w:val="256"/>
        </w:trPr>
        <w:tc>
          <w:tcPr>
            <w:tcW w:w="5660" w:type="dxa"/>
            <w:gridSpan w:val="2"/>
            <w:noWrap/>
            <w:tcMar>
              <w:top w:w="15" w:type="dxa"/>
              <w:left w:w="108" w:type="dxa"/>
              <w:bottom w:w="0" w:type="dxa"/>
              <w:right w:w="108" w:type="dxa"/>
            </w:tcMar>
            <w:vAlign w:val="bottom"/>
            <w:hideMark/>
          </w:tcPr>
          <w:p w14:paraId="5853C9B8"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Borrowing costs (unwinding of discount)</w:t>
            </w:r>
          </w:p>
        </w:tc>
        <w:tc>
          <w:tcPr>
            <w:tcW w:w="1304" w:type="dxa"/>
            <w:noWrap/>
            <w:tcMar>
              <w:top w:w="15" w:type="dxa"/>
              <w:left w:w="108" w:type="dxa"/>
              <w:bottom w:w="0" w:type="dxa"/>
              <w:right w:w="108" w:type="dxa"/>
            </w:tcMar>
            <w:vAlign w:val="bottom"/>
            <w:hideMark/>
          </w:tcPr>
          <w:p w14:paraId="216E6FE3"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209 </w:t>
            </w:r>
          </w:p>
        </w:tc>
        <w:tc>
          <w:tcPr>
            <w:tcW w:w="1967" w:type="dxa"/>
            <w:gridSpan w:val="2"/>
            <w:noWrap/>
            <w:tcMar>
              <w:top w:w="15" w:type="dxa"/>
              <w:left w:w="108" w:type="dxa"/>
              <w:bottom w:w="0" w:type="dxa"/>
              <w:right w:w="108" w:type="dxa"/>
            </w:tcMar>
            <w:vAlign w:val="bottom"/>
            <w:hideMark/>
          </w:tcPr>
          <w:p w14:paraId="24C71B5A"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203 </w:t>
            </w:r>
          </w:p>
        </w:tc>
      </w:tr>
      <w:tr w:rsidR="00C274AF" w14:paraId="021C4B9C" w14:textId="77777777" w:rsidTr="000205E0">
        <w:trPr>
          <w:gridAfter w:val="1"/>
          <w:wAfter w:w="141" w:type="dxa"/>
          <w:trHeight w:val="264"/>
        </w:trPr>
        <w:tc>
          <w:tcPr>
            <w:tcW w:w="5660" w:type="dxa"/>
            <w:gridSpan w:val="2"/>
            <w:noWrap/>
            <w:tcMar>
              <w:top w:w="15" w:type="dxa"/>
              <w:left w:w="108" w:type="dxa"/>
              <w:bottom w:w="0" w:type="dxa"/>
              <w:right w:w="108" w:type="dxa"/>
            </w:tcMar>
            <w:vAlign w:val="center"/>
            <w:hideMark/>
          </w:tcPr>
          <w:p w14:paraId="318856B7" w14:textId="77777777" w:rsidR="00C274AF" w:rsidRDefault="00C274AF">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Balance at 31 March</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56737243"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16,772 </w:t>
            </w:r>
          </w:p>
        </w:tc>
        <w:tc>
          <w:tcPr>
            <w:tcW w:w="1967" w:type="dxa"/>
            <w:gridSpan w:val="2"/>
            <w:tcBorders>
              <w:top w:val="single" w:sz="4" w:space="0" w:color="auto"/>
              <w:left w:val="nil"/>
              <w:bottom w:val="single" w:sz="8" w:space="0" w:color="auto"/>
              <w:right w:val="nil"/>
            </w:tcBorders>
            <w:noWrap/>
            <w:tcMar>
              <w:top w:w="15" w:type="dxa"/>
              <w:left w:w="108" w:type="dxa"/>
              <w:bottom w:w="0" w:type="dxa"/>
              <w:right w:w="108" w:type="dxa"/>
            </w:tcMar>
            <w:hideMark/>
          </w:tcPr>
          <w:p w14:paraId="25F34EA1"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16,953 </w:t>
            </w:r>
          </w:p>
        </w:tc>
      </w:tr>
      <w:tr w:rsidR="00C274AF" w14:paraId="54F0C778" w14:textId="77777777" w:rsidTr="000205E0">
        <w:trPr>
          <w:gridAfter w:val="1"/>
          <w:wAfter w:w="141" w:type="dxa"/>
          <w:trHeight w:val="259"/>
        </w:trPr>
        <w:tc>
          <w:tcPr>
            <w:tcW w:w="8931" w:type="dxa"/>
            <w:gridSpan w:val="5"/>
            <w:noWrap/>
            <w:tcMar>
              <w:top w:w="15" w:type="dxa"/>
              <w:left w:w="108" w:type="dxa"/>
              <w:bottom w:w="0" w:type="dxa"/>
              <w:right w:w="108" w:type="dxa"/>
            </w:tcMar>
            <w:vAlign w:val="bottom"/>
            <w:hideMark/>
          </w:tcPr>
          <w:p w14:paraId="54B593B7" w14:textId="77777777" w:rsidR="00C274AF" w:rsidRDefault="00C274AF">
            <w:pPr>
              <w:spacing w:after="0"/>
              <w:rPr>
                <w:kern w:val="0"/>
                <w:sz w:val="20"/>
                <w:szCs w:val="20"/>
                <w:lang w:eastAsia="en-GB"/>
                <w14:ligatures w14:val="none"/>
              </w:rPr>
            </w:pPr>
          </w:p>
        </w:tc>
      </w:tr>
      <w:tr w:rsidR="002D4D9E" w14:paraId="37E804F8" w14:textId="77777777" w:rsidTr="000205E0">
        <w:trPr>
          <w:gridAfter w:val="1"/>
          <w:wAfter w:w="141" w:type="dxa"/>
          <w:trHeight w:val="1947"/>
        </w:trPr>
        <w:tc>
          <w:tcPr>
            <w:tcW w:w="8931" w:type="dxa"/>
            <w:gridSpan w:val="5"/>
            <w:tcMar>
              <w:top w:w="15" w:type="dxa"/>
              <w:left w:w="108" w:type="dxa"/>
              <w:bottom w:w="0" w:type="dxa"/>
              <w:right w:w="108" w:type="dxa"/>
            </w:tcMar>
            <w:hideMark/>
          </w:tcPr>
          <w:p w14:paraId="2CADB935" w14:textId="474E2997" w:rsidR="002D4D9E" w:rsidRPr="000B3F35" w:rsidRDefault="002D4D9E">
            <w:pPr>
              <w:spacing w:after="0" w:line="240" w:lineRule="auto"/>
              <w:rPr>
                <w:rFonts w:ascii="Arial" w:eastAsia="Times New Roman" w:hAnsi="Arial" w:cs="Arial"/>
                <w:kern w:val="0"/>
                <w:sz w:val="24"/>
                <w:szCs w:val="24"/>
                <w:lang w:eastAsia="en-GB"/>
                <w14:ligatures w14:val="none"/>
              </w:rPr>
            </w:pPr>
            <w:r w:rsidRPr="000B3F35">
              <w:rPr>
                <w:rFonts w:ascii="Arial" w:eastAsia="Times New Roman" w:hAnsi="Arial" w:cs="Arial"/>
                <w:kern w:val="0"/>
                <w:sz w:val="24"/>
                <w:szCs w:val="24"/>
                <w:lang w:eastAsia="en-GB"/>
                <w14:ligatures w14:val="none"/>
              </w:rPr>
              <w:t>The Agency’s significant leasing arrangements relate to buildings that we occupy, either on standard commercial bases or through government Memorandum of Terms of Occupation (MOTO) agreements. There are no leases with contingent amounts, purchase options or dividend clauses.</w:t>
            </w:r>
            <w:r>
              <w:rPr>
                <w:rFonts w:ascii="Arial" w:eastAsia="Times New Roman" w:hAnsi="Arial" w:cs="Arial"/>
                <w:kern w:val="0"/>
                <w:sz w:val="24"/>
                <w:szCs w:val="24"/>
                <w:lang w:eastAsia="en-GB"/>
                <w14:ligatures w14:val="none"/>
              </w:rPr>
              <w:br/>
            </w:r>
          </w:p>
          <w:p w14:paraId="632295A0" w14:textId="03C27E28" w:rsidR="002D4D9E" w:rsidRDefault="002D4D9E">
            <w:pPr>
              <w:spacing w:after="0" w:line="240" w:lineRule="auto"/>
              <w:rPr>
                <w:rFonts w:ascii="Arial" w:eastAsia="Times New Roman" w:hAnsi="Arial" w:cs="Arial"/>
                <w:kern w:val="0"/>
                <w:sz w:val="24"/>
                <w:szCs w:val="24"/>
                <w:lang w:eastAsia="en-GB"/>
                <w14:ligatures w14:val="none"/>
              </w:rPr>
            </w:pPr>
            <w:r w:rsidRPr="000B3F35">
              <w:rPr>
                <w:rFonts w:ascii="Arial" w:eastAsia="Times New Roman" w:hAnsi="Arial" w:cs="Arial"/>
                <w:kern w:val="0"/>
                <w:sz w:val="24"/>
                <w:szCs w:val="24"/>
                <w:lang w:eastAsia="en-GB"/>
                <w14:ligatures w14:val="none"/>
              </w:rPr>
              <w:t xml:space="preserve">The lease liability includes £737.9k of forecast inflation included in line with </w:t>
            </w:r>
            <w:r w:rsidR="00BA2669">
              <w:rPr>
                <w:rFonts w:ascii="Arial" w:eastAsia="Times New Roman" w:hAnsi="Arial" w:cs="Arial"/>
                <w:sz w:val="24"/>
                <w:szCs w:val="24"/>
              </w:rPr>
              <w:t>HM Treasury</w:t>
            </w:r>
            <w:r w:rsidRPr="000B3F35">
              <w:rPr>
                <w:rFonts w:ascii="Arial" w:eastAsia="Times New Roman" w:hAnsi="Arial" w:cs="Arial"/>
                <w:kern w:val="0"/>
                <w:sz w:val="24"/>
                <w:szCs w:val="24"/>
                <w:lang w:eastAsia="en-GB"/>
                <w14:ligatures w14:val="none"/>
              </w:rPr>
              <w:t xml:space="preserve"> guidance when the Agency adopted IFRS 16 on 1 April 2021.</w:t>
            </w:r>
            <w:r w:rsidR="00B55639">
              <w:rPr>
                <w:rFonts w:ascii="Arial" w:eastAsia="Times New Roman" w:hAnsi="Arial" w:cs="Arial"/>
                <w:kern w:val="0"/>
                <w:sz w:val="24"/>
                <w:szCs w:val="24"/>
                <w:lang w:eastAsia="en-GB"/>
                <w14:ligatures w14:val="none"/>
              </w:rPr>
              <w:br/>
            </w:r>
          </w:p>
          <w:p w14:paraId="76EE8818" w14:textId="24F01322" w:rsidR="002D4D9E" w:rsidRPr="000B3F35" w:rsidRDefault="002D4D9E">
            <w:pPr>
              <w:spacing w:after="0" w:line="240" w:lineRule="auto"/>
              <w:rPr>
                <w:rFonts w:ascii="Arial" w:eastAsia="Times New Roman" w:hAnsi="Arial" w:cs="Arial"/>
                <w:kern w:val="0"/>
                <w:sz w:val="24"/>
                <w:szCs w:val="24"/>
                <w:lang w:eastAsia="en-GB"/>
                <w14:ligatures w14:val="none"/>
              </w:rPr>
            </w:pPr>
          </w:p>
        </w:tc>
      </w:tr>
      <w:tr w:rsidR="00C274AF" w14:paraId="395A09CD" w14:textId="77777777" w:rsidTr="000205E0">
        <w:trPr>
          <w:gridAfter w:val="1"/>
          <w:wAfter w:w="141" w:type="dxa"/>
          <w:trHeight w:val="274"/>
        </w:trPr>
        <w:tc>
          <w:tcPr>
            <w:tcW w:w="5660" w:type="dxa"/>
            <w:gridSpan w:val="2"/>
            <w:tcMar>
              <w:top w:w="15" w:type="dxa"/>
              <w:left w:w="108" w:type="dxa"/>
              <w:bottom w:w="0" w:type="dxa"/>
              <w:right w:w="108" w:type="dxa"/>
            </w:tcMar>
            <w:vAlign w:val="bottom"/>
            <w:hideMark/>
          </w:tcPr>
          <w:p w14:paraId="2C6E9EEE" w14:textId="77777777" w:rsidR="00C274AF" w:rsidRDefault="00C274AF">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Obligations under leases for the following periods comprise:</w:t>
            </w:r>
          </w:p>
        </w:tc>
        <w:tc>
          <w:tcPr>
            <w:tcW w:w="1304" w:type="dxa"/>
            <w:noWrap/>
            <w:tcMar>
              <w:top w:w="15" w:type="dxa"/>
              <w:left w:w="108" w:type="dxa"/>
              <w:bottom w:w="0" w:type="dxa"/>
              <w:right w:w="108" w:type="dxa"/>
            </w:tcMar>
            <w:vAlign w:val="bottom"/>
            <w:hideMark/>
          </w:tcPr>
          <w:p w14:paraId="2AD3CF41"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967" w:type="dxa"/>
            <w:gridSpan w:val="2"/>
            <w:noWrap/>
            <w:tcMar>
              <w:top w:w="15" w:type="dxa"/>
              <w:left w:w="108" w:type="dxa"/>
              <w:bottom w:w="0" w:type="dxa"/>
              <w:right w:w="108" w:type="dxa"/>
            </w:tcMar>
            <w:vAlign w:val="bottom"/>
            <w:hideMark/>
          </w:tcPr>
          <w:p w14:paraId="1AC2AC55"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C274AF" w14:paraId="65054F7B" w14:textId="77777777" w:rsidTr="000205E0">
        <w:trPr>
          <w:gridAfter w:val="1"/>
          <w:wAfter w:w="141" w:type="dxa"/>
          <w:trHeight w:val="330"/>
        </w:trPr>
        <w:tc>
          <w:tcPr>
            <w:tcW w:w="5660" w:type="dxa"/>
            <w:gridSpan w:val="2"/>
            <w:noWrap/>
            <w:tcMar>
              <w:top w:w="15" w:type="dxa"/>
              <w:left w:w="108" w:type="dxa"/>
              <w:bottom w:w="0" w:type="dxa"/>
              <w:right w:w="108" w:type="dxa"/>
            </w:tcMar>
            <w:vAlign w:val="center"/>
            <w:hideMark/>
          </w:tcPr>
          <w:p w14:paraId="29EBDE5B"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Buildings</w:t>
            </w:r>
          </w:p>
        </w:tc>
        <w:tc>
          <w:tcPr>
            <w:tcW w:w="1304" w:type="dxa"/>
            <w:tcBorders>
              <w:top w:val="nil"/>
              <w:left w:val="nil"/>
              <w:bottom w:val="single" w:sz="8" w:space="0" w:color="auto"/>
              <w:right w:val="nil"/>
            </w:tcBorders>
            <w:noWrap/>
            <w:tcMar>
              <w:top w:w="15" w:type="dxa"/>
              <w:left w:w="108" w:type="dxa"/>
              <w:bottom w:w="0" w:type="dxa"/>
              <w:right w:w="108" w:type="dxa"/>
            </w:tcMar>
            <w:vAlign w:val="bottom"/>
            <w:hideMark/>
          </w:tcPr>
          <w:p w14:paraId="58BE1110"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967" w:type="dxa"/>
            <w:gridSpan w:val="2"/>
            <w:tcBorders>
              <w:top w:val="nil"/>
              <w:left w:val="nil"/>
              <w:bottom w:val="single" w:sz="8" w:space="0" w:color="auto"/>
              <w:right w:val="nil"/>
            </w:tcBorders>
            <w:noWrap/>
            <w:tcMar>
              <w:top w:w="15" w:type="dxa"/>
              <w:left w:w="108" w:type="dxa"/>
              <w:bottom w:w="0" w:type="dxa"/>
              <w:right w:w="108" w:type="dxa"/>
            </w:tcMar>
            <w:vAlign w:val="bottom"/>
            <w:hideMark/>
          </w:tcPr>
          <w:p w14:paraId="0EA18202"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C274AF" w14:paraId="4EBB40A6" w14:textId="77777777" w:rsidTr="000205E0">
        <w:trPr>
          <w:gridAfter w:val="1"/>
          <w:wAfter w:w="141" w:type="dxa"/>
          <w:trHeight w:val="194"/>
        </w:trPr>
        <w:tc>
          <w:tcPr>
            <w:tcW w:w="5660" w:type="dxa"/>
            <w:gridSpan w:val="2"/>
            <w:noWrap/>
            <w:tcMar>
              <w:top w:w="15" w:type="dxa"/>
              <w:left w:w="108" w:type="dxa"/>
              <w:bottom w:w="0" w:type="dxa"/>
              <w:right w:w="108" w:type="dxa"/>
            </w:tcMar>
            <w:vAlign w:val="center"/>
            <w:hideMark/>
          </w:tcPr>
          <w:p w14:paraId="49D11CA6"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Not later than one year</w:t>
            </w:r>
          </w:p>
        </w:tc>
        <w:tc>
          <w:tcPr>
            <w:tcW w:w="1304" w:type="dxa"/>
            <w:noWrap/>
            <w:tcMar>
              <w:top w:w="15" w:type="dxa"/>
              <w:left w:w="108" w:type="dxa"/>
              <w:bottom w:w="0" w:type="dxa"/>
              <w:right w:w="108" w:type="dxa"/>
            </w:tcMar>
            <w:hideMark/>
          </w:tcPr>
          <w:p w14:paraId="7644F833"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3,620 </w:t>
            </w:r>
          </w:p>
        </w:tc>
        <w:tc>
          <w:tcPr>
            <w:tcW w:w="1967" w:type="dxa"/>
            <w:gridSpan w:val="2"/>
            <w:noWrap/>
            <w:tcMar>
              <w:top w:w="15" w:type="dxa"/>
              <w:left w:w="108" w:type="dxa"/>
              <w:bottom w:w="0" w:type="dxa"/>
              <w:right w:w="108" w:type="dxa"/>
            </w:tcMar>
            <w:hideMark/>
          </w:tcPr>
          <w:p w14:paraId="4EF2ABF2"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5,541 </w:t>
            </w:r>
          </w:p>
        </w:tc>
      </w:tr>
      <w:tr w:rsidR="00C274AF" w14:paraId="43FC5307" w14:textId="77777777" w:rsidTr="000205E0">
        <w:trPr>
          <w:gridAfter w:val="1"/>
          <w:wAfter w:w="141" w:type="dxa"/>
          <w:trHeight w:val="216"/>
        </w:trPr>
        <w:tc>
          <w:tcPr>
            <w:tcW w:w="5660" w:type="dxa"/>
            <w:gridSpan w:val="2"/>
            <w:noWrap/>
            <w:tcMar>
              <w:top w:w="15" w:type="dxa"/>
              <w:left w:w="108" w:type="dxa"/>
              <w:bottom w:w="0" w:type="dxa"/>
              <w:right w:w="108" w:type="dxa"/>
            </w:tcMar>
            <w:vAlign w:val="center"/>
            <w:hideMark/>
          </w:tcPr>
          <w:p w14:paraId="61FE3FB9"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Later than one year and not later than five years</w:t>
            </w:r>
          </w:p>
        </w:tc>
        <w:tc>
          <w:tcPr>
            <w:tcW w:w="1304" w:type="dxa"/>
            <w:noWrap/>
            <w:tcMar>
              <w:top w:w="15" w:type="dxa"/>
              <w:left w:w="108" w:type="dxa"/>
              <w:bottom w:w="0" w:type="dxa"/>
              <w:right w:w="108" w:type="dxa"/>
            </w:tcMar>
            <w:hideMark/>
          </w:tcPr>
          <w:p w14:paraId="71DF7DE9"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11,670 </w:t>
            </w:r>
          </w:p>
        </w:tc>
        <w:tc>
          <w:tcPr>
            <w:tcW w:w="1967" w:type="dxa"/>
            <w:gridSpan w:val="2"/>
            <w:noWrap/>
            <w:tcMar>
              <w:top w:w="15" w:type="dxa"/>
              <w:left w:w="108" w:type="dxa"/>
              <w:bottom w:w="0" w:type="dxa"/>
              <w:right w:w="108" w:type="dxa"/>
            </w:tcMar>
            <w:hideMark/>
          </w:tcPr>
          <w:p w14:paraId="25EE59EB"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9,420 </w:t>
            </w:r>
          </w:p>
        </w:tc>
      </w:tr>
      <w:tr w:rsidR="00C274AF" w14:paraId="718754F2" w14:textId="77777777" w:rsidTr="000205E0">
        <w:trPr>
          <w:gridAfter w:val="1"/>
          <w:wAfter w:w="141" w:type="dxa"/>
          <w:trHeight w:val="249"/>
        </w:trPr>
        <w:tc>
          <w:tcPr>
            <w:tcW w:w="5660" w:type="dxa"/>
            <w:gridSpan w:val="2"/>
            <w:noWrap/>
            <w:tcMar>
              <w:top w:w="15" w:type="dxa"/>
              <w:left w:w="108" w:type="dxa"/>
              <w:bottom w:w="0" w:type="dxa"/>
              <w:right w:w="108" w:type="dxa"/>
            </w:tcMar>
            <w:vAlign w:val="center"/>
            <w:hideMark/>
          </w:tcPr>
          <w:p w14:paraId="1856C744"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Later than five years</w:t>
            </w:r>
          </w:p>
        </w:tc>
        <w:tc>
          <w:tcPr>
            <w:tcW w:w="1304" w:type="dxa"/>
            <w:noWrap/>
            <w:tcMar>
              <w:top w:w="15" w:type="dxa"/>
              <w:left w:w="108" w:type="dxa"/>
              <w:bottom w:w="0" w:type="dxa"/>
              <w:right w:w="108" w:type="dxa"/>
            </w:tcMar>
            <w:hideMark/>
          </w:tcPr>
          <w:p w14:paraId="542736BF"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2,670 </w:t>
            </w:r>
          </w:p>
        </w:tc>
        <w:tc>
          <w:tcPr>
            <w:tcW w:w="1967" w:type="dxa"/>
            <w:gridSpan w:val="2"/>
            <w:noWrap/>
            <w:tcMar>
              <w:top w:w="15" w:type="dxa"/>
              <w:left w:w="108" w:type="dxa"/>
              <w:bottom w:w="0" w:type="dxa"/>
              <w:right w:w="108" w:type="dxa"/>
            </w:tcMar>
            <w:hideMark/>
          </w:tcPr>
          <w:p w14:paraId="7F6C1C51"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3,096 </w:t>
            </w:r>
          </w:p>
        </w:tc>
      </w:tr>
      <w:tr w:rsidR="00C274AF" w14:paraId="69B9F73F" w14:textId="77777777" w:rsidTr="000205E0">
        <w:trPr>
          <w:gridAfter w:val="1"/>
          <w:wAfter w:w="141" w:type="dxa"/>
          <w:trHeight w:val="114"/>
        </w:trPr>
        <w:tc>
          <w:tcPr>
            <w:tcW w:w="5660" w:type="dxa"/>
            <w:gridSpan w:val="2"/>
            <w:noWrap/>
            <w:tcMar>
              <w:top w:w="15" w:type="dxa"/>
              <w:left w:w="108" w:type="dxa"/>
              <w:bottom w:w="0" w:type="dxa"/>
              <w:right w:w="108" w:type="dxa"/>
            </w:tcMar>
            <w:vAlign w:val="bottom"/>
            <w:hideMark/>
          </w:tcPr>
          <w:p w14:paraId="02880D57" w14:textId="77777777" w:rsidR="00C274AF" w:rsidRDefault="00C274AF">
            <w:pPr>
              <w:spacing w:after="0"/>
              <w:rPr>
                <w:kern w:val="0"/>
                <w:sz w:val="20"/>
                <w:szCs w:val="20"/>
                <w:lang w:eastAsia="en-GB"/>
                <w14:ligatures w14:val="none"/>
              </w:rPr>
            </w:pP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387483DE"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17,960 </w:t>
            </w:r>
          </w:p>
        </w:tc>
        <w:tc>
          <w:tcPr>
            <w:tcW w:w="1967" w:type="dxa"/>
            <w:gridSpan w:val="2"/>
            <w:tcBorders>
              <w:top w:val="single" w:sz="4" w:space="0" w:color="auto"/>
              <w:left w:val="nil"/>
              <w:bottom w:val="single" w:sz="8" w:space="0" w:color="auto"/>
              <w:right w:val="nil"/>
            </w:tcBorders>
            <w:noWrap/>
            <w:tcMar>
              <w:top w:w="15" w:type="dxa"/>
              <w:left w:w="108" w:type="dxa"/>
              <w:bottom w:w="0" w:type="dxa"/>
              <w:right w:w="108" w:type="dxa"/>
            </w:tcMar>
            <w:hideMark/>
          </w:tcPr>
          <w:p w14:paraId="68F3BD81"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18,057 </w:t>
            </w:r>
          </w:p>
        </w:tc>
      </w:tr>
      <w:tr w:rsidR="00C274AF" w14:paraId="1954DE42" w14:textId="77777777" w:rsidTr="000205E0">
        <w:trPr>
          <w:gridAfter w:val="1"/>
          <w:wAfter w:w="141" w:type="dxa"/>
          <w:trHeight w:val="123"/>
        </w:trPr>
        <w:tc>
          <w:tcPr>
            <w:tcW w:w="5660" w:type="dxa"/>
            <w:gridSpan w:val="2"/>
            <w:noWrap/>
            <w:tcMar>
              <w:top w:w="15" w:type="dxa"/>
              <w:left w:w="108" w:type="dxa"/>
              <w:bottom w:w="0" w:type="dxa"/>
              <w:right w:w="108" w:type="dxa"/>
            </w:tcMar>
            <w:vAlign w:val="bottom"/>
            <w:hideMark/>
          </w:tcPr>
          <w:p w14:paraId="5A16F12B"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Less interest element¹</w:t>
            </w:r>
          </w:p>
        </w:tc>
        <w:tc>
          <w:tcPr>
            <w:tcW w:w="1304" w:type="dxa"/>
            <w:noWrap/>
            <w:tcMar>
              <w:top w:w="15" w:type="dxa"/>
              <w:left w:w="108" w:type="dxa"/>
              <w:bottom w:w="0" w:type="dxa"/>
              <w:right w:w="108" w:type="dxa"/>
            </w:tcMar>
            <w:hideMark/>
          </w:tcPr>
          <w:p w14:paraId="3D2EF77B"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(1,188) </w:t>
            </w:r>
          </w:p>
        </w:tc>
        <w:tc>
          <w:tcPr>
            <w:tcW w:w="1967" w:type="dxa"/>
            <w:gridSpan w:val="2"/>
            <w:noWrap/>
            <w:tcMar>
              <w:top w:w="15" w:type="dxa"/>
              <w:left w:w="108" w:type="dxa"/>
              <w:bottom w:w="0" w:type="dxa"/>
              <w:right w:w="108" w:type="dxa"/>
            </w:tcMar>
            <w:hideMark/>
          </w:tcPr>
          <w:p w14:paraId="4DD902FF"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(1,104) </w:t>
            </w:r>
          </w:p>
        </w:tc>
      </w:tr>
      <w:tr w:rsidR="00C274AF" w14:paraId="57EDFF40" w14:textId="77777777" w:rsidTr="000205E0">
        <w:trPr>
          <w:gridAfter w:val="1"/>
          <w:wAfter w:w="141" w:type="dxa"/>
          <w:trHeight w:val="136"/>
        </w:trPr>
        <w:tc>
          <w:tcPr>
            <w:tcW w:w="5660" w:type="dxa"/>
            <w:gridSpan w:val="2"/>
            <w:noWrap/>
            <w:tcMar>
              <w:top w:w="15" w:type="dxa"/>
              <w:left w:w="108" w:type="dxa"/>
              <w:bottom w:w="0" w:type="dxa"/>
              <w:right w:w="108" w:type="dxa"/>
            </w:tcMar>
            <w:vAlign w:val="center"/>
            <w:hideMark/>
          </w:tcPr>
          <w:p w14:paraId="7E86CBCB" w14:textId="77777777" w:rsidR="00C274AF" w:rsidRDefault="00C274AF">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Present value of obligations</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14453584"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16,772 </w:t>
            </w:r>
          </w:p>
        </w:tc>
        <w:tc>
          <w:tcPr>
            <w:tcW w:w="1967" w:type="dxa"/>
            <w:gridSpan w:val="2"/>
            <w:tcBorders>
              <w:top w:val="single" w:sz="4" w:space="0" w:color="auto"/>
              <w:left w:val="nil"/>
              <w:bottom w:val="single" w:sz="8" w:space="0" w:color="auto"/>
              <w:right w:val="nil"/>
            </w:tcBorders>
            <w:noWrap/>
            <w:tcMar>
              <w:top w:w="15" w:type="dxa"/>
              <w:left w:w="108" w:type="dxa"/>
              <w:bottom w:w="0" w:type="dxa"/>
              <w:right w:w="108" w:type="dxa"/>
            </w:tcMar>
            <w:hideMark/>
          </w:tcPr>
          <w:p w14:paraId="3E22CBB7"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16,953 </w:t>
            </w:r>
          </w:p>
        </w:tc>
      </w:tr>
      <w:tr w:rsidR="00C274AF" w14:paraId="17FFEE80" w14:textId="77777777" w:rsidTr="000205E0">
        <w:trPr>
          <w:gridAfter w:val="1"/>
          <w:wAfter w:w="141" w:type="dxa"/>
          <w:trHeight w:val="301"/>
        </w:trPr>
        <w:tc>
          <w:tcPr>
            <w:tcW w:w="5660" w:type="dxa"/>
            <w:gridSpan w:val="2"/>
            <w:tcMar>
              <w:top w:w="15" w:type="dxa"/>
              <w:left w:w="108" w:type="dxa"/>
              <w:bottom w:w="0" w:type="dxa"/>
              <w:right w:w="108" w:type="dxa"/>
            </w:tcMar>
            <w:hideMark/>
          </w:tcPr>
          <w:p w14:paraId="478AC31D" w14:textId="77777777" w:rsidR="00C274AF" w:rsidRDefault="00C274AF">
            <w:pPr>
              <w:spacing w:after="0"/>
              <w:rPr>
                <w:kern w:val="0"/>
                <w:sz w:val="20"/>
                <w:szCs w:val="20"/>
                <w:lang w:eastAsia="en-GB"/>
                <w14:ligatures w14:val="none"/>
              </w:rPr>
            </w:pPr>
          </w:p>
        </w:tc>
        <w:tc>
          <w:tcPr>
            <w:tcW w:w="1304" w:type="dxa"/>
            <w:tcMar>
              <w:top w:w="15" w:type="dxa"/>
              <w:left w:w="108" w:type="dxa"/>
              <w:bottom w:w="0" w:type="dxa"/>
              <w:right w:w="108" w:type="dxa"/>
            </w:tcMar>
            <w:hideMark/>
          </w:tcPr>
          <w:p w14:paraId="316C05C7" w14:textId="77777777" w:rsidR="00C274AF" w:rsidRDefault="00C274AF">
            <w:pPr>
              <w:spacing w:after="0"/>
              <w:rPr>
                <w:kern w:val="0"/>
                <w:sz w:val="20"/>
                <w:szCs w:val="20"/>
                <w:lang w:eastAsia="en-GB"/>
                <w14:ligatures w14:val="none"/>
              </w:rPr>
            </w:pPr>
          </w:p>
        </w:tc>
        <w:tc>
          <w:tcPr>
            <w:tcW w:w="1967" w:type="dxa"/>
            <w:gridSpan w:val="2"/>
            <w:tcMar>
              <w:top w:w="15" w:type="dxa"/>
              <w:left w:w="108" w:type="dxa"/>
              <w:bottom w:w="0" w:type="dxa"/>
              <w:right w:w="108" w:type="dxa"/>
            </w:tcMar>
            <w:hideMark/>
          </w:tcPr>
          <w:p w14:paraId="18267FC2" w14:textId="77777777" w:rsidR="00C274AF" w:rsidRDefault="00C274AF">
            <w:pPr>
              <w:spacing w:after="0"/>
              <w:rPr>
                <w:kern w:val="0"/>
                <w:sz w:val="20"/>
                <w:szCs w:val="20"/>
                <w:lang w:eastAsia="en-GB"/>
                <w14:ligatures w14:val="none"/>
              </w:rPr>
            </w:pPr>
          </w:p>
        </w:tc>
      </w:tr>
      <w:tr w:rsidR="00C274AF" w14:paraId="3BC125F9" w14:textId="77777777" w:rsidTr="000205E0">
        <w:trPr>
          <w:gridAfter w:val="1"/>
          <w:wAfter w:w="141" w:type="dxa"/>
          <w:trHeight w:val="126"/>
        </w:trPr>
        <w:tc>
          <w:tcPr>
            <w:tcW w:w="5660" w:type="dxa"/>
            <w:gridSpan w:val="2"/>
            <w:tcMar>
              <w:top w:w="15" w:type="dxa"/>
              <w:left w:w="108" w:type="dxa"/>
              <w:bottom w:w="0" w:type="dxa"/>
              <w:right w:w="108" w:type="dxa"/>
            </w:tcMar>
            <w:hideMark/>
          </w:tcPr>
          <w:p w14:paraId="0F25345D"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Current</w:t>
            </w:r>
          </w:p>
        </w:tc>
        <w:tc>
          <w:tcPr>
            <w:tcW w:w="1304" w:type="dxa"/>
            <w:noWrap/>
            <w:tcMar>
              <w:top w:w="15" w:type="dxa"/>
              <w:left w:w="108" w:type="dxa"/>
              <w:bottom w:w="0" w:type="dxa"/>
              <w:right w:w="108" w:type="dxa"/>
            </w:tcMar>
            <w:hideMark/>
          </w:tcPr>
          <w:p w14:paraId="2156975F"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3,352 </w:t>
            </w:r>
          </w:p>
        </w:tc>
        <w:tc>
          <w:tcPr>
            <w:tcW w:w="1967" w:type="dxa"/>
            <w:gridSpan w:val="2"/>
            <w:noWrap/>
            <w:tcMar>
              <w:top w:w="15" w:type="dxa"/>
              <w:left w:w="108" w:type="dxa"/>
              <w:bottom w:w="0" w:type="dxa"/>
              <w:right w:w="108" w:type="dxa"/>
            </w:tcMar>
            <w:hideMark/>
          </w:tcPr>
          <w:p w14:paraId="11F9EB36"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5,464 </w:t>
            </w:r>
          </w:p>
        </w:tc>
      </w:tr>
      <w:tr w:rsidR="00C274AF" w14:paraId="0CFE0127" w14:textId="77777777" w:rsidTr="000205E0">
        <w:trPr>
          <w:gridAfter w:val="1"/>
          <w:wAfter w:w="141" w:type="dxa"/>
          <w:trHeight w:val="144"/>
        </w:trPr>
        <w:tc>
          <w:tcPr>
            <w:tcW w:w="5660" w:type="dxa"/>
            <w:gridSpan w:val="2"/>
            <w:tcMar>
              <w:top w:w="15" w:type="dxa"/>
              <w:left w:w="108" w:type="dxa"/>
              <w:bottom w:w="0" w:type="dxa"/>
              <w:right w:w="108" w:type="dxa"/>
            </w:tcMar>
            <w:hideMark/>
          </w:tcPr>
          <w:p w14:paraId="0B5991BC"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Non-current</w:t>
            </w:r>
          </w:p>
        </w:tc>
        <w:tc>
          <w:tcPr>
            <w:tcW w:w="1304" w:type="dxa"/>
            <w:noWrap/>
            <w:tcMar>
              <w:top w:w="15" w:type="dxa"/>
              <w:left w:w="108" w:type="dxa"/>
              <w:bottom w:w="0" w:type="dxa"/>
              <w:right w:w="108" w:type="dxa"/>
            </w:tcMar>
            <w:hideMark/>
          </w:tcPr>
          <w:p w14:paraId="06389312"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13,420 </w:t>
            </w:r>
          </w:p>
        </w:tc>
        <w:tc>
          <w:tcPr>
            <w:tcW w:w="1967" w:type="dxa"/>
            <w:gridSpan w:val="2"/>
            <w:noWrap/>
            <w:tcMar>
              <w:top w:w="15" w:type="dxa"/>
              <w:left w:w="108" w:type="dxa"/>
              <w:bottom w:w="0" w:type="dxa"/>
              <w:right w:w="108" w:type="dxa"/>
            </w:tcMar>
            <w:hideMark/>
          </w:tcPr>
          <w:p w14:paraId="436ECEBD"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11,489 </w:t>
            </w:r>
          </w:p>
        </w:tc>
      </w:tr>
      <w:tr w:rsidR="00C274AF" w14:paraId="0A299131" w14:textId="77777777" w:rsidTr="000205E0">
        <w:trPr>
          <w:gridAfter w:val="1"/>
          <w:wAfter w:w="141" w:type="dxa"/>
          <w:trHeight w:val="308"/>
        </w:trPr>
        <w:tc>
          <w:tcPr>
            <w:tcW w:w="5660" w:type="dxa"/>
            <w:gridSpan w:val="2"/>
            <w:tcMar>
              <w:top w:w="15" w:type="dxa"/>
              <w:left w:w="108" w:type="dxa"/>
              <w:bottom w:w="0" w:type="dxa"/>
              <w:right w:w="108" w:type="dxa"/>
            </w:tcMar>
            <w:hideMark/>
          </w:tcPr>
          <w:p w14:paraId="2DA99158" w14:textId="77777777" w:rsidR="00C274AF" w:rsidRDefault="00C274AF">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5D39A473"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16,772 </w:t>
            </w:r>
          </w:p>
        </w:tc>
        <w:tc>
          <w:tcPr>
            <w:tcW w:w="1967" w:type="dxa"/>
            <w:gridSpan w:val="2"/>
            <w:tcBorders>
              <w:top w:val="single" w:sz="4" w:space="0" w:color="auto"/>
              <w:left w:val="nil"/>
              <w:bottom w:val="single" w:sz="8" w:space="0" w:color="auto"/>
              <w:right w:val="nil"/>
            </w:tcBorders>
            <w:noWrap/>
            <w:tcMar>
              <w:top w:w="15" w:type="dxa"/>
              <w:left w:w="108" w:type="dxa"/>
              <w:bottom w:w="0" w:type="dxa"/>
              <w:right w:w="108" w:type="dxa"/>
            </w:tcMar>
            <w:hideMark/>
          </w:tcPr>
          <w:p w14:paraId="0766B48F"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16,953 </w:t>
            </w:r>
          </w:p>
        </w:tc>
      </w:tr>
      <w:tr w:rsidR="00C274AF" w14:paraId="13DE2EB7" w14:textId="77777777" w:rsidTr="000205E0">
        <w:trPr>
          <w:gridAfter w:val="1"/>
          <w:wAfter w:w="141" w:type="dxa"/>
          <w:trHeight w:val="261"/>
        </w:trPr>
        <w:tc>
          <w:tcPr>
            <w:tcW w:w="8931" w:type="dxa"/>
            <w:gridSpan w:val="5"/>
            <w:noWrap/>
            <w:tcMar>
              <w:top w:w="15" w:type="dxa"/>
              <w:left w:w="108" w:type="dxa"/>
              <w:bottom w:w="0" w:type="dxa"/>
              <w:right w:w="108" w:type="dxa"/>
            </w:tcMar>
            <w:vAlign w:val="bottom"/>
            <w:hideMark/>
          </w:tcPr>
          <w:p w14:paraId="4671B94A" w14:textId="77777777" w:rsidR="00C274AF" w:rsidRDefault="00C274AF">
            <w:pPr>
              <w:spacing w:after="0"/>
              <w:rPr>
                <w:kern w:val="0"/>
                <w:sz w:val="20"/>
                <w:szCs w:val="20"/>
                <w:lang w:eastAsia="en-GB"/>
                <w14:ligatures w14:val="none"/>
              </w:rPr>
            </w:pPr>
          </w:p>
        </w:tc>
      </w:tr>
      <w:tr w:rsidR="00C274AF" w14:paraId="163D188C" w14:textId="77777777" w:rsidTr="000205E0">
        <w:trPr>
          <w:gridAfter w:val="1"/>
          <w:wAfter w:w="141" w:type="dxa"/>
          <w:trHeight w:val="315"/>
        </w:trPr>
        <w:tc>
          <w:tcPr>
            <w:tcW w:w="8931" w:type="dxa"/>
            <w:gridSpan w:val="5"/>
            <w:tcMar>
              <w:top w:w="15" w:type="dxa"/>
              <w:left w:w="108" w:type="dxa"/>
              <w:bottom w:w="0" w:type="dxa"/>
              <w:right w:w="108" w:type="dxa"/>
            </w:tcMar>
            <w:hideMark/>
          </w:tcPr>
          <w:p w14:paraId="64226301" w14:textId="670FB86A"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¹ The lease liability is measured at the present value of the lease payments, discounted using the </w:t>
            </w:r>
            <w:r w:rsidR="002D58AA" w:rsidRPr="002D58AA">
              <w:rPr>
                <w:rFonts w:eastAsia="Times New Roman" w:cstheme="minorHAnsi"/>
                <w:sz w:val="20"/>
                <w:szCs w:val="20"/>
              </w:rPr>
              <w:t>HM Treasury</w:t>
            </w:r>
            <w:r>
              <w:rPr>
                <w:rFonts w:eastAsia="Times New Roman"/>
                <w:kern w:val="0"/>
                <w:sz w:val="20"/>
                <w:szCs w:val="20"/>
                <w:lang w:eastAsia="en-GB"/>
                <w14:ligatures w14:val="none"/>
              </w:rPr>
              <w:t xml:space="preserve"> issued discount rate for leases at the time of </w:t>
            </w:r>
            <w:r w:rsidR="00477738" w:rsidRPr="00477738">
              <w:rPr>
                <w:rFonts w:eastAsia="Times New Roman"/>
                <w:kern w:val="0"/>
                <w:sz w:val="20"/>
                <w:szCs w:val="20"/>
                <w:lang w:eastAsia="en-GB"/>
                <w14:ligatures w14:val="none"/>
              </w:rPr>
              <w:t>commencement</w:t>
            </w:r>
            <w:r>
              <w:rPr>
                <w:rFonts w:eastAsia="Times New Roman"/>
                <w:kern w:val="0"/>
                <w:sz w:val="20"/>
                <w:szCs w:val="20"/>
                <w:lang w:eastAsia="en-GB"/>
                <w14:ligatures w14:val="none"/>
              </w:rPr>
              <w:t xml:space="preserve"> or at the latest remeasurement point. For more information see note 1(o).</w:t>
            </w:r>
          </w:p>
        </w:tc>
      </w:tr>
    </w:tbl>
    <w:p w14:paraId="40E37E03" w14:textId="77777777" w:rsidR="00560745" w:rsidRDefault="00560745" w:rsidP="00560745">
      <w:pPr>
        <w:rPr>
          <w:rFonts w:ascii="Arial" w:hAnsi="Arial" w:cs="Arial"/>
          <w:sz w:val="24"/>
          <w:szCs w:val="24"/>
        </w:rPr>
      </w:pPr>
    </w:p>
    <w:p w14:paraId="146ACCA9" w14:textId="77777777" w:rsidR="004E294C" w:rsidRDefault="004E294C">
      <w:r>
        <w:br w:type="page"/>
      </w:r>
    </w:p>
    <w:tbl>
      <w:tblPr>
        <w:tblW w:w="9348" w:type="dxa"/>
        <w:tblLayout w:type="fixed"/>
        <w:tblLook w:val="04A0" w:firstRow="1" w:lastRow="0" w:firstColumn="1" w:lastColumn="0" w:noHBand="0" w:noVBand="1"/>
      </w:tblPr>
      <w:tblGrid>
        <w:gridCol w:w="549"/>
        <w:gridCol w:w="24"/>
        <w:gridCol w:w="8499"/>
        <w:gridCol w:w="236"/>
        <w:gridCol w:w="40"/>
      </w:tblGrid>
      <w:tr w:rsidR="00560745" w:rsidRPr="009E6123" w14:paraId="4C742D62" w14:textId="77777777" w:rsidTr="003305D1">
        <w:trPr>
          <w:gridAfter w:val="2"/>
          <w:wAfter w:w="276" w:type="dxa"/>
          <w:trHeight w:val="16"/>
        </w:trPr>
        <w:tc>
          <w:tcPr>
            <w:tcW w:w="573" w:type="dxa"/>
            <w:gridSpan w:val="2"/>
            <w:tcMar>
              <w:top w:w="15" w:type="dxa"/>
              <w:left w:w="108" w:type="dxa"/>
              <w:bottom w:w="0" w:type="dxa"/>
              <w:right w:w="108" w:type="dxa"/>
            </w:tcMar>
            <w:vAlign w:val="bottom"/>
            <w:hideMark/>
          </w:tcPr>
          <w:p w14:paraId="520219D9" w14:textId="265B3772" w:rsidR="00560745" w:rsidRPr="009E6123" w:rsidRDefault="00560745">
            <w:pPr>
              <w:spacing w:after="0" w:line="240" w:lineRule="auto"/>
              <w:ind w:firstLineChars="12" w:firstLine="29"/>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lastRenderedPageBreak/>
              <w:t>14</w:t>
            </w:r>
          </w:p>
        </w:tc>
        <w:tc>
          <w:tcPr>
            <w:tcW w:w="8499" w:type="dxa"/>
            <w:tcMar>
              <w:top w:w="15" w:type="dxa"/>
              <w:left w:w="108" w:type="dxa"/>
              <w:bottom w:w="0" w:type="dxa"/>
              <w:right w:w="108" w:type="dxa"/>
            </w:tcMar>
            <w:vAlign w:val="bottom"/>
            <w:hideMark/>
          </w:tcPr>
          <w:p w14:paraId="35A66B6E" w14:textId="77777777"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Contingent liabilities disclosed under IAS 37</w:t>
            </w:r>
          </w:p>
        </w:tc>
      </w:tr>
      <w:tr w:rsidR="002D4D9E" w:rsidRPr="009E6123" w14:paraId="78266787" w14:textId="77777777" w:rsidTr="003305D1">
        <w:trPr>
          <w:gridAfter w:val="2"/>
          <w:wAfter w:w="276" w:type="dxa"/>
          <w:trHeight w:val="489"/>
        </w:trPr>
        <w:tc>
          <w:tcPr>
            <w:tcW w:w="9072" w:type="dxa"/>
            <w:gridSpan w:val="3"/>
            <w:vMerge w:val="restart"/>
            <w:tcBorders>
              <w:bottom w:val="nil"/>
            </w:tcBorders>
            <w:tcMar>
              <w:top w:w="15" w:type="dxa"/>
              <w:left w:w="108" w:type="dxa"/>
              <w:bottom w:w="0" w:type="dxa"/>
              <w:right w:w="108" w:type="dxa"/>
            </w:tcMar>
            <w:vAlign w:val="bottom"/>
            <w:hideMark/>
          </w:tcPr>
          <w:p w14:paraId="2A282050" w14:textId="39D83474"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As per Note 1(g), we have carried out assessments of potential contingent liabilities.</w:t>
            </w:r>
            <w:r>
              <w:rPr>
                <w:rFonts w:ascii="Arial" w:eastAsia="Times New Roman" w:hAnsi="Arial" w:cs="Arial"/>
                <w:kern w:val="0"/>
                <w:sz w:val="24"/>
                <w:szCs w:val="24"/>
                <w:lang w:eastAsia="en-GB"/>
                <w14:ligatures w14:val="none"/>
              </w:rPr>
              <w:br/>
            </w:r>
          </w:p>
          <w:p w14:paraId="7DF5F7F4" w14:textId="36612992"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Following the enactment of the Cheques Act 1992, the Secretary of State has indemnified the Insolvency Service's bankers against certain liabilities arising in respect of non-transferable "account payee" cheques due to insolvent estates and paid into the accounts of the Agency.</w:t>
            </w:r>
            <w:r>
              <w:rPr>
                <w:rFonts w:ascii="Arial" w:eastAsia="Times New Roman" w:hAnsi="Arial" w:cs="Arial"/>
                <w:kern w:val="0"/>
                <w:sz w:val="24"/>
                <w:szCs w:val="24"/>
                <w:lang w:eastAsia="en-GB"/>
                <w14:ligatures w14:val="none"/>
              </w:rPr>
              <w:br/>
            </w:r>
          </w:p>
          <w:p w14:paraId="60363849" w14:textId="4884A14D"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 xml:space="preserve">Due to the nature of the work undertaken by the Agency, there are a number of ongoing legal cases giving rise to contingent liabilities. The legal cases included as contingent liabilities all relate to either present obligations or probable obligations where reliable estimates cannot be made or possible obligations where the Agency has issued civil proceedings through the courts, and the outcome is dependent on court rulings and findings not wholly within the Agency’s control. </w:t>
            </w:r>
            <w:r>
              <w:rPr>
                <w:rFonts w:ascii="Arial" w:eastAsia="Times New Roman" w:hAnsi="Arial" w:cs="Arial"/>
                <w:kern w:val="0"/>
                <w:sz w:val="24"/>
                <w:szCs w:val="24"/>
                <w:lang w:eastAsia="en-GB"/>
                <w14:ligatures w14:val="none"/>
              </w:rPr>
              <w:br/>
            </w:r>
          </w:p>
          <w:p w14:paraId="443CB56A" w14:textId="77777777" w:rsidR="002D4D9E"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The Agency has 59 contingent liabilities relating to defended cases where it is possible but not probable that payment may be made in the future. The aggregate value of these cases has been estimated using a standard multiplier based on historic trend and is estimated at £5.2m. Further details of these cases cannot be disclosed, as in accordance with IAS 37.92, the Agency considers that further disclosure for any contingent liability connected to legal proceedings could seriously prejudice ongoing litigation.</w:t>
            </w:r>
          </w:p>
          <w:p w14:paraId="1C884FB6" w14:textId="77777777" w:rsidR="00C071B4" w:rsidRDefault="00C071B4">
            <w:pPr>
              <w:spacing w:after="0" w:line="240" w:lineRule="auto"/>
              <w:rPr>
                <w:rFonts w:ascii="Arial" w:eastAsia="Times New Roman" w:hAnsi="Arial" w:cs="Arial"/>
                <w:kern w:val="0"/>
                <w:sz w:val="24"/>
                <w:szCs w:val="24"/>
                <w:lang w:eastAsia="en-GB"/>
                <w14:ligatures w14:val="none"/>
              </w:rPr>
            </w:pPr>
          </w:p>
          <w:p w14:paraId="68C567A7" w14:textId="1B1A310C" w:rsidR="002D4D9E" w:rsidRPr="009E6123" w:rsidRDefault="002D4D9E">
            <w:pPr>
              <w:spacing w:after="0" w:line="240" w:lineRule="auto"/>
              <w:rPr>
                <w:rFonts w:ascii="Arial" w:eastAsia="Times New Roman" w:hAnsi="Arial" w:cs="Arial"/>
                <w:kern w:val="0"/>
                <w:sz w:val="24"/>
                <w:szCs w:val="24"/>
                <w:lang w:eastAsia="en-GB"/>
                <w14:ligatures w14:val="none"/>
              </w:rPr>
            </w:pPr>
          </w:p>
        </w:tc>
      </w:tr>
      <w:tr w:rsidR="002D4D9E" w:rsidRPr="009E6123" w14:paraId="4C3545E2" w14:textId="77777777" w:rsidTr="003305D1">
        <w:trPr>
          <w:trHeight w:val="302"/>
        </w:trPr>
        <w:tc>
          <w:tcPr>
            <w:tcW w:w="9072" w:type="dxa"/>
            <w:gridSpan w:val="3"/>
            <w:vMerge/>
            <w:vAlign w:val="center"/>
            <w:hideMark/>
          </w:tcPr>
          <w:p w14:paraId="404E5D20" w14:textId="79806CB5"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76" w:type="dxa"/>
            <w:gridSpan w:val="2"/>
            <w:vAlign w:val="center"/>
            <w:hideMark/>
          </w:tcPr>
          <w:p w14:paraId="19577BCE"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2B692285" w14:textId="77777777" w:rsidTr="003305D1">
        <w:trPr>
          <w:trHeight w:val="401"/>
        </w:trPr>
        <w:tc>
          <w:tcPr>
            <w:tcW w:w="9072" w:type="dxa"/>
            <w:gridSpan w:val="3"/>
            <w:vMerge/>
            <w:tcMar>
              <w:top w:w="15" w:type="dxa"/>
              <w:left w:w="108" w:type="dxa"/>
              <w:bottom w:w="0" w:type="dxa"/>
              <w:right w:w="108" w:type="dxa"/>
            </w:tcMar>
            <w:vAlign w:val="bottom"/>
            <w:hideMark/>
          </w:tcPr>
          <w:p w14:paraId="0E542005" w14:textId="4E750928"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76" w:type="dxa"/>
            <w:gridSpan w:val="2"/>
            <w:vAlign w:val="center"/>
            <w:hideMark/>
          </w:tcPr>
          <w:p w14:paraId="4C5D1E88"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7D9CD924" w14:textId="77777777" w:rsidTr="003305D1">
        <w:trPr>
          <w:trHeight w:val="401"/>
        </w:trPr>
        <w:tc>
          <w:tcPr>
            <w:tcW w:w="9072" w:type="dxa"/>
            <w:gridSpan w:val="3"/>
            <w:vMerge/>
            <w:vAlign w:val="center"/>
            <w:hideMark/>
          </w:tcPr>
          <w:p w14:paraId="6499327A" w14:textId="4B8103D2"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76" w:type="dxa"/>
            <w:gridSpan w:val="2"/>
            <w:vAlign w:val="center"/>
            <w:hideMark/>
          </w:tcPr>
          <w:p w14:paraId="64326D6D"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3C5B0750" w14:textId="77777777" w:rsidTr="003305D1">
        <w:trPr>
          <w:trHeight w:val="374"/>
        </w:trPr>
        <w:tc>
          <w:tcPr>
            <w:tcW w:w="9072" w:type="dxa"/>
            <w:gridSpan w:val="3"/>
            <w:vMerge/>
            <w:vAlign w:val="center"/>
            <w:hideMark/>
          </w:tcPr>
          <w:p w14:paraId="00CEDA82" w14:textId="35C70C73"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76" w:type="dxa"/>
            <w:gridSpan w:val="2"/>
            <w:vAlign w:val="center"/>
            <w:hideMark/>
          </w:tcPr>
          <w:p w14:paraId="1AA162E1"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2CD32230" w14:textId="77777777" w:rsidTr="003305D1">
        <w:trPr>
          <w:trHeight w:val="401"/>
        </w:trPr>
        <w:tc>
          <w:tcPr>
            <w:tcW w:w="9072" w:type="dxa"/>
            <w:gridSpan w:val="3"/>
            <w:vMerge/>
            <w:tcMar>
              <w:top w:w="15" w:type="dxa"/>
              <w:left w:w="108" w:type="dxa"/>
              <w:bottom w:w="0" w:type="dxa"/>
              <w:right w:w="108" w:type="dxa"/>
            </w:tcMar>
            <w:vAlign w:val="bottom"/>
            <w:hideMark/>
          </w:tcPr>
          <w:p w14:paraId="749B111B" w14:textId="18167576"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76" w:type="dxa"/>
            <w:gridSpan w:val="2"/>
            <w:vAlign w:val="center"/>
            <w:hideMark/>
          </w:tcPr>
          <w:p w14:paraId="7BEC21A1"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61408D8B" w14:textId="77777777" w:rsidTr="003305D1">
        <w:trPr>
          <w:trHeight w:val="401"/>
        </w:trPr>
        <w:tc>
          <w:tcPr>
            <w:tcW w:w="9072" w:type="dxa"/>
            <w:gridSpan w:val="3"/>
            <w:vMerge/>
            <w:vAlign w:val="center"/>
            <w:hideMark/>
          </w:tcPr>
          <w:p w14:paraId="59153B28"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276" w:type="dxa"/>
            <w:gridSpan w:val="2"/>
            <w:vAlign w:val="center"/>
            <w:hideMark/>
          </w:tcPr>
          <w:p w14:paraId="1E8B4E1E"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023C518A" w14:textId="77777777" w:rsidTr="003305D1">
        <w:trPr>
          <w:trHeight w:val="401"/>
        </w:trPr>
        <w:tc>
          <w:tcPr>
            <w:tcW w:w="9072" w:type="dxa"/>
            <w:gridSpan w:val="3"/>
            <w:vMerge/>
            <w:vAlign w:val="center"/>
            <w:hideMark/>
          </w:tcPr>
          <w:p w14:paraId="2EC90AB5"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276" w:type="dxa"/>
            <w:gridSpan w:val="2"/>
            <w:vAlign w:val="center"/>
            <w:hideMark/>
          </w:tcPr>
          <w:p w14:paraId="71AC8377"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288DF126" w14:textId="77777777" w:rsidTr="003305D1">
        <w:trPr>
          <w:trHeight w:val="401"/>
        </w:trPr>
        <w:tc>
          <w:tcPr>
            <w:tcW w:w="9072" w:type="dxa"/>
            <w:gridSpan w:val="3"/>
            <w:vMerge/>
            <w:vAlign w:val="center"/>
            <w:hideMark/>
          </w:tcPr>
          <w:p w14:paraId="20662448"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276" w:type="dxa"/>
            <w:gridSpan w:val="2"/>
            <w:vAlign w:val="center"/>
            <w:hideMark/>
          </w:tcPr>
          <w:p w14:paraId="098AAFFB" w14:textId="77777777" w:rsidR="002D4D9E" w:rsidRPr="009E6123" w:rsidRDefault="002D4D9E">
            <w:pPr>
              <w:spacing w:after="0"/>
              <w:rPr>
                <w:rFonts w:ascii="Arial" w:hAnsi="Arial" w:cs="Arial"/>
                <w:kern w:val="0"/>
                <w:sz w:val="24"/>
                <w:szCs w:val="24"/>
                <w:lang w:eastAsia="en-GB"/>
                <w14:ligatures w14:val="none"/>
              </w:rPr>
            </w:pPr>
          </w:p>
        </w:tc>
      </w:tr>
      <w:tr w:rsidR="00560745" w:rsidRPr="009E6123" w14:paraId="1D7B9918" w14:textId="77777777" w:rsidTr="00FE0B09">
        <w:trPr>
          <w:gridAfter w:val="2"/>
          <w:wAfter w:w="276" w:type="dxa"/>
          <w:trHeight w:val="310"/>
        </w:trPr>
        <w:tc>
          <w:tcPr>
            <w:tcW w:w="549" w:type="dxa"/>
            <w:tcMar>
              <w:top w:w="15" w:type="dxa"/>
              <w:left w:w="108" w:type="dxa"/>
              <w:bottom w:w="0" w:type="dxa"/>
              <w:right w:w="108" w:type="dxa"/>
            </w:tcMar>
            <w:vAlign w:val="bottom"/>
            <w:hideMark/>
          </w:tcPr>
          <w:p w14:paraId="1FE985E3" w14:textId="77777777"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15</w:t>
            </w:r>
          </w:p>
        </w:tc>
        <w:tc>
          <w:tcPr>
            <w:tcW w:w="8523" w:type="dxa"/>
            <w:gridSpan w:val="2"/>
            <w:tcMar>
              <w:top w:w="15" w:type="dxa"/>
              <w:left w:w="108" w:type="dxa"/>
              <w:bottom w:w="0" w:type="dxa"/>
              <w:right w:w="108" w:type="dxa"/>
            </w:tcMar>
            <w:vAlign w:val="bottom"/>
            <w:hideMark/>
          </w:tcPr>
          <w:p w14:paraId="5CC21A66" w14:textId="77777777"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Related party transactions</w:t>
            </w:r>
          </w:p>
        </w:tc>
      </w:tr>
      <w:tr w:rsidR="002D4D9E" w:rsidRPr="009E6123" w14:paraId="235A976E" w14:textId="77777777" w:rsidTr="00FE0B09">
        <w:trPr>
          <w:gridAfter w:val="2"/>
          <w:wAfter w:w="276" w:type="dxa"/>
          <w:trHeight w:val="458"/>
        </w:trPr>
        <w:tc>
          <w:tcPr>
            <w:tcW w:w="9072" w:type="dxa"/>
            <w:gridSpan w:val="3"/>
            <w:vMerge w:val="restart"/>
            <w:tcMar>
              <w:top w:w="15" w:type="dxa"/>
              <w:left w:w="108" w:type="dxa"/>
              <w:bottom w:w="0" w:type="dxa"/>
              <w:right w:w="108" w:type="dxa"/>
            </w:tcMar>
            <w:vAlign w:val="bottom"/>
            <w:hideMark/>
          </w:tcPr>
          <w:p w14:paraId="033CEBCD" w14:textId="232CE9F4"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The Insolvency Service is an executive agency of DBT. DBT is regarded as a related party. During the year there have been various material transactions with DBT and with other entities for which the department is regarded as the parent.</w:t>
            </w:r>
            <w:r>
              <w:rPr>
                <w:rFonts w:ascii="Arial" w:eastAsia="Times New Roman" w:hAnsi="Arial" w:cs="Arial"/>
                <w:kern w:val="0"/>
                <w:sz w:val="24"/>
                <w:szCs w:val="24"/>
                <w:lang w:eastAsia="en-GB"/>
                <w14:ligatures w14:val="none"/>
              </w:rPr>
              <w:br/>
            </w:r>
          </w:p>
          <w:p w14:paraId="014CAE2C" w14:textId="292F11DF"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 xml:space="preserve">There have also been various material transactions with other government departments and other central government bodies.  Most of these transactions have been with the Government Legal Department and </w:t>
            </w:r>
            <w:r w:rsidR="00EE6F47">
              <w:rPr>
                <w:rFonts w:ascii="Arial" w:eastAsia="Times New Roman" w:hAnsi="Arial" w:cs="Arial"/>
                <w:sz w:val="24"/>
                <w:szCs w:val="24"/>
              </w:rPr>
              <w:t>HM Revenue &amp; Customs</w:t>
            </w:r>
            <w:r w:rsidRPr="009E6123">
              <w:rPr>
                <w:rFonts w:ascii="Arial" w:eastAsia="Times New Roman" w:hAnsi="Arial" w:cs="Arial"/>
                <w:kern w:val="0"/>
                <w:sz w:val="24"/>
                <w:szCs w:val="24"/>
                <w:lang w:eastAsia="en-GB"/>
                <w14:ligatures w14:val="none"/>
              </w:rPr>
              <w:t>.</w:t>
            </w:r>
            <w:r>
              <w:rPr>
                <w:rFonts w:ascii="Arial" w:eastAsia="Times New Roman" w:hAnsi="Arial" w:cs="Arial"/>
                <w:kern w:val="0"/>
                <w:sz w:val="24"/>
                <w:szCs w:val="24"/>
                <w:lang w:eastAsia="en-GB"/>
                <w14:ligatures w14:val="none"/>
              </w:rPr>
              <w:br/>
            </w:r>
          </w:p>
          <w:p w14:paraId="75C26F2D" w14:textId="6EC916D8"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None of the Board Members, key managerial employees or other related parties has undertaken any material transactions with the Agency during the year.</w:t>
            </w:r>
            <w:r>
              <w:rPr>
                <w:rFonts w:ascii="Arial" w:eastAsia="Times New Roman" w:hAnsi="Arial" w:cs="Arial"/>
                <w:kern w:val="0"/>
                <w:sz w:val="24"/>
                <w:szCs w:val="24"/>
                <w:lang w:eastAsia="en-GB"/>
                <w14:ligatures w14:val="none"/>
              </w:rPr>
              <w:br/>
            </w:r>
          </w:p>
          <w:p w14:paraId="680BAF8D" w14:textId="3F2FFD19"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The compensation of key management personnel is set out in the Remuneration and Staff Report.</w:t>
            </w:r>
          </w:p>
        </w:tc>
      </w:tr>
      <w:tr w:rsidR="002D4D9E" w:rsidRPr="009E6123" w14:paraId="72F3E2E2" w14:textId="77777777" w:rsidTr="00FE0B09">
        <w:trPr>
          <w:gridAfter w:val="1"/>
          <w:wAfter w:w="40" w:type="dxa"/>
          <w:trHeight w:val="255"/>
        </w:trPr>
        <w:tc>
          <w:tcPr>
            <w:tcW w:w="9072" w:type="dxa"/>
            <w:gridSpan w:val="3"/>
            <w:vMerge/>
            <w:vAlign w:val="center"/>
            <w:hideMark/>
          </w:tcPr>
          <w:p w14:paraId="19219BC6" w14:textId="6B924077"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3961AB42"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390E3B1B" w14:textId="77777777" w:rsidTr="00FE0B09">
        <w:trPr>
          <w:gridAfter w:val="1"/>
          <w:wAfter w:w="40" w:type="dxa"/>
          <w:trHeight w:val="458"/>
        </w:trPr>
        <w:tc>
          <w:tcPr>
            <w:tcW w:w="9072" w:type="dxa"/>
            <w:gridSpan w:val="3"/>
            <w:vMerge/>
            <w:tcMar>
              <w:top w:w="15" w:type="dxa"/>
              <w:left w:w="108" w:type="dxa"/>
              <w:bottom w:w="0" w:type="dxa"/>
              <w:right w:w="108" w:type="dxa"/>
            </w:tcMar>
            <w:vAlign w:val="bottom"/>
            <w:hideMark/>
          </w:tcPr>
          <w:p w14:paraId="5A89BB30" w14:textId="134EA772"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70DF13F9"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4327C1D9" w14:textId="77777777" w:rsidTr="00FE0B09">
        <w:trPr>
          <w:gridAfter w:val="1"/>
          <w:wAfter w:w="40" w:type="dxa"/>
          <w:trHeight w:val="209"/>
        </w:trPr>
        <w:tc>
          <w:tcPr>
            <w:tcW w:w="9072" w:type="dxa"/>
            <w:gridSpan w:val="3"/>
            <w:vMerge/>
            <w:vAlign w:val="center"/>
            <w:hideMark/>
          </w:tcPr>
          <w:p w14:paraId="45D6EC68" w14:textId="7D24DE32"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61382D1E"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4B745555" w14:textId="77777777" w:rsidTr="00FE0B09">
        <w:trPr>
          <w:gridAfter w:val="1"/>
          <w:wAfter w:w="40" w:type="dxa"/>
          <w:trHeight w:val="495"/>
        </w:trPr>
        <w:tc>
          <w:tcPr>
            <w:tcW w:w="9072" w:type="dxa"/>
            <w:gridSpan w:val="3"/>
            <w:vMerge/>
            <w:tcMar>
              <w:top w:w="15" w:type="dxa"/>
              <w:left w:w="108" w:type="dxa"/>
              <w:bottom w:w="0" w:type="dxa"/>
              <w:right w:w="108" w:type="dxa"/>
            </w:tcMar>
            <w:vAlign w:val="bottom"/>
            <w:hideMark/>
          </w:tcPr>
          <w:p w14:paraId="485D91C3" w14:textId="13ACFDD6"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48ADB7E3"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4BB302D2" w14:textId="77777777" w:rsidTr="00FE0B09">
        <w:trPr>
          <w:gridAfter w:val="1"/>
          <w:wAfter w:w="40" w:type="dxa"/>
          <w:trHeight w:val="310"/>
        </w:trPr>
        <w:tc>
          <w:tcPr>
            <w:tcW w:w="9072" w:type="dxa"/>
            <w:gridSpan w:val="3"/>
            <w:vMerge/>
            <w:tcMar>
              <w:top w:w="15" w:type="dxa"/>
              <w:left w:w="108" w:type="dxa"/>
              <w:bottom w:w="0" w:type="dxa"/>
              <w:right w:w="108" w:type="dxa"/>
            </w:tcMar>
            <w:vAlign w:val="bottom"/>
            <w:hideMark/>
          </w:tcPr>
          <w:p w14:paraId="4CBB54E9" w14:textId="74CF386B"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49B54F60" w14:textId="77777777" w:rsidR="002D4D9E" w:rsidRPr="009E6123" w:rsidRDefault="002D4D9E">
            <w:pPr>
              <w:spacing w:after="0"/>
              <w:rPr>
                <w:rFonts w:ascii="Arial" w:hAnsi="Arial" w:cs="Arial"/>
                <w:kern w:val="0"/>
                <w:sz w:val="24"/>
                <w:szCs w:val="24"/>
                <w:lang w:eastAsia="en-GB"/>
                <w14:ligatures w14:val="none"/>
              </w:rPr>
            </w:pPr>
          </w:p>
        </w:tc>
      </w:tr>
    </w:tbl>
    <w:p w14:paraId="24F958AE" w14:textId="77777777" w:rsidR="00560745" w:rsidRPr="009E6123" w:rsidRDefault="00560745" w:rsidP="00560745">
      <w:pPr>
        <w:rPr>
          <w:rFonts w:ascii="Arial" w:hAnsi="Arial" w:cs="Arial"/>
          <w:sz w:val="24"/>
          <w:szCs w:val="24"/>
        </w:rPr>
      </w:pPr>
    </w:p>
    <w:p w14:paraId="13F4FF09" w14:textId="77777777" w:rsidR="0003630B" w:rsidRPr="009E6123" w:rsidRDefault="0003630B">
      <w:pPr>
        <w:rPr>
          <w:rFonts w:ascii="Arial" w:hAnsi="Arial" w:cs="Arial"/>
          <w:sz w:val="24"/>
          <w:szCs w:val="24"/>
        </w:rPr>
      </w:pPr>
      <w:r w:rsidRPr="009E6123">
        <w:rPr>
          <w:rFonts w:ascii="Arial" w:hAnsi="Arial" w:cs="Arial"/>
          <w:sz w:val="24"/>
          <w:szCs w:val="24"/>
        </w:rPr>
        <w:br w:type="page"/>
      </w:r>
    </w:p>
    <w:tbl>
      <w:tblPr>
        <w:tblW w:w="9308" w:type="dxa"/>
        <w:tblLayout w:type="fixed"/>
        <w:tblLook w:val="04A0" w:firstRow="1" w:lastRow="0" w:firstColumn="1" w:lastColumn="0" w:noHBand="0" w:noVBand="1"/>
      </w:tblPr>
      <w:tblGrid>
        <w:gridCol w:w="549"/>
        <w:gridCol w:w="8523"/>
        <w:gridCol w:w="236"/>
      </w:tblGrid>
      <w:tr w:rsidR="00560745" w:rsidRPr="009E6123" w14:paraId="5D4CEA90" w14:textId="77777777" w:rsidTr="003305D1">
        <w:trPr>
          <w:gridAfter w:val="1"/>
          <w:wAfter w:w="236" w:type="dxa"/>
          <w:trHeight w:val="284"/>
        </w:trPr>
        <w:tc>
          <w:tcPr>
            <w:tcW w:w="549" w:type="dxa"/>
            <w:tcMar>
              <w:top w:w="15" w:type="dxa"/>
              <w:left w:w="108" w:type="dxa"/>
              <w:bottom w:w="0" w:type="dxa"/>
              <w:right w:w="108" w:type="dxa"/>
            </w:tcMar>
            <w:vAlign w:val="bottom"/>
            <w:hideMark/>
          </w:tcPr>
          <w:p w14:paraId="0CCBC5E2" w14:textId="3AEC3D35" w:rsidR="00560745" w:rsidRPr="009E6123" w:rsidRDefault="00560745">
            <w:pPr>
              <w:spacing w:after="0" w:line="240" w:lineRule="auto"/>
              <w:ind w:firstLineChars="12" w:firstLine="29"/>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lastRenderedPageBreak/>
              <w:t>16</w:t>
            </w:r>
          </w:p>
        </w:tc>
        <w:tc>
          <w:tcPr>
            <w:tcW w:w="8523" w:type="dxa"/>
            <w:tcMar>
              <w:top w:w="15" w:type="dxa"/>
              <w:left w:w="108" w:type="dxa"/>
              <w:bottom w:w="0" w:type="dxa"/>
              <w:right w:w="108" w:type="dxa"/>
            </w:tcMar>
            <w:vAlign w:val="bottom"/>
            <w:hideMark/>
          </w:tcPr>
          <w:p w14:paraId="00732B33" w14:textId="77777777"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Financial exposure</w:t>
            </w:r>
          </w:p>
        </w:tc>
      </w:tr>
      <w:tr w:rsidR="002D4D9E" w:rsidRPr="009E6123" w14:paraId="49B5A12C" w14:textId="77777777" w:rsidTr="003305D1">
        <w:trPr>
          <w:gridAfter w:val="1"/>
          <w:wAfter w:w="236" w:type="dxa"/>
          <w:trHeight w:val="458"/>
        </w:trPr>
        <w:tc>
          <w:tcPr>
            <w:tcW w:w="9072" w:type="dxa"/>
            <w:gridSpan w:val="2"/>
            <w:vMerge w:val="restart"/>
            <w:tcMar>
              <w:top w:w="15" w:type="dxa"/>
              <w:left w:w="108" w:type="dxa"/>
              <w:bottom w:w="0" w:type="dxa"/>
              <w:right w:w="108" w:type="dxa"/>
            </w:tcMar>
            <w:vAlign w:val="bottom"/>
            <w:hideMark/>
          </w:tcPr>
          <w:p w14:paraId="3BEF4B4C" w14:textId="337E5867"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IAS 32 and IFRS 9 govern the presentation, measurement, recognition and disclosure of financial instruments. Disclosures are required in relation to the financial instruments which give rise to risks that affect the entity's overall financial position, performance or cash flows.</w:t>
            </w:r>
            <w:r>
              <w:rPr>
                <w:rFonts w:ascii="Arial" w:eastAsia="Times New Roman" w:hAnsi="Arial" w:cs="Arial"/>
                <w:kern w:val="0"/>
                <w:sz w:val="24"/>
                <w:szCs w:val="24"/>
                <w:lang w:eastAsia="en-GB"/>
                <w14:ligatures w14:val="none"/>
              </w:rPr>
              <w:br/>
            </w:r>
          </w:p>
          <w:p w14:paraId="31B23CCB" w14:textId="77777777"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Due to the largely non-trading nature of its activities and the way in which it is financed, the Insolvency Service is not exposed to the degree of financial risk faced by business entities.  Generally, financial assets and liabilities are generated by day-to-day operational activities and are not held to change the risks facing the Agency in undertaking its activities.</w:t>
            </w:r>
          </w:p>
          <w:p w14:paraId="2F18A336" w14:textId="77777777" w:rsidR="00846AC0" w:rsidRPr="009E6123" w:rsidRDefault="00846AC0">
            <w:pPr>
              <w:spacing w:after="0" w:line="240" w:lineRule="auto"/>
              <w:rPr>
                <w:rFonts w:ascii="Arial" w:eastAsia="Times New Roman" w:hAnsi="Arial" w:cs="Arial"/>
                <w:kern w:val="0"/>
                <w:sz w:val="24"/>
                <w:szCs w:val="24"/>
                <w:lang w:eastAsia="en-GB"/>
                <w14:ligatures w14:val="none"/>
              </w:rPr>
            </w:pPr>
          </w:p>
          <w:p w14:paraId="1DD2FCFB" w14:textId="77777777" w:rsidR="002D4D9E" w:rsidRPr="009E6123" w:rsidRDefault="002D4D9E">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Redundancy payments service risk</w:t>
            </w:r>
          </w:p>
          <w:p w14:paraId="423FFCBB" w14:textId="11122BAE"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Our RPS receivables disclosed in Note 9 are paid over to the National Insurance Fund and do not impact the Agency’s financial risk profile. This is because the cost associated with non-recovery (for example the cost of debt being written off) will be met by the National Insurance Fund. The administration income shown in Note 4 is the income received by the Agency for the administration of the service.</w:t>
            </w:r>
            <w:r>
              <w:rPr>
                <w:rFonts w:ascii="Arial" w:eastAsia="Times New Roman" w:hAnsi="Arial" w:cs="Arial"/>
                <w:kern w:val="0"/>
                <w:sz w:val="24"/>
                <w:szCs w:val="24"/>
                <w:lang w:eastAsia="en-GB"/>
                <w14:ligatures w14:val="none"/>
              </w:rPr>
              <w:br/>
            </w:r>
          </w:p>
          <w:p w14:paraId="2BCF59B7" w14:textId="77777777"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RPS receivables can be collected over a period of many years, and as such are subject to inflationary risk to their value over time. As such these debts are discounted in line with prescribed HM Treasury rates. This rate varies from 1.80% to 3.60% (2022-23: 0.60% to 7.40%) based on the age of the debts.</w:t>
            </w:r>
          </w:p>
          <w:p w14:paraId="225E632F" w14:textId="77777777" w:rsidR="00450CEA" w:rsidRPr="009E6123" w:rsidRDefault="00450CEA">
            <w:pPr>
              <w:spacing w:after="0" w:line="240" w:lineRule="auto"/>
              <w:rPr>
                <w:rFonts w:ascii="Arial" w:eastAsia="Times New Roman" w:hAnsi="Arial" w:cs="Arial"/>
                <w:kern w:val="0"/>
                <w:sz w:val="24"/>
                <w:szCs w:val="24"/>
                <w:lang w:eastAsia="en-GB"/>
                <w14:ligatures w14:val="none"/>
              </w:rPr>
            </w:pPr>
          </w:p>
          <w:p w14:paraId="4CB19BC5" w14:textId="77777777" w:rsidR="002D4D9E" w:rsidRPr="009E6123" w:rsidRDefault="002D4D9E">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Interest rate risk</w:t>
            </w:r>
          </w:p>
          <w:p w14:paraId="54B1A9AF" w14:textId="1A0FD77F"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The Agency's case administration receivables are financial assets in that there is a right to receive cash. The specific risk that needs to be considered is the interest rate risk i.e. the risk that the value of a financial instrument will fluctuate due to changes in interest rate.</w:t>
            </w:r>
            <w:r>
              <w:rPr>
                <w:rFonts w:ascii="Arial" w:eastAsia="Times New Roman" w:hAnsi="Arial" w:cs="Arial"/>
                <w:kern w:val="0"/>
                <w:sz w:val="24"/>
                <w:szCs w:val="24"/>
                <w:lang w:eastAsia="en-GB"/>
                <w14:ligatures w14:val="none"/>
              </w:rPr>
              <w:br/>
            </w:r>
          </w:p>
          <w:p w14:paraId="03B726EC" w14:textId="77777777" w:rsidR="003305D1" w:rsidRDefault="002D4D9E" w:rsidP="003305D1">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The Agency recognises that its case administration receivables play a significant medium to long-term role in the financial risk profile. To reflect that risk, we apply a discount rate determined by HM Treasury to our financial assets. This rate is currently 2.1% (2022-23: 1.9%). We consider this an appropriate way to reflect that risk.</w:t>
            </w:r>
          </w:p>
          <w:p w14:paraId="1E44268B" w14:textId="247FC063" w:rsidR="003305D1" w:rsidRPr="009E6123" w:rsidRDefault="002D4D9E" w:rsidP="003305D1">
            <w:pPr>
              <w:spacing w:after="0" w:line="240" w:lineRule="auto"/>
              <w:rPr>
                <w:rFonts w:ascii="Arial" w:eastAsia="Times New Roman" w:hAnsi="Arial" w:cs="Arial"/>
                <w:b/>
                <w:bCs/>
                <w:kern w:val="0"/>
                <w:sz w:val="24"/>
                <w:szCs w:val="24"/>
                <w:lang w:eastAsia="en-GB"/>
                <w14:ligatures w14:val="none"/>
              </w:rPr>
            </w:pPr>
            <w:r>
              <w:rPr>
                <w:rFonts w:ascii="Arial" w:eastAsia="Times New Roman" w:hAnsi="Arial" w:cs="Arial"/>
                <w:kern w:val="0"/>
                <w:sz w:val="24"/>
                <w:szCs w:val="24"/>
                <w:lang w:eastAsia="en-GB"/>
                <w14:ligatures w14:val="none"/>
              </w:rPr>
              <w:br/>
            </w:r>
            <w:r w:rsidR="003305D1" w:rsidRPr="009E6123">
              <w:rPr>
                <w:rFonts w:ascii="Arial" w:eastAsia="Times New Roman" w:hAnsi="Arial" w:cs="Arial"/>
                <w:b/>
                <w:bCs/>
                <w:kern w:val="0"/>
                <w:sz w:val="24"/>
                <w:szCs w:val="24"/>
                <w:lang w:eastAsia="en-GB"/>
                <w14:ligatures w14:val="none"/>
              </w:rPr>
              <w:t xml:space="preserve">Liquidity and foreign currency risk       </w:t>
            </w:r>
          </w:p>
          <w:p w14:paraId="37875214" w14:textId="77777777" w:rsidR="003305D1" w:rsidRPr="009E6123" w:rsidRDefault="003305D1" w:rsidP="003305D1">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The Agency has exposure to liquidity risks due to the actual timing of the recoveries of the case administration receivables. This risk is managed by the provision of inter-entity cash funding from DBT which allows the Agency to retain inter-entity balances to meet cash flow requirements.</w:t>
            </w:r>
            <w:r>
              <w:rPr>
                <w:rFonts w:ascii="Arial" w:eastAsia="Times New Roman" w:hAnsi="Arial" w:cs="Arial"/>
                <w:kern w:val="0"/>
                <w:sz w:val="24"/>
                <w:szCs w:val="24"/>
                <w:lang w:eastAsia="en-GB"/>
                <w14:ligatures w14:val="none"/>
              </w:rPr>
              <w:br/>
            </w:r>
          </w:p>
          <w:p w14:paraId="36B49B46" w14:textId="5D6489DA" w:rsidR="002D4D9E" w:rsidRPr="009E6123" w:rsidRDefault="003305D1">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The Insolvency Service has no exposure with regards to foreign currency risk as all transactions are Pound Sterling (GBP).</w:t>
            </w:r>
            <w:r w:rsidR="002D4D9E">
              <w:rPr>
                <w:rFonts w:ascii="Arial" w:eastAsia="Times New Roman" w:hAnsi="Arial" w:cs="Arial"/>
                <w:kern w:val="0"/>
                <w:sz w:val="24"/>
                <w:szCs w:val="24"/>
                <w:lang w:eastAsia="en-GB"/>
                <w14:ligatures w14:val="none"/>
              </w:rPr>
              <w:br/>
            </w:r>
          </w:p>
        </w:tc>
      </w:tr>
      <w:tr w:rsidR="002D4D9E" w:rsidRPr="009E6123" w14:paraId="03ED9AF1" w14:textId="77777777" w:rsidTr="003305D1">
        <w:trPr>
          <w:trHeight w:val="245"/>
        </w:trPr>
        <w:tc>
          <w:tcPr>
            <w:tcW w:w="9072" w:type="dxa"/>
            <w:gridSpan w:val="2"/>
            <w:vMerge/>
            <w:vAlign w:val="center"/>
            <w:hideMark/>
          </w:tcPr>
          <w:p w14:paraId="6CFBE97B" w14:textId="3129EA94"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1739152A"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3DE28391" w14:textId="77777777" w:rsidTr="003305D1">
        <w:trPr>
          <w:trHeight w:val="73"/>
        </w:trPr>
        <w:tc>
          <w:tcPr>
            <w:tcW w:w="9072" w:type="dxa"/>
            <w:gridSpan w:val="2"/>
            <w:vMerge/>
            <w:vAlign w:val="center"/>
            <w:hideMark/>
          </w:tcPr>
          <w:p w14:paraId="21FE4A7C" w14:textId="525AD765"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337C2D4C"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1A65669A" w14:textId="77777777" w:rsidTr="003305D1">
        <w:trPr>
          <w:trHeight w:val="458"/>
        </w:trPr>
        <w:tc>
          <w:tcPr>
            <w:tcW w:w="9072" w:type="dxa"/>
            <w:gridSpan w:val="2"/>
            <w:vMerge/>
            <w:tcMar>
              <w:top w:w="15" w:type="dxa"/>
              <w:left w:w="108" w:type="dxa"/>
              <w:bottom w:w="0" w:type="dxa"/>
              <w:right w:w="108" w:type="dxa"/>
            </w:tcMar>
            <w:vAlign w:val="bottom"/>
            <w:hideMark/>
          </w:tcPr>
          <w:p w14:paraId="274C57B9" w14:textId="1C71524F"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36CE10C0"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480535B2" w14:textId="77777777" w:rsidTr="003305D1">
        <w:trPr>
          <w:trHeight w:val="313"/>
        </w:trPr>
        <w:tc>
          <w:tcPr>
            <w:tcW w:w="9072" w:type="dxa"/>
            <w:gridSpan w:val="2"/>
            <w:vMerge/>
            <w:vAlign w:val="center"/>
            <w:hideMark/>
          </w:tcPr>
          <w:p w14:paraId="7683028D" w14:textId="382C4B87"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1B05C938"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46F0A2A6" w14:textId="77777777" w:rsidTr="003305D1">
        <w:trPr>
          <w:trHeight w:val="281"/>
        </w:trPr>
        <w:tc>
          <w:tcPr>
            <w:tcW w:w="9072" w:type="dxa"/>
            <w:gridSpan w:val="2"/>
            <w:vMerge/>
            <w:vAlign w:val="center"/>
            <w:hideMark/>
          </w:tcPr>
          <w:p w14:paraId="461E8B75" w14:textId="1F76C1F1"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1CD8DF06"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662753E3" w14:textId="77777777" w:rsidTr="003305D1">
        <w:trPr>
          <w:trHeight w:val="284"/>
        </w:trPr>
        <w:tc>
          <w:tcPr>
            <w:tcW w:w="9072" w:type="dxa"/>
            <w:gridSpan w:val="2"/>
            <w:vMerge/>
            <w:tcMar>
              <w:top w:w="15" w:type="dxa"/>
              <w:left w:w="108" w:type="dxa"/>
              <w:bottom w:w="0" w:type="dxa"/>
              <w:right w:w="108" w:type="dxa"/>
            </w:tcMar>
            <w:vAlign w:val="bottom"/>
          </w:tcPr>
          <w:p w14:paraId="4BE3A750" w14:textId="452901C7" w:rsidR="002D4D9E" w:rsidRPr="009E6123" w:rsidRDefault="002D4D9E">
            <w:pPr>
              <w:spacing w:after="0" w:line="240" w:lineRule="auto"/>
              <w:rPr>
                <w:rFonts w:ascii="Arial" w:eastAsia="Times New Roman" w:hAnsi="Arial" w:cs="Arial"/>
                <w:b/>
                <w:bCs/>
                <w:kern w:val="0"/>
                <w:sz w:val="24"/>
                <w:szCs w:val="24"/>
                <w:lang w:eastAsia="en-GB"/>
                <w14:ligatures w14:val="none"/>
              </w:rPr>
            </w:pPr>
          </w:p>
        </w:tc>
        <w:tc>
          <w:tcPr>
            <w:tcW w:w="236" w:type="dxa"/>
            <w:vAlign w:val="center"/>
          </w:tcPr>
          <w:p w14:paraId="77969036"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150F1960" w14:textId="77777777" w:rsidTr="003305D1">
        <w:trPr>
          <w:trHeight w:val="284"/>
        </w:trPr>
        <w:tc>
          <w:tcPr>
            <w:tcW w:w="9072" w:type="dxa"/>
            <w:gridSpan w:val="2"/>
            <w:vMerge/>
            <w:tcMar>
              <w:top w:w="15" w:type="dxa"/>
              <w:left w:w="108" w:type="dxa"/>
              <w:bottom w:w="0" w:type="dxa"/>
              <w:right w:w="108" w:type="dxa"/>
            </w:tcMar>
            <w:vAlign w:val="bottom"/>
            <w:hideMark/>
          </w:tcPr>
          <w:p w14:paraId="4BC0AC08" w14:textId="3A8DF1F3" w:rsidR="002D4D9E" w:rsidRPr="009E6123" w:rsidRDefault="002D4D9E">
            <w:pPr>
              <w:spacing w:after="0" w:line="240" w:lineRule="auto"/>
              <w:rPr>
                <w:rFonts w:ascii="Arial" w:eastAsia="Times New Roman" w:hAnsi="Arial" w:cs="Arial"/>
                <w:b/>
                <w:bCs/>
                <w:kern w:val="0"/>
                <w:sz w:val="24"/>
                <w:szCs w:val="24"/>
                <w:lang w:eastAsia="en-GB"/>
                <w14:ligatures w14:val="none"/>
              </w:rPr>
            </w:pPr>
          </w:p>
        </w:tc>
        <w:tc>
          <w:tcPr>
            <w:tcW w:w="236" w:type="dxa"/>
            <w:vAlign w:val="center"/>
            <w:hideMark/>
          </w:tcPr>
          <w:p w14:paraId="39949B1A"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7AFDB9C6" w14:textId="77777777" w:rsidTr="003305D1">
        <w:trPr>
          <w:trHeight w:val="458"/>
        </w:trPr>
        <w:tc>
          <w:tcPr>
            <w:tcW w:w="9072" w:type="dxa"/>
            <w:gridSpan w:val="2"/>
            <w:vMerge/>
            <w:tcMar>
              <w:top w:w="15" w:type="dxa"/>
              <w:left w:w="108" w:type="dxa"/>
              <w:bottom w:w="0" w:type="dxa"/>
              <w:right w:w="108" w:type="dxa"/>
            </w:tcMar>
            <w:vAlign w:val="bottom"/>
            <w:hideMark/>
          </w:tcPr>
          <w:p w14:paraId="525EE102" w14:textId="2889070C"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1CEAE91D"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7B55BF14" w14:textId="77777777" w:rsidTr="003305D1">
        <w:trPr>
          <w:trHeight w:val="458"/>
        </w:trPr>
        <w:tc>
          <w:tcPr>
            <w:tcW w:w="9072" w:type="dxa"/>
            <w:gridSpan w:val="2"/>
            <w:vMerge/>
            <w:vAlign w:val="center"/>
            <w:hideMark/>
          </w:tcPr>
          <w:p w14:paraId="391F2483" w14:textId="079A4CDE"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7AC89053"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16CBB32B" w14:textId="77777777" w:rsidTr="003305D1">
        <w:trPr>
          <w:trHeight w:val="330"/>
        </w:trPr>
        <w:tc>
          <w:tcPr>
            <w:tcW w:w="9072" w:type="dxa"/>
            <w:gridSpan w:val="2"/>
            <w:vMerge/>
            <w:vAlign w:val="center"/>
            <w:hideMark/>
          </w:tcPr>
          <w:p w14:paraId="73697AFF" w14:textId="4BBB4729"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30A07595"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3E330BD5" w14:textId="77777777" w:rsidTr="003305D1">
        <w:trPr>
          <w:trHeight w:val="458"/>
        </w:trPr>
        <w:tc>
          <w:tcPr>
            <w:tcW w:w="9072" w:type="dxa"/>
            <w:gridSpan w:val="2"/>
            <w:vMerge/>
            <w:tcMar>
              <w:top w:w="15" w:type="dxa"/>
              <w:left w:w="108" w:type="dxa"/>
              <w:bottom w:w="0" w:type="dxa"/>
              <w:right w:w="108" w:type="dxa"/>
            </w:tcMar>
            <w:hideMark/>
          </w:tcPr>
          <w:p w14:paraId="1E5D2F79" w14:textId="161EBC6F"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77F2F1CC"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539BA346" w14:textId="77777777" w:rsidTr="003305D1">
        <w:trPr>
          <w:trHeight w:val="458"/>
        </w:trPr>
        <w:tc>
          <w:tcPr>
            <w:tcW w:w="9072" w:type="dxa"/>
            <w:gridSpan w:val="2"/>
            <w:vMerge/>
            <w:vAlign w:val="center"/>
            <w:hideMark/>
          </w:tcPr>
          <w:p w14:paraId="574586FC" w14:textId="26F5217A"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21584D56"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0BF79B57" w14:textId="77777777" w:rsidTr="003305D1">
        <w:trPr>
          <w:trHeight w:val="284"/>
        </w:trPr>
        <w:tc>
          <w:tcPr>
            <w:tcW w:w="9072" w:type="dxa"/>
            <w:gridSpan w:val="2"/>
            <w:vMerge/>
            <w:tcMar>
              <w:top w:w="15" w:type="dxa"/>
              <w:left w:w="108" w:type="dxa"/>
              <w:bottom w:w="0" w:type="dxa"/>
              <w:right w:w="108" w:type="dxa"/>
            </w:tcMar>
            <w:vAlign w:val="bottom"/>
          </w:tcPr>
          <w:p w14:paraId="4061E501" w14:textId="398AEB81" w:rsidR="002D4D9E" w:rsidRPr="009E6123" w:rsidRDefault="002D4D9E">
            <w:pPr>
              <w:spacing w:after="0" w:line="240" w:lineRule="auto"/>
              <w:rPr>
                <w:rFonts w:ascii="Arial" w:eastAsia="Times New Roman" w:hAnsi="Arial" w:cs="Arial"/>
                <w:b/>
                <w:bCs/>
                <w:kern w:val="0"/>
                <w:sz w:val="24"/>
                <w:szCs w:val="24"/>
                <w:lang w:eastAsia="en-GB"/>
                <w14:ligatures w14:val="none"/>
              </w:rPr>
            </w:pPr>
          </w:p>
        </w:tc>
        <w:tc>
          <w:tcPr>
            <w:tcW w:w="236" w:type="dxa"/>
            <w:vAlign w:val="center"/>
          </w:tcPr>
          <w:p w14:paraId="069B3973"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4E233F39" w14:textId="77777777" w:rsidTr="003305D1">
        <w:trPr>
          <w:trHeight w:val="284"/>
        </w:trPr>
        <w:tc>
          <w:tcPr>
            <w:tcW w:w="9072" w:type="dxa"/>
            <w:gridSpan w:val="2"/>
            <w:vMerge/>
            <w:tcMar>
              <w:top w:w="15" w:type="dxa"/>
              <w:left w:w="108" w:type="dxa"/>
              <w:bottom w:w="0" w:type="dxa"/>
              <w:right w:w="108" w:type="dxa"/>
            </w:tcMar>
            <w:vAlign w:val="bottom"/>
            <w:hideMark/>
          </w:tcPr>
          <w:p w14:paraId="142531CF" w14:textId="558F8A36" w:rsidR="002D4D9E" w:rsidRPr="009E6123" w:rsidRDefault="002D4D9E">
            <w:pPr>
              <w:spacing w:after="0" w:line="240" w:lineRule="auto"/>
              <w:rPr>
                <w:rFonts w:ascii="Arial" w:eastAsia="Times New Roman" w:hAnsi="Arial" w:cs="Arial"/>
                <w:b/>
                <w:bCs/>
                <w:kern w:val="0"/>
                <w:sz w:val="24"/>
                <w:szCs w:val="24"/>
                <w:lang w:eastAsia="en-GB"/>
                <w14:ligatures w14:val="none"/>
              </w:rPr>
            </w:pPr>
          </w:p>
        </w:tc>
        <w:tc>
          <w:tcPr>
            <w:tcW w:w="236" w:type="dxa"/>
            <w:vAlign w:val="center"/>
            <w:hideMark/>
          </w:tcPr>
          <w:p w14:paraId="71F48F1D"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59D1B060" w14:textId="77777777" w:rsidTr="003305D1">
        <w:trPr>
          <w:trHeight w:val="458"/>
        </w:trPr>
        <w:tc>
          <w:tcPr>
            <w:tcW w:w="9072" w:type="dxa"/>
            <w:gridSpan w:val="2"/>
            <w:vMerge/>
            <w:tcMar>
              <w:top w:w="15" w:type="dxa"/>
              <w:left w:w="108" w:type="dxa"/>
              <w:bottom w:w="0" w:type="dxa"/>
              <w:right w:w="108" w:type="dxa"/>
            </w:tcMar>
            <w:hideMark/>
          </w:tcPr>
          <w:p w14:paraId="01897988" w14:textId="09DFA457"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12080C6F"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1EA5421F" w14:textId="77777777" w:rsidTr="003305D1">
        <w:trPr>
          <w:trHeight w:val="217"/>
        </w:trPr>
        <w:tc>
          <w:tcPr>
            <w:tcW w:w="9072" w:type="dxa"/>
            <w:gridSpan w:val="2"/>
            <w:vMerge/>
            <w:vAlign w:val="center"/>
            <w:hideMark/>
          </w:tcPr>
          <w:p w14:paraId="272FE019" w14:textId="4209AACE"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72B4D6E7"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2CC10FF7" w14:textId="77777777" w:rsidTr="003305D1">
        <w:trPr>
          <w:trHeight w:val="458"/>
        </w:trPr>
        <w:tc>
          <w:tcPr>
            <w:tcW w:w="9072" w:type="dxa"/>
            <w:gridSpan w:val="2"/>
            <w:vMerge/>
            <w:tcMar>
              <w:top w:w="15" w:type="dxa"/>
              <w:left w:w="108" w:type="dxa"/>
              <w:bottom w:w="0" w:type="dxa"/>
              <w:right w:w="108" w:type="dxa"/>
            </w:tcMar>
            <w:hideMark/>
          </w:tcPr>
          <w:p w14:paraId="575C3C27" w14:textId="4BB30470"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236" w:type="dxa"/>
            <w:vAlign w:val="center"/>
            <w:hideMark/>
          </w:tcPr>
          <w:p w14:paraId="087C89D9"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7B9F6012" w14:textId="77777777" w:rsidTr="003305D1">
        <w:trPr>
          <w:trHeight w:val="458"/>
        </w:trPr>
        <w:tc>
          <w:tcPr>
            <w:tcW w:w="9072" w:type="dxa"/>
            <w:gridSpan w:val="2"/>
            <w:vMerge/>
            <w:vAlign w:val="center"/>
            <w:hideMark/>
          </w:tcPr>
          <w:p w14:paraId="3FCCC1AD"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236" w:type="dxa"/>
            <w:vAlign w:val="center"/>
            <w:hideMark/>
          </w:tcPr>
          <w:p w14:paraId="2D2EE8A2" w14:textId="77777777" w:rsidR="002D4D9E" w:rsidRPr="009E6123" w:rsidRDefault="002D4D9E">
            <w:pPr>
              <w:rPr>
                <w:rFonts w:ascii="Arial" w:eastAsia="Times New Roman" w:hAnsi="Arial" w:cs="Arial"/>
                <w:kern w:val="0"/>
                <w:sz w:val="24"/>
                <w:szCs w:val="24"/>
                <w:lang w:eastAsia="en-GB"/>
                <w14:ligatures w14:val="none"/>
              </w:rPr>
            </w:pPr>
          </w:p>
        </w:tc>
      </w:tr>
    </w:tbl>
    <w:p w14:paraId="55EE18A7" w14:textId="77777777" w:rsidR="00403C72" w:rsidRDefault="00403C72">
      <w:r>
        <w:br w:type="page"/>
      </w:r>
    </w:p>
    <w:tbl>
      <w:tblPr>
        <w:tblW w:w="9356" w:type="dxa"/>
        <w:tblLayout w:type="fixed"/>
        <w:tblLook w:val="04A0" w:firstRow="1" w:lastRow="0" w:firstColumn="1" w:lastColumn="0" w:noHBand="0" w:noVBand="1"/>
      </w:tblPr>
      <w:tblGrid>
        <w:gridCol w:w="549"/>
        <w:gridCol w:w="8382"/>
        <w:gridCol w:w="425"/>
      </w:tblGrid>
      <w:tr w:rsidR="00560745" w:rsidRPr="009E6123" w14:paraId="315E7C82" w14:textId="77777777" w:rsidTr="003305D1">
        <w:trPr>
          <w:gridAfter w:val="1"/>
          <w:wAfter w:w="425" w:type="dxa"/>
          <w:trHeight w:val="260"/>
        </w:trPr>
        <w:tc>
          <w:tcPr>
            <w:tcW w:w="549" w:type="dxa"/>
            <w:tcMar>
              <w:top w:w="15" w:type="dxa"/>
              <w:left w:w="108" w:type="dxa"/>
              <w:bottom w:w="0" w:type="dxa"/>
              <w:right w:w="108" w:type="dxa"/>
            </w:tcMar>
            <w:vAlign w:val="bottom"/>
            <w:hideMark/>
          </w:tcPr>
          <w:p w14:paraId="13486C1E" w14:textId="6841B95D"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lastRenderedPageBreak/>
              <w:t>17</w:t>
            </w:r>
          </w:p>
        </w:tc>
        <w:tc>
          <w:tcPr>
            <w:tcW w:w="8382" w:type="dxa"/>
            <w:noWrap/>
            <w:tcMar>
              <w:top w:w="15" w:type="dxa"/>
              <w:left w:w="108" w:type="dxa"/>
              <w:bottom w:w="0" w:type="dxa"/>
              <w:right w:w="108" w:type="dxa"/>
            </w:tcMar>
            <w:vAlign w:val="bottom"/>
            <w:hideMark/>
          </w:tcPr>
          <w:p w14:paraId="5C68890C" w14:textId="77777777"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Third party cash</w:t>
            </w:r>
          </w:p>
        </w:tc>
      </w:tr>
      <w:tr w:rsidR="002D4D9E" w:rsidRPr="009E6123" w14:paraId="49AA8A6F" w14:textId="77777777" w:rsidTr="003305D1">
        <w:trPr>
          <w:gridAfter w:val="1"/>
          <w:wAfter w:w="425" w:type="dxa"/>
          <w:trHeight w:val="881"/>
        </w:trPr>
        <w:tc>
          <w:tcPr>
            <w:tcW w:w="8931" w:type="dxa"/>
            <w:gridSpan w:val="2"/>
            <w:vMerge w:val="restart"/>
            <w:tcBorders>
              <w:bottom w:val="nil"/>
            </w:tcBorders>
            <w:tcMar>
              <w:top w:w="15" w:type="dxa"/>
              <w:left w:w="108" w:type="dxa"/>
              <w:bottom w:w="0" w:type="dxa"/>
              <w:right w:w="108" w:type="dxa"/>
            </w:tcMar>
            <w:vAlign w:val="bottom"/>
            <w:hideMark/>
          </w:tcPr>
          <w:p w14:paraId="1626D357" w14:textId="0691C3D0" w:rsidR="002D4D9E" w:rsidRPr="009E6123" w:rsidRDefault="002D4D9E">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DRO pre-application fees</w:t>
            </w:r>
          </w:p>
          <w:p w14:paraId="49B1EBA9" w14:textId="2D9F9450" w:rsidR="002D4D9E" w:rsidRPr="009E6123" w:rsidRDefault="002D4D9E">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kern w:val="0"/>
                <w:sz w:val="24"/>
                <w:szCs w:val="24"/>
                <w:lang w:eastAsia="en-GB"/>
                <w14:ligatures w14:val="none"/>
              </w:rPr>
              <w:t>Debt Relief Orders (DRO) were developed as an alternative to a person becoming bankrupt, suitable for those who cannot raise the required deposit to begin official bankruptcy proceedings. An application form must be completed and a fee of £90 be paid in order to be considered for a DRO by the Official Receiver.</w:t>
            </w:r>
            <w:r>
              <w:rPr>
                <w:rFonts w:ascii="Arial" w:eastAsia="Times New Roman" w:hAnsi="Arial" w:cs="Arial"/>
                <w:kern w:val="0"/>
                <w:sz w:val="24"/>
                <w:szCs w:val="24"/>
                <w:lang w:eastAsia="en-GB"/>
                <w14:ligatures w14:val="none"/>
              </w:rPr>
              <w:br/>
            </w:r>
            <w:r>
              <w:rPr>
                <w:rFonts w:ascii="Arial" w:eastAsia="Times New Roman" w:hAnsi="Arial" w:cs="Arial"/>
                <w:kern w:val="0"/>
                <w:sz w:val="24"/>
                <w:szCs w:val="24"/>
                <w:lang w:eastAsia="en-GB"/>
                <w14:ligatures w14:val="none"/>
              </w:rPr>
              <w:br/>
            </w:r>
          </w:p>
        </w:tc>
      </w:tr>
      <w:tr w:rsidR="002D4D9E" w:rsidRPr="009E6123" w14:paraId="36BBFC2D" w14:textId="77777777" w:rsidTr="003305D1">
        <w:trPr>
          <w:trHeight w:val="458"/>
        </w:trPr>
        <w:tc>
          <w:tcPr>
            <w:tcW w:w="8931" w:type="dxa"/>
            <w:gridSpan w:val="2"/>
            <w:vMerge/>
            <w:vAlign w:val="center"/>
            <w:hideMark/>
          </w:tcPr>
          <w:p w14:paraId="126D92CD"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425" w:type="dxa"/>
            <w:vAlign w:val="center"/>
            <w:hideMark/>
          </w:tcPr>
          <w:p w14:paraId="10A57667"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59B82C68" w14:textId="77777777" w:rsidTr="003305D1">
        <w:trPr>
          <w:trHeight w:val="73"/>
        </w:trPr>
        <w:tc>
          <w:tcPr>
            <w:tcW w:w="8931" w:type="dxa"/>
            <w:gridSpan w:val="2"/>
            <w:vMerge/>
            <w:vAlign w:val="center"/>
            <w:hideMark/>
          </w:tcPr>
          <w:p w14:paraId="1CA14291"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425" w:type="dxa"/>
            <w:vAlign w:val="center"/>
            <w:hideMark/>
          </w:tcPr>
          <w:p w14:paraId="71836B4C"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06C8FF42" w14:textId="77777777" w:rsidTr="003305D1">
        <w:trPr>
          <w:trHeight w:val="458"/>
        </w:trPr>
        <w:tc>
          <w:tcPr>
            <w:tcW w:w="8931" w:type="dxa"/>
            <w:gridSpan w:val="2"/>
            <w:vMerge w:val="restart"/>
            <w:tcMar>
              <w:top w:w="15" w:type="dxa"/>
              <w:left w:w="108" w:type="dxa"/>
              <w:bottom w:w="0" w:type="dxa"/>
              <w:right w:w="108" w:type="dxa"/>
            </w:tcMar>
            <w:hideMark/>
          </w:tcPr>
          <w:p w14:paraId="6DC6E4E0" w14:textId="0B15A2ED"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The fee only becomes payable to the Insolvency Service once a DRO application is submitted and subsequently determined by the Official Receiver, as outlined in paragraph 6 (4) The Insolvency Proceedings (Fees) (Amendment) Order 2009.</w:t>
            </w:r>
            <w:r>
              <w:rPr>
                <w:rFonts w:ascii="Arial" w:eastAsia="Times New Roman" w:hAnsi="Arial" w:cs="Arial"/>
                <w:kern w:val="0"/>
                <w:sz w:val="24"/>
                <w:szCs w:val="24"/>
                <w:lang w:eastAsia="en-GB"/>
                <w14:ligatures w14:val="none"/>
              </w:rPr>
              <w:br/>
            </w:r>
            <w:r>
              <w:rPr>
                <w:rFonts w:ascii="Arial" w:eastAsia="Times New Roman" w:hAnsi="Arial" w:cs="Arial"/>
                <w:kern w:val="0"/>
                <w:sz w:val="24"/>
                <w:szCs w:val="24"/>
                <w:lang w:eastAsia="en-GB"/>
                <w14:ligatures w14:val="none"/>
              </w:rPr>
              <w:br/>
            </w:r>
          </w:p>
        </w:tc>
        <w:tc>
          <w:tcPr>
            <w:tcW w:w="425" w:type="dxa"/>
            <w:vAlign w:val="center"/>
            <w:hideMark/>
          </w:tcPr>
          <w:p w14:paraId="02475D0A"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0063D64E" w14:textId="77777777" w:rsidTr="003305D1">
        <w:trPr>
          <w:trHeight w:val="225"/>
        </w:trPr>
        <w:tc>
          <w:tcPr>
            <w:tcW w:w="8931" w:type="dxa"/>
            <w:gridSpan w:val="2"/>
            <w:vMerge/>
            <w:vAlign w:val="center"/>
            <w:hideMark/>
          </w:tcPr>
          <w:p w14:paraId="4834A142"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425" w:type="dxa"/>
            <w:vAlign w:val="center"/>
            <w:hideMark/>
          </w:tcPr>
          <w:p w14:paraId="261B4CF3"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21A35313" w14:textId="77777777" w:rsidTr="003305D1">
        <w:trPr>
          <w:trHeight w:val="458"/>
        </w:trPr>
        <w:tc>
          <w:tcPr>
            <w:tcW w:w="8931" w:type="dxa"/>
            <w:gridSpan w:val="2"/>
            <w:vMerge w:val="restart"/>
            <w:tcMar>
              <w:top w:w="15" w:type="dxa"/>
              <w:left w:w="108" w:type="dxa"/>
              <w:bottom w:w="0" w:type="dxa"/>
              <w:right w:w="108" w:type="dxa"/>
            </w:tcMar>
            <w:hideMark/>
          </w:tcPr>
          <w:p w14:paraId="3F0F7AC1" w14:textId="58181804"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Applicants can pay this fee in instalments (but the application won’t be considered until the full £90 is received), and as such, there is a balance of funds held on behalf of these applicants which is not included within these accounts. On a monthly basis, any funds due to the Insolvency Service for ‘accepted’ applications is paid into the Agency’s bank account (and amounts are accrued at year-end) and shown as income (Note 4).  The current value of the income received (including an accrual for amounts due but not yet transferred) was £3.0m (2022-23: £2.2m). The DRO bank account held £1.1m as at 31 March (2022-23: £1.1m).</w:t>
            </w:r>
            <w:r>
              <w:rPr>
                <w:rFonts w:ascii="Arial" w:eastAsia="Times New Roman" w:hAnsi="Arial" w:cs="Arial"/>
                <w:kern w:val="0"/>
                <w:sz w:val="24"/>
                <w:szCs w:val="24"/>
                <w:lang w:eastAsia="en-GB"/>
                <w14:ligatures w14:val="none"/>
              </w:rPr>
              <w:br/>
            </w:r>
            <w:r>
              <w:rPr>
                <w:rFonts w:ascii="Arial" w:eastAsia="Times New Roman" w:hAnsi="Arial" w:cs="Arial"/>
                <w:kern w:val="0"/>
                <w:sz w:val="24"/>
                <w:szCs w:val="24"/>
                <w:lang w:eastAsia="en-GB"/>
                <w14:ligatures w14:val="none"/>
              </w:rPr>
              <w:br/>
            </w:r>
          </w:p>
        </w:tc>
        <w:tc>
          <w:tcPr>
            <w:tcW w:w="425" w:type="dxa"/>
            <w:vAlign w:val="center"/>
            <w:hideMark/>
          </w:tcPr>
          <w:p w14:paraId="4FE50FFE"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431942EE" w14:textId="77777777" w:rsidTr="003305D1">
        <w:trPr>
          <w:trHeight w:val="458"/>
        </w:trPr>
        <w:tc>
          <w:tcPr>
            <w:tcW w:w="8931" w:type="dxa"/>
            <w:gridSpan w:val="2"/>
            <w:vMerge/>
            <w:vAlign w:val="center"/>
            <w:hideMark/>
          </w:tcPr>
          <w:p w14:paraId="2B9EA44C"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425" w:type="dxa"/>
            <w:vAlign w:val="center"/>
            <w:hideMark/>
          </w:tcPr>
          <w:p w14:paraId="0011BA00"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73DCCADA" w14:textId="77777777" w:rsidTr="003305D1">
        <w:trPr>
          <w:trHeight w:val="458"/>
        </w:trPr>
        <w:tc>
          <w:tcPr>
            <w:tcW w:w="8931" w:type="dxa"/>
            <w:gridSpan w:val="2"/>
            <w:vMerge/>
            <w:vAlign w:val="center"/>
            <w:hideMark/>
          </w:tcPr>
          <w:p w14:paraId="3FA32905"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425" w:type="dxa"/>
            <w:vAlign w:val="center"/>
            <w:hideMark/>
          </w:tcPr>
          <w:p w14:paraId="7169688D"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16F8172D" w14:textId="77777777" w:rsidTr="003305D1">
        <w:trPr>
          <w:trHeight w:val="458"/>
        </w:trPr>
        <w:tc>
          <w:tcPr>
            <w:tcW w:w="8931" w:type="dxa"/>
            <w:gridSpan w:val="2"/>
            <w:vMerge/>
            <w:vAlign w:val="center"/>
            <w:hideMark/>
          </w:tcPr>
          <w:p w14:paraId="6FBA6902"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425" w:type="dxa"/>
            <w:vAlign w:val="center"/>
            <w:hideMark/>
          </w:tcPr>
          <w:p w14:paraId="5D5B69D6"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4BEFD3D0" w14:textId="77777777" w:rsidTr="003305D1">
        <w:trPr>
          <w:trHeight w:val="73"/>
        </w:trPr>
        <w:tc>
          <w:tcPr>
            <w:tcW w:w="8931" w:type="dxa"/>
            <w:gridSpan w:val="2"/>
            <w:vMerge/>
            <w:vAlign w:val="center"/>
            <w:hideMark/>
          </w:tcPr>
          <w:p w14:paraId="3336F93E"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425" w:type="dxa"/>
            <w:vAlign w:val="center"/>
            <w:hideMark/>
          </w:tcPr>
          <w:p w14:paraId="5F04885A"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5CC6E857" w14:textId="77777777" w:rsidTr="003305D1">
        <w:trPr>
          <w:trHeight w:val="260"/>
        </w:trPr>
        <w:tc>
          <w:tcPr>
            <w:tcW w:w="8931" w:type="dxa"/>
            <w:gridSpan w:val="2"/>
            <w:vMerge w:val="restart"/>
            <w:tcMar>
              <w:top w:w="15" w:type="dxa"/>
              <w:left w:w="108" w:type="dxa"/>
              <w:bottom w:w="0" w:type="dxa"/>
              <w:right w:w="108" w:type="dxa"/>
            </w:tcMar>
            <w:hideMark/>
          </w:tcPr>
          <w:p w14:paraId="2010C464" w14:textId="77777777"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As reported in the Performance Report, on the 6 March 2024 the Chancellor of the Exchequer announced in the budget to the House of Commons that the £90 fee would be removed from 6 April 2024.</w:t>
            </w:r>
          </w:p>
        </w:tc>
        <w:tc>
          <w:tcPr>
            <w:tcW w:w="425" w:type="dxa"/>
            <w:vAlign w:val="center"/>
            <w:hideMark/>
          </w:tcPr>
          <w:p w14:paraId="3E4AF5DD"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54451F2B" w14:textId="77777777" w:rsidTr="003305D1">
        <w:trPr>
          <w:trHeight w:val="260"/>
        </w:trPr>
        <w:tc>
          <w:tcPr>
            <w:tcW w:w="8931" w:type="dxa"/>
            <w:gridSpan w:val="2"/>
            <w:vMerge/>
            <w:tcMar>
              <w:top w:w="15" w:type="dxa"/>
              <w:left w:w="108" w:type="dxa"/>
              <w:bottom w:w="0" w:type="dxa"/>
              <w:right w:w="108" w:type="dxa"/>
            </w:tcMar>
            <w:hideMark/>
          </w:tcPr>
          <w:p w14:paraId="153E1F7E"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425" w:type="dxa"/>
            <w:vAlign w:val="center"/>
            <w:hideMark/>
          </w:tcPr>
          <w:p w14:paraId="0B4AEBCF" w14:textId="77777777" w:rsidR="002D4D9E" w:rsidRPr="009E6123" w:rsidRDefault="002D4D9E">
            <w:pPr>
              <w:spacing w:after="0"/>
              <w:rPr>
                <w:rFonts w:ascii="Arial" w:hAnsi="Arial" w:cs="Arial"/>
                <w:kern w:val="0"/>
                <w:sz w:val="24"/>
                <w:szCs w:val="24"/>
                <w:lang w:eastAsia="en-GB"/>
                <w14:ligatures w14:val="none"/>
              </w:rPr>
            </w:pPr>
          </w:p>
        </w:tc>
      </w:tr>
      <w:tr w:rsidR="007F480C" w:rsidRPr="009E6123" w14:paraId="7AF24D9C" w14:textId="77777777" w:rsidTr="003305D1">
        <w:trPr>
          <w:trHeight w:val="260"/>
        </w:trPr>
        <w:tc>
          <w:tcPr>
            <w:tcW w:w="549" w:type="dxa"/>
            <w:tcMar>
              <w:top w:w="15" w:type="dxa"/>
              <w:left w:w="108" w:type="dxa"/>
              <w:bottom w:w="0" w:type="dxa"/>
              <w:right w:w="108" w:type="dxa"/>
            </w:tcMar>
            <w:vAlign w:val="bottom"/>
          </w:tcPr>
          <w:p w14:paraId="5BBE56F0" w14:textId="77777777" w:rsidR="007F480C" w:rsidRPr="009E6123" w:rsidRDefault="007F480C">
            <w:pPr>
              <w:spacing w:after="0"/>
              <w:rPr>
                <w:rFonts w:ascii="Arial" w:hAnsi="Arial" w:cs="Arial"/>
                <w:sz w:val="24"/>
                <w:szCs w:val="24"/>
              </w:rPr>
            </w:pPr>
          </w:p>
        </w:tc>
        <w:tc>
          <w:tcPr>
            <w:tcW w:w="8382" w:type="dxa"/>
            <w:noWrap/>
            <w:tcMar>
              <w:top w:w="15" w:type="dxa"/>
              <w:left w:w="108" w:type="dxa"/>
              <w:bottom w:w="0" w:type="dxa"/>
              <w:right w:w="108" w:type="dxa"/>
            </w:tcMar>
            <w:vAlign w:val="bottom"/>
          </w:tcPr>
          <w:p w14:paraId="301A22BC" w14:textId="77777777" w:rsidR="007F480C" w:rsidRPr="009E6123" w:rsidRDefault="007F480C">
            <w:pPr>
              <w:spacing w:after="0" w:line="240" w:lineRule="auto"/>
              <w:rPr>
                <w:rFonts w:ascii="Arial" w:eastAsia="Times New Roman" w:hAnsi="Arial" w:cs="Arial"/>
                <w:b/>
                <w:bCs/>
                <w:kern w:val="0"/>
                <w:sz w:val="24"/>
                <w:szCs w:val="24"/>
                <w:lang w:eastAsia="en-GB"/>
                <w14:ligatures w14:val="none"/>
              </w:rPr>
            </w:pPr>
          </w:p>
        </w:tc>
        <w:tc>
          <w:tcPr>
            <w:tcW w:w="425" w:type="dxa"/>
            <w:vAlign w:val="center"/>
          </w:tcPr>
          <w:p w14:paraId="75B34F33" w14:textId="77777777" w:rsidR="007F480C" w:rsidRPr="009E6123" w:rsidRDefault="007F480C">
            <w:pPr>
              <w:spacing w:after="0"/>
              <w:rPr>
                <w:rFonts w:ascii="Arial" w:hAnsi="Arial" w:cs="Arial"/>
                <w:kern w:val="0"/>
                <w:sz w:val="24"/>
                <w:szCs w:val="24"/>
                <w:lang w:eastAsia="en-GB"/>
                <w14:ligatures w14:val="none"/>
              </w:rPr>
            </w:pPr>
          </w:p>
        </w:tc>
      </w:tr>
      <w:tr w:rsidR="002D4D9E" w:rsidRPr="009E6123" w14:paraId="344DA6EA" w14:textId="77777777" w:rsidTr="003305D1">
        <w:trPr>
          <w:trHeight w:val="260"/>
        </w:trPr>
        <w:tc>
          <w:tcPr>
            <w:tcW w:w="8931" w:type="dxa"/>
            <w:gridSpan w:val="2"/>
            <w:tcMar>
              <w:top w:w="15" w:type="dxa"/>
              <w:left w:w="108" w:type="dxa"/>
              <w:bottom w:w="0" w:type="dxa"/>
              <w:right w:w="108" w:type="dxa"/>
            </w:tcMar>
            <w:vAlign w:val="bottom"/>
            <w:hideMark/>
          </w:tcPr>
          <w:p w14:paraId="4A1747CA" w14:textId="40D1F07D" w:rsidR="002D4D9E" w:rsidRPr="009E6123" w:rsidRDefault="002D4D9E" w:rsidP="00450CEA">
            <w:pPr>
              <w:spacing w:after="0"/>
              <w:rPr>
                <w:rFonts w:ascii="Arial" w:eastAsia="Times New Roman" w:hAnsi="Arial" w:cs="Arial"/>
                <w:b/>
                <w:bCs/>
                <w:kern w:val="0"/>
                <w:sz w:val="24"/>
                <w:szCs w:val="24"/>
                <w:lang w:eastAsia="en-GB"/>
                <w14:ligatures w14:val="none"/>
              </w:rPr>
            </w:pPr>
            <w:r w:rsidRPr="009E6123">
              <w:rPr>
                <w:rFonts w:ascii="Arial" w:hAnsi="Arial" w:cs="Arial"/>
                <w:sz w:val="24"/>
                <w:szCs w:val="24"/>
              </w:rPr>
              <w:br w:type="page"/>
            </w:r>
            <w:r w:rsidRPr="009E6123">
              <w:rPr>
                <w:rFonts w:ascii="Arial" w:eastAsia="Times New Roman" w:hAnsi="Arial" w:cs="Arial"/>
                <w:b/>
                <w:bCs/>
                <w:kern w:val="0"/>
                <w:sz w:val="24"/>
                <w:szCs w:val="24"/>
                <w:lang w:eastAsia="en-GB"/>
                <w14:ligatures w14:val="none"/>
              </w:rPr>
              <w:t>Online Debt Solutions fees</w:t>
            </w:r>
          </w:p>
        </w:tc>
        <w:tc>
          <w:tcPr>
            <w:tcW w:w="425" w:type="dxa"/>
            <w:vAlign w:val="center"/>
            <w:hideMark/>
          </w:tcPr>
          <w:p w14:paraId="7A29E546"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3F8C67F3" w14:textId="77777777" w:rsidTr="003305D1">
        <w:trPr>
          <w:trHeight w:val="458"/>
        </w:trPr>
        <w:tc>
          <w:tcPr>
            <w:tcW w:w="8931" w:type="dxa"/>
            <w:gridSpan w:val="2"/>
            <w:vMerge w:val="restart"/>
            <w:tcMar>
              <w:top w:w="15" w:type="dxa"/>
              <w:left w:w="108" w:type="dxa"/>
              <w:bottom w:w="0" w:type="dxa"/>
              <w:right w:w="108" w:type="dxa"/>
            </w:tcMar>
            <w:hideMark/>
          </w:tcPr>
          <w:p w14:paraId="3167A05B" w14:textId="77777777" w:rsidR="002D4D9E"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The Online Debt Solutions (ODS) is a way for bankruptcy applicants to submit their application electronically. The cost of going bankrupt online is £680. This is made up of a £130 adjudicator fee and a £550 bankruptcy deposit. This can be paid in instalments and this money is held separately until it is paid in full, when it is then transferred into the ISA. This ODS bank account held £792k as at 31 March (2022-23: £735k).</w:t>
            </w:r>
          </w:p>
          <w:p w14:paraId="1A1579FE" w14:textId="77777777" w:rsidR="00434632" w:rsidRDefault="00434632">
            <w:pPr>
              <w:spacing w:after="0" w:line="240" w:lineRule="auto"/>
              <w:rPr>
                <w:rFonts w:ascii="Arial" w:eastAsia="Times New Roman" w:hAnsi="Arial" w:cs="Arial"/>
                <w:kern w:val="0"/>
                <w:sz w:val="24"/>
                <w:szCs w:val="24"/>
                <w:lang w:eastAsia="en-GB"/>
                <w14:ligatures w14:val="none"/>
              </w:rPr>
            </w:pPr>
          </w:p>
          <w:p w14:paraId="5749A954" w14:textId="77777777"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425" w:type="dxa"/>
            <w:vAlign w:val="center"/>
            <w:hideMark/>
          </w:tcPr>
          <w:p w14:paraId="3FF1EFE1"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652FD321" w14:textId="77777777" w:rsidTr="003305D1">
        <w:trPr>
          <w:trHeight w:val="110"/>
        </w:trPr>
        <w:tc>
          <w:tcPr>
            <w:tcW w:w="8931" w:type="dxa"/>
            <w:gridSpan w:val="2"/>
            <w:vMerge/>
            <w:vAlign w:val="center"/>
            <w:hideMark/>
          </w:tcPr>
          <w:p w14:paraId="321D6628"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425" w:type="dxa"/>
            <w:vAlign w:val="center"/>
            <w:hideMark/>
          </w:tcPr>
          <w:p w14:paraId="2CE4EB9E" w14:textId="77777777" w:rsidR="002D4D9E" w:rsidRPr="009E6123" w:rsidRDefault="002D4D9E">
            <w:pPr>
              <w:rPr>
                <w:rFonts w:ascii="Arial" w:eastAsia="Times New Roman" w:hAnsi="Arial" w:cs="Arial"/>
                <w:kern w:val="0"/>
                <w:sz w:val="24"/>
                <w:szCs w:val="24"/>
                <w:lang w:eastAsia="en-GB"/>
                <w14:ligatures w14:val="none"/>
              </w:rPr>
            </w:pPr>
          </w:p>
        </w:tc>
      </w:tr>
      <w:tr w:rsidR="002D4D9E" w:rsidRPr="009E6123" w14:paraId="06010A26" w14:textId="77777777" w:rsidTr="003305D1">
        <w:trPr>
          <w:trHeight w:val="458"/>
        </w:trPr>
        <w:tc>
          <w:tcPr>
            <w:tcW w:w="8931" w:type="dxa"/>
            <w:gridSpan w:val="2"/>
            <w:vMerge/>
            <w:vAlign w:val="center"/>
            <w:hideMark/>
          </w:tcPr>
          <w:p w14:paraId="45CAE1A6"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425" w:type="dxa"/>
            <w:vAlign w:val="center"/>
            <w:hideMark/>
          </w:tcPr>
          <w:p w14:paraId="133F7F3D"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35E6A828" w14:textId="77777777" w:rsidTr="003305D1">
        <w:trPr>
          <w:trHeight w:val="73"/>
        </w:trPr>
        <w:tc>
          <w:tcPr>
            <w:tcW w:w="8931" w:type="dxa"/>
            <w:gridSpan w:val="2"/>
            <w:vMerge/>
            <w:vAlign w:val="center"/>
            <w:hideMark/>
          </w:tcPr>
          <w:p w14:paraId="1F304D39" w14:textId="77777777" w:rsidR="002D4D9E" w:rsidRPr="009E6123" w:rsidRDefault="002D4D9E">
            <w:pPr>
              <w:spacing w:after="0"/>
              <w:rPr>
                <w:rFonts w:ascii="Arial" w:eastAsia="Times New Roman" w:hAnsi="Arial" w:cs="Arial"/>
                <w:kern w:val="0"/>
                <w:sz w:val="24"/>
                <w:szCs w:val="24"/>
                <w:lang w:eastAsia="en-GB"/>
                <w14:ligatures w14:val="none"/>
              </w:rPr>
            </w:pPr>
          </w:p>
        </w:tc>
        <w:tc>
          <w:tcPr>
            <w:tcW w:w="425" w:type="dxa"/>
            <w:vAlign w:val="center"/>
            <w:hideMark/>
          </w:tcPr>
          <w:p w14:paraId="1B0F52C2"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328B1D94" w14:textId="77777777" w:rsidTr="003305D1">
        <w:trPr>
          <w:trHeight w:val="260"/>
        </w:trPr>
        <w:tc>
          <w:tcPr>
            <w:tcW w:w="8931" w:type="dxa"/>
            <w:gridSpan w:val="2"/>
            <w:vMerge w:val="restart"/>
            <w:tcMar>
              <w:top w:w="15" w:type="dxa"/>
              <w:left w:w="108" w:type="dxa"/>
              <w:bottom w:w="0" w:type="dxa"/>
              <w:right w:w="108" w:type="dxa"/>
            </w:tcMar>
            <w:vAlign w:val="bottom"/>
            <w:hideMark/>
          </w:tcPr>
          <w:p w14:paraId="507F1F53" w14:textId="77777777" w:rsidR="002D4D9E" w:rsidRPr="009E6123" w:rsidRDefault="002D4D9E">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Compensation Orders</w:t>
            </w:r>
          </w:p>
          <w:p w14:paraId="493FC8F7" w14:textId="3D0C98EA" w:rsidR="002D4D9E" w:rsidRPr="009E6123" w:rsidRDefault="002D4D9E">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kern w:val="0"/>
                <w:sz w:val="24"/>
                <w:szCs w:val="24"/>
                <w:lang w:eastAsia="en-GB"/>
                <w14:ligatures w14:val="none"/>
              </w:rPr>
              <w:t>Compensation orders aim to make directors financially account for the consequences of their unfit conduct. The Insolvency Service can apply to the court for a compensation order on behalf of the Secretary of State. Where an order is made the compensation is paid into a bank account held by the Agency for distribution to a creditor or a class of creditors as a contribution to the assets of the company. The compensation orders bank account held £788k as at 31 March (2022-23: £163k).</w:t>
            </w:r>
            <w:r>
              <w:rPr>
                <w:rFonts w:ascii="Arial" w:eastAsia="Times New Roman" w:hAnsi="Arial" w:cs="Arial"/>
                <w:kern w:val="0"/>
                <w:sz w:val="24"/>
                <w:szCs w:val="24"/>
                <w:lang w:eastAsia="en-GB"/>
                <w14:ligatures w14:val="none"/>
              </w:rPr>
              <w:br/>
            </w:r>
            <w:r>
              <w:rPr>
                <w:rFonts w:ascii="Arial" w:eastAsia="Times New Roman" w:hAnsi="Arial" w:cs="Arial"/>
                <w:kern w:val="0"/>
                <w:sz w:val="24"/>
                <w:szCs w:val="24"/>
                <w:lang w:eastAsia="en-GB"/>
                <w14:ligatures w14:val="none"/>
              </w:rPr>
              <w:br/>
            </w:r>
          </w:p>
        </w:tc>
        <w:tc>
          <w:tcPr>
            <w:tcW w:w="425" w:type="dxa"/>
            <w:vAlign w:val="center"/>
            <w:hideMark/>
          </w:tcPr>
          <w:p w14:paraId="2F0D7696" w14:textId="77777777" w:rsidR="002D4D9E" w:rsidRPr="009E6123" w:rsidRDefault="002D4D9E">
            <w:pPr>
              <w:spacing w:after="0"/>
              <w:rPr>
                <w:rFonts w:ascii="Arial" w:hAnsi="Arial" w:cs="Arial"/>
                <w:kern w:val="0"/>
                <w:sz w:val="24"/>
                <w:szCs w:val="24"/>
                <w:lang w:eastAsia="en-GB"/>
                <w14:ligatures w14:val="none"/>
              </w:rPr>
            </w:pPr>
          </w:p>
        </w:tc>
      </w:tr>
      <w:tr w:rsidR="002D4D9E" w:rsidRPr="009E6123" w14:paraId="264F8FE2" w14:textId="77777777" w:rsidTr="003305D1">
        <w:trPr>
          <w:trHeight w:val="458"/>
        </w:trPr>
        <w:tc>
          <w:tcPr>
            <w:tcW w:w="8931" w:type="dxa"/>
            <w:gridSpan w:val="2"/>
            <w:vMerge/>
            <w:tcMar>
              <w:top w:w="15" w:type="dxa"/>
              <w:left w:w="108" w:type="dxa"/>
              <w:bottom w:w="0" w:type="dxa"/>
              <w:right w:w="108" w:type="dxa"/>
            </w:tcMar>
            <w:hideMark/>
          </w:tcPr>
          <w:p w14:paraId="2D823EE6" w14:textId="2E9C20D3" w:rsidR="002D4D9E" w:rsidRPr="009E6123" w:rsidRDefault="002D4D9E">
            <w:pPr>
              <w:spacing w:after="0" w:line="240" w:lineRule="auto"/>
              <w:rPr>
                <w:rFonts w:ascii="Arial" w:eastAsia="Times New Roman" w:hAnsi="Arial" w:cs="Arial"/>
                <w:kern w:val="0"/>
                <w:sz w:val="24"/>
                <w:szCs w:val="24"/>
                <w:lang w:eastAsia="en-GB"/>
                <w14:ligatures w14:val="none"/>
              </w:rPr>
            </w:pPr>
          </w:p>
        </w:tc>
        <w:tc>
          <w:tcPr>
            <w:tcW w:w="425" w:type="dxa"/>
            <w:vAlign w:val="center"/>
            <w:hideMark/>
          </w:tcPr>
          <w:p w14:paraId="78B3D717" w14:textId="77777777" w:rsidR="002D4D9E" w:rsidRPr="009E6123" w:rsidRDefault="002D4D9E">
            <w:pPr>
              <w:spacing w:after="0"/>
              <w:rPr>
                <w:rFonts w:ascii="Arial" w:hAnsi="Arial" w:cs="Arial"/>
                <w:kern w:val="0"/>
                <w:sz w:val="24"/>
                <w:szCs w:val="24"/>
                <w:lang w:eastAsia="en-GB"/>
                <w14:ligatures w14:val="none"/>
              </w:rPr>
            </w:pPr>
          </w:p>
        </w:tc>
      </w:tr>
      <w:tr w:rsidR="002D4D9E" w14:paraId="1EAE1E4A" w14:textId="77777777" w:rsidTr="003305D1">
        <w:trPr>
          <w:trHeight w:val="458"/>
        </w:trPr>
        <w:tc>
          <w:tcPr>
            <w:tcW w:w="8931" w:type="dxa"/>
            <w:gridSpan w:val="2"/>
            <w:vMerge/>
            <w:vAlign w:val="center"/>
            <w:hideMark/>
          </w:tcPr>
          <w:p w14:paraId="690AD780" w14:textId="77777777" w:rsidR="002D4D9E" w:rsidRDefault="002D4D9E">
            <w:pPr>
              <w:spacing w:after="0"/>
              <w:rPr>
                <w:rFonts w:eastAsia="Times New Roman"/>
                <w:kern w:val="0"/>
                <w:sz w:val="20"/>
                <w:szCs w:val="20"/>
                <w:lang w:eastAsia="en-GB"/>
                <w14:ligatures w14:val="none"/>
              </w:rPr>
            </w:pPr>
          </w:p>
        </w:tc>
        <w:tc>
          <w:tcPr>
            <w:tcW w:w="425" w:type="dxa"/>
            <w:vAlign w:val="center"/>
            <w:hideMark/>
          </w:tcPr>
          <w:p w14:paraId="5FFA4175" w14:textId="77777777" w:rsidR="002D4D9E" w:rsidRDefault="002D4D9E">
            <w:pPr>
              <w:rPr>
                <w:rFonts w:eastAsia="Times New Roman"/>
                <w:kern w:val="0"/>
                <w:sz w:val="20"/>
                <w:szCs w:val="20"/>
                <w:lang w:eastAsia="en-GB"/>
                <w14:ligatures w14:val="none"/>
              </w:rPr>
            </w:pPr>
          </w:p>
        </w:tc>
      </w:tr>
      <w:tr w:rsidR="002D4D9E" w14:paraId="3699A0F0" w14:textId="77777777" w:rsidTr="003305D1">
        <w:trPr>
          <w:trHeight w:val="73"/>
        </w:trPr>
        <w:tc>
          <w:tcPr>
            <w:tcW w:w="8931" w:type="dxa"/>
            <w:gridSpan w:val="2"/>
            <w:vMerge/>
            <w:vAlign w:val="center"/>
            <w:hideMark/>
          </w:tcPr>
          <w:p w14:paraId="0436D5D1" w14:textId="77777777" w:rsidR="002D4D9E" w:rsidRDefault="002D4D9E">
            <w:pPr>
              <w:spacing w:after="0"/>
              <w:rPr>
                <w:rFonts w:eastAsia="Times New Roman"/>
                <w:kern w:val="0"/>
                <w:sz w:val="20"/>
                <w:szCs w:val="20"/>
                <w:lang w:eastAsia="en-GB"/>
                <w14:ligatures w14:val="none"/>
              </w:rPr>
            </w:pPr>
          </w:p>
        </w:tc>
        <w:tc>
          <w:tcPr>
            <w:tcW w:w="425" w:type="dxa"/>
            <w:vAlign w:val="center"/>
            <w:hideMark/>
          </w:tcPr>
          <w:p w14:paraId="46B55C10" w14:textId="77777777" w:rsidR="002D4D9E" w:rsidRDefault="002D4D9E">
            <w:pPr>
              <w:spacing w:after="0"/>
              <w:rPr>
                <w:kern w:val="0"/>
                <w:sz w:val="20"/>
                <w:szCs w:val="20"/>
                <w:lang w:eastAsia="en-GB"/>
                <w14:ligatures w14:val="none"/>
              </w:rPr>
            </w:pPr>
          </w:p>
        </w:tc>
      </w:tr>
      <w:tr w:rsidR="002D4D9E" w14:paraId="44615545" w14:textId="77777777" w:rsidTr="003305D1">
        <w:trPr>
          <w:trHeight w:val="458"/>
        </w:trPr>
        <w:tc>
          <w:tcPr>
            <w:tcW w:w="8931" w:type="dxa"/>
            <w:gridSpan w:val="2"/>
            <w:vMerge/>
            <w:vAlign w:val="center"/>
            <w:hideMark/>
          </w:tcPr>
          <w:p w14:paraId="637A77A1" w14:textId="77777777" w:rsidR="002D4D9E" w:rsidRDefault="002D4D9E">
            <w:pPr>
              <w:spacing w:after="0"/>
              <w:rPr>
                <w:rFonts w:eastAsia="Times New Roman"/>
                <w:kern w:val="0"/>
                <w:sz w:val="20"/>
                <w:szCs w:val="20"/>
                <w:lang w:eastAsia="en-GB"/>
                <w14:ligatures w14:val="none"/>
              </w:rPr>
            </w:pPr>
          </w:p>
        </w:tc>
        <w:tc>
          <w:tcPr>
            <w:tcW w:w="425" w:type="dxa"/>
            <w:vAlign w:val="center"/>
            <w:hideMark/>
          </w:tcPr>
          <w:p w14:paraId="6C4C40DD" w14:textId="77777777" w:rsidR="002D4D9E" w:rsidRDefault="002D4D9E">
            <w:pPr>
              <w:spacing w:after="0"/>
              <w:rPr>
                <w:kern w:val="0"/>
                <w:sz w:val="20"/>
                <w:szCs w:val="20"/>
                <w:lang w:eastAsia="en-GB"/>
                <w14:ligatures w14:val="none"/>
              </w:rPr>
            </w:pPr>
          </w:p>
        </w:tc>
      </w:tr>
      <w:tr w:rsidR="00560745" w14:paraId="5ED33FE7" w14:textId="77777777" w:rsidTr="003305D1">
        <w:trPr>
          <w:gridAfter w:val="1"/>
          <w:wAfter w:w="425" w:type="dxa"/>
          <w:trHeight w:val="260"/>
        </w:trPr>
        <w:tc>
          <w:tcPr>
            <w:tcW w:w="549" w:type="dxa"/>
            <w:tcMar>
              <w:top w:w="15" w:type="dxa"/>
              <w:left w:w="108" w:type="dxa"/>
              <w:bottom w:w="0" w:type="dxa"/>
              <w:right w:w="108" w:type="dxa"/>
            </w:tcMar>
            <w:vAlign w:val="bottom"/>
            <w:hideMark/>
          </w:tcPr>
          <w:p w14:paraId="06137F75" w14:textId="375844A0"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18</w:t>
            </w:r>
          </w:p>
        </w:tc>
        <w:tc>
          <w:tcPr>
            <w:tcW w:w="8382" w:type="dxa"/>
            <w:tcMar>
              <w:top w:w="15" w:type="dxa"/>
              <w:left w:w="108" w:type="dxa"/>
              <w:bottom w:w="0" w:type="dxa"/>
              <w:right w:w="108" w:type="dxa"/>
            </w:tcMar>
            <w:vAlign w:val="bottom"/>
            <w:hideMark/>
          </w:tcPr>
          <w:p w14:paraId="350D6B1E" w14:textId="77777777" w:rsidR="00560745" w:rsidRPr="009E6123" w:rsidRDefault="00560745">
            <w:pPr>
              <w:spacing w:after="0" w:line="240" w:lineRule="auto"/>
              <w:rPr>
                <w:rFonts w:ascii="Arial" w:eastAsia="Times New Roman" w:hAnsi="Arial" w:cs="Arial"/>
                <w:b/>
                <w:bCs/>
                <w:kern w:val="0"/>
                <w:sz w:val="24"/>
                <w:szCs w:val="24"/>
                <w:lang w:eastAsia="en-GB"/>
                <w14:ligatures w14:val="none"/>
              </w:rPr>
            </w:pPr>
            <w:r w:rsidRPr="009E6123">
              <w:rPr>
                <w:rFonts w:ascii="Arial" w:eastAsia="Times New Roman" w:hAnsi="Arial" w:cs="Arial"/>
                <w:b/>
                <w:bCs/>
                <w:kern w:val="0"/>
                <w:sz w:val="24"/>
                <w:szCs w:val="24"/>
                <w:lang w:eastAsia="en-GB"/>
                <w14:ligatures w14:val="none"/>
              </w:rPr>
              <w:t>Events after the reporting period date</w:t>
            </w:r>
          </w:p>
        </w:tc>
      </w:tr>
      <w:tr w:rsidR="002D4D9E" w14:paraId="681E2064" w14:textId="77777777" w:rsidTr="003305D1">
        <w:trPr>
          <w:gridAfter w:val="1"/>
          <w:wAfter w:w="425" w:type="dxa"/>
          <w:trHeight w:val="458"/>
        </w:trPr>
        <w:tc>
          <w:tcPr>
            <w:tcW w:w="8931" w:type="dxa"/>
            <w:gridSpan w:val="2"/>
            <w:vMerge w:val="restart"/>
            <w:tcMar>
              <w:top w:w="15" w:type="dxa"/>
              <w:left w:w="108" w:type="dxa"/>
              <w:bottom w:w="0" w:type="dxa"/>
              <w:right w:w="108" w:type="dxa"/>
            </w:tcMar>
            <w:hideMark/>
          </w:tcPr>
          <w:p w14:paraId="74CFEF59" w14:textId="77777777" w:rsidR="002D4D9E" w:rsidRPr="009E6123" w:rsidRDefault="002D4D9E">
            <w:pPr>
              <w:spacing w:after="0" w:line="240" w:lineRule="auto"/>
              <w:rPr>
                <w:rFonts w:ascii="Arial" w:eastAsia="Times New Roman" w:hAnsi="Arial" w:cs="Arial"/>
                <w:kern w:val="0"/>
                <w:sz w:val="24"/>
                <w:szCs w:val="24"/>
                <w:lang w:eastAsia="en-GB"/>
                <w14:ligatures w14:val="none"/>
              </w:rPr>
            </w:pPr>
            <w:r w:rsidRPr="009E6123">
              <w:rPr>
                <w:rFonts w:ascii="Arial" w:eastAsia="Times New Roman" w:hAnsi="Arial" w:cs="Arial"/>
                <w:kern w:val="0"/>
                <w:sz w:val="24"/>
                <w:szCs w:val="24"/>
                <w:lang w:eastAsia="en-GB"/>
                <w14:ligatures w14:val="none"/>
              </w:rPr>
              <w:t xml:space="preserve">There have been no events after the SoFP and up to the date the Accounts were authorised for issue requiring an adjustment to the Financial Statements. The date the Accounts were authorised for issue is interpreted as the date of the Certificate and Report of the Comptroller and Auditor General. </w:t>
            </w:r>
          </w:p>
        </w:tc>
      </w:tr>
      <w:tr w:rsidR="002D4D9E" w14:paraId="6BF003CE" w14:textId="77777777" w:rsidTr="003305D1">
        <w:trPr>
          <w:trHeight w:val="73"/>
        </w:trPr>
        <w:tc>
          <w:tcPr>
            <w:tcW w:w="8931" w:type="dxa"/>
            <w:gridSpan w:val="2"/>
            <w:vMerge/>
            <w:vAlign w:val="center"/>
            <w:hideMark/>
          </w:tcPr>
          <w:p w14:paraId="76D8B7A6" w14:textId="77777777" w:rsidR="002D4D9E" w:rsidRDefault="002D4D9E">
            <w:pPr>
              <w:spacing w:after="0"/>
              <w:rPr>
                <w:rFonts w:eastAsia="Times New Roman"/>
                <w:kern w:val="0"/>
                <w:sz w:val="20"/>
                <w:szCs w:val="20"/>
                <w:lang w:eastAsia="en-GB"/>
                <w14:ligatures w14:val="none"/>
              </w:rPr>
            </w:pPr>
          </w:p>
        </w:tc>
        <w:tc>
          <w:tcPr>
            <w:tcW w:w="425" w:type="dxa"/>
            <w:vAlign w:val="center"/>
            <w:hideMark/>
          </w:tcPr>
          <w:p w14:paraId="730A446D" w14:textId="77777777" w:rsidR="002D4D9E" w:rsidRDefault="002D4D9E">
            <w:pPr>
              <w:rPr>
                <w:rFonts w:eastAsia="Times New Roman"/>
                <w:kern w:val="0"/>
                <w:sz w:val="20"/>
                <w:szCs w:val="20"/>
                <w:lang w:eastAsia="en-GB"/>
                <w14:ligatures w14:val="none"/>
              </w:rPr>
            </w:pPr>
          </w:p>
        </w:tc>
      </w:tr>
      <w:tr w:rsidR="002D4D9E" w14:paraId="0AB01682" w14:textId="77777777" w:rsidTr="003305D1">
        <w:trPr>
          <w:trHeight w:val="458"/>
        </w:trPr>
        <w:tc>
          <w:tcPr>
            <w:tcW w:w="8931" w:type="dxa"/>
            <w:gridSpan w:val="2"/>
            <w:vMerge/>
            <w:vAlign w:val="center"/>
            <w:hideMark/>
          </w:tcPr>
          <w:p w14:paraId="277D6086" w14:textId="77777777" w:rsidR="002D4D9E" w:rsidRDefault="002D4D9E">
            <w:pPr>
              <w:spacing w:after="0"/>
              <w:rPr>
                <w:rFonts w:eastAsia="Times New Roman"/>
                <w:kern w:val="0"/>
                <w:sz w:val="20"/>
                <w:szCs w:val="20"/>
                <w:lang w:eastAsia="en-GB"/>
                <w14:ligatures w14:val="none"/>
              </w:rPr>
            </w:pPr>
          </w:p>
        </w:tc>
        <w:tc>
          <w:tcPr>
            <w:tcW w:w="425" w:type="dxa"/>
            <w:vAlign w:val="center"/>
            <w:hideMark/>
          </w:tcPr>
          <w:p w14:paraId="0FECCE39" w14:textId="77777777" w:rsidR="002D4D9E" w:rsidRDefault="002D4D9E">
            <w:pPr>
              <w:spacing w:after="0"/>
              <w:rPr>
                <w:kern w:val="0"/>
                <w:sz w:val="20"/>
                <w:szCs w:val="20"/>
                <w:lang w:eastAsia="en-GB"/>
                <w14:ligatures w14:val="none"/>
              </w:rPr>
            </w:pPr>
          </w:p>
        </w:tc>
      </w:tr>
    </w:tbl>
    <w:p w14:paraId="51999C2A" w14:textId="77777777" w:rsidR="00AF4AAC" w:rsidRDefault="00AF4AAC" w:rsidP="00FB41DE">
      <w:pPr>
        <w:spacing w:after="0"/>
        <w:jc w:val="right"/>
        <w:rPr>
          <w:rFonts w:ascii="Arial" w:hAnsi="Arial" w:cs="Arial"/>
          <w:sz w:val="24"/>
          <w:szCs w:val="24"/>
        </w:rPr>
      </w:pPr>
    </w:p>
    <w:p w14:paraId="4D16E30A" w14:textId="77777777" w:rsidR="00E60109" w:rsidRDefault="00E60109" w:rsidP="00A35DA9">
      <w:pPr>
        <w:spacing w:after="0"/>
        <w:rPr>
          <w:rFonts w:ascii="Arial" w:hAnsi="Arial" w:cs="Arial"/>
          <w:sz w:val="24"/>
          <w:szCs w:val="24"/>
        </w:rPr>
      </w:pPr>
    </w:p>
    <w:p w14:paraId="3890C7C4" w14:textId="77777777" w:rsidR="00BA2834" w:rsidRDefault="00BA2834" w:rsidP="00D94EE9">
      <w:pPr>
        <w:spacing w:after="0"/>
        <w:jc w:val="center"/>
        <w:rPr>
          <w:rFonts w:ascii="Arial" w:hAnsi="Arial" w:cs="Arial"/>
          <w:sz w:val="24"/>
          <w:szCs w:val="24"/>
        </w:rPr>
        <w:sectPr w:rsidR="00BA2834">
          <w:footerReference w:type="default" r:id="rId55"/>
          <w:pgSz w:w="11906" w:h="16838"/>
          <w:pgMar w:top="1440" w:right="1440" w:bottom="1440" w:left="1440" w:header="708" w:footer="708" w:gutter="0"/>
          <w:cols w:space="708"/>
          <w:docGrid w:linePitch="360"/>
        </w:sectPr>
      </w:pPr>
    </w:p>
    <w:p w14:paraId="03B8FFBF" w14:textId="77777777" w:rsidR="00D94EE9" w:rsidRDefault="00D94EE9" w:rsidP="00D94EE9">
      <w:pPr>
        <w:spacing w:after="0"/>
        <w:rPr>
          <w:rFonts w:ascii="Arial" w:hAnsi="Arial" w:cs="Arial"/>
          <w:sz w:val="24"/>
          <w:szCs w:val="24"/>
        </w:rPr>
        <w:sectPr w:rsidR="00D94EE9" w:rsidSect="00BA2834">
          <w:type w:val="continuous"/>
          <w:pgSz w:w="11906" w:h="16838"/>
          <w:pgMar w:top="1440" w:right="1440" w:bottom="1440" w:left="1440" w:header="708" w:footer="708" w:gutter="0"/>
          <w:cols w:space="708"/>
          <w:docGrid w:linePitch="360"/>
        </w:sectPr>
      </w:pPr>
    </w:p>
    <w:p w14:paraId="5BA731C8" w14:textId="77777777" w:rsidR="00E60109" w:rsidRDefault="00E60109" w:rsidP="00D94EE9">
      <w:pPr>
        <w:spacing w:after="0"/>
        <w:rPr>
          <w:rFonts w:ascii="Arial" w:hAnsi="Arial" w:cs="Arial"/>
          <w:sz w:val="24"/>
          <w:szCs w:val="24"/>
        </w:rPr>
      </w:pPr>
    </w:p>
    <w:p w14:paraId="4A3E28F3" w14:textId="77777777" w:rsidR="00E60109" w:rsidRDefault="00E60109" w:rsidP="00FB41DE">
      <w:pPr>
        <w:spacing w:after="0"/>
        <w:jc w:val="right"/>
        <w:rPr>
          <w:rFonts w:ascii="Arial" w:hAnsi="Arial" w:cs="Arial"/>
          <w:sz w:val="24"/>
          <w:szCs w:val="24"/>
        </w:rPr>
      </w:pPr>
    </w:p>
    <w:p w14:paraId="50D4DE8C" w14:textId="77777777" w:rsidR="00E60109" w:rsidRDefault="00E60109" w:rsidP="00FB41DE">
      <w:pPr>
        <w:spacing w:after="0"/>
        <w:jc w:val="right"/>
        <w:rPr>
          <w:rFonts w:ascii="Arial" w:hAnsi="Arial" w:cs="Arial"/>
          <w:sz w:val="24"/>
          <w:szCs w:val="24"/>
        </w:rPr>
      </w:pPr>
    </w:p>
    <w:p w14:paraId="3C7C1C01" w14:textId="77777777" w:rsidR="00E60109" w:rsidRDefault="00E60109" w:rsidP="00FB41DE">
      <w:pPr>
        <w:spacing w:after="0"/>
        <w:jc w:val="right"/>
        <w:rPr>
          <w:rFonts w:ascii="Arial" w:hAnsi="Arial" w:cs="Arial"/>
          <w:sz w:val="24"/>
          <w:szCs w:val="24"/>
        </w:rPr>
      </w:pPr>
    </w:p>
    <w:p w14:paraId="5B6DA0C8" w14:textId="77777777" w:rsidR="00E60109" w:rsidRDefault="00E60109" w:rsidP="00FB41DE">
      <w:pPr>
        <w:spacing w:after="0"/>
        <w:jc w:val="right"/>
        <w:rPr>
          <w:rFonts w:ascii="Arial" w:hAnsi="Arial" w:cs="Arial"/>
          <w:sz w:val="24"/>
          <w:szCs w:val="24"/>
        </w:rPr>
      </w:pPr>
    </w:p>
    <w:p w14:paraId="6F5457F0" w14:textId="77777777" w:rsidR="00E60109" w:rsidRDefault="00E60109" w:rsidP="00FB41DE">
      <w:pPr>
        <w:spacing w:after="0"/>
        <w:jc w:val="right"/>
        <w:rPr>
          <w:rFonts w:ascii="Arial" w:hAnsi="Arial" w:cs="Arial"/>
          <w:sz w:val="24"/>
          <w:szCs w:val="24"/>
        </w:rPr>
      </w:pPr>
    </w:p>
    <w:p w14:paraId="57563440" w14:textId="77777777" w:rsidR="00E60109" w:rsidRDefault="00E60109" w:rsidP="00FB41DE">
      <w:pPr>
        <w:spacing w:after="0"/>
        <w:jc w:val="right"/>
        <w:rPr>
          <w:rFonts w:ascii="Arial" w:hAnsi="Arial" w:cs="Arial"/>
          <w:sz w:val="24"/>
          <w:szCs w:val="24"/>
        </w:rPr>
      </w:pPr>
    </w:p>
    <w:p w14:paraId="49554D6F" w14:textId="77777777" w:rsidR="00E60109" w:rsidRDefault="00E60109" w:rsidP="00FB41DE">
      <w:pPr>
        <w:spacing w:after="0"/>
        <w:jc w:val="right"/>
        <w:rPr>
          <w:rFonts w:ascii="Arial" w:hAnsi="Arial" w:cs="Arial"/>
          <w:sz w:val="24"/>
          <w:szCs w:val="24"/>
        </w:rPr>
      </w:pPr>
    </w:p>
    <w:p w14:paraId="55D87FDE" w14:textId="77777777" w:rsidR="00E60109" w:rsidRDefault="00E60109" w:rsidP="00FB41DE">
      <w:pPr>
        <w:spacing w:after="0"/>
        <w:jc w:val="right"/>
        <w:rPr>
          <w:rFonts w:ascii="Arial" w:hAnsi="Arial" w:cs="Arial"/>
          <w:sz w:val="24"/>
          <w:szCs w:val="24"/>
        </w:rPr>
      </w:pPr>
    </w:p>
    <w:p w14:paraId="5485A261" w14:textId="77777777" w:rsidR="00E60109" w:rsidRDefault="00E60109" w:rsidP="00FB41DE">
      <w:pPr>
        <w:spacing w:after="0"/>
        <w:jc w:val="right"/>
        <w:rPr>
          <w:rFonts w:ascii="Arial" w:hAnsi="Arial" w:cs="Arial"/>
          <w:sz w:val="24"/>
          <w:szCs w:val="24"/>
        </w:rPr>
      </w:pPr>
    </w:p>
    <w:p w14:paraId="684C3929" w14:textId="77777777" w:rsidR="00E60109" w:rsidRDefault="00E60109" w:rsidP="00FB41DE">
      <w:pPr>
        <w:spacing w:after="0"/>
        <w:jc w:val="right"/>
        <w:rPr>
          <w:rFonts w:ascii="Arial" w:hAnsi="Arial" w:cs="Arial"/>
          <w:sz w:val="24"/>
          <w:szCs w:val="24"/>
        </w:rPr>
      </w:pPr>
    </w:p>
    <w:p w14:paraId="75AAEE34" w14:textId="2AD140D2" w:rsidR="00E60109" w:rsidRDefault="00E60109" w:rsidP="00FB41DE">
      <w:pPr>
        <w:spacing w:after="0"/>
        <w:jc w:val="right"/>
        <w:rPr>
          <w:rFonts w:ascii="Arial" w:hAnsi="Arial" w:cs="Arial"/>
          <w:sz w:val="24"/>
          <w:szCs w:val="24"/>
        </w:rPr>
      </w:pPr>
    </w:p>
    <w:p w14:paraId="2F23C209" w14:textId="705B397F" w:rsidR="00E60109" w:rsidRDefault="00E60109" w:rsidP="00FB41DE">
      <w:pPr>
        <w:spacing w:after="0"/>
        <w:jc w:val="right"/>
        <w:rPr>
          <w:rFonts w:ascii="Arial" w:hAnsi="Arial" w:cs="Arial"/>
          <w:sz w:val="24"/>
          <w:szCs w:val="24"/>
        </w:rPr>
      </w:pPr>
    </w:p>
    <w:p w14:paraId="3021D37A" w14:textId="08A5B97E" w:rsidR="00E60109" w:rsidRDefault="00E60109" w:rsidP="00FB41DE">
      <w:pPr>
        <w:spacing w:after="0"/>
        <w:jc w:val="right"/>
        <w:rPr>
          <w:rFonts w:ascii="Arial" w:hAnsi="Arial" w:cs="Arial"/>
          <w:sz w:val="24"/>
          <w:szCs w:val="24"/>
        </w:rPr>
      </w:pPr>
    </w:p>
    <w:p w14:paraId="438AA9AA" w14:textId="2968C0D9" w:rsidR="00E60109" w:rsidRDefault="00E60109" w:rsidP="00FB41DE">
      <w:pPr>
        <w:spacing w:after="0"/>
        <w:jc w:val="right"/>
        <w:rPr>
          <w:rFonts w:ascii="Arial" w:hAnsi="Arial" w:cs="Arial"/>
          <w:sz w:val="24"/>
          <w:szCs w:val="24"/>
        </w:rPr>
      </w:pPr>
    </w:p>
    <w:p w14:paraId="24480B4D" w14:textId="20A7AF86" w:rsidR="00E60109" w:rsidRDefault="00E60109" w:rsidP="00FB41DE">
      <w:pPr>
        <w:spacing w:after="0"/>
        <w:jc w:val="right"/>
        <w:rPr>
          <w:rFonts w:ascii="Arial" w:hAnsi="Arial" w:cs="Arial"/>
          <w:sz w:val="24"/>
          <w:szCs w:val="24"/>
        </w:rPr>
      </w:pPr>
    </w:p>
    <w:p w14:paraId="7155CF28" w14:textId="689CAC51" w:rsidR="00E60109" w:rsidRDefault="00E60109" w:rsidP="00FB41DE">
      <w:pPr>
        <w:spacing w:after="0"/>
        <w:jc w:val="right"/>
        <w:rPr>
          <w:rFonts w:ascii="Arial" w:hAnsi="Arial" w:cs="Arial"/>
          <w:sz w:val="24"/>
          <w:szCs w:val="24"/>
        </w:rPr>
      </w:pPr>
    </w:p>
    <w:p w14:paraId="092C941A" w14:textId="2C31D80B" w:rsidR="00E60109" w:rsidRDefault="00E60109" w:rsidP="00FB41DE">
      <w:pPr>
        <w:spacing w:after="0"/>
        <w:jc w:val="right"/>
        <w:rPr>
          <w:rFonts w:ascii="Arial" w:hAnsi="Arial" w:cs="Arial"/>
          <w:sz w:val="24"/>
          <w:szCs w:val="24"/>
        </w:rPr>
      </w:pPr>
    </w:p>
    <w:p w14:paraId="4E921156" w14:textId="0F39EB07" w:rsidR="00EE0E5A" w:rsidRDefault="00403C72" w:rsidP="007C1957">
      <w:pPr>
        <w:spacing w:after="0" w:line="240" w:lineRule="auto"/>
        <w:rPr>
          <w:rFonts w:ascii="Arial" w:hAnsi="Arial" w:cs="Arial"/>
        </w:rPr>
      </w:pPr>
      <w:r w:rsidRPr="00403C72">
        <w:rPr>
          <w:rFonts w:ascii="Arial" w:hAnsi="Arial" w:cs="Arial"/>
          <w:noProof/>
        </w:rPr>
        <mc:AlternateContent>
          <mc:Choice Requires="wps">
            <w:drawing>
              <wp:anchor distT="45720" distB="45720" distL="114300" distR="114300" simplePos="0" relativeHeight="251658255" behindDoc="0" locked="0" layoutInCell="1" allowOverlap="1" wp14:anchorId="69D249A5" wp14:editId="5FF3529A">
                <wp:simplePos x="0" y="0"/>
                <wp:positionH relativeFrom="column">
                  <wp:posOffset>3886200</wp:posOffset>
                </wp:positionH>
                <wp:positionV relativeFrom="paragraph">
                  <wp:posOffset>4812877</wp:posOffset>
                </wp:positionV>
                <wp:extent cx="2360930" cy="490855"/>
                <wp:effectExtent l="0" t="0" r="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0855"/>
                        </a:xfrm>
                        <a:prstGeom prst="rect">
                          <a:avLst/>
                        </a:prstGeom>
                        <a:noFill/>
                        <a:ln w="9525">
                          <a:noFill/>
                          <a:miter lim="800000"/>
                          <a:headEnd/>
                          <a:tailEnd/>
                        </a:ln>
                      </wps:spPr>
                      <wps:txbx>
                        <w:txbxContent>
                          <w:p w14:paraId="16E44786" w14:textId="76FE5397" w:rsidR="00403C72" w:rsidRDefault="00403C72" w:rsidP="00403C72">
                            <w:pPr>
                              <w:spacing w:after="0"/>
                              <w:jc w:val="right"/>
                              <w:rPr>
                                <w:rFonts w:ascii="Arial" w:hAnsi="Arial"/>
                                <w:sz w:val="24"/>
                                <w:szCs w:val="24"/>
                              </w:rPr>
                            </w:pPr>
                            <w:r>
                              <w:rPr>
                                <w:rFonts w:ascii="Arial" w:hAnsi="Arial" w:cs="Arial"/>
                                <w:sz w:val="24"/>
                                <w:szCs w:val="24"/>
                              </w:rPr>
                              <w:t xml:space="preserve">ISBN </w:t>
                            </w:r>
                            <w:r w:rsidRPr="009F7416">
                              <w:rPr>
                                <w:rFonts w:ascii="Arial" w:hAnsi="Arial" w:cs="Arial"/>
                                <w:sz w:val="24"/>
                                <w:szCs w:val="24"/>
                              </w:rPr>
                              <w:t>978-1-5286-5029-8</w:t>
                            </w:r>
                          </w:p>
                          <w:p w14:paraId="4E989D1F" w14:textId="77777777" w:rsidR="00403C72" w:rsidRDefault="00403C72" w:rsidP="00403C72">
                            <w:pPr>
                              <w:spacing w:after="0"/>
                              <w:jc w:val="right"/>
                              <w:rPr>
                                <w:rFonts w:ascii="Arial" w:hAnsi="Arial"/>
                                <w:sz w:val="24"/>
                                <w:szCs w:val="24"/>
                              </w:rPr>
                            </w:pPr>
                            <w:r w:rsidRPr="00F3166E">
                              <w:rPr>
                                <w:rFonts w:ascii="Arial" w:hAnsi="Arial" w:cs="Arial"/>
                                <w:sz w:val="24"/>
                                <w:szCs w:val="24"/>
                              </w:rPr>
                              <w:t>E</w:t>
                            </w:r>
                            <w:r w:rsidRPr="00A63E2B">
                              <w:rPr>
                                <w:rFonts w:ascii="Arial" w:hAnsi="Arial" w:cs="Arial"/>
                                <w:sz w:val="24"/>
                                <w:szCs w:val="24"/>
                              </w:rPr>
                              <w:t>03151952</w:t>
                            </w:r>
                            <w:r>
                              <w:rPr>
                                <w:rFonts w:ascii="Arial" w:hAnsi="Arial" w:cs="Arial"/>
                                <w:sz w:val="24"/>
                                <w:szCs w:val="24"/>
                              </w:rPr>
                              <w:t xml:space="preserve"> 07/24</w:t>
                            </w:r>
                          </w:p>
                          <w:p w14:paraId="255AF96E" w14:textId="58A96E6E" w:rsidR="00403C72" w:rsidRDefault="00403C7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D249A5" id="Text Box 8" o:spid="_x0000_s1038" type="#_x0000_t202" style="position:absolute;margin-left:306pt;margin-top:378.95pt;width:185.9pt;height:38.65pt;z-index:25165825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" filled="f" stroked="f">
                <v:textbox>
                  <w:txbxContent>
                    <w:p w14:paraId="16E44786" w14:textId="76FE5397" w:rsidR="00403C72" w:rsidRDefault="00403C72" w:rsidP="00403C72">
                      <w:pPr>
                        <w:spacing w:after="0"/>
                        <w:jc w:val="right"/>
                        <w:rPr>
                          <w:rFonts w:ascii="Arial" w:hAnsi="Arial"/>
                          <w:sz w:val="24"/>
                          <w:szCs w:val="24"/>
                        </w:rPr>
                      </w:pPr>
                      <w:r>
                        <w:rPr>
                          <w:rFonts w:ascii="Arial" w:hAnsi="Arial" w:cs="Arial"/>
                          <w:sz w:val="24"/>
                          <w:szCs w:val="24"/>
                        </w:rPr>
                        <w:t xml:space="preserve">ISBN </w:t>
                      </w:r>
                      <w:r w:rsidRPr="009F7416">
                        <w:rPr>
                          <w:rFonts w:ascii="Arial" w:hAnsi="Arial" w:cs="Arial"/>
                          <w:sz w:val="24"/>
                          <w:szCs w:val="24"/>
                        </w:rPr>
                        <w:t>978-1-5286-5029-8</w:t>
                      </w:r>
                    </w:p>
                    <w:p w14:paraId="4E989D1F" w14:textId="77777777" w:rsidR="00403C72" w:rsidRDefault="00403C72" w:rsidP="00403C72">
                      <w:pPr>
                        <w:spacing w:after="0"/>
                        <w:jc w:val="right"/>
                        <w:rPr>
                          <w:rFonts w:ascii="Arial" w:hAnsi="Arial"/>
                          <w:sz w:val="24"/>
                          <w:szCs w:val="24"/>
                        </w:rPr>
                      </w:pPr>
                      <w:r w:rsidRPr="00F3166E">
                        <w:rPr>
                          <w:rFonts w:ascii="Arial" w:hAnsi="Arial" w:cs="Arial"/>
                          <w:sz w:val="24"/>
                          <w:szCs w:val="24"/>
                        </w:rPr>
                        <w:t>E</w:t>
                      </w:r>
                      <w:r w:rsidRPr="00A63E2B">
                        <w:rPr>
                          <w:rFonts w:ascii="Arial" w:hAnsi="Arial" w:cs="Arial"/>
                          <w:sz w:val="24"/>
                          <w:szCs w:val="24"/>
                        </w:rPr>
                        <w:t>03151952</w:t>
                      </w:r>
                      <w:r>
                        <w:rPr>
                          <w:rFonts w:ascii="Arial" w:hAnsi="Arial" w:cs="Arial"/>
                          <w:sz w:val="24"/>
                          <w:szCs w:val="24"/>
                        </w:rPr>
                        <w:t xml:space="preserve"> 07/24</w:t>
                      </w:r>
                    </w:p>
                    <w:p w14:paraId="255AF96E" w14:textId="58A96E6E" w:rsidR="00403C72" w:rsidRDefault="00403C72"/>
                  </w:txbxContent>
                </v:textbox>
              </v:shape>
            </w:pict>
          </mc:Fallback>
        </mc:AlternateContent>
      </w:r>
    </w:p>
    <w:p w14:paraId="7E1C8FCA" w14:textId="77777777" w:rsidR="00BA2834" w:rsidRPr="00BA2834" w:rsidRDefault="00BA2834" w:rsidP="00BA2834">
      <w:pPr>
        <w:rPr>
          <w:rFonts w:ascii="Arial" w:hAnsi="Arial" w:cs="Arial"/>
        </w:rPr>
      </w:pPr>
    </w:p>
    <w:p w14:paraId="2E780281" w14:textId="77777777" w:rsidR="00BA2834" w:rsidRPr="00BA2834" w:rsidRDefault="00BA2834" w:rsidP="00BA2834">
      <w:pPr>
        <w:rPr>
          <w:rFonts w:ascii="Arial" w:hAnsi="Arial" w:cs="Arial"/>
        </w:rPr>
      </w:pPr>
    </w:p>
    <w:p w14:paraId="4C63A0F9" w14:textId="77777777" w:rsidR="00BA2834" w:rsidRPr="00BA2834" w:rsidRDefault="00BA2834" w:rsidP="00BA2834">
      <w:pPr>
        <w:rPr>
          <w:rFonts w:ascii="Arial" w:hAnsi="Arial" w:cs="Arial"/>
        </w:rPr>
      </w:pPr>
    </w:p>
    <w:p w14:paraId="569B2F22" w14:textId="77777777" w:rsidR="00BA2834" w:rsidRPr="00BA2834" w:rsidRDefault="00BA2834" w:rsidP="00BA2834">
      <w:pPr>
        <w:rPr>
          <w:rFonts w:ascii="Arial" w:hAnsi="Arial" w:cs="Arial"/>
        </w:rPr>
      </w:pPr>
    </w:p>
    <w:p w14:paraId="3E54CBDC" w14:textId="77777777" w:rsidR="00BA2834" w:rsidRPr="00BA2834" w:rsidRDefault="00BA2834" w:rsidP="00BA2834">
      <w:pPr>
        <w:rPr>
          <w:rFonts w:ascii="Arial" w:hAnsi="Arial" w:cs="Arial"/>
        </w:rPr>
      </w:pPr>
    </w:p>
    <w:p w14:paraId="466A0478" w14:textId="77777777" w:rsidR="00BA2834" w:rsidRPr="00BA2834" w:rsidRDefault="00BA2834" w:rsidP="00BA2834">
      <w:pPr>
        <w:rPr>
          <w:rFonts w:ascii="Arial" w:hAnsi="Arial" w:cs="Arial"/>
        </w:rPr>
      </w:pPr>
    </w:p>
    <w:p w14:paraId="149E47CC" w14:textId="77777777" w:rsidR="00BA2834" w:rsidRPr="00BA2834" w:rsidRDefault="00BA2834" w:rsidP="00BA2834">
      <w:pPr>
        <w:rPr>
          <w:rFonts w:ascii="Arial" w:hAnsi="Arial" w:cs="Arial"/>
        </w:rPr>
      </w:pPr>
    </w:p>
    <w:p w14:paraId="6DD4ED9B" w14:textId="77777777" w:rsidR="00BA2834" w:rsidRPr="00BA2834" w:rsidRDefault="00BA2834" w:rsidP="00BA2834">
      <w:pPr>
        <w:rPr>
          <w:rFonts w:ascii="Arial" w:hAnsi="Arial" w:cs="Arial"/>
        </w:rPr>
      </w:pPr>
    </w:p>
    <w:p w14:paraId="161E879B" w14:textId="77777777" w:rsidR="00BA2834" w:rsidRPr="00BA2834" w:rsidRDefault="00BA2834" w:rsidP="00BA2834">
      <w:pPr>
        <w:rPr>
          <w:rFonts w:ascii="Arial" w:hAnsi="Arial" w:cs="Arial"/>
        </w:rPr>
      </w:pPr>
    </w:p>
    <w:p w14:paraId="6BB2F814" w14:textId="77777777" w:rsidR="00BA2834" w:rsidRPr="00BA2834" w:rsidRDefault="00BA2834" w:rsidP="00BA2834">
      <w:pPr>
        <w:rPr>
          <w:rFonts w:ascii="Arial" w:hAnsi="Arial" w:cs="Arial"/>
        </w:rPr>
      </w:pPr>
    </w:p>
    <w:p w14:paraId="0714D78D" w14:textId="77777777" w:rsidR="00BA2834" w:rsidRPr="00BA2834" w:rsidRDefault="00BA2834" w:rsidP="00BA2834">
      <w:pPr>
        <w:rPr>
          <w:rFonts w:ascii="Arial" w:hAnsi="Arial" w:cs="Arial"/>
        </w:rPr>
      </w:pPr>
    </w:p>
    <w:p w14:paraId="568B9D00" w14:textId="77777777" w:rsidR="00BA2834" w:rsidRPr="00BA2834" w:rsidRDefault="00BA2834" w:rsidP="00BA2834">
      <w:pPr>
        <w:rPr>
          <w:rFonts w:ascii="Arial" w:hAnsi="Arial" w:cs="Arial"/>
        </w:rPr>
      </w:pPr>
    </w:p>
    <w:p w14:paraId="02D6E9C9" w14:textId="77777777" w:rsidR="00BA2834" w:rsidRPr="00BA2834" w:rsidRDefault="00BA2834" w:rsidP="00BA2834">
      <w:pPr>
        <w:rPr>
          <w:rFonts w:ascii="Arial" w:hAnsi="Arial" w:cs="Arial"/>
        </w:rPr>
      </w:pPr>
    </w:p>
    <w:p w14:paraId="12E39A90" w14:textId="77777777" w:rsidR="00BA2834" w:rsidRPr="00BA2834" w:rsidRDefault="00BA2834" w:rsidP="00BA2834">
      <w:pPr>
        <w:rPr>
          <w:rFonts w:ascii="Arial" w:hAnsi="Arial" w:cs="Arial"/>
        </w:rPr>
      </w:pPr>
    </w:p>
    <w:p w14:paraId="4F4C7E90" w14:textId="77777777" w:rsidR="00BA2834" w:rsidRPr="00BA2834" w:rsidRDefault="00BA2834" w:rsidP="00BA2834">
      <w:pPr>
        <w:rPr>
          <w:rFonts w:ascii="Arial" w:hAnsi="Arial" w:cs="Arial"/>
        </w:rPr>
      </w:pPr>
    </w:p>
    <w:p w14:paraId="5430C8FB" w14:textId="77777777" w:rsidR="00BA2834" w:rsidRDefault="00BA2834" w:rsidP="00BA2834">
      <w:pPr>
        <w:rPr>
          <w:rFonts w:ascii="Arial" w:hAnsi="Arial" w:cs="Arial"/>
        </w:rPr>
      </w:pPr>
    </w:p>
    <w:p w14:paraId="52270226" w14:textId="77777777" w:rsidR="00EE0E5A" w:rsidRPr="007C1957" w:rsidRDefault="00EE0E5A" w:rsidP="00BA2834">
      <w:pPr>
        <w:ind w:firstLine="720"/>
        <w:rPr>
          <w:rFonts w:ascii="Arial" w:hAnsi="Arial" w:cs="Arial"/>
        </w:rPr>
      </w:pPr>
    </w:p>
    <w:sectPr w:rsidR="00EE0E5A" w:rsidRPr="007C1957" w:rsidSect="00BA2834">
      <w:footerReference w:type="default" r:id="rId5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3F382" w14:textId="77777777" w:rsidR="00F06C97" w:rsidRDefault="00F06C97" w:rsidP="007606B5">
      <w:pPr>
        <w:spacing w:after="0" w:line="240" w:lineRule="auto"/>
      </w:pPr>
      <w:r>
        <w:separator/>
      </w:r>
    </w:p>
  </w:endnote>
  <w:endnote w:type="continuationSeparator" w:id="0">
    <w:p w14:paraId="19D305A8" w14:textId="77777777" w:rsidR="00F06C97" w:rsidRDefault="00F06C97" w:rsidP="007606B5">
      <w:pPr>
        <w:spacing w:after="0" w:line="240" w:lineRule="auto"/>
      </w:pPr>
      <w:r>
        <w:continuationSeparator/>
      </w:r>
    </w:p>
  </w:endnote>
  <w:endnote w:type="continuationNotice" w:id="1">
    <w:p w14:paraId="63FE3456" w14:textId="77777777" w:rsidR="00F06C97" w:rsidRDefault="00F06C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Com 65 Md">
    <w:altName w:val="Arial"/>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F974" w14:textId="1BE2D958" w:rsidR="007F1533" w:rsidRDefault="007F1533">
    <w:pPr>
      <w:pStyle w:val="Footer"/>
    </w:pPr>
  </w:p>
  <w:p w14:paraId="23338E84" w14:textId="77777777" w:rsidR="007F1533" w:rsidRDefault="007F1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107338"/>
      <w:docPartObj>
        <w:docPartGallery w:val="Page Numbers (Bottom of Page)"/>
        <w:docPartUnique/>
      </w:docPartObj>
    </w:sdtPr>
    <w:sdtEndPr>
      <w:rPr>
        <w:noProof/>
      </w:rPr>
    </w:sdtEndPr>
    <w:sdtContent>
      <w:p w14:paraId="4B0CF98F" w14:textId="77777777" w:rsidR="007F1533" w:rsidRDefault="007F1533">
        <w:pPr>
          <w:pStyle w:val="Footer"/>
        </w:pPr>
        <w:r>
          <w:fldChar w:fldCharType="begin"/>
        </w:r>
        <w:r>
          <w:instrText xml:space="preserve"> PAGE   \* MERGEFORMAT </w:instrText>
        </w:r>
        <w:r>
          <w:fldChar w:fldCharType="separate"/>
        </w:r>
        <w:r>
          <w:rPr>
            <w:noProof/>
          </w:rPr>
          <w:t>2</w:t>
        </w:r>
        <w:r>
          <w:rPr>
            <w:noProof/>
          </w:rPr>
          <w:fldChar w:fldCharType="end"/>
        </w:r>
      </w:p>
    </w:sdtContent>
  </w:sdt>
  <w:p w14:paraId="4BCEC70E" w14:textId="77777777" w:rsidR="007F1533" w:rsidRDefault="007F15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837389"/>
      <w:docPartObj>
        <w:docPartGallery w:val="Page Numbers (Bottom of Page)"/>
        <w:docPartUnique/>
      </w:docPartObj>
    </w:sdtPr>
    <w:sdtEndPr>
      <w:rPr>
        <w:noProof/>
      </w:rPr>
    </w:sdtEndPr>
    <w:sdtContent>
      <w:p w14:paraId="2C44C112" w14:textId="77777777" w:rsidR="001A0B49" w:rsidRDefault="001A0B49">
        <w:pPr>
          <w:pStyle w:val="Footer"/>
        </w:pPr>
        <w:r>
          <w:fldChar w:fldCharType="begin"/>
        </w:r>
        <w:r>
          <w:instrText xml:space="preserve"> PAGE   \* MERGEFORMAT </w:instrText>
        </w:r>
        <w:r>
          <w:fldChar w:fldCharType="separate"/>
        </w:r>
        <w:r>
          <w:rPr>
            <w:noProof/>
          </w:rPr>
          <w:t>2</w:t>
        </w:r>
        <w:r>
          <w:rPr>
            <w:noProof/>
          </w:rPr>
          <w:fldChar w:fldCharType="end"/>
        </w:r>
      </w:p>
    </w:sdtContent>
  </w:sdt>
  <w:p w14:paraId="64AF9F43" w14:textId="77777777" w:rsidR="001A0B49" w:rsidRDefault="001A0B49">
    <w:pPr>
      <w:pStyle w:val="Footer"/>
    </w:pPr>
  </w:p>
  <w:p w14:paraId="5017B367" w14:textId="77777777" w:rsidR="00C15530" w:rsidRDefault="00C1553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BAF03" w14:textId="2DDC01BB" w:rsidR="00D94EE9" w:rsidRDefault="00D94EE9">
    <w:pPr>
      <w:pStyle w:val="Footer"/>
    </w:pPr>
  </w:p>
  <w:p w14:paraId="1835BB11" w14:textId="77777777" w:rsidR="001A0B49" w:rsidRDefault="001A0B49">
    <w:pPr>
      <w:pStyle w:val="Footer"/>
    </w:pPr>
  </w:p>
  <w:p w14:paraId="60563EC3" w14:textId="77777777" w:rsidR="00C15530" w:rsidRDefault="00C155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D3D44" w14:textId="77777777" w:rsidR="00F06C97" w:rsidRDefault="00F06C97" w:rsidP="007606B5">
      <w:pPr>
        <w:spacing w:after="0" w:line="240" w:lineRule="auto"/>
      </w:pPr>
      <w:r>
        <w:separator/>
      </w:r>
    </w:p>
  </w:footnote>
  <w:footnote w:type="continuationSeparator" w:id="0">
    <w:p w14:paraId="74763995" w14:textId="77777777" w:rsidR="00F06C97" w:rsidRDefault="00F06C97" w:rsidP="007606B5">
      <w:pPr>
        <w:spacing w:after="0" w:line="240" w:lineRule="auto"/>
      </w:pPr>
      <w:r>
        <w:continuationSeparator/>
      </w:r>
    </w:p>
  </w:footnote>
  <w:footnote w:type="continuationNotice" w:id="1">
    <w:p w14:paraId="7149C1EC" w14:textId="77777777" w:rsidR="00F06C97" w:rsidRDefault="00F06C97">
      <w:pPr>
        <w:spacing w:after="0" w:line="240" w:lineRule="auto"/>
      </w:pPr>
    </w:p>
  </w:footnote>
  <w:footnote w:id="2">
    <w:p w14:paraId="00AB5F2E" w14:textId="7E393672" w:rsidR="00C76D1E" w:rsidRDefault="00C76D1E">
      <w:pPr>
        <w:pStyle w:val="FootnoteText"/>
      </w:pPr>
      <w:r>
        <w:rPr>
          <w:rStyle w:val="FootnoteReference"/>
        </w:rPr>
        <w:footnoteRef/>
      </w:r>
      <w:r>
        <w:t xml:space="preserve"> </w:t>
      </w:r>
      <w:r w:rsidR="003153F4">
        <w:t xml:space="preserve">United Nations </w:t>
      </w:r>
      <w:r w:rsidR="001625C2">
        <w:t>Commission on International Trade Law</w:t>
      </w:r>
    </w:p>
  </w:footnote>
  <w:footnote w:id="3">
    <w:p w14:paraId="0F0EBDDF" w14:textId="7C5AC2FF" w:rsidR="0027760C" w:rsidRDefault="0027760C">
      <w:pPr>
        <w:pStyle w:val="FootnoteText"/>
      </w:pPr>
      <w:r>
        <w:rPr>
          <w:rStyle w:val="FootnoteReference"/>
        </w:rPr>
        <w:footnoteRef/>
      </w:r>
      <w:r>
        <w:t xml:space="preserve"> Kleptocracy is </w:t>
      </w:r>
      <w:r w:rsidRPr="0027760C">
        <w:t>government by those who seek chiefly status and personal gain at the expense of the governed</w:t>
      </w:r>
    </w:p>
  </w:footnote>
  <w:footnote w:id="4">
    <w:p w14:paraId="6DB2AD91" w14:textId="77777777" w:rsidR="007B6D80" w:rsidRDefault="007B6D80">
      <w:pPr>
        <w:pStyle w:val="FootnoteText"/>
      </w:pPr>
      <w:r>
        <w:rPr>
          <w:rStyle w:val="FootnoteReference"/>
        </w:rPr>
        <w:footnoteRef/>
      </w:r>
      <w:r>
        <w:t xml:space="preserve"> The Debt Respite Scheme (Breathing Space) will give someone in problem debt the right to legal protections from creditor action for up to 60 days. The protections include pausing most enforcement action and contact from creditors, and freezing most interest charges on their debts, giving them time to get advice and find an appropriate debt solution.</w:t>
      </w:r>
    </w:p>
  </w:footnote>
  <w:footnote w:id="5">
    <w:p w14:paraId="1CBE5F27" w14:textId="6430BCEA" w:rsidR="0020673D" w:rsidRDefault="0020673D">
      <w:pPr>
        <w:pStyle w:val="FootnoteText"/>
      </w:pPr>
      <w:r>
        <w:rPr>
          <w:rStyle w:val="FootnoteReference"/>
        </w:rPr>
        <w:footnoteRef/>
      </w:r>
      <w:r>
        <w:t xml:space="preserve"> </w:t>
      </w:r>
      <w:r w:rsidR="006B5ACC">
        <w:t xml:space="preserve">Tier definitions </w:t>
      </w:r>
      <w:r w:rsidR="00E97FBC">
        <w:t xml:space="preserve">can be found </w:t>
      </w:r>
      <w:hyperlink r:id="rId1" w:anchor="our-complaints-procedure" w:history="1">
        <w:r w:rsidR="002562A2" w:rsidRPr="002562A2">
          <w:rPr>
            <w:rStyle w:val="Hyperlink"/>
          </w:rPr>
          <w:t>here</w:t>
        </w:r>
      </w:hyperlink>
      <w:r w:rsidR="00052AC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0175"/>
    <w:multiLevelType w:val="hybridMultilevel"/>
    <w:tmpl w:val="2C225968"/>
    <w:lvl w:ilvl="0" w:tplc="4238E5C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2C27C56"/>
    <w:multiLevelType w:val="hybridMultilevel"/>
    <w:tmpl w:val="8EBC4DC8"/>
    <w:lvl w:ilvl="0" w:tplc="4238E5C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84F2B"/>
    <w:multiLevelType w:val="hybridMultilevel"/>
    <w:tmpl w:val="7214EA6A"/>
    <w:lvl w:ilvl="0" w:tplc="6F98A9B2">
      <w:start w:val="1"/>
      <w:numFmt w:val="decimal"/>
      <w:lvlText w:val="%1."/>
      <w:lvlJc w:val="left"/>
      <w:pPr>
        <w:ind w:left="720" w:hanging="360"/>
      </w:pPr>
    </w:lvl>
    <w:lvl w:ilvl="1" w:tplc="7F6CD314">
      <w:start w:val="1"/>
      <w:numFmt w:val="lowerLetter"/>
      <w:lvlText w:val="%2."/>
      <w:lvlJc w:val="left"/>
      <w:pPr>
        <w:ind w:left="1440" w:hanging="360"/>
      </w:pPr>
    </w:lvl>
    <w:lvl w:ilvl="2" w:tplc="547CA0BC">
      <w:start w:val="1"/>
      <w:numFmt w:val="lowerRoman"/>
      <w:lvlText w:val="%3."/>
      <w:lvlJc w:val="right"/>
      <w:pPr>
        <w:ind w:left="2160" w:hanging="180"/>
      </w:pPr>
    </w:lvl>
    <w:lvl w:ilvl="3" w:tplc="CD28EFC2">
      <w:start w:val="1"/>
      <w:numFmt w:val="decimal"/>
      <w:lvlText w:val="%4."/>
      <w:lvlJc w:val="left"/>
      <w:pPr>
        <w:ind w:left="2880" w:hanging="360"/>
      </w:pPr>
    </w:lvl>
    <w:lvl w:ilvl="4" w:tplc="77B84E08">
      <w:start w:val="1"/>
      <w:numFmt w:val="lowerLetter"/>
      <w:lvlText w:val="%5."/>
      <w:lvlJc w:val="left"/>
      <w:pPr>
        <w:ind w:left="3600" w:hanging="360"/>
      </w:pPr>
    </w:lvl>
    <w:lvl w:ilvl="5" w:tplc="E02EDAEE">
      <w:start w:val="1"/>
      <w:numFmt w:val="lowerRoman"/>
      <w:lvlText w:val="%6."/>
      <w:lvlJc w:val="right"/>
      <w:pPr>
        <w:ind w:left="4320" w:hanging="180"/>
      </w:pPr>
    </w:lvl>
    <w:lvl w:ilvl="6" w:tplc="85988FEA">
      <w:start w:val="1"/>
      <w:numFmt w:val="decimal"/>
      <w:lvlText w:val="%7."/>
      <w:lvlJc w:val="left"/>
      <w:pPr>
        <w:ind w:left="5040" w:hanging="360"/>
      </w:pPr>
    </w:lvl>
    <w:lvl w:ilvl="7" w:tplc="79F8C5EE">
      <w:start w:val="1"/>
      <w:numFmt w:val="lowerLetter"/>
      <w:lvlText w:val="%8."/>
      <w:lvlJc w:val="left"/>
      <w:pPr>
        <w:ind w:left="5760" w:hanging="360"/>
      </w:pPr>
    </w:lvl>
    <w:lvl w:ilvl="8" w:tplc="CB04DA5A">
      <w:start w:val="1"/>
      <w:numFmt w:val="lowerRoman"/>
      <w:lvlText w:val="%9."/>
      <w:lvlJc w:val="right"/>
      <w:pPr>
        <w:ind w:left="6480" w:hanging="180"/>
      </w:pPr>
    </w:lvl>
  </w:abstractNum>
  <w:abstractNum w:abstractNumId="3" w15:restartNumberingAfterBreak="0">
    <w:nsid w:val="134B483F"/>
    <w:multiLevelType w:val="hybridMultilevel"/>
    <w:tmpl w:val="BA668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F7C5D"/>
    <w:multiLevelType w:val="hybridMultilevel"/>
    <w:tmpl w:val="B5BC9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19F3"/>
    <w:multiLevelType w:val="hybridMultilevel"/>
    <w:tmpl w:val="6444F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A754146"/>
    <w:multiLevelType w:val="hybridMultilevel"/>
    <w:tmpl w:val="D158C3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394D49"/>
    <w:multiLevelType w:val="hybridMultilevel"/>
    <w:tmpl w:val="3AE0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8E2D1F"/>
    <w:multiLevelType w:val="hybridMultilevel"/>
    <w:tmpl w:val="5F128D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11B3D33"/>
    <w:multiLevelType w:val="hybridMultilevel"/>
    <w:tmpl w:val="57F24E8C"/>
    <w:lvl w:ilvl="0" w:tplc="789A360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0" w15:restartNumberingAfterBreak="0">
    <w:nsid w:val="222A5759"/>
    <w:multiLevelType w:val="hybridMultilevel"/>
    <w:tmpl w:val="8BDE4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260695A"/>
    <w:multiLevelType w:val="hybridMultilevel"/>
    <w:tmpl w:val="D4DA2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604834"/>
    <w:multiLevelType w:val="hybridMultilevel"/>
    <w:tmpl w:val="4CD01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CE2D9E"/>
    <w:multiLevelType w:val="hybridMultilevel"/>
    <w:tmpl w:val="8BBC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4D06A8"/>
    <w:multiLevelType w:val="hybridMultilevel"/>
    <w:tmpl w:val="58E0E150"/>
    <w:lvl w:ilvl="0" w:tplc="7D56B450">
      <w:numFmt w:val="bullet"/>
      <w:lvlText w:val="•"/>
      <w:lvlJc w:val="left"/>
      <w:pPr>
        <w:ind w:left="644" w:hanging="360"/>
      </w:pPr>
      <w:rPr>
        <w:rFonts w:ascii="Calibri" w:eastAsiaTheme="minorHAnsi" w:hAnsi="Calibri"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867DBC"/>
    <w:multiLevelType w:val="hybridMultilevel"/>
    <w:tmpl w:val="CF8EF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170617"/>
    <w:multiLevelType w:val="hybridMultilevel"/>
    <w:tmpl w:val="1220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202A37"/>
    <w:multiLevelType w:val="hybridMultilevel"/>
    <w:tmpl w:val="CE4269E4"/>
    <w:lvl w:ilvl="0" w:tplc="EAD8ECC6">
      <w:start w:val="1"/>
      <w:numFmt w:val="decimal"/>
      <w:lvlText w:val="%1."/>
      <w:lvlJc w:val="left"/>
      <w:pPr>
        <w:ind w:left="720" w:hanging="360"/>
      </w:pPr>
    </w:lvl>
    <w:lvl w:ilvl="1" w:tplc="F3BAC0A0">
      <w:start w:val="1"/>
      <w:numFmt w:val="lowerLetter"/>
      <w:lvlText w:val="%2."/>
      <w:lvlJc w:val="left"/>
      <w:pPr>
        <w:ind w:left="1440" w:hanging="360"/>
      </w:pPr>
    </w:lvl>
    <w:lvl w:ilvl="2" w:tplc="707EF568">
      <w:start w:val="1"/>
      <w:numFmt w:val="lowerRoman"/>
      <w:lvlText w:val="%3."/>
      <w:lvlJc w:val="right"/>
      <w:pPr>
        <w:ind w:left="2160" w:hanging="180"/>
      </w:pPr>
    </w:lvl>
    <w:lvl w:ilvl="3" w:tplc="6248C2A2">
      <w:start w:val="1"/>
      <w:numFmt w:val="decimal"/>
      <w:lvlText w:val="%4."/>
      <w:lvlJc w:val="left"/>
      <w:pPr>
        <w:ind w:left="2880" w:hanging="360"/>
      </w:pPr>
    </w:lvl>
    <w:lvl w:ilvl="4" w:tplc="4364D244">
      <w:start w:val="1"/>
      <w:numFmt w:val="lowerLetter"/>
      <w:lvlText w:val="%5."/>
      <w:lvlJc w:val="left"/>
      <w:pPr>
        <w:ind w:left="3600" w:hanging="360"/>
      </w:pPr>
    </w:lvl>
    <w:lvl w:ilvl="5" w:tplc="20E66B56">
      <w:start w:val="1"/>
      <w:numFmt w:val="lowerRoman"/>
      <w:lvlText w:val="%6."/>
      <w:lvlJc w:val="right"/>
      <w:pPr>
        <w:ind w:left="4320" w:hanging="180"/>
      </w:pPr>
    </w:lvl>
    <w:lvl w:ilvl="6" w:tplc="3110A4CE">
      <w:start w:val="1"/>
      <w:numFmt w:val="decimal"/>
      <w:lvlText w:val="%7."/>
      <w:lvlJc w:val="left"/>
      <w:pPr>
        <w:ind w:left="5040" w:hanging="360"/>
      </w:pPr>
    </w:lvl>
    <w:lvl w:ilvl="7" w:tplc="DBEA34EE">
      <w:start w:val="1"/>
      <w:numFmt w:val="lowerLetter"/>
      <w:lvlText w:val="%8."/>
      <w:lvlJc w:val="left"/>
      <w:pPr>
        <w:ind w:left="5760" w:hanging="360"/>
      </w:pPr>
    </w:lvl>
    <w:lvl w:ilvl="8" w:tplc="D69CDF02">
      <w:start w:val="1"/>
      <w:numFmt w:val="lowerRoman"/>
      <w:lvlText w:val="%9."/>
      <w:lvlJc w:val="right"/>
      <w:pPr>
        <w:ind w:left="6480" w:hanging="180"/>
      </w:pPr>
    </w:lvl>
  </w:abstractNum>
  <w:abstractNum w:abstractNumId="18" w15:restartNumberingAfterBreak="0">
    <w:nsid w:val="48B928CC"/>
    <w:multiLevelType w:val="hybridMultilevel"/>
    <w:tmpl w:val="A9CA1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E52DA4"/>
    <w:multiLevelType w:val="hybridMultilevel"/>
    <w:tmpl w:val="81BED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317B0A"/>
    <w:multiLevelType w:val="hybridMultilevel"/>
    <w:tmpl w:val="0344C3D2"/>
    <w:lvl w:ilvl="0" w:tplc="FFFFFFFF">
      <w:start w:val="1"/>
      <w:numFmt w:val="bullet"/>
      <w:lvlText w:val=""/>
      <w:lvlJc w:val="left"/>
      <w:pPr>
        <w:ind w:left="360" w:hanging="360"/>
      </w:pPr>
      <w:rPr>
        <w:rFonts w:ascii="Symbol" w:hAnsi="Symbol" w:hint="default"/>
      </w:rPr>
    </w:lvl>
    <w:lvl w:ilvl="1" w:tplc="9E3844AE">
      <w:start w:val="1"/>
      <w:numFmt w:val="bullet"/>
      <w:lvlText w:val="o"/>
      <w:lvlJc w:val="left"/>
      <w:pPr>
        <w:ind w:left="720" w:hanging="363"/>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B9647A"/>
    <w:multiLevelType w:val="hybridMultilevel"/>
    <w:tmpl w:val="C178932C"/>
    <w:lvl w:ilvl="0" w:tplc="4238E5C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17622F"/>
    <w:multiLevelType w:val="hybridMultilevel"/>
    <w:tmpl w:val="D2940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390FC8"/>
    <w:multiLevelType w:val="hybridMultilevel"/>
    <w:tmpl w:val="58E8453C"/>
    <w:lvl w:ilvl="0" w:tplc="4238E5C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D81F4D"/>
    <w:multiLevelType w:val="hybridMultilevel"/>
    <w:tmpl w:val="2092D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3DB9A8"/>
    <w:multiLevelType w:val="hybridMultilevel"/>
    <w:tmpl w:val="8682A3F0"/>
    <w:lvl w:ilvl="0" w:tplc="C2C46CA0">
      <w:start w:val="1"/>
      <w:numFmt w:val="decimal"/>
      <w:lvlText w:val="%1."/>
      <w:lvlJc w:val="left"/>
      <w:pPr>
        <w:ind w:left="720" w:hanging="360"/>
      </w:pPr>
    </w:lvl>
    <w:lvl w:ilvl="1" w:tplc="8CFE8AD6">
      <w:start w:val="1"/>
      <w:numFmt w:val="lowerLetter"/>
      <w:lvlText w:val="%2."/>
      <w:lvlJc w:val="left"/>
      <w:pPr>
        <w:ind w:left="1440" w:hanging="360"/>
      </w:pPr>
    </w:lvl>
    <w:lvl w:ilvl="2" w:tplc="951484EC">
      <w:start w:val="1"/>
      <w:numFmt w:val="lowerRoman"/>
      <w:lvlText w:val="%3."/>
      <w:lvlJc w:val="right"/>
      <w:pPr>
        <w:ind w:left="2160" w:hanging="180"/>
      </w:pPr>
    </w:lvl>
    <w:lvl w:ilvl="3" w:tplc="C3DC5612">
      <w:start w:val="1"/>
      <w:numFmt w:val="decimal"/>
      <w:lvlText w:val="%4."/>
      <w:lvlJc w:val="left"/>
      <w:pPr>
        <w:ind w:left="2880" w:hanging="360"/>
      </w:pPr>
    </w:lvl>
    <w:lvl w:ilvl="4" w:tplc="541AE1E2">
      <w:start w:val="1"/>
      <w:numFmt w:val="lowerLetter"/>
      <w:lvlText w:val="%5."/>
      <w:lvlJc w:val="left"/>
      <w:pPr>
        <w:ind w:left="3600" w:hanging="360"/>
      </w:pPr>
    </w:lvl>
    <w:lvl w:ilvl="5" w:tplc="1874A362">
      <w:start w:val="1"/>
      <w:numFmt w:val="lowerRoman"/>
      <w:lvlText w:val="%6."/>
      <w:lvlJc w:val="right"/>
      <w:pPr>
        <w:ind w:left="4320" w:hanging="180"/>
      </w:pPr>
    </w:lvl>
    <w:lvl w:ilvl="6" w:tplc="595EFDC2">
      <w:start w:val="1"/>
      <w:numFmt w:val="decimal"/>
      <w:lvlText w:val="%7."/>
      <w:lvlJc w:val="left"/>
      <w:pPr>
        <w:ind w:left="5040" w:hanging="360"/>
      </w:pPr>
    </w:lvl>
    <w:lvl w:ilvl="7" w:tplc="BBE82232">
      <w:start w:val="1"/>
      <w:numFmt w:val="lowerLetter"/>
      <w:lvlText w:val="%8."/>
      <w:lvlJc w:val="left"/>
      <w:pPr>
        <w:ind w:left="5760" w:hanging="360"/>
      </w:pPr>
    </w:lvl>
    <w:lvl w:ilvl="8" w:tplc="206E667C">
      <w:start w:val="1"/>
      <w:numFmt w:val="lowerRoman"/>
      <w:lvlText w:val="%9."/>
      <w:lvlJc w:val="right"/>
      <w:pPr>
        <w:ind w:left="6480" w:hanging="180"/>
      </w:pPr>
    </w:lvl>
  </w:abstractNum>
  <w:abstractNum w:abstractNumId="26" w15:restartNumberingAfterBreak="0">
    <w:nsid w:val="567D407E"/>
    <w:multiLevelType w:val="hybridMultilevel"/>
    <w:tmpl w:val="B4DE3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1744FB"/>
    <w:multiLevelType w:val="hybridMultilevel"/>
    <w:tmpl w:val="33826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7EE1FF6"/>
    <w:multiLevelType w:val="hybridMultilevel"/>
    <w:tmpl w:val="A302F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B31E8D"/>
    <w:multiLevelType w:val="multilevel"/>
    <w:tmpl w:val="B4A8142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rPr>
        <w:sz w:val="24"/>
        <w:szCs w:val="24"/>
      </w:r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B31352D"/>
    <w:multiLevelType w:val="hybridMultilevel"/>
    <w:tmpl w:val="62CCA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432F76"/>
    <w:multiLevelType w:val="hybridMultilevel"/>
    <w:tmpl w:val="F500A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0E1647B"/>
    <w:multiLevelType w:val="hybridMultilevel"/>
    <w:tmpl w:val="2A44E71A"/>
    <w:lvl w:ilvl="0" w:tplc="4238E5C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7211F9"/>
    <w:multiLevelType w:val="hybridMultilevel"/>
    <w:tmpl w:val="41A6D6CC"/>
    <w:lvl w:ilvl="0" w:tplc="4238E5C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0958B2"/>
    <w:multiLevelType w:val="hybridMultilevel"/>
    <w:tmpl w:val="D806F2D4"/>
    <w:lvl w:ilvl="0" w:tplc="A1BACA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E958A1"/>
    <w:multiLevelType w:val="hybridMultilevel"/>
    <w:tmpl w:val="53A673BE"/>
    <w:lvl w:ilvl="0" w:tplc="D8826AB4">
      <w:start w:val="1"/>
      <w:numFmt w:val="bullet"/>
      <w:lvlText w:val=""/>
      <w:lvlJc w:val="left"/>
      <w:pPr>
        <w:ind w:left="720" w:hanging="360"/>
      </w:pPr>
      <w:rPr>
        <w:rFonts w:ascii="Symbol" w:hAnsi="Symbol" w:hint="default"/>
      </w:rPr>
    </w:lvl>
    <w:lvl w:ilvl="1" w:tplc="02ACC2B6">
      <w:start w:val="1"/>
      <w:numFmt w:val="bullet"/>
      <w:lvlText w:val="o"/>
      <w:lvlJc w:val="left"/>
      <w:pPr>
        <w:ind w:left="1440" w:hanging="360"/>
      </w:pPr>
      <w:rPr>
        <w:rFonts w:ascii="Courier New" w:hAnsi="Courier New" w:hint="default"/>
      </w:rPr>
    </w:lvl>
    <w:lvl w:ilvl="2" w:tplc="6B088A64">
      <w:start w:val="1"/>
      <w:numFmt w:val="bullet"/>
      <w:lvlText w:val=""/>
      <w:lvlJc w:val="left"/>
      <w:pPr>
        <w:ind w:left="2160" w:hanging="360"/>
      </w:pPr>
      <w:rPr>
        <w:rFonts w:ascii="Wingdings" w:hAnsi="Wingdings" w:hint="default"/>
      </w:rPr>
    </w:lvl>
    <w:lvl w:ilvl="3" w:tplc="9448F5AC">
      <w:start w:val="1"/>
      <w:numFmt w:val="bullet"/>
      <w:lvlText w:val=""/>
      <w:lvlJc w:val="left"/>
      <w:pPr>
        <w:ind w:left="2880" w:hanging="360"/>
      </w:pPr>
      <w:rPr>
        <w:rFonts w:ascii="Symbol" w:hAnsi="Symbol" w:hint="default"/>
      </w:rPr>
    </w:lvl>
    <w:lvl w:ilvl="4" w:tplc="88F0C010">
      <w:start w:val="1"/>
      <w:numFmt w:val="bullet"/>
      <w:lvlText w:val="o"/>
      <w:lvlJc w:val="left"/>
      <w:pPr>
        <w:ind w:left="3600" w:hanging="360"/>
      </w:pPr>
      <w:rPr>
        <w:rFonts w:ascii="Courier New" w:hAnsi="Courier New" w:hint="default"/>
      </w:rPr>
    </w:lvl>
    <w:lvl w:ilvl="5" w:tplc="DE26F624">
      <w:start w:val="1"/>
      <w:numFmt w:val="bullet"/>
      <w:lvlText w:val=""/>
      <w:lvlJc w:val="left"/>
      <w:pPr>
        <w:ind w:left="4320" w:hanging="360"/>
      </w:pPr>
      <w:rPr>
        <w:rFonts w:ascii="Wingdings" w:hAnsi="Wingdings" w:hint="default"/>
      </w:rPr>
    </w:lvl>
    <w:lvl w:ilvl="6" w:tplc="49D0258C">
      <w:start w:val="1"/>
      <w:numFmt w:val="bullet"/>
      <w:lvlText w:val=""/>
      <w:lvlJc w:val="left"/>
      <w:pPr>
        <w:ind w:left="5040" w:hanging="360"/>
      </w:pPr>
      <w:rPr>
        <w:rFonts w:ascii="Symbol" w:hAnsi="Symbol" w:hint="default"/>
      </w:rPr>
    </w:lvl>
    <w:lvl w:ilvl="7" w:tplc="EAE630FA">
      <w:start w:val="1"/>
      <w:numFmt w:val="bullet"/>
      <w:lvlText w:val="o"/>
      <w:lvlJc w:val="left"/>
      <w:pPr>
        <w:ind w:left="5760" w:hanging="360"/>
      </w:pPr>
      <w:rPr>
        <w:rFonts w:ascii="Courier New" w:hAnsi="Courier New" w:hint="default"/>
      </w:rPr>
    </w:lvl>
    <w:lvl w:ilvl="8" w:tplc="51941FBE">
      <w:start w:val="1"/>
      <w:numFmt w:val="bullet"/>
      <w:lvlText w:val=""/>
      <w:lvlJc w:val="left"/>
      <w:pPr>
        <w:ind w:left="6480" w:hanging="360"/>
      </w:pPr>
      <w:rPr>
        <w:rFonts w:ascii="Wingdings" w:hAnsi="Wingdings" w:hint="default"/>
      </w:rPr>
    </w:lvl>
  </w:abstractNum>
  <w:abstractNum w:abstractNumId="36" w15:restartNumberingAfterBreak="0">
    <w:nsid w:val="72D34F10"/>
    <w:multiLevelType w:val="multilevel"/>
    <w:tmpl w:val="DB640B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82F6111"/>
    <w:multiLevelType w:val="hybridMultilevel"/>
    <w:tmpl w:val="DC009CA6"/>
    <w:lvl w:ilvl="0" w:tplc="25B876A4">
      <w:start w:val="1"/>
      <w:numFmt w:val="bullet"/>
      <w:lvlText w:val=""/>
      <w:lvlJc w:val="left"/>
      <w:pPr>
        <w:ind w:left="720" w:hanging="360"/>
      </w:pPr>
      <w:rPr>
        <w:rFonts w:ascii="Symbol" w:hAnsi="Symbol" w:hint="default"/>
      </w:rPr>
    </w:lvl>
    <w:lvl w:ilvl="1" w:tplc="EC561D22">
      <w:start w:val="1"/>
      <w:numFmt w:val="bullet"/>
      <w:lvlText w:val="o"/>
      <w:lvlJc w:val="left"/>
      <w:pPr>
        <w:ind w:left="1440" w:hanging="360"/>
      </w:pPr>
      <w:rPr>
        <w:rFonts w:ascii="Courier New" w:hAnsi="Courier New" w:hint="default"/>
      </w:rPr>
    </w:lvl>
    <w:lvl w:ilvl="2" w:tplc="E6E09FE2">
      <w:start w:val="1"/>
      <w:numFmt w:val="bullet"/>
      <w:lvlText w:val=""/>
      <w:lvlJc w:val="left"/>
      <w:pPr>
        <w:ind w:left="2160" w:hanging="360"/>
      </w:pPr>
      <w:rPr>
        <w:rFonts w:ascii="Wingdings" w:hAnsi="Wingdings" w:hint="default"/>
      </w:rPr>
    </w:lvl>
    <w:lvl w:ilvl="3" w:tplc="16701E48">
      <w:start w:val="1"/>
      <w:numFmt w:val="bullet"/>
      <w:lvlText w:val=""/>
      <w:lvlJc w:val="left"/>
      <w:pPr>
        <w:ind w:left="2880" w:hanging="360"/>
      </w:pPr>
      <w:rPr>
        <w:rFonts w:ascii="Symbol" w:hAnsi="Symbol" w:hint="default"/>
      </w:rPr>
    </w:lvl>
    <w:lvl w:ilvl="4" w:tplc="F204105A">
      <w:start w:val="1"/>
      <w:numFmt w:val="bullet"/>
      <w:lvlText w:val="o"/>
      <w:lvlJc w:val="left"/>
      <w:pPr>
        <w:ind w:left="3600" w:hanging="360"/>
      </w:pPr>
      <w:rPr>
        <w:rFonts w:ascii="Courier New" w:hAnsi="Courier New" w:hint="default"/>
      </w:rPr>
    </w:lvl>
    <w:lvl w:ilvl="5" w:tplc="98D6DAAC">
      <w:start w:val="1"/>
      <w:numFmt w:val="bullet"/>
      <w:lvlText w:val=""/>
      <w:lvlJc w:val="left"/>
      <w:pPr>
        <w:ind w:left="4320" w:hanging="360"/>
      </w:pPr>
      <w:rPr>
        <w:rFonts w:ascii="Wingdings" w:hAnsi="Wingdings" w:hint="default"/>
      </w:rPr>
    </w:lvl>
    <w:lvl w:ilvl="6" w:tplc="A47A6BBC">
      <w:start w:val="1"/>
      <w:numFmt w:val="bullet"/>
      <w:lvlText w:val=""/>
      <w:lvlJc w:val="left"/>
      <w:pPr>
        <w:ind w:left="5040" w:hanging="360"/>
      </w:pPr>
      <w:rPr>
        <w:rFonts w:ascii="Symbol" w:hAnsi="Symbol" w:hint="default"/>
      </w:rPr>
    </w:lvl>
    <w:lvl w:ilvl="7" w:tplc="949A7A6A">
      <w:start w:val="1"/>
      <w:numFmt w:val="bullet"/>
      <w:lvlText w:val="o"/>
      <w:lvlJc w:val="left"/>
      <w:pPr>
        <w:ind w:left="5760" w:hanging="360"/>
      </w:pPr>
      <w:rPr>
        <w:rFonts w:ascii="Courier New" w:hAnsi="Courier New" w:hint="default"/>
      </w:rPr>
    </w:lvl>
    <w:lvl w:ilvl="8" w:tplc="C6A8B1E0">
      <w:start w:val="1"/>
      <w:numFmt w:val="bullet"/>
      <w:lvlText w:val=""/>
      <w:lvlJc w:val="left"/>
      <w:pPr>
        <w:ind w:left="6480" w:hanging="360"/>
      </w:pPr>
      <w:rPr>
        <w:rFonts w:ascii="Wingdings" w:hAnsi="Wingdings" w:hint="default"/>
      </w:rPr>
    </w:lvl>
  </w:abstractNum>
  <w:abstractNum w:abstractNumId="38" w15:restartNumberingAfterBreak="0">
    <w:nsid w:val="7A973A7F"/>
    <w:multiLevelType w:val="hybridMultilevel"/>
    <w:tmpl w:val="BA96C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8248E1"/>
    <w:multiLevelType w:val="hybridMultilevel"/>
    <w:tmpl w:val="BC4C22DA"/>
    <w:lvl w:ilvl="0" w:tplc="570846C8">
      <w:start w:val="1"/>
      <w:numFmt w:val="bullet"/>
      <w:lvlText w:val="o"/>
      <w:lvlJc w:val="left"/>
      <w:pPr>
        <w:ind w:left="717" w:hanging="360"/>
      </w:pPr>
      <w:rPr>
        <w:rFonts w:ascii="Courier New" w:hAnsi="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7DFA62D4"/>
    <w:multiLevelType w:val="hybridMultilevel"/>
    <w:tmpl w:val="658E77FA"/>
    <w:lvl w:ilvl="0" w:tplc="1D128CE2">
      <w:start w:val="1"/>
      <w:numFmt w:val="decimal"/>
      <w:lvlText w:val="%1."/>
      <w:lvlJc w:val="left"/>
      <w:pPr>
        <w:ind w:left="720" w:hanging="360"/>
      </w:pPr>
    </w:lvl>
    <w:lvl w:ilvl="1" w:tplc="4AA2C15E">
      <w:start w:val="1"/>
      <w:numFmt w:val="lowerLetter"/>
      <w:lvlText w:val="%2."/>
      <w:lvlJc w:val="left"/>
      <w:pPr>
        <w:ind w:left="1440" w:hanging="360"/>
      </w:pPr>
    </w:lvl>
    <w:lvl w:ilvl="2" w:tplc="AC9E97D6">
      <w:start w:val="1"/>
      <w:numFmt w:val="lowerRoman"/>
      <w:lvlText w:val="%3."/>
      <w:lvlJc w:val="right"/>
      <w:pPr>
        <w:ind w:left="2160" w:hanging="180"/>
      </w:pPr>
    </w:lvl>
    <w:lvl w:ilvl="3" w:tplc="598837B8">
      <w:start w:val="1"/>
      <w:numFmt w:val="decimal"/>
      <w:lvlText w:val="%4."/>
      <w:lvlJc w:val="left"/>
      <w:pPr>
        <w:ind w:left="2880" w:hanging="360"/>
      </w:pPr>
    </w:lvl>
    <w:lvl w:ilvl="4" w:tplc="DD28E82A">
      <w:start w:val="1"/>
      <w:numFmt w:val="lowerLetter"/>
      <w:lvlText w:val="%5."/>
      <w:lvlJc w:val="left"/>
      <w:pPr>
        <w:ind w:left="3600" w:hanging="360"/>
      </w:pPr>
    </w:lvl>
    <w:lvl w:ilvl="5" w:tplc="409CFDC4">
      <w:start w:val="1"/>
      <w:numFmt w:val="lowerRoman"/>
      <w:lvlText w:val="%6."/>
      <w:lvlJc w:val="right"/>
      <w:pPr>
        <w:ind w:left="4320" w:hanging="180"/>
      </w:pPr>
    </w:lvl>
    <w:lvl w:ilvl="6" w:tplc="0F90491E">
      <w:start w:val="1"/>
      <w:numFmt w:val="decimal"/>
      <w:lvlText w:val="%7."/>
      <w:lvlJc w:val="left"/>
      <w:pPr>
        <w:ind w:left="5040" w:hanging="360"/>
      </w:pPr>
    </w:lvl>
    <w:lvl w:ilvl="7" w:tplc="76E22814">
      <w:start w:val="1"/>
      <w:numFmt w:val="lowerLetter"/>
      <w:lvlText w:val="%8."/>
      <w:lvlJc w:val="left"/>
      <w:pPr>
        <w:ind w:left="5760" w:hanging="360"/>
      </w:pPr>
    </w:lvl>
    <w:lvl w:ilvl="8" w:tplc="D7C8ADDC">
      <w:start w:val="1"/>
      <w:numFmt w:val="lowerRoman"/>
      <w:lvlText w:val="%9."/>
      <w:lvlJc w:val="right"/>
      <w:pPr>
        <w:ind w:left="6480" w:hanging="180"/>
      </w:pPr>
    </w:lvl>
  </w:abstractNum>
  <w:num w:numId="1" w16cid:durableId="775516298">
    <w:abstractNumId w:val="19"/>
  </w:num>
  <w:num w:numId="2" w16cid:durableId="909658714">
    <w:abstractNumId w:val="3"/>
  </w:num>
  <w:num w:numId="3" w16cid:durableId="354356615">
    <w:abstractNumId w:val="11"/>
  </w:num>
  <w:num w:numId="4" w16cid:durableId="1792475183">
    <w:abstractNumId w:val="15"/>
  </w:num>
  <w:num w:numId="5" w16cid:durableId="1010377962">
    <w:abstractNumId w:val="28"/>
  </w:num>
  <w:num w:numId="6" w16cid:durableId="2090345412">
    <w:abstractNumId w:val="24"/>
  </w:num>
  <w:num w:numId="7" w16cid:durableId="1566641341">
    <w:abstractNumId w:val="30"/>
  </w:num>
  <w:num w:numId="8" w16cid:durableId="2063865945">
    <w:abstractNumId w:val="2"/>
  </w:num>
  <w:num w:numId="9" w16cid:durableId="1442529733">
    <w:abstractNumId w:val="40"/>
  </w:num>
  <w:num w:numId="10" w16cid:durableId="1902865050">
    <w:abstractNumId w:val="25"/>
  </w:num>
  <w:num w:numId="11" w16cid:durableId="1847671377">
    <w:abstractNumId w:val="35"/>
  </w:num>
  <w:num w:numId="12" w16cid:durableId="1864400565">
    <w:abstractNumId w:val="17"/>
  </w:num>
  <w:num w:numId="13" w16cid:durableId="346489823">
    <w:abstractNumId w:val="38"/>
  </w:num>
  <w:num w:numId="14" w16cid:durableId="702942546">
    <w:abstractNumId w:val="37"/>
  </w:num>
  <w:num w:numId="15" w16cid:durableId="1977953502">
    <w:abstractNumId w:val="10"/>
  </w:num>
  <w:num w:numId="16" w16cid:durableId="172384529">
    <w:abstractNumId w:val="16"/>
  </w:num>
  <w:num w:numId="17" w16cid:durableId="71199108">
    <w:abstractNumId w:val="14"/>
  </w:num>
  <w:num w:numId="18" w16cid:durableId="1027485050">
    <w:abstractNumId w:val="34"/>
  </w:num>
  <w:num w:numId="19" w16cid:durableId="1861970074">
    <w:abstractNumId w:val="13"/>
  </w:num>
  <w:num w:numId="20" w16cid:durableId="333529526">
    <w:abstractNumId w:val="4"/>
  </w:num>
  <w:num w:numId="21" w16cid:durableId="1539852931">
    <w:abstractNumId w:val="22"/>
  </w:num>
  <w:num w:numId="22" w16cid:durableId="1207402491">
    <w:abstractNumId w:val="36"/>
  </w:num>
  <w:num w:numId="23" w16cid:durableId="636834598">
    <w:abstractNumId w:val="29"/>
  </w:num>
  <w:num w:numId="24" w16cid:durableId="17023645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82144997">
    <w:abstractNumId w:val="6"/>
  </w:num>
  <w:num w:numId="26" w16cid:durableId="88239268">
    <w:abstractNumId w:val="7"/>
  </w:num>
  <w:num w:numId="27" w16cid:durableId="2139494325">
    <w:abstractNumId w:val="12"/>
  </w:num>
  <w:num w:numId="28" w16cid:durableId="37751656">
    <w:abstractNumId w:val="26"/>
  </w:num>
  <w:num w:numId="29" w16cid:durableId="1900627367">
    <w:abstractNumId w:val="18"/>
  </w:num>
  <w:num w:numId="30" w16cid:durableId="1234586573">
    <w:abstractNumId w:val="0"/>
  </w:num>
  <w:num w:numId="31" w16cid:durableId="1011374539">
    <w:abstractNumId w:val="23"/>
  </w:num>
  <w:num w:numId="32" w16cid:durableId="130710383">
    <w:abstractNumId w:val="21"/>
  </w:num>
  <w:num w:numId="33" w16cid:durableId="786462785">
    <w:abstractNumId w:val="33"/>
  </w:num>
  <w:num w:numId="34" w16cid:durableId="409959806">
    <w:abstractNumId w:val="1"/>
  </w:num>
  <w:num w:numId="35" w16cid:durableId="696200352">
    <w:abstractNumId w:val="32"/>
  </w:num>
  <w:num w:numId="36" w16cid:durableId="581724966">
    <w:abstractNumId w:val="20"/>
  </w:num>
  <w:num w:numId="37" w16cid:durableId="1290863436">
    <w:abstractNumId w:val="39"/>
  </w:num>
  <w:num w:numId="38" w16cid:durableId="496384437">
    <w:abstractNumId w:val="9"/>
  </w:num>
  <w:num w:numId="39" w16cid:durableId="376323651">
    <w:abstractNumId w:val="31"/>
  </w:num>
  <w:num w:numId="40" w16cid:durableId="1041975813">
    <w:abstractNumId w:val="5"/>
  </w:num>
  <w:num w:numId="41" w16cid:durableId="1781992359">
    <w:abstractNumId w:val="8"/>
  </w:num>
  <w:num w:numId="42" w16cid:durableId="6909564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72A"/>
    <w:rsid w:val="00000511"/>
    <w:rsid w:val="00000CCB"/>
    <w:rsid w:val="00001245"/>
    <w:rsid w:val="000012A9"/>
    <w:rsid w:val="0000170E"/>
    <w:rsid w:val="00001BD4"/>
    <w:rsid w:val="00002B9A"/>
    <w:rsid w:val="00002FC0"/>
    <w:rsid w:val="000032A3"/>
    <w:rsid w:val="0000341F"/>
    <w:rsid w:val="000035F6"/>
    <w:rsid w:val="00003C9E"/>
    <w:rsid w:val="00003D93"/>
    <w:rsid w:val="00004304"/>
    <w:rsid w:val="0000473E"/>
    <w:rsid w:val="00004D30"/>
    <w:rsid w:val="0000519D"/>
    <w:rsid w:val="00005690"/>
    <w:rsid w:val="00005933"/>
    <w:rsid w:val="00005B7A"/>
    <w:rsid w:val="00005F36"/>
    <w:rsid w:val="00010252"/>
    <w:rsid w:val="00010797"/>
    <w:rsid w:val="00010C3E"/>
    <w:rsid w:val="00010E32"/>
    <w:rsid w:val="00011060"/>
    <w:rsid w:val="00012D63"/>
    <w:rsid w:val="00012F59"/>
    <w:rsid w:val="00013CE3"/>
    <w:rsid w:val="00013FD4"/>
    <w:rsid w:val="0001521F"/>
    <w:rsid w:val="00016589"/>
    <w:rsid w:val="000165D4"/>
    <w:rsid w:val="000167FF"/>
    <w:rsid w:val="00016867"/>
    <w:rsid w:val="00016BFC"/>
    <w:rsid w:val="00016E0D"/>
    <w:rsid w:val="00017842"/>
    <w:rsid w:val="00017D1F"/>
    <w:rsid w:val="000202C4"/>
    <w:rsid w:val="000205E0"/>
    <w:rsid w:val="000205FD"/>
    <w:rsid w:val="00020DEC"/>
    <w:rsid w:val="000210C4"/>
    <w:rsid w:val="0002150A"/>
    <w:rsid w:val="00021876"/>
    <w:rsid w:val="00021B1A"/>
    <w:rsid w:val="00021DE0"/>
    <w:rsid w:val="000225B4"/>
    <w:rsid w:val="0002349B"/>
    <w:rsid w:val="00023F3F"/>
    <w:rsid w:val="0002464D"/>
    <w:rsid w:val="00024671"/>
    <w:rsid w:val="00024750"/>
    <w:rsid w:val="00024EAF"/>
    <w:rsid w:val="00025654"/>
    <w:rsid w:val="00025D8A"/>
    <w:rsid w:val="0002618A"/>
    <w:rsid w:val="000276AC"/>
    <w:rsid w:val="00027A01"/>
    <w:rsid w:val="0003042A"/>
    <w:rsid w:val="000308D2"/>
    <w:rsid w:val="0003143E"/>
    <w:rsid w:val="00031562"/>
    <w:rsid w:val="00031587"/>
    <w:rsid w:val="0003214A"/>
    <w:rsid w:val="00032331"/>
    <w:rsid w:val="00033DC0"/>
    <w:rsid w:val="00034F6B"/>
    <w:rsid w:val="0003527D"/>
    <w:rsid w:val="000361F5"/>
    <w:rsid w:val="0003630B"/>
    <w:rsid w:val="00037A92"/>
    <w:rsid w:val="00037BE4"/>
    <w:rsid w:val="00037C5A"/>
    <w:rsid w:val="0004078D"/>
    <w:rsid w:val="00042089"/>
    <w:rsid w:val="000427BD"/>
    <w:rsid w:val="000429FF"/>
    <w:rsid w:val="000437AE"/>
    <w:rsid w:val="0004386F"/>
    <w:rsid w:val="0004406F"/>
    <w:rsid w:val="00044422"/>
    <w:rsid w:val="00044778"/>
    <w:rsid w:val="00045654"/>
    <w:rsid w:val="00045C30"/>
    <w:rsid w:val="00046054"/>
    <w:rsid w:val="000464C4"/>
    <w:rsid w:val="00046669"/>
    <w:rsid w:val="000466FF"/>
    <w:rsid w:val="00047001"/>
    <w:rsid w:val="0004757C"/>
    <w:rsid w:val="000476A3"/>
    <w:rsid w:val="00047726"/>
    <w:rsid w:val="00047B30"/>
    <w:rsid w:val="000506E3"/>
    <w:rsid w:val="00050F65"/>
    <w:rsid w:val="0005129C"/>
    <w:rsid w:val="00051753"/>
    <w:rsid w:val="00051A00"/>
    <w:rsid w:val="00051DB8"/>
    <w:rsid w:val="00052360"/>
    <w:rsid w:val="00052368"/>
    <w:rsid w:val="00052397"/>
    <w:rsid w:val="000527AD"/>
    <w:rsid w:val="00052AC7"/>
    <w:rsid w:val="00053359"/>
    <w:rsid w:val="00053407"/>
    <w:rsid w:val="000539E1"/>
    <w:rsid w:val="00054F78"/>
    <w:rsid w:val="000550F9"/>
    <w:rsid w:val="00055268"/>
    <w:rsid w:val="0005574B"/>
    <w:rsid w:val="00055CB9"/>
    <w:rsid w:val="000560FE"/>
    <w:rsid w:val="00056550"/>
    <w:rsid w:val="00056D75"/>
    <w:rsid w:val="00056DB7"/>
    <w:rsid w:val="00057206"/>
    <w:rsid w:val="00060172"/>
    <w:rsid w:val="00061C6A"/>
    <w:rsid w:val="00061F40"/>
    <w:rsid w:val="00062543"/>
    <w:rsid w:val="0006283A"/>
    <w:rsid w:val="0006319B"/>
    <w:rsid w:val="00064322"/>
    <w:rsid w:val="000645B8"/>
    <w:rsid w:val="000645C4"/>
    <w:rsid w:val="0006469A"/>
    <w:rsid w:val="00065518"/>
    <w:rsid w:val="000656BA"/>
    <w:rsid w:val="0006648D"/>
    <w:rsid w:val="0006650D"/>
    <w:rsid w:val="00066EFD"/>
    <w:rsid w:val="00067047"/>
    <w:rsid w:val="000679E9"/>
    <w:rsid w:val="00067DF7"/>
    <w:rsid w:val="00067E31"/>
    <w:rsid w:val="000702E5"/>
    <w:rsid w:val="00071514"/>
    <w:rsid w:val="00071B6D"/>
    <w:rsid w:val="00071BA2"/>
    <w:rsid w:val="00071C8C"/>
    <w:rsid w:val="000721C5"/>
    <w:rsid w:val="00072207"/>
    <w:rsid w:val="00072735"/>
    <w:rsid w:val="0007286D"/>
    <w:rsid w:val="00073A15"/>
    <w:rsid w:val="00074CC4"/>
    <w:rsid w:val="00075170"/>
    <w:rsid w:val="00076837"/>
    <w:rsid w:val="0007703A"/>
    <w:rsid w:val="000774A2"/>
    <w:rsid w:val="00077930"/>
    <w:rsid w:val="00077A50"/>
    <w:rsid w:val="00077B7D"/>
    <w:rsid w:val="00077CD0"/>
    <w:rsid w:val="0008072A"/>
    <w:rsid w:val="0008109F"/>
    <w:rsid w:val="0008140F"/>
    <w:rsid w:val="00082009"/>
    <w:rsid w:val="000822DD"/>
    <w:rsid w:val="00082AC8"/>
    <w:rsid w:val="00083A0D"/>
    <w:rsid w:val="000845C8"/>
    <w:rsid w:val="0008582C"/>
    <w:rsid w:val="00085A85"/>
    <w:rsid w:val="00085D2E"/>
    <w:rsid w:val="00086260"/>
    <w:rsid w:val="0008742E"/>
    <w:rsid w:val="00087773"/>
    <w:rsid w:val="00091094"/>
    <w:rsid w:val="0009112F"/>
    <w:rsid w:val="000912FA"/>
    <w:rsid w:val="00091609"/>
    <w:rsid w:val="000918DE"/>
    <w:rsid w:val="00091D37"/>
    <w:rsid w:val="000929E3"/>
    <w:rsid w:val="00093325"/>
    <w:rsid w:val="00094B46"/>
    <w:rsid w:val="0009533D"/>
    <w:rsid w:val="0009543B"/>
    <w:rsid w:val="00097145"/>
    <w:rsid w:val="00097760"/>
    <w:rsid w:val="00097D8B"/>
    <w:rsid w:val="000A1D24"/>
    <w:rsid w:val="000A306D"/>
    <w:rsid w:val="000A3217"/>
    <w:rsid w:val="000A335D"/>
    <w:rsid w:val="000A3E9E"/>
    <w:rsid w:val="000A44DE"/>
    <w:rsid w:val="000A49CD"/>
    <w:rsid w:val="000A5850"/>
    <w:rsid w:val="000A5C05"/>
    <w:rsid w:val="000A5C55"/>
    <w:rsid w:val="000A5D91"/>
    <w:rsid w:val="000B15CF"/>
    <w:rsid w:val="000B19B6"/>
    <w:rsid w:val="000B1B0B"/>
    <w:rsid w:val="000B1DB3"/>
    <w:rsid w:val="000B1DDD"/>
    <w:rsid w:val="000B21BD"/>
    <w:rsid w:val="000B250F"/>
    <w:rsid w:val="000B266C"/>
    <w:rsid w:val="000B2D8F"/>
    <w:rsid w:val="000B3841"/>
    <w:rsid w:val="000B3F35"/>
    <w:rsid w:val="000B4741"/>
    <w:rsid w:val="000B47EF"/>
    <w:rsid w:val="000B4AE5"/>
    <w:rsid w:val="000B4EA4"/>
    <w:rsid w:val="000B56BE"/>
    <w:rsid w:val="000B647B"/>
    <w:rsid w:val="000B6775"/>
    <w:rsid w:val="000B6B9B"/>
    <w:rsid w:val="000B772F"/>
    <w:rsid w:val="000B779D"/>
    <w:rsid w:val="000C0E4A"/>
    <w:rsid w:val="000C11EA"/>
    <w:rsid w:val="000C1CC1"/>
    <w:rsid w:val="000C1CD3"/>
    <w:rsid w:val="000C2740"/>
    <w:rsid w:val="000C2CE1"/>
    <w:rsid w:val="000C2E66"/>
    <w:rsid w:val="000C3AF1"/>
    <w:rsid w:val="000C3E39"/>
    <w:rsid w:val="000C3F12"/>
    <w:rsid w:val="000C5BCC"/>
    <w:rsid w:val="000C5CD6"/>
    <w:rsid w:val="000C5E0E"/>
    <w:rsid w:val="000C66EE"/>
    <w:rsid w:val="000C7AB1"/>
    <w:rsid w:val="000C7C36"/>
    <w:rsid w:val="000D0445"/>
    <w:rsid w:val="000D0C6F"/>
    <w:rsid w:val="000D0E96"/>
    <w:rsid w:val="000D10D5"/>
    <w:rsid w:val="000D2545"/>
    <w:rsid w:val="000D2DEB"/>
    <w:rsid w:val="000D41FB"/>
    <w:rsid w:val="000D4218"/>
    <w:rsid w:val="000D4A42"/>
    <w:rsid w:val="000D4D8F"/>
    <w:rsid w:val="000D5628"/>
    <w:rsid w:val="000D60AF"/>
    <w:rsid w:val="000D6644"/>
    <w:rsid w:val="000D680A"/>
    <w:rsid w:val="000D7A77"/>
    <w:rsid w:val="000D7AB7"/>
    <w:rsid w:val="000E1220"/>
    <w:rsid w:val="000E17CB"/>
    <w:rsid w:val="000E1893"/>
    <w:rsid w:val="000E2075"/>
    <w:rsid w:val="000E21ED"/>
    <w:rsid w:val="000E2597"/>
    <w:rsid w:val="000E2875"/>
    <w:rsid w:val="000E3BFF"/>
    <w:rsid w:val="000E3C0E"/>
    <w:rsid w:val="000E5E65"/>
    <w:rsid w:val="000E60C4"/>
    <w:rsid w:val="000E6302"/>
    <w:rsid w:val="000E71C4"/>
    <w:rsid w:val="000E71F3"/>
    <w:rsid w:val="000E75E9"/>
    <w:rsid w:val="000F1588"/>
    <w:rsid w:val="000F16D1"/>
    <w:rsid w:val="000F21CC"/>
    <w:rsid w:val="000F388E"/>
    <w:rsid w:val="000F3972"/>
    <w:rsid w:val="000F39BB"/>
    <w:rsid w:val="000F3A34"/>
    <w:rsid w:val="000F3CB7"/>
    <w:rsid w:val="000F45C5"/>
    <w:rsid w:val="000F47FC"/>
    <w:rsid w:val="000F4CE5"/>
    <w:rsid w:val="000F4EAE"/>
    <w:rsid w:val="000F5184"/>
    <w:rsid w:val="000F580A"/>
    <w:rsid w:val="000F6B50"/>
    <w:rsid w:val="000F7578"/>
    <w:rsid w:val="00100010"/>
    <w:rsid w:val="00100B40"/>
    <w:rsid w:val="00100D15"/>
    <w:rsid w:val="0010175C"/>
    <w:rsid w:val="001019A0"/>
    <w:rsid w:val="00101D4D"/>
    <w:rsid w:val="00103FB8"/>
    <w:rsid w:val="00104171"/>
    <w:rsid w:val="00104341"/>
    <w:rsid w:val="001045E8"/>
    <w:rsid w:val="001049F6"/>
    <w:rsid w:val="00104D34"/>
    <w:rsid w:val="0010516C"/>
    <w:rsid w:val="001057A2"/>
    <w:rsid w:val="0010581F"/>
    <w:rsid w:val="00105C40"/>
    <w:rsid w:val="00106CCC"/>
    <w:rsid w:val="00106F81"/>
    <w:rsid w:val="001072DD"/>
    <w:rsid w:val="0010786A"/>
    <w:rsid w:val="001100DC"/>
    <w:rsid w:val="00110351"/>
    <w:rsid w:val="00110380"/>
    <w:rsid w:val="001110EB"/>
    <w:rsid w:val="001115FD"/>
    <w:rsid w:val="00111851"/>
    <w:rsid w:val="00111997"/>
    <w:rsid w:val="00111B3A"/>
    <w:rsid w:val="001124C0"/>
    <w:rsid w:val="0011316C"/>
    <w:rsid w:val="0011336A"/>
    <w:rsid w:val="001133B1"/>
    <w:rsid w:val="001135E5"/>
    <w:rsid w:val="00114644"/>
    <w:rsid w:val="00115459"/>
    <w:rsid w:val="00115AA6"/>
    <w:rsid w:val="00116F39"/>
    <w:rsid w:val="0011726C"/>
    <w:rsid w:val="00117DD9"/>
    <w:rsid w:val="0012016D"/>
    <w:rsid w:val="00120202"/>
    <w:rsid w:val="001203BC"/>
    <w:rsid w:val="0012044F"/>
    <w:rsid w:val="001204DB"/>
    <w:rsid w:val="00120BAD"/>
    <w:rsid w:val="0012126E"/>
    <w:rsid w:val="001214DC"/>
    <w:rsid w:val="00121568"/>
    <w:rsid w:val="0012167D"/>
    <w:rsid w:val="00121A29"/>
    <w:rsid w:val="00121FAA"/>
    <w:rsid w:val="00122DE1"/>
    <w:rsid w:val="00123526"/>
    <w:rsid w:val="00123D87"/>
    <w:rsid w:val="00123E64"/>
    <w:rsid w:val="00124755"/>
    <w:rsid w:val="00125B91"/>
    <w:rsid w:val="00127491"/>
    <w:rsid w:val="00130448"/>
    <w:rsid w:val="0013245F"/>
    <w:rsid w:val="00132720"/>
    <w:rsid w:val="00132A68"/>
    <w:rsid w:val="00133B0A"/>
    <w:rsid w:val="00134282"/>
    <w:rsid w:val="0013457C"/>
    <w:rsid w:val="00134C20"/>
    <w:rsid w:val="00135545"/>
    <w:rsid w:val="00135726"/>
    <w:rsid w:val="00135AD9"/>
    <w:rsid w:val="00135B48"/>
    <w:rsid w:val="00135B58"/>
    <w:rsid w:val="001367A0"/>
    <w:rsid w:val="00136879"/>
    <w:rsid w:val="00137BA6"/>
    <w:rsid w:val="001408CC"/>
    <w:rsid w:val="00140A29"/>
    <w:rsid w:val="00140F5E"/>
    <w:rsid w:val="00141670"/>
    <w:rsid w:val="00143419"/>
    <w:rsid w:val="00143814"/>
    <w:rsid w:val="0014396F"/>
    <w:rsid w:val="00143B8D"/>
    <w:rsid w:val="001458A1"/>
    <w:rsid w:val="00146545"/>
    <w:rsid w:val="00147195"/>
    <w:rsid w:val="00147789"/>
    <w:rsid w:val="00147D72"/>
    <w:rsid w:val="00150DC5"/>
    <w:rsid w:val="001521C7"/>
    <w:rsid w:val="001536D1"/>
    <w:rsid w:val="00153CAF"/>
    <w:rsid w:val="00154434"/>
    <w:rsid w:val="001544F1"/>
    <w:rsid w:val="001551C1"/>
    <w:rsid w:val="00155327"/>
    <w:rsid w:val="001558C8"/>
    <w:rsid w:val="00155F55"/>
    <w:rsid w:val="0015662E"/>
    <w:rsid w:val="00157283"/>
    <w:rsid w:val="001574C1"/>
    <w:rsid w:val="00157901"/>
    <w:rsid w:val="001603A1"/>
    <w:rsid w:val="00161BFA"/>
    <w:rsid w:val="00161D3D"/>
    <w:rsid w:val="001625C2"/>
    <w:rsid w:val="00162820"/>
    <w:rsid w:val="00163F18"/>
    <w:rsid w:val="00164A05"/>
    <w:rsid w:val="00164A77"/>
    <w:rsid w:val="001654BB"/>
    <w:rsid w:val="00165B85"/>
    <w:rsid w:val="00165F21"/>
    <w:rsid w:val="00167128"/>
    <w:rsid w:val="00170F2D"/>
    <w:rsid w:val="00171D6E"/>
    <w:rsid w:val="001722C5"/>
    <w:rsid w:val="00172853"/>
    <w:rsid w:val="001730B2"/>
    <w:rsid w:val="00173E62"/>
    <w:rsid w:val="00174415"/>
    <w:rsid w:val="0017664C"/>
    <w:rsid w:val="00176F90"/>
    <w:rsid w:val="00177C82"/>
    <w:rsid w:val="001800E1"/>
    <w:rsid w:val="0018035D"/>
    <w:rsid w:val="001806DC"/>
    <w:rsid w:val="00180BF5"/>
    <w:rsid w:val="001824F2"/>
    <w:rsid w:val="00182E7F"/>
    <w:rsid w:val="00183634"/>
    <w:rsid w:val="001842A4"/>
    <w:rsid w:val="001845AA"/>
    <w:rsid w:val="001867DE"/>
    <w:rsid w:val="0018680A"/>
    <w:rsid w:val="0018681B"/>
    <w:rsid w:val="0018697A"/>
    <w:rsid w:val="001876B4"/>
    <w:rsid w:val="001876F1"/>
    <w:rsid w:val="00190AB1"/>
    <w:rsid w:val="00191DFE"/>
    <w:rsid w:val="00191F40"/>
    <w:rsid w:val="001937D1"/>
    <w:rsid w:val="00193E58"/>
    <w:rsid w:val="00193F53"/>
    <w:rsid w:val="00194E23"/>
    <w:rsid w:val="001957FC"/>
    <w:rsid w:val="00196522"/>
    <w:rsid w:val="00196E92"/>
    <w:rsid w:val="0019757D"/>
    <w:rsid w:val="00197DCC"/>
    <w:rsid w:val="00197ED2"/>
    <w:rsid w:val="001A02AD"/>
    <w:rsid w:val="001A0490"/>
    <w:rsid w:val="001A0B49"/>
    <w:rsid w:val="001A1BDE"/>
    <w:rsid w:val="001A28D7"/>
    <w:rsid w:val="001A2C35"/>
    <w:rsid w:val="001A34A0"/>
    <w:rsid w:val="001A44B4"/>
    <w:rsid w:val="001A4CBB"/>
    <w:rsid w:val="001A5993"/>
    <w:rsid w:val="001A5D87"/>
    <w:rsid w:val="001A5ED7"/>
    <w:rsid w:val="001A74D5"/>
    <w:rsid w:val="001B1B45"/>
    <w:rsid w:val="001B1D42"/>
    <w:rsid w:val="001B270A"/>
    <w:rsid w:val="001B2EC1"/>
    <w:rsid w:val="001B3F9B"/>
    <w:rsid w:val="001B404E"/>
    <w:rsid w:val="001B4D7B"/>
    <w:rsid w:val="001B5604"/>
    <w:rsid w:val="001B5B6D"/>
    <w:rsid w:val="001B5E21"/>
    <w:rsid w:val="001B68D3"/>
    <w:rsid w:val="001B71EC"/>
    <w:rsid w:val="001B738C"/>
    <w:rsid w:val="001B7B55"/>
    <w:rsid w:val="001B7FE5"/>
    <w:rsid w:val="001C0874"/>
    <w:rsid w:val="001C1191"/>
    <w:rsid w:val="001C18C0"/>
    <w:rsid w:val="001C1BFF"/>
    <w:rsid w:val="001C1C22"/>
    <w:rsid w:val="001C26F2"/>
    <w:rsid w:val="001C27F8"/>
    <w:rsid w:val="001C2CC2"/>
    <w:rsid w:val="001C3F03"/>
    <w:rsid w:val="001C4300"/>
    <w:rsid w:val="001C445A"/>
    <w:rsid w:val="001C5407"/>
    <w:rsid w:val="001C57BC"/>
    <w:rsid w:val="001C59E2"/>
    <w:rsid w:val="001C5D83"/>
    <w:rsid w:val="001C63A8"/>
    <w:rsid w:val="001C693C"/>
    <w:rsid w:val="001C705B"/>
    <w:rsid w:val="001C7C0A"/>
    <w:rsid w:val="001C7D5C"/>
    <w:rsid w:val="001D01DB"/>
    <w:rsid w:val="001D084A"/>
    <w:rsid w:val="001D1628"/>
    <w:rsid w:val="001D1EF8"/>
    <w:rsid w:val="001D20B3"/>
    <w:rsid w:val="001D2F94"/>
    <w:rsid w:val="001D36C0"/>
    <w:rsid w:val="001D3BBF"/>
    <w:rsid w:val="001D47C0"/>
    <w:rsid w:val="001D4891"/>
    <w:rsid w:val="001D5074"/>
    <w:rsid w:val="001D50D0"/>
    <w:rsid w:val="001D5343"/>
    <w:rsid w:val="001D5E72"/>
    <w:rsid w:val="001D5F2F"/>
    <w:rsid w:val="001E08AF"/>
    <w:rsid w:val="001E1911"/>
    <w:rsid w:val="001E1E14"/>
    <w:rsid w:val="001E1E91"/>
    <w:rsid w:val="001E4819"/>
    <w:rsid w:val="001E4B32"/>
    <w:rsid w:val="001E6014"/>
    <w:rsid w:val="001E6218"/>
    <w:rsid w:val="001E7304"/>
    <w:rsid w:val="001F0604"/>
    <w:rsid w:val="001F0871"/>
    <w:rsid w:val="001F1B27"/>
    <w:rsid w:val="001F24F1"/>
    <w:rsid w:val="001F4BCF"/>
    <w:rsid w:val="001F536D"/>
    <w:rsid w:val="001F53ED"/>
    <w:rsid w:val="001F58C5"/>
    <w:rsid w:val="001F64AC"/>
    <w:rsid w:val="001F6710"/>
    <w:rsid w:val="001F69B6"/>
    <w:rsid w:val="001F6CED"/>
    <w:rsid w:val="001F7396"/>
    <w:rsid w:val="001F7CBE"/>
    <w:rsid w:val="001F7D7A"/>
    <w:rsid w:val="001F7DCF"/>
    <w:rsid w:val="00200B29"/>
    <w:rsid w:val="00200D3F"/>
    <w:rsid w:val="00201ECD"/>
    <w:rsid w:val="002024F2"/>
    <w:rsid w:val="00203368"/>
    <w:rsid w:val="00203C48"/>
    <w:rsid w:val="00203D51"/>
    <w:rsid w:val="00204132"/>
    <w:rsid w:val="00204666"/>
    <w:rsid w:val="00204DD4"/>
    <w:rsid w:val="00206146"/>
    <w:rsid w:val="00206345"/>
    <w:rsid w:val="0020673D"/>
    <w:rsid w:val="00206C39"/>
    <w:rsid w:val="00206C58"/>
    <w:rsid w:val="0020736E"/>
    <w:rsid w:val="0020762C"/>
    <w:rsid w:val="00207834"/>
    <w:rsid w:val="00207C93"/>
    <w:rsid w:val="00210233"/>
    <w:rsid w:val="0021094F"/>
    <w:rsid w:val="00210C2D"/>
    <w:rsid w:val="002110C6"/>
    <w:rsid w:val="00212642"/>
    <w:rsid w:val="002127A2"/>
    <w:rsid w:val="002129F7"/>
    <w:rsid w:val="002132CE"/>
    <w:rsid w:val="002136FF"/>
    <w:rsid w:val="00214FC4"/>
    <w:rsid w:val="00215677"/>
    <w:rsid w:val="002159AE"/>
    <w:rsid w:val="002174E1"/>
    <w:rsid w:val="002207E5"/>
    <w:rsid w:val="00221935"/>
    <w:rsid w:val="0022603E"/>
    <w:rsid w:val="0022606B"/>
    <w:rsid w:val="00226A78"/>
    <w:rsid w:val="00227BBB"/>
    <w:rsid w:val="0023013E"/>
    <w:rsid w:val="00230A79"/>
    <w:rsid w:val="00230B34"/>
    <w:rsid w:val="00230D02"/>
    <w:rsid w:val="00232900"/>
    <w:rsid w:val="00233230"/>
    <w:rsid w:val="002341C1"/>
    <w:rsid w:val="002348AB"/>
    <w:rsid w:val="00234DA6"/>
    <w:rsid w:val="002376F0"/>
    <w:rsid w:val="0023794F"/>
    <w:rsid w:val="0023AE4D"/>
    <w:rsid w:val="0024062F"/>
    <w:rsid w:val="00240D51"/>
    <w:rsid w:val="002438C7"/>
    <w:rsid w:val="00243EB7"/>
    <w:rsid w:val="002440A7"/>
    <w:rsid w:val="0024411D"/>
    <w:rsid w:val="00244A4B"/>
    <w:rsid w:val="00244E89"/>
    <w:rsid w:val="00245FC1"/>
    <w:rsid w:val="00246A99"/>
    <w:rsid w:val="00247188"/>
    <w:rsid w:val="002471E0"/>
    <w:rsid w:val="00250721"/>
    <w:rsid w:val="002515E6"/>
    <w:rsid w:val="00252070"/>
    <w:rsid w:val="00252917"/>
    <w:rsid w:val="0025299D"/>
    <w:rsid w:val="002537C6"/>
    <w:rsid w:val="00254185"/>
    <w:rsid w:val="00254317"/>
    <w:rsid w:val="00254401"/>
    <w:rsid w:val="0025480F"/>
    <w:rsid w:val="0025568D"/>
    <w:rsid w:val="00255C4E"/>
    <w:rsid w:val="002562A2"/>
    <w:rsid w:val="002565DC"/>
    <w:rsid w:val="00256989"/>
    <w:rsid w:val="00256FC7"/>
    <w:rsid w:val="00260AB8"/>
    <w:rsid w:val="00260E37"/>
    <w:rsid w:val="00261429"/>
    <w:rsid w:val="002616DB"/>
    <w:rsid w:val="00261FF3"/>
    <w:rsid w:val="00262640"/>
    <w:rsid w:val="00264026"/>
    <w:rsid w:val="00264769"/>
    <w:rsid w:val="00264A12"/>
    <w:rsid w:val="00264A2F"/>
    <w:rsid w:val="002653FC"/>
    <w:rsid w:val="002671E0"/>
    <w:rsid w:val="00267230"/>
    <w:rsid w:val="00267DAE"/>
    <w:rsid w:val="00270336"/>
    <w:rsid w:val="00270952"/>
    <w:rsid w:val="00270C45"/>
    <w:rsid w:val="00271309"/>
    <w:rsid w:val="00271AD5"/>
    <w:rsid w:val="0027233F"/>
    <w:rsid w:val="002726C3"/>
    <w:rsid w:val="002734AB"/>
    <w:rsid w:val="0027375A"/>
    <w:rsid w:val="00274D58"/>
    <w:rsid w:val="0027502D"/>
    <w:rsid w:val="002757FC"/>
    <w:rsid w:val="00275D24"/>
    <w:rsid w:val="002764BE"/>
    <w:rsid w:val="00276514"/>
    <w:rsid w:val="002767CE"/>
    <w:rsid w:val="002771A5"/>
    <w:rsid w:val="0027760C"/>
    <w:rsid w:val="00280079"/>
    <w:rsid w:val="00280191"/>
    <w:rsid w:val="00280611"/>
    <w:rsid w:val="002809A8"/>
    <w:rsid w:val="0028171D"/>
    <w:rsid w:val="00281AAB"/>
    <w:rsid w:val="00281C71"/>
    <w:rsid w:val="00282303"/>
    <w:rsid w:val="00282365"/>
    <w:rsid w:val="00282C96"/>
    <w:rsid w:val="00283E14"/>
    <w:rsid w:val="00284954"/>
    <w:rsid w:val="00285838"/>
    <w:rsid w:val="00286F94"/>
    <w:rsid w:val="002874F8"/>
    <w:rsid w:val="00287679"/>
    <w:rsid w:val="002907F5"/>
    <w:rsid w:val="00291343"/>
    <w:rsid w:val="002914B4"/>
    <w:rsid w:val="00291A06"/>
    <w:rsid w:val="00291CD1"/>
    <w:rsid w:val="002939C3"/>
    <w:rsid w:val="002970FC"/>
    <w:rsid w:val="00297294"/>
    <w:rsid w:val="002973E9"/>
    <w:rsid w:val="00297C66"/>
    <w:rsid w:val="002A09CC"/>
    <w:rsid w:val="002A0E18"/>
    <w:rsid w:val="002A0F42"/>
    <w:rsid w:val="002A139D"/>
    <w:rsid w:val="002A15D2"/>
    <w:rsid w:val="002A1E63"/>
    <w:rsid w:val="002A2349"/>
    <w:rsid w:val="002A23D7"/>
    <w:rsid w:val="002A3142"/>
    <w:rsid w:val="002A323D"/>
    <w:rsid w:val="002A3896"/>
    <w:rsid w:val="002A4F49"/>
    <w:rsid w:val="002A5280"/>
    <w:rsid w:val="002A5441"/>
    <w:rsid w:val="002A5AC5"/>
    <w:rsid w:val="002A5FA5"/>
    <w:rsid w:val="002A6305"/>
    <w:rsid w:val="002A6516"/>
    <w:rsid w:val="002A65B6"/>
    <w:rsid w:val="002A70DB"/>
    <w:rsid w:val="002B0403"/>
    <w:rsid w:val="002B0E17"/>
    <w:rsid w:val="002B17C6"/>
    <w:rsid w:val="002B1FD2"/>
    <w:rsid w:val="002B2324"/>
    <w:rsid w:val="002B29E1"/>
    <w:rsid w:val="002B2A42"/>
    <w:rsid w:val="002B4939"/>
    <w:rsid w:val="002B4EC2"/>
    <w:rsid w:val="002C07B9"/>
    <w:rsid w:val="002C13A7"/>
    <w:rsid w:val="002C1EFB"/>
    <w:rsid w:val="002C2067"/>
    <w:rsid w:val="002C2735"/>
    <w:rsid w:val="002C2E91"/>
    <w:rsid w:val="002C360B"/>
    <w:rsid w:val="002C3892"/>
    <w:rsid w:val="002C3C48"/>
    <w:rsid w:val="002C42E8"/>
    <w:rsid w:val="002C474D"/>
    <w:rsid w:val="002C4C53"/>
    <w:rsid w:val="002C531D"/>
    <w:rsid w:val="002C5889"/>
    <w:rsid w:val="002C5EB0"/>
    <w:rsid w:val="002C6FE2"/>
    <w:rsid w:val="002C7E7E"/>
    <w:rsid w:val="002D009A"/>
    <w:rsid w:val="002D048C"/>
    <w:rsid w:val="002D1344"/>
    <w:rsid w:val="002D1B21"/>
    <w:rsid w:val="002D21F9"/>
    <w:rsid w:val="002D2736"/>
    <w:rsid w:val="002D28E4"/>
    <w:rsid w:val="002D3092"/>
    <w:rsid w:val="002D3DC5"/>
    <w:rsid w:val="002D4015"/>
    <w:rsid w:val="002D448A"/>
    <w:rsid w:val="002D497E"/>
    <w:rsid w:val="002D4D9E"/>
    <w:rsid w:val="002D4E32"/>
    <w:rsid w:val="002D5224"/>
    <w:rsid w:val="002D58AA"/>
    <w:rsid w:val="002D687B"/>
    <w:rsid w:val="002D6ECD"/>
    <w:rsid w:val="002D7446"/>
    <w:rsid w:val="002D75DC"/>
    <w:rsid w:val="002E03FB"/>
    <w:rsid w:val="002E07EC"/>
    <w:rsid w:val="002E1630"/>
    <w:rsid w:val="002E18F2"/>
    <w:rsid w:val="002E261E"/>
    <w:rsid w:val="002E2CBE"/>
    <w:rsid w:val="002E32B7"/>
    <w:rsid w:val="002E348A"/>
    <w:rsid w:val="002E46D4"/>
    <w:rsid w:val="002E4CA5"/>
    <w:rsid w:val="002E5362"/>
    <w:rsid w:val="002E5538"/>
    <w:rsid w:val="002E5CD4"/>
    <w:rsid w:val="002E5EF9"/>
    <w:rsid w:val="002E6500"/>
    <w:rsid w:val="002E67D4"/>
    <w:rsid w:val="002E6A36"/>
    <w:rsid w:val="002E6BD0"/>
    <w:rsid w:val="002E6D2A"/>
    <w:rsid w:val="002E6DED"/>
    <w:rsid w:val="002E711A"/>
    <w:rsid w:val="002E71CF"/>
    <w:rsid w:val="002E72E4"/>
    <w:rsid w:val="002E74C8"/>
    <w:rsid w:val="002F0B99"/>
    <w:rsid w:val="002F1B33"/>
    <w:rsid w:val="002F2925"/>
    <w:rsid w:val="002F2F62"/>
    <w:rsid w:val="002F3428"/>
    <w:rsid w:val="002F379E"/>
    <w:rsid w:val="002F3D94"/>
    <w:rsid w:val="002F5920"/>
    <w:rsid w:val="002F62D5"/>
    <w:rsid w:val="002F6A59"/>
    <w:rsid w:val="002F6CFD"/>
    <w:rsid w:val="002F713C"/>
    <w:rsid w:val="002F7199"/>
    <w:rsid w:val="002F734E"/>
    <w:rsid w:val="002F7766"/>
    <w:rsid w:val="002F7DB6"/>
    <w:rsid w:val="0030096F"/>
    <w:rsid w:val="003023CC"/>
    <w:rsid w:val="00302619"/>
    <w:rsid w:val="0030261F"/>
    <w:rsid w:val="003028CD"/>
    <w:rsid w:val="00302E41"/>
    <w:rsid w:val="00303298"/>
    <w:rsid w:val="00305578"/>
    <w:rsid w:val="0030642A"/>
    <w:rsid w:val="00310196"/>
    <w:rsid w:val="00310614"/>
    <w:rsid w:val="00311A70"/>
    <w:rsid w:val="0031218E"/>
    <w:rsid w:val="00312797"/>
    <w:rsid w:val="00312AC3"/>
    <w:rsid w:val="0031301C"/>
    <w:rsid w:val="00313592"/>
    <w:rsid w:val="003153F4"/>
    <w:rsid w:val="003155E6"/>
    <w:rsid w:val="0031573B"/>
    <w:rsid w:val="003159A9"/>
    <w:rsid w:val="00315D1C"/>
    <w:rsid w:val="00315D35"/>
    <w:rsid w:val="00315FFB"/>
    <w:rsid w:val="00316435"/>
    <w:rsid w:val="0031683D"/>
    <w:rsid w:val="00317A93"/>
    <w:rsid w:val="00320255"/>
    <w:rsid w:val="00320873"/>
    <w:rsid w:val="00320AEF"/>
    <w:rsid w:val="00320C55"/>
    <w:rsid w:val="00321E13"/>
    <w:rsid w:val="0032240C"/>
    <w:rsid w:val="00322831"/>
    <w:rsid w:val="00322C01"/>
    <w:rsid w:val="00322DA5"/>
    <w:rsid w:val="003230EA"/>
    <w:rsid w:val="003239D1"/>
    <w:rsid w:val="003243DA"/>
    <w:rsid w:val="0032457A"/>
    <w:rsid w:val="00324C05"/>
    <w:rsid w:val="00324CB9"/>
    <w:rsid w:val="0032522D"/>
    <w:rsid w:val="0032576D"/>
    <w:rsid w:val="00326450"/>
    <w:rsid w:val="003264D1"/>
    <w:rsid w:val="00326585"/>
    <w:rsid w:val="003302C0"/>
    <w:rsid w:val="003305D1"/>
    <w:rsid w:val="0033074C"/>
    <w:rsid w:val="00330C70"/>
    <w:rsid w:val="00330DA6"/>
    <w:rsid w:val="0033116C"/>
    <w:rsid w:val="00331604"/>
    <w:rsid w:val="00331D18"/>
    <w:rsid w:val="00332755"/>
    <w:rsid w:val="0033365A"/>
    <w:rsid w:val="00333EDD"/>
    <w:rsid w:val="003354C1"/>
    <w:rsid w:val="00335ECC"/>
    <w:rsid w:val="0033638E"/>
    <w:rsid w:val="00336CE9"/>
    <w:rsid w:val="00340024"/>
    <w:rsid w:val="0034021A"/>
    <w:rsid w:val="0034082D"/>
    <w:rsid w:val="00341521"/>
    <w:rsid w:val="003417CA"/>
    <w:rsid w:val="00341EDD"/>
    <w:rsid w:val="00342E3D"/>
    <w:rsid w:val="003436C4"/>
    <w:rsid w:val="00343ACA"/>
    <w:rsid w:val="00343F43"/>
    <w:rsid w:val="00344459"/>
    <w:rsid w:val="00344B03"/>
    <w:rsid w:val="00344CA4"/>
    <w:rsid w:val="0034584C"/>
    <w:rsid w:val="0034660D"/>
    <w:rsid w:val="00350B97"/>
    <w:rsid w:val="00350D9E"/>
    <w:rsid w:val="00350D9F"/>
    <w:rsid w:val="003519B0"/>
    <w:rsid w:val="003519E2"/>
    <w:rsid w:val="00351B7C"/>
    <w:rsid w:val="00352590"/>
    <w:rsid w:val="00352C1D"/>
    <w:rsid w:val="00353EF1"/>
    <w:rsid w:val="00354DAE"/>
    <w:rsid w:val="00355842"/>
    <w:rsid w:val="00356039"/>
    <w:rsid w:val="0035618E"/>
    <w:rsid w:val="0035668F"/>
    <w:rsid w:val="00356D8A"/>
    <w:rsid w:val="00356F62"/>
    <w:rsid w:val="00357D3A"/>
    <w:rsid w:val="0036005E"/>
    <w:rsid w:val="0036012A"/>
    <w:rsid w:val="003601E0"/>
    <w:rsid w:val="00360291"/>
    <w:rsid w:val="003606E1"/>
    <w:rsid w:val="00362067"/>
    <w:rsid w:val="003625F1"/>
    <w:rsid w:val="00363F83"/>
    <w:rsid w:val="00363FA1"/>
    <w:rsid w:val="003659D5"/>
    <w:rsid w:val="00365C34"/>
    <w:rsid w:val="00365DB7"/>
    <w:rsid w:val="00366264"/>
    <w:rsid w:val="003662B1"/>
    <w:rsid w:val="00366F0B"/>
    <w:rsid w:val="0036754A"/>
    <w:rsid w:val="0037095A"/>
    <w:rsid w:val="00371106"/>
    <w:rsid w:val="00372D54"/>
    <w:rsid w:val="003744C8"/>
    <w:rsid w:val="00374847"/>
    <w:rsid w:val="003750A8"/>
    <w:rsid w:val="003753D8"/>
    <w:rsid w:val="00375685"/>
    <w:rsid w:val="003772E7"/>
    <w:rsid w:val="003775B4"/>
    <w:rsid w:val="0037786E"/>
    <w:rsid w:val="00380812"/>
    <w:rsid w:val="0038156C"/>
    <w:rsid w:val="0038212E"/>
    <w:rsid w:val="003834C7"/>
    <w:rsid w:val="0038375D"/>
    <w:rsid w:val="00383BD0"/>
    <w:rsid w:val="003840D8"/>
    <w:rsid w:val="0038487A"/>
    <w:rsid w:val="00384F2C"/>
    <w:rsid w:val="00385703"/>
    <w:rsid w:val="00385B80"/>
    <w:rsid w:val="00385F06"/>
    <w:rsid w:val="00386645"/>
    <w:rsid w:val="00386DB0"/>
    <w:rsid w:val="0038783D"/>
    <w:rsid w:val="00387D07"/>
    <w:rsid w:val="00387D6E"/>
    <w:rsid w:val="00390126"/>
    <w:rsid w:val="003904A0"/>
    <w:rsid w:val="00390B58"/>
    <w:rsid w:val="00390F09"/>
    <w:rsid w:val="003911FD"/>
    <w:rsid w:val="003928B8"/>
    <w:rsid w:val="0039322C"/>
    <w:rsid w:val="00393B60"/>
    <w:rsid w:val="00394681"/>
    <w:rsid w:val="00395AF1"/>
    <w:rsid w:val="00395E07"/>
    <w:rsid w:val="00396AD9"/>
    <w:rsid w:val="0039707B"/>
    <w:rsid w:val="00397BB9"/>
    <w:rsid w:val="00397CD0"/>
    <w:rsid w:val="003A143C"/>
    <w:rsid w:val="003A1811"/>
    <w:rsid w:val="003A1C73"/>
    <w:rsid w:val="003A1EF9"/>
    <w:rsid w:val="003A1FD2"/>
    <w:rsid w:val="003A2859"/>
    <w:rsid w:val="003A3DF1"/>
    <w:rsid w:val="003A49C0"/>
    <w:rsid w:val="003A5A1F"/>
    <w:rsid w:val="003A6C55"/>
    <w:rsid w:val="003A7319"/>
    <w:rsid w:val="003A7BC3"/>
    <w:rsid w:val="003A7D83"/>
    <w:rsid w:val="003B216F"/>
    <w:rsid w:val="003B34A6"/>
    <w:rsid w:val="003B369F"/>
    <w:rsid w:val="003B394C"/>
    <w:rsid w:val="003B3AF7"/>
    <w:rsid w:val="003B3E75"/>
    <w:rsid w:val="003B4FA0"/>
    <w:rsid w:val="003B67E0"/>
    <w:rsid w:val="003B69D9"/>
    <w:rsid w:val="003B7492"/>
    <w:rsid w:val="003B7F71"/>
    <w:rsid w:val="003C07E5"/>
    <w:rsid w:val="003C07F7"/>
    <w:rsid w:val="003C14FE"/>
    <w:rsid w:val="003C1D3B"/>
    <w:rsid w:val="003C3007"/>
    <w:rsid w:val="003C31F1"/>
    <w:rsid w:val="003C3826"/>
    <w:rsid w:val="003C4C84"/>
    <w:rsid w:val="003C5340"/>
    <w:rsid w:val="003C5936"/>
    <w:rsid w:val="003C630F"/>
    <w:rsid w:val="003C6D01"/>
    <w:rsid w:val="003C702D"/>
    <w:rsid w:val="003C71E8"/>
    <w:rsid w:val="003C74AE"/>
    <w:rsid w:val="003C7B52"/>
    <w:rsid w:val="003C7C98"/>
    <w:rsid w:val="003D00B3"/>
    <w:rsid w:val="003D0785"/>
    <w:rsid w:val="003D10F7"/>
    <w:rsid w:val="003D1142"/>
    <w:rsid w:val="003D270B"/>
    <w:rsid w:val="003D360D"/>
    <w:rsid w:val="003D37E4"/>
    <w:rsid w:val="003D40A7"/>
    <w:rsid w:val="003D4150"/>
    <w:rsid w:val="003D4253"/>
    <w:rsid w:val="003D5596"/>
    <w:rsid w:val="003D5667"/>
    <w:rsid w:val="003D5718"/>
    <w:rsid w:val="003D597A"/>
    <w:rsid w:val="003D59E2"/>
    <w:rsid w:val="003D70DA"/>
    <w:rsid w:val="003D7394"/>
    <w:rsid w:val="003D7E92"/>
    <w:rsid w:val="003E1B33"/>
    <w:rsid w:val="003E1B60"/>
    <w:rsid w:val="003E29B1"/>
    <w:rsid w:val="003E2BC5"/>
    <w:rsid w:val="003E2C67"/>
    <w:rsid w:val="003E2FDC"/>
    <w:rsid w:val="003E300C"/>
    <w:rsid w:val="003E31EE"/>
    <w:rsid w:val="003E3366"/>
    <w:rsid w:val="003E373F"/>
    <w:rsid w:val="003E3D8C"/>
    <w:rsid w:val="003E4136"/>
    <w:rsid w:val="003E43D3"/>
    <w:rsid w:val="003E4856"/>
    <w:rsid w:val="003E48D8"/>
    <w:rsid w:val="003E60C6"/>
    <w:rsid w:val="003E6168"/>
    <w:rsid w:val="003E6412"/>
    <w:rsid w:val="003E68CE"/>
    <w:rsid w:val="003E6ADC"/>
    <w:rsid w:val="003E7D5D"/>
    <w:rsid w:val="003F1713"/>
    <w:rsid w:val="003F1AF1"/>
    <w:rsid w:val="003F1E2A"/>
    <w:rsid w:val="003F2295"/>
    <w:rsid w:val="003F231D"/>
    <w:rsid w:val="003F29F3"/>
    <w:rsid w:val="003F2D13"/>
    <w:rsid w:val="003F2F74"/>
    <w:rsid w:val="003F32FF"/>
    <w:rsid w:val="003F3D03"/>
    <w:rsid w:val="003F3DEF"/>
    <w:rsid w:val="003F4885"/>
    <w:rsid w:val="003F4C17"/>
    <w:rsid w:val="003F4F25"/>
    <w:rsid w:val="003F5230"/>
    <w:rsid w:val="003F615D"/>
    <w:rsid w:val="003F7A7C"/>
    <w:rsid w:val="004000C2"/>
    <w:rsid w:val="004003B7"/>
    <w:rsid w:val="00401673"/>
    <w:rsid w:val="004025D3"/>
    <w:rsid w:val="00402650"/>
    <w:rsid w:val="00402862"/>
    <w:rsid w:val="00402A04"/>
    <w:rsid w:val="00402A1E"/>
    <w:rsid w:val="00402D84"/>
    <w:rsid w:val="00403069"/>
    <w:rsid w:val="004034AC"/>
    <w:rsid w:val="00403654"/>
    <w:rsid w:val="00403C72"/>
    <w:rsid w:val="0040413E"/>
    <w:rsid w:val="0040471A"/>
    <w:rsid w:val="00404DBC"/>
    <w:rsid w:val="00404FBA"/>
    <w:rsid w:val="0040631A"/>
    <w:rsid w:val="00410BDE"/>
    <w:rsid w:val="004113DA"/>
    <w:rsid w:val="00411D49"/>
    <w:rsid w:val="00412036"/>
    <w:rsid w:val="00412057"/>
    <w:rsid w:val="0041256D"/>
    <w:rsid w:val="00413483"/>
    <w:rsid w:val="0041377E"/>
    <w:rsid w:val="00414C30"/>
    <w:rsid w:val="004150F6"/>
    <w:rsid w:val="0041511B"/>
    <w:rsid w:val="00415E30"/>
    <w:rsid w:val="0041617C"/>
    <w:rsid w:val="004161CC"/>
    <w:rsid w:val="004161E6"/>
    <w:rsid w:val="004162ED"/>
    <w:rsid w:val="004163BA"/>
    <w:rsid w:val="004229BD"/>
    <w:rsid w:val="00423ECE"/>
    <w:rsid w:val="00424F0A"/>
    <w:rsid w:val="00425502"/>
    <w:rsid w:val="00425F90"/>
    <w:rsid w:val="00426038"/>
    <w:rsid w:val="004275E0"/>
    <w:rsid w:val="00427ED1"/>
    <w:rsid w:val="00430D59"/>
    <w:rsid w:val="00431601"/>
    <w:rsid w:val="0043195B"/>
    <w:rsid w:val="00431DD3"/>
    <w:rsid w:val="00431E4E"/>
    <w:rsid w:val="004322A5"/>
    <w:rsid w:val="004325B0"/>
    <w:rsid w:val="00432F33"/>
    <w:rsid w:val="00433FB1"/>
    <w:rsid w:val="004345A1"/>
    <w:rsid w:val="00434632"/>
    <w:rsid w:val="004346D7"/>
    <w:rsid w:val="00436074"/>
    <w:rsid w:val="004367D1"/>
    <w:rsid w:val="00436981"/>
    <w:rsid w:val="00436B9C"/>
    <w:rsid w:val="00437280"/>
    <w:rsid w:val="004373EB"/>
    <w:rsid w:val="00437967"/>
    <w:rsid w:val="004409C0"/>
    <w:rsid w:val="00440BDA"/>
    <w:rsid w:val="00440C57"/>
    <w:rsid w:val="004410ED"/>
    <w:rsid w:val="0044192D"/>
    <w:rsid w:val="004424B4"/>
    <w:rsid w:val="00442629"/>
    <w:rsid w:val="00442941"/>
    <w:rsid w:val="00442D3C"/>
    <w:rsid w:val="00442F47"/>
    <w:rsid w:val="00443E99"/>
    <w:rsid w:val="004443DC"/>
    <w:rsid w:val="00444771"/>
    <w:rsid w:val="004469DD"/>
    <w:rsid w:val="00446B88"/>
    <w:rsid w:val="00446E12"/>
    <w:rsid w:val="00446E47"/>
    <w:rsid w:val="004500A7"/>
    <w:rsid w:val="004502D7"/>
    <w:rsid w:val="00450B2D"/>
    <w:rsid w:val="00450C67"/>
    <w:rsid w:val="00450CEA"/>
    <w:rsid w:val="0045116D"/>
    <w:rsid w:val="00451512"/>
    <w:rsid w:val="00451648"/>
    <w:rsid w:val="00451CB3"/>
    <w:rsid w:val="0045218D"/>
    <w:rsid w:val="0045297D"/>
    <w:rsid w:val="00452D32"/>
    <w:rsid w:val="00453813"/>
    <w:rsid w:val="00453972"/>
    <w:rsid w:val="00454938"/>
    <w:rsid w:val="00454D12"/>
    <w:rsid w:val="00456013"/>
    <w:rsid w:val="0045615F"/>
    <w:rsid w:val="00456CF3"/>
    <w:rsid w:val="00457B29"/>
    <w:rsid w:val="00460D8B"/>
    <w:rsid w:val="00461E40"/>
    <w:rsid w:val="00461E5F"/>
    <w:rsid w:val="00463B27"/>
    <w:rsid w:val="00463FBC"/>
    <w:rsid w:val="004641C5"/>
    <w:rsid w:val="00464477"/>
    <w:rsid w:val="00465203"/>
    <w:rsid w:val="00465565"/>
    <w:rsid w:val="0046606D"/>
    <w:rsid w:val="00466629"/>
    <w:rsid w:val="004671D1"/>
    <w:rsid w:val="004672FB"/>
    <w:rsid w:val="00467A51"/>
    <w:rsid w:val="004721EF"/>
    <w:rsid w:val="00472AD7"/>
    <w:rsid w:val="00472CF8"/>
    <w:rsid w:val="004739B1"/>
    <w:rsid w:val="00474582"/>
    <w:rsid w:val="00475071"/>
    <w:rsid w:val="004757B6"/>
    <w:rsid w:val="004759CE"/>
    <w:rsid w:val="00475EE8"/>
    <w:rsid w:val="00476466"/>
    <w:rsid w:val="00476904"/>
    <w:rsid w:val="00476D50"/>
    <w:rsid w:val="0047706D"/>
    <w:rsid w:val="00477114"/>
    <w:rsid w:val="00477738"/>
    <w:rsid w:val="004777CA"/>
    <w:rsid w:val="00477C1F"/>
    <w:rsid w:val="00477D19"/>
    <w:rsid w:val="00477DA6"/>
    <w:rsid w:val="0048194B"/>
    <w:rsid w:val="0048210E"/>
    <w:rsid w:val="00482A3F"/>
    <w:rsid w:val="004839AA"/>
    <w:rsid w:val="00483B7A"/>
    <w:rsid w:val="004841F1"/>
    <w:rsid w:val="004842F1"/>
    <w:rsid w:val="00484A3F"/>
    <w:rsid w:val="00484B4D"/>
    <w:rsid w:val="00484F4D"/>
    <w:rsid w:val="00484F7E"/>
    <w:rsid w:val="0048541A"/>
    <w:rsid w:val="00487429"/>
    <w:rsid w:val="00487B6A"/>
    <w:rsid w:val="00487BBF"/>
    <w:rsid w:val="00487FBC"/>
    <w:rsid w:val="004907CC"/>
    <w:rsid w:val="00490F95"/>
    <w:rsid w:val="004919D3"/>
    <w:rsid w:val="00491BB1"/>
    <w:rsid w:val="00491E5F"/>
    <w:rsid w:val="00492110"/>
    <w:rsid w:val="0049220B"/>
    <w:rsid w:val="00492CCB"/>
    <w:rsid w:val="0049321B"/>
    <w:rsid w:val="00493B64"/>
    <w:rsid w:val="00494A76"/>
    <w:rsid w:val="004952DC"/>
    <w:rsid w:val="004957DF"/>
    <w:rsid w:val="00495B24"/>
    <w:rsid w:val="004A02DA"/>
    <w:rsid w:val="004A02DF"/>
    <w:rsid w:val="004A0438"/>
    <w:rsid w:val="004A0848"/>
    <w:rsid w:val="004A184C"/>
    <w:rsid w:val="004A1909"/>
    <w:rsid w:val="004A1C05"/>
    <w:rsid w:val="004A1F71"/>
    <w:rsid w:val="004A2795"/>
    <w:rsid w:val="004A313B"/>
    <w:rsid w:val="004A6191"/>
    <w:rsid w:val="004A71A5"/>
    <w:rsid w:val="004A7812"/>
    <w:rsid w:val="004A7CE0"/>
    <w:rsid w:val="004A7EBA"/>
    <w:rsid w:val="004B0247"/>
    <w:rsid w:val="004B04F4"/>
    <w:rsid w:val="004B11D8"/>
    <w:rsid w:val="004B1446"/>
    <w:rsid w:val="004B188F"/>
    <w:rsid w:val="004B2657"/>
    <w:rsid w:val="004B2D53"/>
    <w:rsid w:val="004B3813"/>
    <w:rsid w:val="004B4367"/>
    <w:rsid w:val="004B4935"/>
    <w:rsid w:val="004B4BB2"/>
    <w:rsid w:val="004B5CCE"/>
    <w:rsid w:val="004B60E1"/>
    <w:rsid w:val="004C06D7"/>
    <w:rsid w:val="004C0A98"/>
    <w:rsid w:val="004C0ACF"/>
    <w:rsid w:val="004C0C75"/>
    <w:rsid w:val="004C1204"/>
    <w:rsid w:val="004C1334"/>
    <w:rsid w:val="004C1C50"/>
    <w:rsid w:val="004C1EAF"/>
    <w:rsid w:val="004C2098"/>
    <w:rsid w:val="004C3D86"/>
    <w:rsid w:val="004C419F"/>
    <w:rsid w:val="004C4433"/>
    <w:rsid w:val="004C48C8"/>
    <w:rsid w:val="004C55F7"/>
    <w:rsid w:val="004C749A"/>
    <w:rsid w:val="004C7CC3"/>
    <w:rsid w:val="004D008A"/>
    <w:rsid w:val="004D01C7"/>
    <w:rsid w:val="004D0D0F"/>
    <w:rsid w:val="004D1F31"/>
    <w:rsid w:val="004D20B8"/>
    <w:rsid w:val="004D2CCC"/>
    <w:rsid w:val="004D3674"/>
    <w:rsid w:val="004D386F"/>
    <w:rsid w:val="004D3C5F"/>
    <w:rsid w:val="004D4493"/>
    <w:rsid w:val="004D516D"/>
    <w:rsid w:val="004D5E01"/>
    <w:rsid w:val="004D5FBE"/>
    <w:rsid w:val="004D6A28"/>
    <w:rsid w:val="004D6F80"/>
    <w:rsid w:val="004D712D"/>
    <w:rsid w:val="004D732C"/>
    <w:rsid w:val="004D7582"/>
    <w:rsid w:val="004D7799"/>
    <w:rsid w:val="004D790F"/>
    <w:rsid w:val="004D7B20"/>
    <w:rsid w:val="004E03C8"/>
    <w:rsid w:val="004E0702"/>
    <w:rsid w:val="004E0DEA"/>
    <w:rsid w:val="004E22E4"/>
    <w:rsid w:val="004E294C"/>
    <w:rsid w:val="004E2B34"/>
    <w:rsid w:val="004E3659"/>
    <w:rsid w:val="004E3896"/>
    <w:rsid w:val="004E38ED"/>
    <w:rsid w:val="004E3F7E"/>
    <w:rsid w:val="004E5E57"/>
    <w:rsid w:val="004E628F"/>
    <w:rsid w:val="004E7278"/>
    <w:rsid w:val="004E753F"/>
    <w:rsid w:val="004F0228"/>
    <w:rsid w:val="004F0C3A"/>
    <w:rsid w:val="004F154A"/>
    <w:rsid w:val="004F1C05"/>
    <w:rsid w:val="004F1D44"/>
    <w:rsid w:val="004F2D4F"/>
    <w:rsid w:val="004F3E29"/>
    <w:rsid w:val="004F45EC"/>
    <w:rsid w:val="004F492B"/>
    <w:rsid w:val="004F5A05"/>
    <w:rsid w:val="004F5F54"/>
    <w:rsid w:val="004F6366"/>
    <w:rsid w:val="004F63CB"/>
    <w:rsid w:val="004F7707"/>
    <w:rsid w:val="004F7811"/>
    <w:rsid w:val="004F7E45"/>
    <w:rsid w:val="0050047A"/>
    <w:rsid w:val="005015B0"/>
    <w:rsid w:val="00501BD8"/>
    <w:rsid w:val="0050374D"/>
    <w:rsid w:val="005040C0"/>
    <w:rsid w:val="00504CA0"/>
    <w:rsid w:val="005055E0"/>
    <w:rsid w:val="00505790"/>
    <w:rsid w:val="00505E9F"/>
    <w:rsid w:val="00506394"/>
    <w:rsid w:val="0050675C"/>
    <w:rsid w:val="00506CE7"/>
    <w:rsid w:val="0051040A"/>
    <w:rsid w:val="00510799"/>
    <w:rsid w:val="005107B4"/>
    <w:rsid w:val="00510A3E"/>
    <w:rsid w:val="005117AD"/>
    <w:rsid w:val="0051267F"/>
    <w:rsid w:val="0051492E"/>
    <w:rsid w:val="00515021"/>
    <w:rsid w:val="00516851"/>
    <w:rsid w:val="00516C9A"/>
    <w:rsid w:val="005172E2"/>
    <w:rsid w:val="00517D33"/>
    <w:rsid w:val="00517DE5"/>
    <w:rsid w:val="00521B47"/>
    <w:rsid w:val="005244D0"/>
    <w:rsid w:val="005244E2"/>
    <w:rsid w:val="00524B17"/>
    <w:rsid w:val="0052552B"/>
    <w:rsid w:val="00525816"/>
    <w:rsid w:val="00525C5B"/>
    <w:rsid w:val="005270E8"/>
    <w:rsid w:val="00527304"/>
    <w:rsid w:val="00527591"/>
    <w:rsid w:val="00527593"/>
    <w:rsid w:val="00527B38"/>
    <w:rsid w:val="00527DD5"/>
    <w:rsid w:val="00530284"/>
    <w:rsid w:val="005309BE"/>
    <w:rsid w:val="005313FF"/>
    <w:rsid w:val="00532210"/>
    <w:rsid w:val="0053224B"/>
    <w:rsid w:val="0053244C"/>
    <w:rsid w:val="0053273F"/>
    <w:rsid w:val="00532CC6"/>
    <w:rsid w:val="00532EC6"/>
    <w:rsid w:val="0053351A"/>
    <w:rsid w:val="00534D7A"/>
    <w:rsid w:val="00534F1C"/>
    <w:rsid w:val="00535059"/>
    <w:rsid w:val="0053520A"/>
    <w:rsid w:val="00537422"/>
    <w:rsid w:val="005376B2"/>
    <w:rsid w:val="00537CCA"/>
    <w:rsid w:val="00537D37"/>
    <w:rsid w:val="005400B7"/>
    <w:rsid w:val="005408F5"/>
    <w:rsid w:val="00540F10"/>
    <w:rsid w:val="005412DE"/>
    <w:rsid w:val="0054319F"/>
    <w:rsid w:val="00544009"/>
    <w:rsid w:val="005449F7"/>
    <w:rsid w:val="005454F7"/>
    <w:rsid w:val="00545AC5"/>
    <w:rsid w:val="0054668B"/>
    <w:rsid w:val="00546F2B"/>
    <w:rsid w:val="00547AEC"/>
    <w:rsid w:val="00547D0C"/>
    <w:rsid w:val="00547D2F"/>
    <w:rsid w:val="00551B17"/>
    <w:rsid w:val="0055205D"/>
    <w:rsid w:val="005520A6"/>
    <w:rsid w:val="005538F4"/>
    <w:rsid w:val="005542AD"/>
    <w:rsid w:val="005543D0"/>
    <w:rsid w:val="00554C72"/>
    <w:rsid w:val="00554D3F"/>
    <w:rsid w:val="005550DB"/>
    <w:rsid w:val="005559E0"/>
    <w:rsid w:val="00555ECA"/>
    <w:rsid w:val="00556382"/>
    <w:rsid w:val="00557BCA"/>
    <w:rsid w:val="00560745"/>
    <w:rsid w:val="0056268B"/>
    <w:rsid w:val="00562B2E"/>
    <w:rsid w:val="005633CB"/>
    <w:rsid w:val="005634E0"/>
    <w:rsid w:val="00563F23"/>
    <w:rsid w:val="00563F9E"/>
    <w:rsid w:val="00564A20"/>
    <w:rsid w:val="00564C80"/>
    <w:rsid w:val="00565130"/>
    <w:rsid w:val="00565142"/>
    <w:rsid w:val="00565C2B"/>
    <w:rsid w:val="00565C3D"/>
    <w:rsid w:val="00566486"/>
    <w:rsid w:val="00566970"/>
    <w:rsid w:val="00566EA6"/>
    <w:rsid w:val="00566F27"/>
    <w:rsid w:val="005671E1"/>
    <w:rsid w:val="00567680"/>
    <w:rsid w:val="00570C64"/>
    <w:rsid w:val="00571A8B"/>
    <w:rsid w:val="0057231A"/>
    <w:rsid w:val="00572400"/>
    <w:rsid w:val="00572B65"/>
    <w:rsid w:val="00572B69"/>
    <w:rsid w:val="00574A17"/>
    <w:rsid w:val="00574EA4"/>
    <w:rsid w:val="0057558C"/>
    <w:rsid w:val="00575A6E"/>
    <w:rsid w:val="00577800"/>
    <w:rsid w:val="005805E9"/>
    <w:rsid w:val="00580B57"/>
    <w:rsid w:val="00582604"/>
    <w:rsid w:val="00582942"/>
    <w:rsid w:val="00583B34"/>
    <w:rsid w:val="00583C5A"/>
    <w:rsid w:val="00583DEC"/>
    <w:rsid w:val="00583E5A"/>
    <w:rsid w:val="005842F7"/>
    <w:rsid w:val="00584413"/>
    <w:rsid w:val="00584B78"/>
    <w:rsid w:val="00586A44"/>
    <w:rsid w:val="00587875"/>
    <w:rsid w:val="00587CCF"/>
    <w:rsid w:val="0059042A"/>
    <w:rsid w:val="005911C0"/>
    <w:rsid w:val="0059196E"/>
    <w:rsid w:val="00591D02"/>
    <w:rsid w:val="00591E2D"/>
    <w:rsid w:val="005930A9"/>
    <w:rsid w:val="005943CC"/>
    <w:rsid w:val="00594F62"/>
    <w:rsid w:val="00595188"/>
    <w:rsid w:val="00595EF0"/>
    <w:rsid w:val="005968E9"/>
    <w:rsid w:val="005A0FEC"/>
    <w:rsid w:val="005A10B9"/>
    <w:rsid w:val="005A1C20"/>
    <w:rsid w:val="005A3CE8"/>
    <w:rsid w:val="005A5616"/>
    <w:rsid w:val="005A5AAD"/>
    <w:rsid w:val="005A6AF3"/>
    <w:rsid w:val="005A6DE6"/>
    <w:rsid w:val="005A7A34"/>
    <w:rsid w:val="005A7C60"/>
    <w:rsid w:val="005B08C3"/>
    <w:rsid w:val="005B09D4"/>
    <w:rsid w:val="005B0F41"/>
    <w:rsid w:val="005B1175"/>
    <w:rsid w:val="005B1E21"/>
    <w:rsid w:val="005B3626"/>
    <w:rsid w:val="005B3978"/>
    <w:rsid w:val="005B39CB"/>
    <w:rsid w:val="005B44F6"/>
    <w:rsid w:val="005B4A0D"/>
    <w:rsid w:val="005B4C8F"/>
    <w:rsid w:val="005B567B"/>
    <w:rsid w:val="005B66DF"/>
    <w:rsid w:val="005B6DD1"/>
    <w:rsid w:val="005B6EA6"/>
    <w:rsid w:val="005C003F"/>
    <w:rsid w:val="005C0B1C"/>
    <w:rsid w:val="005C1274"/>
    <w:rsid w:val="005C2A2E"/>
    <w:rsid w:val="005C33DA"/>
    <w:rsid w:val="005C3CDA"/>
    <w:rsid w:val="005C3F76"/>
    <w:rsid w:val="005C42FA"/>
    <w:rsid w:val="005C4524"/>
    <w:rsid w:val="005C47B8"/>
    <w:rsid w:val="005C588F"/>
    <w:rsid w:val="005C5B11"/>
    <w:rsid w:val="005C5BA6"/>
    <w:rsid w:val="005C628B"/>
    <w:rsid w:val="005C6417"/>
    <w:rsid w:val="005C6422"/>
    <w:rsid w:val="005C70F1"/>
    <w:rsid w:val="005C7C10"/>
    <w:rsid w:val="005D051F"/>
    <w:rsid w:val="005D076A"/>
    <w:rsid w:val="005D0AE3"/>
    <w:rsid w:val="005D18C2"/>
    <w:rsid w:val="005D22F5"/>
    <w:rsid w:val="005D271F"/>
    <w:rsid w:val="005D3553"/>
    <w:rsid w:val="005D35FA"/>
    <w:rsid w:val="005D3A50"/>
    <w:rsid w:val="005D438F"/>
    <w:rsid w:val="005D485D"/>
    <w:rsid w:val="005D4AA6"/>
    <w:rsid w:val="005D5164"/>
    <w:rsid w:val="005D5A7B"/>
    <w:rsid w:val="005D62A1"/>
    <w:rsid w:val="005D65F9"/>
    <w:rsid w:val="005D6755"/>
    <w:rsid w:val="005D6AA6"/>
    <w:rsid w:val="005D6C03"/>
    <w:rsid w:val="005D6D31"/>
    <w:rsid w:val="005D6E8C"/>
    <w:rsid w:val="005D78AF"/>
    <w:rsid w:val="005D7D4B"/>
    <w:rsid w:val="005E0876"/>
    <w:rsid w:val="005E18C5"/>
    <w:rsid w:val="005E1C80"/>
    <w:rsid w:val="005E1F33"/>
    <w:rsid w:val="005E237E"/>
    <w:rsid w:val="005E3585"/>
    <w:rsid w:val="005E3B77"/>
    <w:rsid w:val="005E45A5"/>
    <w:rsid w:val="005E4AD8"/>
    <w:rsid w:val="005E4B36"/>
    <w:rsid w:val="005E4CAC"/>
    <w:rsid w:val="005E50E5"/>
    <w:rsid w:val="005E612C"/>
    <w:rsid w:val="005E63EA"/>
    <w:rsid w:val="005E6783"/>
    <w:rsid w:val="005E6934"/>
    <w:rsid w:val="005E6953"/>
    <w:rsid w:val="005E7888"/>
    <w:rsid w:val="005F1741"/>
    <w:rsid w:val="005F2162"/>
    <w:rsid w:val="005F2532"/>
    <w:rsid w:val="005F2E91"/>
    <w:rsid w:val="005F3995"/>
    <w:rsid w:val="005F3ACC"/>
    <w:rsid w:val="005F3C9F"/>
    <w:rsid w:val="005F4FC9"/>
    <w:rsid w:val="005F68DF"/>
    <w:rsid w:val="005F719F"/>
    <w:rsid w:val="005F71DD"/>
    <w:rsid w:val="0060049B"/>
    <w:rsid w:val="00600E7B"/>
    <w:rsid w:val="0060133B"/>
    <w:rsid w:val="00601599"/>
    <w:rsid w:val="006018D4"/>
    <w:rsid w:val="0060265B"/>
    <w:rsid w:val="00602867"/>
    <w:rsid w:val="00602A84"/>
    <w:rsid w:val="006036BA"/>
    <w:rsid w:val="00603F52"/>
    <w:rsid w:val="006043D3"/>
    <w:rsid w:val="0060455E"/>
    <w:rsid w:val="006047BA"/>
    <w:rsid w:val="00606136"/>
    <w:rsid w:val="006061DC"/>
    <w:rsid w:val="006062CA"/>
    <w:rsid w:val="0060714E"/>
    <w:rsid w:val="006075B4"/>
    <w:rsid w:val="0060798B"/>
    <w:rsid w:val="0061031C"/>
    <w:rsid w:val="00610379"/>
    <w:rsid w:val="00610D59"/>
    <w:rsid w:val="006116DC"/>
    <w:rsid w:val="0061217F"/>
    <w:rsid w:val="006124C9"/>
    <w:rsid w:val="006136E0"/>
    <w:rsid w:val="00613A1B"/>
    <w:rsid w:val="00614209"/>
    <w:rsid w:val="00614B8D"/>
    <w:rsid w:val="006152D4"/>
    <w:rsid w:val="006156DE"/>
    <w:rsid w:val="006160CC"/>
    <w:rsid w:val="0061736A"/>
    <w:rsid w:val="00617635"/>
    <w:rsid w:val="00623183"/>
    <w:rsid w:val="00623184"/>
    <w:rsid w:val="00623882"/>
    <w:rsid w:val="00623A11"/>
    <w:rsid w:val="00623C73"/>
    <w:rsid w:val="00625381"/>
    <w:rsid w:val="0062557E"/>
    <w:rsid w:val="00625870"/>
    <w:rsid w:val="00625990"/>
    <w:rsid w:val="0062659A"/>
    <w:rsid w:val="006265C0"/>
    <w:rsid w:val="006265F5"/>
    <w:rsid w:val="00626A34"/>
    <w:rsid w:val="006271FD"/>
    <w:rsid w:val="00627ADD"/>
    <w:rsid w:val="00627D19"/>
    <w:rsid w:val="00627EBB"/>
    <w:rsid w:val="006301B6"/>
    <w:rsid w:val="00630822"/>
    <w:rsid w:val="00630B54"/>
    <w:rsid w:val="00630C64"/>
    <w:rsid w:val="00631AC5"/>
    <w:rsid w:val="00632360"/>
    <w:rsid w:val="00632825"/>
    <w:rsid w:val="0063315E"/>
    <w:rsid w:val="006337FE"/>
    <w:rsid w:val="0063766F"/>
    <w:rsid w:val="00637D23"/>
    <w:rsid w:val="006421DD"/>
    <w:rsid w:val="0064347C"/>
    <w:rsid w:val="00643594"/>
    <w:rsid w:val="0064401C"/>
    <w:rsid w:val="00644041"/>
    <w:rsid w:val="00644FF4"/>
    <w:rsid w:val="006453D4"/>
    <w:rsid w:val="00645901"/>
    <w:rsid w:val="00646688"/>
    <w:rsid w:val="00646C6F"/>
    <w:rsid w:val="0064735E"/>
    <w:rsid w:val="006521D3"/>
    <w:rsid w:val="0065265F"/>
    <w:rsid w:val="00652C19"/>
    <w:rsid w:val="006543EC"/>
    <w:rsid w:val="006546C5"/>
    <w:rsid w:val="006549C5"/>
    <w:rsid w:val="00655EAF"/>
    <w:rsid w:val="0065676B"/>
    <w:rsid w:val="00656A76"/>
    <w:rsid w:val="00656C0B"/>
    <w:rsid w:val="00656D11"/>
    <w:rsid w:val="00656EAB"/>
    <w:rsid w:val="0065736F"/>
    <w:rsid w:val="006579A7"/>
    <w:rsid w:val="00657D1D"/>
    <w:rsid w:val="00657DBF"/>
    <w:rsid w:val="006607AD"/>
    <w:rsid w:val="00660D07"/>
    <w:rsid w:val="00660EC2"/>
    <w:rsid w:val="00661184"/>
    <w:rsid w:val="0066136C"/>
    <w:rsid w:val="006618C6"/>
    <w:rsid w:val="00661C7B"/>
    <w:rsid w:val="0066297C"/>
    <w:rsid w:val="00662D75"/>
    <w:rsid w:val="00664B48"/>
    <w:rsid w:val="006660DE"/>
    <w:rsid w:val="0066662A"/>
    <w:rsid w:val="00670043"/>
    <w:rsid w:val="00670401"/>
    <w:rsid w:val="00670458"/>
    <w:rsid w:val="00672A35"/>
    <w:rsid w:val="0067303F"/>
    <w:rsid w:val="006732BD"/>
    <w:rsid w:val="0067360B"/>
    <w:rsid w:val="006738E9"/>
    <w:rsid w:val="00673CE9"/>
    <w:rsid w:val="00673DF0"/>
    <w:rsid w:val="00675900"/>
    <w:rsid w:val="0067616C"/>
    <w:rsid w:val="00676B61"/>
    <w:rsid w:val="00677929"/>
    <w:rsid w:val="00677E92"/>
    <w:rsid w:val="00680AA6"/>
    <w:rsid w:val="006813B0"/>
    <w:rsid w:val="0068173C"/>
    <w:rsid w:val="00681814"/>
    <w:rsid w:val="00681857"/>
    <w:rsid w:val="00681B61"/>
    <w:rsid w:val="00681BD5"/>
    <w:rsid w:val="00681C1A"/>
    <w:rsid w:val="00681E75"/>
    <w:rsid w:val="00681EA0"/>
    <w:rsid w:val="00682033"/>
    <w:rsid w:val="0068232F"/>
    <w:rsid w:val="00682BF2"/>
    <w:rsid w:val="0068351F"/>
    <w:rsid w:val="00684018"/>
    <w:rsid w:val="006847A4"/>
    <w:rsid w:val="00684A0A"/>
    <w:rsid w:val="00684BBE"/>
    <w:rsid w:val="006851C2"/>
    <w:rsid w:val="00685207"/>
    <w:rsid w:val="006852D9"/>
    <w:rsid w:val="0068550C"/>
    <w:rsid w:val="0068568E"/>
    <w:rsid w:val="00686379"/>
    <w:rsid w:val="006874FC"/>
    <w:rsid w:val="006903D9"/>
    <w:rsid w:val="0069091C"/>
    <w:rsid w:val="00692332"/>
    <w:rsid w:val="0069328D"/>
    <w:rsid w:val="006932FB"/>
    <w:rsid w:val="0069361D"/>
    <w:rsid w:val="00693620"/>
    <w:rsid w:val="00693CEF"/>
    <w:rsid w:val="00693FA8"/>
    <w:rsid w:val="00694E44"/>
    <w:rsid w:val="00695190"/>
    <w:rsid w:val="00695C70"/>
    <w:rsid w:val="00696184"/>
    <w:rsid w:val="0069746D"/>
    <w:rsid w:val="006A0357"/>
    <w:rsid w:val="006A12EE"/>
    <w:rsid w:val="006A1634"/>
    <w:rsid w:val="006A1AF9"/>
    <w:rsid w:val="006A36F5"/>
    <w:rsid w:val="006A38E5"/>
    <w:rsid w:val="006A4126"/>
    <w:rsid w:val="006A42CA"/>
    <w:rsid w:val="006A43E7"/>
    <w:rsid w:val="006A4713"/>
    <w:rsid w:val="006A5B7A"/>
    <w:rsid w:val="006A5F93"/>
    <w:rsid w:val="006A6347"/>
    <w:rsid w:val="006A79CC"/>
    <w:rsid w:val="006A7C73"/>
    <w:rsid w:val="006B030B"/>
    <w:rsid w:val="006B0B33"/>
    <w:rsid w:val="006B0F87"/>
    <w:rsid w:val="006B10A9"/>
    <w:rsid w:val="006B161A"/>
    <w:rsid w:val="006B19BB"/>
    <w:rsid w:val="006B1CA9"/>
    <w:rsid w:val="006B1DEB"/>
    <w:rsid w:val="006B2003"/>
    <w:rsid w:val="006B2795"/>
    <w:rsid w:val="006B28B4"/>
    <w:rsid w:val="006B4165"/>
    <w:rsid w:val="006B42B0"/>
    <w:rsid w:val="006B4482"/>
    <w:rsid w:val="006B462A"/>
    <w:rsid w:val="006B48F6"/>
    <w:rsid w:val="006B4B33"/>
    <w:rsid w:val="006B5649"/>
    <w:rsid w:val="006B5730"/>
    <w:rsid w:val="006B5A7B"/>
    <w:rsid w:val="006B5ACC"/>
    <w:rsid w:val="006B5BE3"/>
    <w:rsid w:val="006B6E55"/>
    <w:rsid w:val="006B7D8F"/>
    <w:rsid w:val="006C18DF"/>
    <w:rsid w:val="006C1AFF"/>
    <w:rsid w:val="006C1EC2"/>
    <w:rsid w:val="006C22D8"/>
    <w:rsid w:val="006C281E"/>
    <w:rsid w:val="006C3355"/>
    <w:rsid w:val="006C34BB"/>
    <w:rsid w:val="006C3B0A"/>
    <w:rsid w:val="006C3CA2"/>
    <w:rsid w:val="006C4A41"/>
    <w:rsid w:val="006C4FE4"/>
    <w:rsid w:val="006C5360"/>
    <w:rsid w:val="006C592B"/>
    <w:rsid w:val="006C69DD"/>
    <w:rsid w:val="006C6BB1"/>
    <w:rsid w:val="006C7547"/>
    <w:rsid w:val="006D0194"/>
    <w:rsid w:val="006D0AED"/>
    <w:rsid w:val="006D1430"/>
    <w:rsid w:val="006D1AC0"/>
    <w:rsid w:val="006D2AE1"/>
    <w:rsid w:val="006D3879"/>
    <w:rsid w:val="006D4537"/>
    <w:rsid w:val="006D5388"/>
    <w:rsid w:val="006D5561"/>
    <w:rsid w:val="006D5A46"/>
    <w:rsid w:val="006D6A9C"/>
    <w:rsid w:val="006D7461"/>
    <w:rsid w:val="006D747F"/>
    <w:rsid w:val="006D74F8"/>
    <w:rsid w:val="006D7657"/>
    <w:rsid w:val="006D7BFE"/>
    <w:rsid w:val="006E01DA"/>
    <w:rsid w:val="006E03E1"/>
    <w:rsid w:val="006E1B12"/>
    <w:rsid w:val="006E1EE0"/>
    <w:rsid w:val="006E2007"/>
    <w:rsid w:val="006E3113"/>
    <w:rsid w:val="006E3237"/>
    <w:rsid w:val="006E37D8"/>
    <w:rsid w:val="006E3A51"/>
    <w:rsid w:val="006E46EC"/>
    <w:rsid w:val="006E5C4F"/>
    <w:rsid w:val="006E686F"/>
    <w:rsid w:val="006E75B8"/>
    <w:rsid w:val="006E763E"/>
    <w:rsid w:val="006F010A"/>
    <w:rsid w:val="006F0196"/>
    <w:rsid w:val="006F0F18"/>
    <w:rsid w:val="006F15A1"/>
    <w:rsid w:val="006F1D25"/>
    <w:rsid w:val="006F3514"/>
    <w:rsid w:val="006F353D"/>
    <w:rsid w:val="006F3778"/>
    <w:rsid w:val="006F41EF"/>
    <w:rsid w:val="006F4295"/>
    <w:rsid w:val="006F4A55"/>
    <w:rsid w:val="006F5A49"/>
    <w:rsid w:val="006F5B8B"/>
    <w:rsid w:val="006F6209"/>
    <w:rsid w:val="006F6268"/>
    <w:rsid w:val="006F653A"/>
    <w:rsid w:val="006F6B66"/>
    <w:rsid w:val="006F7233"/>
    <w:rsid w:val="006F740F"/>
    <w:rsid w:val="006F744F"/>
    <w:rsid w:val="006F7683"/>
    <w:rsid w:val="006F7C28"/>
    <w:rsid w:val="006F7C74"/>
    <w:rsid w:val="00700332"/>
    <w:rsid w:val="00700924"/>
    <w:rsid w:val="00700957"/>
    <w:rsid w:val="00701529"/>
    <w:rsid w:val="007025F5"/>
    <w:rsid w:val="0070382F"/>
    <w:rsid w:val="00703B00"/>
    <w:rsid w:val="00703E10"/>
    <w:rsid w:val="007050E6"/>
    <w:rsid w:val="00705591"/>
    <w:rsid w:val="00706DE0"/>
    <w:rsid w:val="00707907"/>
    <w:rsid w:val="00707B77"/>
    <w:rsid w:val="00707F69"/>
    <w:rsid w:val="00710574"/>
    <w:rsid w:val="0071060A"/>
    <w:rsid w:val="00710C0D"/>
    <w:rsid w:val="00711767"/>
    <w:rsid w:val="00712740"/>
    <w:rsid w:val="00712C0F"/>
    <w:rsid w:val="00713204"/>
    <w:rsid w:val="007140C3"/>
    <w:rsid w:val="007157BF"/>
    <w:rsid w:val="00717695"/>
    <w:rsid w:val="0071778D"/>
    <w:rsid w:val="007207CE"/>
    <w:rsid w:val="00721525"/>
    <w:rsid w:val="007216B3"/>
    <w:rsid w:val="00721C5C"/>
    <w:rsid w:val="007223B0"/>
    <w:rsid w:val="0072277C"/>
    <w:rsid w:val="007237B7"/>
    <w:rsid w:val="00723DC7"/>
    <w:rsid w:val="00723EC8"/>
    <w:rsid w:val="007243CA"/>
    <w:rsid w:val="007248EC"/>
    <w:rsid w:val="00724CAE"/>
    <w:rsid w:val="00725913"/>
    <w:rsid w:val="00726641"/>
    <w:rsid w:val="00726B04"/>
    <w:rsid w:val="00726C23"/>
    <w:rsid w:val="00727556"/>
    <w:rsid w:val="007279AE"/>
    <w:rsid w:val="00727AAD"/>
    <w:rsid w:val="007302F9"/>
    <w:rsid w:val="00730362"/>
    <w:rsid w:val="00730C10"/>
    <w:rsid w:val="007319CD"/>
    <w:rsid w:val="00733262"/>
    <w:rsid w:val="00733CF4"/>
    <w:rsid w:val="007348E4"/>
    <w:rsid w:val="007352F7"/>
    <w:rsid w:val="0073537F"/>
    <w:rsid w:val="007354E9"/>
    <w:rsid w:val="00735F29"/>
    <w:rsid w:val="0073608D"/>
    <w:rsid w:val="0073705F"/>
    <w:rsid w:val="0073727C"/>
    <w:rsid w:val="0074042D"/>
    <w:rsid w:val="00740BA8"/>
    <w:rsid w:val="00741156"/>
    <w:rsid w:val="007414CE"/>
    <w:rsid w:val="00742378"/>
    <w:rsid w:val="0074266A"/>
    <w:rsid w:val="00742861"/>
    <w:rsid w:val="00742C23"/>
    <w:rsid w:val="00743456"/>
    <w:rsid w:val="00743A28"/>
    <w:rsid w:val="00743AE3"/>
    <w:rsid w:val="00743B41"/>
    <w:rsid w:val="00743D90"/>
    <w:rsid w:val="00744562"/>
    <w:rsid w:val="00744F81"/>
    <w:rsid w:val="00745165"/>
    <w:rsid w:val="00745741"/>
    <w:rsid w:val="00745957"/>
    <w:rsid w:val="0074645E"/>
    <w:rsid w:val="00746527"/>
    <w:rsid w:val="0075057B"/>
    <w:rsid w:val="00750EF4"/>
    <w:rsid w:val="00751DCA"/>
    <w:rsid w:val="0075211F"/>
    <w:rsid w:val="00752515"/>
    <w:rsid w:val="0075261A"/>
    <w:rsid w:val="00752951"/>
    <w:rsid w:val="0075299C"/>
    <w:rsid w:val="00752EE1"/>
    <w:rsid w:val="00752FF9"/>
    <w:rsid w:val="00754195"/>
    <w:rsid w:val="00755241"/>
    <w:rsid w:val="00755C46"/>
    <w:rsid w:val="00757543"/>
    <w:rsid w:val="00757B4F"/>
    <w:rsid w:val="0076044F"/>
    <w:rsid w:val="007606AA"/>
    <w:rsid w:val="007606B5"/>
    <w:rsid w:val="00761001"/>
    <w:rsid w:val="007617B3"/>
    <w:rsid w:val="0076221F"/>
    <w:rsid w:val="00762365"/>
    <w:rsid w:val="00763216"/>
    <w:rsid w:val="00763432"/>
    <w:rsid w:val="00763D9D"/>
    <w:rsid w:val="00764003"/>
    <w:rsid w:val="007644B4"/>
    <w:rsid w:val="00765481"/>
    <w:rsid w:val="007654BE"/>
    <w:rsid w:val="0076687D"/>
    <w:rsid w:val="00766A1E"/>
    <w:rsid w:val="00767C95"/>
    <w:rsid w:val="00770131"/>
    <w:rsid w:val="00770833"/>
    <w:rsid w:val="00772452"/>
    <w:rsid w:val="0077287A"/>
    <w:rsid w:val="00773DD2"/>
    <w:rsid w:val="00773F37"/>
    <w:rsid w:val="0077585C"/>
    <w:rsid w:val="00775D59"/>
    <w:rsid w:val="00776222"/>
    <w:rsid w:val="00777D14"/>
    <w:rsid w:val="007801C8"/>
    <w:rsid w:val="00780695"/>
    <w:rsid w:val="00780C5B"/>
    <w:rsid w:val="00781062"/>
    <w:rsid w:val="007828B4"/>
    <w:rsid w:val="00783246"/>
    <w:rsid w:val="0078338F"/>
    <w:rsid w:val="00784B44"/>
    <w:rsid w:val="0078542C"/>
    <w:rsid w:val="00785A61"/>
    <w:rsid w:val="00786064"/>
    <w:rsid w:val="007862E2"/>
    <w:rsid w:val="007864AD"/>
    <w:rsid w:val="007869A0"/>
    <w:rsid w:val="00786A23"/>
    <w:rsid w:val="00786F43"/>
    <w:rsid w:val="00787EF0"/>
    <w:rsid w:val="00790185"/>
    <w:rsid w:val="007905D6"/>
    <w:rsid w:val="0079081E"/>
    <w:rsid w:val="007909E9"/>
    <w:rsid w:val="00791513"/>
    <w:rsid w:val="00791664"/>
    <w:rsid w:val="0079169A"/>
    <w:rsid w:val="00791F82"/>
    <w:rsid w:val="007929A7"/>
    <w:rsid w:val="0079404E"/>
    <w:rsid w:val="0079497E"/>
    <w:rsid w:val="00794CA8"/>
    <w:rsid w:val="0079518F"/>
    <w:rsid w:val="007956CB"/>
    <w:rsid w:val="00797B5C"/>
    <w:rsid w:val="00797EFA"/>
    <w:rsid w:val="007A026F"/>
    <w:rsid w:val="007A06B3"/>
    <w:rsid w:val="007A17AF"/>
    <w:rsid w:val="007A1C2A"/>
    <w:rsid w:val="007A28B3"/>
    <w:rsid w:val="007A4720"/>
    <w:rsid w:val="007A5F94"/>
    <w:rsid w:val="007A7417"/>
    <w:rsid w:val="007A7A56"/>
    <w:rsid w:val="007B053B"/>
    <w:rsid w:val="007B0E91"/>
    <w:rsid w:val="007B1091"/>
    <w:rsid w:val="007B15FA"/>
    <w:rsid w:val="007B2BD1"/>
    <w:rsid w:val="007B321B"/>
    <w:rsid w:val="007B345F"/>
    <w:rsid w:val="007B4377"/>
    <w:rsid w:val="007B44F0"/>
    <w:rsid w:val="007B45D6"/>
    <w:rsid w:val="007B4B02"/>
    <w:rsid w:val="007B5200"/>
    <w:rsid w:val="007B5318"/>
    <w:rsid w:val="007B559A"/>
    <w:rsid w:val="007B59BE"/>
    <w:rsid w:val="007B637B"/>
    <w:rsid w:val="007B67EC"/>
    <w:rsid w:val="007B68DF"/>
    <w:rsid w:val="007B6984"/>
    <w:rsid w:val="007B6D80"/>
    <w:rsid w:val="007B76C1"/>
    <w:rsid w:val="007C0EB7"/>
    <w:rsid w:val="007C10D5"/>
    <w:rsid w:val="007C1957"/>
    <w:rsid w:val="007C2754"/>
    <w:rsid w:val="007C3A70"/>
    <w:rsid w:val="007C421E"/>
    <w:rsid w:val="007C4595"/>
    <w:rsid w:val="007C4843"/>
    <w:rsid w:val="007C4D6C"/>
    <w:rsid w:val="007C4E77"/>
    <w:rsid w:val="007C535F"/>
    <w:rsid w:val="007C5C36"/>
    <w:rsid w:val="007C65F1"/>
    <w:rsid w:val="007C6DFA"/>
    <w:rsid w:val="007C7643"/>
    <w:rsid w:val="007C79AC"/>
    <w:rsid w:val="007D0042"/>
    <w:rsid w:val="007D07EC"/>
    <w:rsid w:val="007D1F39"/>
    <w:rsid w:val="007D2E87"/>
    <w:rsid w:val="007D302D"/>
    <w:rsid w:val="007D3559"/>
    <w:rsid w:val="007D3D6C"/>
    <w:rsid w:val="007D49E8"/>
    <w:rsid w:val="007D4B92"/>
    <w:rsid w:val="007D4C1B"/>
    <w:rsid w:val="007D6ADB"/>
    <w:rsid w:val="007D7369"/>
    <w:rsid w:val="007D764F"/>
    <w:rsid w:val="007D7801"/>
    <w:rsid w:val="007E10CD"/>
    <w:rsid w:val="007E121B"/>
    <w:rsid w:val="007E2F26"/>
    <w:rsid w:val="007E351B"/>
    <w:rsid w:val="007E394C"/>
    <w:rsid w:val="007E3B93"/>
    <w:rsid w:val="007E403B"/>
    <w:rsid w:val="007E5CCB"/>
    <w:rsid w:val="007E5E91"/>
    <w:rsid w:val="007E6588"/>
    <w:rsid w:val="007E6A8F"/>
    <w:rsid w:val="007E6C34"/>
    <w:rsid w:val="007E6CD8"/>
    <w:rsid w:val="007E70AB"/>
    <w:rsid w:val="007F0545"/>
    <w:rsid w:val="007F10F9"/>
    <w:rsid w:val="007F1533"/>
    <w:rsid w:val="007F164A"/>
    <w:rsid w:val="007F1C0E"/>
    <w:rsid w:val="007F1FD8"/>
    <w:rsid w:val="007F255F"/>
    <w:rsid w:val="007F361D"/>
    <w:rsid w:val="007F480A"/>
    <w:rsid w:val="007F480C"/>
    <w:rsid w:val="007F498F"/>
    <w:rsid w:val="007F54E0"/>
    <w:rsid w:val="007F63C6"/>
    <w:rsid w:val="007F63E0"/>
    <w:rsid w:val="007F6FE3"/>
    <w:rsid w:val="007F71C6"/>
    <w:rsid w:val="007F7265"/>
    <w:rsid w:val="007F7BE1"/>
    <w:rsid w:val="008006B7"/>
    <w:rsid w:val="00800AAF"/>
    <w:rsid w:val="00800BCC"/>
    <w:rsid w:val="0080278E"/>
    <w:rsid w:val="00802901"/>
    <w:rsid w:val="00804455"/>
    <w:rsid w:val="00805E09"/>
    <w:rsid w:val="00806427"/>
    <w:rsid w:val="008070BF"/>
    <w:rsid w:val="008075B0"/>
    <w:rsid w:val="00807929"/>
    <w:rsid w:val="0081059F"/>
    <w:rsid w:val="00810E4F"/>
    <w:rsid w:val="00811DF2"/>
    <w:rsid w:val="008127A9"/>
    <w:rsid w:val="00812B70"/>
    <w:rsid w:val="00814730"/>
    <w:rsid w:val="0081486E"/>
    <w:rsid w:val="00815BC3"/>
    <w:rsid w:val="00816527"/>
    <w:rsid w:val="00817A98"/>
    <w:rsid w:val="00820172"/>
    <w:rsid w:val="008209D9"/>
    <w:rsid w:val="00820DB3"/>
    <w:rsid w:val="00822A67"/>
    <w:rsid w:val="00822FFD"/>
    <w:rsid w:val="0082331C"/>
    <w:rsid w:val="00823549"/>
    <w:rsid w:val="00823B9A"/>
    <w:rsid w:val="00824AAB"/>
    <w:rsid w:val="00825635"/>
    <w:rsid w:val="008259EC"/>
    <w:rsid w:val="00825BC7"/>
    <w:rsid w:val="00826148"/>
    <w:rsid w:val="00826C1B"/>
    <w:rsid w:val="00827319"/>
    <w:rsid w:val="00827C77"/>
    <w:rsid w:val="00830123"/>
    <w:rsid w:val="00830EB7"/>
    <w:rsid w:val="008313A7"/>
    <w:rsid w:val="00831C79"/>
    <w:rsid w:val="00832ACE"/>
    <w:rsid w:val="00833433"/>
    <w:rsid w:val="00833BD0"/>
    <w:rsid w:val="0083465C"/>
    <w:rsid w:val="0083472E"/>
    <w:rsid w:val="00834AA6"/>
    <w:rsid w:val="00834DE5"/>
    <w:rsid w:val="008353C7"/>
    <w:rsid w:val="008356EB"/>
    <w:rsid w:val="00836315"/>
    <w:rsid w:val="008367D8"/>
    <w:rsid w:val="00836A21"/>
    <w:rsid w:val="00836B4C"/>
    <w:rsid w:val="00836E40"/>
    <w:rsid w:val="00836F4E"/>
    <w:rsid w:val="008374BB"/>
    <w:rsid w:val="008378EE"/>
    <w:rsid w:val="008379EA"/>
    <w:rsid w:val="0084001B"/>
    <w:rsid w:val="00840CD3"/>
    <w:rsid w:val="00840E75"/>
    <w:rsid w:val="0084283A"/>
    <w:rsid w:val="00842A4A"/>
    <w:rsid w:val="00842E41"/>
    <w:rsid w:val="00842F5B"/>
    <w:rsid w:val="00843174"/>
    <w:rsid w:val="0084384E"/>
    <w:rsid w:val="00843E11"/>
    <w:rsid w:val="00843E63"/>
    <w:rsid w:val="00843EA7"/>
    <w:rsid w:val="008446E4"/>
    <w:rsid w:val="0084569D"/>
    <w:rsid w:val="008462C8"/>
    <w:rsid w:val="0084668D"/>
    <w:rsid w:val="00846AC0"/>
    <w:rsid w:val="00847605"/>
    <w:rsid w:val="00847AF7"/>
    <w:rsid w:val="00850044"/>
    <w:rsid w:val="00850BE9"/>
    <w:rsid w:val="00852A8A"/>
    <w:rsid w:val="008531B8"/>
    <w:rsid w:val="00853681"/>
    <w:rsid w:val="0085599B"/>
    <w:rsid w:val="00855C4F"/>
    <w:rsid w:val="008561F5"/>
    <w:rsid w:val="00857E7D"/>
    <w:rsid w:val="00861804"/>
    <w:rsid w:val="0086227F"/>
    <w:rsid w:val="00863188"/>
    <w:rsid w:val="008631FF"/>
    <w:rsid w:val="00863391"/>
    <w:rsid w:val="00865F0D"/>
    <w:rsid w:val="00865FEA"/>
    <w:rsid w:val="00866581"/>
    <w:rsid w:val="00866AD8"/>
    <w:rsid w:val="00867020"/>
    <w:rsid w:val="008676FD"/>
    <w:rsid w:val="0086790F"/>
    <w:rsid w:val="00867E1C"/>
    <w:rsid w:val="00870139"/>
    <w:rsid w:val="0087069C"/>
    <w:rsid w:val="00871A22"/>
    <w:rsid w:val="00871B0E"/>
    <w:rsid w:val="008722CD"/>
    <w:rsid w:val="00872366"/>
    <w:rsid w:val="00872397"/>
    <w:rsid w:val="00872459"/>
    <w:rsid w:val="00872D87"/>
    <w:rsid w:val="00872D99"/>
    <w:rsid w:val="008730C3"/>
    <w:rsid w:val="00873223"/>
    <w:rsid w:val="008732FB"/>
    <w:rsid w:val="0087339A"/>
    <w:rsid w:val="008744B1"/>
    <w:rsid w:val="00874547"/>
    <w:rsid w:val="00874BB1"/>
    <w:rsid w:val="008750F3"/>
    <w:rsid w:val="00875B3A"/>
    <w:rsid w:val="00876029"/>
    <w:rsid w:val="008761D8"/>
    <w:rsid w:val="008772E5"/>
    <w:rsid w:val="00877A4A"/>
    <w:rsid w:val="0088097C"/>
    <w:rsid w:val="00881160"/>
    <w:rsid w:val="0088137B"/>
    <w:rsid w:val="008815B2"/>
    <w:rsid w:val="008836D9"/>
    <w:rsid w:val="00883836"/>
    <w:rsid w:val="00884363"/>
    <w:rsid w:val="00885795"/>
    <w:rsid w:val="008867D4"/>
    <w:rsid w:val="00886864"/>
    <w:rsid w:val="00886893"/>
    <w:rsid w:val="00886973"/>
    <w:rsid w:val="00886D8C"/>
    <w:rsid w:val="00886EC0"/>
    <w:rsid w:val="00886FE8"/>
    <w:rsid w:val="00887023"/>
    <w:rsid w:val="00890A3A"/>
    <w:rsid w:val="00890CA5"/>
    <w:rsid w:val="00890FD4"/>
    <w:rsid w:val="0089169C"/>
    <w:rsid w:val="008918D4"/>
    <w:rsid w:val="00891B1D"/>
    <w:rsid w:val="00893241"/>
    <w:rsid w:val="00893542"/>
    <w:rsid w:val="00894525"/>
    <w:rsid w:val="00894E1D"/>
    <w:rsid w:val="0089619A"/>
    <w:rsid w:val="00897344"/>
    <w:rsid w:val="008975FD"/>
    <w:rsid w:val="00897AB2"/>
    <w:rsid w:val="00897BE7"/>
    <w:rsid w:val="00897EE6"/>
    <w:rsid w:val="0089AECB"/>
    <w:rsid w:val="008A083E"/>
    <w:rsid w:val="008A1763"/>
    <w:rsid w:val="008A1847"/>
    <w:rsid w:val="008A2F99"/>
    <w:rsid w:val="008A30DA"/>
    <w:rsid w:val="008A31B4"/>
    <w:rsid w:val="008A3817"/>
    <w:rsid w:val="008A3A85"/>
    <w:rsid w:val="008A3EFD"/>
    <w:rsid w:val="008A4218"/>
    <w:rsid w:val="008A533C"/>
    <w:rsid w:val="008A536E"/>
    <w:rsid w:val="008A5379"/>
    <w:rsid w:val="008A729A"/>
    <w:rsid w:val="008A7E86"/>
    <w:rsid w:val="008B03A3"/>
    <w:rsid w:val="008B092D"/>
    <w:rsid w:val="008B10DE"/>
    <w:rsid w:val="008B11FC"/>
    <w:rsid w:val="008B26C9"/>
    <w:rsid w:val="008B3852"/>
    <w:rsid w:val="008B3A78"/>
    <w:rsid w:val="008B3D1D"/>
    <w:rsid w:val="008B4F19"/>
    <w:rsid w:val="008B520F"/>
    <w:rsid w:val="008B5CAF"/>
    <w:rsid w:val="008B5F18"/>
    <w:rsid w:val="008B62D7"/>
    <w:rsid w:val="008B6940"/>
    <w:rsid w:val="008B789D"/>
    <w:rsid w:val="008C06C9"/>
    <w:rsid w:val="008C0D1F"/>
    <w:rsid w:val="008C0FF5"/>
    <w:rsid w:val="008C15AC"/>
    <w:rsid w:val="008C2467"/>
    <w:rsid w:val="008C27C4"/>
    <w:rsid w:val="008C2889"/>
    <w:rsid w:val="008C2C0C"/>
    <w:rsid w:val="008C2D98"/>
    <w:rsid w:val="008C36C8"/>
    <w:rsid w:val="008C3CC3"/>
    <w:rsid w:val="008C4B78"/>
    <w:rsid w:val="008C61E9"/>
    <w:rsid w:val="008C61FE"/>
    <w:rsid w:val="008C6BF9"/>
    <w:rsid w:val="008D0251"/>
    <w:rsid w:val="008D1905"/>
    <w:rsid w:val="008D1E96"/>
    <w:rsid w:val="008D3917"/>
    <w:rsid w:val="008D3B19"/>
    <w:rsid w:val="008D3C38"/>
    <w:rsid w:val="008D4245"/>
    <w:rsid w:val="008D4A6C"/>
    <w:rsid w:val="008D56DD"/>
    <w:rsid w:val="008D63F1"/>
    <w:rsid w:val="008D66CB"/>
    <w:rsid w:val="008D77A3"/>
    <w:rsid w:val="008D77CE"/>
    <w:rsid w:val="008D7880"/>
    <w:rsid w:val="008D79AA"/>
    <w:rsid w:val="008D7F8E"/>
    <w:rsid w:val="008E0550"/>
    <w:rsid w:val="008E07BE"/>
    <w:rsid w:val="008E151C"/>
    <w:rsid w:val="008E16DC"/>
    <w:rsid w:val="008E1F96"/>
    <w:rsid w:val="008E2859"/>
    <w:rsid w:val="008E31D6"/>
    <w:rsid w:val="008E343D"/>
    <w:rsid w:val="008E44E6"/>
    <w:rsid w:val="008E499A"/>
    <w:rsid w:val="008E4CBD"/>
    <w:rsid w:val="008E5258"/>
    <w:rsid w:val="008E537D"/>
    <w:rsid w:val="008E7A6C"/>
    <w:rsid w:val="008F0191"/>
    <w:rsid w:val="008F02FC"/>
    <w:rsid w:val="008F05DA"/>
    <w:rsid w:val="008F0A40"/>
    <w:rsid w:val="008F1792"/>
    <w:rsid w:val="008F2329"/>
    <w:rsid w:val="008F26C8"/>
    <w:rsid w:val="008F2FD3"/>
    <w:rsid w:val="008F39DC"/>
    <w:rsid w:val="008F3B44"/>
    <w:rsid w:val="008F3CA2"/>
    <w:rsid w:val="008F3CB5"/>
    <w:rsid w:val="008F597D"/>
    <w:rsid w:val="008F61CB"/>
    <w:rsid w:val="008F6543"/>
    <w:rsid w:val="0090035A"/>
    <w:rsid w:val="009003D6"/>
    <w:rsid w:val="00900446"/>
    <w:rsid w:val="0090093A"/>
    <w:rsid w:val="00901E02"/>
    <w:rsid w:val="0090212B"/>
    <w:rsid w:val="00903515"/>
    <w:rsid w:val="009044A1"/>
    <w:rsid w:val="0090477A"/>
    <w:rsid w:val="00904E2D"/>
    <w:rsid w:val="00904E8C"/>
    <w:rsid w:val="009051AF"/>
    <w:rsid w:val="00905662"/>
    <w:rsid w:val="00906180"/>
    <w:rsid w:val="009068BD"/>
    <w:rsid w:val="00906C3F"/>
    <w:rsid w:val="00906FA6"/>
    <w:rsid w:val="00907F7E"/>
    <w:rsid w:val="00910965"/>
    <w:rsid w:val="00910D39"/>
    <w:rsid w:val="009114A9"/>
    <w:rsid w:val="00911971"/>
    <w:rsid w:val="00911F88"/>
    <w:rsid w:val="0091269C"/>
    <w:rsid w:val="009136EF"/>
    <w:rsid w:val="009139FA"/>
    <w:rsid w:val="0091591C"/>
    <w:rsid w:val="00916D9E"/>
    <w:rsid w:val="00916ECF"/>
    <w:rsid w:val="0091708E"/>
    <w:rsid w:val="009177F8"/>
    <w:rsid w:val="00917DCB"/>
    <w:rsid w:val="009215D7"/>
    <w:rsid w:val="00921742"/>
    <w:rsid w:val="00921EC6"/>
    <w:rsid w:val="00922756"/>
    <w:rsid w:val="00922BB9"/>
    <w:rsid w:val="00923627"/>
    <w:rsid w:val="00923AF1"/>
    <w:rsid w:val="00923EE8"/>
    <w:rsid w:val="00924287"/>
    <w:rsid w:val="009260A0"/>
    <w:rsid w:val="0092620D"/>
    <w:rsid w:val="009269A0"/>
    <w:rsid w:val="00926BDB"/>
    <w:rsid w:val="0092785E"/>
    <w:rsid w:val="00927C81"/>
    <w:rsid w:val="009335D3"/>
    <w:rsid w:val="00933E16"/>
    <w:rsid w:val="009342CB"/>
    <w:rsid w:val="00934780"/>
    <w:rsid w:val="00934851"/>
    <w:rsid w:val="00935C6F"/>
    <w:rsid w:val="009363BA"/>
    <w:rsid w:val="00936D32"/>
    <w:rsid w:val="009371E5"/>
    <w:rsid w:val="00937ADB"/>
    <w:rsid w:val="00937ADD"/>
    <w:rsid w:val="00940120"/>
    <w:rsid w:val="009418EB"/>
    <w:rsid w:val="0094236C"/>
    <w:rsid w:val="0094240F"/>
    <w:rsid w:val="009428E4"/>
    <w:rsid w:val="0094347E"/>
    <w:rsid w:val="00943F09"/>
    <w:rsid w:val="00944834"/>
    <w:rsid w:val="00944846"/>
    <w:rsid w:val="0094500A"/>
    <w:rsid w:val="0094664E"/>
    <w:rsid w:val="009473AD"/>
    <w:rsid w:val="009474D1"/>
    <w:rsid w:val="009475A7"/>
    <w:rsid w:val="00947719"/>
    <w:rsid w:val="0095069D"/>
    <w:rsid w:val="009511AA"/>
    <w:rsid w:val="009512A3"/>
    <w:rsid w:val="009514F3"/>
    <w:rsid w:val="00951A3C"/>
    <w:rsid w:val="009526D1"/>
    <w:rsid w:val="00952970"/>
    <w:rsid w:val="00952F7E"/>
    <w:rsid w:val="00953870"/>
    <w:rsid w:val="009539AF"/>
    <w:rsid w:val="00953E80"/>
    <w:rsid w:val="0095464B"/>
    <w:rsid w:val="009551ED"/>
    <w:rsid w:val="00955841"/>
    <w:rsid w:val="00956684"/>
    <w:rsid w:val="009572AD"/>
    <w:rsid w:val="00957E67"/>
    <w:rsid w:val="00960ED0"/>
    <w:rsid w:val="009613BE"/>
    <w:rsid w:val="00961F6B"/>
    <w:rsid w:val="009622A1"/>
    <w:rsid w:val="00962469"/>
    <w:rsid w:val="009625D7"/>
    <w:rsid w:val="009627D4"/>
    <w:rsid w:val="00963706"/>
    <w:rsid w:val="009638D4"/>
    <w:rsid w:val="00963EB6"/>
    <w:rsid w:val="00964847"/>
    <w:rsid w:val="00964F44"/>
    <w:rsid w:val="00965085"/>
    <w:rsid w:val="00965273"/>
    <w:rsid w:val="009658F2"/>
    <w:rsid w:val="00965CA0"/>
    <w:rsid w:val="00966D65"/>
    <w:rsid w:val="00970552"/>
    <w:rsid w:val="0097065B"/>
    <w:rsid w:val="00970877"/>
    <w:rsid w:val="0097107E"/>
    <w:rsid w:val="00971A50"/>
    <w:rsid w:val="00971AA1"/>
    <w:rsid w:val="009720AB"/>
    <w:rsid w:val="0097295F"/>
    <w:rsid w:val="009732F1"/>
    <w:rsid w:val="0097337C"/>
    <w:rsid w:val="00974154"/>
    <w:rsid w:val="009745AC"/>
    <w:rsid w:val="0097568A"/>
    <w:rsid w:val="009772AA"/>
    <w:rsid w:val="00977C7A"/>
    <w:rsid w:val="00977F12"/>
    <w:rsid w:val="00980851"/>
    <w:rsid w:val="009816D8"/>
    <w:rsid w:val="00981849"/>
    <w:rsid w:val="00981956"/>
    <w:rsid w:val="0098290E"/>
    <w:rsid w:val="0098292F"/>
    <w:rsid w:val="00984076"/>
    <w:rsid w:val="00984133"/>
    <w:rsid w:val="00984B26"/>
    <w:rsid w:val="00987C11"/>
    <w:rsid w:val="009915B4"/>
    <w:rsid w:val="009922E9"/>
    <w:rsid w:val="00993B20"/>
    <w:rsid w:val="00994854"/>
    <w:rsid w:val="009948A6"/>
    <w:rsid w:val="00995CA8"/>
    <w:rsid w:val="00995CBF"/>
    <w:rsid w:val="00996349"/>
    <w:rsid w:val="009A0BAB"/>
    <w:rsid w:val="009A29C8"/>
    <w:rsid w:val="009A34C3"/>
    <w:rsid w:val="009A4094"/>
    <w:rsid w:val="009A438A"/>
    <w:rsid w:val="009A4E63"/>
    <w:rsid w:val="009A6389"/>
    <w:rsid w:val="009A694F"/>
    <w:rsid w:val="009A7A42"/>
    <w:rsid w:val="009A7ADD"/>
    <w:rsid w:val="009A7F12"/>
    <w:rsid w:val="009B1037"/>
    <w:rsid w:val="009B14DC"/>
    <w:rsid w:val="009B161C"/>
    <w:rsid w:val="009B25B4"/>
    <w:rsid w:val="009B2DD1"/>
    <w:rsid w:val="009B2FC1"/>
    <w:rsid w:val="009B40B6"/>
    <w:rsid w:val="009B4203"/>
    <w:rsid w:val="009B549D"/>
    <w:rsid w:val="009B59EC"/>
    <w:rsid w:val="009B62FB"/>
    <w:rsid w:val="009B6682"/>
    <w:rsid w:val="009B6F5A"/>
    <w:rsid w:val="009B768E"/>
    <w:rsid w:val="009C0650"/>
    <w:rsid w:val="009C0671"/>
    <w:rsid w:val="009C0978"/>
    <w:rsid w:val="009C0F31"/>
    <w:rsid w:val="009C1447"/>
    <w:rsid w:val="009C1E20"/>
    <w:rsid w:val="009C2265"/>
    <w:rsid w:val="009C25B3"/>
    <w:rsid w:val="009C30C6"/>
    <w:rsid w:val="009C4025"/>
    <w:rsid w:val="009C41C6"/>
    <w:rsid w:val="009C4897"/>
    <w:rsid w:val="009C4B52"/>
    <w:rsid w:val="009C5896"/>
    <w:rsid w:val="009C5C9C"/>
    <w:rsid w:val="009C628D"/>
    <w:rsid w:val="009C6A64"/>
    <w:rsid w:val="009C7EC9"/>
    <w:rsid w:val="009D00F3"/>
    <w:rsid w:val="009D01FE"/>
    <w:rsid w:val="009D0CAF"/>
    <w:rsid w:val="009D0EF3"/>
    <w:rsid w:val="009D1097"/>
    <w:rsid w:val="009D116C"/>
    <w:rsid w:val="009D2E38"/>
    <w:rsid w:val="009D3181"/>
    <w:rsid w:val="009D3792"/>
    <w:rsid w:val="009D4236"/>
    <w:rsid w:val="009D52F7"/>
    <w:rsid w:val="009D6B62"/>
    <w:rsid w:val="009D6E92"/>
    <w:rsid w:val="009D7F0C"/>
    <w:rsid w:val="009E0357"/>
    <w:rsid w:val="009E1A4D"/>
    <w:rsid w:val="009E2C9C"/>
    <w:rsid w:val="009E2CB5"/>
    <w:rsid w:val="009E2D89"/>
    <w:rsid w:val="009E33B5"/>
    <w:rsid w:val="009E4325"/>
    <w:rsid w:val="009E4802"/>
    <w:rsid w:val="009E5D48"/>
    <w:rsid w:val="009E6123"/>
    <w:rsid w:val="009E6306"/>
    <w:rsid w:val="009E69F3"/>
    <w:rsid w:val="009E6E4E"/>
    <w:rsid w:val="009E716A"/>
    <w:rsid w:val="009E75A9"/>
    <w:rsid w:val="009F0419"/>
    <w:rsid w:val="009F0B71"/>
    <w:rsid w:val="009F0FB1"/>
    <w:rsid w:val="009F26BF"/>
    <w:rsid w:val="009F2953"/>
    <w:rsid w:val="009F29D6"/>
    <w:rsid w:val="009F2B67"/>
    <w:rsid w:val="009F3B32"/>
    <w:rsid w:val="009F447B"/>
    <w:rsid w:val="009F4E33"/>
    <w:rsid w:val="009F548D"/>
    <w:rsid w:val="009F5DF7"/>
    <w:rsid w:val="009F708A"/>
    <w:rsid w:val="009F7416"/>
    <w:rsid w:val="009F7BEF"/>
    <w:rsid w:val="00A0099A"/>
    <w:rsid w:val="00A00A15"/>
    <w:rsid w:val="00A011D5"/>
    <w:rsid w:val="00A0133A"/>
    <w:rsid w:val="00A01F7B"/>
    <w:rsid w:val="00A02ADC"/>
    <w:rsid w:val="00A0307C"/>
    <w:rsid w:val="00A0332A"/>
    <w:rsid w:val="00A03731"/>
    <w:rsid w:val="00A03CF2"/>
    <w:rsid w:val="00A05169"/>
    <w:rsid w:val="00A05363"/>
    <w:rsid w:val="00A06211"/>
    <w:rsid w:val="00A0631A"/>
    <w:rsid w:val="00A064BC"/>
    <w:rsid w:val="00A064E8"/>
    <w:rsid w:val="00A07740"/>
    <w:rsid w:val="00A07CEA"/>
    <w:rsid w:val="00A07E56"/>
    <w:rsid w:val="00A1047D"/>
    <w:rsid w:val="00A1092B"/>
    <w:rsid w:val="00A10C39"/>
    <w:rsid w:val="00A10D3E"/>
    <w:rsid w:val="00A10F7E"/>
    <w:rsid w:val="00A11188"/>
    <w:rsid w:val="00A11809"/>
    <w:rsid w:val="00A118C9"/>
    <w:rsid w:val="00A11CC0"/>
    <w:rsid w:val="00A11DF8"/>
    <w:rsid w:val="00A120E2"/>
    <w:rsid w:val="00A127E7"/>
    <w:rsid w:val="00A13754"/>
    <w:rsid w:val="00A13B65"/>
    <w:rsid w:val="00A1669E"/>
    <w:rsid w:val="00A16BE8"/>
    <w:rsid w:val="00A16FEA"/>
    <w:rsid w:val="00A17414"/>
    <w:rsid w:val="00A1743E"/>
    <w:rsid w:val="00A2033B"/>
    <w:rsid w:val="00A203C3"/>
    <w:rsid w:val="00A20430"/>
    <w:rsid w:val="00A204A3"/>
    <w:rsid w:val="00A20935"/>
    <w:rsid w:val="00A2109F"/>
    <w:rsid w:val="00A218B6"/>
    <w:rsid w:val="00A21D1A"/>
    <w:rsid w:val="00A221E4"/>
    <w:rsid w:val="00A22781"/>
    <w:rsid w:val="00A22910"/>
    <w:rsid w:val="00A22AC4"/>
    <w:rsid w:val="00A23A23"/>
    <w:rsid w:val="00A25E0A"/>
    <w:rsid w:val="00A26512"/>
    <w:rsid w:val="00A272C5"/>
    <w:rsid w:val="00A276E6"/>
    <w:rsid w:val="00A27903"/>
    <w:rsid w:val="00A27B27"/>
    <w:rsid w:val="00A27BDC"/>
    <w:rsid w:val="00A30013"/>
    <w:rsid w:val="00A302EE"/>
    <w:rsid w:val="00A30CCF"/>
    <w:rsid w:val="00A30EE9"/>
    <w:rsid w:val="00A3101A"/>
    <w:rsid w:val="00A31668"/>
    <w:rsid w:val="00A3196E"/>
    <w:rsid w:val="00A3243E"/>
    <w:rsid w:val="00A33531"/>
    <w:rsid w:val="00A3505E"/>
    <w:rsid w:val="00A356E4"/>
    <w:rsid w:val="00A35D11"/>
    <w:rsid w:val="00A35DA9"/>
    <w:rsid w:val="00A367CB"/>
    <w:rsid w:val="00A36C8F"/>
    <w:rsid w:val="00A37B9E"/>
    <w:rsid w:val="00A37CDD"/>
    <w:rsid w:val="00A40260"/>
    <w:rsid w:val="00A40750"/>
    <w:rsid w:val="00A40D57"/>
    <w:rsid w:val="00A4171E"/>
    <w:rsid w:val="00A41793"/>
    <w:rsid w:val="00A41845"/>
    <w:rsid w:val="00A4226C"/>
    <w:rsid w:val="00A4238E"/>
    <w:rsid w:val="00A42BAC"/>
    <w:rsid w:val="00A42C9C"/>
    <w:rsid w:val="00A42FB9"/>
    <w:rsid w:val="00A4427B"/>
    <w:rsid w:val="00A44486"/>
    <w:rsid w:val="00A44854"/>
    <w:rsid w:val="00A450C6"/>
    <w:rsid w:val="00A4616B"/>
    <w:rsid w:val="00A4619B"/>
    <w:rsid w:val="00A46C02"/>
    <w:rsid w:val="00A47183"/>
    <w:rsid w:val="00A47858"/>
    <w:rsid w:val="00A5048D"/>
    <w:rsid w:val="00A50F19"/>
    <w:rsid w:val="00A51F00"/>
    <w:rsid w:val="00A529A6"/>
    <w:rsid w:val="00A53193"/>
    <w:rsid w:val="00A53834"/>
    <w:rsid w:val="00A539D3"/>
    <w:rsid w:val="00A54305"/>
    <w:rsid w:val="00A55930"/>
    <w:rsid w:val="00A55A51"/>
    <w:rsid w:val="00A5606A"/>
    <w:rsid w:val="00A56662"/>
    <w:rsid w:val="00A56B13"/>
    <w:rsid w:val="00A56C6C"/>
    <w:rsid w:val="00A56CFA"/>
    <w:rsid w:val="00A570F9"/>
    <w:rsid w:val="00A571E2"/>
    <w:rsid w:val="00A57250"/>
    <w:rsid w:val="00A57BD8"/>
    <w:rsid w:val="00A57FE3"/>
    <w:rsid w:val="00A60121"/>
    <w:rsid w:val="00A619B5"/>
    <w:rsid w:val="00A623C2"/>
    <w:rsid w:val="00A625B1"/>
    <w:rsid w:val="00A63701"/>
    <w:rsid w:val="00A63E2B"/>
    <w:rsid w:val="00A63EF2"/>
    <w:rsid w:val="00A640BC"/>
    <w:rsid w:val="00A656BC"/>
    <w:rsid w:val="00A657D3"/>
    <w:rsid w:val="00A65B43"/>
    <w:rsid w:val="00A65C86"/>
    <w:rsid w:val="00A67F53"/>
    <w:rsid w:val="00A70F9D"/>
    <w:rsid w:val="00A714AC"/>
    <w:rsid w:val="00A72239"/>
    <w:rsid w:val="00A734C8"/>
    <w:rsid w:val="00A737E2"/>
    <w:rsid w:val="00A73AC5"/>
    <w:rsid w:val="00A73CF0"/>
    <w:rsid w:val="00A748A6"/>
    <w:rsid w:val="00A74A76"/>
    <w:rsid w:val="00A75605"/>
    <w:rsid w:val="00A75952"/>
    <w:rsid w:val="00A760A6"/>
    <w:rsid w:val="00A7681F"/>
    <w:rsid w:val="00A76E22"/>
    <w:rsid w:val="00A771F2"/>
    <w:rsid w:val="00A77C38"/>
    <w:rsid w:val="00A804B0"/>
    <w:rsid w:val="00A806EB"/>
    <w:rsid w:val="00A80C4D"/>
    <w:rsid w:val="00A80E22"/>
    <w:rsid w:val="00A81583"/>
    <w:rsid w:val="00A81D37"/>
    <w:rsid w:val="00A82841"/>
    <w:rsid w:val="00A8339F"/>
    <w:rsid w:val="00A83914"/>
    <w:rsid w:val="00A83916"/>
    <w:rsid w:val="00A83B9B"/>
    <w:rsid w:val="00A84263"/>
    <w:rsid w:val="00A85114"/>
    <w:rsid w:val="00A8585E"/>
    <w:rsid w:val="00A85C7C"/>
    <w:rsid w:val="00A85D15"/>
    <w:rsid w:val="00A86960"/>
    <w:rsid w:val="00A8750A"/>
    <w:rsid w:val="00A87D97"/>
    <w:rsid w:val="00A900CF"/>
    <w:rsid w:val="00A90279"/>
    <w:rsid w:val="00A904A4"/>
    <w:rsid w:val="00A905AB"/>
    <w:rsid w:val="00A90717"/>
    <w:rsid w:val="00A914AF"/>
    <w:rsid w:val="00A92D67"/>
    <w:rsid w:val="00A93839"/>
    <w:rsid w:val="00A94A11"/>
    <w:rsid w:val="00A94F98"/>
    <w:rsid w:val="00A957A5"/>
    <w:rsid w:val="00A958F0"/>
    <w:rsid w:val="00A961F2"/>
    <w:rsid w:val="00A966EA"/>
    <w:rsid w:val="00A96F17"/>
    <w:rsid w:val="00A973A3"/>
    <w:rsid w:val="00A97B4C"/>
    <w:rsid w:val="00AA0A45"/>
    <w:rsid w:val="00AA0B04"/>
    <w:rsid w:val="00AA1380"/>
    <w:rsid w:val="00AA1595"/>
    <w:rsid w:val="00AA1E8E"/>
    <w:rsid w:val="00AA1F9A"/>
    <w:rsid w:val="00AA2610"/>
    <w:rsid w:val="00AA26C4"/>
    <w:rsid w:val="00AA26EE"/>
    <w:rsid w:val="00AA292A"/>
    <w:rsid w:val="00AA2D47"/>
    <w:rsid w:val="00AA4B39"/>
    <w:rsid w:val="00AA5CB4"/>
    <w:rsid w:val="00AA5E73"/>
    <w:rsid w:val="00AA6573"/>
    <w:rsid w:val="00AA73C5"/>
    <w:rsid w:val="00AA740D"/>
    <w:rsid w:val="00AA749B"/>
    <w:rsid w:val="00AA793F"/>
    <w:rsid w:val="00AB0545"/>
    <w:rsid w:val="00AB094F"/>
    <w:rsid w:val="00AB0DCD"/>
    <w:rsid w:val="00AB111D"/>
    <w:rsid w:val="00AB26BD"/>
    <w:rsid w:val="00AB3052"/>
    <w:rsid w:val="00AB39D4"/>
    <w:rsid w:val="00AB3A0F"/>
    <w:rsid w:val="00AB41B0"/>
    <w:rsid w:val="00AB421C"/>
    <w:rsid w:val="00AB50B4"/>
    <w:rsid w:val="00AB55C1"/>
    <w:rsid w:val="00AB5B5B"/>
    <w:rsid w:val="00AB6523"/>
    <w:rsid w:val="00AB6887"/>
    <w:rsid w:val="00AB6D51"/>
    <w:rsid w:val="00AB7014"/>
    <w:rsid w:val="00AB7093"/>
    <w:rsid w:val="00AB72CA"/>
    <w:rsid w:val="00AB7B79"/>
    <w:rsid w:val="00AC03B3"/>
    <w:rsid w:val="00AC03CA"/>
    <w:rsid w:val="00AC0448"/>
    <w:rsid w:val="00AC08D0"/>
    <w:rsid w:val="00AC09E7"/>
    <w:rsid w:val="00AC1513"/>
    <w:rsid w:val="00AC15EA"/>
    <w:rsid w:val="00AC1777"/>
    <w:rsid w:val="00AC1790"/>
    <w:rsid w:val="00AC1DDA"/>
    <w:rsid w:val="00AC2538"/>
    <w:rsid w:val="00AC27B4"/>
    <w:rsid w:val="00AC3EA8"/>
    <w:rsid w:val="00AC40F4"/>
    <w:rsid w:val="00AC505F"/>
    <w:rsid w:val="00AC5395"/>
    <w:rsid w:val="00AC5B42"/>
    <w:rsid w:val="00AC63EA"/>
    <w:rsid w:val="00AC79EE"/>
    <w:rsid w:val="00AC7F00"/>
    <w:rsid w:val="00AD0091"/>
    <w:rsid w:val="00AD0219"/>
    <w:rsid w:val="00AD0492"/>
    <w:rsid w:val="00AD0FA2"/>
    <w:rsid w:val="00AD14A1"/>
    <w:rsid w:val="00AD1584"/>
    <w:rsid w:val="00AD1CD3"/>
    <w:rsid w:val="00AD2B1E"/>
    <w:rsid w:val="00AD2EE8"/>
    <w:rsid w:val="00AD30D2"/>
    <w:rsid w:val="00AD4488"/>
    <w:rsid w:val="00AD45C9"/>
    <w:rsid w:val="00AD468F"/>
    <w:rsid w:val="00AD5AC2"/>
    <w:rsid w:val="00AD5E2F"/>
    <w:rsid w:val="00AD75E9"/>
    <w:rsid w:val="00AD77CF"/>
    <w:rsid w:val="00AE0EA4"/>
    <w:rsid w:val="00AE1DD6"/>
    <w:rsid w:val="00AE2BAC"/>
    <w:rsid w:val="00AE3C12"/>
    <w:rsid w:val="00AE458B"/>
    <w:rsid w:val="00AE478B"/>
    <w:rsid w:val="00AE5495"/>
    <w:rsid w:val="00AE5519"/>
    <w:rsid w:val="00AE590F"/>
    <w:rsid w:val="00AE5B68"/>
    <w:rsid w:val="00AE5F9A"/>
    <w:rsid w:val="00AE7973"/>
    <w:rsid w:val="00AF177A"/>
    <w:rsid w:val="00AF1950"/>
    <w:rsid w:val="00AF2206"/>
    <w:rsid w:val="00AF2A44"/>
    <w:rsid w:val="00AF3C5B"/>
    <w:rsid w:val="00AF4781"/>
    <w:rsid w:val="00AF4AAC"/>
    <w:rsid w:val="00B00789"/>
    <w:rsid w:val="00B02242"/>
    <w:rsid w:val="00B02514"/>
    <w:rsid w:val="00B037FE"/>
    <w:rsid w:val="00B03975"/>
    <w:rsid w:val="00B03A2D"/>
    <w:rsid w:val="00B03A4B"/>
    <w:rsid w:val="00B03C9A"/>
    <w:rsid w:val="00B03EAD"/>
    <w:rsid w:val="00B0446B"/>
    <w:rsid w:val="00B04C3F"/>
    <w:rsid w:val="00B05D0E"/>
    <w:rsid w:val="00B0652D"/>
    <w:rsid w:val="00B06F52"/>
    <w:rsid w:val="00B10F6B"/>
    <w:rsid w:val="00B12A93"/>
    <w:rsid w:val="00B12EA7"/>
    <w:rsid w:val="00B1311D"/>
    <w:rsid w:val="00B13708"/>
    <w:rsid w:val="00B13AFA"/>
    <w:rsid w:val="00B145CA"/>
    <w:rsid w:val="00B14B3A"/>
    <w:rsid w:val="00B14CCB"/>
    <w:rsid w:val="00B14DA2"/>
    <w:rsid w:val="00B14E68"/>
    <w:rsid w:val="00B15B99"/>
    <w:rsid w:val="00B15D19"/>
    <w:rsid w:val="00B15F07"/>
    <w:rsid w:val="00B16562"/>
    <w:rsid w:val="00B16AA8"/>
    <w:rsid w:val="00B17002"/>
    <w:rsid w:val="00B17CBD"/>
    <w:rsid w:val="00B20048"/>
    <w:rsid w:val="00B200DD"/>
    <w:rsid w:val="00B203E7"/>
    <w:rsid w:val="00B20CA4"/>
    <w:rsid w:val="00B20CBA"/>
    <w:rsid w:val="00B2126E"/>
    <w:rsid w:val="00B22053"/>
    <w:rsid w:val="00B2223C"/>
    <w:rsid w:val="00B22F22"/>
    <w:rsid w:val="00B235AB"/>
    <w:rsid w:val="00B23629"/>
    <w:rsid w:val="00B24F7C"/>
    <w:rsid w:val="00B260F0"/>
    <w:rsid w:val="00B27B2B"/>
    <w:rsid w:val="00B306A7"/>
    <w:rsid w:val="00B31B60"/>
    <w:rsid w:val="00B32DCA"/>
    <w:rsid w:val="00B3313A"/>
    <w:rsid w:val="00B338EC"/>
    <w:rsid w:val="00B3551D"/>
    <w:rsid w:val="00B36A87"/>
    <w:rsid w:val="00B36C11"/>
    <w:rsid w:val="00B4015C"/>
    <w:rsid w:val="00B416E8"/>
    <w:rsid w:val="00B4176C"/>
    <w:rsid w:val="00B41DEE"/>
    <w:rsid w:val="00B42124"/>
    <w:rsid w:val="00B42986"/>
    <w:rsid w:val="00B437FE"/>
    <w:rsid w:val="00B446E1"/>
    <w:rsid w:val="00B4530F"/>
    <w:rsid w:val="00B45F28"/>
    <w:rsid w:val="00B468F6"/>
    <w:rsid w:val="00B46A56"/>
    <w:rsid w:val="00B5099C"/>
    <w:rsid w:val="00B50D18"/>
    <w:rsid w:val="00B514F4"/>
    <w:rsid w:val="00B53A6E"/>
    <w:rsid w:val="00B53FB8"/>
    <w:rsid w:val="00B53FE7"/>
    <w:rsid w:val="00B54F31"/>
    <w:rsid w:val="00B552B7"/>
    <w:rsid w:val="00B554A7"/>
    <w:rsid w:val="00B55628"/>
    <w:rsid w:val="00B55639"/>
    <w:rsid w:val="00B55CBD"/>
    <w:rsid w:val="00B55EAD"/>
    <w:rsid w:val="00B569E3"/>
    <w:rsid w:val="00B56B76"/>
    <w:rsid w:val="00B57756"/>
    <w:rsid w:val="00B57CAE"/>
    <w:rsid w:val="00B57DF3"/>
    <w:rsid w:val="00B61B5D"/>
    <w:rsid w:val="00B62174"/>
    <w:rsid w:val="00B62199"/>
    <w:rsid w:val="00B62E93"/>
    <w:rsid w:val="00B638D7"/>
    <w:rsid w:val="00B63E1C"/>
    <w:rsid w:val="00B64CE4"/>
    <w:rsid w:val="00B650B0"/>
    <w:rsid w:val="00B6568A"/>
    <w:rsid w:val="00B65800"/>
    <w:rsid w:val="00B66091"/>
    <w:rsid w:val="00B6645D"/>
    <w:rsid w:val="00B670FB"/>
    <w:rsid w:val="00B67C36"/>
    <w:rsid w:val="00B70623"/>
    <w:rsid w:val="00B709BD"/>
    <w:rsid w:val="00B70BB2"/>
    <w:rsid w:val="00B7101A"/>
    <w:rsid w:val="00B72914"/>
    <w:rsid w:val="00B72E0B"/>
    <w:rsid w:val="00B739AD"/>
    <w:rsid w:val="00B73C55"/>
    <w:rsid w:val="00B74710"/>
    <w:rsid w:val="00B75443"/>
    <w:rsid w:val="00B75740"/>
    <w:rsid w:val="00B75D8C"/>
    <w:rsid w:val="00B76115"/>
    <w:rsid w:val="00B76E07"/>
    <w:rsid w:val="00B773EA"/>
    <w:rsid w:val="00B779D8"/>
    <w:rsid w:val="00B80190"/>
    <w:rsid w:val="00B80439"/>
    <w:rsid w:val="00B806A4"/>
    <w:rsid w:val="00B80B00"/>
    <w:rsid w:val="00B8106E"/>
    <w:rsid w:val="00B8158C"/>
    <w:rsid w:val="00B817C0"/>
    <w:rsid w:val="00B81AF2"/>
    <w:rsid w:val="00B8269A"/>
    <w:rsid w:val="00B82891"/>
    <w:rsid w:val="00B82AF6"/>
    <w:rsid w:val="00B82EBA"/>
    <w:rsid w:val="00B8325C"/>
    <w:rsid w:val="00B84238"/>
    <w:rsid w:val="00B8448E"/>
    <w:rsid w:val="00B8486D"/>
    <w:rsid w:val="00B84BE7"/>
    <w:rsid w:val="00B84F72"/>
    <w:rsid w:val="00B8546A"/>
    <w:rsid w:val="00B85537"/>
    <w:rsid w:val="00B86622"/>
    <w:rsid w:val="00B86939"/>
    <w:rsid w:val="00B870DE"/>
    <w:rsid w:val="00B8742D"/>
    <w:rsid w:val="00B9154F"/>
    <w:rsid w:val="00B91F6C"/>
    <w:rsid w:val="00B92694"/>
    <w:rsid w:val="00B92A03"/>
    <w:rsid w:val="00B92A62"/>
    <w:rsid w:val="00B92D9A"/>
    <w:rsid w:val="00B92FE3"/>
    <w:rsid w:val="00B93418"/>
    <w:rsid w:val="00B93500"/>
    <w:rsid w:val="00B93793"/>
    <w:rsid w:val="00B93C3E"/>
    <w:rsid w:val="00B95037"/>
    <w:rsid w:val="00B952A8"/>
    <w:rsid w:val="00B95AD4"/>
    <w:rsid w:val="00B966ED"/>
    <w:rsid w:val="00B96A9E"/>
    <w:rsid w:val="00B971E8"/>
    <w:rsid w:val="00B97606"/>
    <w:rsid w:val="00B978B8"/>
    <w:rsid w:val="00B97E46"/>
    <w:rsid w:val="00BA0080"/>
    <w:rsid w:val="00BA014F"/>
    <w:rsid w:val="00BA08DF"/>
    <w:rsid w:val="00BA154C"/>
    <w:rsid w:val="00BA1C8A"/>
    <w:rsid w:val="00BA2669"/>
    <w:rsid w:val="00BA2834"/>
    <w:rsid w:val="00BA319A"/>
    <w:rsid w:val="00BA40AF"/>
    <w:rsid w:val="00BA4A62"/>
    <w:rsid w:val="00BA5510"/>
    <w:rsid w:val="00BA5772"/>
    <w:rsid w:val="00BA797C"/>
    <w:rsid w:val="00BB09F2"/>
    <w:rsid w:val="00BB0BA3"/>
    <w:rsid w:val="00BB1CC9"/>
    <w:rsid w:val="00BB1DE5"/>
    <w:rsid w:val="00BB1FAE"/>
    <w:rsid w:val="00BB224B"/>
    <w:rsid w:val="00BB234D"/>
    <w:rsid w:val="00BB2ADD"/>
    <w:rsid w:val="00BB37DF"/>
    <w:rsid w:val="00BB4246"/>
    <w:rsid w:val="00BB511E"/>
    <w:rsid w:val="00BB6767"/>
    <w:rsid w:val="00BB6FA6"/>
    <w:rsid w:val="00BB777D"/>
    <w:rsid w:val="00BB7E60"/>
    <w:rsid w:val="00BC131E"/>
    <w:rsid w:val="00BC2851"/>
    <w:rsid w:val="00BC2FF5"/>
    <w:rsid w:val="00BC3060"/>
    <w:rsid w:val="00BC3356"/>
    <w:rsid w:val="00BC39AC"/>
    <w:rsid w:val="00BC574B"/>
    <w:rsid w:val="00BC61AD"/>
    <w:rsid w:val="00BC64E8"/>
    <w:rsid w:val="00BC768D"/>
    <w:rsid w:val="00BC7F03"/>
    <w:rsid w:val="00BC7FED"/>
    <w:rsid w:val="00BD0C9A"/>
    <w:rsid w:val="00BD0CB5"/>
    <w:rsid w:val="00BD0DDC"/>
    <w:rsid w:val="00BD132D"/>
    <w:rsid w:val="00BD1F5B"/>
    <w:rsid w:val="00BD2167"/>
    <w:rsid w:val="00BD287F"/>
    <w:rsid w:val="00BD2EDF"/>
    <w:rsid w:val="00BD3323"/>
    <w:rsid w:val="00BD3EE0"/>
    <w:rsid w:val="00BD3F92"/>
    <w:rsid w:val="00BD4052"/>
    <w:rsid w:val="00BD5105"/>
    <w:rsid w:val="00BD6020"/>
    <w:rsid w:val="00BD64AF"/>
    <w:rsid w:val="00BD6D86"/>
    <w:rsid w:val="00BD6E7B"/>
    <w:rsid w:val="00BD702A"/>
    <w:rsid w:val="00BD72F2"/>
    <w:rsid w:val="00BD7491"/>
    <w:rsid w:val="00BD7949"/>
    <w:rsid w:val="00BD7D9A"/>
    <w:rsid w:val="00BE0928"/>
    <w:rsid w:val="00BE1383"/>
    <w:rsid w:val="00BE29D8"/>
    <w:rsid w:val="00BE2A1C"/>
    <w:rsid w:val="00BE3953"/>
    <w:rsid w:val="00BE3E5F"/>
    <w:rsid w:val="00BE4445"/>
    <w:rsid w:val="00BE4A84"/>
    <w:rsid w:val="00BE53E8"/>
    <w:rsid w:val="00BE547E"/>
    <w:rsid w:val="00BE5FDA"/>
    <w:rsid w:val="00BE6967"/>
    <w:rsid w:val="00BE7FBF"/>
    <w:rsid w:val="00BF0265"/>
    <w:rsid w:val="00BF1656"/>
    <w:rsid w:val="00BF1700"/>
    <w:rsid w:val="00BF175E"/>
    <w:rsid w:val="00BF17E5"/>
    <w:rsid w:val="00BF1822"/>
    <w:rsid w:val="00BF2A0D"/>
    <w:rsid w:val="00BF2C6F"/>
    <w:rsid w:val="00BF4414"/>
    <w:rsid w:val="00BF528F"/>
    <w:rsid w:val="00BF54BC"/>
    <w:rsid w:val="00BF6057"/>
    <w:rsid w:val="00BF64CD"/>
    <w:rsid w:val="00BF74B6"/>
    <w:rsid w:val="00C00F71"/>
    <w:rsid w:val="00C01281"/>
    <w:rsid w:val="00C01A73"/>
    <w:rsid w:val="00C01BDB"/>
    <w:rsid w:val="00C02590"/>
    <w:rsid w:val="00C02C50"/>
    <w:rsid w:val="00C03790"/>
    <w:rsid w:val="00C03985"/>
    <w:rsid w:val="00C03E1D"/>
    <w:rsid w:val="00C05BDF"/>
    <w:rsid w:val="00C0635F"/>
    <w:rsid w:val="00C07039"/>
    <w:rsid w:val="00C071B4"/>
    <w:rsid w:val="00C117D1"/>
    <w:rsid w:val="00C11B7A"/>
    <w:rsid w:val="00C11FF6"/>
    <w:rsid w:val="00C1211A"/>
    <w:rsid w:val="00C122BF"/>
    <w:rsid w:val="00C12733"/>
    <w:rsid w:val="00C137D9"/>
    <w:rsid w:val="00C13A09"/>
    <w:rsid w:val="00C13BA7"/>
    <w:rsid w:val="00C15360"/>
    <w:rsid w:val="00C15530"/>
    <w:rsid w:val="00C155D4"/>
    <w:rsid w:val="00C15C6D"/>
    <w:rsid w:val="00C15C97"/>
    <w:rsid w:val="00C16462"/>
    <w:rsid w:val="00C16537"/>
    <w:rsid w:val="00C16DE9"/>
    <w:rsid w:val="00C16E2D"/>
    <w:rsid w:val="00C174B9"/>
    <w:rsid w:val="00C17DAB"/>
    <w:rsid w:val="00C201C3"/>
    <w:rsid w:val="00C202B3"/>
    <w:rsid w:val="00C20547"/>
    <w:rsid w:val="00C207C3"/>
    <w:rsid w:val="00C210E2"/>
    <w:rsid w:val="00C21301"/>
    <w:rsid w:val="00C214FE"/>
    <w:rsid w:val="00C21523"/>
    <w:rsid w:val="00C21BB6"/>
    <w:rsid w:val="00C22143"/>
    <w:rsid w:val="00C2304F"/>
    <w:rsid w:val="00C238BD"/>
    <w:rsid w:val="00C23BCD"/>
    <w:rsid w:val="00C23EC8"/>
    <w:rsid w:val="00C2498E"/>
    <w:rsid w:val="00C25D7F"/>
    <w:rsid w:val="00C261D5"/>
    <w:rsid w:val="00C26288"/>
    <w:rsid w:val="00C26301"/>
    <w:rsid w:val="00C26AFD"/>
    <w:rsid w:val="00C273C3"/>
    <w:rsid w:val="00C274AF"/>
    <w:rsid w:val="00C27921"/>
    <w:rsid w:val="00C27F44"/>
    <w:rsid w:val="00C30728"/>
    <w:rsid w:val="00C30BD3"/>
    <w:rsid w:val="00C31F15"/>
    <w:rsid w:val="00C3270B"/>
    <w:rsid w:val="00C32D5A"/>
    <w:rsid w:val="00C3320D"/>
    <w:rsid w:val="00C34063"/>
    <w:rsid w:val="00C34717"/>
    <w:rsid w:val="00C35372"/>
    <w:rsid w:val="00C3550A"/>
    <w:rsid w:val="00C358F1"/>
    <w:rsid w:val="00C35E40"/>
    <w:rsid w:val="00C3609D"/>
    <w:rsid w:val="00C36604"/>
    <w:rsid w:val="00C368AF"/>
    <w:rsid w:val="00C36B3C"/>
    <w:rsid w:val="00C36C2D"/>
    <w:rsid w:val="00C37B83"/>
    <w:rsid w:val="00C400FD"/>
    <w:rsid w:val="00C40245"/>
    <w:rsid w:val="00C40DBC"/>
    <w:rsid w:val="00C42541"/>
    <w:rsid w:val="00C42679"/>
    <w:rsid w:val="00C42B55"/>
    <w:rsid w:val="00C42C25"/>
    <w:rsid w:val="00C43882"/>
    <w:rsid w:val="00C44A8B"/>
    <w:rsid w:val="00C44BA7"/>
    <w:rsid w:val="00C44BD8"/>
    <w:rsid w:val="00C44D4F"/>
    <w:rsid w:val="00C45098"/>
    <w:rsid w:val="00C5026A"/>
    <w:rsid w:val="00C50885"/>
    <w:rsid w:val="00C50D52"/>
    <w:rsid w:val="00C50D71"/>
    <w:rsid w:val="00C512F1"/>
    <w:rsid w:val="00C515D6"/>
    <w:rsid w:val="00C5176A"/>
    <w:rsid w:val="00C517BC"/>
    <w:rsid w:val="00C517E4"/>
    <w:rsid w:val="00C51FA4"/>
    <w:rsid w:val="00C526B4"/>
    <w:rsid w:val="00C52AD4"/>
    <w:rsid w:val="00C52CEB"/>
    <w:rsid w:val="00C537C9"/>
    <w:rsid w:val="00C53ECD"/>
    <w:rsid w:val="00C53F1C"/>
    <w:rsid w:val="00C54C04"/>
    <w:rsid w:val="00C561F8"/>
    <w:rsid w:val="00C565E2"/>
    <w:rsid w:val="00C5715D"/>
    <w:rsid w:val="00C5735F"/>
    <w:rsid w:val="00C607CC"/>
    <w:rsid w:val="00C612EE"/>
    <w:rsid w:val="00C61560"/>
    <w:rsid w:val="00C61976"/>
    <w:rsid w:val="00C627C3"/>
    <w:rsid w:val="00C62E5D"/>
    <w:rsid w:val="00C639FA"/>
    <w:rsid w:val="00C63FA5"/>
    <w:rsid w:val="00C6415A"/>
    <w:rsid w:val="00C643F0"/>
    <w:rsid w:val="00C6460B"/>
    <w:rsid w:val="00C64F36"/>
    <w:rsid w:val="00C6522F"/>
    <w:rsid w:val="00C6562B"/>
    <w:rsid w:val="00C657D9"/>
    <w:rsid w:val="00C6616F"/>
    <w:rsid w:val="00C667F4"/>
    <w:rsid w:val="00C66875"/>
    <w:rsid w:val="00C70758"/>
    <w:rsid w:val="00C7118B"/>
    <w:rsid w:val="00C72310"/>
    <w:rsid w:val="00C72340"/>
    <w:rsid w:val="00C72D49"/>
    <w:rsid w:val="00C74931"/>
    <w:rsid w:val="00C74977"/>
    <w:rsid w:val="00C74984"/>
    <w:rsid w:val="00C75322"/>
    <w:rsid w:val="00C756BD"/>
    <w:rsid w:val="00C75858"/>
    <w:rsid w:val="00C76095"/>
    <w:rsid w:val="00C76D1E"/>
    <w:rsid w:val="00C770F1"/>
    <w:rsid w:val="00C77F73"/>
    <w:rsid w:val="00C80061"/>
    <w:rsid w:val="00C802AC"/>
    <w:rsid w:val="00C803A5"/>
    <w:rsid w:val="00C805CC"/>
    <w:rsid w:val="00C80CD0"/>
    <w:rsid w:val="00C80E9E"/>
    <w:rsid w:val="00C811C5"/>
    <w:rsid w:val="00C81469"/>
    <w:rsid w:val="00C81643"/>
    <w:rsid w:val="00C81DFA"/>
    <w:rsid w:val="00C8445A"/>
    <w:rsid w:val="00C84BC1"/>
    <w:rsid w:val="00C8522D"/>
    <w:rsid w:val="00C85263"/>
    <w:rsid w:val="00C85370"/>
    <w:rsid w:val="00C854FE"/>
    <w:rsid w:val="00C85BBD"/>
    <w:rsid w:val="00C85CA4"/>
    <w:rsid w:val="00C85D38"/>
    <w:rsid w:val="00C900D6"/>
    <w:rsid w:val="00C90DBC"/>
    <w:rsid w:val="00C911BA"/>
    <w:rsid w:val="00C912E9"/>
    <w:rsid w:val="00C91494"/>
    <w:rsid w:val="00C9258E"/>
    <w:rsid w:val="00C9346D"/>
    <w:rsid w:val="00C93A38"/>
    <w:rsid w:val="00C9472A"/>
    <w:rsid w:val="00C94BFE"/>
    <w:rsid w:val="00C9567B"/>
    <w:rsid w:val="00C95AB9"/>
    <w:rsid w:val="00C95F4F"/>
    <w:rsid w:val="00C96498"/>
    <w:rsid w:val="00C96674"/>
    <w:rsid w:val="00C9681C"/>
    <w:rsid w:val="00C97027"/>
    <w:rsid w:val="00C973DF"/>
    <w:rsid w:val="00C97719"/>
    <w:rsid w:val="00C979CB"/>
    <w:rsid w:val="00C97A7A"/>
    <w:rsid w:val="00CA01D3"/>
    <w:rsid w:val="00CA0CBE"/>
    <w:rsid w:val="00CA1278"/>
    <w:rsid w:val="00CA12E4"/>
    <w:rsid w:val="00CA17EC"/>
    <w:rsid w:val="00CA1ABA"/>
    <w:rsid w:val="00CA1ECF"/>
    <w:rsid w:val="00CA1EE7"/>
    <w:rsid w:val="00CA2102"/>
    <w:rsid w:val="00CA250F"/>
    <w:rsid w:val="00CA267C"/>
    <w:rsid w:val="00CA29F8"/>
    <w:rsid w:val="00CA3829"/>
    <w:rsid w:val="00CA3A72"/>
    <w:rsid w:val="00CA4914"/>
    <w:rsid w:val="00CA54F2"/>
    <w:rsid w:val="00CA56DF"/>
    <w:rsid w:val="00CA5B4D"/>
    <w:rsid w:val="00CA5D18"/>
    <w:rsid w:val="00CA6162"/>
    <w:rsid w:val="00CA6371"/>
    <w:rsid w:val="00CA700D"/>
    <w:rsid w:val="00CA702A"/>
    <w:rsid w:val="00CA7154"/>
    <w:rsid w:val="00CA71D0"/>
    <w:rsid w:val="00CB1646"/>
    <w:rsid w:val="00CB1FFA"/>
    <w:rsid w:val="00CB2174"/>
    <w:rsid w:val="00CB277C"/>
    <w:rsid w:val="00CB28D7"/>
    <w:rsid w:val="00CB320F"/>
    <w:rsid w:val="00CB3483"/>
    <w:rsid w:val="00CB38AD"/>
    <w:rsid w:val="00CB49ED"/>
    <w:rsid w:val="00CB4FBB"/>
    <w:rsid w:val="00CB5783"/>
    <w:rsid w:val="00CB5B9B"/>
    <w:rsid w:val="00CB72E3"/>
    <w:rsid w:val="00CB7CEF"/>
    <w:rsid w:val="00CC01E1"/>
    <w:rsid w:val="00CC0A34"/>
    <w:rsid w:val="00CC0CA3"/>
    <w:rsid w:val="00CC1C18"/>
    <w:rsid w:val="00CC1DA3"/>
    <w:rsid w:val="00CC4E2B"/>
    <w:rsid w:val="00CC5522"/>
    <w:rsid w:val="00CC56FC"/>
    <w:rsid w:val="00CC69E4"/>
    <w:rsid w:val="00CC7FF2"/>
    <w:rsid w:val="00CD050F"/>
    <w:rsid w:val="00CD078F"/>
    <w:rsid w:val="00CD0937"/>
    <w:rsid w:val="00CD0974"/>
    <w:rsid w:val="00CD118E"/>
    <w:rsid w:val="00CD11B1"/>
    <w:rsid w:val="00CD2075"/>
    <w:rsid w:val="00CD370B"/>
    <w:rsid w:val="00CD4275"/>
    <w:rsid w:val="00CD4C56"/>
    <w:rsid w:val="00CD4CCA"/>
    <w:rsid w:val="00CD4D2A"/>
    <w:rsid w:val="00CD6F35"/>
    <w:rsid w:val="00CD740A"/>
    <w:rsid w:val="00CD781C"/>
    <w:rsid w:val="00CD79E5"/>
    <w:rsid w:val="00CD7B39"/>
    <w:rsid w:val="00CE02C4"/>
    <w:rsid w:val="00CE07F1"/>
    <w:rsid w:val="00CE13F1"/>
    <w:rsid w:val="00CE20BC"/>
    <w:rsid w:val="00CE34DF"/>
    <w:rsid w:val="00CE3696"/>
    <w:rsid w:val="00CE3AA3"/>
    <w:rsid w:val="00CE3D7D"/>
    <w:rsid w:val="00CE4109"/>
    <w:rsid w:val="00CE4ACD"/>
    <w:rsid w:val="00CE4B55"/>
    <w:rsid w:val="00CE4F98"/>
    <w:rsid w:val="00CE6440"/>
    <w:rsid w:val="00CE654B"/>
    <w:rsid w:val="00CF0E90"/>
    <w:rsid w:val="00CF0EB0"/>
    <w:rsid w:val="00CF12FB"/>
    <w:rsid w:val="00CF2E2C"/>
    <w:rsid w:val="00CF4B31"/>
    <w:rsid w:val="00CF4C65"/>
    <w:rsid w:val="00CF4DD9"/>
    <w:rsid w:val="00CF4E94"/>
    <w:rsid w:val="00CF5017"/>
    <w:rsid w:val="00CF5792"/>
    <w:rsid w:val="00CF5C77"/>
    <w:rsid w:val="00CF6182"/>
    <w:rsid w:val="00CF6B50"/>
    <w:rsid w:val="00CF7BEA"/>
    <w:rsid w:val="00CF7D14"/>
    <w:rsid w:val="00D00877"/>
    <w:rsid w:val="00D00DA3"/>
    <w:rsid w:val="00D021FD"/>
    <w:rsid w:val="00D02367"/>
    <w:rsid w:val="00D02968"/>
    <w:rsid w:val="00D02F50"/>
    <w:rsid w:val="00D030D5"/>
    <w:rsid w:val="00D031B4"/>
    <w:rsid w:val="00D039C2"/>
    <w:rsid w:val="00D03D10"/>
    <w:rsid w:val="00D04ECB"/>
    <w:rsid w:val="00D05398"/>
    <w:rsid w:val="00D0550D"/>
    <w:rsid w:val="00D05A82"/>
    <w:rsid w:val="00D064D3"/>
    <w:rsid w:val="00D06B1D"/>
    <w:rsid w:val="00D06C74"/>
    <w:rsid w:val="00D0750D"/>
    <w:rsid w:val="00D107DB"/>
    <w:rsid w:val="00D10AE6"/>
    <w:rsid w:val="00D10FB5"/>
    <w:rsid w:val="00D11DD7"/>
    <w:rsid w:val="00D126A3"/>
    <w:rsid w:val="00D12F89"/>
    <w:rsid w:val="00D135CA"/>
    <w:rsid w:val="00D13822"/>
    <w:rsid w:val="00D1387A"/>
    <w:rsid w:val="00D138D5"/>
    <w:rsid w:val="00D13BD8"/>
    <w:rsid w:val="00D13C79"/>
    <w:rsid w:val="00D15658"/>
    <w:rsid w:val="00D157D3"/>
    <w:rsid w:val="00D16188"/>
    <w:rsid w:val="00D16B94"/>
    <w:rsid w:val="00D16DBF"/>
    <w:rsid w:val="00D178F0"/>
    <w:rsid w:val="00D20429"/>
    <w:rsid w:val="00D2056D"/>
    <w:rsid w:val="00D21500"/>
    <w:rsid w:val="00D21565"/>
    <w:rsid w:val="00D21683"/>
    <w:rsid w:val="00D219FE"/>
    <w:rsid w:val="00D2223F"/>
    <w:rsid w:val="00D22363"/>
    <w:rsid w:val="00D22A20"/>
    <w:rsid w:val="00D2327A"/>
    <w:rsid w:val="00D23CD1"/>
    <w:rsid w:val="00D24017"/>
    <w:rsid w:val="00D24938"/>
    <w:rsid w:val="00D24D13"/>
    <w:rsid w:val="00D25489"/>
    <w:rsid w:val="00D26BCE"/>
    <w:rsid w:val="00D26D2E"/>
    <w:rsid w:val="00D274DE"/>
    <w:rsid w:val="00D27567"/>
    <w:rsid w:val="00D27CA3"/>
    <w:rsid w:val="00D30A50"/>
    <w:rsid w:val="00D30AA5"/>
    <w:rsid w:val="00D30BC9"/>
    <w:rsid w:val="00D319ED"/>
    <w:rsid w:val="00D31EEA"/>
    <w:rsid w:val="00D32570"/>
    <w:rsid w:val="00D328B0"/>
    <w:rsid w:val="00D32C1C"/>
    <w:rsid w:val="00D32CB7"/>
    <w:rsid w:val="00D337E3"/>
    <w:rsid w:val="00D342FD"/>
    <w:rsid w:val="00D3493A"/>
    <w:rsid w:val="00D34BA1"/>
    <w:rsid w:val="00D35882"/>
    <w:rsid w:val="00D35B58"/>
    <w:rsid w:val="00D37F8C"/>
    <w:rsid w:val="00D4002A"/>
    <w:rsid w:val="00D40C93"/>
    <w:rsid w:val="00D41DC5"/>
    <w:rsid w:val="00D43627"/>
    <w:rsid w:val="00D4371D"/>
    <w:rsid w:val="00D43B38"/>
    <w:rsid w:val="00D43CB8"/>
    <w:rsid w:val="00D43D15"/>
    <w:rsid w:val="00D43F65"/>
    <w:rsid w:val="00D444CA"/>
    <w:rsid w:val="00D4486A"/>
    <w:rsid w:val="00D44AE3"/>
    <w:rsid w:val="00D44FB1"/>
    <w:rsid w:val="00D4536A"/>
    <w:rsid w:val="00D45AD9"/>
    <w:rsid w:val="00D46BB7"/>
    <w:rsid w:val="00D47101"/>
    <w:rsid w:val="00D47C39"/>
    <w:rsid w:val="00D50310"/>
    <w:rsid w:val="00D506C0"/>
    <w:rsid w:val="00D506D0"/>
    <w:rsid w:val="00D5207A"/>
    <w:rsid w:val="00D52314"/>
    <w:rsid w:val="00D52B0E"/>
    <w:rsid w:val="00D533AC"/>
    <w:rsid w:val="00D53473"/>
    <w:rsid w:val="00D53719"/>
    <w:rsid w:val="00D5382D"/>
    <w:rsid w:val="00D560DD"/>
    <w:rsid w:val="00D56BBA"/>
    <w:rsid w:val="00D56E42"/>
    <w:rsid w:val="00D5711B"/>
    <w:rsid w:val="00D57688"/>
    <w:rsid w:val="00D57B07"/>
    <w:rsid w:val="00D6055B"/>
    <w:rsid w:val="00D60CB2"/>
    <w:rsid w:val="00D60E4F"/>
    <w:rsid w:val="00D6116B"/>
    <w:rsid w:val="00D611D6"/>
    <w:rsid w:val="00D61ED1"/>
    <w:rsid w:val="00D61FC2"/>
    <w:rsid w:val="00D62338"/>
    <w:rsid w:val="00D62457"/>
    <w:rsid w:val="00D62761"/>
    <w:rsid w:val="00D6278B"/>
    <w:rsid w:val="00D632F8"/>
    <w:rsid w:val="00D633BF"/>
    <w:rsid w:val="00D638E2"/>
    <w:rsid w:val="00D63CA4"/>
    <w:rsid w:val="00D63F5D"/>
    <w:rsid w:val="00D6441D"/>
    <w:rsid w:val="00D646D4"/>
    <w:rsid w:val="00D64BE1"/>
    <w:rsid w:val="00D6576A"/>
    <w:rsid w:val="00D659AB"/>
    <w:rsid w:val="00D65AE5"/>
    <w:rsid w:val="00D66056"/>
    <w:rsid w:val="00D660DC"/>
    <w:rsid w:val="00D66EA6"/>
    <w:rsid w:val="00D66EF9"/>
    <w:rsid w:val="00D67201"/>
    <w:rsid w:val="00D67788"/>
    <w:rsid w:val="00D67C89"/>
    <w:rsid w:val="00D70947"/>
    <w:rsid w:val="00D70D3E"/>
    <w:rsid w:val="00D7173B"/>
    <w:rsid w:val="00D71B74"/>
    <w:rsid w:val="00D71CAD"/>
    <w:rsid w:val="00D726D9"/>
    <w:rsid w:val="00D72770"/>
    <w:rsid w:val="00D72A4A"/>
    <w:rsid w:val="00D72ABB"/>
    <w:rsid w:val="00D72C39"/>
    <w:rsid w:val="00D72E92"/>
    <w:rsid w:val="00D737CE"/>
    <w:rsid w:val="00D73FF9"/>
    <w:rsid w:val="00D74152"/>
    <w:rsid w:val="00D74790"/>
    <w:rsid w:val="00D748D1"/>
    <w:rsid w:val="00D75798"/>
    <w:rsid w:val="00D775CE"/>
    <w:rsid w:val="00D77E1F"/>
    <w:rsid w:val="00D81D0C"/>
    <w:rsid w:val="00D82E6D"/>
    <w:rsid w:val="00D833C7"/>
    <w:rsid w:val="00D834DC"/>
    <w:rsid w:val="00D834DD"/>
    <w:rsid w:val="00D83EBE"/>
    <w:rsid w:val="00D84B08"/>
    <w:rsid w:val="00D84ECD"/>
    <w:rsid w:val="00D8523A"/>
    <w:rsid w:val="00D862FD"/>
    <w:rsid w:val="00D87333"/>
    <w:rsid w:val="00D8788D"/>
    <w:rsid w:val="00D878AC"/>
    <w:rsid w:val="00D87A01"/>
    <w:rsid w:val="00D90296"/>
    <w:rsid w:val="00D90FB3"/>
    <w:rsid w:val="00D91A8A"/>
    <w:rsid w:val="00D9250A"/>
    <w:rsid w:val="00D92AFE"/>
    <w:rsid w:val="00D94216"/>
    <w:rsid w:val="00D94969"/>
    <w:rsid w:val="00D94EE9"/>
    <w:rsid w:val="00D958D2"/>
    <w:rsid w:val="00D95E7A"/>
    <w:rsid w:val="00D95ED8"/>
    <w:rsid w:val="00D95FDA"/>
    <w:rsid w:val="00D96DF7"/>
    <w:rsid w:val="00D97207"/>
    <w:rsid w:val="00D97572"/>
    <w:rsid w:val="00DA07A2"/>
    <w:rsid w:val="00DA11CA"/>
    <w:rsid w:val="00DA127D"/>
    <w:rsid w:val="00DA15A6"/>
    <w:rsid w:val="00DA205B"/>
    <w:rsid w:val="00DA3E86"/>
    <w:rsid w:val="00DA45F7"/>
    <w:rsid w:val="00DA48FB"/>
    <w:rsid w:val="00DA5509"/>
    <w:rsid w:val="00DA5676"/>
    <w:rsid w:val="00DA5FA7"/>
    <w:rsid w:val="00DA67CD"/>
    <w:rsid w:val="00DB13EB"/>
    <w:rsid w:val="00DB1AED"/>
    <w:rsid w:val="00DB27C0"/>
    <w:rsid w:val="00DB2F42"/>
    <w:rsid w:val="00DB3019"/>
    <w:rsid w:val="00DB357A"/>
    <w:rsid w:val="00DB43C1"/>
    <w:rsid w:val="00DB619E"/>
    <w:rsid w:val="00DB6FB6"/>
    <w:rsid w:val="00DB7DF9"/>
    <w:rsid w:val="00DB7EBF"/>
    <w:rsid w:val="00DC0A4D"/>
    <w:rsid w:val="00DC25AC"/>
    <w:rsid w:val="00DC28DA"/>
    <w:rsid w:val="00DC296C"/>
    <w:rsid w:val="00DC330A"/>
    <w:rsid w:val="00DC405B"/>
    <w:rsid w:val="00DC4595"/>
    <w:rsid w:val="00DC5435"/>
    <w:rsid w:val="00DC5590"/>
    <w:rsid w:val="00DC5F75"/>
    <w:rsid w:val="00DC67AB"/>
    <w:rsid w:val="00DC6881"/>
    <w:rsid w:val="00DC68F4"/>
    <w:rsid w:val="00DC6DAD"/>
    <w:rsid w:val="00DD09AA"/>
    <w:rsid w:val="00DD125E"/>
    <w:rsid w:val="00DD12CE"/>
    <w:rsid w:val="00DD2599"/>
    <w:rsid w:val="00DD39DF"/>
    <w:rsid w:val="00DD52C8"/>
    <w:rsid w:val="00DD5747"/>
    <w:rsid w:val="00DD5E11"/>
    <w:rsid w:val="00DD6464"/>
    <w:rsid w:val="00DD6919"/>
    <w:rsid w:val="00DD6CD0"/>
    <w:rsid w:val="00DD7334"/>
    <w:rsid w:val="00DD7881"/>
    <w:rsid w:val="00DD7C01"/>
    <w:rsid w:val="00DD7DEB"/>
    <w:rsid w:val="00DE0672"/>
    <w:rsid w:val="00DE1113"/>
    <w:rsid w:val="00DE19C4"/>
    <w:rsid w:val="00DE1A06"/>
    <w:rsid w:val="00DE2871"/>
    <w:rsid w:val="00DE39C7"/>
    <w:rsid w:val="00DE3DBF"/>
    <w:rsid w:val="00DE426E"/>
    <w:rsid w:val="00DE52C9"/>
    <w:rsid w:val="00DE5571"/>
    <w:rsid w:val="00DE5A84"/>
    <w:rsid w:val="00DE7B3F"/>
    <w:rsid w:val="00DF0057"/>
    <w:rsid w:val="00DF0757"/>
    <w:rsid w:val="00DF092F"/>
    <w:rsid w:val="00DF0A6A"/>
    <w:rsid w:val="00DF0D1F"/>
    <w:rsid w:val="00DF0E2B"/>
    <w:rsid w:val="00DF0F83"/>
    <w:rsid w:val="00DF1E01"/>
    <w:rsid w:val="00DF2212"/>
    <w:rsid w:val="00DF30FA"/>
    <w:rsid w:val="00DF373C"/>
    <w:rsid w:val="00DF3EF5"/>
    <w:rsid w:val="00DF4C83"/>
    <w:rsid w:val="00DF506C"/>
    <w:rsid w:val="00DF5403"/>
    <w:rsid w:val="00DF5601"/>
    <w:rsid w:val="00DF610B"/>
    <w:rsid w:val="00DF6302"/>
    <w:rsid w:val="00DF6629"/>
    <w:rsid w:val="00DF7787"/>
    <w:rsid w:val="00E002A7"/>
    <w:rsid w:val="00E007F5"/>
    <w:rsid w:val="00E00A98"/>
    <w:rsid w:val="00E01447"/>
    <w:rsid w:val="00E0157E"/>
    <w:rsid w:val="00E01F8F"/>
    <w:rsid w:val="00E027BF"/>
    <w:rsid w:val="00E03301"/>
    <w:rsid w:val="00E03C55"/>
    <w:rsid w:val="00E03D9F"/>
    <w:rsid w:val="00E04787"/>
    <w:rsid w:val="00E05366"/>
    <w:rsid w:val="00E06479"/>
    <w:rsid w:val="00E06754"/>
    <w:rsid w:val="00E07CB5"/>
    <w:rsid w:val="00E07F7D"/>
    <w:rsid w:val="00E1025D"/>
    <w:rsid w:val="00E103BA"/>
    <w:rsid w:val="00E10428"/>
    <w:rsid w:val="00E10CE7"/>
    <w:rsid w:val="00E1105D"/>
    <w:rsid w:val="00E120DB"/>
    <w:rsid w:val="00E13228"/>
    <w:rsid w:val="00E13566"/>
    <w:rsid w:val="00E136B2"/>
    <w:rsid w:val="00E13DB8"/>
    <w:rsid w:val="00E141DE"/>
    <w:rsid w:val="00E142FF"/>
    <w:rsid w:val="00E14399"/>
    <w:rsid w:val="00E14AED"/>
    <w:rsid w:val="00E14CE1"/>
    <w:rsid w:val="00E14D69"/>
    <w:rsid w:val="00E16089"/>
    <w:rsid w:val="00E1641A"/>
    <w:rsid w:val="00E167A6"/>
    <w:rsid w:val="00E16D6E"/>
    <w:rsid w:val="00E17255"/>
    <w:rsid w:val="00E172A7"/>
    <w:rsid w:val="00E176BF"/>
    <w:rsid w:val="00E17805"/>
    <w:rsid w:val="00E17967"/>
    <w:rsid w:val="00E22B4C"/>
    <w:rsid w:val="00E236A0"/>
    <w:rsid w:val="00E24DAE"/>
    <w:rsid w:val="00E24FA6"/>
    <w:rsid w:val="00E25CA6"/>
    <w:rsid w:val="00E261B2"/>
    <w:rsid w:val="00E26731"/>
    <w:rsid w:val="00E267A1"/>
    <w:rsid w:val="00E26820"/>
    <w:rsid w:val="00E2690E"/>
    <w:rsid w:val="00E26C64"/>
    <w:rsid w:val="00E26E13"/>
    <w:rsid w:val="00E27756"/>
    <w:rsid w:val="00E302DD"/>
    <w:rsid w:val="00E30670"/>
    <w:rsid w:val="00E31568"/>
    <w:rsid w:val="00E315BC"/>
    <w:rsid w:val="00E31AA2"/>
    <w:rsid w:val="00E31C70"/>
    <w:rsid w:val="00E31D39"/>
    <w:rsid w:val="00E333F8"/>
    <w:rsid w:val="00E341AF"/>
    <w:rsid w:val="00E349BC"/>
    <w:rsid w:val="00E34A31"/>
    <w:rsid w:val="00E35B0D"/>
    <w:rsid w:val="00E35E19"/>
    <w:rsid w:val="00E36252"/>
    <w:rsid w:val="00E36818"/>
    <w:rsid w:val="00E3756D"/>
    <w:rsid w:val="00E4003F"/>
    <w:rsid w:val="00E4095B"/>
    <w:rsid w:val="00E40B89"/>
    <w:rsid w:val="00E4131A"/>
    <w:rsid w:val="00E42B67"/>
    <w:rsid w:val="00E44449"/>
    <w:rsid w:val="00E44933"/>
    <w:rsid w:val="00E452FA"/>
    <w:rsid w:val="00E45545"/>
    <w:rsid w:val="00E4699C"/>
    <w:rsid w:val="00E46A96"/>
    <w:rsid w:val="00E46F3E"/>
    <w:rsid w:val="00E50457"/>
    <w:rsid w:val="00E5072B"/>
    <w:rsid w:val="00E50841"/>
    <w:rsid w:val="00E519CA"/>
    <w:rsid w:val="00E52740"/>
    <w:rsid w:val="00E528EC"/>
    <w:rsid w:val="00E533C0"/>
    <w:rsid w:val="00E535D3"/>
    <w:rsid w:val="00E53887"/>
    <w:rsid w:val="00E53893"/>
    <w:rsid w:val="00E54B65"/>
    <w:rsid w:val="00E54C9F"/>
    <w:rsid w:val="00E54F0D"/>
    <w:rsid w:val="00E55BE3"/>
    <w:rsid w:val="00E573A9"/>
    <w:rsid w:val="00E5799D"/>
    <w:rsid w:val="00E60109"/>
    <w:rsid w:val="00E60C52"/>
    <w:rsid w:val="00E60D36"/>
    <w:rsid w:val="00E61420"/>
    <w:rsid w:val="00E6322C"/>
    <w:rsid w:val="00E6413F"/>
    <w:rsid w:val="00E64B87"/>
    <w:rsid w:val="00E65B1B"/>
    <w:rsid w:val="00E67429"/>
    <w:rsid w:val="00E67CB8"/>
    <w:rsid w:val="00E67F2E"/>
    <w:rsid w:val="00E70F4A"/>
    <w:rsid w:val="00E71187"/>
    <w:rsid w:val="00E715DD"/>
    <w:rsid w:val="00E7166F"/>
    <w:rsid w:val="00E720D7"/>
    <w:rsid w:val="00E72514"/>
    <w:rsid w:val="00E743A9"/>
    <w:rsid w:val="00E7514C"/>
    <w:rsid w:val="00E76A43"/>
    <w:rsid w:val="00E76F47"/>
    <w:rsid w:val="00E773B4"/>
    <w:rsid w:val="00E809BD"/>
    <w:rsid w:val="00E816B4"/>
    <w:rsid w:val="00E81757"/>
    <w:rsid w:val="00E81B32"/>
    <w:rsid w:val="00E82E74"/>
    <w:rsid w:val="00E83597"/>
    <w:rsid w:val="00E838EE"/>
    <w:rsid w:val="00E839F2"/>
    <w:rsid w:val="00E84022"/>
    <w:rsid w:val="00E8438F"/>
    <w:rsid w:val="00E8579F"/>
    <w:rsid w:val="00E85E08"/>
    <w:rsid w:val="00E87AB9"/>
    <w:rsid w:val="00E901B0"/>
    <w:rsid w:val="00E903EA"/>
    <w:rsid w:val="00E9044C"/>
    <w:rsid w:val="00E90A8F"/>
    <w:rsid w:val="00E9143F"/>
    <w:rsid w:val="00E9215C"/>
    <w:rsid w:val="00E92AD6"/>
    <w:rsid w:val="00E92E1F"/>
    <w:rsid w:val="00E92F39"/>
    <w:rsid w:val="00E92F6C"/>
    <w:rsid w:val="00E932C3"/>
    <w:rsid w:val="00E938D6"/>
    <w:rsid w:val="00E9403A"/>
    <w:rsid w:val="00E949EF"/>
    <w:rsid w:val="00E96231"/>
    <w:rsid w:val="00E96B63"/>
    <w:rsid w:val="00E96DD0"/>
    <w:rsid w:val="00E971D3"/>
    <w:rsid w:val="00E971DE"/>
    <w:rsid w:val="00E97284"/>
    <w:rsid w:val="00E97D0B"/>
    <w:rsid w:val="00E97FBC"/>
    <w:rsid w:val="00EA05CA"/>
    <w:rsid w:val="00EA0871"/>
    <w:rsid w:val="00EA13BD"/>
    <w:rsid w:val="00EA17D6"/>
    <w:rsid w:val="00EA1D41"/>
    <w:rsid w:val="00EA393F"/>
    <w:rsid w:val="00EA3EB4"/>
    <w:rsid w:val="00EA58DA"/>
    <w:rsid w:val="00EA5F3F"/>
    <w:rsid w:val="00EA6180"/>
    <w:rsid w:val="00EA706C"/>
    <w:rsid w:val="00EA7726"/>
    <w:rsid w:val="00EA7969"/>
    <w:rsid w:val="00EA7C17"/>
    <w:rsid w:val="00EA7EA9"/>
    <w:rsid w:val="00EA7F2E"/>
    <w:rsid w:val="00EB0A3E"/>
    <w:rsid w:val="00EB0E77"/>
    <w:rsid w:val="00EB11D5"/>
    <w:rsid w:val="00EB2182"/>
    <w:rsid w:val="00EB21E1"/>
    <w:rsid w:val="00EB2798"/>
    <w:rsid w:val="00EB2F54"/>
    <w:rsid w:val="00EB3133"/>
    <w:rsid w:val="00EB382C"/>
    <w:rsid w:val="00EB3948"/>
    <w:rsid w:val="00EB4005"/>
    <w:rsid w:val="00EB4899"/>
    <w:rsid w:val="00EB4FBE"/>
    <w:rsid w:val="00EB592D"/>
    <w:rsid w:val="00EB6218"/>
    <w:rsid w:val="00EB63EC"/>
    <w:rsid w:val="00EB6965"/>
    <w:rsid w:val="00EB69A5"/>
    <w:rsid w:val="00EB732D"/>
    <w:rsid w:val="00EC0254"/>
    <w:rsid w:val="00EC092B"/>
    <w:rsid w:val="00EC15C1"/>
    <w:rsid w:val="00EC1AEC"/>
    <w:rsid w:val="00EC284E"/>
    <w:rsid w:val="00EC287E"/>
    <w:rsid w:val="00EC36DB"/>
    <w:rsid w:val="00EC3752"/>
    <w:rsid w:val="00EC50B7"/>
    <w:rsid w:val="00EC521A"/>
    <w:rsid w:val="00EC53D6"/>
    <w:rsid w:val="00EC6ECE"/>
    <w:rsid w:val="00EC761A"/>
    <w:rsid w:val="00ED08AC"/>
    <w:rsid w:val="00ED09F8"/>
    <w:rsid w:val="00ED173B"/>
    <w:rsid w:val="00ED19D6"/>
    <w:rsid w:val="00ED20C6"/>
    <w:rsid w:val="00ED2651"/>
    <w:rsid w:val="00ED2A0C"/>
    <w:rsid w:val="00ED31C9"/>
    <w:rsid w:val="00ED3CA8"/>
    <w:rsid w:val="00ED3F94"/>
    <w:rsid w:val="00ED4BE2"/>
    <w:rsid w:val="00ED545D"/>
    <w:rsid w:val="00ED5BC6"/>
    <w:rsid w:val="00ED5CBD"/>
    <w:rsid w:val="00ED5ECF"/>
    <w:rsid w:val="00ED63FA"/>
    <w:rsid w:val="00ED6E14"/>
    <w:rsid w:val="00ED6E1C"/>
    <w:rsid w:val="00ED7280"/>
    <w:rsid w:val="00EE0392"/>
    <w:rsid w:val="00EE08E7"/>
    <w:rsid w:val="00EE0A84"/>
    <w:rsid w:val="00EE0E5A"/>
    <w:rsid w:val="00EE0E89"/>
    <w:rsid w:val="00EE116C"/>
    <w:rsid w:val="00EE1879"/>
    <w:rsid w:val="00EE1CFC"/>
    <w:rsid w:val="00EE20E8"/>
    <w:rsid w:val="00EE2426"/>
    <w:rsid w:val="00EE2513"/>
    <w:rsid w:val="00EE3002"/>
    <w:rsid w:val="00EE4C2C"/>
    <w:rsid w:val="00EE558C"/>
    <w:rsid w:val="00EE5C6A"/>
    <w:rsid w:val="00EE5EBD"/>
    <w:rsid w:val="00EE62CD"/>
    <w:rsid w:val="00EE6F47"/>
    <w:rsid w:val="00EE7167"/>
    <w:rsid w:val="00EE7FAB"/>
    <w:rsid w:val="00EF01C1"/>
    <w:rsid w:val="00EF1E9A"/>
    <w:rsid w:val="00EF2401"/>
    <w:rsid w:val="00EF34A6"/>
    <w:rsid w:val="00EF3E28"/>
    <w:rsid w:val="00EF5372"/>
    <w:rsid w:val="00EF6181"/>
    <w:rsid w:val="00F000CF"/>
    <w:rsid w:val="00F00AC8"/>
    <w:rsid w:val="00F01C1E"/>
    <w:rsid w:val="00F0205A"/>
    <w:rsid w:val="00F0493F"/>
    <w:rsid w:val="00F053C9"/>
    <w:rsid w:val="00F05C3C"/>
    <w:rsid w:val="00F0670A"/>
    <w:rsid w:val="00F067F0"/>
    <w:rsid w:val="00F06C72"/>
    <w:rsid w:val="00F06C97"/>
    <w:rsid w:val="00F06CDA"/>
    <w:rsid w:val="00F075F5"/>
    <w:rsid w:val="00F076CF"/>
    <w:rsid w:val="00F07BD3"/>
    <w:rsid w:val="00F07EC6"/>
    <w:rsid w:val="00F07EDC"/>
    <w:rsid w:val="00F10F87"/>
    <w:rsid w:val="00F1132A"/>
    <w:rsid w:val="00F11E4E"/>
    <w:rsid w:val="00F11FBF"/>
    <w:rsid w:val="00F12198"/>
    <w:rsid w:val="00F12460"/>
    <w:rsid w:val="00F12888"/>
    <w:rsid w:val="00F12EF0"/>
    <w:rsid w:val="00F1335F"/>
    <w:rsid w:val="00F13E5C"/>
    <w:rsid w:val="00F13FB4"/>
    <w:rsid w:val="00F140CC"/>
    <w:rsid w:val="00F14795"/>
    <w:rsid w:val="00F14B9D"/>
    <w:rsid w:val="00F14D5D"/>
    <w:rsid w:val="00F15143"/>
    <w:rsid w:val="00F15C94"/>
    <w:rsid w:val="00F17EE8"/>
    <w:rsid w:val="00F20A85"/>
    <w:rsid w:val="00F20C6C"/>
    <w:rsid w:val="00F2114F"/>
    <w:rsid w:val="00F211E9"/>
    <w:rsid w:val="00F2143D"/>
    <w:rsid w:val="00F22180"/>
    <w:rsid w:val="00F2230F"/>
    <w:rsid w:val="00F22CCA"/>
    <w:rsid w:val="00F24611"/>
    <w:rsid w:val="00F251B4"/>
    <w:rsid w:val="00F254EA"/>
    <w:rsid w:val="00F261B1"/>
    <w:rsid w:val="00F273A6"/>
    <w:rsid w:val="00F277E6"/>
    <w:rsid w:val="00F27B39"/>
    <w:rsid w:val="00F27BA7"/>
    <w:rsid w:val="00F27D31"/>
    <w:rsid w:val="00F301A9"/>
    <w:rsid w:val="00F302D4"/>
    <w:rsid w:val="00F30776"/>
    <w:rsid w:val="00F30990"/>
    <w:rsid w:val="00F30BCF"/>
    <w:rsid w:val="00F30FFB"/>
    <w:rsid w:val="00F3184F"/>
    <w:rsid w:val="00F318E4"/>
    <w:rsid w:val="00F32E72"/>
    <w:rsid w:val="00F32F57"/>
    <w:rsid w:val="00F331C2"/>
    <w:rsid w:val="00F346EF"/>
    <w:rsid w:val="00F3486E"/>
    <w:rsid w:val="00F34C05"/>
    <w:rsid w:val="00F35AEC"/>
    <w:rsid w:val="00F362B3"/>
    <w:rsid w:val="00F36BD5"/>
    <w:rsid w:val="00F3734A"/>
    <w:rsid w:val="00F37F1C"/>
    <w:rsid w:val="00F403ED"/>
    <w:rsid w:val="00F40637"/>
    <w:rsid w:val="00F40A08"/>
    <w:rsid w:val="00F417D3"/>
    <w:rsid w:val="00F41E62"/>
    <w:rsid w:val="00F4222A"/>
    <w:rsid w:val="00F42738"/>
    <w:rsid w:val="00F431D7"/>
    <w:rsid w:val="00F43D1A"/>
    <w:rsid w:val="00F4415D"/>
    <w:rsid w:val="00F442DB"/>
    <w:rsid w:val="00F44389"/>
    <w:rsid w:val="00F46010"/>
    <w:rsid w:val="00F46DD7"/>
    <w:rsid w:val="00F46FF3"/>
    <w:rsid w:val="00F47949"/>
    <w:rsid w:val="00F5097F"/>
    <w:rsid w:val="00F51A94"/>
    <w:rsid w:val="00F525C5"/>
    <w:rsid w:val="00F529A5"/>
    <w:rsid w:val="00F5337B"/>
    <w:rsid w:val="00F5364F"/>
    <w:rsid w:val="00F54324"/>
    <w:rsid w:val="00F54FA6"/>
    <w:rsid w:val="00F5501D"/>
    <w:rsid w:val="00F552A5"/>
    <w:rsid w:val="00F558D3"/>
    <w:rsid w:val="00F55A0D"/>
    <w:rsid w:val="00F567F7"/>
    <w:rsid w:val="00F5687D"/>
    <w:rsid w:val="00F56AD6"/>
    <w:rsid w:val="00F56B78"/>
    <w:rsid w:val="00F56F4E"/>
    <w:rsid w:val="00F57279"/>
    <w:rsid w:val="00F5791F"/>
    <w:rsid w:val="00F57CAA"/>
    <w:rsid w:val="00F57F05"/>
    <w:rsid w:val="00F60337"/>
    <w:rsid w:val="00F6068A"/>
    <w:rsid w:val="00F61113"/>
    <w:rsid w:val="00F61BE4"/>
    <w:rsid w:val="00F620F3"/>
    <w:rsid w:val="00F62181"/>
    <w:rsid w:val="00F62422"/>
    <w:rsid w:val="00F6262D"/>
    <w:rsid w:val="00F62FCF"/>
    <w:rsid w:val="00F646FA"/>
    <w:rsid w:val="00F64C6B"/>
    <w:rsid w:val="00F64CF9"/>
    <w:rsid w:val="00F64D5E"/>
    <w:rsid w:val="00F657A6"/>
    <w:rsid w:val="00F65E07"/>
    <w:rsid w:val="00F6600E"/>
    <w:rsid w:val="00F671CA"/>
    <w:rsid w:val="00F6769C"/>
    <w:rsid w:val="00F67750"/>
    <w:rsid w:val="00F67842"/>
    <w:rsid w:val="00F67BAF"/>
    <w:rsid w:val="00F70198"/>
    <w:rsid w:val="00F702E7"/>
    <w:rsid w:val="00F70408"/>
    <w:rsid w:val="00F70C2D"/>
    <w:rsid w:val="00F70F72"/>
    <w:rsid w:val="00F71F82"/>
    <w:rsid w:val="00F721F2"/>
    <w:rsid w:val="00F72285"/>
    <w:rsid w:val="00F725B2"/>
    <w:rsid w:val="00F72B2E"/>
    <w:rsid w:val="00F732E7"/>
    <w:rsid w:val="00F73BED"/>
    <w:rsid w:val="00F73DA1"/>
    <w:rsid w:val="00F73DBA"/>
    <w:rsid w:val="00F741B6"/>
    <w:rsid w:val="00F74EE2"/>
    <w:rsid w:val="00F75ABE"/>
    <w:rsid w:val="00F75E22"/>
    <w:rsid w:val="00F76857"/>
    <w:rsid w:val="00F76AC7"/>
    <w:rsid w:val="00F770B1"/>
    <w:rsid w:val="00F77284"/>
    <w:rsid w:val="00F77AFB"/>
    <w:rsid w:val="00F8003E"/>
    <w:rsid w:val="00F80FCB"/>
    <w:rsid w:val="00F81BE1"/>
    <w:rsid w:val="00F8244B"/>
    <w:rsid w:val="00F83040"/>
    <w:rsid w:val="00F8335D"/>
    <w:rsid w:val="00F84653"/>
    <w:rsid w:val="00F85111"/>
    <w:rsid w:val="00F8610F"/>
    <w:rsid w:val="00F868F4"/>
    <w:rsid w:val="00F86B68"/>
    <w:rsid w:val="00F86F1D"/>
    <w:rsid w:val="00F870CD"/>
    <w:rsid w:val="00F87112"/>
    <w:rsid w:val="00F87336"/>
    <w:rsid w:val="00F87CAE"/>
    <w:rsid w:val="00F87E50"/>
    <w:rsid w:val="00F90740"/>
    <w:rsid w:val="00F90C80"/>
    <w:rsid w:val="00F90EE7"/>
    <w:rsid w:val="00F91291"/>
    <w:rsid w:val="00F91338"/>
    <w:rsid w:val="00F916E1"/>
    <w:rsid w:val="00F9283A"/>
    <w:rsid w:val="00F928DD"/>
    <w:rsid w:val="00F92F61"/>
    <w:rsid w:val="00F92F79"/>
    <w:rsid w:val="00F93620"/>
    <w:rsid w:val="00F9377D"/>
    <w:rsid w:val="00F947E8"/>
    <w:rsid w:val="00F96892"/>
    <w:rsid w:val="00F968A8"/>
    <w:rsid w:val="00F96C12"/>
    <w:rsid w:val="00F96F54"/>
    <w:rsid w:val="00F9751E"/>
    <w:rsid w:val="00FA0AD0"/>
    <w:rsid w:val="00FA0C43"/>
    <w:rsid w:val="00FA2088"/>
    <w:rsid w:val="00FA240C"/>
    <w:rsid w:val="00FA24FD"/>
    <w:rsid w:val="00FA2820"/>
    <w:rsid w:val="00FA2A5D"/>
    <w:rsid w:val="00FA2B44"/>
    <w:rsid w:val="00FA2F21"/>
    <w:rsid w:val="00FA30A7"/>
    <w:rsid w:val="00FA361D"/>
    <w:rsid w:val="00FA39C4"/>
    <w:rsid w:val="00FA4679"/>
    <w:rsid w:val="00FA4E5F"/>
    <w:rsid w:val="00FA5087"/>
    <w:rsid w:val="00FA5212"/>
    <w:rsid w:val="00FA55FB"/>
    <w:rsid w:val="00FA6262"/>
    <w:rsid w:val="00FA6B88"/>
    <w:rsid w:val="00FA736E"/>
    <w:rsid w:val="00FA76C4"/>
    <w:rsid w:val="00FA7D2D"/>
    <w:rsid w:val="00FB054B"/>
    <w:rsid w:val="00FB0666"/>
    <w:rsid w:val="00FB0C50"/>
    <w:rsid w:val="00FB0EE8"/>
    <w:rsid w:val="00FB1450"/>
    <w:rsid w:val="00FB1D45"/>
    <w:rsid w:val="00FB1FEE"/>
    <w:rsid w:val="00FB2B1B"/>
    <w:rsid w:val="00FB31F7"/>
    <w:rsid w:val="00FB329B"/>
    <w:rsid w:val="00FB35CB"/>
    <w:rsid w:val="00FB3AFA"/>
    <w:rsid w:val="00FB4190"/>
    <w:rsid w:val="00FB41DE"/>
    <w:rsid w:val="00FB60D5"/>
    <w:rsid w:val="00FB624B"/>
    <w:rsid w:val="00FB7137"/>
    <w:rsid w:val="00FB7571"/>
    <w:rsid w:val="00FB7911"/>
    <w:rsid w:val="00FB7E24"/>
    <w:rsid w:val="00FC05A1"/>
    <w:rsid w:val="00FC0F23"/>
    <w:rsid w:val="00FC1678"/>
    <w:rsid w:val="00FC1C12"/>
    <w:rsid w:val="00FC23F1"/>
    <w:rsid w:val="00FC258E"/>
    <w:rsid w:val="00FC2BFF"/>
    <w:rsid w:val="00FC2D99"/>
    <w:rsid w:val="00FC2DD9"/>
    <w:rsid w:val="00FC3309"/>
    <w:rsid w:val="00FC3A0F"/>
    <w:rsid w:val="00FC455B"/>
    <w:rsid w:val="00FC4675"/>
    <w:rsid w:val="00FC49DF"/>
    <w:rsid w:val="00FC560C"/>
    <w:rsid w:val="00FC5611"/>
    <w:rsid w:val="00FC60BB"/>
    <w:rsid w:val="00FC6779"/>
    <w:rsid w:val="00FC7459"/>
    <w:rsid w:val="00FD0072"/>
    <w:rsid w:val="00FD0769"/>
    <w:rsid w:val="00FD10A5"/>
    <w:rsid w:val="00FD14EF"/>
    <w:rsid w:val="00FD2C55"/>
    <w:rsid w:val="00FD364C"/>
    <w:rsid w:val="00FD3831"/>
    <w:rsid w:val="00FD3955"/>
    <w:rsid w:val="00FD43F0"/>
    <w:rsid w:val="00FD4751"/>
    <w:rsid w:val="00FD4DC4"/>
    <w:rsid w:val="00FD5286"/>
    <w:rsid w:val="00FD54A7"/>
    <w:rsid w:val="00FD5A02"/>
    <w:rsid w:val="00FD5BA8"/>
    <w:rsid w:val="00FD72A4"/>
    <w:rsid w:val="00FE0073"/>
    <w:rsid w:val="00FE0B09"/>
    <w:rsid w:val="00FE0C42"/>
    <w:rsid w:val="00FE17CC"/>
    <w:rsid w:val="00FE1991"/>
    <w:rsid w:val="00FE1A5A"/>
    <w:rsid w:val="00FE224C"/>
    <w:rsid w:val="00FE2426"/>
    <w:rsid w:val="00FE2ACC"/>
    <w:rsid w:val="00FE311A"/>
    <w:rsid w:val="00FE3F65"/>
    <w:rsid w:val="00FE4188"/>
    <w:rsid w:val="00FE42E2"/>
    <w:rsid w:val="00FE45DA"/>
    <w:rsid w:val="00FE4E55"/>
    <w:rsid w:val="00FE5159"/>
    <w:rsid w:val="00FE5DFD"/>
    <w:rsid w:val="00FE5E11"/>
    <w:rsid w:val="00FE632B"/>
    <w:rsid w:val="00FE7859"/>
    <w:rsid w:val="00FF0290"/>
    <w:rsid w:val="00FF06B4"/>
    <w:rsid w:val="00FF124C"/>
    <w:rsid w:val="00FF19A9"/>
    <w:rsid w:val="00FF1B2F"/>
    <w:rsid w:val="00FF2615"/>
    <w:rsid w:val="00FF2DE4"/>
    <w:rsid w:val="00FF3844"/>
    <w:rsid w:val="00FF3AA0"/>
    <w:rsid w:val="00FF40EE"/>
    <w:rsid w:val="00FF4D7F"/>
    <w:rsid w:val="00FF5178"/>
    <w:rsid w:val="00FF5446"/>
    <w:rsid w:val="00FF6D51"/>
    <w:rsid w:val="00FF7A17"/>
    <w:rsid w:val="013E18DE"/>
    <w:rsid w:val="01619376"/>
    <w:rsid w:val="01649E1C"/>
    <w:rsid w:val="01762A5D"/>
    <w:rsid w:val="017E1E4C"/>
    <w:rsid w:val="01F4875D"/>
    <w:rsid w:val="021F3C71"/>
    <w:rsid w:val="023B768B"/>
    <w:rsid w:val="025315D9"/>
    <w:rsid w:val="02630810"/>
    <w:rsid w:val="027F38DC"/>
    <w:rsid w:val="02A1827D"/>
    <w:rsid w:val="02B9AD6B"/>
    <w:rsid w:val="02F472FD"/>
    <w:rsid w:val="02F5BC69"/>
    <w:rsid w:val="038E55C5"/>
    <w:rsid w:val="03A6C6D0"/>
    <w:rsid w:val="04036D6C"/>
    <w:rsid w:val="041352C9"/>
    <w:rsid w:val="042777D5"/>
    <w:rsid w:val="042C4543"/>
    <w:rsid w:val="0461D2A5"/>
    <w:rsid w:val="04686675"/>
    <w:rsid w:val="0481D243"/>
    <w:rsid w:val="0494E452"/>
    <w:rsid w:val="04BC103A"/>
    <w:rsid w:val="04DDFF5E"/>
    <w:rsid w:val="05254B58"/>
    <w:rsid w:val="054FCE0A"/>
    <w:rsid w:val="055A1EAA"/>
    <w:rsid w:val="0584A09E"/>
    <w:rsid w:val="0619574E"/>
    <w:rsid w:val="061FCABF"/>
    <w:rsid w:val="06684A5B"/>
    <w:rsid w:val="067BBD0F"/>
    <w:rsid w:val="06839242"/>
    <w:rsid w:val="0700B081"/>
    <w:rsid w:val="07496631"/>
    <w:rsid w:val="075C479A"/>
    <w:rsid w:val="075F1897"/>
    <w:rsid w:val="0787A7BD"/>
    <w:rsid w:val="07A66CFF"/>
    <w:rsid w:val="07C755C8"/>
    <w:rsid w:val="08114592"/>
    <w:rsid w:val="0844BAD4"/>
    <w:rsid w:val="0886E6FF"/>
    <w:rsid w:val="08C2A9D0"/>
    <w:rsid w:val="08FAE8F8"/>
    <w:rsid w:val="0926726C"/>
    <w:rsid w:val="0926D026"/>
    <w:rsid w:val="09FE61DE"/>
    <w:rsid w:val="0AAFD5A0"/>
    <w:rsid w:val="0B165317"/>
    <w:rsid w:val="0B751502"/>
    <w:rsid w:val="0BB3A22E"/>
    <w:rsid w:val="0BB5C005"/>
    <w:rsid w:val="0BD26289"/>
    <w:rsid w:val="0C7EE4E3"/>
    <w:rsid w:val="0C8E1179"/>
    <w:rsid w:val="0CD6A5D0"/>
    <w:rsid w:val="0D89E42E"/>
    <w:rsid w:val="0E1929F3"/>
    <w:rsid w:val="0E281713"/>
    <w:rsid w:val="0E8F5446"/>
    <w:rsid w:val="0EE2CA23"/>
    <w:rsid w:val="0F30CF36"/>
    <w:rsid w:val="0F413F6C"/>
    <w:rsid w:val="0F4DB9FA"/>
    <w:rsid w:val="0F57CA49"/>
    <w:rsid w:val="0F78C643"/>
    <w:rsid w:val="0F80CCFF"/>
    <w:rsid w:val="10121FE5"/>
    <w:rsid w:val="1036795B"/>
    <w:rsid w:val="104E88F6"/>
    <w:rsid w:val="10C0E66E"/>
    <w:rsid w:val="10C7FEC4"/>
    <w:rsid w:val="10F4CDD3"/>
    <w:rsid w:val="10FE775F"/>
    <w:rsid w:val="110DE863"/>
    <w:rsid w:val="1167A726"/>
    <w:rsid w:val="1170D26C"/>
    <w:rsid w:val="11C5B600"/>
    <w:rsid w:val="124B16A7"/>
    <w:rsid w:val="125D96AC"/>
    <w:rsid w:val="128DC348"/>
    <w:rsid w:val="12B4FC68"/>
    <w:rsid w:val="134E2530"/>
    <w:rsid w:val="138CC9D2"/>
    <w:rsid w:val="13B870A9"/>
    <w:rsid w:val="13C184FC"/>
    <w:rsid w:val="13CE7EF6"/>
    <w:rsid w:val="144AF3B3"/>
    <w:rsid w:val="146F8BBF"/>
    <w:rsid w:val="14FF9109"/>
    <w:rsid w:val="1556D203"/>
    <w:rsid w:val="169A080E"/>
    <w:rsid w:val="16AEA9C1"/>
    <w:rsid w:val="16F6A974"/>
    <w:rsid w:val="17412735"/>
    <w:rsid w:val="176DE3DE"/>
    <w:rsid w:val="17719DA4"/>
    <w:rsid w:val="17C185B7"/>
    <w:rsid w:val="17C57932"/>
    <w:rsid w:val="17ED25EF"/>
    <w:rsid w:val="17F2E2FE"/>
    <w:rsid w:val="1802592D"/>
    <w:rsid w:val="1825BE2C"/>
    <w:rsid w:val="18549493"/>
    <w:rsid w:val="18962B23"/>
    <w:rsid w:val="18A077A8"/>
    <w:rsid w:val="18AC30E1"/>
    <w:rsid w:val="18B51830"/>
    <w:rsid w:val="190CA6EB"/>
    <w:rsid w:val="19AA4C07"/>
    <w:rsid w:val="19DA40E7"/>
    <w:rsid w:val="19FB7295"/>
    <w:rsid w:val="1A18DED1"/>
    <w:rsid w:val="1A51B733"/>
    <w:rsid w:val="1A9A4186"/>
    <w:rsid w:val="1AD1C621"/>
    <w:rsid w:val="1ADC502D"/>
    <w:rsid w:val="1AE1F54B"/>
    <w:rsid w:val="1AE71B58"/>
    <w:rsid w:val="1B3AC9A7"/>
    <w:rsid w:val="1CC28B88"/>
    <w:rsid w:val="1CDE5084"/>
    <w:rsid w:val="1CEFD125"/>
    <w:rsid w:val="1D10FC39"/>
    <w:rsid w:val="1D274756"/>
    <w:rsid w:val="1D4D74E3"/>
    <w:rsid w:val="1D6EEA13"/>
    <w:rsid w:val="1D787BF1"/>
    <w:rsid w:val="1D9C12C8"/>
    <w:rsid w:val="1DA0E3E6"/>
    <w:rsid w:val="1DD1E248"/>
    <w:rsid w:val="1E1A375D"/>
    <w:rsid w:val="1E8FD037"/>
    <w:rsid w:val="1EC3CD21"/>
    <w:rsid w:val="1F432140"/>
    <w:rsid w:val="1F8FDB43"/>
    <w:rsid w:val="1FEE3B9B"/>
    <w:rsid w:val="201EE3E9"/>
    <w:rsid w:val="202C8B87"/>
    <w:rsid w:val="20645A07"/>
    <w:rsid w:val="2079A388"/>
    <w:rsid w:val="20DAD705"/>
    <w:rsid w:val="20FC032C"/>
    <w:rsid w:val="214323C7"/>
    <w:rsid w:val="218D22FC"/>
    <w:rsid w:val="218FA268"/>
    <w:rsid w:val="219A5956"/>
    <w:rsid w:val="21CFB820"/>
    <w:rsid w:val="21F0FB06"/>
    <w:rsid w:val="21F1157C"/>
    <w:rsid w:val="22690D18"/>
    <w:rsid w:val="2360FC92"/>
    <w:rsid w:val="2365D28F"/>
    <w:rsid w:val="23880959"/>
    <w:rsid w:val="238C2F72"/>
    <w:rsid w:val="239B2410"/>
    <w:rsid w:val="23B7FCC7"/>
    <w:rsid w:val="23B864DE"/>
    <w:rsid w:val="23DA409F"/>
    <w:rsid w:val="23F88CBD"/>
    <w:rsid w:val="23FC2CDD"/>
    <w:rsid w:val="2433E697"/>
    <w:rsid w:val="2440B392"/>
    <w:rsid w:val="245D1C83"/>
    <w:rsid w:val="25347236"/>
    <w:rsid w:val="25364785"/>
    <w:rsid w:val="25D1D6D5"/>
    <w:rsid w:val="2603B062"/>
    <w:rsid w:val="26725A6B"/>
    <w:rsid w:val="26D217E6"/>
    <w:rsid w:val="26DBFA3A"/>
    <w:rsid w:val="27014F3F"/>
    <w:rsid w:val="270447E2"/>
    <w:rsid w:val="27270265"/>
    <w:rsid w:val="272D4469"/>
    <w:rsid w:val="2741A440"/>
    <w:rsid w:val="27BEB903"/>
    <w:rsid w:val="27CAC560"/>
    <w:rsid w:val="27F68DBC"/>
    <w:rsid w:val="27FD921B"/>
    <w:rsid w:val="2800875D"/>
    <w:rsid w:val="280E2ACC"/>
    <w:rsid w:val="28129301"/>
    <w:rsid w:val="28275329"/>
    <w:rsid w:val="284D1FCD"/>
    <w:rsid w:val="2902FA53"/>
    <w:rsid w:val="2905A35A"/>
    <w:rsid w:val="29234CA7"/>
    <w:rsid w:val="2948EC3E"/>
    <w:rsid w:val="29693940"/>
    <w:rsid w:val="297EBF95"/>
    <w:rsid w:val="2A4308DA"/>
    <w:rsid w:val="2A63F962"/>
    <w:rsid w:val="2BFC8FC6"/>
    <w:rsid w:val="2C0A0DF9"/>
    <w:rsid w:val="2C0ABE8A"/>
    <w:rsid w:val="2C0DA21B"/>
    <w:rsid w:val="2C34F532"/>
    <w:rsid w:val="2C6823FA"/>
    <w:rsid w:val="2C90526F"/>
    <w:rsid w:val="2CA2342C"/>
    <w:rsid w:val="2CB739B6"/>
    <w:rsid w:val="2CBC8F7F"/>
    <w:rsid w:val="2CE19BEF"/>
    <w:rsid w:val="2D21A1DC"/>
    <w:rsid w:val="2D486C1F"/>
    <w:rsid w:val="2D4CF9A5"/>
    <w:rsid w:val="2D707AE1"/>
    <w:rsid w:val="2D99DC90"/>
    <w:rsid w:val="2DF348C4"/>
    <w:rsid w:val="2E14DBA2"/>
    <w:rsid w:val="2E1B9FE8"/>
    <w:rsid w:val="2E6E0CD1"/>
    <w:rsid w:val="2E7D6C50"/>
    <w:rsid w:val="2E82FDF4"/>
    <w:rsid w:val="2EBA9A43"/>
    <w:rsid w:val="2EC2A641"/>
    <w:rsid w:val="2EF27B8C"/>
    <w:rsid w:val="2F007C92"/>
    <w:rsid w:val="2F29B005"/>
    <w:rsid w:val="2F29C942"/>
    <w:rsid w:val="304B4B03"/>
    <w:rsid w:val="3173F803"/>
    <w:rsid w:val="319E0C84"/>
    <w:rsid w:val="321EACE1"/>
    <w:rsid w:val="3225797F"/>
    <w:rsid w:val="3238F54E"/>
    <w:rsid w:val="3240C158"/>
    <w:rsid w:val="32568BB1"/>
    <w:rsid w:val="32639CDC"/>
    <w:rsid w:val="32B17749"/>
    <w:rsid w:val="32F3E6F8"/>
    <w:rsid w:val="32FBFE49"/>
    <w:rsid w:val="3307CF18"/>
    <w:rsid w:val="33B09AEE"/>
    <w:rsid w:val="33EF1051"/>
    <w:rsid w:val="34BF1CE1"/>
    <w:rsid w:val="34C24B9B"/>
    <w:rsid w:val="34D5DD38"/>
    <w:rsid w:val="34E582B7"/>
    <w:rsid w:val="353B1FDE"/>
    <w:rsid w:val="359AF778"/>
    <w:rsid w:val="35B0102F"/>
    <w:rsid w:val="35DB2C82"/>
    <w:rsid w:val="35F2AD18"/>
    <w:rsid w:val="35F95524"/>
    <w:rsid w:val="360B3345"/>
    <w:rsid w:val="3666CF60"/>
    <w:rsid w:val="366C1DC4"/>
    <w:rsid w:val="373A12CB"/>
    <w:rsid w:val="37415E3F"/>
    <w:rsid w:val="37A4D66D"/>
    <w:rsid w:val="37D6A1CE"/>
    <w:rsid w:val="38239376"/>
    <w:rsid w:val="38477321"/>
    <w:rsid w:val="3889EA8C"/>
    <w:rsid w:val="38D2EB4C"/>
    <w:rsid w:val="38DF2ACB"/>
    <w:rsid w:val="3938E573"/>
    <w:rsid w:val="393DBEE0"/>
    <w:rsid w:val="3954FD95"/>
    <w:rsid w:val="39572138"/>
    <w:rsid w:val="39641221"/>
    <w:rsid w:val="396888FB"/>
    <w:rsid w:val="39BE36AE"/>
    <w:rsid w:val="39CC410E"/>
    <w:rsid w:val="39EDB419"/>
    <w:rsid w:val="3A5CD644"/>
    <w:rsid w:val="3ABE13AB"/>
    <w:rsid w:val="3B04595C"/>
    <w:rsid w:val="3B32611B"/>
    <w:rsid w:val="3B88045F"/>
    <w:rsid w:val="3B92A83F"/>
    <w:rsid w:val="3B9C8945"/>
    <w:rsid w:val="3BB621FB"/>
    <w:rsid w:val="3BD9ECBF"/>
    <w:rsid w:val="3CA029BD"/>
    <w:rsid w:val="3CC08A3F"/>
    <w:rsid w:val="3CEDDAF0"/>
    <w:rsid w:val="3CF77F2E"/>
    <w:rsid w:val="3D28DE9F"/>
    <w:rsid w:val="3DD37247"/>
    <w:rsid w:val="3DF88C21"/>
    <w:rsid w:val="3E5E12F5"/>
    <w:rsid w:val="3E70FB52"/>
    <w:rsid w:val="3E8FB746"/>
    <w:rsid w:val="3EBFB9DA"/>
    <w:rsid w:val="3F087844"/>
    <w:rsid w:val="3F80AFE1"/>
    <w:rsid w:val="3FE634A5"/>
    <w:rsid w:val="3FE6BE45"/>
    <w:rsid w:val="40DC5680"/>
    <w:rsid w:val="40F6F06E"/>
    <w:rsid w:val="416A0304"/>
    <w:rsid w:val="41739AE0"/>
    <w:rsid w:val="421A367C"/>
    <w:rsid w:val="422CA86A"/>
    <w:rsid w:val="4237A13A"/>
    <w:rsid w:val="427942B8"/>
    <w:rsid w:val="42A0C3AD"/>
    <w:rsid w:val="42A26A60"/>
    <w:rsid w:val="42D3A379"/>
    <w:rsid w:val="430F6B41"/>
    <w:rsid w:val="432C2A0B"/>
    <w:rsid w:val="43D65DD0"/>
    <w:rsid w:val="43E0502C"/>
    <w:rsid w:val="442E0C2B"/>
    <w:rsid w:val="4466DF84"/>
    <w:rsid w:val="4498379B"/>
    <w:rsid w:val="450D1899"/>
    <w:rsid w:val="4575E323"/>
    <w:rsid w:val="45899591"/>
    <w:rsid w:val="45A65DD7"/>
    <w:rsid w:val="45C81FC3"/>
    <w:rsid w:val="45F698F1"/>
    <w:rsid w:val="46D94DF7"/>
    <w:rsid w:val="472DB3C2"/>
    <w:rsid w:val="475B4C69"/>
    <w:rsid w:val="477A6B00"/>
    <w:rsid w:val="47B516DE"/>
    <w:rsid w:val="47B5D8DC"/>
    <w:rsid w:val="47BACB32"/>
    <w:rsid w:val="47E2DC64"/>
    <w:rsid w:val="48061D22"/>
    <w:rsid w:val="480D5492"/>
    <w:rsid w:val="4813C4F6"/>
    <w:rsid w:val="481E33A2"/>
    <w:rsid w:val="485227C9"/>
    <w:rsid w:val="48913648"/>
    <w:rsid w:val="48C54244"/>
    <w:rsid w:val="48DE8F38"/>
    <w:rsid w:val="492A32CB"/>
    <w:rsid w:val="497EACC5"/>
    <w:rsid w:val="49D12BDA"/>
    <w:rsid w:val="49DB7B8E"/>
    <w:rsid w:val="49DE3047"/>
    <w:rsid w:val="4A581256"/>
    <w:rsid w:val="4A6AF346"/>
    <w:rsid w:val="4A709C76"/>
    <w:rsid w:val="4A87AA39"/>
    <w:rsid w:val="4A992225"/>
    <w:rsid w:val="4A9DEA22"/>
    <w:rsid w:val="4B4E5B10"/>
    <w:rsid w:val="4C03DA5E"/>
    <w:rsid w:val="4C32EA3D"/>
    <w:rsid w:val="4C4BC8AA"/>
    <w:rsid w:val="4C7EF912"/>
    <w:rsid w:val="4CA1913C"/>
    <w:rsid w:val="4CE6E8D8"/>
    <w:rsid w:val="4D14053A"/>
    <w:rsid w:val="4D1A31BF"/>
    <w:rsid w:val="4D4A2B51"/>
    <w:rsid w:val="4D87EC63"/>
    <w:rsid w:val="4DF1A911"/>
    <w:rsid w:val="4DFFC874"/>
    <w:rsid w:val="4E092054"/>
    <w:rsid w:val="4E189DEF"/>
    <w:rsid w:val="4E521DE8"/>
    <w:rsid w:val="4E75F9C3"/>
    <w:rsid w:val="4F2F9061"/>
    <w:rsid w:val="4FC17F02"/>
    <w:rsid w:val="4FEDEE49"/>
    <w:rsid w:val="4FF7A154"/>
    <w:rsid w:val="500EB13E"/>
    <w:rsid w:val="504AB462"/>
    <w:rsid w:val="509235E9"/>
    <w:rsid w:val="50CB8007"/>
    <w:rsid w:val="50DF52EB"/>
    <w:rsid w:val="511596EE"/>
    <w:rsid w:val="5189BEAA"/>
    <w:rsid w:val="528E1479"/>
    <w:rsid w:val="52C7A1F6"/>
    <w:rsid w:val="52DB9DC0"/>
    <w:rsid w:val="52DD6194"/>
    <w:rsid w:val="52F64372"/>
    <w:rsid w:val="5325082F"/>
    <w:rsid w:val="5333C3C5"/>
    <w:rsid w:val="54BAD58D"/>
    <w:rsid w:val="55A5E336"/>
    <w:rsid w:val="55AAFA19"/>
    <w:rsid w:val="55BC1014"/>
    <w:rsid w:val="55BC87D4"/>
    <w:rsid w:val="55E51C0E"/>
    <w:rsid w:val="5601BCB8"/>
    <w:rsid w:val="56A7378A"/>
    <w:rsid w:val="56CD7C4A"/>
    <w:rsid w:val="5715002B"/>
    <w:rsid w:val="571F5328"/>
    <w:rsid w:val="5745AE1D"/>
    <w:rsid w:val="5776E7D6"/>
    <w:rsid w:val="57C2DC3B"/>
    <w:rsid w:val="57DB8B93"/>
    <w:rsid w:val="57E6A46F"/>
    <w:rsid w:val="58392FE5"/>
    <w:rsid w:val="58550533"/>
    <w:rsid w:val="58832352"/>
    <w:rsid w:val="5884E468"/>
    <w:rsid w:val="588609AB"/>
    <w:rsid w:val="5915F6EA"/>
    <w:rsid w:val="59C144B7"/>
    <w:rsid w:val="5A1FEFD2"/>
    <w:rsid w:val="5A691F80"/>
    <w:rsid w:val="5A94B3FE"/>
    <w:rsid w:val="5A9A14ED"/>
    <w:rsid w:val="5AF94A2B"/>
    <w:rsid w:val="5B09E7F6"/>
    <w:rsid w:val="5B2DBF58"/>
    <w:rsid w:val="5B388E76"/>
    <w:rsid w:val="5B573154"/>
    <w:rsid w:val="5B5D11C9"/>
    <w:rsid w:val="5B610041"/>
    <w:rsid w:val="5B73F99F"/>
    <w:rsid w:val="5BCC2C87"/>
    <w:rsid w:val="5BDB8AD3"/>
    <w:rsid w:val="5BF8EBAD"/>
    <w:rsid w:val="5C182D11"/>
    <w:rsid w:val="5C4554BD"/>
    <w:rsid w:val="5C5ADE1B"/>
    <w:rsid w:val="5CB81E97"/>
    <w:rsid w:val="5CCA7C83"/>
    <w:rsid w:val="5D57AD12"/>
    <w:rsid w:val="5D7CF18D"/>
    <w:rsid w:val="5DA5FD1A"/>
    <w:rsid w:val="5E664CE4"/>
    <w:rsid w:val="5EF360F5"/>
    <w:rsid w:val="5F27ECEA"/>
    <w:rsid w:val="5F312B06"/>
    <w:rsid w:val="5F35C645"/>
    <w:rsid w:val="5F49A8E6"/>
    <w:rsid w:val="5F507162"/>
    <w:rsid w:val="5FE12195"/>
    <w:rsid w:val="6039750D"/>
    <w:rsid w:val="60B0B79F"/>
    <w:rsid w:val="60B7300F"/>
    <w:rsid w:val="60F7D506"/>
    <w:rsid w:val="6145AED8"/>
    <w:rsid w:val="61FF13D5"/>
    <w:rsid w:val="622E664E"/>
    <w:rsid w:val="630972AC"/>
    <w:rsid w:val="6320A3AF"/>
    <w:rsid w:val="632552D2"/>
    <w:rsid w:val="63A62AF8"/>
    <w:rsid w:val="63ACA77D"/>
    <w:rsid w:val="63E82E22"/>
    <w:rsid w:val="6418A6AE"/>
    <w:rsid w:val="645D49E2"/>
    <w:rsid w:val="645DBDAA"/>
    <w:rsid w:val="647D74CD"/>
    <w:rsid w:val="64BC660B"/>
    <w:rsid w:val="650EF139"/>
    <w:rsid w:val="6551F167"/>
    <w:rsid w:val="660E7737"/>
    <w:rsid w:val="6617221D"/>
    <w:rsid w:val="663A19AB"/>
    <w:rsid w:val="669F56B9"/>
    <w:rsid w:val="66A61E86"/>
    <w:rsid w:val="678626FC"/>
    <w:rsid w:val="678BC2DA"/>
    <w:rsid w:val="67C10649"/>
    <w:rsid w:val="67F4BD0E"/>
    <w:rsid w:val="68458568"/>
    <w:rsid w:val="6850BEB0"/>
    <w:rsid w:val="68B8B134"/>
    <w:rsid w:val="68DA6AC0"/>
    <w:rsid w:val="68E62FF1"/>
    <w:rsid w:val="68F2BD56"/>
    <w:rsid w:val="69061DA4"/>
    <w:rsid w:val="6927933B"/>
    <w:rsid w:val="6931EA8E"/>
    <w:rsid w:val="693FBF78"/>
    <w:rsid w:val="69B2729E"/>
    <w:rsid w:val="69D78293"/>
    <w:rsid w:val="6A0D5E0C"/>
    <w:rsid w:val="6A9B2340"/>
    <w:rsid w:val="6AD59D11"/>
    <w:rsid w:val="6AE1F8C4"/>
    <w:rsid w:val="6B02659C"/>
    <w:rsid w:val="6B11399E"/>
    <w:rsid w:val="6B3537A0"/>
    <w:rsid w:val="6B635869"/>
    <w:rsid w:val="6BBA5744"/>
    <w:rsid w:val="6BFD64AE"/>
    <w:rsid w:val="6C3D583C"/>
    <w:rsid w:val="6C4882FE"/>
    <w:rsid w:val="6C742012"/>
    <w:rsid w:val="6CBBF85D"/>
    <w:rsid w:val="6D82903C"/>
    <w:rsid w:val="6DB5DE0E"/>
    <w:rsid w:val="6DE9BAA4"/>
    <w:rsid w:val="6DFA15D2"/>
    <w:rsid w:val="6E1A8C37"/>
    <w:rsid w:val="6E3ABF41"/>
    <w:rsid w:val="6EC2A6F8"/>
    <w:rsid w:val="6ECBF962"/>
    <w:rsid w:val="6ED0B4CE"/>
    <w:rsid w:val="6ED10EDD"/>
    <w:rsid w:val="6EFE6F3D"/>
    <w:rsid w:val="6F570B44"/>
    <w:rsid w:val="6F6AF4AF"/>
    <w:rsid w:val="6F6C88A6"/>
    <w:rsid w:val="6F8CC292"/>
    <w:rsid w:val="6FCD590B"/>
    <w:rsid w:val="6FD6C02B"/>
    <w:rsid w:val="6FDC060D"/>
    <w:rsid w:val="6FE1F4B2"/>
    <w:rsid w:val="6FFE538E"/>
    <w:rsid w:val="706EA629"/>
    <w:rsid w:val="70F1F72D"/>
    <w:rsid w:val="7147560A"/>
    <w:rsid w:val="7189CF72"/>
    <w:rsid w:val="71AF3472"/>
    <w:rsid w:val="71E3A308"/>
    <w:rsid w:val="722EEE8B"/>
    <w:rsid w:val="72ACD703"/>
    <w:rsid w:val="72CBF23F"/>
    <w:rsid w:val="72F56928"/>
    <w:rsid w:val="737E22F6"/>
    <w:rsid w:val="738A99B5"/>
    <w:rsid w:val="73A251E3"/>
    <w:rsid w:val="73AE866B"/>
    <w:rsid w:val="741420BF"/>
    <w:rsid w:val="74251F92"/>
    <w:rsid w:val="742A7C67"/>
    <w:rsid w:val="74571917"/>
    <w:rsid w:val="74A3FBCD"/>
    <w:rsid w:val="74B740F0"/>
    <w:rsid w:val="75351957"/>
    <w:rsid w:val="75863CCC"/>
    <w:rsid w:val="75B50387"/>
    <w:rsid w:val="75BF820A"/>
    <w:rsid w:val="75F06016"/>
    <w:rsid w:val="7604B370"/>
    <w:rsid w:val="7681F74D"/>
    <w:rsid w:val="76E3B443"/>
    <w:rsid w:val="77025FAE"/>
    <w:rsid w:val="770D4EB4"/>
    <w:rsid w:val="77185E45"/>
    <w:rsid w:val="775CC054"/>
    <w:rsid w:val="7760B1F5"/>
    <w:rsid w:val="77950CB2"/>
    <w:rsid w:val="77DBA0B7"/>
    <w:rsid w:val="78263C66"/>
    <w:rsid w:val="785AE5E1"/>
    <w:rsid w:val="78993C69"/>
    <w:rsid w:val="789E9F2F"/>
    <w:rsid w:val="7901CCD5"/>
    <w:rsid w:val="790BD8E0"/>
    <w:rsid w:val="796236E4"/>
    <w:rsid w:val="796655F3"/>
    <w:rsid w:val="796B5169"/>
    <w:rsid w:val="7984B625"/>
    <w:rsid w:val="79C38451"/>
    <w:rsid w:val="79DA5E70"/>
    <w:rsid w:val="79E28180"/>
    <w:rsid w:val="79E9B1DE"/>
    <w:rsid w:val="79EBD73D"/>
    <w:rsid w:val="7A4F03AE"/>
    <w:rsid w:val="7AA3A03F"/>
    <w:rsid w:val="7ABE287F"/>
    <w:rsid w:val="7ACB0053"/>
    <w:rsid w:val="7AE12E6A"/>
    <w:rsid w:val="7BABC90A"/>
    <w:rsid w:val="7C0FAC3E"/>
    <w:rsid w:val="7C17729A"/>
    <w:rsid w:val="7C560A6E"/>
    <w:rsid w:val="7C921835"/>
    <w:rsid w:val="7C9FE77B"/>
    <w:rsid w:val="7CAA1829"/>
    <w:rsid w:val="7CBA0FA6"/>
    <w:rsid w:val="7CC9F25A"/>
    <w:rsid w:val="7D47596F"/>
    <w:rsid w:val="7D746C34"/>
    <w:rsid w:val="7D7D6DC6"/>
    <w:rsid w:val="7E07EEB5"/>
    <w:rsid w:val="7EA44FB4"/>
    <w:rsid w:val="7F2F0118"/>
    <w:rsid w:val="7F60802D"/>
    <w:rsid w:val="7FB6AECB"/>
    <w:rsid w:val="7FE12750"/>
    <w:rsid w:val="7FE9B3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94998"/>
  <w15:chartTrackingRefBased/>
  <w15:docId w15:val="{8D205EDB-42E8-40C5-95A3-6E8440869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73C5"/>
    <w:pPr>
      <w:keepNext/>
      <w:keepLines/>
      <w:spacing w:before="240" w:after="0"/>
      <w:outlineLvl w:val="0"/>
    </w:pPr>
    <w:rPr>
      <w:rFonts w:ascii="Arial" w:eastAsiaTheme="majorEastAsia" w:hAnsi="Arial" w:cstheme="majorBidi"/>
      <w:b/>
      <w:color w:val="2F5496" w:themeColor="accent1" w:themeShade="BF"/>
      <w:sz w:val="36"/>
      <w:szCs w:val="32"/>
    </w:rPr>
  </w:style>
  <w:style w:type="paragraph" w:styleId="Heading2">
    <w:name w:val="heading 2"/>
    <w:basedOn w:val="Heading3"/>
    <w:link w:val="Heading2Char"/>
    <w:uiPriority w:val="9"/>
    <w:qFormat/>
    <w:rsid w:val="009C5896"/>
    <w:pPr>
      <w:spacing w:before="40" w:after="0" w:line="259" w:lineRule="auto"/>
      <w:outlineLvl w:val="1"/>
    </w:pPr>
    <w:rPr>
      <w:bCs/>
      <w:color w:val="4472C4" w:themeColor="accent1"/>
      <w:sz w:val="36"/>
      <w:szCs w:val="32"/>
    </w:rPr>
  </w:style>
  <w:style w:type="paragraph" w:styleId="Heading3">
    <w:name w:val="heading 3"/>
    <w:basedOn w:val="Normal"/>
    <w:next w:val="Normal"/>
    <w:link w:val="Heading3Char"/>
    <w:uiPriority w:val="9"/>
    <w:unhideWhenUsed/>
    <w:qFormat/>
    <w:rsid w:val="00EB2182"/>
    <w:pPr>
      <w:keepNext/>
      <w:keepLines/>
      <w:spacing w:before="160" w:after="120" w:line="240" w:lineRule="auto"/>
      <w:outlineLvl w:val="2"/>
    </w:pPr>
    <w:rPr>
      <w:rFonts w:ascii="Arial" w:eastAsiaTheme="majorEastAsia" w:hAnsi="Arial" w:cstheme="majorBidi"/>
      <w:b/>
      <w:color w:val="2F5496" w:themeColor="accent1" w:themeShade="BF"/>
      <w:kern w:val="0"/>
      <w:sz w:val="32"/>
      <w:szCs w:val="24"/>
      <w14:ligatures w14:val="none"/>
    </w:rPr>
  </w:style>
  <w:style w:type="paragraph" w:styleId="Heading4">
    <w:name w:val="heading 4"/>
    <w:basedOn w:val="Normal"/>
    <w:next w:val="Normal"/>
    <w:link w:val="Heading4Char"/>
    <w:uiPriority w:val="9"/>
    <w:unhideWhenUsed/>
    <w:qFormat/>
    <w:rsid w:val="003E300C"/>
    <w:pPr>
      <w:keepNext/>
      <w:keepLines/>
      <w:spacing w:after="120" w:line="240" w:lineRule="auto"/>
      <w:outlineLvl w:val="3"/>
    </w:pPr>
    <w:rPr>
      <w:rFonts w:ascii="Arial" w:eastAsiaTheme="majorEastAsia" w:hAnsi="Arial" w:cstheme="majorBidi"/>
      <w:b/>
      <w:iCs/>
      <w:color w:val="1F3864" w:themeColor="accent1" w:themeShade="80"/>
      <w:kern w:val="0"/>
      <w:sz w:val="28"/>
      <w14:ligatures w14:val="none"/>
    </w:rPr>
  </w:style>
  <w:style w:type="paragraph" w:styleId="Heading5">
    <w:name w:val="heading 5"/>
    <w:basedOn w:val="Normal"/>
    <w:next w:val="Normal"/>
    <w:link w:val="Heading5Char"/>
    <w:uiPriority w:val="9"/>
    <w:semiHidden/>
    <w:unhideWhenUsed/>
    <w:qFormat/>
    <w:rsid w:val="000F3972"/>
    <w:pPr>
      <w:keepNext/>
      <w:keepLines/>
      <w:spacing w:before="40" w:after="0"/>
      <w:ind w:left="1008" w:hanging="432"/>
      <w:outlineLvl w:val="4"/>
    </w:pPr>
    <w:rPr>
      <w:rFonts w:asciiTheme="majorHAnsi" w:eastAsiaTheme="majorEastAsia" w:hAnsiTheme="majorHAnsi"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0F3972"/>
    <w:pPr>
      <w:keepNext/>
      <w:keepLines/>
      <w:spacing w:before="40" w:after="0"/>
      <w:ind w:left="4320" w:hanging="360"/>
      <w:outlineLvl w:val="5"/>
    </w:pPr>
    <w:rPr>
      <w:rFonts w:asciiTheme="majorHAnsi" w:eastAsiaTheme="majorEastAsia" w:hAnsiTheme="majorHAnsi" w:cstheme="majorBidi"/>
      <w:color w:val="1F3763" w:themeColor="accent1" w:themeShade="7F"/>
      <w:kern w:val="0"/>
      <w14:ligatures w14:val="none"/>
    </w:rPr>
  </w:style>
  <w:style w:type="paragraph" w:styleId="Heading7">
    <w:name w:val="heading 7"/>
    <w:basedOn w:val="Normal"/>
    <w:next w:val="Normal"/>
    <w:link w:val="Heading7Char"/>
    <w:uiPriority w:val="9"/>
    <w:unhideWhenUsed/>
    <w:qFormat/>
    <w:rsid w:val="000F3972"/>
    <w:pPr>
      <w:keepNext/>
      <w:keepLines/>
      <w:spacing w:before="40" w:after="0"/>
      <w:ind w:left="5040" w:hanging="360"/>
      <w:outlineLvl w:val="6"/>
    </w:pPr>
    <w:rPr>
      <w:rFonts w:asciiTheme="majorHAnsi" w:eastAsiaTheme="majorEastAsia" w:hAnsiTheme="majorHAnsi" w:cstheme="majorBidi"/>
      <w:i/>
      <w:iCs/>
      <w:color w:val="1F3763" w:themeColor="accent1" w:themeShade="7F"/>
      <w:kern w:val="0"/>
      <w14:ligatures w14:val="none"/>
    </w:rPr>
  </w:style>
  <w:style w:type="paragraph" w:styleId="Heading8">
    <w:name w:val="heading 8"/>
    <w:basedOn w:val="Normal"/>
    <w:next w:val="Normal"/>
    <w:link w:val="Heading8Char"/>
    <w:uiPriority w:val="9"/>
    <w:semiHidden/>
    <w:unhideWhenUsed/>
    <w:qFormat/>
    <w:rsid w:val="000F3972"/>
    <w:pPr>
      <w:keepNext/>
      <w:keepLines/>
      <w:spacing w:before="40" w:after="0"/>
      <w:ind w:left="5760" w:hanging="360"/>
      <w:outlineLvl w:val="7"/>
    </w:pPr>
    <w:rPr>
      <w:rFonts w:asciiTheme="majorHAnsi" w:eastAsiaTheme="majorEastAsia" w:hAnsiTheme="majorHAnsi" w:cstheme="majorBidi"/>
      <w:color w:val="272727" w:themeColor="text1" w:themeTint="D8"/>
      <w:kern w:val="0"/>
      <w:sz w:val="21"/>
      <w:szCs w:val="21"/>
      <w14:ligatures w14:val="none"/>
    </w:rPr>
  </w:style>
  <w:style w:type="paragraph" w:styleId="Heading9">
    <w:name w:val="heading 9"/>
    <w:basedOn w:val="Normal"/>
    <w:next w:val="Normal"/>
    <w:link w:val="Heading9Char"/>
    <w:uiPriority w:val="9"/>
    <w:semiHidden/>
    <w:unhideWhenUsed/>
    <w:qFormat/>
    <w:rsid w:val="000F3972"/>
    <w:pPr>
      <w:keepNext/>
      <w:keepLines/>
      <w:spacing w:before="40" w:after="0"/>
      <w:ind w:left="6480" w:hanging="360"/>
      <w:outlineLvl w:val="8"/>
    </w:pPr>
    <w:rPr>
      <w:rFonts w:asciiTheme="majorHAnsi" w:eastAsiaTheme="majorEastAsia" w:hAnsiTheme="majorHAnsi" w:cstheme="majorBidi"/>
      <w:i/>
      <w:iCs/>
      <w:color w:val="272727" w:themeColor="text1" w:themeTint="D8"/>
      <w:kern w:val="0"/>
      <w:sz w:val="21"/>
      <w:szCs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6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6B5"/>
  </w:style>
  <w:style w:type="paragraph" w:styleId="Footer">
    <w:name w:val="footer"/>
    <w:basedOn w:val="Normal"/>
    <w:link w:val="FooterChar"/>
    <w:uiPriority w:val="99"/>
    <w:unhideWhenUsed/>
    <w:rsid w:val="007606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6B5"/>
  </w:style>
  <w:style w:type="paragraph" w:styleId="ListParagraph">
    <w:name w:val="List Paragraph"/>
    <w:basedOn w:val="Normal"/>
    <w:uiPriority w:val="34"/>
    <w:qFormat/>
    <w:rsid w:val="007606B5"/>
    <w:pPr>
      <w:ind w:left="720"/>
      <w:contextualSpacing/>
    </w:pPr>
  </w:style>
  <w:style w:type="character" w:styleId="Hyperlink">
    <w:name w:val="Hyperlink"/>
    <w:basedOn w:val="DefaultParagraphFont"/>
    <w:uiPriority w:val="99"/>
    <w:unhideWhenUsed/>
    <w:rsid w:val="005E3585"/>
    <w:rPr>
      <w:color w:val="0563C1" w:themeColor="hyperlink"/>
      <w:u w:val="single"/>
    </w:rPr>
  </w:style>
  <w:style w:type="character" w:styleId="UnresolvedMention">
    <w:name w:val="Unresolved Mention"/>
    <w:basedOn w:val="DefaultParagraphFont"/>
    <w:uiPriority w:val="99"/>
    <w:semiHidden/>
    <w:unhideWhenUsed/>
    <w:rsid w:val="005E3585"/>
    <w:rPr>
      <w:color w:val="605E5C"/>
      <w:shd w:val="clear" w:color="auto" w:fill="E1DFDD"/>
    </w:rPr>
  </w:style>
  <w:style w:type="table" w:styleId="TableGrid">
    <w:name w:val="Table Grid"/>
    <w:basedOn w:val="TableNormal"/>
    <w:uiPriority w:val="39"/>
    <w:rsid w:val="006E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76D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6D1E"/>
    <w:rPr>
      <w:sz w:val="20"/>
      <w:szCs w:val="20"/>
    </w:rPr>
  </w:style>
  <w:style w:type="character" w:styleId="FootnoteReference">
    <w:name w:val="footnote reference"/>
    <w:basedOn w:val="DefaultParagraphFont"/>
    <w:uiPriority w:val="99"/>
    <w:semiHidden/>
    <w:unhideWhenUsed/>
    <w:rsid w:val="00C76D1E"/>
    <w:rPr>
      <w:vertAlign w:val="superscript"/>
    </w:rPr>
  </w:style>
  <w:style w:type="character" w:styleId="CommentReference">
    <w:name w:val="annotation reference"/>
    <w:basedOn w:val="DefaultParagraphFont"/>
    <w:uiPriority w:val="99"/>
    <w:semiHidden/>
    <w:unhideWhenUsed/>
    <w:rsid w:val="00083A0D"/>
    <w:rPr>
      <w:sz w:val="16"/>
      <w:szCs w:val="16"/>
    </w:rPr>
  </w:style>
  <w:style w:type="paragraph" w:styleId="CommentText">
    <w:name w:val="annotation text"/>
    <w:basedOn w:val="Normal"/>
    <w:link w:val="CommentTextChar"/>
    <w:uiPriority w:val="99"/>
    <w:unhideWhenUsed/>
    <w:rsid w:val="00083A0D"/>
    <w:pPr>
      <w:spacing w:line="240" w:lineRule="auto"/>
    </w:pPr>
    <w:rPr>
      <w:sz w:val="20"/>
      <w:szCs w:val="20"/>
    </w:rPr>
  </w:style>
  <w:style w:type="character" w:customStyle="1" w:styleId="CommentTextChar">
    <w:name w:val="Comment Text Char"/>
    <w:basedOn w:val="DefaultParagraphFont"/>
    <w:link w:val="CommentText"/>
    <w:uiPriority w:val="99"/>
    <w:rsid w:val="00083A0D"/>
    <w:rPr>
      <w:sz w:val="20"/>
      <w:szCs w:val="20"/>
    </w:rPr>
  </w:style>
  <w:style w:type="paragraph" w:styleId="CommentSubject">
    <w:name w:val="annotation subject"/>
    <w:basedOn w:val="CommentText"/>
    <w:next w:val="CommentText"/>
    <w:link w:val="CommentSubjectChar"/>
    <w:uiPriority w:val="99"/>
    <w:semiHidden/>
    <w:unhideWhenUsed/>
    <w:rsid w:val="00083A0D"/>
    <w:rPr>
      <w:b/>
      <w:bCs/>
    </w:rPr>
  </w:style>
  <w:style w:type="character" w:customStyle="1" w:styleId="CommentSubjectChar">
    <w:name w:val="Comment Subject Char"/>
    <w:basedOn w:val="CommentTextChar"/>
    <w:link w:val="CommentSubject"/>
    <w:uiPriority w:val="99"/>
    <w:semiHidden/>
    <w:rsid w:val="00083A0D"/>
    <w:rPr>
      <w:b/>
      <w:bCs/>
      <w:sz w:val="20"/>
      <w:szCs w:val="20"/>
    </w:rPr>
  </w:style>
  <w:style w:type="paragraph" w:styleId="Revision">
    <w:name w:val="Revision"/>
    <w:hidden/>
    <w:uiPriority w:val="99"/>
    <w:semiHidden/>
    <w:rsid w:val="0084668D"/>
    <w:pPr>
      <w:spacing w:after="0" w:line="240" w:lineRule="auto"/>
    </w:pPr>
  </w:style>
  <w:style w:type="character" w:styleId="Mention">
    <w:name w:val="Mention"/>
    <w:basedOn w:val="DefaultParagraphFont"/>
    <w:uiPriority w:val="99"/>
    <w:unhideWhenUsed/>
    <w:rsid w:val="00AB72CA"/>
    <w:rPr>
      <w:color w:val="2B579A"/>
      <w:shd w:val="clear" w:color="auto" w:fill="E6E6E6"/>
    </w:rPr>
  </w:style>
  <w:style w:type="table" w:customStyle="1" w:styleId="TableGrid1">
    <w:name w:val="Table Grid1"/>
    <w:basedOn w:val="TableNormal"/>
    <w:next w:val="TableGrid"/>
    <w:uiPriority w:val="39"/>
    <w:rsid w:val="00D06C7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2182"/>
    <w:rPr>
      <w:rFonts w:ascii="Arial" w:eastAsiaTheme="majorEastAsia" w:hAnsi="Arial" w:cstheme="majorBidi"/>
      <w:b/>
      <w:color w:val="2F5496" w:themeColor="accent1" w:themeShade="BF"/>
      <w:kern w:val="0"/>
      <w:sz w:val="32"/>
      <w:szCs w:val="24"/>
      <w14:ligatures w14:val="none"/>
    </w:rPr>
  </w:style>
  <w:style w:type="character" w:customStyle="1" w:styleId="Heading4Char">
    <w:name w:val="Heading 4 Char"/>
    <w:basedOn w:val="DefaultParagraphFont"/>
    <w:link w:val="Heading4"/>
    <w:uiPriority w:val="9"/>
    <w:rsid w:val="003E300C"/>
    <w:rPr>
      <w:rFonts w:ascii="Arial" w:eastAsiaTheme="majorEastAsia" w:hAnsi="Arial" w:cstheme="majorBidi"/>
      <w:b/>
      <w:iCs/>
      <w:color w:val="1F3864" w:themeColor="accent1" w:themeShade="80"/>
      <w:kern w:val="0"/>
      <w:sz w:val="28"/>
      <w14:ligatures w14:val="none"/>
    </w:rPr>
  </w:style>
  <w:style w:type="numbering" w:customStyle="1" w:styleId="NoList1">
    <w:name w:val="No List1"/>
    <w:next w:val="NoList"/>
    <w:uiPriority w:val="99"/>
    <w:semiHidden/>
    <w:unhideWhenUsed/>
    <w:rsid w:val="001A0B49"/>
  </w:style>
  <w:style w:type="paragraph" w:styleId="NoSpacing">
    <w:name w:val="No Spacing"/>
    <w:uiPriority w:val="1"/>
    <w:qFormat/>
    <w:rsid w:val="001A0B49"/>
    <w:pPr>
      <w:spacing w:after="0" w:line="240" w:lineRule="auto"/>
    </w:pPr>
    <w:rPr>
      <w:kern w:val="0"/>
      <w14:ligatures w14:val="none"/>
    </w:rPr>
  </w:style>
  <w:style w:type="paragraph" w:styleId="BalloonText">
    <w:name w:val="Balloon Text"/>
    <w:basedOn w:val="Normal"/>
    <w:link w:val="BalloonTextChar"/>
    <w:uiPriority w:val="99"/>
    <w:semiHidden/>
    <w:unhideWhenUsed/>
    <w:rsid w:val="001A0B49"/>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1A0B49"/>
    <w:rPr>
      <w:rFonts w:ascii="Segoe UI" w:hAnsi="Segoe UI" w:cs="Segoe UI"/>
      <w:kern w:val="0"/>
      <w:sz w:val="18"/>
      <w:szCs w:val="18"/>
      <w14:ligatures w14:val="none"/>
    </w:rPr>
  </w:style>
  <w:style w:type="paragraph" w:styleId="PlainText">
    <w:name w:val="Plain Text"/>
    <w:basedOn w:val="Normal"/>
    <w:link w:val="PlainTextChar"/>
    <w:uiPriority w:val="99"/>
    <w:unhideWhenUsed/>
    <w:rsid w:val="001A0B49"/>
    <w:pPr>
      <w:spacing w:after="0" w:line="240" w:lineRule="auto"/>
    </w:pPr>
    <w:rPr>
      <w:rFonts w:ascii="Arial" w:eastAsia="Times New Roman" w:hAnsi="Arial" w:cs="Times New Roman"/>
      <w:kern w:val="0"/>
      <w:sz w:val="24"/>
      <w:szCs w:val="21"/>
      <w:lang w:eastAsia="en-GB"/>
      <w14:ligatures w14:val="none"/>
    </w:rPr>
  </w:style>
  <w:style w:type="character" w:customStyle="1" w:styleId="PlainTextChar">
    <w:name w:val="Plain Text Char"/>
    <w:basedOn w:val="DefaultParagraphFont"/>
    <w:link w:val="PlainText"/>
    <w:uiPriority w:val="99"/>
    <w:rsid w:val="001A0B49"/>
    <w:rPr>
      <w:rFonts w:ascii="Arial" w:eastAsia="Times New Roman" w:hAnsi="Arial" w:cs="Times New Roman"/>
      <w:kern w:val="0"/>
      <w:sz w:val="24"/>
      <w:szCs w:val="21"/>
      <w:lang w:eastAsia="en-GB"/>
      <w14:ligatures w14:val="none"/>
    </w:rPr>
  </w:style>
  <w:style w:type="paragraph" w:styleId="BodyText">
    <w:name w:val="Body Text"/>
    <w:basedOn w:val="Normal"/>
    <w:link w:val="BodyTextChar"/>
    <w:rsid w:val="001A0B49"/>
    <w:pPr>
      <w:spacing w:after="0" w:line="240" w:lineRule="auto"/>
    </w:pPr>
    <w:rPr>
      <w:rFonts w:ascii="Arial" w:eastAsia="Times New Roman" w:hAnsi="Arial" w:cs="Times New Roman"/>
      <w:kern w:val="0"/>
      <w:sz w:val="24"/>
      <w:szCs w:val="20"/>
      <w:lang w:eastAsia="en-GB"/>
      <w14:ligatures w14:val="none"/>
    </w:rPr>
  </w:style>
  <w:style w:type="character" w:customStyle="1" w:styleId="BodyTextChar">
    <w:name w:val="Body Text Char"/>
    <w:basedOn w:val="DefaultParagraphFont"/>
    <w:link w:val="BodyText"/>
    <w:rsid w:val="001A0B49"/>
    <w:rPr>
      <w:rFonts w:ascii="Arial" w:eastAsia="Times New Roman" w:hAnsi="Arial" w:cs="Times New Roman"/>
      <w:kern w:val="0"/>
      <w:sz w:val="24"/>
      <w:szCs w:val="20"/>
      <w:lang w:eastAsia="en-GB"/>
      <w14:ligatures w14:val="none"/>
    </w:rPr>
  </w:style>
  <w:style w:type="paragraph" w:styleId="NormalWeb">
    <w:name w:val="Normal (Web)"/>
    <w:basedOn w:val="Normal"/>
    <w:uiPriority w:val="99"/>
    <w:unhideWhenUsed/>
    <w:rsid w:val="001A0B4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1A0B49"/>
    <w:rPr>
      <w:color w:val="954F72" w:themeColor="followedHyperlink"/>
      <w:u w:val="single"/>
    </w:rPr>
  </w:style>
  <w:style w:type="character" w:customStyle="1" w:styleId="Heading2Char">
    <w:name w:val="Heading 2 Char"/>
    <w:basedOn w:val="DefaultParagraphFont"/>
    <w:link w:val="Heading2"/>
    <w:uiPriority w:val="9"/>
    <w:rsid w:val="009C5896"/>
    <w:rPr>
      <w:rFonts w:ascii="Arial" w:eastAsiaTheme="majorEastAsia" w:hAnsi="Arial" w:cstheme="majorBidi"/>
      <w:b/>
      <w:bCs/>
      <w:color w:val="4472C4" w:themeColor="accent1"/>
      <w:kern w:val="0"/>
      <w:sz w:val="36"/>
      <w:szCs w:val="32"/>
      <w14:ligatures w14:val="none"/>
    </w:rPr>
  </w:style>
  <w:style w:type="character" w:customStyle="1" w:styleId="Heading5Char">
    <w:name w:val="Heading 5 Char"/>
    <w:basedOn w:val="DefaultParagraphFont"/>
    <w:link w:val="Heading5"/>
    <w:uiPriority w:val="9"/>
    <w:semiHidden/>
    <w:rsid w:val="000F3972"/>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0F3972"/>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rsid w:val="000F3972"/>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0F3972"/>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0F3972"/>
    <w:rPr>
      <w:rFonts w:asciiTheme="majorHAnsi" w:eastAsiaTheme="majorEastAsia" w:hAnsiTheme="majorHAnsi" w:cstheme="majorBidi"/>
      <w:i/>
      <w:iCs/>
      <w:color w:val="272727" w:themeColor="text1" w:themeTint="D8"/>
      <w:kern w:val="0"/>
      <w:sz w:val="21"/>
      <w:szCs w:val="21"/>
      <w14:ligatures w14:val="none"/>
    </w:rPr>
  </w:style>
  <w:style w:type="paragraph" w:customStyle="1" w:styleId="msonormal0">
    <w:name w:val="msonormal"/>
    <w:basedOn w:val="Normal"/>
    <w:rsid w:val="0056074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43823">
    <w:name w:val="xl43823"/>
    <w:basedOn w:val="Normal"/>
    <w:rsid w:val="00560745"/>
    <w:pPr>
      <w:spacing w:before="100" w:beforeAutospacing="1" w:after="100" w:afterAutospacing="1" w:line="240" w:lineRule="auto"/>
      <w:ind w:firstLineChars="100" w:firstLine="100"/>
    </w:pPr>
    <w:rPr>
      <w:rFonts w:ascii="Arial" w:eastAsia="Times New Roman" w:hAnsi="Arial" w:cs="Arial"/>
      <w:b/>
      <w:bCs/>
      <w:kern w:val="0"/>
      <w:sz w:val="20"/>
      <w:szCs w:val="20"/>
      <w:lang w:eastAsia="en-GB"/>
      <w14:ligatures w14:val="none"/>
    </w:rPr>
  </w:style>
  <w:style w:type="paragraph" w:customStyle="1" w:styleId="xl43824">
    <w:name w:val="xl43824"/>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25">
    <w:name w:val="xl43825"/>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26">
    <w:name w:val="xl43826"/>
    <w:basedOn w:val="Normal"/>
    <w:rsid w:val="00560745"/>
    <w:pPr>
      <w:spacing w:before="100" w:beforeAutospacing="1" w:after="100" w:afterAutospacing="1" w:line="240" w:lineRule="auto"/>
    </w:pPr>
    <w:rPr>
      <w:rFonts w:ascii="Arial" w:eastAsia="Times New Roman" w:hAnsi="Arial" w:cs="Arial"/>
      <w:kern w:val="0"/>
      <w:sz w:val="24"/>
      <w:szCs w:val="24"/>
      <w:lang w:eastAsia="en-GB"/>
      <w14:ligatures w14:val="none"/>
    </w:rPr>
  </w:style>
  <w:style w:type="paragraph" w:customStyle="1" w:styleId="xl43827">
    <w:name w:val="xl43827"/>
    <w:basedOn w:val="Normal"/>
    <w:rsid w:val="00560745"/>
    <w:pPr>
      <w:spacing w:before="100" w:beforeAutospacing="1" w:after="100" w:afterAutospacing="1" w:line="240" w:lineRule="auto"/>
    </w:pPr>
    <w:rPr>
      <w:rFonts w:ascii="Arial" w:eastAsia="Times New Roman" w:hAnsi="Arial" w:cs="Arial"/>
      <w:b/>
      <w:bCs/>
      <w:color w:val="000099"/>
      <w:kern w:val="0"/>
      <w:sz w:val="32"/>
      <w:szCs w:val="32"/>
      <w:lang w:eastAsia="en-GB"/>
      <w14:ligatures w14:val="none"/>
    </w:rPr>
  </w:style>
  <w:style w:type="paragraph" w:customStyle="1" w:styleId="xl43828">
    <w:name w:val="xl43828"/>
    <w:basedOn w:val="Normal"/>
    <w:rsid w:val="00560745"/>
    <w:pPr>
      <w:spacing w:before="100" w:beforeAutospacing="1" w:after="100" w:afterAutospacing="1" w:line="240" w:lineRule="auto"/>
    </w:pPr>
    <w:rPr>
      <w:rFonts w:ascii="Arial" w:eastAsia="Times New Roman" w:hAnsi="Arial" w:cs="Arial"/>
      <w:color w:val="000099"/>
      <w:kern w:val="0"/>
      <w:sz w:val="32"/>
      <w:szCs w:val="32"/>
      <w:lang w:eastAsia="en-GB"/>
      <w14:ligatures w14:val="none"/>
    </w:rPr>
  </w:style>
  <w:style w:type="paragraph" w:customStyle="1" w:styleId="xl43829">
    <w:name w:val="xl43829"/>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30">
    <w:name w:val="xl43830"/>
    <w:basedOn w:val="Normal"/>
    <w:rsid w:val="00560745"/>
    <w:pPr>
      <w:spacing w:before="100" w:beforeAutospacing="1" w:after="100" w:afterAutospacing="1" w:line="240" w:lineRule="auto"/>
      <w:ind w:firstLineChars="100" w:firstLine="100"/>
    </w:pPr>
    <w:rPr>
      <w:rFonts w:ascii="Arial" w:eastAsia="Times New Roman" w:hAnsi="Arial" w:cs="Arial"/>
      <w:b/>
      <w:bCs/>
      <w:kern w:val="0"/>
      <w:sz w:val="24"/>
      <w:szCs w:val="24"/>
      <w:lang w:eastAsia="en-GB"/>
      <w14:ligatures w14:val="none"/>
    </w:rPr>
  </w:style>
  <w:style w:type="paragraph" w:customStyle="1" w:styleId="xl43831">
    <w:name w:val="xl43831"/>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32">
    <w:name w:val="xl43832"/>
    <w:basedOn w:val="Normal"/>
    <w:rsid w:val="00560745"/>
    <w:pPr>
      <w:spacing w:before="100" w:beforeAutospacing="1" w:after="100" w:afterAutospacing="1" w:line="240" w:lineRule="auto"/>
    </w:pPr>
    <w:rPr>
      <w:rFonts w:ascii="Arial" w:eastAsia="Times New Roman" w:hAnsi="Arial" w:cs="Arial"/>
      <w:kern w:val="0"/>
      <w:sz w:val="24"/>
      <w:szCs w:val="24"/>
      <w:lang w:eastAsia="en-GB"/>
      <w14:ligatures w14:val="none"/>
    </w:rPr>
  </w:style>
  <w:style w:type="paragraph" w:customStyle="1" w:styleId="xl43833">
    <w:name w:val="xl43833"/>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34">
    <w:name w:val="xl43834"/>
    <w:basedOn w:val="Normal"/>
    <w:rsid w:val="00560745"/>
    <w:pPr>
      <w:spacing w:before="100" w:beforeAutospacing="1" w:after="100" w:afterAutospacing="1" w:line="240" w:lineRule="auto"/>
      <w:ind w:firstLineChars="100" w:firstLine="100"/>
    </w:pPr>
    <w:rPr>
      <w:rFonts w:ascii="Arial" w:eastAsia="Times New Roman" w:hAnsi="Arial" w:cs="Arial"/>
      <w:kern w:val="0"/>
      <w:sz w:val="20"/>
      <w:szCs w:val="20"/>
      <w:lang w:eastAsia="en-GB"/>
      <w14:ligatures w14:val="none"/>
    </w:rPr>
  </w:style>
  <w:style w:type="paragraph" w:customStyle="1" w:styleId="xl43835">
    <w:name w:val="xl43835"/>
    <w:basedOn w:val="Normal"/>
    <w:rsid w:val="00560745"/>
    <w:pPr>
      <w:spacing w:before="100" w:beforeAutospacing="1" w:after="100" w:afterAutospacing="1" w:line="240" w:lineRule="auto"/>
      <w:ind w:firstLineChars="100" w:firstLine="100"/>
    </w:pPr>
    <w:rPr>
      <w:rFonts w:ascii="Arial" w:eastAsia="Times New Roman" w:hAnsi="Arial" w:cs="Arial"/>
      <w:b/>
      <w:bCs/>
      <w:kern w:val="0"/>
      <w:sz w:val="20"/>
      <w:szCs w:val="20"/>
      <w:lang w:eastAsia="en-GB"/>
      <w14:ligatures w14:val="none"/>
    </w:rPr>
  </w:style>
  <w:style w:type="paragraph" w:customStyle="1" w:styleId="xl43836">
    <w:name w:val="xl43836"/>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837">
    <w:name w:val="xl43837"/>
    <w:basedOn w:val="Normal"/>
    <w:rsid w:val="0056074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838">
    <w:name w:val="xl43838"/>
    <w:basedOn w:val="Normal"/>
    <w:rsid w:val="00560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839">
    <w:name w:val="xl43839"/>
    <w:basedOn w:val="Normal"/>
    <w:rsid w:val="00560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840">
    <w:name w:val="xl43840"/>
    <w:basedOn w:val="Normal"/>
    <w:rsid w:val="00560745"/>
    <w:pPr>
      <w:spacing w:before="100" w:beforeAutospacing="1" w:after="100" w:afterAutospacing="1" w:line="240" w:lineRule="auto"/>
      <w:ind w:firstLineChars="100" w:firstLine="100"/>
    </w:pPr>
    <w:rPr>
      <w:rFonts w:ascii="Arial" w:eastAsia="Times New Roman" w:hAnsi="Arial" w:cs="Arial"/>
      <w:b/>
      <w:bCs/>
      <w:kern w:val="0"/>
      <w:sz w:val="20"/>
      <w:szCs w:val="20"/>
      <w:lang w:eastAsia="en-GB"/>
      <w14:ligatures w14:val="none"/>
    </w:rPr>
  </w:style>
  <w:style w:type="paragraph" w:customStyle="1" w:styleId="xl43841">
    <w:name w:val="xl43841"/>
    <w:basedOn w:val="Normal"/>
    <w:rsid w:val="00560745"/>
    <w:pPr>
      <w:spacing w:before="100" w:beforeAutospacing="1" w:after="100" w:afterAutospacing="1" w:line="240" w:lineRule="auto"/>
      <w:ind w:firstLineChars="100" w:firstLine="100"/>
    </w:pPr>
    <w:rPr>
      <w:rFonts w:ascii="Arial" w:eastAsia="Times New Roman" w:hAnsi="Arial" w:cs="Arial"/>
      <w:b/>
      <w:bCs/>
      <w:kern w:val="0"/>
      <w:sz w:val="24"/>
      <w:szCs w:val="24"/>
      <w:lang w:eastAsia="en-GB"/>
      <w14:ligatures w14:val="none"/>
    </w:rPr>
  </w:style>
  <w:style w:type="paragraph" w:customStyle="1" w:styleId="xl43842">
    <w:name w:val="xl43842"/>
    <w:basedOn w:val="Normal"/>
    <w:rsid w:val="00560745"/>
    <w:pPr>
      <w:spacing w:before="100" w:beforeAutospacing="1" w:after="100" w:afterAutospacing="1" w:line="240" w:lineRule="auto"/>
      <w:jc w:val="right"/>
    </w:pPr>
    <w:rPr>
      <w:rFonts w:ascii="Arial" w:eastAsia="Times New Roman" w:hAnsi="Arial" w:cs="Arial"/>
      <w:b/>
      <w:bCs/>
      <w:kern w:val="0"/>
      <w:sz w:val="20"/>
      <w:szCs w:val="20"/>
      <w:lang w:eastAsia="en-GB"/>
      <w14:ligatures w14:val="none"/>
    </w:rPr>
  </w:style>
  <w:style w:type="paragraph" w:customStyle="1" w:styleId="xl43843">
    <w:name w:val="xl43843"/>
    <w:basedOn w:val="Normal"/>
    <w:rsid w:val="00560745"/>
    <w:pPr>
      <w:pBdr>
        <w:bottom w:val="single" w:sz="8" w:space="0" w:color="auto"/>
      </w:pBdr>
      <w:spacing w:before="100" w:beforeAutospacing="1" w:after="100" w:afterAutospacing="1" w:line="240" w:lineRule="auto"/>
      <w:jc w:val="right"/>
    </w:pPr>
    <w:rPr>
      <w:rFonts w:ascii="Arial" w:eastAsia="Times New Roman" w:hAnsi="Arial" w:cs="Arial"/>
      <w:b/>
      <w:bCs/>
      <w:kern w:val="0"/>
      <w:sz w:val="20"/>
      <w:szCs w:val="20"/>
      <w:lang w:eastAsia="en-GB"/>
      <w14:ligatures w14:val="none"/>
    </w:rPr>
  </w:style>
  <w:style w:type="paragraph" w:customStyle="1" w:styleId="xl43844">
    <w:name w:val="xl43844"/>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45">
    <w:name w:val="xl43845"/>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46">
    <w:name w:val="xl43846"/>
    <w:basedOn w:val="Normal"/>
    <w:rsid w:val="00560745"/>
    <w:pPr>
      <w:spacing w:before="100" w:beforeAutospacing="1" w:after="100" w:afterAutospacing="1" w:line="240" w:lineRule="auto"/>
    </w:pPr>
    <w:rPr>
      <w:rFonts w:ascii="Arial" w:eastAsia="Times New Roman" w:hAnsi="Arial" w:cs="Arial"/>
      <w:kern w:val="0"/>
      <w:sz w:val="24"/>
      <w:szCs w:val="24"/>
      <w:lang w:eastAsia="en-GB"/>
      <w14:ligatures w14:val="none"/>
    </w:rPr>
  </w:style>
  <w:style w:type="paragraph" w:customStyle="1" w:styleId="xl43847">
    <w:name w:val="xl43847"/>
    <w:basedOn w:val="Normal"/>
    <w:rsid w:val="00560745"/>
    <w:pPr>
      <w:pBdr>
        <w:top w:val="single" w:sz="4" w:space="0" w:color="auto"/>
        <w:bottom w:val="single" w:sz="8" w:space="0" w:color="auto"/>
      </w:pBd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48">
    <w:name w:val="xl43848"/>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49">
    <w:name w:val="xl43849"/>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850">
    <w:name w:val="xl43850"/>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51">
    <w:name w:val="xl43851"/>
    <w:basedOn w:val="Normal"/>
    <w:rsid w:val="00560745"/>
    <w:pPr>
      <w:pBdr>
        <w:top w:val="single" w:sz="4" w:space="0" w:color="auto"/>
        <w:bottom w:val="single" w:sz="8" w:space="0" w:color="auto"/>
      </w:pBd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52">
    <w:name w:val="xl43852"/>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53">
    <w:name w:val="xl43853"/>
    <w:basedOn w:val="Normal"/>
    <w:rsid w:val="00560745"/>
    <w:pPr>
      <w:spacing w:before="100" w:beforeAutospacing="1" w:after="100" w:afterAutospacing="1" w:line="240" w:lineRule="auto"/>
      <w:ind w:firstLineChars="100" w:firstLine="100"/>
    </w:pPr>
    <w:rPr>
      <w:rFonts w:ascii="Arial" w:eastAsia="Times New Roman" w:hAnsi="Arial" w:cs="Arial"/>
      <w:b/>
      <w:bCs/>
      <w:color w:val="A6A6A6"/>
      <w:kern w:val="0"/>
      <w:sz w:val="20"/>
      <w:szCs w:val="20"/>
      <w:lang w:eastAsia="en-GB"/>
      <w14:ligatures w14:val="none"/>
    </w:rPr>
  </w:style>
  <w:style w:type="paragraph" w:customStyle="1" w:styleId="xl43854">
    <w:name w:val="xl43854"/>
    <w:basedOn w:val="Normal"/>
    <w:rsid w:val="00560745"/>
    <w:pPr>
      <w:spacing w:before="100" w:beforeAutospacing="1" w:after="100" w:afterAutospacing="1" w:line="240" w:lineRule="auto"/>
      <w:jc w:val="center"/>
    </w:pPr>
    <w:rPr>
      <w:rFonts w:ascii="Arial" w:eastAsia="Times New Roman" w:hAnsi="Arial" w:cs="Arial"/>
      <w:b/>
      <w:bCs/>
      <w:kern w:val="0"/>
      <w:sz w:val="20"/>
      <w:szCs w:val="20"/>
      <w:lang w:eastAsia="en-GB"/>
      <w14:ligatures w14:val="none"/>
    </w:rPr>
  </w:style>
  <w:style w:type="paragraph" w:customStyle="1" w:styleId="xl43855">
    <w:name w:val="xl43855"/>
    <w:basedOn w:val="Normal"/>
    <w:rsid w:val="00560745"/>
    <w:pPr>
      <w:spacing w:before="100" w:beforeAutospacing="1" w:after="100" w:afterAutospacing="1" w:line="240" w:lineRule="auto"/>
      <w:jc w:val="right"/>
    </w:pPr>
    <w:rPr>
      <w:rFonts w:ascii="Arial" w:eastAsia="Times New Roman" w:hAnsi="Arial" w:cs="Arial"/>
      <w:kern w:val="0"/>
      <w:sz w:val="20"/>
      <w:szCs w:val="20"/>
      <w:lang w:eastAsia="en-GB"/>
      <w14:ligatures w14:val="none"/>
    </w:rPr>
  </w:style>
  <w:style w:type="paragraph" w:customStyle="1" w:styleId="xl43856">
    <w:name w:val="xl43856"/>
    <w:basedOn w:val="Normal"/>
    <w:rsid w:val="00560745"/>
    <w:pPr>
      <w:spacing w:before="100" w:beforeAutospacing="1" w:after="100" w:afterAutospacing="1" w:line="240" w:lineRule="auto"/>
    </w:pPr>
    <w:rPr>
      <w:rFonts w:ascii="Arial" w:eastAsia="Times New Roman" w:hAnsi="Arial" w:cs="Arial"/>
      <w:color w:val="FFFFFF"/>
      <w:kern w:val="0"/>
      <w:sz w:val="24"/>
      <w:szCs w:val="24"/>
      <w:lang w:eastAsia="en-GB"/>
      <w14:ligatures w14:val="none"/>
    </w:rPr>
  </w:style>
  <w:style w:type="paragraph" w:customStyle="1" w:styleId="xl43857">
    <w:name w:val="xl43857"/>
    <w:basedOn w:val="Normal"/>
    <w:rsid w:val="00560745"/>
    <w:pPr>
      <w:pBdr>
        <w:top w:val="single" w:sz="4" w:space="0" w:color="auto"/>
        <w:bottom w:val="single" w:sz="8" w:space="0" w:color="auto"/>
      </w:pBd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58">
    <w:name w:val="xl43858"/>
    <w:basedOn w:val="Normal"/>
    <w:rsid w:val="00560745"/>
    <w:pPr>
      <w:spacing w:before="100" w:beforeAutospacing="1" w:after="100" w:afterAutospacing="1" w:line="240" w:lineRule="auto"/>
      <w:jc w:val="right"/>
    </w:pPr>
    <w:rPr>
      <w:rFonts w:ascii="Arial" w:eastAsia="Times New Roman" w:hAnsi="Arial" w:cs="Arial"/>
      <w:kern w:val="0"/>
      <w:sz w:val="20"/>
      <w:szCs w:val="20"/>
      <w:lang w:eastAsia="en-GB"/>
      <w14:ligatures w14:val="none"/>
    </w:rPr>
  </w:style>
  <w:style w:type="paragraph" w:customStyle="1" w:styleId="xl43859">
    <w:name w:val="xl43859"/>
    <w:basedOn w:val="Normal"/>
    <w:rsid w:val="00560745"/>
    <w:pPr>
      <w:spacing w:before="100" w:beforeAutospacing="1" w:after="100" w:afterAutospacing="1" w:line="240" w:lineRule="auto"/>
      <w:jc w:val="right"/>
    </w:pPr>
    <w:rPr>
      <w:rFonts w:ascii="Arial" w:eastAsia="Times New Roman" w:hAnsi="Arial" w:cs="Arial"/>
      <w:b/>
      <w:bCs/>
      <w:kern w:val="0"/>
      <w:sz w:val="20"/>
      <w:szCs w:val="20"/>
      <w:lang w:eastAsia="en-GB"/>
      <w14:ligatures w14:val="none"/>
    </w:rPr>
  </w:style>
  <w:style w:type="paragraph" w:customStyle="1" w:styleId="xl43860">
    <w:name w:val="xl43860"/>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61">
    <w:name w:val="xl43861"/>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62">
    <w:name w:val="xl43862"/>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63">
    <w:name w:val="xl43863"/>
    <w:basedOn w:val="Normal"/>
    <w:rsid w:val="00560745"/>
    <w:pPr>
      <w:pBdr>
        <w:top w:val="single" w:sz="4" w:space="0" w:color="auto"/>
        <w:bottom w:val="single" w:sz="8" w:space="0" w:color="auto"/>
      </w:pBd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64">
    <w:name w:val="xl43864"/>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65">
    <w:name w:val="xl43865"/>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66">
    <w:name w:val="xl43866"/>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67">
    <w:name w:val="xl43867"/>
    <w:basedOn w:val="Normal"/>
    <w:rsid w:val="00560745"/>
    <w:pPr>
      <w:spacing w:before="100" w:beforeAutospacing="1" w:after="100" w:afterAutospacing="1" w:line="240" w:lineRule="auto"/>
      <w:jc w:val="right"/>
    </w:pPr>
    <w:rPr>
      <w:rFonts w:ascii="Arial" w:eastAsia="Times New Roman" w:hAnsi="Arial" w:cs="Arial"/>
      <w:b/>
      <w:bCs/>
      <w:kern w:val="0"/>
      <w:sz w:val="20"/>
      <w:szCs w:val="20"/>
      <w:lang w:eastAsia="en-GB"/>
      <w14:ligatures w14:val="none"/>
    </w:rPr>
  </w:style>
  <w:style w:type="paragraph" w:customStyle="1" w:styleId="xl43868">
    <w:name w:val="xl43868"/>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69">
    <w:name w:val="xl43869"/>
    <w:basedOn w:val="Normal"/>
    <w:rsid w:val="00560745"/>
    <w:pPr>
      <w:spacing w:before="100" w:beforeAutospacing="1" w:after="100" w:afterAutospacing="1" w:line="240" w:lineRule="auto"/>
      <w:jc w:val="right"/>
    </w:pPr>
    <w:rPr>
      <w:rFonts w:ascii="Arial" w:eastAsia="Times New Roman" w:hAnsi="Arial" w:cs="Arial"/>
      <w:kern w:val="0"/>
      <w:sz w:val="20"/>
      <w:szCs w:val="20"/>
      <w:lang w:eastAsia="en-GB"/>
      <w14:ligatures w14:val="none"/>
    </w:rPr>
  </w:style>
  <w:style w:type="paragraph" w:customStyle="1" w:styleId="xl43870">
    <w:name w:val="xl43870"/>
    <w:basedOn w:val="Normal"/>
    <w:rsid w:val="00560745"/>
    <w:pPr>
      <w:pBdr>
        <w:top w:val="single" w:sz="4" w:space="0" w:color="auto"/>
        <w:bottom w:val="single" w:sz="8" w:space="0" w:color="auto"/>
      </w:pBd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71">
    <w:name w:val="xl43871"/>
    <w:basedOn w:val="Normal"/>
    <w:rsid w:val="00560745"/>
    <w:pPr>
      <w:spacing w:before="100" w:beforeAutospacing="1" w:after="100" w:afterAutospacing="1" w:line="240" w:lineRule="auto"/>
      <w:ind w:firstLineChars="100" w:firstLine="100"/>
    </w:pPr>
    <w:rPr>
      <w:rFonts w:ascii="Arial" w:eastAsia="Times New Roman" w:hAnsi="Arial" w:cs="Arial"/>
      <w:b/>
      <w:bCs/>
      <w:color w:val="FF0000"/>
      <w:kern w:val="0"/>
      <w:sz w:val="24"/>
      <w:szCs w:val="24"/>
      <w:lang w:eastAsia="en-GB"/>
      <w14:ligatures w14:val="none"/>
    </w:rPr>
  </w:style>
  <w:style w:type="paragraph" w:customStyle="1" w:styleId="xl43872">
    <w:name w:val="xl43872"/>
    <w:basedOn w:val="Normal"/>
    <w:rsid w:val="00560745"/>
    <w:pPr>
      <w:spacing w:before="100" w:beforeAutospacing="1" w:after="100" w:afterAutospacing="1" w:line="240" w:lineRule="auto"/>
      <w:ind w:firstLineChars="100" w:firstLine="100"/>
    </w:pPr>
    <w:rPr>
      <w:rFonts w:ascii="Arial" w:eastAsia="Times New Roman" w:hAnsi="Arial" w:cs="Arial"/>
      <w:b/>
      <w:bCs/>
      <w:color w:val="FF0000"/>
      <w:kern w:val="0"/>
      <w:sz w:val="20"/>
      <w:szCs w:val="20"/>
      <w:lang w:eastAsia="en-GB"/>
      <w14:ligatures w14:val="none"/>
    </w:rPr>
  </w:style>
  <w:style w:type="paragraph" w:customStyle="1" w:styleId="xl43873">
    <w:name w:val="xl43873"/>
    <w:basedOn w:val="Normal"/>
    <w:rsid w:val="00560745"/>
    <w:pPr>
      <w:spacing w:before="100" w:beforeAutospacing="1" w:after="100" w:afterAutospacing="1" w:line="240" w:lineRule="auto"/>
      <w:ind w:firstLineChars="100" w:firstLine="100"/>
    </w:pPr>
    <w:rPr>
      <w:rFonts w:ascii="Arial" w:eastAsia="Times New Roman" w:hAnsi="Arial" w:cs="Arial"/>
      <w:b/>
      <w:bCs/>
      <w:color w:val="FF0000"/>
      <w:kern w:val="0"/>
      <w:sz w:val="20"/>
      <w:szCs w:val="20"/>
      <w:lang w:eastAsia="en-GB"/>
      <w14:ligatures w14:val="none"/>
    </w:rPr>
  </w:style>
  <w:style w:type="paragraph" w:customStyle="1" w:styleId="xl43874">
    <w:name w:val="xl43874"/>
    <w:basedOn w:val="Normal"/>
    <w:rsid w:val="00560745"/>
    <w:pPr>
      <w:spacing w:before="100" w:beforeAutospacing="1" w:after="100" w:afterAutospacing="1" w:line="240" w:lineRule="auto"/>
      <w:ind w:firstLineChars="100" w:firstLine="100"/>
    </w:pPr>
    <w:rPr>
      <w:rFonts w:ascii="Arial" w:eastAsia="Times New Roman" w:hAnsi="Arial" w:cs="Arial"/>
      <w:b/>
      <w:bCs/>
      <w:color w:val="FF0000"/>
      <w:kern w:val="0"/>
      <w:sz w:val="20"/>
      <w:szCs w:val="20"/>
      <w:lang w:eastAsia="en-GB"/>
      <w14:ligatures w14:val="none"/>
    </w:rPr>
  </w:style>
  <w:style w:type="paragraph" w:customStyle="1" w:styleId="xl43875">
    <w:name w:val="xl43875"/>
    <w:basedOn w:val="Normal"/>
    <w:rsid w:val="00560745"/>
    <w:pPr>
      <w:spacing w:before="100" w:beforeAutospacing="1" w:after="100" w:afterAutospacing="1" w:line="240" w:lineRule="auto"/>
      <w:jc w:val="right"/>
    </w:pPr>
    <w:rPr>
      <w:rFonts w:ascii="Arial" w:eastAsia="Times New Roman" w:hAnsi="Arial" w:cs="Arial"/>
      <w:b/>
      <w:bCs/>
      <w:color w:val="FF0000"/>
      <w:kern w:val="0"/>
      <w:sz w:val="20"/>
      <w:szCs w:val="20"/>
      <w:lang w:eastAsia="en-GB"/>
      <w14:ligatures w14:val="none"/>
    </w:rPr>
  </w:style>
  <w:style w:type="paragraph" w:customStyle="1" w:styleId="xl43876">
    <w:name w:val="xl43876"/>
    <w:basedOn w:val="Normal"/>
    <w:rsid w:val="00560745"/>
    <w:pPr>
      <w:pBdr>
        <w:bottom w:val="single" w:sz="4" w:space="0" w:color="auto"/>
      </w:pBdr>
      <w:spacing w:before="100" w:beforeAutospacing="1" w:after="100" w:afterAutospacing="1" w:line="240" w:lineRule="auto"/>
      <w:jc w:val="right"/>
    </w:pPr>
    <w:rPr>
      <w:rFonts w:ascii="Arial" w:eastAsia="Times New Roman" w:hAnsi="Arial" w:cs="Arial"/>
      <w:b/>
      <w:bCs/>
      <w:color w:val="FF0000"/>
      <w:kern w:val="0"/>
      <w:sz w:val="20"/>
      <w:szCs w:val="20"/>
      <w:lang w:eastAsia="en-GB"/>
      <w14:ligatures w14:val="none"/>
    </w:rPr>
  </w:style>
  <w:style w:type="paragraph" w:customStyle="1" w:styleId="xl43877">
    <w:name w:val="xl43877"/>
    <w:basedOn w:val="Normal"/>
    <w:rsid w:val="00560745"/>
    <w:pPr>
      <w:spacing w:before="100" w:beforeAutospacing="1" w:after="100" w:afterAutospacing="1" w:line="240" w:lineRule="auto"/>
      <w:jc w:val="right"/>
    </w:pPr>
    <w:rPr>
      <w:rFonts w:ascii="Arial" w:eastAsia="Times New Roman" w:hAnsi="Arial" w:cs="Arial"/>
      <w:color w:val="FF0000"/>
      <w:kern w:val="0"/>
      <w:sz w:val="20"/>
      <w:szCs w:val="20"/>
      <w:lang w:eastAsia="en-GB"/>
      <w14:ligatures w14:val="none"/>
    </w:rPr>
  </w:style>
  <w:style w:type="paragraph" w:customStyle="1" w:styleId="xl43878">
    <w:name w:val="xl43878"/>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879">
    <w:name w:val="xl43879"/>
    <w:basedOn w:val="Normal"/>
    <w:rsid w:val="00560745"/>
    <w:pPr>
      <w:pBdr>
        <w:top w:val="single" w:sz="4" w:space="0" w:color="auto"/>
        <w:bottom w:val="single" w:sz="8" w:space="0" w:color="auto"/>
      </w:pBd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880">
    <w:name w:val="xl43880"/>
    <w:basedOn w:val="Normal"/>
    <w:rsid w:val="00560745"/>
    <w:pPr>
      <w:pBdr>
        <w:bottom w:val="single" w:sz="4" w:space="0" w:color="auto"/>
      </w:pBdr>
      <w:spacing w:before="100" w:beforeAutospacing="1" w:after="100" w:afterAutospacing="1" w:line="240" w:lineRule="auto"/>
      <w:jc w:val="right"/>
    </w:pPr>
    <w:rPr>
      <w:rFonts w:ascii="Arial" w:eastAsia="Times New Roman" w:hAnsi="Arial" w:cs="Arial"/>
      <w:color w:val="FF0000"/>
      <w:kern w:val="0"/>
      <w:sz w:val="20"/>
      <w:szCs w:val="20"/>
      <w:lang w:eastAsia="en-GB"/>
      <w14:ligatures w14:val="none"/>
    </w:rPr>
  </w:style>
  <w:style w:type="paragraph" w:customStyle="1" w:styleId="xl43881">
    <w:name w:val="xl43881"/>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882">
    <w:name w:val="xl43882"/>
    <w:basedOn w:val="Normal"/>
    <w:rsid w:val="00560745"/>
    <w:pPr>
      <w:spacing w:before="100" w:beforeAutospacing="1" w:after="100" w:afterAutospacing="1" w:line="240" w:lineRule="auto"/>
      <w:jc w:val="right"/>
    </w:pPr>
    <w:rPr>
      <w:rFonts w:ascii="Arial" w:eastAsia="Times New Roman" w:hAnsi="Arial" w:cs="Arial"/>
      <w:color w:val="FF0000"/>
      <w:kern w:val="0"/>
      <w:sz w:val="20"/>
      <w:szCs w:val="20"/>
      <w:lang w:eastAsia="en-GB"/>
      <w14:ligatures w14:val="none"/>
    </w:rPr>
  </w:style>
  <w:style w:type="paragraph" w:customStyle="1" w:styleId="xl43883">
    <w:name w:val="xl43883"/>
    <w:basedOn w:val="Normal"/>
    <w:rsid w:val="0056074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43884">
    <w:name w:val="xl43884"/>
    <w:basedOn w:val="Normal"/>
    <w:rsid w:val="00560745"/>
    <w:pPr>
      <w:spacing w:before="100" w:beforeAutospacing="1" w:after="100" w:afterAutospacing="1" w:line="240" w:lineRule="auto"/>
      <w:ind w:firstLineChars="100" w:firstLine="100"/>
    </w:pPr>
    <w:rPr>
      <w:rFonts w:ascii="Times New Roman" w:eastAsia="Times New Roman" w:hAnsi="Times New Roman" w:cs="Times New Roman"/>
      <w:b/>
      <w:bCs/>
      <w:color w:val="A6A6A6"/>
      <w:kern w:val="0"/>
      <w:sz w:val="20"/>
      <w:szCs w:val="20"/>
      <w:lang w:eastAsia="en-GB"/>
      <w14:ligatures w14:val="none"/>
    </w:rPr>
  </w:style>
  <w:style w:type="paragraph" w:customStyle="1" w:styleId="xl43885">
    <w:name w:val="xl43885"/>
    <w:basedOn w:val="Normal"/>
    <w:rsid w:val="00560745"/>
    <w:pPr>
      <w:spacing w:before="100" w:beforeAutospacing="1" w:after="100" w:afterAutospacing="1" w:line="240" w:lineRule="auto"/>
      <w:jc w:val="center"/>
    </w:pPr>
    <w:rPr>
      <w:rFonts w:ascii="Arial" w:eastAsia="Times New Roman" w:hAnsi="Arial" w:cs="Arial"/>
      <w:b/>
      <w:bCs/>
      <w:kern w:val="0"/>
      <w:sz w:val="20"/>
      <w:szCs w:val="20"/>
      <w:lang w:eastAsia="en-GB"/>
      <w14:ligatures w14:val="none"/>
    </w:rPr>
  </w:style>
  <w:style w:type="paragraph" w:customStyle="1" w:styleId="xl43886">
    <w:name w:val="xl43886"/>
    <w:basedOn w:val="Normal"/>
    <w:rsid w:val="00560745"/>
    <w:pPr>
      <w:spacing w:before="100" w:beforeAutospacing="1" w:after="100" w:afterAutospacing="1" w:line="240" w:lineRule="auto"/>
      <w:jc w:val="center"/>
    </w:pPr>
    <w:rPr>
      <w:rFonts w:ascii="Arial" w:eastAsia="Times New Roman" w:hAnsi="Arial" w:cs="Arial"/>
      <w:b/>
      <w:bCs/>
      <w:kern w:val="0"/>
      <w:sz w:val="20"/>
      <w:szCs w:val="20"/>
      <w:lang w:eastAsia="en-GB"/>
      <w14:ligatures w14:val="none"/>
    </w:rPr>
  </w:style>
  <w:style w:type="paragraph" w:customStyle="1" w:styleId="xl43887">
    <w:name w:val="xl43887"/>
    <w:basedOn w:val="Normal"/>
    <w:rsid w:val="00560745"/>
    <w:pPr>
      <w:pBdr>
        <w:bottom w:val="single" w:sz="8" w:space="0" w:color="auto"/>
      </w:pBdr>
      <w:spacing w:before="100" w:beforeAutospacing="1" w:after="100" w:afterAutospacing="1" w:line="240" w:lineRule="auto"/>
      <w:jc w:val="right"/>
    </w:pPr>
    <w:rPr>
      <w:rFonts w:ascii="Arial" w:eastAsia="Times New Roman" w:hAnsi="Arial" w:cs="Arial"/>
      <w:kern w:val="0"/>
      <w:sz w:val="20"/>
      <w:szCs w:val="20"/>
      <w:lang w:eastAsia="en-GB"/>
      <w14:ligatures w14:val="none"/>
    </w:rPr>
  </w:style>
  <w:style w:type="paragraph" w:customStyle="1" w:styleId="xl43888">
    <w:name w:val="xl43888"/>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89">
    <w:name w:val="xl43889"/>
    <w:basedOn w:val="Normal"/>
    <w:rsid w:val="00560745"/>
    <w:pPr>
      <w:spacing w:before="100" w:beforeAutospacing="1" w:after="100" w:afterAutospacing="1" w:line="240" w:lineRule="auto"/>
      <w:ind w:firstLineChars="100" w:firstLine="100"/>
    </w:pPr>
    <w:rPr>
      <w:rFonts w:ascii="Arial" w:eastAsia="Times New Roman" w:hAnsi="Arial" w:cs="Arial"/>
      <w:kern w:val="0"/>
      <w:sz w:val="20"/>
      <w:szCs w:val="20"/>
      <w:lang w:eastAsia="en-GB"/>
      <w14:ligatures w14:val="none"/>
    </w:rPr>
  </w:style>
  <w:style w:type="paragraph" w:customStyle="1" w:styleId="xl43890">
    <w:name w:val="xl43890"/>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91">
    <w:name w:val="xl43891"/>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92">
    <w:name w:val="xl43892"/>
    <w:basedOn w:val="Normal"/>
    <w:rsid w:val="00560745"/>
    <w:pPr>
      <w:spacing w:before="100" w:beforeAutospacing="1" w:after="100" w:afterAutospacing="1" w:line="240" w:lineRule="auto"/>
    </w:pPr>
    <w:rPr>
      <w:rFonts w:ascii="Arial" w:eastAsia="Times New Roman" w:hAnsi="Arial" w:cs="Arial"/>
      <w:b/>
      <w:bCs/>
      <w:kern w:val="0"/>
      <w:sz w:val="24"/>
      <w:szCs w:val="24"/>
      <w:lang w:eastAsia="en-GB"/>
      <w14:ligatures w14:val="none"/>
    </w:rPr>
  </w:style>
  <w:style w:type="paragraph" w:customStyle="1" w:styleId="xl43893">
    <w:name w:val="xl43893"/>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94">
    <w:name w:val="xl43894"/>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95">
    <w:name w:val="xl43895"/>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96">
    <w:name w:val="xl43896"/>
    <w:basedOn w:val="Normal"/>
    <w:rsid w:val="00560745"/>
    <w:pPr>
      <w:spacing w:before="100" w:beforeAutospacing="1" w:after="100" w:afterAutospacing="1" w:line="240" w:lineRule="auto"/>
    </w:pPr>
    <w:rPr>
      <w:rFonts w:ascii="Arial" w:eastAsia="Times New Roman" w:hAnsi="Arial" w:cs="Arial"/>
      <w:b/>
      <w:bCs/>
      <w:color w:val="FF0000"/>
      <w:kern w:val="0"/>
      <w:sz w:val="24"/>
      <w:szCs w:val="24"/>
      <w:lang w:eastAsia="en-GB"/>
      <w14:ligatures w14:val="none"/>
    </w:rPr>
  </w:style>
  <w:style w:type="paragraph" w:customStyle="1" w:styleId="xl43897">
    <w:name w:val="xl43897"/>
    <w:basedOn w:val="Normal"/>
    <w:rsid w:val="00560745"/>
    <w:pPr>
      <w:spacing w:before="100" w:beforeAutospacing="1" w:after="100" w:afterAutospacing="1" w:line="240" w:lineRule="auto"/>
    </w:pPr>
    <w:rPr>
      <w:rFonts w:ascii="Arial" w:eastAsia="Times New Roman" w:hAnsi="Arial" w:cs="Arial"/>
      <w:b/>
      <w:bCs/>
      <w:color w:val="FF0000"/>
      <w:kern w:val="0"/>
      <w:sz w:val="20"/>
      <w:szCs w:val="20"/>
      <w:lang w:eastAsia="en-GB"/>
      <w14:ligatures w14:val="none"/>
    </w:rPr>
  </w:style>
  <w:style w:type="paragraph" w:customStyle="1" w:styleId="xl43898">
    <w:name w:val="xl43898"/>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899">
    <w:name w:val="xl43899"/>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900">
    <w:name w:val="xl43900"/>
    <w:basedOn w:val="Normal"/>
    <w:rsid w:val="00560745"/>
    <w:pPr>
      <w:spacing w:before="100" w:beforeAutospacing="1" w:after="100" w:afterAutospacing="1" w:line="240" w:lineRule="auto"/>
    </w:pPr>
    <w:rPr>
      <w:rFonts w:ascii="Arial" w:eastAsia="Times New Roman" w:hAnsi="Arial" w:cs="Arial"/>
      <w:b/>
      <w:bCs/>
      <w:color w:val="FF0000"/>
      <w:kern w:val="0"/>
      <w:sz w:val="20"/>
      <w:szCs w:val="20"/>
      <w:lang w:eastAsia="en-GB"/>
      <w14:ligatures w14:val="none"/>
    </w:rPr>
  </w:style>
  <w:style w:type="paragraph" w:customStyle="1" w:styleId="xl43901">
    <w:name w:val="xl43901"/>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902">
    <w:name w:val="xl43902"/>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903">
    <w:name w:val="xl43903"/>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904">
    <w:name w:val="xl43904"/>
    <w:basedOn w:val="Normal"/>
    <w:rsid w:val="00560745"/>
    <w:pPr>
      <w:spacing w:before="100" w:beforeAutospacing="1" w:after="100" w:afterAutospacing="1" w:line="240" w:lineRule="auto"/>
      <w:jc w:val="both"/>
    </w:pPr>
    <w:rPr>
      <w:rFonts w:ascii="Arial" w:eastAsia="Times New Roman" w:hAnsi="Arial" w:cs="Arial"/>
      <w:kern w:val="0"/>
      <w:sz w:val="20"/>
      <w:szCs w:val="20"/>
      <w:lang w:eastAsia="en-GB"/>
      <w14:ligatures w14:val="none"/>
    </w:rPr>
  </w:style>
  <w:style w:type="paragraph" w:customStyle="1" w:styleId="xl43905">
    <w:name w:val="xl43905"/>
    <w:basedOn w:val="Normal"/>
    <w:rsid w:val="0056074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906">
    <w:name w:val="xl43906"/>
    <w:basedOn w:val="Normal"/>
    <w:rsid w:val="0056074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07">
    <w:name w:val="xl43907"/>
    <w:basedOn w:val="Normal"/>
    <w:rsid w:val="00560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08">
    <w:name w:val="xl43908"/>
    <w:basedOn w:val="Normal"/>
    <w:rsid w:val="0056074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909">
    <w:name w:val="xl43909"/>
    <w:basedOn w:val="Normal"/>
    <w:rsid w:val="0056074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910">
    <w:name w:val="xl43910"/>
    <w:basedOn w:val="Normal"/>
    <w:rsid w:val="00560745"/>
    <w:pPr>
      <w:spacing w:before="100" w:beforeAutospacing="1" w:after="100" w:afterAutospacing="1" w:line="240" w:lineRule="auto"/>
    </w:pPr>
    <w:rPr>
      <w:rFonts w:ascii="Arial" w:eastAsia="Times New Roman" w:hAnsi="Arial" w:cs="Arial"/>
      <w:kern w:val="0"/>
      <w:sz w:val="20"/>
      <w:szCs w:val="20"/>
      <w:u w:val="single"/>
      <w:lang w:eastAsia="en-GB"/>
      <w14:ligatures w14:val="none"/>
    </w:rPr>
  </w:style>
  <w:style w:type="paragraph" w:customStyle="1" w:styleId="xl43911">
    <w:name w:val="xl43911"/>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12">
    <w:name w:val="xl43912"/>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13">
    <w:name w:val="xl43913"/>
    <w:basedOn w:val="Normal"/>
    <w:rsid w:val="00560745"/>
    <w:pPr>
      <w:spacing w:before="100" w:beforeAutospacing="1" w:after="100" w:afterAutospacing="1" w:line="240" w:lineRule="auto"/>
    </w:pPr>
    <w:rPr>
      <w:rFonts w:ascii="Arial" w:eastAsia="Times New Roman" w:hAnsi="Arial" w:cs="Arial"/>
      <w:kern w:val="0"/>
      <w:sz w:val="20"/>
      <w:szCs w:val="20"/>
      <w:u w:val="single"/>
      <w:lang w:eastAsia="en-GB"/>
      <w14:ligatures w14:val="none"/>
    </w:rPr>
  </w:style>
  <w:style w:type="paragraph" w:customStyle="1" w:styleId="xl43914">
    <w:name w:val="xl43914"/>
    <w:basedOn w:val="Normal"/>
    <w:rsid w:val="00560745"/>
    <w:pPr>
      <w:spacing w:before="100" w:beforeAutospacing="1" w:after="100" w:afterAutospacing="1" w:line="240" w:lineRule="auto"/>
    </w:pPr>
    <w:rPr>
      <w:rFonts w:ascii="Arial" w:eastAsia="Times New Roman" w:hAnsi="Arial" w:cs="Arial"/>
      <w:b/>
      <w:bCs/>
      <w:kern w:val="0"/>
      <w:sz w:val="24"/>
      <w:szCs w:val="24"/>
      <w:lang w:eastAsia="en-GB"/>
      <w14:ligatures w14:val="none"/>
    </w:rPr>
  </w:style>
  <w:style w:type="paragraph" w:customStyle="1" w:styleId="xl43915">
    <w:name w:val="xl43915"/>
    <w:basedOn w:val="Normal"/>
    <w:rsid w:val="00560745"/>
    <w:pPr>
      <w:pBdr>
        <w:bottom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916">
    <w:name w:val="xl43916"/>
    <w:basedOn w:val="Normal"/>
    <w:rsid w:val="00560745"/>
    <w:pPr>
      <w:pBdr>
        <w:top w:val="single" w:sz="4" w:space="0" w:color="auto"/>
        <w:bottom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17">
    <w:name w:val="xl43917"/>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18">
    <w:name w:val="xl43918"/>
    <w:basedOn w:val="Normal"/>
    <w:rsid w:val="00560745"/>
    <w:pPr>
      <w:spacing w:before="100" w:beforeAutospacing="1" w:after="100" w:afterAutospacing="1" w:line="240" w:lineRule="auto"/>
    </w:pPr>
    <w:rPr>
      <w:rFonts w:ascii="Arial" w:eastAsia="Times New Roman" w:hAnsi="Arial" w:cs="Arial"/>
      <w:b/>
      <w:bCs/>
      <w:kern w:val="0"/>
      <w:sz w:val="24"/>
      <w:szCs w:val="24"/>
      <w:lang w:eastAsia="en-GB"/>
      <w14:ligatures w14:val="none"/>
    </w:rPr>
  </w:style>
  <w:style w:type="paragraph" w:customStyle="1" w:styleId="xl43919">
    <w:name w:val="xl43919"/>
    <w:basedOn w:val="Normal"/>
    <w:rsid w:val="00560745"/>
    <w:pPr>
      <w:spacing w:before="100" w:beforeAutospacing="1" w:after="100" w:afterAutospacing="1" w:line="240" w:lineRule="auto"/>
      <w:jc w:val="both"/>
    </w:pPr>
    <w:rPr>
      <w:rFonts w:ascii="Arial" w:eastAsia="Times New Roman" w:hAnsi="Arial" w:cs="Arial"/>
      <w:kern w:val="0"/>
      <w:sz w:val="20"/>
      <w:szCs w:val="20"/>
      <w:lang w:eastAsia="en-GB"/>
      <w14:ligatures w14:val="none"/>
    </w:rPr>
  </w:style>
  <w:style w:type="paragraph" w:customStyle="1" w:styleId="xl43920">
    <w:name w:val="xl43920"/>
    <w:basedOn w:val="Normal"/>
    <w:rsid w:val="00560745"/>
    <w:pPr>
      <w:shd w:val="clear" w:color="auto" w:fill="808080"/>
      <w:spacing w:before="100" w:beforeAutospacing="1" w:after="100" w:afterAutospacing="1" w:line="240" w:lineRule="auto"/>
    </w:pPr>
    <w:rPr>
      <w:rFonts w:ascii="Arial" w:eastAsia="Times New Roman" w:hAnsi="Arial" w:cs="Arial"/>
      <w:i/>
      <w:iCs/>
      <w:kern w:val="0"/>
      <w:sz w:val="20"/>
      <w:szCs w:val="20"/>
      <w:lang w:eastAsia="en-GB"/>
      <w14:ligatures w14:val="none"/>
    </w:rPr>
  </w:style>
  <w:style w:type="paragraph" w:customStyle="1" w:styleId="xl43921">
    <w:name w:val="xl43921"/>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922">
    <w:name w:val="xl43922"/>
    <w:basedOn w:val="Normal"/>
    <w:rsid w:val="00560745"/>
    <w:pPr>
      <w:spacing w:before="100" w:beforeAutospacing="1" w:after="100" w:afterAutospacing="1" w:line="240" w:lineRule="auto"/>
    </w:pPr>
    <w:rPr>
      <w:rFonts w:ascii="Arial" w:eastAsia="Times New Roman" w:hAnsi="Arial" w:cs="Arial"/>
      <w:b/>
      <w:bCs/>
      <w:color w:val="FF0000"/>
      <w:kern w:val="0"/>
      <w:sz w:val="20"/>
      <w:szCs w:val="20"/>
      <w:lang w:eastAsia="en-GB"/>
      <w14:ligatures w14:val="none"/>
    </w:rPr>
  </w:style>
  <w:style w:type="paragraph" w:customStyle="1" w:styleId="xl43923">
    <w:name w:val="xl43923"/>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924">
    <w:name w:val="xl43924"/>
    <w:basedOn w:val="Normal"/>
    <w:rsid w:val="00560745"/>
    <w:pPr>
      <w:spacing w:before="100" w:beforeAutospacing="1" w:after="100" w:afterAutospacing="1" w:line="240" w:lineRule="auto"/>
    </w:pPr>
    <w:rPr>
      <w:rFonts w:ascii="Arial" w:eastAsia="Times New Roman" w:hAnsi="Arial" w:cs="Arial"/>
      <w:b/>
      <w:bCs/>
      <w:kern w:val="0"/>
      <w:sz w:val="24"/>
      <w:szCs w:val="24"/>
      <w:lang w:eastAsia="en-GB"/>
      <w14:ligatures w14:val="none"/>
    </w:rPr>
  </w:style>
  <w:style w:type="paragraph" w:customStyle="1" w:styleId="xl43925">
    <w:name w:val="xl43925"/>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926">
    <w:name w:val="xl43926"/>
    <w:basedOn w:val="Normal"/>
    <w:rsid w:val="0056074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27">
    <w:name w:val="xl43927"/>
    <w:basedOn w:val="Normal"/>
    <w:rsid w:val="00560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28">
    <w:name w:val="xl43928"/>
    <w:basedOn w:val="Normal"/>
    <w:rsid w:val="00560745"/>
    <w:pPr>
      <w:pBdr>
        <w:top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929">
    <w:name w:val="xl43929"/>
    <w:basedOn w:val="Normal"/>
    <w:rsid w:val="00560745"/>
    <w:pPr>
      <w:pBdr>
        <w:top w:val="single" w:sz="4" w:space="0" w:color="auto"/>
        <w:left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30">
    <w:name w:val="xl43930"/>
    <w:basedOn w:val="Normal"/>
    <w:rsid w:val="00560745"/>
    <w:pPr>
      <w:pBdr>
        <w:top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31">
    <w:name w:val="xl43931"/>
    <w:basedOn w:val="Normal"/>
    <w:rsid w:val="00560745"/>
    <w:pPr>
      <w:pBdr>
        <w:top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32">
    <w:name w:val="xl43932"/>
    <w:basedOn w:val="Normal"/>
    <w:rsid w:val="00560745"/>
    <w:pPr>
      <w:pBdr>
        <w:left w:val="single" w:sz="4" w:space="0" w:color="auto"/>
        <w:bottom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33">
    <w:name w:val="xl43933"/>
    <w:basedOn w:val="Normal"/>
    <w:rsid w:val="00560745"/>
    <w:pPr>
      <w:pBdr>
        <w:bottom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34">
    <w:name w:val="xl43934"/>
    <w:basedOn w:val="Normal"/>
    <w:rsid w:val="00560745"/>
    <w:pPr>
      <w:pBdr>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35">
    <w:name w:val="xl43935"/>
    <w:basedOn w:val="Normal"/>
    <w:rsid w:val="0056074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936">
    <w:name w:val="xl43936"/>
    <w:basedOn w:val="Normal"/>
    <w:rsid w:val="00560745"/>
    <w:pPr>
      <w:spacing w:before="100" w:beforeAutospacing="1" w:after="100" w:afterAutospacing="1" w:line="240" w:lineRule="auto"/>
    </w:pPr>
    <w:rPr>
      <w:rFonts w:ascii="Arial" w:eastAsia="Times New Roman" w:hAnsi="Arial" w:cs="Arial"/>
      <w:kern w:val="0"/>
      <w:sz w:val="20"/>
      <w:szCs w:val="20"/>
      <w:u w:val="single"/>
      <w:lang w:eastAsia="en-GB"/>
      <w14:ligatures w14:val="none"/>
    </w:rPr>
  </w:style>
  <w:style w:type="character" w:customStyle="1" w:styleId="Heading1Char">
    <w:name w:val="Heading 1 Char"/>
    <w:basedOn w:val="DefaultParagraphFont"/>
    <w:link w:val="Heading1"/>
    <w:uiPriority w:val="9"/>
    <w:rsid w:val="00AA73C5"/>
    <w:rPr>
      <w:rFonts w:ascii="Arial" w:eastAsiaTheme="majorEastAsia" w:hAnsi="Arial" w:cstheme="majorBidi"/>
      <w:b/>
      <w:color w:val="2F5496" w:themeColor="accent1" w:themeShade="BF"/>
      <w:sz w:val="36"/>
      <w:szCs w:val="32"/>
    </w:rPr>
  </w:style>
  <w:style w:type="character" w:customStyle="1" w:styleId="ui-provider">
    <w:name w:val="ui-provider"/>
    <w:basedOn w:val="DefaultParagraphFont"/>
    <w:rsid w:val="00DC2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801787">
      <w:bodyDiv w:val="1"/>
      <w:marLeft w:val="0"/>
      <w:marRight w:val="0"/>
      <w:marTop w:val="0"/>
      <w:marBottom w:val="0"/>
      <w:divBdr>
        <w:top w:val="none" w:sz="0" w:space="0" w:color="auto"/>
        <w:left w:val="none" w:sz="0" w:space="0" w:color="auto"/>
        <w:bottom w:val="none" w:sz="0" w:space="0" w:color="auto"/>
        <w:right w:val="none" w:sz="0" w:space="0" w:color="auto"/>
      </w:divBdr>
    </w:div>
    <w:div w:id="733746237">
      <w:bodyDiv w:val="1"/>
      <w:marLeft w:val="0"/>
      <w:marRight w:val="0"/>
      <w:marTop w:val="0"/>
      <w:marBottom w:val="0"/>
      <w:divBdr>
        <w:top w:val="none" w:sz="0" w:space="0" w:color="auto"/>
        <w:left w:val="none" w:sz="0" w:space="0" w:color="auto"/>
        <w:bottom w:val="none" w:sz="0" w:space="0" w:color="auto"/>
        <w:right w:val="none" w:sz="0" w:space="0" w:color="auto"/>
      </w:divBdr>
    </w:div>
    <w:div w:id="1291278174">
      <w:bodyDiv w:val="1"/>
      <w:marLeft w:val="0"/>
      <w:marRight w:val="0"/>
      <w:marTop w:val="0"/>
      <w:marBottom w:val="0"/>
      <w:divBdr>
        <w:top w:val="none" w:sz="0" w:space="0" w:color="auto"/>
        <w:left w:val="none" w:sz="0" w:space="0" w:color="auto"/>
        <w:bottom w:val="none" w:sz="0" w:space="0" w:color="auto"/>
        <w:right w:val="none" w:sz="0" w:space="0" w:color="auto"/>
      </w:divBdr>
    </w:div>
    <w:div w:id="1474375189">
      <w:bodyDiv w:val="1"/>
      <w:marLeft w:val="0"/>
      <w:marRight w:val="0"/>
      <w:marTop w:val="0"/>
      <w:marBottom w:val="0"/>
      <w:divBdr>
        <w:top w:val="none" w:sz="0" w:space="0" w:color="auto"/>
        <w:left w:val="none" w:sz="0" w:space="0" w:color="auto"/>
        <w:bottom w:val="none" w:sz="0" w:space="0" w:color="auto"/>
        <w:right w:val="none" w:sz="0" w:space="0" w:color="auto"/>
      </w:divBdr>
    </w:div>
    <w:div w:id="1797411512">
      <w:bodyDiv w:val="1"/>
      <w:marLeft w:val="0"/>
      <w:marRight w:val="0"/>
      <w:marTop w:val="0"/>
      <w:marBottom w:val="0"/>
      <w:divBdr>
        <w:top w:val="none" w:sz="0" w:space="0" w:color="auto"/>
        <w:left w:val="none" w:sz="0" w:space="0" w:color="auto"/>
        <w:bottom w:val="none" w:sz="0" w:space="0" w:color="auto"/>
        <w:right w:val="none" w:sz="0" w:space="0" w:color="auto"/>
      </w:divBdr>
    </w:div>
    <w:div w:id="205641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ionalarchives.gov.uk/doc/open-government-licence/version/3" TargetMode="External"/><Relationship Id="rId18" Type="http://schemas.openxmlformats.org/officeDocument/2006/relationships/image" Target="media/image5.png"/><Relationship Id="rId26" Type="http://schemas.openxmlformats.org/officeDocument/2006/relationships/hyperlink" Target="https://www.gov.uk/government/publications/insolvency-service-enforcement-outcomes-management-information/insolvency-service-enforcement-outcomes-2023-24" TargetMode="External"/><Relationship Id="rId39" Type="http://schemas.openxmlformats.org/officeDocument/2006/relationships/image" Target="media/image15.png"/><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https://www.gov.uk/government/publications/sustainable-procurement-in-government-guidance-to-the-flexible-framework" TargetMode="External"/><Relationship Id="rId47" Type="http://schemas.openxmlformats.org/officeDocument/2006/relationships/image" Target="media/image20.png"/><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customerserviceexcellence.uk.com/" TargetMode="Externa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s://www.gov.uk/guidance/director-information-hub" TargetMode="External"/><Relationship Id="rId37" Type="http://schemas.openxmlformats.org/officeDocument/2006/relationships/image" Target="media/image14.jpeg"/><Relationship Id="rId40" Type="http://schemas.openxmlformats.org/officeDocument/2006/relationships/hyperlink" Target="https://www.gov.uk/government/publications/greening-government-commitments-2021-to-2025/greening-government-commitments-reporting-requirements-for-2021-to-2025" TargetMode="External"/><Relationship Id="rId45" Type="http://schemas.openxmlformats.org/officeDocument/2006/relationships/image" Target="media/image18.jpeg"/><Relationship Id="rId53" Type="http://schemas.openxmlformats.org/officeDocument/2006/relationships/hyperlink" Target="http://www.civilservicepensionscheme.org.uk/about-us/resource-accounts/"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gov.uk/government/publications/classification-of-public-bodies-information-and-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official-documents" TargetMode="External"/><Relationship Id="rId22" Type="http://schemas.openxmlformats.org/officeDocument/2006/relationships/hyperlink" Target="https://www.gov.uk/government/consultations/implementation-of-two-uncitral-model-laws-on-insolvency" TargetMode="External"/><Relationship Id="rId27" Type="http://schemas.openxmlformats.org/officeDocument/2006/relationships/image" Target="media/image9.jpeg"/><Relationship Id="rId30" Type="http://schemas.openxmlformats.org/officeDocument/2006/relationships/hyperlink" Target="https://www.ombudsman.org.uk/organisations-we-investigate/complaint-standards/uk-central-government-complaint-standards/uk-central-government-complaint-standards-summary-expectations" TargetMode="External"/><Relationship Id="rId35" Type="http://schemas.openxmlformats.org/officeDocument/2006/relationships/chart" Target="charts/chart2.xml"/><Relationship Id="rId43" Type="http://schemas.openxmlformats.org/officeDocument/2006/relationships/image" Target="media/image16.jpeg"/><Relationship Id="rId48" Type="http://schemas.openxmlformats.org/officeDocument/2006/relationships/hyperlink" Target="http://www.civilservicecommission.org.uk"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www.civilservicepensionscheme.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1.jpeg"/><Relationship Id="rId38" Type="http://schemas.openxmlformats.org/officeDocument/2006/relationships/hyperlink" Target="https://www.gov.uk/government/publications/the-insolvency-service-sustainability-strategy-2022-to-2025" TargetMode="External"/><Relationship Id="rId46" Type="http://schemas.openxmlformats.org/officeDocument/2006/relationships/image" Target="media/image19.jpeg"/><Relationship Id="rId20" Type="http://schemas.openxmlformats.org/officeDocument/2006/relationships/hyperlink" Target="https://www.gov.uk/government/publications/insolvency-service-annual-plan-2023-2024" TargetMode="External"/><Relationship Id="rId41" Type="http://schemas.openxmlformats.org/officeDocument/2006/relationships/hyperlink" Target="https://www.gov.uk/government/publications/greening-government-commitments-2021-to-2025/greening-government-commitments-reporting-requirements-for-2021-to-2025" TargetMode="External"/><Relationship Id="rId54" Type="http://schemas.openxmlformats.org/officeDocument/2006/relationships/hyperlink" Target="http://www.frc.org.uk/auditorsresponsibilit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gov.uk/government/calls-for-evidence/call-for-evidence-review-of-the-personal-insolvency-framework/outcome/review-of-the-personal-insolvency-framework-summary-of-responses-and-next-steps" TargetMode="External"/><Relationship Id="rId28" Type="http://schemas.openxmlformats.org/officeDocument/2006/relationships/chart" Target="charts/chart1.xml"/><Relationship Id="rId36" Type="http://schemas.openxmlformats.org/officeDocument/2006/relationships/image" Target="media/image13.png"/><Relationship Id="rId49" Type="http://schemas.openxmlformats.org/officeDocument/2006/relationships/hyperlink" Target="http://www.gov.uk/government/organisations/review-body-on-senior-salarie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17.png"/><Relationship Id="rId52" Type="http://schemas.openxmlformats.org/officeDocument/2006/relationships/hyperlink" Target="https://gbr01.safelinks.protection.outlook.com/?url=https%3A%2F%2Fwww.gov.uk%2Fgovernment%2Fpublications%2Fbusiness-appointment-rules-for-crown-servants&amp;data=05%7C02%7Cmartin.baker%40insolvency.gov.uk%7C42fa9619ba634554336f08dca186f8ab%7C9a18d34af01e4c31ad16523150b47949%7C0%7C0%7C638562848276315351%7CUnknown%7CTWFpbGZsb3d8eyJWIjoiMC4wLjAwMDAiLCJQIjoiV2luMzIiLCJBTiI6Ik1haWwiLCJXVCI6Mn0%3D%7C0%7C%7C%7C&amp;sdata=F71xIacCLrbnr2A%2BTIzXTkfqbhjDOtu4BGY1%2Fj5IH%2BA%3D&amp;reserved=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organisations/insolvency-service/about/complaints-procedur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PPI!$B$13:$M$13</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PPI!$B$14:$M$14</c:f>
              <c:numCache>
                <c:formatCode>"£"#,##0_);[Red]\("£"#,##0\)</c:formatCode>
                <c:ptCount val="12"/>
                <c:pt idx="0">
                  <c:v>1428119.18</c:v>
                </c:pt>
                <c:pt idx="1">
                  <c:v>1937718.78</c:v>
                </c:pt>
                <c:pt idx="2">
                  <c:v>1750144.2</c:v>
                </c:pt>
                <c:pt idx="3">
                  <c:v>2069223.54</c:v>
                </c:pt>
                <c:pt idx="4">
                  <c:v>2261355.81</c:v>
                </c:pt>
                <c:pt idx="5">
                  <c:v>1815969.98</c:v>
                </c:pt>
                <c:pt idx="6">
                  <c:v>2280902.1</c:v>
                </c:pt>
                <c:pt idx="7">
                  <c:v>2565238.46</c:v>
                </c:pt>
                <c:pt idx="8">
                  <c:v>2516085.69</c:v>
                </c:pt>
                <c:pt idx="9">
                  <c:v>2799069.52</c:v>
                </c:pt>
                <c:pt idx="10">
                  <c:v>3283600</c:v>
                </c:pt>
                <c:pt idx="11">
                  <c:v>4492629.68</c:v>
                </c:pt>
              </c:numCache>
            </c:numRef>
          </c:val>
          <c:extLst>
            <c:ext xmlns:c16="http://schemas.microsoft.com/office/drawing/2014/chart" uri="{C3380CC4-5D6E-409C-BE32-E72D297353CC}">
              <c16:uniqueId val="{00000000-4246-401D-BD7B-7D0FE3A30423}"/>
            </c:ext>
          </c:extLst>
        </c:ser>
        <c:dLbls>
          <c:showLegendKey val="0"/>
          <c:showVal val="0"/>
          <c:showCatName val="0"/>
          <c:showSerName val="0"/>
          <c:showPercent val="0"/>
          <c:showBubbleSize val="0"/>
        </c:dLbls>
        <c:gapWidth val="219"/>
        <c:overlap val="-27"/>
        <c:axId val="604458720"/>
        <c:axId val="604457280"/>
      </c:barChart>
      <c:dateAx>
        <c:axId val="6044587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4457280"/>
        <c:crosses val="autoZero"/>
        <c:auto val="1"/>
        <c:lblOffset val="100"/>
        <c:baseTimeUnit val="months"/>
      </c:dateAx>
      <c:valAx>
        <c:axId val="6044572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4458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'people surveyengagement'!$B$41</c:f>
              <c:strCache>
                <c:ptCount val="1"/>
                <c:pt idx="0">
                  <c:v>2022 favourable</c:v>
                </c:pt>
              </c:strCache>
            </c:strRef>
          </c:tx>
          <c:spPr>
            <a:solidFill>
              <a:schemeClr val="accent1"/>
            </a:solidFill>
            <a:ln>
              <a:noFill/>
            </a:ln>
            <a:effectLst/>
          </c:spPr>
          <c:invertIfNegative val="0"/>
          <c:cat>
            <c:strRef>
              <c:f>'people surveyengagement'!$A$42:$A$50</c:f>
              <c:strCache>
                <c:ptCount val="9"/>
                <c:pt idx="0">
                  <c:v>my work</c:v>
                </c:pt>
                <c:pt idx="1">
                  <c:v>organisational objectives and purpose</c:v>
                </c:pt>
                <c:pt idx="2">
                  <c:v>my manager</c:v>
                </c:pt>
                <c:pt idx="3">
                  <c:v>my team</c:v>
                </c:pt>
                <c:pt idx="4">
                  <c:v>learning and development</c:v>
                </c:pt>
                <c:pt idx="5">
                  <c:v>inclusion and fair treatment</c:v>
                </c:pt>
                <c:pt idx="6">
                  <c:v>resources and workload</c:v>
                </c:pt>
                <c:pt idx="7">
                  <c:v>pay and benefits</c:v>
                </c:pt>
                <c:pt idx="8">
                  <c:v>leadership and managing change</c:v>
                </c:pt>
              </c:strCache>
            </c:strRef>
          </c:cat>
          <c:val>
            <c:numRef>
              <c:f>'people surveyengagement'!$B$42:$B$50</c:f>
              <c:numCache>
                <c:formatCode>0%</c:formatCode>
                <c:ptCount val="9"/>
                <c:pt idx="0">
                  <c:v>0.78</c:v>
                </c:pt>
                <c:pt idx="1">
                  <c:v>0.88</c:v>
                </c:pt>
                <c:pt idx="2">
                  <c:v>0.82</c:v>
                </c:pt>
                <c:pt idx="3">
                  <c:v>0.84</c:v>
                </c:pt>
                <c:pt idx="4">
                  <c:v>0.6</c:v>
                </c:pt>
                <c:pt idx="5">
                  <c:v>0.82</c:v>
                </c:pt>
                <c:pt idx="6">
                  <c:v>0.76</c:v>
                </c:pt>
                <c:pt idx="7">
                  <c:v>0.25</c:v>
                </c:pt>
                <c:pt idx="8">
                  <c:v>0.52</c:v>
                </c:pt>
              </c:numCache>
            </c:numRef>
          </c:val>
          <c:extLst>
            <c:ext xmlns:c16="http://schemas.microsoft.com/office/drawing/2014/chart" uri="{C3380CC4-5D6E-409C-BE32-E72D297353CC}">
              <c16:uniqueId val="{00000000-8AD5-479A-ACDC-FC24EA241141}"/>
            </c:ext>
          </c:extLst>
        </c:ser>
        <c:ser>
          <c:idx val="1"/>
          <c:order val="1"/>
          <c:tx>
            <c:strRef>
              <c:f>'people surveyengagement'!$C$41</c:f>
              <c:strCache>
                <c:ptCount val="1"/>
                <c:pt idx="0">
                  <c:v>2023 favourable</c:v>
                </c:pt>
              </c:strCache>
            </c:strRef>
          </c:tx>
          <c:spPr>
            <a:solidFill>
              <a:schemeClr val="accent2"/>
            </a:solidFill>
            <a:ln>
              <a:noFill/>
            </a:ln>
            <a:effectLst/>
          </c:spPr>
          <c:invertIfNegative val="0"/>
          <c:cat>
            <c:strRef>
              <c:f>'people surveyengagement'!$A$42:$A$50</c:f>
              <c:strCache>
                <c:ptCount val="9"/>
                <c:pt idx="0">
                  <c:v>my work</c:v>
                </c:pt>
                <c:pt idx="1">
                  <c:v>organisational objectives and purpose</c:v>
                </c:pt>
                <c:pt idx="2">
                  <c:v>my manager</c:v>
                </c:pt>
                <c:pt idx="3">
                  <c:v>my team</c:v>
                </c:pt>
                <c:pt idx="4">
                  <c:v>learning and development</c:v>
                </c:pt>
                <c:pt idx="5">
                  <c:v>inclusion and fair treatment</c:v>
                </c:pt>
                <c:pt idx="6">
                  <c:v>resources and workload</c:v>
                </c:pt>
                <c:pt idx="7">
                  <c:v>pay and benefits</c:v>
                </c:pt>
                <c:pt idx="8">
                  <c:v>leadership and managing change</c:v>
                </c:pt>
              </c:strCache>
            </c:strRef>
          </c:cat>
          <c:val>
            <c:numRef>
              <c:f>'people surveyengagement'!$C$42:$C$50</c:f>
              <c:numCache>
                <c:formatCode>0%</c:formatCode>
                <c:ptCount val="9"/>
                <c:pt idx="0">
                  <c:v>0.79</c:v>
                </c:pt>
                <c:pt idx="1">
                  <c:v>0.9</c:v>
                </c:pt>
                <c:pt idx="2">
                  <c:v>0.83</c:v>
                </c:pt>
                <c:pt idx="3">
                  <c:v>0.85</c:v>
                </c:pt>
                <c:pt idx="4">
                  <c:v>0.61</c:v>
                </c:pt>
                <c:pt idx="5">
                  <c:v>0.83</c:v>
                </c:pt>
                <c:pt idx="6">
                  <c:v>0.75</c:v>
                </c:pt>
                <c:pt idx="7">
                  <c:v>0.27</c:v>
                </c:pt>
                <c:pt idx="8">
                  <c:v>0.52</c:v>
                </c:pt>
              </c:numCache>
            </c:numRef>
          </c:val>
          <c:extLst>
            <c:ext xmlns:c16="http://schemas.microsoft.com/office/drawing/2014/chart" uri="{C3380CC4-5D6E-409C-BE32-E72D297353CC}">
              <c16:uniqueId val="{00000001-8AD5-479A-ACDC-FC24EA241141}"/>
            </c:ext>
          </c:extLst>
        </c:ser>
        <c:dLbls>
          <c:showLegendKey val="0"/>
          <c:showVal val="0"/>
          <c:showCatName val="0"/>
          <c:showSerName val="0"/>
          <c:showPercent val="0"/>
          <c:showBubbleSize val="0"/>
        </c:dLbls>
        <c:gapWidth val="219"/>
        <c:overlap val="-27"/>
        <c:axId val="580157264"/>
        <c:axId val="580159784"/>
      </c:barChart>
      <c:catAx>
        <c:axId val="58015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0159784"/>
        <c:crosses val="autoZero"/>
        <c:auto val="1"/>
        <c:lblAlgn val="ctr"/>
        <c:lblOffset val="100"/>
        <c:noMultiLvlLbl val="0"/>
      </c:catAx>
      <c:valAx>
        <c:axId val="580159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015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129233FDD8CB4EAEDE81412DA73BA6" ma:contentTypeVersion="6" ma:contentTypeDescription="Create a new document." ma:contentTypeScope="" ma:versionID="c89aded840c3db787d3436dafba3a3fe">
  <xsd:schema xmlns:xsd="http://www.w3.org/2001/XMLSchema" xmlns:xs="http://www.w3.org/2001/XMLSchema" xmlns:p="http://schemas.microsoft.com/office/2006/metadata/properties" xmlns:ns2="428f651b-544f-4630-bd50-6a378382d049" xmlns:ns3="5f9a1a44-8072-4a4c-9f9e-e0807ff2bed7" targetNamespace="http://schemas.microsoft.com/office/2006/metadata/properties" ma:root="true" ma:fieldsID="19165c437c98abafea6bf671749e35fb" ns2:_="" ns3:_="">
    <xsd:import namespace="428f651b-544f-4630-bd50-6a378382d049"/>
    <xsd:import namespace="5f9a1a44-8072-4a4c-9f9e-e0807ff2be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f651b-544f-4630-bd50-6a378382d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9a1a44-8072-4a4c-9f9e-e0807ff2be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f9a1a44-8072-4a4c-9f9e-e0807ff2bed7">
      <UserInfo>
        <DisplayName>Richard.Mulligan</DisplayName>
        <AccountId>82</AccountId>
        <AccountType/>
      </UserInfo>
      <UserInfo>
        <DisplayName>Scott Barrett</DisplayName>
        <AccountId>152</AccountId>
        <AccountType/>
      </UserInfo>
      <UserInfo>
        <DisplayName>Kim Rowland</DisplayName>
        <AccountId>155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04C6C-BB8E-4A39-B72F-0F30DAFA0804}">
  <ds:schemaRefs>
    <ds:schemaRef ds:uri="http://schemas.microsoft.com/sharepoint/v3/contenttype/forms"/>
  </ds:schemaRefs>
</ds:datastoreItem>
</file>

<file path=customXml/itemProps2.xml><?xml version="1.0" encoding="utf-8"?>
<ds:datastoreItem xmlns:ds="http://schemas.openxmlformats.org/officeDocument/2006/customXml" ds:itemID="{C2BB7D14-1A27-4148-BCBC-76C577AC2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f651b-544f-4630-bd50-6a378382d049"/>
    <ds:schemaRef ds:uri="5f9a1a44-8072-4a4c-9f9e-e0807ff2b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C41A1F-031B-47D2-8E7E-4A15289CD7D1}">
  <ds:schemaRefs>
    <ds:schemaRef ds:uri="http://schemas.microsoft.com/office/2006/metadata/properties"/>
    <ds:schemaRef ds:uri="http://schemas.microsoft.com/office/infopath/2007/PartnerControls"/>
    <ds:schemaRef ds:uri="5f9a1a44-8072-4a4c-9f9e-e0807ff2bed7"/>
  </ds:schemaRefs>
</ds:datastoreItem>
</file>

<file path=customXml/itemProps4.xml><?xml version="1.0" encoding="utf-8"?>
<ds:datastoreItem xmlns:ds="http://schemas.openxmlformats.org/officeDocument/2006/customXml" ds:itemID="{7C426C91-37DE-425F-AFA5-7F1B3C20A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137</Pages>
  <Words>38099</Words>
  <Characters>207643</Characters>
  <Application>Microsoft Office Word</Application>
  <DocSecurity>0</DocSecurity>
  <Lines>9887</Lines>
  <Paragraphs>3839</Paragraphs>
  <ScaleCrop>false</ScaleCrop>
  <Company/>
  <LinksUpToDate>false</LinksUpToDate>
  <CharactersWithSpaces>241903</CharactersWithSpaces>
  <SharedDoc>false</SharedDoc>
  <HLinks>
    <vt:vector size="126" baseType="variant">
      <vt:variant>
        <vt:i4>7602234</vt:i4>
      </vt:variant>
      <vt:variant>
        <vt:i4>60</vt:i4>
      </vt:variant>
      <vt:variant>
        <vt:i4>0</vt:i4>
      </vt:variant>
      <vt:variant>
        <vt:i4>5</vt:i4>
      </vt:variant>
      <vt:variant>
        <vt:lpwstr>http://www.frc.org.uk/auditorsresponsibilities</vt:lpwstr>
      </vt:variant>
      <vt:variant>
        <vt:lpwstr/>
      </vt:variant>
      <vt:variant>
        <vt:i4>6815861</vt:i4>
      </vt:variant>
      <vt:variant>
        <vt:i4>57</vt:i4>
      </vt:variant>
      <vt:variant>
        <vt:i4>0</vt:i4>
      </vt:variant>
      <vt:variant>
        <vt:i4>5</vt:i4>
      </vt:variant>
      <vt:variant>
        <vt:lpwstr>http://www.civilservicepensionscheme.org.uk/about-us/resource-accounts/</vt:lpwstr>
      </vt:variant>
      <vt:variant>
        <vt:lpwstr/>
      </vt:variant>
      <vt:variant>
        <vt:i4>7733368</vt:i4>
      </vt:variant>
      <vt:variant>
        <vt:i4>54</vt:i4>
      </vt:variant>
      <vt:variant>
        <vt:i4>0</vt:i4>
      </vt:variant>
      <vt:variant>
        <vt:i4>5</vt:i4>
      </vt:variant>
      <vt:variant>
        <vt:lpwstr>https://gbr01.safelinks.protection.outlook.com/?url=https%3A%2F%2Fwww.gov.uk%2Fgovernment%2Fpublications%2Fbusiness-appointment-rules-for-crown-servants&amp;data=05%7C02%7Cmartin.baker%40insolvency.gov.uk%7C42fa9619ba634554336f08dca186f8ab%7C9a18d34af01e4c31ad16523150b47949%7C0%7C0%7C638562848276315351%7CUnknown%7CTWFpbGZsb3d8eyJWIjoiMC4wLjAwMDAiLCJQIjoiV2luMzIiLCJBTiI6Ik1haWwiLCJXVCI6Mn0%3D%7C0%7C%7C%7C&amp;sdata=F71xIacCLrbnr2A%2BTIzXTkfqbhjDOtu4BGY1%2Fj5IH%2BA%3D&amp;reserved=0</vt:lpwstr>
      </vt:variant>
      <vt:variant>
        <vt:lpwstr/>
      </vt:variant>
      <vt:variant>
        <vt:i4>655435</vt:i4>
      </vt:variant>
      <vt:variant>
        <vt:i4>51</vt:i4>
      </vt:variant>
      <vt:variant>
        <vt:i4>0</vt:i4>
      </vt:variant>
      <vt:variant>
        <vt:i4>5</vt:i4>
      </vt:variant>
      <vt:variant>
        <vt:lpwstr>http://www.civilservicepensionscheme.org.uk/</vt:lpwstr>
      </vt:variant>
      <vt:variant>
        <vt:lpwstr/>
      </vt:variant>
      <vt:variant>
        <vt:i4>393230</vt:i4>
      </vt:variant>
      <vt:variant>
        <vt:i4>48</vt:i4>
      </vt:variant>
      <vt:variant>
        <vt:i4>0</vt:i4>
      </vt:variant>
      <vt:variant>
        <vt:i4>5</vt:i4>
      </vt:variant>
      <vt:variant>
        <vt:lpwstr>http://www.gov.uk/government/organisations/review-body-on-senior-salaries</vt:lpwstr>
      </vt:variant>
      <vt:variant>
        <vt:lpwstr/>
      </vt:variant>
      <vt:variant>
        <vt:i4>4194390</vt:i4>
      </vt:variant>
      <vt:variant>
        <vt:i4>45</vt:i4>
      </vt:variant>
      <vt:variant>
        <vt:i4>0</vt:i4>
      </vt:variant>
      <vt:variant>
        <vt:i4>5</vt:i4>
      </vt:variant>
      <vt:variant>
        <vt:lpwstr>http://www.civilservicecommission.org.uk/</vt:lpwstr>
      </vt:variant>
      <vt:variant>
        <vt:lpwstr/>
      </vt:variant>
      <vt:variant>
        <vt:i4>7733362</vt:i4>
      </vt:variant>
      <vt:variant>
        <vt:i4>42</vt:i4>
      </vt:variant>
      <vt:variant>
        <vt:i4>0</vt:i4>
      </vt:variant>
      <vt:variant>
        <vt:i4>5</vt:i4>
      </vt:variant>
      <vt:variant>
        <vt:lpwstr>https://www.gov.uk/government/publications/sustainable-procurement-in-government-guidance-to-the-flexible-framework</vt:lpwstr>
      </vt:variant>
      <vt:variant>
        <vt:lpwstr/>
      </vt:variant>
      <vt:variant>
        <vt:i4>6815804</vt:i4>
      </vt:variant>
      <vt:variant>
        <vt:i4>39</vt:i4>
      </vt:variant>
      <vt:variant>
        <vt:i4>0</vt:i4>
      </vt:variant>
      <vt:variant>
        <vt:i4>5</vt:i4>
      </vt:variant>
      <vt:variant>
        <vt:lpwstr>https://www.gov.uk/government/publications/greening-government-commitments-2021-to-2025/greening-government-commitments-reporting-requirements-for-2021-to-2025</vt:lpwstr>
      </vt:variant>
      <vt:variant>
        <vt:lpwstr>reporting</vt:lpwstr>
      </vt:variant>
      <vt:variant>
        <vt:i4>6815804</vt:i4>
      </vt:variant>
      <vt:variant>
        <vt:i4>36</vt:i4>
      </vt:variant>
      <vt:variant>
        <vt:i4>0</vt:i4>
      </vt:variant>
      <vt:variant>
        <vt:i4>5</vt:i4>
      </vt:variant>
      <vt:variant>
        <vt:lpwstr>https://www.gov.uk/government/publications/greening-government-commitments-2021-to-2025/greening-government-commitments-reporting-requirements-for-2021-to-2025</vt:lpwstr>
      </vt:variant>
      <vt:variant>
        <vt:lpwstr>reporting</vt:lpwstr>
      </vt:variant>
      <vt:variant>
        <vt:i4>4128887</vt:i4>
      </vt:variant>
      <vt:variant>
        <vt:i4>30</vt:i4>
      </vt:variant>
      <vt:variant>
        <vt:i4>0</vt:i4>
      </vt:variant>
      <vt:variant>
        <vt:i4>5</vt:i4>
      </vt:variant>
      <vt:variant>
        <vt:lpwstr>https://www.gov.uk/government/publications/the-insolvency-service-sustainability-strategy-2022-to-2025</vt:lpwstr>
      </vt:variant>
      <vt:variant>
        <vt:lpwstr/>
      </vt:variant>
      <vt:variant>
        <vt:i4>5898249</vt:i4>
      </vt:variant>
      <vt:variant>
        <vt:i4>27</vt:i4>
      </vt:variant>
      <vt:variant>
        <vt:i4>0</vt:i4>
      </vt:variant>
      <vt:variant>
        <vt:i4>5</vt:i4>
      </vt:variant>
      <vt:variant>
        <vt:lpwstr>https://www.gov.uk/guidance/director-information-hub</vt:lpwstr>
      </vt:variant>
      <vt:variant>
        <vt:lpwstr/>
      </vt:variant>
      <vt:variant>
        <vt:i4>7733299</vt:i4>
      </vt:variant>
      <vt:variant>
        <vt:i4>24</vt:i4>
      </vt:variant>
      <vt:variant>
        <vt:i4>0</vt:i4>
      </vt:variant>
      <vt:variant>
        <vt:i4>5</vt:i4>
      </vt:variant>
      <vt:variant>
        <vt:lpwstr>https://www.ombudsman.org.uk/organisations-we-investigate/complaint-standards/uk-central-government-complaint-standards/uk-central-government-complaint-standards-summary-expectations</vt:lpwstr>
      </vt:variant>
      <vt:variant>
        <vt:lpwstr/>
      </vt:variant>
      <vt:variant>
        <vt:i4>65561</vt:i4>
      </vt:variant>
      <vt:variant>
        <vt:i4>21</vt:i4>
      </vt:variant>
      <vt:variant>
        <vt:i4>0</vt:i4>
      </vt:variant>
      <vt:variant>
        <vt:i4>5</vt:i4>
      </vt:variant>
      <vt:variant>
        <vt:lpwstr>https://www.customerserviceexcellence.uk.com/</vt:lpwstr>
      </vt:variant>
      <vt:variant>
        <vt:lpwstr/>
      </vt:variant>
      <vt:variant>
        <vt:i4>786462</vt:i4>
      </vt:variant>
      <vt:variant>
        <vt:i4>18</vt:i4>
      </vt:variant>
      <vt:variant>
        <vt:i4>0</vt:i4>
      </vt:variant>
      <vt:variant>
        <vt:i4>5</vt:i4>
      </vt:variant>
      <vt:variant>
        <vt:lpwstr>https://www.gov.uk/government/publications/insolvency-service-enforcement-outcomes-management-information/insolvency-service-enforcement-outcomes-2023-24</vt:lpwstr>
      </vt:variant>
      <vt:variant>
        <vt:lpwstr/>
      </vt:variant>
      <vt:variant>
        <vt:i4>8257582</vt:i4>
      </vt:variant>
      <vt:variant>
        <vt:i4>15</vt:i4>
      </vt:variant>
      <vt:variant>
        <vt:i4>0</vt:i4>
      </vt:variant>
      <vt:variant>
        <vt:i4>5</vt:i4>
      </vt:variant>
      <vt:variant>
        <vt:lpwstr>https://www.gov.uk/government/calls-for-evidence/call-for-evidence-review-of-the-personal-insolvency-framework/outcome/review-of-the-personal-insolvency-framework-summary-of-responses-and-next-steps</vt:lpwstr>
      </vt:variant>
      <vt:variant>
        <vt:lpwstr/>
      </vt:variant>
      <vt:variant>
        <vt:i4>3932284</vt:i4>
      </vt:variant>
      <vt:variant>
        <vt:i4>12</vt:i4>
      </vt:variant>
      <vt:variant>
        <vt:i4>0</vt:i4>
      </vt:variant>
      <vt:variant>
        <vt:i4>5</vt:i4>
      </vt:variant>
      <vt:variant>
        <vt:lpwstr>https://www.gov.uk/government/consultations/implementation-of-two-uncitral-model-laws-on-insolvency</vt:lpwstr>
      </vt:variant>
      <vt:variant>
        <vt:lpwstr/>
      </vt:variant>
      <vt:variant>
        <vt:i4>4194314</vt:i4>
      </vt:variant>
      <vt:variant>
        <vt:i4>9</vt:i4>
      </vt:variant>
      <vt:variant>
        <vt:i4>0</vt:i4>
      </vt:variant>
      <vt:variant>
        <vt:i4>5</vt:i4>
      </vt:variant>
      <vt:variant>
        <vt:lpwstr>https://www.gov.uk/government/publications/insolvency-service-annual-plan-2023-2024</vt:lpwstr>
      </vt:variant>
      <vt:variant>
        <vt:lpwstr>:~:text=Details,priorities%20to%20support%20economic%20growth.</vt:lpwstr>
      </vt:variant>
      <vt:variant>
        <vt:i4>2752549</vt:i4>
      </vt:variant>
      <vt:variant>
        <vt:i4>6</vt:i4>
      </vt:variant>
      <vt:variant>
        <vt:i4>0</vt:i4>
      </vt:variant>
      <vt:variant>
        <vt:i4>5</vt:i4>
      </vt:variant>
      <vt:variant>
        <vt:lpwstr>https://www.gov.uk/government/publications/classification-of-public-bodies-information-and-guidance</vt:lpwstr>
      </vt:variant>
      <vt:variant>
        <vt:lpwstr/>
      </vt:variant>
      <vt:variant>
        <vt:i4>5177349</vt:i4>
      </vt:variant>
      <vt:variant>
        <vt:i4>3</vt:i4>
      </vt:variant>
      <vt:variant>
        <vt:i4>0</vt:i4>
      </vt:variant>
      <vt:variant>
        <vt:i4>5</vt:i4>
      </vt:variant>
      <vt:variant>
        <vt:lpwstr>https://www.gov.uk/official-documents</vt:lpwstr>
      </vt:variant>
      <vt:variant>
        <vt:lpwstr/>
      </vt:variant>
      <vt:variant>
        <vt:i4>5505035</vt:i4>
      </vt:variant>
      <vt:variant>
        <vt:i4>0</vt:i4>
      </vt:variant>
      <vt:variant>
        <vt:i4>0</vt:i4>
      </vt:variant>
      <vt:variant>
        <vt:i4>5</vt:i4>
      </vt:variant>
      <vt:variant>
        <vt:lpwstr>http://www.nationalarchives.gov.uk/doc/open-government-licence/version/3</vt:lpwstr>
      </vt:variant>
      <vt:variant>
        <vt:lpwstr/>
      </vt:variant>
      <vt:variant>
        <vt:i4>851997</vt:i4>
      </vt:variant>
      <vt:variant>
        <vt:i4>0</vt:i4>
      </vt:variant>
      <vt:variant>
        <vt:i4>0</vt:i4>
      </vt:variant>
      <vt:variant>
        <vt:i4>5</vt:i4>
      </vt:variant>
      <vt:variant>
        <vt:lpwstr>https://www.gov.uk/government/organisations/insolvency-service/about/complaints-procedure</vt:lpwstr>
      </vt:variant>
      <vt:variant>
        <vt:lpwstr>our-complaints-procedure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Baker</dc:creator>
  <cp:keywords/>
  <dc:description/>
  <cp:lastModifiedBy>Martin Baker</cp:lastModifiedBy>
  <cp:revision>68</cp:revision>
  <dcterms:created xsi:type="dcterms:W3CDTF">2024-07-10T11:05:00Z</dcterms:created>
  <dcterms:modified xsi:type="dcterms:W3CDTF">2024-07-18T10:38:00Z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0x01010091129233FDD8CB4EAEDE81412DA73BA6</vt:lpwstr>
  </property>
</Properties>
</file>