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9E" w:rsidRDefault="00DA229E" w:rsidP="000F3E6F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</w:p>
    <w:p w:rsidR="00DA229E" w:rsidRDefault="00DA229E" w:rsidP="00B96FDF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>TERMS AND CONDITIONS</w:t>
      </w:r>
    </w:p>
    <w:p w:rsidR="00151907" w:rsidRDefault="00151907" w:rsidP="0015190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</w:p>
    <w:p w:rsidR="001A26D4" w:rsidRPr="00151907" w:rsidRDefault="001A26D4" w:rsidP="00151907">
      <w:pPr>
        <w:pStyle w:val="Prrafodelista"/>
        <w:numPr>
          <w:ilvl w:val="0"/>
          <w:numId w:val="4"/>
        </w:numPr>
        <w:shd w:val="clear" w:color="auto" w:fill="FFFFFF"/>
        <w:spacing w:after="0" w:line="312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r w:rsidRPr="0015190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>PRODUCT NAME</w:t>
      </w:r>
    </w:p>
    <w:p w:rsidR="00151907" w:rsidRPr="00151907" w:rsidRDefault="00151907" w:rsidP="00151907">
      <w:pPr>
        <w:pStyle w:val="Prrafodelista"/>
        <w:shd w:val="clear" w:color="auto" w:fill="FFFFFF"/>
        <w:tabs>
          <w:tab w:val="left" w:pos="720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</w:p>
    <w:p w:rsidR="000F3E6F" w:rsidRPr="001A26D4" w:rsidRDefault="001A26D4" w:rsidP="0015190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1A26D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es-ES"/>
        </w:rPr>
        <w:t>INDICACIÓN GEOGRÁFICA PROTEGIDA “CEREZAS DE LA MONTAÑA DE ALICANTE</w:t>
      </w:r>
    </w:p>
    <w:p w:rsidR="00151907" w:rsidRDefault="00151907" w:rsidP="0015190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</w:p>
    <w:p w:rsidR="000F3E6F" w:rsidRPr="000F3E6F" w:rsidRDefault="00DA229E" w:rsidP="0015190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>B) PRODUCT DESCRIPTION</w:t>
      </w:r>
    </w:p>
    <w:p w:rsidR="00151907" w:rsidRDefault="00151907" w:rsidP="0015190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p w:rsidR="000F3E6F" w:rsidRPr="000F3E6F" w:rsidRDefault="00DA229E" w:rsidP="0015190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Cerrries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Class</w:t>
      </w:r>
      <w:proofErr w:type="spellEnd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1.6. </w:t>
      </w:r>
      <w:proofErr w:type="spellStart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Fruit</w:t>
      </w:r>
      <w:proofErr w:type="spellEnd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vegetables and </w:t>
      </w:r>
      <w:proofErr w:type="spellStart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cereals</w:t>
      </w:r>
      <w:proofErr w:type="spellEnd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fresh</w:t>
      </w:r>
      <w:proofErr w:type="spellEnd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or</w:t>
      </w:r>
      <w:proofErr w:type="spellEnd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="000F3E6F"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processed</w:t>
      </w:r>
      <w:proofErr w:type="spellEnd"/>
    </w:p>
    <w:p w:rsidR="000F3E6F" w:rsidRPr="000F3E6F" w:rsidRDefault="000F3E6F" w:rsidP="000F3E6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varieties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suitable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inclusion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under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Protected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Geographical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Indication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shall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be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solely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following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:</w:t>
      </w:r>
    </w:p>
    <w:p w:rsidR="00B22B2E" w:rsidRDefault="000F3E6F" w:rsidP="000F3E6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Main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varieties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: ‘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Burlat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’, ‘Picota’, ‘Picota Ambrunesa’, ‘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Early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Lory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’, ‘Prime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Giant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’, ‘Sweet Heart’, ‘Brooks’, ‘</w:t>
      </w:r>
    </w:p>
    <w:p w:rsidR="000F3E6F" w:rsidRDefault="000F3E6F" w:rsidP="000F3E6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Pollinator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varieties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: ‘Stark Hardy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Giant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’, ‘Bing’ and ‘Van’</w:t>
      </w:r>
    </w:p>
    <w:p w:rsidR="008F7E86" w:rsidRPr="000F3E6F" w:rsidRDefault="008F7E86" w:rsidP="000F3E6F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p w:rsidR="000F3E6F" w:rsidRDefault="000F3E6F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characteristics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common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all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these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varieties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are:</w:t>
      </w:r>
    </w:p>
    <w:p w:rsidR="008F7E86" w:rsidRPr="000F3E6F" w:rsidRDefault="008F7E86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023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A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high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sugar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content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exceeding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11 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vertAlign w:val="superscript"/>
                <w:lang w:eastAsia="es-ES"/>
              </w:rPr>
              <w:t>o</w:t>
            </w: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Brix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001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The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fruit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averagely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prone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to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splitting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186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Stalk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of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average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length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retaining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good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condition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after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harvest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8117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Uniformly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round in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shape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and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with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an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intense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shine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215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The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skin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carmine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-red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to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bright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-red in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colour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and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fine and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uniform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8136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Consistently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juicy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flesh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with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pink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to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red-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wine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colour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94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Balanced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taste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with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firm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consistency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234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The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stone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average-sized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, round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but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slightly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tapered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;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white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and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very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hard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234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suited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to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being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grown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the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area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covered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the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PGI ‘</w:t>
            </w:r>
            <w:r w:rsidR="00B96FD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Cerezas de la Montaña de Alicante’</w:t>
            </w: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8165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is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sufficiently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resistant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to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handling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transport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and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packing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.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Default="000F3E6F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average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size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varieties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included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:</w:t>
      </w:r>
    </w:p>
    <w:p w:rsidR="008F7E86" w:rsidRPr="000F3E6F" w:rsidRDefault="008F7E86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7463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Burlat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: 27-28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850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Stark Hardy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Giant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: 26-28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344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Van: 26-28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7387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Bing: 24-28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7463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Picota: 22-24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828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Picota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Ambrunes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: 23-25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656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Early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Lory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: 28-30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696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Prime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Giant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: 27-32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700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Sweet Heart: 26-28 mm</w:t>
            </w:r>
          </w:p>
          <w:p w:rsidR="008F7E86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7510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Brooks: 27-28 mm</w:t>
            </w: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0F3E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0F3E6F" w:rsidRDefault="000F3E6F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cherries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authorised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varieties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must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have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following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quality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characteristics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:</w:t>
      </w:r>
    </w:p>
    <w:p w:rsidR="008F7E86" w:rsidRDefault="008F7E86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p w:rsidR="008F7E86" w:rsidRPr="000F3E6F" w:rsidRDefault="008F7E86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185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Whole</w:t>
            </w:r>
            <w:proofErr w:type="spellEnd"/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6463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Healthy</w:t>
            </w:r>
            <w:proofErr w:type="spellEnd"/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8108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Clean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practically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free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of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any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visible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foreign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matter</w:t>
            </w:r>
            <w:proofErr w:type="spellEnd"/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7941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Free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of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abnormal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external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moisture</w:t>
            </w:r>
            <w:proofErr w:type="spellEnd"/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972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Free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of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any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foreign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smell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and/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or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taste</w:t>
            </w: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Default="000F3E6F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protected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cherries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must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only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be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from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‘Extra’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class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Class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according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r w:rsidR="003423A1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CE</w:t>
      </w:r>
      <w:r w:rsid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PE/ONE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standards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marketing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purposes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are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classified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follows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:</w:t>
      </w:r>
    </w:p>
    <w:p w:rsidR="008F7E86" w:rsidRPr="000F3E6F" w:rsidRDefault="008F7E86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8325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Class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1: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Not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less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than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21 mm</w:t>
            </w: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8313"/>
      </w:tblGrid>
      <w:tr w:rsidR="000F3E6F" w:rsidRPr="000F3E6F" w:rsidTr="000F3E6F">
        <w:tc>
          <w:tcPr>
            <w:tcW w:w="0" w:type="auto"/>
            <w:shd w:val="clear" w:color="auto" w:fill="FFFFFF"/>
            <w:hideMark/>
          </w:tcPr>
          <w:p w:rsidR="000F3E6F" w:rsidRP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F3E6F" w:rsidRDefault="000F3E6F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Extra: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Not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less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>than</w:t>
            </w:r>
            <w:proofErr w:type="spellEnd"/>
            <w:r w:rsidRPr="000F3E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  <w:t xml:space="preserve"> 23 mm</w:t>
            </w:r>
          </w:p>
          <w:p w:rsidR="008F7E86" w:rsidRPr="000F3E6F" w:rsidRDefault="008F7E86" w:rsidP="008F7E8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ES"/>
              </w:rPr>
            </w:pPr>
          </w:p>
        </w:tc>
      </w:tr>
    </w:tbl>
    <w:p w:rsidR="000F3E6F" w:rsidRPr="000F3E6F" w:rsidRDefault="000F3E6F" w:rsidP="008F7E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p w:rsidR="008F7E86" w:rsidRDefault="008F7E86" w:rsidP="008F7E86">
      <w:pPr>
        <w:pStyle w:val="Prrafodelista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</w:p>
    <w:p w:rsidR="000F3E6F" w:rsidRPr="008F7E86" w:rsidRDefault="00000035" w:rsidP="008F7E86">
      <w:pPr>
        <w:pStyle w:val="Prrafodelista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r w:rsidRPr="008F7E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>GEOGRAPHICAL AREA</w:t>
      </w:r>
    </w:p>
    <w:p w:rsidR="008F7E86" w:rsidRPr="008F7E86" w:rsidRDefault="008F7E86" w:rsidP="008F7E86">
      <w:pPr>
        <w:pStyle w:val="Prrafodelista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zone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located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north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province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Alicante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 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south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province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Valencia,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east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Spain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zone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comprises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land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located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municipalities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: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Agres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, Alcocer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de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 Planes, Alcoy,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Alfafara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Almudaina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, Alquería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de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 Aznar, Balones, 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lastRenderedPageBreak/>
        <w:t>Beneixama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Beniarrés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Benillup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Benimarfull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Biar, Cañada, Castalla, Cocentaina,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Confrides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Cuatretondeta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Gaianes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Gorga, Ibi, Jijona, Lorcha,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Millena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, Monóvar, Muro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de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 Alcoy,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Penáguila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Pinoso, Planes, Tollos, Vall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d’Alcalá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Vall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d’Ebo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, Vall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de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 Gallinera, Vall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de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 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Laguart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Villena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province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Alicante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 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Bocairent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Ontinyent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province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Valencia.</w:t>
      </w:r>
    </w:p>
    <w:p w:rsidR="008F7E86" w:rsidRPr="000F3E6F" w:rsidRDefault="008F7E8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p w:rsidR="00DB2D76" w:rsidRDefault="00C26ED4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 w:eastAsia="es-ES"/>
        </w:rPr>
        <w:t xml:space="preserve">D) </w:t>
      </w:r>
      <w:r w:rsidR="00DB2D76" w:rsidRPr="00DB2D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 w:eastAsia="es-ES"/>
        </w:rPr>
        <w:t>ELEMENTS THAT PROVE THAT THE PRODUCT IS ORIGINARY FROM THE AREA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The elements that prove that the cherries are native to this area are the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control and certification procedures, which will take into account the following </w:t>
      </w:r>
      <w:proofErr w:type="gramStart"/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aspects::</w:t>
      </w:r>
      <w:proofErr w:type="gramEnd"/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• The cherries will come exclusively from the plots registered in the registry of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plantations. These plantations will undergo an initial evaluation for registration and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periodic evaluations for maintenance in the aforementioned registry.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• Cherries will be packaged and labeled exclusively in industries and warehouses registered in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the corresponding record. These dependencies, like the plantations, will be subject to </w:t>
      </w:r>
      <w:proofErr w:type="spellStart"/>
      <w:proofErr w:type="gramStart"/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initial evaluation for registration and periodic evaluations for permanence in the aforementioned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record.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• Cherry production and packaging will be carried out according to the method described herein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sheet.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• Only cherries that are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have passed all process controls.</w:t>
      </w:r>
    </w:p>
    <w:p w:rsid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• The PGI Cer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e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zas de la Montaña de Alicante cherries are subject to quality controls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traceability carried out by the control entity.</w:t>
      </w:r>
    </w:p>
    <w:p w:rsid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</w:p>
    <w:p w:rsidR="008F7E86" w:rsidRDefault="008F7E8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 w:eastAsia="es-ES"/>
        </w:rPr>
      </w:pP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 w:eastAsia="es-ES"/>
        </w:rPr>
        <w:t>E) OBTAINING THE PRODUCT: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The collection is carried out manually, with care, taking care not to separate any peduncle from the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fruit, (except in the pillory whose characteristic is not having a peduncle). Also taking care not to squeeze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the fruit, do not damage it or make it soft.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During selection, defective, damaged, red, low-color fruits, etc. are eliminated.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lastRenderedPageBreak/>
        <w:t>The cherries are sorted according to color and size to achieve good uniformity.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The content of each container will be homogeneous and will only contain fruits of the same origin, variety,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quality and of substantially uniform caliber.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The cherries must be conditioned in such a way as to ensure adequate protection from the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product. The materials used inside the container, and especially the papers, will be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 xml:space="preserve"> </w:t>
      </w:r>
      <w:r w:rsidRPr="00DB2D7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  <w:t>new, clean and of such a nature that they cannot cause alterations to the fruits.</w:t>
      </w: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" w:eastAsia="es-ES"/>
        </w:rPr>
      </w:pPr>
    </w:p>
    <w:p w:rsidR="00DB2D76" w:rsidRPr="00DB2D76" w:rsidRDefault="00DB2D76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 xml:space="preserve">F) </w:t>
      </w:r>
      <w:r w:rsidRPr="00DB2D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 w:eastAsia="es-ES"/>
        </w:rPr>
        <w:t>LINK WITH THE MEDIA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Specificity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geographical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area</w:t>
      </w:r>
      <w:proofErr w:type="spellEnd"/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r w:rsidRPr="000F3E6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 xml:space="preserve">Natural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>factors</w:t>
      </w:r>
      <w:proofErr w:type="spellEnd"/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one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most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mountainous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Autonomous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Community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Valencia.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foothills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Betic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sub-chain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typically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structural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relief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alternating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between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anticlines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synclines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leads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mountainous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terrain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many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irregularities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soils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are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characterised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their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high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calcium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carbonate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content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lack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organic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material.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average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annual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temperature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between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13</w:t>
      </w:r>
      <w:r w:rsidRPr="000F3E6F">
        <w:rPr>
          <w:rFonts w:ascii="Times New Roman" w:eastAsia="Times New Roman" w:hAnsi="Times New Roman" w:cs="Times New Roman"/>
          <w:color w:val="333333"/>
          <w:sz w:val="19"/>
          <w:szCs w:val="19"/>
          <w:vertAlign w:val="superscript"/>
          <w:lang w:eastAsia="es-ES"/>
        </w:rPr>
        <w:t>o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 and 15,5</w:t>
      </w:r>
      <w:r w:rsidRPr="000F3E6F">
        <w:rPr>
          <w:rFonts w:ascii="Times New Roman" w:eastAsia="Times New Roman" w:hAnsi="Times New Roman" w:cs="Times New Roman"/>
          <w:color w:val="333333"/>
          <w:sz w:val="19"/>
          <w:szCs w:val="19"/>
          <w:vertAlign w:val="superscript"/>
          <w:lang w:eastAsia="es-ES"/>
        </w:rPr>
        <w:t>o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C,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annual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average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precipitation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350-650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mm.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temperate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Mediterranean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climate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colder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temperatures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greater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precipitation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than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rest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province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r w:rsidRPr="000F3E6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 xml:space="preserve">Human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  <w:t>factors</w:t>
      </w:r>
      <w:proofErr w:type="spellEnd"/>
    </w:p>
    <w:p w:rsidR="00C665A3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Since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which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cherries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have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traditionally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grown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farmers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’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good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growing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practices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boost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quality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These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good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traditional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growing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practices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consist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pruning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according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vase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-and-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palmette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training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system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ploughing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land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manual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harvesting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selecting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fruit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several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harvesting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stages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has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optimum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degree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ripeness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C665A3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Specificity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product</w:t>
      </w:r>
      <w:proofErr w:type="spellEnd"/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cherries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are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characterised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their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high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level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sweetness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(min. 11 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19"/>
          <w:szCs w:val="19"/>
          <w:vertAlign w:val="superscript"/>
          <w:lang w:eastAsia="es-ES"/>
        </w:rPr>
        <w:t>o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Brix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),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carmine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-red-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-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bright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-red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colour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their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firm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pink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red-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wine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coloured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flesh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have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spherical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shape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and are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generally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small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pointed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at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bottom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ES"/>
        </w:rPr>
      </w:pPr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lastRenderedPageBreak/>
        <w:t xml:space="preserve">Causal link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between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geographical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quality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or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characteristics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product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(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PDO)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or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specific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quality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reputation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or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other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characteristic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product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(</w:t>
      </w:r>
      <w:proofErr w:type="spellStart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ES"/>
        </w:rPr>
        <w:t xml:space="preserve"> PGI)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link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between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cherry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geographical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based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reputation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‘Cerezas de la Montaña de Alicante’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reputation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due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organoleptic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characteristics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fruit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economic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gastronomic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importance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well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importance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integral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element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area’s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landscape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protected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characterised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very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pronounced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mountainous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irregular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terrain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farms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are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small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often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located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terraces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carved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out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slopes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mountain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allowing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only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one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line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trees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which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gives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region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very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distinct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appearance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temperatures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are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slightly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lower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than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usual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places so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close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Mediterranean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Sea.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These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factors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considerably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limit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crop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cherry has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present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decades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thus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forming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unique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landscape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especially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crop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flower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know-how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producers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region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combined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years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experience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have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developed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appropriate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growing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techniques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successful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cherries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these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their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frequent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frosts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drought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rugged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relief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reason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that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processing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cherries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primarily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artisanal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from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harvesting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selection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packaging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resulting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cherry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high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degree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sweetness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pink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red-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wine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coloured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flesh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and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spherical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shape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reputation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‘Cerezas de la Montaña de Alicante’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supported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Cherry Festival,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which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held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every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year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springtime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features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various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talks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competitions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activities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do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with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cherries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There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gastronomic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trail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around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various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bars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restaurants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that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make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main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courses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desserts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from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cherries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area’s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most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characteristic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authentic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There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are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also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study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visits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cherry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fields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where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cherry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growing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explained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and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packaging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plants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show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handling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process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recent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years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tradition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growing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has led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various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agro-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tourism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trails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which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uniqueness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cherry-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influenced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environment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promoted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influence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‘Cerezas de la Montaña de Alicante’ 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has extended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gastronomy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so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that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many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years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now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there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have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been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recipes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which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lastRenderedPageBreak/>
        <w:t>fruit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used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e.g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recipe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from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1992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based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‘Cerezas de la Montaña de Alicante’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called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‘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Pure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Temptation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’.</w:t>
      </w:r>
    </w:p>
    <w:p w:rsidR="000F3E6F" w:rsidRP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origins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cherry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cultivation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in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back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16th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century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.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Today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‘Cerezas de la Montaña de Alicante’ 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are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still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economic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engine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of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area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regards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agricultural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</w:t>
      </w:r>
    </w:p>
    <w:p w:rsidR="000F3E6F" w:rsidRDefault="000F3E6F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In short, 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‘Cerezas de la Montaña de Alicante’</w:t>
      </w:r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product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that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has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specific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organoleptic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qualities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(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sweet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intense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flavour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), and a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proven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reputation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which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transcends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strictly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agricultural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extending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to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gastronomy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,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the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landscape</w:t>
      </w:r>
      <w:proofErr w:type="spellEnd"/>
      <w:r w:rsidRPr="000F3E6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and culture.</w:t>
      </w:r>
    </w:p>
    <w:p w:rsidR="00CB2598" w:rsidRDefault="00CB2598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p w:rsidR="00CB2598" w:rsidRPr="00CB2598" w:rsidRDefault="00CB2598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ES"/>
        </w:rPr>
      </w:pPr>
      <w:r w:rsidRPr="00CB259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ES"/>
        </w:rPr>
        <w:t>G)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ES"/>
        </w:rPr>
        <w:t xml:space="preserve"> </w:t>
      </w:r>
      <w:r w:rsidRPr="00CB2598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en" w:eastAsia="es-ES"/>
        </w:rPr>
        <w:t>CONTROL STRUCTURE</w:t>
      </w:r>
    </w:p>
    <w:p w:rsidR="00CB2598" w:rsidRDefault="00CB2598" w:rsidP="008F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br/>
      </w:r>
      <w:proofErr w:type="spellStart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Regulatory</w:t>
      </w:r>
      <w:proofErr w:type="spellEnd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Council </w:t>
      </w:r>
      <w:proofErr w:type="spellStart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for</w:t>
      </w:r>
      <w:proofErr w:type="spellEnd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Protected</w:t>
      </w:r>
      <w:proofErr w:type="spellEnd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Grographic</w:t>
      </w:r>
      <w:proofErr w:type="spellEnd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proofErr w:type="spellStart"/>
      <w:r w:rsidRPr="00CB2598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Indication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  <w:bookmarkStart w:id="0" w:name="_Hlk169163891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‘Cerezas de la Montaña de Alicante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’</w:t>
      </w:r>
    </w:p>
    <w:bookmarkEnd w:id="0"/>
    <w:p w:rsidR="00CB2598" w:rsidRDefault="00CB2598" w:rsidP="008F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Crta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. Albaida-Denia, s/n</w:t>
      </w:r>
    </w:p>
    <w:p w:rsidR="00CB2598" w:rsidRDefault="00CB2598" w:rsidP="008F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03788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Alpatró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 </w:t>
      </w:r>
    </w:p>
    <w:p w:rsidR="00CB2598" w:rsidRDefault="00CB2598" w:rsidP="008F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Vall de Gallinera Alicante </w:t>
      </w:r>
    </w:p>
    <w:p w:rsidR="00CB2598" w:rsidRDefault="00CB2598" w:rsidP="008F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Te. 966 406 700</w:t>
      </w:r>
    </w:p>
    <w:p w:rsidR="00CB2598" w:rsidRDefault="00CB2598" w:rsidP="008F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e-mail: </w:t>
      </w:r>
      <w:hyperlink r:id="rId5" w:history="1">
        <w:r w:rsidRPr="008C5C7A">
          <w:rPr>
            <w:rStyle w:val="Hipervnculo"/>
            <w:rFonts w:ascii="Times New Roman" w:eastAsia="Times New Roman" w:hAnsi="Times New Roman" w:cs="Times New Roman"/>
            <w:sz w:val="27"/>
            <w:szCs w:val="27"/>
            <w:lang w:eastAsia="es-ES"/>
          </w:rPr>
          <w:t>info@cerezas.org</w:t>
        </w:r>
      </w:hyperlink>
    </w:p>
    <w:p w:rsidR="00CB2598" w:rsidRDefault="00CB2598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p w:rsidR="00CB2598" w:rsidRPr="00CB2598" w:rsidRDefault="00CB2598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ES"/>
        </w:rPr>
      </w:pPr>
      <w:r w:rsidRPr="00CB259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ES"/>
        </w:rPr>
        <w:t>H) LABELLED</w:t>
      </w:r>
    </w:p>
    <w:p w:rsidR="00CB2598" w:rsidRPr="00B96FDF" w:rsidRDefault="00CB2598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The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wording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or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labels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identifying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 xml:space="preserve">‘Cerezas de la Montaña de Alicante’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must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include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the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official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European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symbol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for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protected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geographical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indications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,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together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with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the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words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‘Indicación Geográfica Protegida’ [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Protected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Geographical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Indication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] and </w:t>
      </w:r>
      <w:r w:rsidR="00B96FDF"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  <w:t>‘Cerezas de la Montaña de Alicante’</w:t>
      </w:r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,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or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in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the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region’s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co-official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language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‘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Indicació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Geogràfica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protegida’</w:t>
      </w:r>
    </w:p>
    <w:p w:rsidR="00CB2598" w:rsidRPr="00B96FDF" w:rsidRDefault="00CB2598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A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conformity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mark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,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known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as a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secondary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label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,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must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also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be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included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.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It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is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identified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by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means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of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an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alphanumeric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key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applied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during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packaging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and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subject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to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checks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to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ensure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that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it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is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not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reused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and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to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enable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traceability</w:t>
      </w:r>
      <w:proofErr w:type="spellEnd"/>
      <w:r w:rsidRPr="00B96FDF">
        <w:rPr>
          <w:rFonts w:ascii="Times New Roman" w:eastAsia="Times New Roman" w:hAnsi="Times New Roman" w:cs="Times New Roman"/>
          <w:sz w:val="27"/>
          <w:szCs w:val="27"/>
          <w:lang w:eastAsia="es-ES"/>
        </w:rPr>
        <w:t>.</w:t>
      </w:r>
    </w:p>
    <w:p w:rsidR="00CB2598" w:rsidRDefault="00CB2598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p w:rsidR="002C0FC5" w:rsidRPr="000F3E6F" w:rsidRDefault="002C0FC5" w:rsidP="008F7E86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bookmarkStart w:id="1" w:name="_GoBack"/>
      <w:bookmarkEnd w:id="1"/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val="en" w:eastAsia="es-ES"/>
        </w:rPr>
        <w:lastRenderedPageBreak/>
        <w:t>I) NATIONAL LEGISLATIVE REQUIREMENTS</w:t>
      </w:r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- Law 25/1970, of December 2.</w:t>
      </w:r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-Order of December 16, 1986, of the Department of Agriculture and Fisheries, of the </w:t>
      </w:r>
      <w:proofErr w:type="spellStart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Generalitat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Valencian</w:t>
      </w:r>
      <w:r w:rsidR="00151907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a</w:t>
      </w:r>
      <w:proofErr w:type="spellEnd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, by which the Denomination “Cerezas de la Montaña de Alicante” is established, with character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provisional.</w:t>
      </w:r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-Order of June 14, 1991 of the Department of Agriculture and Fisheries, of the </w:t>
      </w:r>
      <w:proofErr w:type="spellStart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Generalitat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Valenciana</w:t>
      </w:r>
      <w:proofErr w:type="spellEnd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, by which the Order of June 19, 1988 is modified and expanded.</w:t>
      </w:r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-Order of December 18, 1991 of the Ministry of Agriculture, Fisheries and Food by which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ratifies the Regulation of the Specific Denomination “Cherries of the Mountain of Alicante”.</w:t>
      </w:r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-Order of May 4, 1992, of the Department of Agriculture and Fisheries of the </w:t>
      </w:r>
      <w:proofErr w:type="spellStart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Generalitat</w:t>
      </w:r>
      <w:proofErr w:type="spellEnd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proofErr w:type="spellStart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Valenciana</w:t>
      </w:r>
      <w:proofErr w:type="spellEnd"/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,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which modifies and expands the Order of June 14, 1991, which approves the regulations of the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Specific Denomination “Cerezas de la Montaña de Alicante” and its Regulatory Council.</w:t>
      </w:r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-Royal Decree 1335/2011 of October 3, which regulates the procedure for processing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applications for registration of protected designations of origin and geographical indications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protected in the community register and their opposition to them.</w:t>
      </w:r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-Royal Decree 149/2014, of March 7, which modifies Royal Decree 1335/2011 of March 3</w:t>
      </w:r>
    </w:p>
    <w:p w:rsidR="00B96FDF" w:rsidRPr="00B96FDF" w:rsidRDefault="00B96FDF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</w:pP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October, which regulates the procedure for processing applications for registration of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protected designations of origin and geographical indications protected in the community register and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 xml:space="preserve"> </w:t>
      </w:r>
      <w:r w:rsidRPr="00B96FDF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val="en" w:eastAsia="es-ES"/>
        </w:rPr>
        <w:t>his opposition to them.</w:t>
      </w:r>
    </w:p>
    <w:p w:rsidR="00D65F18" w:rsidRPr="000F3E6F" w:rsidRDefault="00D65F18" w:rsidP="008F7E86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</w:p>
    <w:sectPr w:rsidR="00D65F18" w:rsidRPr="000F3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4FB1"/>
    <w:multiLevelType w:val="hybridMultilevel"/>
    <w:tmpl w:val="7B0626E2"/>
    <w:lvl w:ilvl="0" w:tplc="37288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7EC2"/>
    <w:multiLevelType w:val="hybridMultilevel"/>
    <w:tmpl w:val="1CD6B882"/>
    <w:lvl w:ilvl="0" w:tplc="109C82B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570F"/>
    <w:multiLevelType w:val="hybridMultilevel"/>
    <w:tmpl w:val="14C06446"/>
    <w:lvl w:ilvl="0" w:tplc="E118D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0ABF"/>
    <w:multiLevelType w:val="hybridMultilevel"/>
    <w:tmpl w:val="6CE4F038"/>
    <w:lvl w:ilvl="0" w:tplc="14BEF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85475"/>
    <w:multiLevelType w:val="hybridMultilevel"/>
    <w:tmpl w:val="5636AC2A"/>
    <w:lvl w:ilvl="0" w:tplc="97865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6F"/>
    <w:rsid w:val="00000035"/>
    <w:rsid w:val="000270F7"/>
    <w:rsid w:val="000F3E6F"/>
    <w:rsid w:val="00151907"/>
    <w:rsid w:val="001A26D4"/>
    <w:rsid w:val="002C0FC5"/>
    <w:rsid w:val="003423A1"/>
    <w:rsid w:val="008F7E86"/>
    <w:rsid w:val="00B22B2E"/>
    <w:rsid w:val="00B96FDF"/>
    <w:rsid w:val="00C26ED4"/>
    <w:rsid w:val="00C665A3"/>
    <w:rsid w:val="00CB2598"/>
    <w:rsid w:val="00D65F18"/>
    <w:rsid w:val="00DA229E"/>
    <w:rsid w:val="00DB2D76"/>
    <w:rsid w:val="00F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FC59"/>
  <w15:chartTrackingRefBased/>
  <w15:docId w15:val="{AB445A90-52C0-43DF-87C8-DF75897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B2D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B2D76"/>
    <w:rPr>
      <w:rFonts w:ascii="Consolas" w:hAnsi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B25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259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5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erez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7</Pages>
  <Words>1725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2024-06-12T08:55:00Z</dcterms:created>
  <dcterms:modified xsi:type="dcterms:W3CDTF">2024-06-13T07:58:00Z</dcterms:modified>
</cp:coreProperties>
</file>