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B77C" w14:textId="77777777" w:rsidR="000B0589" w:rsidRDefault="000B0589" w:rsidP="00BC2702">
      <w:pPr>
        <w:pStyle w:val="Conditions1"/>
        <w:numPr>
          <w:ilvl w:val="0"/>
          <w:numId w:val="0"/>
        </w:numPr>
      </w:pPr>
      <w:r>
        <w:rPr>
          <w:noProof/>
        </w:rPr>
        <w:drawing>
          <wp:inline distT="0" distB="0" distL="0" distR="0" wp14:anchorId="6C5E31A7" wp14:editId="74A3B9C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1E0E696" w14:textId="77777777" w:rsidR="000B0589" w:rsidRDefault="000B0589" w:rsidP="00A5760C"/>
    <w:p w14:paraId="5BFB00D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F4C1BDB" w14:textId="77777777" w:rsidTr="00EC5F86">
        <w:trPr>
          <w:cantSplit/>
          <w:trHeight w:val="23"/>
        </w:trPr>
        <w:tc>
          <w:tcPr>
            <w:tcW w:w="9356" w:type="dxa"/>
            <w:shd w:val="clear" w:color="auto" w:fill="auto"/>
          </w:tcPr>
          <w:p w14:paraId="475B9411" w14:textId="77777777" w:rsidR="000B0589" w:rsidRPr="00EC5F86" w:rsidRDefault="00EC5F8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6A650AE" w14:textId="77777777" w:rsidTr="00EC5F86">
        <w:trPr>
          <w:cantSplit/>
          <w:trHeight w:val="23"/>
        </w:trPr>
        <w:tc>
          <w:tcPr>
            <w:tcW w:w="9356" w:type="dxa"/>
            <w:shd w:val="clear" w:color="auto" w:fill="auto"/>
            <w:vAlign w:val="center"/>
          </w:tcPr>
          <w:p w14:paraId="3715E0F5" w14:textId="0D3F6F8A" w:rsidR="00EC5F86" w:rsidRDefault="00EC5F86" w:rsidP="00EC5F86">
            <w:pPr>
              <w:spacing w:before="60"/>
              <w:ind w:left="-108" w:right="34"/>
              <w:rPr>
                <w:color w:val="000000"/>
                <w:szCs w:val="22"/>
              </w:rPr>
            </w:pPr>
            <w:r>
              <w:rPr>
                <w:color w:val="000000"/>
                <w:szCs w:val="22"/>
              </w:rPr>
              <w:t xml:space="preserve">Inquiry Held on 14 </w:t>
            </w:r>
            <w:r w:rsidR="009C6606">
              <w:rPr>
                <w:color w:val="000000"/>
                <w:szCs w:val="22"/>
              </w:rPr>
              <w:t>May</w:t>
            </w:r>
            <w:r>
              <w:rPr>
                <w:color w:val="000000"/>
                <w:szCs w:val="22"/>
              </w:rPr>
              <w:t xml:space="preserve"> 202</w:t>
            </w:r>
            <w:r w:rsidR="009C6606">
              <w:rPr>
                <w:color w:val="000000"/>
                <w:szCs w:val="22"/>
              </w:rPr>
              <w:t>4</w:t>
            </w:r>
          </w:p>
          <w:p w14:paraId="45D56591" w14:textId="5AFD9307" w:rsidR="000B0589" w:rsidRPr="00EC5F86" w:rsidRDefault="00EC5F86" w:rsidP="00EC5F86">
            <w:pPr>
              <w:spacing w:before="60"/>
              <w:ind w:left="-108" w:right="34"/>
              <w:rPr>
                <w:color w:val="000000"/>
                <w:szCs w:val="22"/>
              </w:rPr>
            </w:pPr>
            <w:r>
              <w:rPr>
                <w:color w:val="000000"/>
                <w:szCs w:val="22"/>
              </w:rPr>
              <w:t>Site visit made on 1</w:t>
            </w:r>
            <w:r w:rsidR="009C6606">
              <w:rPr>
                <w:color w:val="000000"/>
                <w:szCs w:val="22"/>
              </w:rPr>
              <w:t xml:space="preserve">4 May </w:t>
            </w:r>
            <w:r>
              <w:rPr>
                <w:color w:val="000000"/>
                <w:szCs w:val="22"/>
              </w:rPr>
              <w:t>202</w:t>
            </w:r>
            <w:r w:rsidR="009C6606">
              <w:rPr>
                <w:color w:val="000000"/>
                <w:szCs w:val="22"/>
              </w:rPr>
              <w:t>4</w:t>
            </w:r>
          </w:p>
        </w:tc>
      </w:tr>
      <w:tr w:rsidR="000B0589" w:rsidRPr="00361890" w14:paraId="102B373A" w14:textId="77777777" w:rsidTr="00EC5F86">
        <w:trPr>
          <w:cantSplit/>
          <w:trHeight w:val="23"/>
        </w:trPr>
        <w:tc>
          <w:tcPr>
            <w:tcW w:w="9356" w:type="dxa"/>
            <w:shd w:val="clear" w:color="auto" w:fill="auto"/>
          </w:tcPr>
          <w:p w14:paraId="5571F75B" w14:textId="09CEBBD5" w:rsidR="000B0589" w:rsidRPr="00EC5F86" w:rsidRDefault="00EC5F86" w:rsidP="00EC5F86">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42288572" w14:textId="77777777" w:rsidTr="00EC5F86">
        <w:trPr>
          <w:cantSplit/>
          <w:trHeight w:val="23"/>
        </w:trPr>
        <w:tc>
          <w:tcPr>
            <w:tcW w:w="9356" w:type="dxa"/>
            <w:shd w:val="clear" w:color="auto" w:fill="auto"/>
          </w:tcPr>
          <w:p w14:paraId="64F26563" w14:textId="19B0B0D6" w:rsidR="000B0589" w:rsidRPr="00EC5F86" w:rsidRDefault="00EC5F8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B32E926" w14:textId="77777777" w:rsidTr="00EC5F86">
        <w:trPr>
          <w:cantSplit/>
          <w:trHeight w:val="23"/>
        </w:trPr>
        <w:tc>
          <w:tcPr>
            <w:tcW w:w="9356" w:type="dxa"/>
            <w:shd w:val="clear" w:color="auto" w:fill="auto"/>
          </w:tcPr>
          <w:p w14:paraId="27943145" w14:textId="6A5E3C3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A7B81">
              <w:rPr>
                <w:b/>
                <w:color w:val="000000"/>
                <w:sz w:val="16"/>
                <w:szCs w:val="16"/>
              </w:rPr>
              <w:t xml:space="preserve"> 4 June 2024</w:t>
            </w:r>
          </w:p>
        </w:tc>
      </w:tr>
    </w:tbl>
    <w:p w14:paraId="3A344ABE" w14:textId="77777777" w:rsidR="00EC5F86" w:rsidRDefault="00EC5F86" w:rsidP="000B0589"/>
    <w:tbl>
      <w:tblPr>
        <w:tblW w:w="0" w:type="auto"/>
        <w:tblLayout w:type="fixed"/>
        <w:tblLook w:val="0000" w:firstRow="0" w:lastRow="0" w:firstColumn="0" w:lastColumn="0" w:noHBand="0" w:noVBand="0"/>
      </w:tblPr>
      <w:tblGrid>
        <w:gridCol w:w="9520"/>
      </w:tblGrid>
      <w:tr w:rsidR="00EC5F86" w14:paraId="79E287BE" w14:textId="77777777" w:rsidTr="00EC5F86">
        <w:tc>
          <w:tcPr>
            <w:tcW w:w="9520" w:type="dxa"/>
            <w:shd w:val="clear" w:color="auto" w:fill="auto"/>
          </w:tcPr>
          <w:p w14:paraId="1C581321" w14:textId="02AAD7AE" w:rsidR="00EC5F86" w:rsidRPr="00EC5F86" w:rsidRDefault="00EC5F86" w:rsidP="00EC5F86">
            <w:pPr>
              <w:spacing w:after="60"/>
              <w:rPr>
                <w:b/>
                <w:color w:val="000000"/>
              </w:rPr>
            </w:pPr>
            <w:r>
              <w:rPr>
                <w:b/>
                <w:color w:val="000000"/>
              </w:rPr>
              <w:t>Order Ref: ROW/32</w:t>
            </w:r>
            <w:r w:rsidR="00EE5ACF">
              <w:rPr>
                <w:b/>
                <w:color w:val="000000"/>
              </w:rPr>
              <w:t>96722</w:t>
            </w:r>
          </w:p>
        </w:tc>
      </w:tr>
      <w:tr w:rsidR="00EC5F86" w14:paraId="5ABAC64D" w14:textId="77777777" w:rsidTr="00EC5F86">
        <w:tc>
          <w:tcPr>
            <w:tcW w:w="9520" w:type="dxa"/>
            <w:shd w:val="clear" w:color="auto" w:fill="auto"/>
          </w:tcPr>
          <w:p w14:paraId="6B1D3658" w14:textId="113DE918" w:rsidR="00EC5F86" w:rsidRDefault="00EC5F86" w:rsidP="00EC5F86">
            <w:pPr>
              <w:pStyle w:val="TBullet"/>
            </w:pPr>
            <w:r>
              <w:t xml:space="preserve">This Order is made under Section 53 (2) of the Wildlife and Countryside Act 1981 (the 1981 Act) and is known as the </w:t>
            </w:r>
            <w:r w:rsidR="00EE5ACF">
              <w:t>Somerset County Council (No. 3) Modification Order 2015</w:t>
            </w:r>
            <w:r w:rsidR="00A713D6">
              <w:t xml:space="preserve">. </w:t>
            </w:r>
          </w:p>
        </w:tc>
      </w:tr>
      <w:tr w:rsidR="00EC5F86" w14:paraId="25EA9F5C" w14:textId="77777777" w:rsidTr="00EC5F86">
        <w:tc>
          <w:tcPr>
            <w:tcW w:w="9520" w:type="dxa"/>
            <w:shd w:val="clear" w:color="auto" w:fill="auto"/>
          </w:tcPr>
          <w:p w14:paraId="0D6990F4" w14:textId="2522520B" w:rsidR="00EC5F86" w:rsidRDefault="00EC5F86" w:rsidP="00EC5F86">
            <w:pPr>
              <w:pStyle w:val="TBullet"/>
            </w:pPr>
            <w:r>
              <w:t>The Order is dated 2</w:t>
            </w:r>
            <w:r w:rsidR="004400E4">
              <w:t>2 May 2015 a</w:t>
            </w:r>
            <w:r>
              <w:t>nd proposes to modify the Definitive Map and Statement for the area by adding a footpath as shown in the Order plan and described in the Order Schedule.</w:t>
            </w:r>
          </w:p>
        </w:tc>
      </w:tr>
      <w:tr w:rsidR="00EC5F86" w14:paraId="3B6D7E8B" w14:textId="77777777" w:rsidTr="00EC5F86">
        <w:tc>
          <w:tcPr>
            <w:tcW w:w="9520" w:type="dxa"/>
            <w:shd w:val="clear" w:color="auto" w:fill="auto"/>
          </w:tcPr>
          <w:p w14:paraId="42EA8E9A" w14:textId="3EE42CAF" w:rsidR="00EC5F86" w:rsidRDefault="00EC5F86" w:rsidP="00EC5F86">
            <w:pPr>
              <w:pStyle w:val="TBullet"/>
            </w:pPr>
            <w:r>
              <w:t xml:space="preserve">There were </w:t>
            </w:r>
            <w:r w:rsidR="004C2FCD">
              <w:t>7</w:t>
            </w:r>
            <w:r>
              <w:t xml:space="preserve"> objections outstanding at the commencement of the Inquiry.</w:t>
            </w:r>
          </w:p>
        </w:tc>
      </w:tr>
      <w:tr w:rsidR="00EC5F86" w14:paraId="7C8DD68D" w14:textId="77777777" w:rsidTr="00EC5F86">
        <w:tc>
          <w:tcPr>
            <w:tcW w:w="9520" w:type="dxa"/>
            <w:shd w:val="clear" w:color="auto" w:fill="auto"/>
          </w:tcPr>
          <w:p w14:paraId="62F56E1A" w14:textId="1A26BA8A" w:rsidR="00EC5F86" w:rsidRPr="00EC5F86" w:rsidRDefault="00EC5F86" w:rsidP="00EC5F86">
            <w:pPr>
              <w:spacing w:before="60"/>
              <w:rPr>
                <w:b/>
                <w:color w:val="000000"/>
              </w:rPr>
            </w:pPr>
            <w:r>
              <w:rPr>
                <w:b/>
                <w:color w:val="000000"/>
              </w:rPr>
              <w:t xml:space="preserve">Summary of Decision: </w:t>
            </w:r>
            <w:r w:rsidR="00A63D10" w:rsidRPr="00A63D10">
              <w:rPr>
                <w:b/>
                <w:color w:val="000000"/>
              </w:rPr>
              <w:t xml:space="preserve">The </w:t>
            </w:r>
            <w:r w:rsidR="00A63D10" w:rsidRPr="00A63D10">
              <w:rPr>
                <w:b/>
                <w:bCs/>
                <w:color w:val="000000"/>
              </w:rPr>
              <w:t>Order is proposed for confirmation subject to the modification set out below in the Formal Decision</w:t>
            </w:r>
            <w:r w:rsidR="00A713D6">
              <w:rPr>
                <w:b/>
                <w:bCs/>
                <w:color w:val="000000"/>
              </w:rPr>
              <w:t>.</w:t>
            </w:r>
            <w:r w:rsidR="00A63D10" w:rsidRPr="00A63D10">
              <w:rPr>
                <w:b/>
                <w:color w:val="000000"/>
              </w:rPr>
              <w:t xml:space="preserve"> </w:t>
            </w:r>
          </w:p>
        </w:tc>
      </w:tr>
      <w:tr w:rsidR="00EC5F86" w14:paraId="551809E9" w14:textId="77777777" w:rsidTr="00EC5F86">
        <w:tc>
          <w:tcPr>
            <w:tcW w:w="9520" w:type="dxa"/>
            <w:tcBorders>
              <w:bottom w:val="single" w:sz="6" w:space="0" w:color="000000"/>
            </w:tcBorders>
            <w:shd w:val="clear" w:color="auto" w:fill="auto"/>
          </w:tcPr>
          <w:p w14:paraId="0A1EA7CD" w14:textId="77777777" w:rsidR="00EC5F86" w:rsidRPr="00EC5F86" w:rsidRDefault="00EC5F86" w:rsidP="00EC5F86">
            <w:pPr>
              <w:spacing w:before="60"/>
              <w:rPr>
                <w:b/>
                <w:color w:val="000000"/>
                <w:sz w:val="2"/>
              </w:rPr>
            </w:pPr>
            <w:bookmarkStart w:id="1" w:name="bmkReturn"/>
            <w:bookmarkEnd w:id="1"/>
          </w:p>
        </w:tc>
      </w:tr>
    </w:tbl>
    <w:p w14:paraId="560FF04D" w14:textId="77777777" w:rsidR="00EC5F86" w:rsidRDefault="00EC5F86" w:rsidP="00EC5F86">
      <w:pPr>
        <w:pStyle w:val="Heading6blackfont"/>
      </w:pPr>
      <w:r>
        <w:t>Procedural Matters</w:t>
      </w:r>
    </w:p>
    <w:p w14:paraId="66A231D6" w14:textId="7B68F794" w:rsidR="00315CCC" w:rsidRDefault="00EC5F86" w:rsidP="00EC5F86">
      <w:pPr>
        <w:numPr>
          <w:ilvl w:val="0"/>
          <w:numId w:val="24"/>
        </w:numPr>
        <w:tabs>
          <w:tab w:val="left" w:pos="432"/>
        </w:tabs>
        <w:spacing w:before="180"/>
        <w:outlineLvl w:val="0"/>
        <w:rPr>
          <w:color w:val="000000"/>
          <w:kern w:val="28"/>
        </w:rPr>
      </w:pPr>
      <w:r w:rsidRPr="00EC5F86">
        <w:rPr>
          <w:color w:val="000000"/>
          <w:kern w:val="28"/>
        </w:rPr>
        <w:t xml:space="preserve">The </w:t>
      </w:r>
      <w:r w:rsidR="006D2457">
        <w:rPr>
          <w:color w:val="000000"/>
          <w:kern w:val="28"/>
        </w:rPr>
        <w:t xml:space="preserve">Order </w:t>
      </w:r>
      <w:r w:rsidRPr="00EC5F86">
        <w:rPr>
          <w:color w:val="000000"/>
          <w:kern w:val="28"/>
        </w:rPr>
        <w:t>route is shown between points</w:t>
      </w:r>
      <w:r w:rsidR="006D2457">
        <w:rPr>
          <w:color w:val="000000"/>
          <w:kern w:val="28"/>
        </w:rPr>
        <w:t xml:space="preserve"> A-B</w:t>
      </w:r>
      <w:r w:rsidR="000C2FB2">
        <w:rPr>
          <w:color w:val="000000"/>
          <w:kern w:val="28"/>
        </w:rPr>
        <w:t xml:space="preserve"> </w:t>
      </w:r>
      <w:r w:rsidR="00DF4CF0">
        <w:rPr>
          <w:color w:val="000000"/>
          <w:kern w:val="28"/>
        </w:rPr>
        <w:t>o</w:t>
      </w:r>
      <w:r w:rsidRPr="00EC5F86">
        <w:rPr>
          <w:color w:val="000000"/>
          <w:kern w:val="28"/>
        </w:rPr>
        <w:t>n the Order Plan (see Appendix 1) and</w:t>
      </w:r>
      <w:r w:rsidR="00DF4CF0">
        <w:rPr>
          <w:color w:val="000000"/>
          <w:kern w:val="28"/>
        </w:rPr>
        <w:t xml:space="preserve"> comprises a </w:t>
      </w:r>
      <w:r w:rsidR="000C2FB2">
        <w:rPr>
          <w:color w:val="000000"/>
          <w:kern w:val="28"/>
        </w:rPr>
        <w:t xml:space="preserve">linear route between </w:t>
      </w:r>
      <w:r w:rsidR="00100325">
        <w:rPr>
          <w:color w:val="000000"/>
          <w:kern w:val="28"/>
        </w:rPr>
        <w:t>Mill Stream Gardens and Burchill’s Hill</w:t>
      </w:r>
      <w:r w:rsidR="003122CF">
        <w:rPr>
          <w:color w:val="000000"/>
          <w:kern w:val="28"/>
        </w:rPr>
        <w:t xml:space="preserve"> approximately 80 metres in length</w:t>
      </w:r>
      <w:r w:rsidR="00100325">
        <w:rPr>
          <w:color w:val="000000"/>
          <w:kern w:val="28"/>
        </w:rPr>
        <w:t>.</w:t>
      </w:r>
      <w:r w:rsidR="00315CCC">
        <w:rPr>
          <w:color w:val="000000"/>
          <w:kern w:val="28"/>
        </w:rPr>
        <w:t xml:space="preserve"> </w:t>
      </w:r>
    </w:p>
    <w:p w14:paraId="6E6B1366" w14:textId="61416704" w:rsidR="001021CB" w:rsidRDefault="00315CCC" w:rsidP="00087155">
      <w:pPr>
        <w:pStyle w:val="Style1"/>
      </w:pPr>
      <w:r w:rsidRPr="006C69DD">
        <w:t xml:space="preserve">The </w:t>
      </w:r>
      <w:r w:rsidR="00692BCE" w:rsidRPr="006C69DD">
        <w:t xml:space="preserve">application to add the route to the Definitive Map and Statement (DMS) was made </w:t>
      </w:r>
      <w:r w:rsidR="00BE140F" w:rsidRPr="006C69DD">
        <w:t xml:space="preserve">by </w:t>
      </w:r>
      <w:r w:rsidR="00CA2078">
        <w:t xml:space="preserve">the </w:t>
      </w:r>
      <w:proofErr w:type="spellStart"/>
      <w:r w:rsidR="00CA2078">
        <w:t>Tonedale</w:t>
      </w:r>
      <w:proofErr w:type="spellEnd"/>
      <w:r w:rsidR="00CA2078">
        <w:t xml:space="preserve"> Action Group</w:t>
      </w:r>
      <w:r w:rsidR="00BE140F" w:rsidRPr="006C69DD">
        <w:t xml:space="preserve"> </w:t>
      </w:r>
      <w:r w:rsidR="000D10D9" w:rsidRPr="006C69DD">
        <w:t>and is dated 2</w:t>
      </w:r>
      <w:r w:rsidR="00BC781C">
        <w:t>4 August 2008</w:t>
      </w:r>
      <w:r w:rsidR="00A713D6">
        <w:t xml:space="preserve">. </w:t>
      </w:r>
      <w:r w:rsidR="00FC2027" w:rsidRPr="006C69DD">
        <w:t xml:space="preserve">The Order was </w:t>
      </w:r>
      <w:r w:rsidR="007A2CE7" w:rsidRPr="006C69DD">
        <w:t>considered</w:t>
      </w:r>
      <w:r w:rsidR="00FC2027" w:rsidRPr="006C69DD">
        <w:t xml:space="preserve"> by </w:t>
      </w:r>
      <w:r w:rsidR="00BC781C">
        <w:t xml:space="preserve">Somerset </w:t>
      </w:r>
      <w:r w:rsidR="009D7766">
        <w:t xml:space="preserve">Council’s </w:t>
      </w:r>
      <w:r w:rsidR="000D2984">
        <w:t>(</w:t>
      </w:r>
      <w:r w:rsidR="0074451F">
        <w:t xml:space="preserve">the Order Making Authority (OMA)) </w:t>
      </w:r>
      <w:r w:rsidR="00FB5770">
        <w:t xml:space="preserve">Regulation Committee </w:t>
      </w:r>
      <w:r w:rsidR="007A2CE7" w:rsidRPr="006C69DD">
        <w:t>on 1</w:t>
      </w:r>
      <w:r w:rsidR="00791242">
        <w:t xml:space="preserve">3 March 2014 who </w:t>
      </w:r>
      <w:r w:rsidR="00210713">
        <w:t>resolved</w:t>
      </w:r>
      <w:r w:rsidR="00791242">
        <w:t xml:space="preserve"> </w:t>
      </w:r>
      <w:r w:rsidR="00210713">
        <w:t>that an Order should be made</w:t>
      </w:r>
      <w:r w:rsidR="00A713D6">
        <w:t xml:space="preserve">. </w:t>
      </w:r>
    </w:p>
    <w:p w14:paraId="0CF50317" w14:textId="3C6A4910" w:rsidR="00315CCC" w:rsidRPr="006C69DD" w:rsidRDefault="00E66EE7" w:rsidP="00087155">
      <w:pPr>
        <w:pStyle w:val="Style1"/>
      </w:pPr>
      <w:r>
        <w:t xml:space="preserve">The </w:t>
      </w:r>
      <w:r w:rsidR="008100EB">
        <w:t>Order route</w:t>
      </w:r>
      <w:r w:rsidR="008A0FDC">
        <w:t xml:space="preserve"> is currently closed with fenc</w:t>
      </w:r>
      <w:r w:rsidR="00EF2AA5">
        <w:t>ing</w:t>
      </w:r>
      <w:r w:rsidR="008A0FDC">
        <w:t xml:space="preserve"> at </w:t>
      </w:r>
      <w:r w:rsidR="00CB3B34">
        <w:t>p</w:t>
      </w:r>
      <w:r w:rsidR="008A0FDC">
        <w:t xml:space="preserve">oints A and B preventing access </w:t>
      </w:r>
      <w:r w:rsidR="00233C65">
        <w:t>by the public</w:t>
      </w:r>
      <w:r w:rsidR="00A713D6">
        <w:t xml:space="preserve">. </w:t>
      </w:r>
      <w:r w:rsidR="00233C65">
        <w:t>Since 201</w:t>
      </w:r>
      <w:r w:rsidR="00CE75B7">
        <w:t>5</w:t>
      </w:r>
      <w:r w:rsidR="00233C65">
        <w:t xml:space="preserve"> the land has been owned by </w:t>
      </w:r>
      <w:r w:rsidR="008100EB">
        <w:t>Mrs C</w:t>
      </w:r>
      <w:r w:rsidR="00747F80">
        <w:t>hristine</w:t>
      </w:r>
      <w:r w:rsidR="008100EB">
        <w:t xml:space="preserve"> Curtis</w:t>
      </w:r>
      <w:r w:rsidR="00C80E0F">
        <w:t xml:space="preserve"> (the objector)</w:t>
      </w:r>
      <w:r w:rsidR="00233C65">
        <w:t xml:space="preserve">. Prior to that the land was owned </w:t>
      </w:r>
      <w:r w:rsidR="00F74838">
        <w:t>by</w:t>
      </w:r>
      <w:r w:rsidR="00CE75B7">
        <w:t xml:space="preserve"> Mr &amp; Mrs Lodge </w:t>
      </w:r>
      <w:r w:rsidR="000264DB">
        <w:t xml:space="preserve">who purchased it from </w:t>
      </w:r>
      <w:r w:rsidR="00F74838">
        <w:t>Mr &amp; Mrs Spurway</w:t>
      </w:r>
      <w:r w:rsidR="00A713D6">
        <w:t xml:space="preserve">. </w:t>
      </w:r>
      <w:r w:rsidR="008B161C">
        <w:t xml:space="preserve">A summary of the </w:t>
      </w:r>
      <w:r w:rsidR="0059150B">
        <w:t>landownership</w:t>
      </w:r>
      <w:r w:rsidR="00A9299B">
        <w:t xml:space="preserve"> between 1954 and 2011 is contained in </w:t>
      </w:r>
      <w:r w:rsidR="0059150B">
        <w:t>the OMA’s Appendix SC/5</w:t>
      </w:r>
      <w:r w:rsidR="00A713D6">
        <w:t xml:space="preserve">. </w:t>
      </w:r>
    </w:p>
    <w:p w14:paraId="702E93A3" w14:textId="6C31677A" w:rsidR="00EC5F86" w:rsidRPr="00087155" w:rsidRDefault="00EC5F86" w:rsidP="00EC5F86">
      <w:pPr>
        <w:numPr>
          <w:ilvl w:val="0"/>
          <w:numId w:val="24"/>
        </w:numPr>
        <w:tabs>
          <w:tab w:val="left" w:pos="432"/>
        </w:tabs>
        <w:spacing w:before="180"/>
        <w:outlineLvl w:val="0"/>
        <w:rPr>
          <w:color w:val="000000"/>
          <w:kern w:val="28"/>
        </w:rPr>
      </w:pPr>
      <w:r w:rsidRPr="00EC5F86">
        <w:rPr>
          <w:color w:val="000000"/>
          <w:kern w:val="28"/>
        </w:rPr>
        <w:t>I carried out a site visit on</w:t>
      </w:r>
      <w:r>
        <w:rPr>
          <w:color w:val="000000"/>
          <w:kern w:val="28"/>
        </w:rPr>
        <w:t xml:space="preserve"> 1</w:t>
      </w:r>
      <w:r w:rsidR="00701CFB">
        <w:rPr>
          <w:color w:val="000000"/>
          <w:kern w:val="28"/>
        </w:rPr>
        <w:t xml:space="preserve">4 May 2024 where I was </w:t>
      </w:r>
      <w:r w:rsidR="00701CFB" w:rsidRPr="00EC5F86">
        <w:rPr>
          <w:color w:val="000000"/>
          <w:kern w:val="28"/>
        </w:rPr>
        <w:t>accompanied</w:t>
      </w:r>
      <w:r w:rsidR="00701CFB">
        <w:rPr>
          <w:color w:val="000000"/>
          <w:kern w:val="28"/>
        </w:rPr>
        <w:t xml:space="preserve"> by a </w:t>
      </w:r>
      <w:r w:rsidR="00630A86">
        <w:rPr>
          <w:color w:val="000000"/>
          <w:kern w:val="28"/>
        </w:rPr>
        <w:t>representative</w:t>
      </w:r>
      <w:r w:rsidR="00701CFB">
        <w:rPr>
          <w:color w:val="000000"/>
          <w:kern w:val="28"/>
        </w:rPr>
        <w:t xml:space="preserve"> of the objector and </w:t>
      </w:r>
      <w:r w:rsidR="00630A86">
        <w:rPr>
          <w:color w:val="000000"/>
          <w:kern w:val="28"/>
        </w:rPr>
        <w:t>the OMA</w:t>
      </w:r>
      <w:r w:rsidR="00A713D6">
        <w:rPr>
          <w:color w:val="000000"/>
          <w:kern w:val="28"/>
        </w:rPr>
        <w:t xml:space="preserve">. </w:t>
      </w:r>
      <w:r w:rsidR="00630A86">
        <w:rPr>
          <w:color w:val="000000"/>
          <w:kern w:val="28"/>
        </w:rPr>
        <w:t>At that visit, measurements were taken</w:t>
      </w:r>
      <w:r w:rsidR="00C62622">
        <w:rPr>
          <w:color w:val="000000"/>
          <w:kern w:val="28"/>
        </w:rPr>
        <w:t xml:space="preserve"> and agreed between the parties</w:t>
      </w:r>
      <w:r w:rsidR="00A713D6">
        <w:rPr>
          <w:color w:val="000000"/>
          <w:kern w:val="28"/>
        </w:rPr>
        <w:t xml:space="preserve">. </w:t>
      </w:r>
      <w:proofErr w:type="gramStart"/>
      <w:r w:rsidR="00630A86">
        <w:rPr>
          <w:color w:val="000000"/>
          <w:kern w:val="28"/>
        </w:rPr>
        <w:t>As a consequence</w:t>
      </w:r>
      <w:proofErr w:type="gramEnd"/>
      <w:r w:rsidR="00C62622">
        <w:rPr>
          <w:color w:val="000000"/>
          <w:kern w:val="28"/>
        </w:rPr>
        <w:t xml:space="preserve">, should the </w:t>
      </w:r>
      <w:r w:rsidR="001A204E">
        <w:rPr>
          <w:color w:val="000000"/>
          <w:kern w:val="28"/>
        </w:rPr>
        <w:t>Order be confirmed, it would require</w:t>
      </w:r>
      <w:r w:rsidR="00A80475">
        <w:rPr>
          <w:color w:val="000000"/>
          <w:kern w:val="28"/>
        </w:rPr>
        <w:t xml:space="preserve"> a</w:t>
      </w:r>
      <w:r w:rsidR="001A204E">
        <w:rPr>
          <w:color w:val="000000"/>
          <w:kern w:val="28"/>
        </w:rPr>
        <w:t xml:space="preserve"> </w:t>
      </w:r>
      <w:r w:rsidR="00326C71">
        <w:rPr>
          <w:color w:val="000000"/>
          <w:kern w:val="28"/>
        </w:rPr>
        <w:t>m</w:t>
      </w:r>
      <w:r w:rsidR="001A204E">
        <w:rPr>
          <w:color w:val="000000"/>
          <w:kern w:val="28"/>
        </w:rPr>
        <w:t xml:space="preserve">odification </w:t>
      </w:r>
      <w:r w:rsidR="004F248E">
        <w:rPr>
          <w:color w:val="000000"/>
          <w:kern w:val="28"/>
        </w:rPr>
        <w:t>insofar as it relates t</w:t>
      </w:r>
      <w:r w:rsidR="00000831">
        <w:rPr>
          <w:color w:val="000000"/>
          <w:kern w:val="28"/>
        </w:rPr>
        <w:t>o the width of the route</w:t>
      </w:r>
      <w:r w:rsidR="00A713D6">
        <w:rPr>
          <w:color w:val="000000"/>
          <w:kern w:val="28"/>
        </w:rPr>
        <w:t xml:space="preserve">. </w:t>
      </w:r>
      <w:r>
        <w:rPr>
          <w:color w:val="000000"/>
          <w:kern w:val="28"/>
        </w:rPr>
        <w:t xml:space="preserve">  </w:t>
      </w:r>
      <w:r w:rsidRPr="00EC5F86">
        <w:rPr>
          <w:color w:val="000000"/>
          <w:kern w:val="28"/>
        </w:rPr>
        <w:t xml:space="preserve">  </w:t>
      </w:r>
    </w:p>
    <w:p w14:paraId="7AE2E7E9" w14:textId="5B08804B" w:rsidR="00EC5F86" w:rsidRDefault="00EC5F86" w:rsidP="00EC5F86">
      <w:pPr>
        <w:pStyle w:val="Heading6blackfont"/>
      </w:pPr>
      <w:r>
        <w:t>The Main Issues</w:t>
      </w:r>
    </w:p>
    <w:p w14:paraId="4B6CD403" w14:textId="6115F3B2" w:rsidR="00EC5F86" w:rsidRDefault="00EC5F86" w:rsidP="00EC5F86">
      <w:pPr>
        <w:pStyle w:val="Style1"/>
        <w:numPr>
          <w:ilvl w:val="0"/>
          <w:numId w:val="21"/>
        </w:numPr>
        <w:tabs>
          <w:tab w:val="clear" w:pos="720"/>
        </w:tabs>
      </w:pPr>
      <w:r>
        <w:t>The Order is made under Section 53(2)(b) of the 1981 Act, relying on the occurrence of an event specified in Section 53(3)(c)(i) of the same</w:t>
      </w:r>
      <w:r w:rsidR="00A713D6">
        <w:t xml:space="preserve">. </w:t>
      </w:r>
      <w:r>
        <w:t xml:space="preserve">This section requires me to consider whether the evidence discovered by the OMA, when considered with all other relevant evidence, is sufficient to show, on the </w:t>
      </w:r>
      <w:r>
        <w:lastRenderedPageBreak/>
        <w:t>balance of probabilities, that the right of way described in the Order subsists and that the DMS therefore requires modification.</w:t>
      </w:r>
    </w:p>
    <w:p w14:paraId="290E5FEB" w14:textId="5BA917E3" w:rsidR="00EC5F86" w:rsidRDefault="00EC5F86" w:rsidP="00EC5F86">
      <w:pPr>
        <w:pStyle w:val="Style1"/>
        <w:numPr>
          <w:ilvl w:val="0"/>
          <w:numId w:val="21"/>
        </w:numPr>
        <w:tabs>
          <w:tab w:val="clear" w:pos="720"/>
        </w:tabs>
      </w:pPr>
      <w:r>
        <w:t xml:space="preserve">The </w:t>
      </w:r>
      <w:r w:rsidR="0074451F">
        <w:t xml:space="preserve">OMA </w:t>
      </w:r>
      <w:r>
        <w:t xml:space="preserve">rely on statutory dedication of the Order routes under Section 31 of the 1980 </w:t>
      </w:r>
      <w:r w:rsidR="0074451F">
        <w:t>Highway</w:t>
      </w:r>
      <w:r w:rsidR="000A7C8D">
        <w:t>s</w:t>
      </w:r>
      <w:r w:rsidR="0074451F">
        <w:t xml:space="preserve"> </w:t>
      </w:r>
      <w:r>
        <w:t>Act</w:t>
      </w:r>
      <w:r w:rsidR="00A713D6">
        <w:t xml:space="preserve">. </w:t>
      </w:r>
      <w:r>
        <w:t xml:space="preserve">This provides that where a way, other than a way of such a character that use of it could not give rise at common law to any presumption of dedication, has been actually enjoyed by the public, as of right and without interruption, for a period of twenty years, the way is deemed to have been dedicated as a highway unless there is sufficient evidence that the landowner demonstrated a </w:t>
      </w:r>
      <w:r w:rsidR="00CC4638">
        <w:t xml:space="preserve">lack </w:t>
      </w:r>
      <w:r>
        <w:t>of intention during this period to dedicate the route</w:t>
      </w:r>
      <w:r w:rsidR="00A713D6">
        <w:t xml:space="preserve">. </w:t>
      </w:r>
    </w:p>
    <w:p w14:paraId="312D1731" w14:textId="3F84A85D" w:rsidR="00653ABE" w:rsidRDefault="00EC5F86" w:rsidP="00653ABE">
      <w:pPr>
        <w:pStyle w:val="Style1"/>
      </w:pPr>
      <w:r>
        <w:t xml:space="preserve">‘As of right’ is set out in </w:t>
      </w:r>
      <w:r w:rsidRPr="00411A9E">
        <w:rPr>
          <w:i/>
          <w:iCs/>
        </w:rPr>
        <w:t xml:space="preserve">R v Oxfordshire County Council, ex </w:t>
      </w:r>
      <w:proofErr w:type="spellStart"/>
      <w:r w:rsidRPr="00411A9E">
        <w:rPr>
          <w:i/>
          <w:iCs/>
        </w:rPr>
        <w:t>parte</w:t>
      </w:r>
      <w:proofErr w:type="spellEnd"/>
      <w:r w:rsidRPr="00411A9E">
        <w:rPr>
          <w:i/>
          <w:iCs/>
        </w:rPr>
        <w:t xml:space="preserve"> Sunningwell Parish Council </w:t>
      </w:r>
      <w:r>
        <w:t xml:space="preserve">(1999) as being without force, </w:t>
      </w:r>
      <w:proofErr w:type="gramStart"/>
      <w:r>
        <w:t>secrecy</w:t>
      </w:r>
      <w:proofErr w:type="gramEnd"/>
      <w:r>
        <w:t xml:space="preserve"> or permission</w:t>
      </w:r>
      <w:r w:rsidR="00A713D6">
        <w:t xml:space="preserve">. </w:t>
      </w:r>
      <w:r>
        <w:t>The 20-year period applies retrospectively from the date on which the right of the public to</w:t>
      </w:r>
      <w:r w:rsidR="00653ABE" w:rsidRPr="00653ABE">
        <w:t xml:space="preserve"> </w:t>
      </w:r>
      <w:r w:rsidR="00653ABE">
        <w:t>use the way was brought into question.</w:t>
      </w:r>
    </w:p>
    <w:p w14:paraId="26B7642E" w14:textId="4AFE4DFE" w:rsidR="00EC5F86" w:rsidRDefault="00653ABE" w:rsidP="00653ABE">
      <w:pPr>
        <w:pStyle w:val="Style1"/>
      </w:pPr>
      <w:r w:rsidRPr="00653ABE">
        <w:t xml:space="preserve">In addition to considering the user evidence </w:t>
      </w:r>
      <w:proofErr w:type="gramStart"/>
      <w:r w:rsidRPr="00653ABE">
        <w:t>with regard to</w:t>
      </w:r>
      <w:proofErr w:type="gramEnd"/>
      <w:r w:rsidRPr="00653ABE">
        <w:t xml:space="preserve"> the provisions of section 31 of the 1980 Act, I am also required to consider whether dedication of the claimed route has taken place at common law</w:t>
      </w:r>
      <w:r w:rsidR="00A713D6">
        <w:t xml:space="preserve">. </w:t>
      </w:r>
      <w:r w:rsidRPr="00653ABE">
        <w:t>The evidential test to be applied, at common law or under the statutory provisions, is the civil standard of proof; that is, the balance of probabilities</w:t>
      </w:r>
      <w:r w:rsidR="00A713D6">
        <w:t xml:space="preserve">. </w:t>
      </w:r>
      <w:r w:rsidRPr="00653ABE">
        <w:t xml:space="preserve"> </w:t>
      </w:r>
    </w:p>
    <w:p w14:paraId="22186B53" w14:textId="77777777" w:rsidR="0019145F" w:rsidRDefault="0019145F" w:rsidP="0019145F">
      <w:pPr>
        <w:pStyle w:val="Heading6blackfont"/>
      </w:pPr>
      <w:r>
        <w:t xml:space="preserve">Legal Submissions </w:t>
      </w:r>
    </w:p>
    <w:p w14:paraId="1DDA2147" w14:textId="3E5BB4A6" w:rsidR="0019145F" w:rsidRDefault="0019145F" w:rsidP="0019145F">
      <w:pPr>
        <w:pStyle w:val="Style1"/>
        <w:tabs>
          <w:tab w:val="clear" w:pos="720"/>
        </w:tabs>
      </w:pPr>
      <w:r>
        <w:t xml:space="preserve">I shall first consider the legal submissions made by </w:t>
      </w:r>
      <w:r w:rsidR="00C80E0F">
        <w:t xml:space="preserve">the objector </w:t>
      </w:r>
      <w:r w:rsidR="007D18CF">
        <w:t xml:space="preserve">in respect of </w:t>
      </w:r>
      <w:r>
        <w:t>Article 6 of the European Convention on Human Rights (ECHR)</w:t>
      </w:r>
      <w:r w:rsidR="007D18CF">
        <w:t xml:space="preserve"> and</w:t>
      </w:r>
      <w:r>
        <w:t xml:space="preserve"> the laches doctrine</w:t>
      </w:r>
      <w:r w:rsidR="00A713D6">
        <w:t xml:space="preserve">. </w:t>
      </w:r>
      <w:r>
        <w:t xml:space="preserve"> </w:t>
      </w:r>
    </w:p>
    <w:p w14:paraId="543B5744" w14:textId="77777777" w:rsidR="0019145F" w:rsidRDefault="0019145F" w:rsidP="0019145F">
      <w:pPr>
        <w:pStyle w:val="Heading6blackfont"/>
      </w:pPr>
      <w:r>
        <w:t xml:space="preserve">Human rights </w:t>
      </w:r>
    </w:p>
    <w:p w14:paraId="038FA792" w14:textId="5C4EBEE8" w:rsidR="0019145F" w:rsidRDefault="0019145F" w:rsidP="0019145F">
      <w:pPr>
        <w:pStyle w:val="Style1"/>
        <w:tabs>
          <w:tab w:val="clear" w:pos="720"/>
        </w:tabs>
      </w:pPr>
      <w:r>
        <w:t>Article 6(1) of the</w:t>
      </w:r>
      <w:r w:rsidR="007D18CF">
        <w:t xml:space="preserve"> ECHR </w:t>
      </w:r>
      <w:r>
        <w:t>states: ‘</w:t>
      </w:r>
      <w:r w:rsidRPr="00143328">
        <w:rPr>
          <w:i/>
          <w:iCs/>
        </w:rPr>
        <w:t>In the determination of his civil rights and obligations or of any criminal charge against him, everyone is entitled to a fair and public hearing within a reasonable time by an independent and impartial tribunal established by law</w:t>
      </w:r>
      <w:r>
        <w:t>…’</w:t>
      </w:r>
      <w:r w:rsidR="00A713D6">
        <w:t xml:space="preserve">. </w:t>
      </w:r>
    </w:p>
    <w:p w14:paraId="391C33AD" w14:textId="02D86216" w:rsidR="0019145F" w:rsidRDefault="0019145F" w:rsidP="0019145F">
      <w:pPr>
        <w:pStyle w:val="Style1"/>
        <w:tabs>
          <w:tab w:val="clear" w:pos="720"/>
        </w:tabs>
      </w:pPr>
      <w:r>
        <w:t xml:space="preserve">The </w:t>
      </w:r>
      <w:r w:rsidR="00FB685C">
        <w:t>I</w:t>
      </w:r>
      <w:r>
        <w:t>nquiry constitutes a public hearing for the purpose of Article 6</w:t>
      </w:r>
      <w:r w:rsidR="00A713D6">
        <w:t xml:space="preserve">. </w:t>
      </w:r>
      <w:r>
        <w:t xml:space="preserve">No issue is taken with the fairness of the </w:t>
      </w:r>
      <w:r w:rsidR="007D18CF">
        <w:t>I</w:t>
      </w:r>
      <w:r>
        <w:t>nquiry or my independence and impartiality</w:t>
      </w:r>
      <w:r w:rsidR="00A713D6">
        <w:t xml:space="preserve">. </w:t>
      </w:r>
      <w:r>
        <w:t>The matter of concern stems from the time taken for this case to be determined</w:t>
      </w:r>
      <w:r w:rsidR="00A713D6">
        <w:t xml:space="preserve">. </w:t>
      </w:r>
      <w:r>
        <w:t xml:space="preserve">A period of </w:t>
      </w:r>
      <w:r w:rsidR="003E190C">
        <w:t xml:space="preserve">nearly </w:t>
      </w:r>
      <w:r>
        <w:t>1</w:t>
      </w:r>
      <w:r w:rsidR="00646958">
        <w:t>6</w:t>
      </w:r>
      <w:r>
        <w:t xml:space="preserve"> years has passed since the application was made to add the claimed route to the </w:t>
      </w:r>
      <w:r w:rsidR="00A72E65">
        <w:t>DMS</w:t>
      </w:r>
      <w:r w:rsidR="008133F6">
        <w:t xml:space="preserve"> and a period of </w:t>
      </w:r>
      <w:r w:rsidR="00FB685C">
        <w:t xml:space="preserve">approximately 5.5 years </w:t>
      </w:r>
      <w:r>
        <w:t xml:space="preserve">for the </w:t>
      </w:r>
      <w:r w:rsidR="00FB685C">
        <w:t xml:space="preserve">OMA </w:t>
      </w:r>
      <w:r>
        <w:t>to reach its decision to make an Order</w:t>
      </w:r>
      <w:r w:rsidR="00D07787">
        <w:t xml:space="preserve"> and a further </w:t>
      </w:r>
      <w:r w:rsidR="00280C21">
        <w:t xml:space="preserve">7 years </w:t>
      </w:r>
      <w:r w:rsidR="00D07787">
        <w:t>for the Order to be submitted to the Planning Inspectorate</w:t>
      </w:r>
      <w:r w:rsidR="00A713D6">
        <w:t xml:space="preserve">. </w:t>
      </w:r>
    </w:p>
    <w:p w14:paraId="09F75110" w14:textId="361B8CBA" w:rsidR="0019145F" w:rsidRDefault="00BD11F2" w:rsidP="0019145F">
      <w:pPr>
        <w:pStyle w:val="Style1"/>
        <w:tabs>
          <w:tab w:val="clear" w:pos="720"/>
        </w:tabs>
      </w:pPr>
      <w:r>
        <w:t>While</w:t>
      </w:r>
      <w:r w:rsidR="00FB685C">
        <w:t xml:space="preserve"> the timeline set out above is not unusual in the context of rights of way casework, that d</w:t>
      </w:r>
      <w:r w:rsidR="00172F2A">
        <w:t>oes not make</w:t>
      </w:r>
      <w:r w:rsidR="00C80E0F">
        <w:t xml:space="preserve"> it</w:t>
      </w:r>
      <w:r w:rsidR="00172F2A">
        <w:t xml:space="preserve"> any less acceptable to </w:t>
      </w:r>
      <w:r>
        <w:t>the</w:t>
      </w:r>
      <w:r w:rsidR="0019145F">
        <w:t xml:space="preserve"> parties </w:t>
      </w:r>
      <w:r>
        <w:t>who</w:t>
      </w:r>
      <w:r w:rsidR="00034191">
        <w:t xml:space="preserve"> have</w:t>
      </w:r>
      <w:r>
        <w:t xml:space="preserve"> had to wait a</w:t>
      </w:r>
      <w:r w:rsidR="00305DAD">
        <w:t xml:space="preserve"> considerable </w:t>
      </w:r>
      <w:proofErr w:type="gramStart"/>
      <w:r w:rsidR="0019145F">
        <w:t xml:space="preserve">period </w:t>
      </w:r>
      <w:r w:rsidR="00305DAD">
        <w:t>of time</w:t>
      </w:r>
      <w:proofErr w:type="gramEnd"/>
      <w:r w:rsidR="00305DAD">
        <w:t xml:space="preserve"> </w:t>
      </w:r>
      <w:r w:rsidR="0019145F">
        <w:t>for</w:t>
      </w:r>
      <w:r>
        <w:t xml:space="preserve"> the matter to be concluded</w:t>
      </w:r>
      <w:r w:rsidR="00A713D6">
        <w:t xml:space="preserve">. </w:t>
      </w:r>
    </w:p>
    <w:p w14:paraId="6FED84C9" w14:textId="59F29243" w:rsidR="0019145F" w:rsidRDefault="0019145F" w:rsidP="0019145F">
      <w:pPr>
        <w:pStyle w:val="Style1"/>
        <w:tabs>
          <w:tab w:val="clear" w:pos="720"/>
        </w:tabs>
      </w:pPr>
      <w:r>
        <w:t>Schedule 15 to the 1981 Act sets out the procedure to be adopted following a decision by a surveying authority to make an Order</w:t>
      </w:r>
      <w:r w:rsidR="00A713D6">
        <w:t xml:space="preserve">. </w:t>
      </w:r>
      <w:r>
        <w:t>If a duly made objection or representation is submitted to the Order and not withdrawn</w:t>
      </w:r>
      <w:r w:rsidR="00C80E0F">
        <w:t>,</w:t>
      </w:r>
      <w:r>
        <w:t xml:space="preserve"> the</w:t>
      </w:r>
      <w:r w:rsidR="00756924">
        <w:t xml:space="preserve"> OMA </w:t>
      </w:r>
      <w:r>
        <w:t>is required to refer the matter to the Secretary of State for determination</w:t>
      </w:r>
      <w:r w:rsidR="00A713D6">
        <w:t xml:space="preserve">. </w:t>
      </w:r>
      <w:r>
        <w:t xml:space="preserve">Therefore, the </w:t>
      </w:r>
      <w:r w:rsidR="00BD11F2">
        <w:t>I</w:t>
      </w:r>
      <w:r>
        <w:t>nquiry itself arises out of Schedule 15 and can only take place after an Order has been made</w:t>
      </w:r>
      <w:r w:rsidR="00A713D6">
        <w:t xml:space="preserve">. </w:t>
      </w:r>
      <w:r>
        <w:t>The initial investigation of the application in accordance with Schedule 14 to the 1981 Act is a s</w:t>
      </w:r>
      <w:r w:rsidR="001017BF">
        <w:t>e</w:t>
      </w:r>
      <w:r>
        <w:t>p</w:t>
      </w:r>
      <w:r w:rsidR="001017BF">
        <w:t>a</w:t>
      </w:r>
      <w:r>
        <w:t>rate process</w:t>
      </w:r>
      <w:r w:rsidR="00A713D6">
        <w:t xml:space="preserve">. </w:t>
      </w:r>
    </w:p>
    <w:p w14:paraId="23DDD155" w14:textId="13EA4B12" w:rsidR="008E4163" w:rsidRDefault="0019145F" w:rsidP="008E4163">
      <w:pPr>
        <w:pStyle w:val="Style1"/>
        <w:tabs>
          <w:tab w:val="clear" w:pos="720"/>
        </w:tabs>
      </w:pPr>
      <w:r>
        <w:lastRenderedPageBreak/>
        <w:t>Having regard to the</w:t>
      </w:r>
      <w:r w:rsidR="00B86340">
        <w:t xml:space="preserve"> foregoing</w:t>
      </w:r>
      <w:r>
        <w:t xml:space="preserve">, it is likely that what constitutes a reasonable </w:t>
      </w:r>
      <w:proofErr w:type="gramStart"/>
      <w:r>
        <w:t>period of time</w:t>
      </w:r>
      <w:proofErr w:type="gramEnd"/>
      <w:r>
        <w:t xml:space="preserve"> for a public hearing for the purpose of Article 6 in these circumstances should be taken from the date that the objections and representations were submitted in response to the making of an Order</w:t>
      </w:r>
      <w:r w:rsidR="00A713D6">
        <w:t xml:space="preserve">. </w:t>
      </w:r>
    </w:p>
    <w:p w14:paraId="2A55C9A7" w14:textId="4E0F343D" w:rsidR="008E4163" w:rsidRDefault="0019145F" w:rsidP="008E4163">
      <w:pPr>
        <w:pStyle w:val="Style1"/>
        <w:tabs>
          <w:tab w:val="clear" w:pos="720"/>
        </w:tabs>
      </w:pPr>
      <w:r>
        <w:t>I</w:t>
      </w:r>
      <w:r w:rsidR="00BD11F2">
        <w:t>n this case, I</w:t>
      </w:r>
      <w:r>
        <w:t xml:space="preserve"> do not consider the period between the making of the Order and the holding of the </w:t>
      </w:r>
      <w:r w:rsidR="00825A36">
        <w:t>I</w:t>
      </w:r>
      <w:r>
        <w:t>nquiry to be unreasonable</w:t>
      </w:r>
      <w:r w:rsidR="00A713D6">
        <w:t xml:space="preserve">. </w:t>
      </w:r>
      <w:r w:rsidR="00811E14">
        <w:t>Nonetheless, there</w:t>
      </w:r>
      <w:r w:rsidR="004C6B03">
        <w:t xml:space="preserve"> was </w:t>
      </w:r>
      <w:r w:rsidR="00811E14">
        <w:t xml:space="preserve">a </w:t>
      </w:r>
      <w:r w:rsidR="00280C21">
        <w:t xml:space="preserve">substantial </w:t>
      </w:r>
      <w:r w:rsidR="00811E14">
        <w:t xml:space="preserve">period </w:t>
      </w:r>
      <w:r w:rsidR="009B3392">
        <w:t>of</w:t>
      </w:r>
      <w:r w:rsidR="00280C21">
        <w:t xml:space="preserve"> nearly </w:t>
      </w:r>
      <w:r w:rsidR="00354AA6">
        <w:t xml:space="preserve">seven </w:t>
      </w:r>
      <w:r w:rsidR="009B3392">
        <w:t xml:space="preserve">years </w:t>
      </w:r>
      <w:r w:rsidR="00883FC3">
        <w:t>between the</w:t>
      </w:r>
      <w:r w:rsidR="00D07787">
        <w:t xml:space="preserve"> date of the objections and the submission of the Order to the Inspectorate</w:t>
      </w:r>
      <w:r w:rsidR="008544D6">
        <w:t xml:space="preserve"> in March 2022</w:t>
      </w:r>
      <w:r w:rsidR="00A713D6">
        <w:t xml:space="preserve">. </w:t>
      </w:r>
      <w:r w:rsidR="00D07787">
        <w:t>The OMA has not provide</w:t>
      </w:r>
      <w:r w:rsidR="00280C21">
        <w:t>d</w:t>
      </w:r>
      <w:r w:rsidR="00D07787">
        <w:t xml:space="preserve"> a cogent explanation </w:t>
      </w:r>
      <w:r w:rsidR="009B3392">
        <w:t>for this delay</w:t>
      </w:r>
      <w:r w:rsidR="00280C21">
        <w:t xml:space="preserve"> and in my judgement </w:t>
      </w:r>
      <w:r w:rsidR="004D3665">
        <w:t xml:space="preserve">the time taken to </w:t>
      </w:r>
      <w:r w:rsidR="00335077">
        <w:t xml:space="preserve">submit the Order to the Planning Inspectorate </w:t>
      </w:r>
      <w:r w:rsidR="00732BBE">
        <w:t>was</w:t>
      </w:r>
      <w:r w:rsidR="00335077">
        <w:t xml:space="preserve"> towards the upper </w:t>
      </w:r>
      <w:r w:rsidR="00732BBE">
        <w:t xml:space="preserve">limit of what could reasonably be </w:t>
      </w:r>
      <w:r w:rsidR="00D85EEA">
        <w:t>consider</w:t>
      </w:r>
      <w:r w:rsidR="00732BBE">
        <w:t>ed</w:t>
      </w:r>
      <w:r w:rsidR="00D85EEA">
        <w:t xml:space="preserve"> </w:t>
      </w:r>
      <w:r w:rsidR="008E4163">
        <w:t>acceptable</w:t>
      </w:r>
      <w:r w:rsidR="00A713D6">
        <w:t xml:space="preserve">. </w:t>
      </w:r>
    </w:p>
    <w:p w14:paraId="060C1925" w14:textId="771DD290" w:rsidR="0019145F" w:rsidRDefault="008E4163" w:rsidP="0019145F">
      <w:pPr>
        <w:pStyle w:val="Style1"/>
        <w:tabs>
          <w:tab w:val="clear" w:pos="720"/>
        </w:tabs>
      </w:pPr>
      <w:r>
        <w:t xml:space="preserve">Notwithstanding the above comments, there is clearly an overriding public interest in determining </w:t>
      </w:r>
      <w:proofErr w:type="gramStart"/>
      <w:r>
        <w:t>whether or not</w:t>
      </w:r>
      <w:proofErr w:type="gramEnd"/>
      <w:r>
        <w:t xml:space="preserve"> a public right of way subsists along the Order route. </w:t>
      </w:r>
    </w:p>
    <w:p w14:paraId="192D5951" w14:textId="12E8FAC1" w:rsidR="0019145F" w:rsidRPr="0019145F" w:rsidRDefault="0019145F" w:rsidP="0019145F">
      <w:pPr>
        <w:pStyle w:val="Style1"/>
        <w:numPr>
          <w:ilvl w:val="0"/>
          <w:numId w:val="0"/>
        </w:numPr>
        <w:rPr>
          <w:b/>
          <w:bCs/>
        </w:rPr>
      </w:pPr>
      <w:r w:rsidRPr="0019145F">
        <w:rPr>
          <w:b/>
          <w:bCs/>
        </w:rPr>
        <w:t xml:space="preserve">The </w:t>
      </w:r>
      <w:r>
        <w:rPr>
          <w:b/>
          <w:bCs/>
        </w:rPr>
        <w:t>L</w:t>
      </w:r>
      <w:r w:rsidRPr="0019145F">
        <w:rPr>
          <w:b/>
          <w:bCs/>
        </w:rPr>
        <w:t xml:space="preserve">aches </w:t>
      </w:r>
      <w:r w:rsidR="00C80E0F">
        <w:rPr>
          <w:b/>
          <w:bCs/>
        </w:rPr>
        <w:t>d</w:t>
      </w:r>
      <w:r w:rsidRPr="0019145F">
        <w:rPr>
          <w:b/>
          <w:bCs/>
        </w:rPr>
        <w:t xml:space="preserve">octrine </w:t>
      </w:r>
    </w:p>
    <w:p w14:paraId="7BC826BA" w14:textId="0EE88021" w:rsidR="0019145F" w:rsidRDefault="0019145F" w:rsidP="0019145F">
      <w:pPr>
        <w:pStyle w:val="Style1"/>
        <w:tabs>
          <w:tab w:val="clear" w:pos="720"/>
        </w:tabs>
      </w:pPr>
      <w:r>
        <w:t>The laches doctrine is applicable where a claimant has delayed in asserting a right</w:t>
      </w:r>
      <w:r w:rsidR="00A713D6">
        <w:t>.</w:t>
      </w:r>
      <w:r w:rsidR="00C80E0F">
        <w:t xml:space="preserve"> The objector </w:t>
      </w:r>
      <w:r w:rsidR="0089311C">
        <w:t xml:space="preserve">argued that she was </w:t>
      </w:r>
      <w:r>
        <w:t xml:space="preserve">disadvantaged by being prevented from calling witnesses who have passed away. </w:t>
      </w:r>
    </w:p>
    <w:p w14:paraId="4882B783" w14:textId="0F918F0F" w:rsidR="0019145F" w:rsidRDefault="0019145F" w:rsidP="0019145F">
      <w:pPr>
        <w:pStyle w:val="Style1"/>
        <w:tabs>
          <w:tab w:val="clear" w:pos="720"/>
        </w:tabs>
      </w:pPr>
      <w:r>
        <w:t>There is a statutory duty to modify the</w:t>
      </w:r>
      <w:r w:rsidR="008E4163">
        <w:t xml:space="preserve"> DMS </w:t>
      </w:r>
      <w:r>
        <w:t>following the discovery of evidence that a public right of way subsists</w:t>
      </w:r>
      <w:r w:rsidR="00A713D6">
        <w:t xml:space="preserve">. </w:t>
      </w:r>
      <w:r>
        <w:t xml:space="preserve">I am not satisfied that the time taken for the Council to investigate the application </w:t>
      </w:r>
      <w:r w:rsidR="008E4163">
        <w:t xml:space="preserve">and submit the Order for confirmation </w:t>
      </w:r>
      <w:r>
        <w:t xml:space="preserve">removes the need </w:t>
      </w:r>
      <w:r w:rsidR="008E4163">
        <w:t xml:space="preserve">for me to </w:t>
      </w:r>
      <w:r>
        <w:t>reach a decision on the available evidence</w:t>
      </w:r>
      <w:r w:rsidR="00A713D6">
        <w:t xml:space="preserve">. </w:t>
      </w:r>
    </w:p>
    <w:p w14:paraId="16377066" w14:textId="5F2E0B8F" w:rsidR="0019145F" w:rsidRDefault="0019145F" w:rsidP="00EC5F86">
      <w:pPr>
        <w:pStyle w:val="Style1"/>
        <w:tabs>
          <w:tab w:val="clear" w:pos="720"/>
        </w:tabs>
      </w:pPr>
      <w:r>
        <w:t xml:space="preserve">In terms of any potential prejudice arising from the length of time taken to determine the application, this issue could </w:t>
      </w:r>
      <w:r w:rsidR="008E4163">
        <w:t xml:space="preserve">equally </w:t>
      </w:r>
      <w:r>
        <w:t>apply to those supporting an application and those who oppose it</w:t>
      </w:r>
      <w:r w:rsidR="00A713D6">
        <w:t xml:space="preserve">. </w:t>
      </w:r>
      <w:r w:rsidR="008E4163">
        <w:t xml:space="preserve">The objector </w:t>
      </w:r>
      <w:r>
        <w:t>could</w:t>
      </w:r>
      <w:r w:rsidR="00A0476A">
        <w:t>, and perhaps should, have</w:t>
      </w:r>
      <w:r>
        <w:t xml:space="preserve"> gathered evidence when </w:t>
      </w:r>
      <w:r w:rsidR="00765780">
        <w:t>the application was submitted in 2008</w:t>
      </w:r>
      <w:r w:rsidR="006C5BC9">
        <w:t xml:space="preserve"> or when the OMA resolved to make the Order in 2014</w:t>
      </w:r>
      <w:r w:rsidR="00A713D6">
        <w:t xml:space="preserve">. </w:t>
      </w:r>
      <w:r w:rsidR="00C945EE">
        <w:t xml:space="preserve">The objector </w:t>
      </w:r>
      <w:r w:rsidR="004825C3">
        <w:t xml:space="preserve">would likely have been aware of the </w:t>
      </w:r>
      <w:r w:rsidR="00D03CC8">
        <w:t>application</w:t>
      </w:r>
      <w:r w:rsidR="004825C3">
        <w:t xml:space="preserve"> when she </w:t>
      </w:r>
      <w:r w:rsidR="00D03CC8">
        <w:t>purchased</w:t>
      </w:r>
      <w:r w:rsidR="004825C3">
        <w:t xml:space="preserve"> her property </w:t>
      </w:r>
      <w:r w:rsidR="00C945EE">
        <w:t xml:space="preserve">in </w:t>
      </w:r>
      <w:r w:rsidR="004825C3">
        <w:t>2011</w:t>
      </w:r>
      <w:r w:rsidR="00A713D6">
        <w:t xml:space="preserve">. </w:t>
      </w:r>
      <w:r w:rsidR="00D03CC8">
        <w:t>Accordingly,</w:t>
      </w:r>
      <w:r w:rsidR="004825C3">
        <w:t xml:space="preserve"> </w:t>
      </w:r>
      <w:r w:rsidR="006C5BC9">
        <w:t xml:space="preserve">I do not </w:t>
      </w:r>
      <w:r w:rsidR="004825C3">
        <w:t>consider the objector</w:t>
      </w:r>
      <w:r w:rsidR="00C945EE">
        <w:t xml:space="preserve"> has been </w:t>
      </w:r>
      <w:r w:rsidR="004825C3">
        <w:t xml:space="preserve">unduly </w:t>
      </w:r>
      <w:r w:rsidR="00D03CC8">
        <w:t xml:space="preserve">prejudiced </w:t>
      </w:r>
      <w:r>
        <w:t>by the delay</w:t>
      </w:r>
      <w:r w:rsidR="00D03CC8">
        <w:t>s set out above</w:t>
      </w:r>
      <w:r w:rsidR="00A713D6">
        <w:t>.</w:t>
      </w:r>
    </w:p>
    <w:p w14:paraId="6EED3B11" w14:textId="51CBE5B0" w:rsidR="00EC5F86" w:rsidRDefault="00EC5F86" w:rsidP="00EC5F86">
      <w:pPr>
        <w:pStyle w:val="Heading6blackfont"/>
      </w:pPr>
      <w:r>
        <w:t>Reasons</w:t>
      </w:r>
    </w:p>
    <w:p w14:paraId="6DCBCFED" w14:textId="02FC290F" w:rsidR="00EC5F86" w:rsidRPr="00186D20" w:rsidRDefault="00EC5F86" w:rsidP="00EC5F86">
      <w:pPr>
        <w:tabs>
          <w:tab w:val="left" w:pos="432"/>
        </w:tabs>
        <w:spacing w:before="180"/>
        <w:outlineLvl w:val="0"/>
        <w:rPr>
          <w:b/>
          <w:bCs/>
          <w:i/>
          <w:color w:val="000000"/>
          <w:kern w:val="28"/>
        </w:rPr>
      </w:pPr>
      <w:r w:rsidRPr="00186D20">
        <w:rPr>
          <w:b/>
          <w:bCs/>
          <w:i/>
          <w:color w:val="000000"/>
          <w:kern w:val="28"/>
        </w:rPr>
        <w:t>When the right to use the route was first brought into question</w:t>
      </w:r>
    </w:p>
    <w:p w14:paraId="6EB41D0A" w14:textId="7F8B9453" w:rsidR="008766E9" w:rsidRDefault="002E6E3D" w:rsidP="00AF59E7">
      <w:pPr>
        <w:pStyle w:val="Style1"/>
      </w:pPr>
      <w:proofErr w:type="gramStart"/>
      <w:r w:rsidRPr="002E6E3D">
        <w:t>In order to</w:t>
      </w:r>
      <w:proofErr w:type="gramEnd"/>
      <w:r w:rsidRPr="002E6E3D">
        <w:t xml:space="preserve"> calculate the relevant 20-year period, it is necessary to establish the point at which the public’s use of the route was called into question</w:t>
      </w:r>
      <w:r w:rsidR="00A713D6">
        <w:t xml:space="preserve">. </w:t>
      </w:r>
      <w:r w:rsidR="005C3C8C">
        <w:t xml:space="preserve">There </w:t>
      </w:r>
      <w:r w:rsidR="00996685">
        <w:t xml:space="preserve">appears to be </w:t>
      </w:r>
      <w:proofErr w:type="gramStart"/>
      <w:r w:rsidR="00996685">
        <w:t>a general</w:t>
      </w:r>
      <w:r w:rsidR="00E0325F">
        <w:t xml:space="preserve"> consensus</w:t>
      </w:r>
      <w:proofErr w:type="gramEnd"/>
      <w:r w:rsidR="00E0325F">
        <w:t xml:space="preserve"> that</w:t>
      </w:r>
      <w:r w:rsidR="002F531C">
        <w:t xml:space="preserve"> the previous owners</w:t>
      </w:r>
      <w:r w:rsidR="007568FC">
        <w:t xml:space="preserve"> (</w:t>
      </w:r>
      <w:r w:rsidR="008766E9">
        <w:t>the Spurways</w:t>
      </w:r>
      <w:r w:rsidR="007568FC">
        <w:t>)</w:t>
      </w:r>
      <w:r w:rsidR="008766E9">
        <w:t xml:space="preserve">, erected a </w:t>
      </w:r>
      <w:r w:rsidR="008A66B9">
        <w:t xml:space="preserve">sign </w:t>
      </w:r>
      <w:r w:rsidR="00AF24B4">
        <w:t>which read “</w:t>
      </w:r>
      <w:r w:rsidR="00AF24B4" w:rsidRPr="00D2212F">
        <w:rPr>
          <w:i/>
          <w:iCs/>
        </w:rPr>
        <w:t xml:space="preserve">Private. The </w:t>
      </w:r>
      <w:r w:rsidR="00D2212F" w:rsidRPr="00D2212F">
        <w:rPr>
          <w:i/>
          <w:iCs/>
        </w:rPr>
        <w:t>Orchard</w:t>
      </w:r>
      <w:r w:rsidR="00AF24B4" w:rsidRPr="00D2212F">
        <w:rPr>
          <w:i/>
          <w:iCs/>
        </w:rPr>
        <w:t xml:space="preserve">. No </w:t>
      </w:r>
      <w:r w:rsidR="00D2212F" w:rsidRPr="00D2212F">
        <w:rPr>
          <w:i/>
          <w:iCs/>
        </w:rPr>
        <w:t>Public</w:t>
      </w:r>
      <w:r w:rsidR="00AF24B4" w:rsidRPr="00D2212F">
        <w:rPr>
          <w:i/>
          <w:iCs/>
        </w:rPr>
        <w:t xml:space="preserve"> Right of Way</w:t>
      </w:r>
      <w:r w:rsidR="00D2212F">
        <w:t>”</w:t>
      </w:r>
      <w:r w:rsidR="008766E9">
        <w:t xml:space="preserve"> in August 2008</w:t>
      </w:r>
      <w:r w:rsidR="00A713D6">
        <w:t xml:space="preserve">. </w:t>
      </w:r>
    </w:p>
    <w:p w14:paraId="3A90F2A3" w14:textId="5E76BBFF" w:rsidR="00BB2962" w:rsidRDefault="003D67FB" w:rsidP="009513CA">
      <w:pPr>
        <w:pStyle w:val="Style1"/>
      </w:pPr>
      <w:r>
        <w:t xml:space="preserve">There is some user </w:t>
      </w:r>
      <w:r w:rsidR="009A72D8">
        <w:t xml:space="preserve">and landowner </w:t>
      </w:r>
      <w:r>
        <w:t xml:space="preserve">evidence which supports a </w:t>
      </w:r>
      <w:r w:rsidR="009513CA">
        <w:t>slightly earlier ‘calling into question’ in the form of verbal challenges from Mrs Spurway</w:t>
      </w:r>
      <w:r w:rsidR="00087FB0">
        <w:t xml:space="preserve"> which according to her </w:t>
      </w:r>
      <w:r w:rsidR="0008019E">
        <w:t>Landowner Evidence Form</w:t>
      </w:r>
      <w:r w:rsidR="00087FB0">
        <w:t xml:space="preserve"> started from</w:t>
      </w:r>
      <w:r w:rsidR="009513CA">
        <w:t xml:space="preserve"> </w:t>
      </w:r>
      <w:r w:rsidR="00B13EF6">
        <w:t>21 April 2008</w:t>
      </w:r>
      <w:r w:rsidR="00A713D6">
        <w:t xml:space="preserve">. </w:t>
      </w:r>
      <w:r w:rsidR="00384FDF">
        <w:t xml:space="preserve">That date </w:t>
      </w:r>
      <w:r w:rsidR="009425F8">
        <w:t>is</w:t>
      </w:r>
      <w:r w:rsidR="00384FDF">
        <w:t xml:space="preserve"> significant because</w:t>
      </w:r>
      <w:r w:rsidR="009425F8">
        <w:t xml:space="preserve"> </w:t>
      </w:r>
      <w:r w:rsidR="00A318C5">
        <w:t>it</w:t>
      </w:r>
      <w:r w:rsidR="002E4581">
        <w:t xml:space="preserve"> is when the Spurways </w:t>
      </w:r>
      <w:r w:rsidR="00020D3B">
        <w:t>purchased</w:t>
      </w:r>
      <w:r w:rsidR="002E4581">
        <w:t xml:space="preserve"> </w:t>
      </w:r>
      <w:proofErr w:type="gramStart"/>
      <w:r w:rsidR="002E4581">
        <w:t>t</w:t>
      </w:r>
      <w:r w:rsidR="009425F8">
        <w:t>he majority of</w:t>
      </w:r>
      <w:proofErr w:type="gramEnd"/>
      <w:r w:rsidR="009425F8">
        <w:t xml:space="preserve"> the</w:t>
      </w:r>
      <w:r w:rsidR="002E4581">
        <w:t xml:space="preserve"> land crossed by the</w:t>
      </w:r>
      <w:r w:rsidR="009425F8">
        <w:t xml:space="preserve"> Order route</w:t>
      </w:r>
      <w:r w:rsidR="00A713D6">
        <w:t xml:space="preserve">. </w:t>
      </w:r>
    </w:p>
    <w:p w14:paraId="08F4F598" w14:textId="53C0C64A" w:rsidR="00A45425" w:rsidRDefault="009A72D8" w:rsidP="009513CA">
      <w:pPr>
        <w:pStyle w:val="Style1"/>
      </w:pPr>
      <w:r>
        <w:t>However, t</w:t>
      </w:r>
      <w:r w:rsidR="008A6D44">
        <w:t xml:space="preserve">here is no evidence to suggest she was acting </w:t>
      </w:r>
      <w:r w:rsidR="00D60C96">
        <w:t xml:space="preserve">on the </w:t>
      </w:r>
      <w:r w:rsidR="009513CA">
        <w:t>landowner’s</w:t>
      </w:r>
      <w:r w:rsidR="00D60C96">
        <w:t xml:space="preserve"> behalf before that date</w:t>
      </w:r>
      <w:r w:rsidR="00A713D6">
        <w:t xml:space="preserve">. </w:t>
      </w:r>
      <w:r w:rsidR="002E4581">
        <w:t xml:space="preserve">Accordingly, </w:t>
      </w:r>
      <w:r w:rsidR="009513CA">
        <w:t xml:space="preserve">any challenges before </w:t>
      </w:r>
      <w:r w:rsidR="002A7C72">
        <w:t xml:space="preserve">21 April 2008 </w:t>
      </w:r>
      <w:r w:rsidR="00B1799A">
        <w:t xml:space="preserve">would have to be </w:t>
      </w:r>
      <w:r w:rsidR="00392913">
        <w:t>disregarded</w:t>
      </w:r>
      <w:r w:rsidR="00B1799A">
        <w:t xml:space="preserve"> </w:t>
      </w:r>
      <w:r w:rsidR="00392913">
        <w:t xml:space="preserve">for the purposes of establishing the relevant 20-year </w:t>
      </w:r>
      <w:r w:rsidR="00392913">
        <w:lastRenderedPageBreak/>
        <w:t>period as neither she or Mr S</w:t>
      </w:r>
      <w:r w:rsidR="00A01139">
        <w:t>p</w:t>
      </w:r>
      <w:r w:rsidR="00392913">
        <w:t>urway had the</w:t>
      </w:r>
      <w:r w:rsidR="0051176F">
        <w:t xml:space="preserve"> power </w:t>
      </w:r>
      <w:r w:rsidR="00392913">
        <w:t xml:space="preserve">to </w:t>
      </w:r>
      <w:r w:rsidR="00A01139">
        <w:t>encourage or restrict the public’s use of the route</w:t>
      </w:r>
      <w:r w:rsidR="00A713D6">
        <w:t xml:space="preserve">. </w:t>
      </w:r>
    </w:p>
    <w:p w14:paraId="461AC30E" w14:textId="1C32080A" w:rsidR="00F83806" w:rsidRDefault="00AC7FA6" w:rsidP="009513CA">
      <w:pPr>
        <w:pStyle w:val="Style1"/>
      </w:pPr>
      <w:r>
        <w:t>The objector point</w:t>
      </w:r>
      <w:r w:rsidR="00C945EE">
        <w:t>ed</w:t>
      </w:r>
      <w:r>
        <w:t xml:space="preserve"> out that </w:t>
      </w:r>
      <w:r w:rsidR="006E3641">
        <w:t>prior to the Spu</w:t>
      </w:r>
      <w:r w:rsidR="00E6553D">
        <w:t>rway</w:t>
      </w:r>
      <w:r w:rsidR="006E3641">
        <w:t>s</w:t>
      </w:r>
      <w:r w:rsidR="00E6553D">
        <w:t>’</w:t>
      </w:r>
      <w:r w:rsidR="006E3641">
        <w:t xml:space="preserve"> acquisition of the land, Mr Spurway</w:t>
      </w:r>
      <w:r w:rsidR="00D249EC">
        <w:t>, was the chief engineer of Fox Bros</w:t>
      </w:r>
      <w:r w:rsidR="00C452ED">
        <w:t xml:space="preserve"> and was therefore entitled to control </w:t>
      </w:r>
      <w:r w:rsidR="000D23EF">
        <w:t xml:space="preserve">the </w:t>
      </w:r>
      <w:r w:rsidR="00C452ED">
        <w:t>use of the routes over the company’s estate</w:t>
      </w:r>
      <w:r w:rsidR="00A713D6">
        <w:t xml:space="preserve">. </w:t>
      </w:r>
      <w:r w:rsidR="00FC1729">
        <w:t xml:space="preserve">A </w:t>
      </w:r>
      <w:r w:rsidR="00C60FD0">
        <w:t>Land Registry d</w:t>
      </w:r>
      <w:r w:rsidR="00392672">
        <w:t>ocument</w:t>
      </w:r>
      <w:r w:rsidR="00C60FD0">
        <w:t xml:space="preserve"> dated 11 August 1954 </w:t>
      </w:r>
      <w:r w:rsidR="007017A3">
        <w:t xml:space="preserve">purporting to show the transfer of access and </w:t>
      </w:r>
      <w:r w:rsidR="00085B44">
        <w:t>authorisation</w:t>
      </w:r>
      <w:r w:rsidR="007017A3">
        <w:t xml:space="preserve"> rights to Mr S</w:t>
      </w:r>
      <w:r w:rsidR="00085B44">
        <w:t>p</w:t>
      </w:r>
      <w:r w:rsidR="007017A3">
        <w:t xml:space="preserve">urway </w:t>
      </w:r>
      <w:r w:rsidR="00085B44">
        <w:t xml:space="preserve">were discussed at the Inquiry. </w:t>
      </w:r>
      <w:r w:rsidR="003913D6">
        <w:t>However</w:t>
      </w:r>
      <w:r w:rsidR="009A72D8">
        <w:t>,</w:t>
      </w:r>
      <w:r w:rsidR="00C9149E">
        <w:t xml:space="preserve"> there is nothing in the submitted documents to suggest that Mr Spurway</w:t>
      </w:r>
      <w:r w:rsidR="00EE4E09">
        <w:t xml:space="preserve"> had authority to </w:t>
      </w:r>
      <w:r w:rsidR="003913D6">
        <w:t>restrict</w:t>
      </w:r>
      <w:r w:rsidR="00EE4E09">
        <w:t xml:space="preserve"> </w:t>
      </w:r>
      <w:r w:rsidR="00E6553D">
        <w:t>pedestrians</w:t>
      </w:r>
      <w:r w:rsidR="00073A29">
        <w:t>, or any other class of user,</w:t>
      </w:r>
      <w:r w:rsidR="00E6553D">
        <w:t xml:space="preserve"> </w:t>
      </w:r>
      <w:r w:rsidR="00EE4E09">
        <w:t>from using the Order route</w:t>
      </w:r>
      <w:r w:rsidR="00E6553D">
        <w:t xml:space="preserve">. </w:t>
      </w:r>
      <w:r w:rsidR="00073A29">
        <w:t xml:space="preserve">It is also germane that </w:t>
      </w:r>
      <w:r w:rsidR="000246F3">
        <w:t xml:space="preserve">Mr Spurway retired in 1987 and therefore any </w:t>
      </w:r>
      <w:r w:rsidR="00BB32AE">
        <w:t>authorisation</w:t>
      </w:r>
      <w:r w:rsidR="000246F3">
        <w:t xml:space="preserve"> rights he might have had </w:t>
      </w:r>
      <w:r w:rsidR="00BB32AE">
        <w:t xml:space="preserve">during his employment with Fox Bros would have ceased at that point. </w:t>
      </w:r>
    </w:p>
    <w:p w14:paraId="3AE6283E" w14:textId="466B2A65" w:rsidR="002E6E3D" w:rsidRDefault="00BB2962" w:rsidP="002E6E3D">
      <w:pPr>
        <w:pStyle w:val="Style1"/>
      </w:pPr>
      <w:r>
        <w:t>Based on the foregoing and</w:t>
      </w:r>
      <w:r w:rsidR="00112CDB">
        <w:t xml:space="preserve"> giving the benefit of the doubt to the objector in terms </w:t>
      </w:r>
      <w:r w:rsidR="00125B20">
        <w:t xml:space="preserve">of </w:t>
      </w:r>
      <w:r w:rsidR="00B52F75">
        <w:t xml:space="preserve">the evidence </w:t>
      </w:r>
      <w:r w:rsidR="00304810">
        <w:t xml:space="preserve">relating to </w:t>
      </w:r>
      <w:r w:rsidR="00311A68">
        <w:t xml:space="preserve">verbal challenges </w:t>
      </w:r>
      <w:r w:rsidR="00A3402A">
        <w:t xml:space="preserve">after </w:t>
      </w:r>
      <w:r w:rsidR="00311A68">
        <w:t>April 21</w:t>
      </w:r>
      <w:proofErr w:type="gramStart"/>
      <w:r w:rsidR="00112CDB">
        <w:t xml:space="preserve"> 2008</w:t>
      </w:r>
      <w:proofErr w:type="gramEnd"/>
      <w:r>
        <w:t xml:space="preserve">, I find the </w:t>
      </w:r>
      <w:r w:rsidR="00CA5225">
        <w:t xml:space="preserve">relevant </w:t>
      </w:r>
      <w:r w:rsidR="00F275B0" w:rsidRPr="00F275B0">
        <w:t xml:space="preserve">20-year period </w:t>
      </w:r>
      <w:r w:rsidR="00A3402A">
        <w:t xml:space="preserve">in this case </w:t>
      </w:r>
      <w:r w:rsidR="00F275B0" w:rsidRPr="00F275B0">
        <w:t>is</w:t>
      </w:r>
      <w:r w:rsidR="00CA5225">
        <w:t xml:space="preserve"> April 19</w:t>
      </w:r>
      <w:r w:rsidR="0060480E">
        <w:t>8</w:t>
      </w:r>
      <w:r w:rsidR="00CA5225">
        <w:t>8 to April 2008</w:t>
      </w:r>
      <w:r w:rsidR="00A713D6">
        <w:t xml:space="preserve">. </w:t>
      </w:r>
    </w:p>
    <w:p w14:paraId="55E236A3" w14:textId="77777777" w:rsidR="00EC5F86" w:rsidRPr="00186D20" w:rsidRDefault="00EC5F86" w:rsidP="00EC5F86">
      <w:pPr>
        <w:pStyle w:val="Style1"/>
        <w:numPr>
          <w:ilvl w:val="0"/>
          <w:numId w:val="0"/>
        </w:numPr>
        <w:rPr>
          <w:b/>
          <w:bCs/>
          <w:i/>
          <w:iCs/>
        </w:rPr>
      </w:pPr>
      <w:r w:rsidRPr="00186D20">
        <w:rPr>
          <w:b/>
          <w:bCs/>
          <w:i/>
          <w:iCs/>
        </w:rPr>
        <w:t>Whether there has been use by the public for the required period of 20 years</w:t>
      </w:r>
    </w:p>
    <w:p w14:paraId="69B4B689" w14:textId="44FD724A" w:rsidR="00C83B59" w:rsidRDefault="006344B7" w:rsidP="006344B7">
      <w:pPr>
        <w:pStyle w:val="Style1"/>
        <w:numPr>
          <w:ilvl w:val="0"/>
          <w:numId w:val="25"/>
        </w:numPr>
      </w:pPr>
      <w:proofErr w:type="gramStart"/>
      <w:r w:rsidRPr="006344B7">
        <w:t>In order for</w:t>
      </w:r>
      <w:proofErr w:type="gramEnd"/>
      <w:r w:rsidRPr="006344B7">
        <w:t xml:space="preserve"> a presumption of dedication to arise under Section 31 of the 1980 Act, there must be actual use of the alleged route, and such use must be by the public</w:t>
      </w:r>
      <w:r w:rsidR="00A713D6">
        <w:t xml:space="preserve">. </w:t>
      </w:r>
      <w:proofErr w:type="gramStart"/>
      <w:r w:rsidR="00C83B59" w:rsidRPr="00C83B59">
        <w:t>With regard to</w:t>
      </w:r>
      <w:proofErr w:type="gramEnd"/>
      <w:r w:rsidR="00C83B59" w:rsidRPr="00C83B59">
        <w:t xml:space="preserve"> the number of members of the public who must use a route for it to become a public right of way, there is no statutory minimum however use must be by a sufficient number of people to show that it was use by the public</w:t>
      </w:r>
      <w:r w:rsidR="00A713D6">
        <w:t xml:space="preserve">. </w:t>
      </w:r>
      <w:r w:rsidR="004B60A1" w:rsidRPr="004B60A1">
        <w:t>Use of a way by different persons, each for periods of less than 20 years, will suffice if, taken together, they total a continuous period of 20 years or more</w:t>
      </w:r>
      <w:r w:rsidR="004B60A1">
        <w:t>.</w:t>
      </w:r>
    </w:p>
    <w:p w14:paraId="477430D6" w14:textId="761BFABB" w:rsidR="00444A74" w:rsidRDefault="00744547" w:rsidP="00582DB5">
      <w:pPr>
        <w:pStyle w:val="Style1"/>
        <w:numPr>
          <w:ilvl w:val="0"/>
          <w:numId w:val="25"/>
        </w:numPr>
      </w:pPr>
      <w:r>
        <w:t>5</w:t>
      </w:r>
      <w:r w:rsidR="00206377">
        <w:t>4</w:t>
      </w:r>
      <w:r w:rsidR="00E74076">
        <w:t xml:space="preserve"> </w:t>
      </w:r>
      <w:r w:rsidR="00903406">
        <w:t>individuals have given evidence of use of the Order route between 19</w:t>
      </w:r>
      <w:r w:rsidR="00FC64A9">
        <w:t>88</w:t>
      </w:r>
      <w:r w:rsidR="00903406">
        <w:t>-2008</w:t>
      </w:r>
      <w:r w:rsidR="00A713D6">
        <w:t xml:space="preserve">. </w:t>
      </w:r>
      <w:r w:rsidR="0078354C">
        <w:t xml:space="preserve">The frequency of use </w:t>
      </w:r>
      <w:r w:rsidR="00B66D36">
        <w:t>va</w:t>
      </w:r>
      <w:r w:rsidR="0078354C">
        <w:t>ries from daily to six times a year</w:t>
      </w:r>
      <w:r w:rsidR="00AF36CB">
        <w:t>.</w:t>
      </w:r>
      <w:r w:rsidR="0078354C">
        <w:t xml:space="preserve"> </w:t>
      </w:r>
      <w:r w:rsidR="00064CB1">
        <w:t>Many of the witnesses refer to widespread use of the route by other</w:t>
      </w:r>
      <w:r w:rsidR="00CE3DAA">
        <w:t>s</w:t>
      </w:r>
      <w:r w:rsidR="00A713D6">
        <w:t xml:space="preserve">. </w:t>
      </w:r>
      <w:r w:rsidR="00064CB1">
        <w:t>None recall being challenged about their use of the route nor were any notices seen prior to August 2008</w:t>
      </w:r>
      <w:r w:rsidR="00A713D6">
        <w:t xml:space="preserve">. </w:t>
      </w:r>
      <w:r w:rsidR="00064CB1">
        <w:t>Overwhelmingly, users</w:t>
      </w:r>
      <w:r w:rsidR="00064CB1" w:rsidRPr="00CB3CDD">
        <w:t xml:space="preserve"> believed that the </w:t>
      </w:r>
      <w:r w:rsidR="00064CB1">
        <w:t>land</w:t>
      </w:r>
      <w:r w:rsidR="00064CB1" w:rsidRPr="00CB3CDD">
        <w:t>owner</w:t>
      </w:r>
      <w:r w:rsidR="00064CB1">
        <w:t xml:space="preserve"> was </w:t>
      </w:r>
      <w:r w:rsidR="00064CB1" w:rsidRPr="00CB3CDD">
        <w:t>aware that the public</w:t>
      </w:r>
      <w:r w:rsidR="00064CB1">
        <w:t xml:space="preserve"> at large</w:t>
      </w:r>
      <w:r w:rsidR="00064CB1" w:rsidRPr="00CB3CDD">
        <w:t xml:space="preserve"> </w:t>
      </w:r>
      <w:r w:rsidR="00064CB1">
        <w:t xml:space="preserve">was </w:t>
      </w:r>
      <w:r w:rsidR="00064CB1" w:rsidRPr="00CB3CDD">
        <w:t xml:space="preserve">using the </w:t>
      </w:r>
      <w:r w:rsidR="00064CB1">
        <w:t xml:space="preserve">route. </w:t>
      </w:r>
    </w:p>
    <w:p w14:paraId="04B03FB4" w14:textId="44C43F27" w:rsidR="00064CB1" w:rsidRDefault="00752C10" w:rsidP="00582DB5">
      <w:pPr>
        <w:pStyle w:val="Style1"/>
        <w:numPr>
          <w:ilvl w:val="0"/>
          <w:numId w:val="25"/>
        </w:numPr>
      </w:pPr>
      <w:r>
        <w:t>Mrs Spurway’s Landowner Evidence Form a</w:t>
      </w:r>
      <w:r w:rsidR="007C1F6A">
        <w:t xml:space="preserve">cknowledges </w:t>
      </w:r>
      <w:r w:rsidR="001A203B">
        <w:t xml:space="preserve">there </w:t>
      </w:r>
      <w:proofErr w:type="gramStart"/>
      <w:r w:rsidR="001A203B">
        <w:t>was ”</w:t>
      </w:r>
      <w:r w:rsidR="001A203B" w:rsidRPr="007C1F6A">
        <w:rPr>
          <w:i/>
          <w:iCs/>
        </w:rPr>
        <w:t>occasional</w:t>
      </w:r>
      <w:proofErr w:type="gramEnd"/>
      <w:r w:rsidR="001A203B" w:rsidRPr="007C1F6A">
        <w:rPr>
          <w:i/>
          <w:iCs/>
        </w:rPr>
        <w:t xml:space="preserve"> </w:t>
      </w:r>
      <w:r w:rsidR="00610721">
        <w:rPr>
          <w:i/>
          <w:iCs/>
        </w:rPr>
        <w:t xml:space="preserve">use </w:t>
      </w:r>
      <w:r w:rsidR="001A203B" w:rsidRPr="007C1F6A">
        <w:rPr>
          <w:i/>
          <w:iCs/>
        </w:rPr>
        <w:t>before Mill Stream Garden</w:t>
      </w:r>
      <w:r w:rsidR="00610721">
        <w:rPr>
          <w:i/>
          <w:iCs/>
        </w:rPr>
        <w:t>s</w:t>
      </w:r>
      <w:r w:rsidR="001A203B" w:rsidRPr="007C1F6A">
        <w:rPr>
          <w:i/>
          <w:iCs/>
        </w:rPr>
        <w:t xml:space="preserve"> was developed</w:t>
      </w:r>
      <w:r w:rsidR="001A203B">
        <w:t>” with us</w:t>
      </w:r>
      <w:r w:rsidR="007C1F6A">
        <w:t>e</w:t>
      </w:r>
      <w:r w:rsidR="001A203B">
        <w:t xml:space="preserve"> increasing </w:t>
      </w:r>
      <w:r w:rsidR="007C1F6A">
        <w:t>after the houses were occupied.</w:t>
      </w:r>
      <w:r w:rsidR="00610721">
        <w:t xml:space="preserve"> </w:t>
      </w:r>
      <w:r w:rsidR="00A17BD9">
        <w:t>Fox Bros who were the landowners up un</w:t>
      </w:r>
      <w:r w:rsidR="00CD0271">
        <w:t>t</w:t>
      </w:r>
      <w:r w:rsidR="00A17BD9">
        <w:t xml:space="preserve">il </w:t>
      </w:r>
      <w:r w:rsidR="00CD0271">
        <w:t>2008 also a</w:t>
      </w:r>
      <w:r w:rsidR="00503F7C">
        <w:t>cknowledge</w:t>
      </w:r>
      <w:r w:rsidR="00312FAF">
        <w:t>d</w:t>
      </w:r>
      <w:r w:rsidR="00503F7C">
        <w:t xml:space="preserve"> the public’s use of the route in March 1997 </w:t>
      </w:r>
      <w:r w:rsidR="004A67FC">
        <w:t>when</w:t>
      </w:r>
      <w:r w:rsidR="00312FAF">
        <w:t xml:space="preserve"> it </w:t>
      </w:r>
      <w:r w:rsidR="00444A74">
        <w:t>stated,</w:t>
      </w:r>
      <w:r w:rsidR="004A67FC">
        <w:t xml:space="preserve"> “</w:t>
      </w:r>
      <w:r w:rsidR="004A67FC" w:rsidRPr="00444A74">
        <w:rPr>
          <w:i/>
          <w:iCs/>
        </w:rPr>
        <w:t xml:space="preserve">we share your concern for the safety of pedestrians who use our path </w:t>
      </w:r>
      <w:r w:rsidR="00444A74" w:rsidRPr="00444A74">
        <w:rPr>
          <w:i/>
          <w:iCs/>
        </w:rPr>
        <w:t>as a short cut between Mill Stream Gardens and Burchess Hill</w:t>
      </w:r>
      <w:r w:rsidR="00444A74">
        <w:t>”.</w:t>
      </w:r>
      <w:r w:rsidR="00064CB1">
        <w:t xml:space="preserve"> </w:t>
      </w:r>
    </w:p>
    <w:p w14:paraId="046165F5" w14:textId="239FF679" w:rsidR="008D3EEA" w:rsidRDefault="00F73F61" w:rsidP="00582DB5">
      <w:pPr>
        <w:pStyle w:val="Style1"/>
        <w:numPr>
          <w:ilvl w:val="0"/>
          <w:numId w:val="25"/>
        </w:numPr>
      </w:pPr>
      <w:r>
        <w:t>T</w:t>
      </w:r>
      <w:r w:rsidR="008D0BDF">
        <w:t xml:space="preserve">he OMA discounted </w:t>
      </w:r>
      <w:r w:rsidR="002F41FE">
        <w:t xml:space="preserve">the evidence of </w:t>
      </w:r>
      <w:r w:rsidR="00CA4B59">
        <w:t>several</w:t>
      </w:r>
      <w:r w:rsidR="00061EA3">
        <w:t xml:space="preserve"> </w:t>
      </w:r>
      <w:r>
        <w:t>individuals</w:t>
      </w:r>
      <w:r w:rsidR="00061EA3">
        <w:t xml:space="preserve"> who were </w:t>
      </w:r>
      <w:r w:rsidR="0031736B">
        <w:t xml:space="preserve">either </w:t>
      </w:r>
      <w:r w:rsidR="00061EA3">
        <w:t xml:space="preserve">employed by Fox Bros </w:t>
      </w:r>
      <w:r w:rsidR="00153717">
        <w:t xml:space="preserve">during the 20-year period or used the route as part of their employment </w:t>
      </w:r>
      <w:r>
        <w:t xml:space="preserve">(see </w:t>
      </w:r>
      <w:r w:rsidR="0078354C">
        <w:t xml:space="preserve">paras 4.2 and 4.3 to the OMA’s Proof of Evidence). </w:t>
      </w:r>
      <w:r w:rsidR="00AF36CB">
        <w:t>Despite th</w:t>
      </w:r>
      <w:r w:rsidR="009A2AB3">
        <w:t>e</w:t>
      </w:r>
      <w:r w:rsidR="00AF36CB">
        <w:t xml:space="preserve">se omissions, </w:t>
      </w:r>
      <w:r w:rsidR="000E7B6F">
        <w:t xml:space="preserve">there are </w:t>
      </w:r>
      <w:r w:rsidR="00CA4B59">
        <w:t xml:space="preserve">still </w:t>
      </w:r>
      <w:r w:rsidR="000E7B6F">
        <w:t>35 users who</w:t>
      </w:r>
      <w:r w:rsidR="009A2AB3">
        <w:t xml:space="preserve"> gave </w:t>
      </w:r>
      <w:r w:rsidR="000E7B6F">
        <w:t>evidence of use</w:t>
      </w:r>
      <w:r w:rsidR="00A713D6">
        <w:t xml:space="preserve">. </w:t>
      </w:r>
      <w:r w:rsidR="000E7B6F">
        <w:t xml:space="preserve">Nine of those attended the Inquiry </w:t>
      </w:r>
      <w:r w:rsidR="00F54AB3">
        <w:t xml:space="preserve">and </w:t>
      </w:r>
      <w:r w:rsidR="001C721D">
        <w:t xml:space="preserve">spoke to their use of the </w:t>
      </w:r>
      <w:r w:rsidR="00030BBD">
        <w:t xml:space="preserve">Order </w:t>
      </w:r>
      <w:r w:rsidR="001C721D">
        <w:t>route</w:t>
      </w:r>
      <w:r w:rsidR="001C721D" w:rsidRPr="00221C5F">
        <w:t xml:space="preserve"> and were cross-examined on </w:t>
      </w:r>
      <w:r w:rsidR="00030BBD">
        <w:t xml:space="preserve">their statements </w:t>
      </w:r>
      <w:r w:rsidR="001C721D" w:rsidRPr="00221C5F">
        <w:t>and other relevant matters</w:t>
      </w:r>
      <w:r w:rsidR="00A713D6">
        <w:t xml:space="preserve">. </w:t>
      </w:r>
    </w:p>
    <w:p w14:paraId="2C5F0E63" w14:textId="161D60EE" w:rsidR="005A3DE2" w:rsidRDefault="00A226AD" w:rsidP="00064CB1">
      <w:pPr>
        <w:pStyle w:val="Style1"/>
        <w:numPr>
          <w:ilvl w:val="0"/>
          <w:numId w:val="25"/>
        </w:numPr>
      </w:pPr>
      <w:r>
        <w:t xml:space="preserve">Although </w:t>
      </w:r>
      <w:r w:rsidR="009A2AB3">
        <w:t xml:space="preserve">the </w:t>
      </w:r>
      <w:r w:rsidR="007822BD">
        <w:t>o</w:t>
      </w:r>
      <w:r w:rsidR="009A2AB3">
        <w:t xml:space="preserve">bjector </w:t>
      </w:r>
      <w:r w:rsidR="008D3EEA">
        <w:t xml:space="preserve">raised questions over the fallibility of human memory </w:t>
      </w:r>
      <w:proofErr w:type="gramStart"/>
      <w:r w:rsidR="008D3EEA">
        <w:t>with regard to</w:t>
      </w:r>
      <w:proofErr w:type="gramEnd"/>
      <w:r w:rsidR="008D3EEA">
        <w:t xml:space="preserve"> events that took place many years ago, I found the testimony given </w:t>
      </w:r>
      <w:r w:rsidR="00B92795">
        <w:t xml:space="preserve">by the witnesses </w:t>
      </w:r>
      <w:r w:rsidR="00136AEB">
        <w:t>at the Inquiry to be detailed and</w:t>
      </w:r>
      <w:r w:rsidR="00C3110F">
        <w:t xml:space="preserve"> corroboratory</w:t>
      </w:r>
      <w:r w:rsidR="00A713D6">
        <w:t xml:space="preserve">. </w:t>
      </w:r>
      <w:r w:rsidR="00B92795">
        <w:t xml:space="preserve">Their evidence also went largely unchallenged. </w:t>
      </w:r>
      <w:r w:rsidR="00CC66EF">
        <w:t xml:space="preserve">Unlike other cases, this is not a </w:t>
      </w:r>
      <w:r w:rsidR="00CC66EF">
        <w:lastRenderedPageBreak/>
        <w:t>situation where</w:t>
      </w:r>
      <w:r w:rsidR="001F45D3">
        <w:t xml:space="preserve"> there are a small number of witnesses </w:t>
      </w:r>
      <w:r w:rsidR="00091F00">
        <w:t>with a degree of</w:t>
      </w:r>
      <w:r w:rsidR="00CC66EF">
        <w:t xml:space="preserve"> ambiguity over the </w:t>
      </w:r>
      <w:r w:rsidR="0077611C">
        <w:t>route used</w:t>
      </w:r>
      <w:r w:rsidR="00A713D6">
        <w:t xml:space="preserve">. </w:t>
      </w:r>
      <w:r w:rsidR="0077611C">
        <w:t>The user evidence</w:t>
      </w:r>
      <w:r w:rsidR="00091F00">
        <w:t xml:space="preserve"> </w:t>
      </w:r>
      <w:r w:rsidR="00F0478C">
        <w:t xml:space="preserve">unequivocally shows that the Order route was used by a significant number of people ‘as of right’ throughout the 20-year period. </w:t>
      </w:r>
    </w:p>
    <w:p w14:paraId="74D6FBD9" w14:textId="11DF4471" w:rsidR="007B5266" w:rsidRDefault="00B2478A" w:rsidP="00030BBD">
      <w:pPr>
        <w:pStyle w:val="Style1"/>
        <w:numPr>
          <w:ilvl w:val="0"/>
          <w:numId w:val="25"/>
        </w:numPr>
      </w:pPr>
      <w:r w:rsidRPr="00B2478A">
        <w:t>Whilst</w:t>
      </w:r>
      <w:r w:rsidR="00AF567B">
        <w:t xml:space="preserve"> concerns</w:t>
      </w:r>
      <w:r w:rsidR="007822BD">
        <w:t xml:space="preserve"> were raised by the objector </w:t>
      </w:r>
      <w:r w:rsidR="00AF567B">
        <w:t xml:space="preserve">about the maps accompanying some of the </w:t>
      </w:r>
      <w:r w:rsidR="00F73F61">
        <w:t>user evidence forms</w:t>
      </w:r>
      <w:r w:rsidRPr="00B2478A">
        <w:t xml:space="preserve">, taking the </w:t>
      </w:r>
      <w:proofErr w:type="gramStart"/>
      <w:r w:rsidRPr="00B2478A">
        <w:t>evidence as a whole, I</w:t>
      </w:r>
      <w:proofErr w:type="gramEnd"/>
      <w:r w:rsidRPr="00B2478A">
        <w:t xml:space="preserve"> am satisfied that the</w:t>
      </w:r>
      <w:r w:rsidR="00221C5F">
        <w:t xml:space="preserve"> respondents were referring to the Order route</w:t>
      </w:r>
      <w:r w:rsidR="00A713D6">
        <w:t xml:space="preserve">. </w:t>
      </w:r>
      <w:r w:rsidR="007822BD">
        <w:t xml:space="preserve"> </w:t>
      </w:r>
      <w:proofErr w:type="gramStart"/>
      <w:r w:rsidR="007822BD">
        <w:t>With regard to</w:t>
      </w:r>
      <w:proofErr w:type="gramEnd"/>
      <w:r w:rsidR="007822BD">
        <w:t xml:space="preserve"> the </w:t>
      </w:r>
      <w:r w:rsidR="00465DB3">
        <w:t>witness statements</w:t>
      </w:r>
      <w:r w:rsidR="007822BD">
        <w:t xml:space="preserve">, I am satisfied </w:t>
      </w:r>
      <w:r w:rsidR="00702C6B">
        <w:t xml:space="preserve">from the </w:t>
      </w:r>
      <w:r w:rsidR="00145087">
        <w:t xml:space="preserve">OMA’s oral evidence that they were </w:t>
      </w:r>
      <w:r w:rsidR="00221C5F" w:rsidRPr="00221C5F">
        <w:t xml:space="preserve">compiled following </w:t>
      </w:r>
      <w:r w:rsidR="001C721D">
        <w:t xml:space="preserve">an </w:t>
      </w:r>
      <w:r w:rsidR="00221C5F" w:rsidRPr="00221C5F">
        <w:t>interview</w:t>
      </w:r>
      <w:r w:rsidR="00145087">
        <w:t xml:space="preserve"> </w:t>
      </w:r>
      <w:r w:rsidR="001C721D">
        <w:t>with the witness</w:t>
      </w:r>
      <w:r w:rsidR="00A713D6">
        <w:t xml:space="preserve">. </w:t>
      </w:r>
      <w:r w:rsidR="001C721D">
        <w:t>In some cases, the witness made</w:t>
      </w:r>
      <w:r w:rsidR="00B92795">
        <w:t xml:space="preserve"> </w:t>
      </w:r>
      <w:r w:rsidR="000B6230">
        <w:t>handwritten</w:t>
      </w:r>
      <w:r w:rsidR="001C721D">
        <w:t xml:space="preserve"> amendments to the statement before signing it</w:t>
      </w:r>
      <w:r w:rsidR="00A713D6">
        <w:t xml:space="preserve">. </w:t>
      </w:r>
    </w:p>
    <w:p w14:paraId="2861916A" w14:textId="3BE657B4" w:rsidR="00444A74" w:rsidRDefault="00444A74" w:rsidP="0071233F">
      <w:pPr>
        <w:pStyle w:val="Style1"/>
        <w:numPr>
          <w:ilvl w:val="0"/>
          <w:numId w:val="0"/>
        </w:numPr>
        <w:rPr>
          <w:b/>
          <w:bCs/>
          <w:i/>
          <w:iCs/>
        </w:rPr>
      </w:pPr>
      <w:r>
        <w:rPr>
          <w:b/>
          <w:bCs/>
          <w:i/>
          <w:iCs/>
        </w:rPr>
        <w:t xml:space="preserve">Interruption </w:t>
      </w:r>
    </w:p>
    <w:p w14:paraId="2BAF43C9" w14:textId="58F0E38D" w:rsidR="00D60126" w:rsidRPr="00D60126" w:rsidRDefault="000B6230" w:rsidP="00D60126">
      <w:pPr>
        <w:pStyle w:val="Style1"/>
        <w:numPr>
          <w:ilvl w:val="0"/>
          <w:numId w:val="25"/>
        </w:numPr>
        <w:rPr>
          <w:b/>
          <w:bCs/>
          <w:i/>
          <w:iCs/>
        </w:rPr>
      </w:pPr>
      <w:r>
        <w:t xml:space="preserve">The </w:t>
      </w:r>
      <w:r w:rsidR="00A535E2">
        <w:t>o</w:t>
      </w:r>
      <w:r>
        <w:t xml:space="preserve">bjector </w:t>
      </w:r>
      <w:r w:rsidR="00B82CAA">
        <w:t>alleged three potential acts of interruption</w:t>
      </w:r>
      <w:r w:rsidR="00A713D6">
        <w:t xml:space="preserve">. </w:t>
      </w:r>
      <w:r w:rsidR="001F0A6D">
        <w:t xml:space="preserve">The first </w:t>
      </w:r>
      <w:r>
        <w:t>was</w:t>
      </w:r>
      <w:r w:rsidR="001F0A6D">
        <w:t xml:space="preserve"> the annual closure of the Order route </w:t>
      </w:r>
      <w:r w:rsidR="00B91725">
        <w:t xml:space="preserve">for repair and maintenance </w:t>
      </w:r>
      <w:r w:rsidR="001F0A6D">
        <w:t xml:space="preserve">over </w:t>
      </w:r>
      <w:r w:rsidR="00D109F1">
        <w:t>‘factory fortnight’</w:t>
      </w:r>
      <w:r w:rsidR="00A713D6">
        <w:t xml:space="preserve">. </w:t>
      </w:r>
      <w:r w:rsidR="00B91725">
        <w:t>While</w:t>
      </w:r>
      <w:r w:rsidR="00792AB2">
        <w:t xml:space="preserve"> the parties agreed that t</w:t>
      </w:r>
      <w:r w:rsidR="001A6705">
        <w:t xml:space="preserve">he </w:t>
      </w:r>
      <w:r w:rsidR="00792AB2">
        <w:t>factory</w:t>
      </w:r>
      <w:r w:rsidR="001A6705">
        <w:t xml:space="preserve"> was closed for two weeks every summer, </w:t>
      </w:r>
      <w:r w:rsidR="00792AB2">
        <w:t xml:space="preserve">there is little evidence to demonstrate this led to </w:t>
      </w:r>
      <w:r w:rsidR="000134DC">
        <w:t xml:space="preserve">the </w:t>
      </w:r>
      <w:r w:rsidR="007D33D3">
        <w:t>closure of the Order route</w:t>
      </w:r>
      <w:r w:rsidR="00A713D6">
        <w:t xml:space="preserve">. </w:t>
      </w:r>
      <w:r w:rsidR="00D9584B">
        <w:t>Of the 14 users who recalled factory fortnight, none recalled the Order route being closed to the public</w:t>
      </w:r>
      <w:r w:rsidR="00A713D6">
        <w:t xml:space="preserve">. </w:t>
      </w:r>
      <w:r w:rsidR="005304F4">
        <w:t>The OMA point</w:t>
      </w:r>
      <w:r w:rsidR="00A552AF">
        <w:t>ed</w:t>
      </w:r>
      <w:r w:rsidR="005304F4">
        <w:t xml:space="preserve"> out that </w:t>
      </w:r>
      <w:r w:rsidR="00DE1114">
        <w:t xml:space="preserve">factory fortnight would in any event have ceased in 1987 when the Mill Stream Gardens estate was developed. </w:t>
      </w:r>
    </w:p>
    <w:p w14:paraId="4F85826B" w14:textId="7A61B6C6" w:rsidR="00657C16" w:rsidRPr="00657C16" w:rsidRDefault="00D60126" w:rsidP="00D60126">
      <w:pPr>
        <w:pStyle w:val="Style1"/>
        <w:numPr>
          <w:ilvl w:val="0"/>
          <w:numId w:val="25"/>
        </w:numPr>
        <w:rPr>
          <w:b/>
          <w:bCs/>
          <w:i/>
          <w:iCs/>
        </w:rPr>
      </w:pPr>
      <w:r>
        <w:t xml:space="preserve">The second alleged closure was </w:t>
      </w:r>
      <w:r w:rsidR="007C020C">
        <w:t>in relation to construction works connected to the Mill Stream Gardens development</w:t>
      </w:r>
      <w:r w:rsidR="005250D3">
        <w:t xml:space="preserve"> in</w:t>
      </w:r>
      <w:r w:rsidR="000560C1">
        <w:t xml:space="preserve"> or around </w:t>
      </w:r>
      <w:r w:rsidR="005250D3">
        <w:t>1987</w:t>
      </w:r>
      <w:r w:rsidR="000560C1">
        <w:t xml:space="preserve">-1988. </w:t>
      </w:r>
      <w:r w:rsidR="008C10A5">
        <w:t>How</w:t>
      </w:r>
      <w:r w:rsidR="000276D6">
        <w:t xml:space="preserve">ever, the contention that the Order route was unavailable for a significant </w:t>
      </w:r>
      <w:proofErr w:type="gramStart"/>
      <w:r w:rsidR="000276D6">
        <w:t>period of time</w:t>
      </w:r>
      <w:proofErr w:type="gramEnd"/>
      <w:r w:rsidR="000276D6">
        <w:t xml:space="preserve"> is </w:t>
      </w:r>
      <w:r w:rsidR="00F23D90">
        <w:t>un</w:t>
      </w:r>
      <w:r w:rsidR="000276D6">
        <w:t xml:space="preserve">supported by the user evidence which shows </w:t>
      </w:r>
      <w:r w:rsidR="00C9585B">
        <w:t xml:space="preserve">an increasing amount of use </w:t>
      </w:r>
      <w:r w:rsidR="00F23D90">
        <w:t>from 1986 through 1988</w:t>
      </w:r>
      <w:r w:rsidR="00A713D6">
        <w:t xml:space="preserve">. </w:t>
      </w:r>
    </w:p>
    <w:p w14:paraId="09D03661" w14:textId="2C568C83" w:rsidR="00E246FA" w:rsidRPr="00E246FA" w:rsidRDefault="003D7F92" w:rsidP="00D60126">
      <w:pPr>
        <w:pStyle w:val="Style1"/>
        <w:numPr>
          <w:ilvl w:val="0"/>
          <w:numId w:val="25"/>
        </w:numPr>
        <w:rPr>
          <w:b/>
          <w:bCs/>
          <w:i/>
          <w:iCs/>
        </w:rPr>
      </w:pPr>
      <w:r>
        <w:t xml:space="preserve">I have carefully considered the </w:t>
      </w:r>
      <w:r w:rsidR="00490FE0">
        <w:t>photographs</w:t>
      </w:r>
      <w:r>
        <w:t xml:space="preserve"> provided by the objector</w:t>
      </w:r>
      <w:r w:rsidR="00A713D6">
        <w:t xml:space="preserve">. </w:t>
      </w:r>
      <w:r w:rsidR="00016FB6">
        <w:t>O</w:t>
      </w:r>
      <w:r w:rsidR="006D43B5">
        <w:t>nly th</w:t>
      </w:r>
      <w:r w:rsidR="00490FE0">
        <w:t xml:space="preserve">at titled ‘main sewer </w:t>
      </w:r>
      <w:proofErr w:type="gramStart"/>
      <w:r w:rsidR="007C43D4">
        <w:t>works</w:t>
      </w:r>
      <w:r w:rsidR="003E4FFD">
        <w:t>’</w:t>
      </w:r>
      <w:proofErr w:type="gramEnd"/>
      <w:r w:rsidR="00490FE0">
        <w:t xml:space="preserve"> dated 19</w:t>
      </w:r>
      <w:r w:rsidR="000F47E4">
        <w:t>88-89 is relevant to the 20-year period</w:t>
      </w:r>
      <w:r w:rsidR="00F32372">
        <w:t xml:space="preserve"> </w:t>
      </w:r>
      <w:r w:rsidR="00016FB6">
        <w:t>in this case.  Even then</w:t>
      </w:r>
      <w:r w:rsidR="00E8066C">
        <w:t>,</w:t>
      </w:r>
      <w:r w:rsidR="00016FB6">
        <w:t xml:space="preserve"> there is </w:t>
      </w:r>
      <w:r w:rsidR="00E8066C">
        <w:t>considerable uncertainty about the date of the photograph.  Given</w:t>
      </w:r>
      <w:r w:rsidR="003E4FFD">
        <w:t xml:space="preserve"> the lack of foliage on the trees</w:t>
      </w:r>
      <w:r w:rsidR="00E8066C">
        <w:t xml:space="preserve"> in the background, it is not unreasonable to </w:t>
      </w:r>
      <w:r w:rsidR="003631DC">
        <w:t xml:space="preserve">deduce that the photograph was taken between </w:t>
      </w:r>
      <w:r w:rsidR="00BB5124">
        <w:t>October-March.</w:t>
      </w:r>
      <w:r w:rsidR="003631DC">
        <w:t xml:space="preserve"> </w:t>
      </w:r>
      <w:r w:rsidR="00BB5124">
        <w:t xml:space="preserve">The Land Registry evidence suggests that occupation of the </w:t>
      </w:r>
      <w:r w:rsidR="00544CBE">
        <w:t xml:space="preserve">Mill Stream Gardens estate commenced in and around </w:t>
      </w:r>
      <w:r w:rsidR="00BB5124">
        <w:t>August 1988</w:t>
      </w:r>
      <w:r w:rsidR="00544CBE">
        <w:t xml:space="preserve">. I find it improbable that the houses were occupied </w:t>
      </w:r>
      <w:r w:rsidR="005E28E8">
        <w:t>before the sewer w</w:t>
      </w:r>
      <w:r w:rsidR="00544CBE">
        <w:t xml:space="preserve">orks </w:t>
      </w:r>
      <w:r w:rsidR="005E28E8">
        <w:t xml:space="preserve">were completed. </w:t>
      </w:r>
      <w:r w:rsidR="00E246FA">
        <w:t>Therefore,</w:t>
      </w:r>
      <w:r w:rsidR="005E28E8">
        <w:t xml:space="preserve"> on the balance of </w:t>
      </w:r>
      <w:r w:rsidR="00E246FA">
        <w:t>probabilities</w:t>
      </w:r>
      <w:r w:rsidR="005E28E8">
        <w:t xml:space="preserve">, I find the </w:t>
      </w:r>
      <w:r w:rsidR="00E246FA">
        <w:t>photograph was taken before 21 April 1988.</w:t>
      </w:r>
    </w:p>
    <w:p w14:paraId="19148A19" w14:textId="0589D52F" w:rsidR="008A409C" w:rsidRPr="008A409C" w:rsidRDefault="007E759B" w:rsidP="008A409C">
      <w:pPr>
        <w:pStyle w:val="Style1"/>
        <w:numPr>
          <w:ilvl w:val="0"/>
          <w:numId w:val="25"/>
        </w:numPr>
        <w:rPr>
          <w:b/>
          <w:bCs/>
          <w:i/>
          <w:iCs/>
        </w:rPr>
      </w:pPr>
      <w:r>
        <w:t xml:space="preserve">The third </w:t>
      </w:r>
      <w:r w:rsidR="00A0681D">
        <w:t xml:space="preserve">alleged closure </w:t>
      </w:r>
      <w:r w:rsidR="006F6386">
        <w:t>relates</w:t>
      </w:r>
      <w:r w:rsidR="00A0681D">
        <w:t xml:space="preserve"> to repair works to the retaining wall</w:t>
      </w:r>
      <w:r w:rsidR="00E629FD">
        <w:t xml:space="preserve"> at the western end of the Order </w:t>
      </w:r>
      <w:r w:rsidR="00733D70">
        <w:t>route</w:t>
      </w:r>
      <w:r w:rsidR="00A713D6">
        <w:t xml:space="preserve">. </w:t>
      </w:r>
      <w:r w:rsidR="002E6F00">
        <w:t xml:space="preserve">The objector </w:t>
      </w:r>
      <w:r w:rsidR="00A75907">
        <w:t>submitted</w:t>
      </w:r>
      <w:r w:rsidR="00733D70">
        <w:t xml:space="preserve"> a</w:t>
      </w:r>
      <w:r w:rsidR="002E6F00">
        <w:t xml:space="preserve"> 2005 </w:t>
      </w:r>
      <w:r w:rsidR="003208E7">
        <w:t>photograph</w:t>
      </w:r>
      <w:r w:rsidR="00733D70">
        <w:t xml:space="preserve"> </w:t>
      </w:r>
      <w:r w:rsidR="00A75907">
        <w:t xml:space="preserve">which clearly shows these works taking place and temporary </w:t>
      </w:r>
      <w:r w:rsidR="003208E7">
        <w:t>barriers</w:t>
      </w:r>
      <w:r w:rsidR="00A75907">
        <w:t xml:space="preserve"> across the route at Point B (see </w:t>
      </w:r>
      <w:r w:rsidR="003208E7">
        <w:t>Appendix LE5)</w:t>
      </w:r>
      <w:r w:rsidR="00A713D6">
        <w:t xml:space="preserve">. </w:t>
      </w:r>
      <w:r w:rsidR="00B32903">
        <w:t>T</w:t>
      </w:r>
      <w:r w:rsidR="003208E7">
        <w:t xml:space="preserve">he OMA </w:t>
      </w:r>
      <w:r w:rsidR="00B670B6">
        <w:t>argued that</w:t>
      </w:r>
      <w:r w:rsidR="00B33A80">
        <w:t xml:space="preserve"> th</w:t>
      </w:r>
      <w:r w:rsidR="00BC70E2">
        <w:t xml:space="preserve">e </w:t>
      </w:r>
      <w:r w:rsidR="00B670B6">
        <w:t>photograph</w:t>
      </w:r>
      <w:r w:rsidR="00BC70E2">
        <w:t xml:space="preserve"> </w:t>
      </w:r>
      <w:r w:rsidR="00B670B6">
        <w:t>is in</w:t>
      </w:r>
      <w:r w:rsidR="00BC70E2">
        <w:t>conclusive</w:t>
      </w:r>
      <w:r w:rsidR="00B670B6">
        <w:t xml:space="preserve"> given that </w:t>
      </w:r>
      <w:r w:rsidR="002E6F00">
        <w:t xml:space="preserve">not </w:t>
      </w:r>
      <w:proofErr w:type="gramStart"/>
      <w:r w:rsidR="002E6F00">
        <w:t>all of</w:t>
      </w:r>
      <w:proofErr w:type="gramEnd"/>
      <w:r w:rsidR="002E6F00">
        <w:t xml:space="preserve"> the </w:t>
      </w:r>
      <w:r w:rsidR="00BC70E2">
        <w:t xml:space="preserve">Order route </w:t>
      </w:r>
      <w:r w:rsidR="002E769E">
        <w:t xml:space="preserve">is shown. </w:t>
      </w:r>
      <w:r w:rsidR="0068030B">
        <w:t xml:space="preserve">While that </w:t>
      </w:r>
      <w:r w:rsidR="00632975">
        <w:t>is</w:t>
      </w:r>
      <w:r w:rsidR="0068030B">
        <w:t xml:space="preserve"> factually correct, I consider it very unlikely that a</w:t>
      </w:r>
      <w:r w:rsidR="00B32903">
        <w:t xml:space="preserve">ny part </w:t>
      </w:r>
      <w:r w:rsidR="00043563">
        <w:t>of the route would have been left open</w:t>
      </w:r>
      <w:r w:rsidR="002565F3">
        <w:t xml:space="preserve"> given the</w:t>
      </w:r>
      <w:r w:rsidR="00632975">
        <w:t xml:space="preserve"> nature of the works and the type of</w:t>
      </w:r>
      <w:r w:rsidR="002565F3">
        <w:t xml:space="preserve"> </w:t>
      </w:r>
      <w:r w:rsidR="00C81996">
        <w:t xml:space="preserve">plant and machinery seen in the background. </w:t>
      </w:r>
    </w:p>
    <w:p w14:paraId="72D8072A" w14:textId="00844CDE" w:rsidR="008A409C" w:rsidRPr="008A409C" w:rsidRDefault="00C81996" w:rsidP="008A409C">
      <w:pPr>
        <w:pStyle w:val="Style1"/>
        <w:numPr>
          <w:ilvl w:val="0"/>
          <w:numId w:val="25"/>
        </w:numPr>
        <w:rPr>
          <w:b/>
          <w:bCs/>
          <w:i/>
          <w:iCs/>
        </w:rPr>
      </w:pPr>
      <w:r>
        <w:t xml:space="preserve">Moreover, </w:t>
      </w:r>
      <w:r w:rsidR="00043563">
        <w:t xml:space="preserve">I was able to locate the drain cover shown on the </w:t>
      </w:r>
      <w:r w:rsidR="008C3C02">
        <w:t>photograph</w:t>
      </w:r>
      <w:r w:rsidR="00043563">
        <w:t xml:space="preserve"> on my site vi</w:t>
      </w:r>
      <w:r w:rsidR="008C3C02">
        <w:t>sit and noted that there is</w:t>
      </w:r>
      <w:r>
        <w:t xml:space="preserve"> </w:t>
      </w:r>
      <w:r w:rsidR="008C3C02">
        <w:t>very little of the Order route to the south of that point</w:t>
      </w:r>
      <w:r w:rsidR="00A713D6">
        <w:t xml:space="preserve">. </w:t>
      </w:r>
      <w:r w:rsidR="008C3C02">
        <w:t xml:space="preserve">On the balance of </w:t>
      </w:r>
      <w:r>
        <w:t>probabilities,</w:t>
      </w:r>
      <w:r w:rsidR="008C3C02">
        <w:t xml:space="preserve"> I am thus satisfied that the Order route was closed</w:t>
      </w:r>
      <w:r w:rsidR="002565F3">
        <w:t xml:space="preserve"> at the time the photograph was taken</w:t>
      </w:r>
      <w:r w:rsidR="00A713D6">
        <w:t xml:space="preserve">. </w:t>
      </w:r>
      <w:r w:rsidR="008A409C">
        <w:t>Nonetheless</w:t>
      </w:r>
      <w:r>
        <w:t xml:space="preserve">, </w:t>
      </w:r>
      <w:r w:rsidR="007A526B">
        <w:t xml:space="preserve">given </w:t>
      </w:r>
      <w:r w:rsidR="00D43DE8">
        <w:t>th</w:t>
      </w:r>
      <w:r w:rsidR="00D342E3">
        <w:t>e</w:t>
      </w:r>
      <w:r w:rsidR="00B32903">
        <w:t xml:space="preserve"> works only related to a small </w:t>
      </w:r>
      <w:r w:rsidR="008800B3">
        <w:t>section of the wall</w:t>
      </w:r>
      <w:r w:rsidR="00D342E3">
        <w:t xml:space="preserve">, </w:t>
      </w:r>
      <w:r w:rsidR="00487712">
        <w:t>I consider it likely th</w:t>
      </w:r>
      <w:r w:rsidR="008800B3">
        <w:t>ey</w:t>
      </w:r>
      <w:r w:rsidR="00487712">
        <w:t xml:space="preserve"> took days rather than weeks to complete</w:t>
      </w:r>
      <w:r w:rsidR="00A713D6">
        <w:t xml:space="preserve">. </w:t>
      </w:r>
    </w:p>
    <w:p w14:paraId="4148EB19" w14:textId="206F39C4" w:rsidR="00AD72A5" w:rsidRPr="003C7E5C" w:rsidRDefault="00E51D5C" w:rsidP="00DB0931">
      <w:pPr>
        <w:pStyle w:val="Style1"/>
        <w:numPr>
          <w:ilvl w:val="0"/>
          <w:numId w:val="25"/>
        </w:numPr>
        <w:rPr>
          <w:b/>
          <w:bCs/>
          <w:i/>
          <w:iCs/>
        </w:rPr>
      </w:pPr>
      <w:r>
        <w:lastRenderedPageBreak/>
        <w:t>The fact that there was an interruption, is not however the end of the matter. One must go on to consider its purpose and how it would have been perceived by the public at that time.</w:t>
      </w:r>
      <w:r w:rsidR="00A55AF6">
        <w:t xml:space="preserve"> </w:t>
      </w:r>
      <w:r w:rsidR="00487712">
        <w:t>F</w:t>
      </w:r>
      <w:r w:rsidR="002051E5" w:rsidRPr="002051E5">
        <w:t>or an interruption to be effective it must be with the intention of preventing public use (</w:t>
      </w:r>
      <w:r w:rsidR="002051E5" w:rsidRPr="00487712">
        <w:rPr>
          <w:i/>
          <w:iCs/>
        </w:rPr>
        <w:t>Lewis v Thomas</w:t>
      </w:r>
      <w:r w:rsidR="002051E5" w:rsidRPr="002051E5">
        <w:t xml:space="preserve"> 1950)</w:t>
      </w:r>
      <w:r w:rsidR="00A713D6">
        <w:t xml:space="preserve">. </w:t>
      </w:r>
      <w:r w:rsidR="00AD72A5">
        <w:t>In that case</w:t>
      </w:r>
      <w:r w:rsidR="003C7E5C">
        <w:t>,</w:t>
      </w:r>
      <w:r w:rsidR="00AD72A5">
        <w:t xml:space="preserve"> Lord Evershed </w:t>
      </w:r>
      <w:r w:rsidR="003C7E5C">
        <w:t>M.R. made the following point:</w:t>
      </w:r>
    </w:p>
    <w:p w14:paraId="69498BD6" w14:textId="10BFB782" w:rsidR="003C7E5C" w:rsidRPr="003C7E5C" w:rsidRDefault="003C7E5C" w:rsidP="003C7E5C">
      <w:pPr>
        <w:pStyle w:val="Style1"/>
        <w:numPr>
          <w:ilvl w:val="0"/>
          <w:numId w:val="0"/>
        </w:numPr>
        <w:ind w:left="431"/>
        <w:rPr>
          <w:i/>
          <w:iCs/>
        </w:rPr>
      </w:pPr>
      <w:r w:rsidRPr="003C7E5C">
        <w:rPr>
          <w:i/>
          <w:iCs/>
        </w:rPr>
        <w:t xml:space="preserve">“The illustration was given </w:t>
      </w:r>
      <w:proofErr w:type="gramStart"/>
      <w:r w:rsidRPr="003C7E5C">
        <w:rPr>
          <w:i/>
          <w:iCs/>
        </w:rPr>
        <w:t>during the course of</w:t>
      </w:r>
      <w:proofErr w:type="gramEnd"/>
      <w:r w:rsidRPr="003C7E5C">
        <w:rPr>
          <w:i/>
          <w:iCs/>
        </w:rPr>
        <w:t xml:space="preserve"> the argument of a road which was interrupted and entirely blocked by some broken</w:t>
      </w:r>
      <w:r w:rsidRPr="003C7E5C">
        <w:rPr>
          <w:rFonts w:ascii="Cambria Math" w:hAnsi="Cambria Math" w:cs="Cambria Math"/>
          <w:i/>
          <w:iCs/>
        </w:rPr>
        <w:t>‐</w:t>
      </w:r>
      <w:r w:rsidRPr="003C7E5C">
        <w:rPr>
          <w:i/>
          <w:iCs/>
        </w:rPr>
        <w:t>down vehicle so that nobody could pass along it at all. It is obvious that in such a case no court would hold that there was such an interruption as was intended by the section. In the forming of that conclusion, the circumstances in which the barring took place and the complete absence of any intention to stop anybody from going along it would, I think, be a relevant circumstance.”</w:t>
      </w:r>
    </w:p>
    <w:p w14:paraId="403313A4" w14:textId="4184188F" w:rsidR="00234F91" w:rsidRPr="00234F91" w:rsidRDefault="00234F91" w:rsidP="00AD101D">
      <w:pPr>
        <w:pStyle w:val="Style1"/>
        <w:numPr>
          <w:ilvl w:val="0"/>
          <w:numId w:val="25"/>
        </w:numPr>
      </w:pPr>
      <w:r w:rsidRPr="00234F91">
        <w:t>Further clarity is provided at page 46 of the ‘Blue Book’</w:t>
      </w:r>
      <w:r w:rsidR="00AD101D">
        <w:t xml:space="preserve"> (</w:t>
      </w:r>
      <w:r w:rsidR="00AD101D" w:rsidRPr="00AD101D">
        <w:t xml:space="preserve">Rights of Way: A Guide to Law &amp; Practice Fourth Edition” </w:t>
      </w:r>
      <w:proofErr w:type="spellStart"/>
      <w:r w:rsidR="00AD101D" w:rsidRPr="00AD101D">
        <w:t>Riddall</w:t>
      </w:r>
      <w:proofErr w:type="spellEnd"/>
      <w:r w:rsidR="00AD101D" w:rsidRPr="00AD101D">
        <w:t xml:space="preserve"> and Trevelyan 2007</w:t>
      </w:r>
      <w:r w:rsidR="00AD101D">
        <w:t>)</w:t>
      </w:r>
      <w:r w:rsidR="00A55AF6">
        <w:t xml:space="preserve"> which u</w:t>
      </w:r>
      <w:r w:rsidRPr="00234F91">
        <w:t>nder the heading "</w:t>
      </w:r>
      <w:r w:rsidRPr="00AD101D">
        <w:rPr>
          <w:i/>
          <w:iCs/>
        </w:rPr>
        <w:t>without interruption</w:t>
      </w:r>
      <w:r w:rsidRPr="00234F91">
        <w:t>" state</w:t>
      </w:r>
      <w:r w:rsidR="00AD101D">
        <w:t>s</w:t>
      </w:r>
      <w:r w:rsidRPr="00234F91">
        <w:t>:</w:t>
      </w:r>
    </w:p>
    <w:p w14:paraId="0CF62BF3" w14:textId="52C60FC8" w:rsidR="00447440" w:rsidRPr="00234F91" w:rsidRDefault="00234F91" w:rsidP="00AD101D">
      <w:pPr>
        <w:pStyle w:val="Style1"/>
        <w:numPr>
          <w:ilvl w:val="0"/>
          <w:numId w:val="0"/>
        </w:numPr>
        <w:ind w:left="431"/>
      </w:pPr>
      <w:r w:rsidRPr="00234F91">
        <w:t>"</w:t>
      </w:r>
      <w:proofErr w:type="gramStart"/>
      <w:r w:rsidRPr="00AD101D">
        <w:rPr>
          <w:i/>
          <w:iCs/>
        </w:rPr>
        <w:t>the</w:t>
      </w:r>
      <w:proofErr w:type="gramEnd"/>
      <w:r w:rsidRPr="00AD101D">
        <w:rPr>
          <w:i/>
          <w:iCs/>
        </w:rPr>
        <w:t xml:space="preserve"> interruption </w:t>
      </w:r>
      <w:r w:rsidRPr="00AD101D">
        <w:rPr>
          <w:i/>
          <w:iCs/>
          <w:u w:val="single"/>
        </w:rPr>
        <w:t>must be with intent to prevent public use of the way</w:t>
      </w:r>
      <w:r w:rsidRPr="00AD101D">
        <w:rPr>
          <w:i/>
          <w:iCs/>
        </w:rPr>
        <w:t xml:space="preserve">. </w:t>
      </w:r>
      <w:r w:rsidRPr="00AD101D">
        <w:rPr>
          <w:i/>
          <w:iCs/>
          <w:u w:val="single"/>
        </w:rPr>
        <w:t>It will not</w:t>
      </w:r>
      <w:r w:rsidR="00AD101D" w:rsidRPr="00AD101D">
        <w:rPr>
          <w:i/>
          <w:iCs/>
          <w:u w:val="single"/>
        </w:rPr>
        <w:t xml:space="preserve"> </w:t>
      </w:r>
      <w:r w:rsidRPr="00AD101D">
        <w:rPr>
          <w:i/>
          <w:iCs/>
          <w:u w:val="single"/>
        </w:rPr>
        <w:t>be sufficient if the interruption is shown to have been for some other purpose</w:t>
      </w:r>
      <w:r w:rsidRPr="00AD101D">
        <w:rPr>
          <w:i/>
          <w:iCs/>
        </w:rPr>
        <w:t>,</w:t>
      </w:r>
      <w:r w:rsidR="00AD101D" w:rsidRPr="00AD101D">
        <w:rPr>
          <w:i/>
          <w:iCs/>
        </w:rPr>
        <w:t xml:space="preserve"> </w:t>
      </w:r>
      <w:r w:rsidRPr="00AD101D">
        <w:rPr>
          <w:i/>
          <w:iCs/>
        </w:rPr>
        <w:t>e.g. the conduct of longstanding building works, to prevent cattle straying, or to</w:t>
      </w:r>
      <w:r w:rsidR="00AD101D" w:rsidRPr="00AD101D">
        <w:rPr>
          <w:i/>
          <w:iCs/>
        </w:rPr>
        <w:t xml:space="preserve"> </w:t>
      </w:r>
      <w:r w:rsidRPr="00AD101D">
        <w:rPr>
          <w:i/>
          <w:iCs/>
        </w:rPr>
        <w:t>provide parking spaces for lorries or broken-down vehicles</w:t>
      </w:r>
      <w:r w:rsidRPr="00234F91">
        <w:t>". (my emphasis</w:t>
      </w:r>
      <w:r w:rsidR="00AD101D">
        <w:t>)</w:t>
      </w:r>
    </w:p>
    <w:p w14:paraId="614ADB39" w14:textId="4216B735" w:rsidR="00444A74" w:rsidRPr="00523C6E" w:rsidRDefault="00A55AF6" w:rsidP="00523C6E">
      <w:pPr>
        <w:pStyle w:val="Style1"/>
        <w:numPr>
          <w:ilvl w:val="0"/>
          <w:numId w:val="25"/>
        </w:numPr>
        <w:rPr>
          <w:b/>
          <w:bCs/>
          <w:i/>
          <w:iCs/>
        </w:rPr>
      </w:pPr>
      <w:r>
        <w:t xml:space="preserve">Given the works to the retaining wall were not </w:t>
      </w:r>
      <w:r w:rsidR="00E50F98">
        <w:t xml:space="preserve">intended to prevent </w:t>
      </w:r>
      <w:r w:rsidR="00523C6E">
        <w:t xml:space="preserve">the public’s use of the Order route, it cannot be considered </w:t>
      </w:r>
      <w:r w:rsidR="00E50F98">
        <w:t xml:space="preserve">an </w:t>
      </w:r>
      <w:r w:rsidR="00523C6E">
        <w:t>‘effective’</w:t>
      </w:r>
      <w:r w:rsidR="00E50F98">
        <w:t xml:space="preserve"> interruption</w:t>
      </w:r>
      <w:r w:rsidR="00523C6E">
        <w:t xml:space="preserve"> in the terms</w:t>
      </w:r>
      <w:r w:rsidR="00805543">
        <w:t xml:space="preserve"> laid down in </w:t>
      </w:r>
      <w:r w:rsidR="00805543" w:rsidRPr="00523C6E">
        <w:rPr>
          <w:i/>
          <w:iCs/>
        </w:rPr>
        <w:t>Lewis v Thomas</w:t>
      </w:r>
      <w:r w:rsidR="00805543">
        <w:t>.</w:t>
      </w:r>
      <w:r w:rsidR="008A409C" w:rsidRPr="00523C6E">
        <w:rPr>
          <w:color w:val="auto"/>
          <w:kern w:val="0"/>
        </w:rPr>
        <w:t xml:space="preserve"> </w:t>
      </w:r>
    </w:p>
    <w:p w14:paraId="1E22E4C0" w14:textId="4D0CE08F" w:rsidR="0089314C" w:rsidRDefault="0089314C" w:rsidP="0089314C">
      <w:pPr>
        <w:pStyle w:val="Style1"/>
        <w:numPr>
          <w:ilvl w:val="0"/>
          <w:numId w:val="0"/>
        </w:numPr>
        <w:rPr>
          <w:b/>
          <w:bCs/>
          <w:i/>
          <w:iCs/>
        </w:rPr>
      </w:pPr>
      <w:r w:rsidRPr="001B6AE0">
        <w:rPr>
          <w:b/>
          <w:bCs/>
          <w:i/>
          <w:iCs/>
        </w:rPr>
        <w:t>Conclusion</w:t>
      </w:r>
      <w:r w:rsidR="001B6AE0" w:rsidRPr="001B6AE0">
        <w:rPr>
          <w:b/>
          <w:bCs/>
          <w:i/>
          <w:iCs/>
        </w:rPr>
        <w:t>s</w:t>
      </w:r>
      <w:r w:rsidRPr="001B6AE0">
        <w:rPr>
          <w:b/>
          <w:bCs/>
          <w:i/>
          <w:iCs/>
        </w:rPr>
        <w:t xml:space="preserve"> </w:t>
      </w:r>
      <w:r w:rsidR="001B6AE0" w:rsidRPr="001B6AE0">
        <w:rPr>
          <w:b/>
          <w:bCs/>
          <w:i/>
          <w:iCs/>
        </w:rPr>
        <w:t xml:space="preserve">on the user evidence </w:t>
      </w:r>
    </w:p>
    <w:p w14:paraId="7CF6185B" w14:textId="53C20BE2" w:rsidR="005521CA" w:rsidRDefault="005521CA" w:rsidP="005521CA">
      <w:pPr>
        <w:pStyle w:val="Style1"/>
        <w:numPr>
          <w:ilvl w:val="0"/>
          <w:numId w:val="25"/>
        </w:numPr>
      </w:pPr>
      <w:r>
        <w:t>I consider the level of use during the relevant 20-year period would have been sufficient to “</w:t>
      </w:r>
      <w:r w:rsidRPr="00343727">
        <w:rPr>
          <w:i/>
          <w:iCs/>
        </w:rPr>
        <w:t>bring home to the landowner that a right is being asserted against him</w:t>
      </w:r>
      <w:r>
        <w:t>” (</w:t>
      </w:r>
      <w:r w:rsidRPr="00936480">
        <w:rPr>
          <w:i/>
          <w:iCs/>
        </w:rPr>
        <w:t>R (Lewis) v Redcar and Cleveland Borough Council</w:t>
      </w:r>
      <w:r w:rsidRPr="00936480">
        <w:t>)</w:t>
      </w:r>
      <w:r w:rsidR="00A713D6">
        <w:t xml:space="preserve">. </w:t>
      </w:r>
      <w:r w:rsidRPr="00266EA7">
        <w:t xml:space="preserve">There is no </w:t>
      </w:r>
      <w:r>
        <w:t xml:space="preserve">credible </w:t>
      </w:r>
      <w:r w:rsidRPr="00266EA7">
        <w:t xml:space="preserve">evidence that the use was </w:t>
      </w:r>
      <w:r w:rsidRPr="007741CD">
        <w:t>secretive</w:t>
      </w:r>
      <w:r>
        <w:t>, by permission or by force</w:t>
      </w:r>
      <w:r w:rsidR="00A713D6">
        <w:t xml:space="preserve">. </w:t>
      </w:r>
      <w:r w:rsidRPr="00266EA7">
        <w:t>Although the level of use varies between the witnesses</w:t>
      </w:r>
      <w:r>
        <w:t>, o</w:t>
      </w:r>
      <w:r w:rsidRPr="00266EA7">
        <w:t>verall</w:t>
      </w:r>
      <w:r>
        <w:t>,</w:t>
      </w:r>
      <w:r w:rsidRPr="00266EA7">
        <w:t xml:space="preserve"> it has been demonstrated that it was on a regular basis</w:t>
      </w:r>
      <w:r w:rsidR="00E50F98">
        <w:t xml:space="preserve">. </w:t>
      </w:r>
    </w:p>
    <w:p w14:paraId="5D5A3305" w14:textId="0F5953D6" w:rsidR="009A3866" w:rsidRPr="009A3866" w:rsidRDefault="009A3866" w:rsidP="00B8722C">
      <w:pPr>
        <w:pStyle w:val="Style1"/>
        <w:numPr>
          <w:ilvl w:val="0"/>
          <w:numId w:val="25"/>
        </w:numPr>
      </w:pPr>
      <w:r w:rsidRPr="009A3866">
        <w:t>The objector queried the accuracy of the user evidence but</w:t>
      </w:r>
      <w:r>
        <w:t xml:space="preserve"> </w:t>
      </w:r>
      <w:r w:rsidR="002318C0">
        <w:t>there was no significant challenge to it at the Inquiry</w:t>
      </w:r>
      <w:r w:rsidR="00A713D6">
        <w:t xml:space="preserve">. </w:t>
      </w:r>
      <w:r w:rsidR="003F6ED9">
        <w:t xml:space="preserve">While there might be small discrepancies </w:t>
      </w:r>
      <w:r w:rsidR="007254D4">
        <w:t>in terms of dates between some of the witnesses</w:t>
      </w:r>
      <w:r w:rsidR="00395969">
        <w:t xml:space="preserve">, </w:t>
      </w:r>
      <w:r w:rsidR="007254D4">
        <w:t>when viewed as a whole</w:t>
      </w:r>
      <w:r w:rsidR="005521CA">
        <w:t xml:space="preserve">, </w:t>
      </w:r>
      <w:r w:rsidR="007254D4">
        <w:t>the</w:t>
      </w:r>
      <w:r w:rsidR="00395969">
        <w:t xml:space="preserve"> user evidence </w:t>
      </w:r>
      <w:r w:rsidR="005521CA">
        <w:t>demonstrates the public’s use of the route ‘as of right’ over the 20-year period</w:t>
      </w:r>
      <w:r w:rsidR="00A713D6">
        <w:t xml:space="preserve">. </w:t>
      </w:r>
      <w:r w:rsidR="00E17796">
        <w:t xml:space="preserve">It is also known from contemporaneous documents that the </w:t>
      </w:r>
      <w:r w:rsidR="00F73933">
        <w:t>landowner</w:t>
      </w:r>
      <w:r w:rsidR="00395969">
        <w:t xml:space="preserve"> was aware of the</w:t>
      </w:r>
      <w:r w:rsidR="00F73933">
        <w:t xml:space="preserve"> </w:t>
      </w:r>
      <w:r w:rsidR="00395969">
        <w:t xml:space="preserve">public’s use of the Order route </w:t>
      </w:r>
      <w:r w:rsidR="00E17796">
        <w:t>in 1997 which was approximately halfway through the 20-year period.</w:t>
      </w:r>
      <w:r w:rsidR="00395969">
        <w:t xml:space="preserve"> </w:t>
      </w:r>
    </w:p>
    <w:p w14:paraId="4DE8F3AD" w14:textId="05A269EC" w:rsidR="00A3240A" w:rsidRPr="005521CA" w:rsidRDefault="005521CA" w:rsidP="005521CA">
      <w:pPr>
        <w:pStyle w:val="Style1"/>
        <w:numPr>
          <w:ilvl w:val="0"/>
          <w:numId w:val="25"/>
        </w:numPr>
        <w:rPr>
          <w:b/>
          <w:bCs/>
          <w:i/>
          <w:iCs/>
        </w:rPr>
      </w:pPr>
      <w:r w:rsidRPr="009A3866">
        <w:t>Overall, the user evidence demonstrates use of the Order route</w:t>
      </w:r>
      <w:r>
        <w:t xml:space="preserve"> </w:t>
      </w:r>
      <w:r w:rsidRPr="009A3866">
        <w:t>during the 20-year period and weigh</w:t>
      </w:r>
      <w:r>
        <w:t>s</w:t>
      </w:r>
      <w:r w:rsidRPr="009A3866">
        <w:t xml:space="preserve"> in favour of confirmation of the Order</w:t>
      </w:r>
      <w:r>
        <w:t xml:space="preserve">. </w:t>
      </w:r>
    </w:p>
    <w:p w14:paraId="16F14915" w14:textId="50B0C425" w:rsidR="0071233F" w:rsidRPr="006C18FD" w:rsidRDefault="0071233F" w:rsidP="0071233F">
      <w:pPr>
        <w:pStyle w:val="Style1"/>
        <w:numPr>
          <w:ilvl w:val="0"/>
          <w:numId w:val="0"/>
        </w:numPr>
        <w:rPr>
          <w:b/>
          <w:bCs/>
          <w:i/>
          <w:iCs/>
        </w:rPr>
      </w:pPr>
      <w:r w:rsidRPr="006C18FD">
        <w:rPr>
          <w:b/>
          <w:bCs/>
          <w:i/>
          <w:iCs/>
        </w:rPr>
        <w:t xml:space="preserve">Lack of intention to </w:t>
      </w:r>
      <w:proofErr w:type="gramStart"/>
      <w:r w:rsidRPr="006C18FD">
        <w:rPr>
          <w:b/>
          <w:bCs/>
          <w:i/>
          <w:iCs/>
        </w:rPr>
        <w:t>dedicate</w:t>
      </w:r>
      <w:proofErr w:type="gramEnd"/>
      <w:r w:rsidRPr="006C18FD">
        <w:rPr>
          <w:b/>
          <w:bCs/>
          <w:i/>
          <w:iCs/>
        </w:rPr>
        <w:t xml:space="preserve"> </w:t>
      </w:r>
    </w:p>
    <w:p w14:paraId="418D65BF" w14:textId="15D31E56" w:rsidR="0071233F" w:rsidRDefault="0071233F" w:rsidP="0071233F">
      <w:pPr>
        <w:pStyle w:val="Style1"/>
      </w:pPr>
      <w:r>
        <w:t>The user evidence gives rise to a presumption of dedication and therefore the burden shifts to the landowner to demonstrate a lack of intention to dedicate</w:t>
      </w:r>
      <w:r w:rsidR="00A713D6">
        <w:t xml:space="preserve">. </w:t>
      </w:r>
      <w:r>
        <w:t xml:space="preserve"> For there to be sufficient evidence of this there must be evidence of some overt acts on the part of the landowner, during the relevant period, to show the public at large that they had no intention to dedicate</w:t>
      </w:r>
      <w:r w:rsidR="00A713D6">
        <w:t xml:space="preserve">. </w:t>
      </w:r>
      <w:r>
        <w:t xml:space="preserve">The test is whether a </w:t>
      </w:r>
      <w:r>
        <w:lastRenderedPageBreak/>
        <w:t>reasonable user would have understood that the landowner was intending to disabuse the user of the notion that the way was public.</w:t>
      </w:r>
    </w:p>
    <w:p w14:paraId="24217F2E" w14:textId="4E6CFC22" w:rsidR="00E8622A" w:rsidRPr="00E8622A" w:rsidRDefault="0071233F" w:rsidP="00E8622A">
      <w:pPr>
        <w:pStyle w:val="Style1"/>
        <w:numPr>
          <w:ilvl w:val="0"/>
          <w:numId w:val="25"/>
        </w:numPr>
        <w:rPr>
          <w:b/>
          <w:bCs/>
          <w:i/>
          <w:iCs/>
        </w:rPr>
      </w:pPr>
      <w:r>
        <w:t>I have already</w:t>
      </w:r>
      <w:r w:rsidR="00A527CE">
        <w:t xml:space="preserve"> identified that a </w:t>
      </w:r>
      <w:r w:rsidR="00F53FA2">
        <w:t xml:space="preserve">notice was erected by the landowner in </w:t>
      </w:r>
      <w:r w:rsidR="00DB0931">
        <w:t xml:space="preserve">August </w:t>
      </w:r>
      <w:r w:rsidR="00F53FA2">
        <w:t>20</w:t>
      </w:r>
      <w:r w:rsidR="00DB0931">
        <w:t>08 and that there w</w:t>
      </w:r>
      <w:r w:rsidR="00CB4473">
        <w:t>ere some sporadic challenges between April and August of the same year</w:t>
      </w:r>
      <w:r w:rsidR="00A713D6">
        <w:t xml:space="preserve">. </w:t>
      </w:r>
      <w:r w:rsidR="00E56E9D">
        <w:t>However,</w:t>
      </w:r>
      <w:r w:rsidR="00F53FA2">
        <w:t xml:space="preserve"> there is no </w:t>
      </w:r>
      <w:r w:rsidR="00E56E9D">
        <w:t>substantive</w:t>
      </w:r>
      <w:r w:rsidR="00F53FA2">
        <w:t xml:space="preserve"> evidence</w:t>
      </w:r>
      <w:r w:rsidR="00E56E9D">
        <w:t xml:space="preserve"> that the landowner took any</w:t>
      </w:r>
      <w:r w:rsidR="00271A1A">
        <w:t xml:space="preserve"> prior</w:t>
      </w:r>
      <w:r w:rsidR="00E56E9D">
        <w:t xml:space="preserve"> </w:t>
      </w:r>
      <w:r>
        <w:t>actions to demonstrate to the public at large that they had no intention to dedicate the routes during the period 1</w:t>
      </w:r>
      <w:r w:rsidR="00A60B2A">
        <w:t>9</w:t>
      </w:r>
      <w:r w:rsidR="00262126">
        <w:t>8</w:t>
      </w:r>
      <w:r w:rsidR="00CB4473">
        <w:t>8</w:t>
      </w:r>
      <w:r>
        <w:t>-20</w:t>
      </w:r>
      <w:r w:rsidR="00CB4473">
        <w:t>08</w:t>
      </w:r>
      <w:r w:rsidR="00A713D6">
        <w:t>.</w:t>
      </w:r>
    </w:p>
    <w:p w14:paraId="1619FDBB" w14:textId="2576A598" w:rsidR="002C563B" w:rsidRDefault="00E8622A" w:rsidP="002C563B">
      <w:pPr>
        <w:pStyle w:val="Style1"/>
      </w:pPr>
      <w:r w:rsidRPr="00E8622A">
        <w:t xml:space="preserve">It </w:t>
      </w:r>
      <w:r w:rsidR="00EF66D5">
        <w:t xml:space="preserve">seems probable that there were signs in the </w:t>
      </w:r>
      <w:r w:rsidR="001F3636">
        <w:t>locality that referred to</w:t>
      </w:r>
      <w:r w:rsidR="00E50F98">
        <w:t xml:space="preserve"> a</w:t>
      </w:r>
      <w:r w:rsidR="001F3636">
        <w:t xml:space="preserve"> ‘private road’ or ‘no through route’. For example, Mr Gard’s statement refers to a sign at the bottom of the Order route which stated “Private Road” in or around 1983. Notwithstanding, this is outside the relevant 20-year period, I do not consider the wording of the sign was sufficiently clear to demonstrate a lack of intention to dedicate on the part of the landowner. </w:t>
      </w:r>
      <w:r w:rsidR="00D21183">
        <w:t>In a similar vein, t</w:t>
      </w:r>
      <w:r w:rsidR="00982753">
        <w:t>he “Fox Brothers Ltd” (Appendix LE7) may have stated there was no through route or set out that the land was private. However, it was established at the Inquiry that this sign was not located on or in the immediate vicinity of the Order route.</w:t>
      </w:r>
      <w:r w:rsidR="00D21183">
        <w:t xml:space="preserve"> </w:t>
      </w:r>
    </w:p>
    <w:p w14:paraId="2492BA9E" w14:textId="4F8B4B24" w:rsidR="004E46E7" w:rsidRDefault="001F3636" w:rsidP="002C563B">
      <w:pPr>
        <w:pStyle w:val="Style1"/>
      </w:pPr>
      <w:r>
        <w:t>There is also some evidence to suggest that the landowner took sporadic action in relation to the</w:t>
      </w:r>
      <w:r w:rsidR="00E8622A" w:rsidRPr="00E8622A">
        <w:t xml:space="preserve"> unauthorised use of the</w:t>
      </w:r>
      <w:r>
        <w:t xml:space="preserve"> Order</w:t>
      </w:r>
      <w:r w:rsidR="00E8622A" w:rsidRPr="00E8622A">
        <w:t xml:space="preserve"> route by motor vehicles</w:t>
      </w:r>
      <w:r w:rsidR="002C563B">
        <w:t xml:space="preserve"> and that the </w:t>
      </w:r>
      <w:r w:rsidR="004969FE">
        <w:t xml:space="preserve">route may have been </w:t>
      </w:r>
      <w:r w:rsidR="002C563B">
        <w:t>blocked</w:t>
      </w:r>
      <w:r w:rsidR="004969FE">
        <w:t xml:space="preserve"> from time to time by </w:t>
      </w:r>
      <w:r w:rsidR="00D21183" w:rsidRPr="00E8622A">
        <w:t>parked vehicles or works</w:t>
      </w:r>
      <w:r w:rsidR="002C563B">
        <w:t xml:space="preserve"> taking place nearby.</w:t>
      </w:r>
      <w:r w:rsidR="004969FE">
        <w:t xml:space="preserve"> </w:t>
      </w:r>
      <w:r w:rsidR="00805543">
        <w:t>However,</w:t>
      </w:r>
      <w:r w:rsidR="00AF3829">
        <w:t xml:space="preserve"> even </w:t>
      </w:r>
      <w:r w:rsidR="00E50F98">
        <w:t xml:space="preserve">if </w:t>
      </w:r>
      <w:r w:rsidR="002C563B">
        <w:t xml:space="preserve">the above did </w:t>
      </w:r>
      <w:r w:rsidR="00AF3829">
        <w:t xml:space="preserve">happen, </w:t>
      </w:r>
      <w:r w:rsidR="00805543">
        <w:t xml:space="preserve">any closures </w:t>
      </w:r>
      <w:r w:rsidR="000C1F41">
        <w:t xml:space="preserve">were ephemeral </w:t>
      </w:r>
      <w:r w:rsidR="002C563B">
        <w:t xml:space="preserve">and were not concerned </w:t>
      </w:r>
      <w:r w:rsidR="00AF3829">
        <w:t>with demonstrating a</w:t>
      </w:r>
      <w:r w:rsidR="00E50F98">
        <w:t xml:space="preserve"> lack of intention </w:t>
      </w:r>
      <w:r w:rsidR="00AF3829">
        <w:t>to dedicate</w:t>
      </w:r>
      <w:r w:rsidR="002C563B">
        <w:t xml:space="preserve"> on </w:t>
      </w:r>
      <w:r w:rsidR="00BC3B6A">
        <w:t>the part of the landowner</w:t>
      </w:r>
      <w:r w:rsidR="00805543">
        <w:t xml:space="preserve">. </w:t>
      </w:r>
    </w:p>
    <w:p w14:paraId="0F956F17" w14:textId="6C403904" w:rsidR="006D6531" w:rsidRPr="006D6531" w:rsidRDefault="006D6531" w:rsidP="006D6531">
      <w:pPr>
        <w:pStyle w:val="Style1"/>
      </w:pPr>
      <w:r w:rsidRPr="006D6531">
        <w:t xml:space="preserve">I </w:t>
      </w:r>
      <w:r w:rsidR="000175B5">
        <w:t>therefore</w:t>
      </w:r>
      <w:r>
        <w:t xml:space="preserve"> find</w:t>
      </w:r>
      <w:r w:rsidR="000175B5">
        <w:t xml:space="preserve"> no persuasive evidence to show the landowner took actions </w:t>
      </w:r>
      <w:r w:rsidRPr="006D6531">
        <w:t>sufficient to demonstrate to the public at large that they had no intention to dedicate the routes during the period 198</w:t>
      </w:r>
      <w:r w:rsidR="000175B5">
        <w:t>8</w:t>
      </w:r>
      <w:r w:rsidRPr="006D6531">
        <w:t>-200</w:t>
      </w:r>
      <w:r w:rsidR="000175B5">
        <w:t>8</w:t>
      </w:r>
      <w:r w:rsidRPr="006D6531">
        <w:t>.</w:t>
      </w:r>
    </w:p>
    <w:p w14:paraId="60714064" w14:textId="59084673" w:rsidR="00C110AE" w:rsidRPr="0081290F" w:rsidRDefault="00C110AE" w:rsidP="000175B5">
      <w:pPr>
        <w:pStyle w:val="Style1"/>
        <w:numPr>
          <w:ilvl w:val="0"/>
          <w:numId w:val="0"/>
        </w:numPr>
        <w:rPr>
          <w:b/>
          <w:bCs/>
          <w:i/>
          <w:iCs/>
        </w:rPr>
      </w:pPr>
      <w:r w:rsidRPr="0081290F">
        <w:rPr>
          <w:b/>
          <w:bCs/>
          <w:i/>
          <w:iCs/>
        </w:rPr>
        <w:t xml:space="preserve">Common </w:t>
      </w:r>
      <w:r w:rsidR="0081290F" w:rsidRPr="0081290F">
        <w:rPr>
          <w:b/>
          <w:bCs/>
          <w:i/>
          <w:iCs/>
        </w:rPr>
        <w:t>l</w:t>
      </w:r>
      <w:r w:rsidRPr="0081290F">
        <w:rPr>
          <w:b/>
          <w:bCs/>
          <w:i/>
          <w:iCs/>
        </w:rPr>
        <w:t xml:space="preserve">aw </w:t>
      </w:r>
      <w:r w:rsidR="006A48AF" w:rsidRPr="0081290F">
        <w:rPr>
          <w:b/>
          <w:bCs/>
          <w:i/>
          <w:iCs/>
        </w:rPr>
        <w:t>d</w:t>
      </w:r>
      <w:r w:rsidRPr="0081290F">
        <w:rPr>
          <w:b/>
          <w:bCs/>
          <w:i/>
          <w:iCs/>
        </w:rPr>
        <w:t xml:space="preserve">edication </w:t>
      </w:r>
    </w:p>
    <w:p w14:paraId="6C3DFB20" w14:textId="092DF797" w:rsidR="00FC43DA" w:rsidRDefault="00FC43DA" w:rsidP="00FC43DA">
      <w:pPr>
        <w:pStyle w:val="Style1"/>
      </w:pPr>
      <w:r w:rsidRPr="00FC43DA">
        <w:t>While the</w:t>
      </w:r>
      <w:r>
        <w:t xml:space="preserve"> OMA </w:t>
      </w:r>
      <w:r w:rsidRPr="00FC43DA">
        <w:t>relies upon a case made out under Section 31 of</w:t>
      </w:r>
      <w:r>
        <w:t xml:space="preserve"> </w:t>
      </w:r>
      <w:r w:rsidRPr="00FC43DA">
        <w:t>the Highways Act 1980, this does not bar the consideration regarding dedication</w:t>
      </w:r>
      <w:r>
        <w:t xml:space="preserve"> </w:t>
      </w:r>
      <w:r w:rsidRPr="00FC43DA">
        <w:t>arising at common law</w:t>
      </w:r>
      <w:r w:rsidR="003A5718">
        <w:t>.</w:t>
      </w:r>
    </w:p>
    <w:p w14:paraId="33137805" w14:textId="3109657C" w:rsidR="0063468A" w:rsidRDefault="003A5718" w:rsidP="0063468A">
      <w:pPr>
        <w:pStyle w:val="Style1"/>
      </w:pPr>
      <w:r>
        <w:t>This occurs when the public use a way “</w:t>
      </w:r>
      <w:r w:rsidRPr="0063468A">
        <w:rPr>
          <w:i/>
          <w:iCs/>
        </w:rPr>
        <w:t>for so long and in such a manner that the [landowner]…must have been aware that members of the public were acting under a belief that the right of way had been dedicated and had taken no steps to disabuse them of that belief, it is not conclusive evidence, but evidence on which those who have to find the fact may find that there was a dedication by the owner whoever he was.</w:t>
      </w:r>
      <w:r>
        <w:t>” (</w:t>
      </w:r>
      <w:r w:rsidRPr="00AC2D32">
        <w:rPr>
          <w:i/>
          <w:iCs/>
        </w:rPr>
        <w:t>Mann v Brodie</w:t>
      </w:r>
      <w:r w:rsidR="00AC2D32">
        <w:t>)</w:t>
      </w:r>
      <w:r w:rsidR="00A713D6">
        <w:t xml:space="preserve">. </w:t>
      </w:r>
      <w:r>
        <w:t>No minimum period of use is</w:t>
      </w:r>
      <w:r w:rsidR="0063468A">
        <w:t xml:space="preserve"> </w:t>
      </w:r>
      <w:r>
        <w:t xml:space="preserve">required. The greater the evidence of use </w:t>
      </w:r>
      <w:r w:rsidR="00E50F98">
        <w:t>‘</w:t>
      </w:r>
      <w:r>
        <w:t>as of right</w:t>
      </w:r>
      <w:r w:rsidR="00E50F98">
        <w:t>’</w:t>
      </w:r>
      <w:r>
        <w:t xml:space="preserve"> (which is acceptance by the</w:t>
      </w:r>
      <w:r w:rsidR="0063468A">
        <w:t xml:space="preserve"> </w:t>
      </w:r>
      <w:r>
        <w:t>public at large of a public right of way) the greater the implication of dedication.</w:t>
      </w:r>
    </w:p>
    <w:p w14:paraId="24D5CAA9" w14:textId="1689C1D1" w:rsidR="003A5718" w:rsidRDefault="003A5718" w:rsidP="0063468A">
      <w:pPr>
        <w:pStyle w:val="Style1"/>
      </w:pPr>
      <w:r>
        <w:t>Dedication at common law requires consideration of three issues: whether any</w:t>
      </w:r>
      <w:r w:rsidR="0063468A">
        <w:t xml:space="preserve"> </w:t>
      </w:r>
      <w:r>
        <w:t xml:space="preserve">current or </w:t>
      </w:r>
      <w:bookmarkStart w:id="2" w:name="_Hlk166832683"/>
      <w:r>
        <w:t>previous owners of the land in question had the capacity to dedicate a</w:t>
      </w:r>
      <w:r w:rsidR="0063468A">
        <w:t xml:space="preserve"> </w:t>
      </w:r>
      <w:r>
        <w:t xml:space="preserve">highway, whether there was express or implied dedication by the landowners </w:t>
      </w:r>
      <w:bookmarkEnd w:id="2"/>
      <w:r>
        <w:t>and</w:t>
      </w:r>
      <w:r w:rsidR="0063468A">
        <w:t xml:space="preserve"> </w:t>
      </w:r>
      <w:r>
        <w:t xml:space="preserve">whether there </w:t>
      </w:r>
      <w:r w:rsidR="00E50F98">
        <w:t>was</w:t>
      </w:r>
      <w:r>
        <w:t xml:space="preserve"> acceptance of the highway by the public</w:t>
      </w:r>
      <w:r w:rsidR="00A713D6">
        <w:t xml:space="preserve">. </w:t>
      </w:r>
      <w:r>
        <w:t>Evidence of the use of a</w:t>
      </w:r>
      <w:r w:rsidR="0063468A">
        <w:t xml:space="preserve"> </w:t>
      </w:r>
      <w:r>
        <w:t xml:space="preserve">path </w:t>
      </w:r>
      <w:r w:rsidR="00E50F98">
        <w:t xml:space="preserve">by </w:t>
      </w:r>
      <w:r>
        <w:t xml:space="preserve">the public </w:t>
      </w:r>
      <w:r w:rsidR="00E50F98">
        <w:t>‘</w:t>
      </w:r>
      <w:r>
        <w:t>as of right</w:t>
      </w:r>
      <w:r w:rsidR="00E50F98">
        <w:t>’</w:t>
      </w:r>
      <w:r>
        <w:t xml:space="preserve"> may support an inference of dedication and may also</w:t>
      </w:r>
      <w:r w:rsidR="0063468A">
        <w:t xml:space="preserve"> </w:t>
      </w:r>
      <w:r>
        <w:t>show acceptance by the public.</w:t>
      </w:r>
    </w:p>
    <w:p w14:paraId="46C58208" w14:textId="69ECCFF6" w:rsidR="002504B3" w:rsidRDefault="002504B3" w:rsidP="00AF7321">
      <w:pPr>
        <w:pStyle w:val="Style1"/>
      </w:pPr>
      <w:r>
        <w:t>A</w:t>
      </w:r>
      <w:r w:rsidR="00C80A59">
        <w:t xml:space="preserve">s is clear from my conclusions above, I have </w:t>
      </w:r>
      <w:r w:rsidR="0019740C">
        <w:t xml:space="preserve">found that the Order route was well used by the </w:t>
      </w:r>
      <w:proofErr w:type="gramStart"/>
      <w:r w:rsidR="0019740C">
        <w:t>general public</w:t>
      </w:r>
      <w:proofErr w:type="gramEnd"/>
      <w:r w:rsidR="0019740C">
        <w:t xml:space="preserve"> over many decades up until 2008</w:t>
      </w:r>
      <w:r w:rsidR="00A713D6">
        <w:t xml:space="preserve">. </w:t>
      </w:r>
      <w:r w:rsidR="0019740C">
        <w:t xml:space="preserve">The level of </w:t>
      </w:r>
      <w:r w:rsidR="0019740C">
        <w:lastRenderedPageBreak/>
        <w:t xml:space="preserve">that use </w:t>
      </w:r>
      <w:r w:rsidR="00070C48">
        <w:t>was such that the landowner must have been aware that</w:t>
      </w:r>
      <w:r w:rsidR="0019740C">
        <w:t xml:space="preserve"> </w:t>
      </w:r>
      <w:r w:rsidR="00070C48" w:rsidRPr="00070C48">
        <w:t xml:space="preserve">members of the public were acting under a belief that </w:t>
      </w:r>
      <w:r w:rsidR="0032650E">
        <w:t>a</w:t>
      </w:r>
      <w:r w:rsidR="00070C48" w:rsidRPr="00070C48">
        <w:t xml:space="preserve"> right of</w:t>
      </w:r>
      <w:r w:rsidR="00070C48">
        <w:t xml:space="preserve"> </w:t>
      </w:r>
      <w:r w:rsidR="00070C48" w:rsidRPr="00070C48">
        <w:t>way had been dedicated</w:t>
      </w:r>
      <w:r w:rsidR="00A713D6">
        <w:t xml:space="preserve">. </w:t>
      </w:r>
      <w:r w:rsidR="00F475EC">
        <w:t>Indeed, t</w:t>
      </w:r>
      <w:r w:rsidR="00B5206A">
        <w:t xml:space="preserve">he Fox Bros letter dated </w:t>
      </w:r>
      <w:r w:rsidR="00F475EC">
        <w:t>March 1997 mak</w:t>
      </w:r>
      <w:r w:rsidR="00AF7321">
        <w:t>e</w:t>
      </w:r>
      <w:r w:rsidR="00F475EC">
        <w:t>s clear that the landowner was aware of the public’s use of the route</w:t>
      </w:r>
      <w:r w:rsidR="006B1016">
        <w:t xml:space="preserve"> at that time</w:t>
      </w:r>
      <w:r w:rsidR="00A713D6">
        <w:t xml:space="preserve">. </w:t>
      </w:r>
      <w:r w:rsidR="00FA68A1">
        <w:t xml:space="preserve">There is no credible evidence before me to show that the landowner took </w:t>
      </w:r>
      <w:r w:rsidR="00FA68A1" w:rsidRPr="00FA68A1">
        <w:t xml:space="preserve">steps to disabuse </w:t>
      </w:r>
      <w:r w:rsidR="00FA68A1">
        <w:t>the public of the</w:t>
      </w:r>
      <w:r w:rsidR="00FA68A1" w:rsidRPr="00FA68A1">
        <w:t xml:space="preserve"> belief</w:t>
      </w:r>
      <w:r w:rsidR="00FA68A1">
        <w:t xml:space="preserve"> </w:t>
      </w:r>
      <w:r w:rsidR="00AF7321">
        <w:t xml:space="preserve">that their use of the route was </w:t>
      </w:r>
      <w:r w:rsidR="005779A2">
        <w:t>‘</w:t>
      </w:r>
      <w:r w:rsidR="00AF7321">
        <w:t>as of right</w:t>
      </w:r>
      <w:r w:rsidR="008B232F">
        <w:t>’</w:t>
      </w:r>
      <w:r w:rsidR="00A713D6">
        <w:t xml:space="preserve">. </w:t>
      </w:r>
      <w:r w:rsidR="00AF7321">
        <w:t xml:space="preserve">Finally, I am satisfied that the </w:t>
      </w:r>
      <w:r w:rsidR="00AF7321" w:rsidRPr="00AF7321">
        <w:t xml:space="preserve">previous owners </w:t>
      </w:r>
      <w:r w:rsidR="00AF7321">
        <w:t xml:space="preserve">(Fox Bros) </w:t>
      </w:r>
      <w:r w:rsidR="00AF7321" w:rsidRPr="00AF7321">
        <w:t xml:space="preserve">had the capacity to dedicate a highway, </w:t>
      </w:r>
      <w:r w:rsidR="00AF7321">
        <w:t xml:space="preserve">and that there was </w:t>
      </w:r>
      <w:r w:rsidR="00AF7321" w:rsidRPr="00AF7321">
        <w:t>implied dedication</w:t>
      </w:r>
      <w:r w:rsidR="00AF7321">
        <w:t xml:space="preserve">. </w:t>
      </w:r>
    </w:p>
    <w:p w14:paraId="6248C402" w14:textId="128E6A8F" w:rsidR="00C110AE" w:rsidRPr="00C110AE" w:rsidRDefault="00AE0519" w:rsidP="00C110AE">
      <w:pPr>
        <w:pStyle w:val="Style1"/>
      </w:pPr>
      <w:proofErr w:type="gramStart"/>
      <w:r>
        <w:t>In light o</w:t>
      </w:r>
      <w:r w:rsidR="00AF7321">
        <w:t>f</w:t>
      </w:r>
      <w:proofErr w:type="gramEnd"/>
      <w:r>
        <w:t xml:space="preserve"> th</w:t>
      </w:r>
      <w:r w:rsidR="00AB7059">
        <w:t>e</w:t>
      </w:r>
      <w:r>
        <w:t xml:space="preserve"> above I </w:t>
      </w:r>
      <w:r w:rsidR="00AB7059">
        <w:t>f</w:t>
      </w:r>
      <w:r w:rsidR="00614A0D">
        <w:t xml:space="preserve">ind </w:t>
      </w:r>
      <w:r w:rsidR="00671803">
        <w:t xml:space="preserve">it </w:t>
      </w:r>
      <w:r w:rsidR="00614A0D" w:rsidRPr="00614A0D">
        <w:t>possible to infer an intention to dedicate on the part of the landowners, with acceptance being demonstrated by public use of the route.</w:t>
      </w:r>
    </w:p>
    <w:p w14:paraId="2D4CE835" w14:textId="5BDC279A" w:rsidR="00C110AE" w:rsidRDefault="004777AD" w:rsidP="00EC5F86">
      <w:pPr>
        <w:pStyle w:val="Heading6blackfont"/>
      </w:pPr>
      <w:r>
        <w:t>Other Matters</w:t>
      </w:r>
    </w:p>
    <w:p w14:paraId="27E830FD" w14:textId="4A2B5420" w:rsidR="004777AD" w:rsidRPr="004777AD" w:rsidRDefault="000A7C8D" w:rsidP="004777AD">
      <w:pPr>
        <w:pStyle w:val="Style1"/>
      </w:pPr>
      <w:r>
        <w:t>Various i</w:t>
      </w:r>
      <w:r w:rsidR="004777AD">
        <w:t xml:space="preserve">ssues </w:t>
      </w:r>
      <w:r>
        <w:t xml:space="preserve">have been raised by those opposing the Order including, but not limited to, the </w:t>
      </w:r>
      <w:r w:rsidR="008B232F">
        <w:t xml:space="preserve">suitability of the route, the </w:t>
      </w:r>
      <w:r>
        <w:t xml:space="preserve">effect </w:t>
      </w:r>
      <w:r w:rsidR="004777AD">
        <w:t>on</w:t>
      </w:r>
      <w:r>
        <w:t xml:space="preserve"> private</w:t>
      </w:r>
      <w:r w:rsidR="004777AD">
        <w:t xml:space="preserve"> property</w:t>
      </w:r>
      <w:r w:rsidR="008B232F">
        <w:t xml:space="preserve"> and</w:t>
      </w:r>
      <w:r w:rsidR="004777AD">
        <w:t xml:space="preserve"> </w:t>
      </w:r>
      <w:r w:rsidR="008B232F">
        <w:t>road safety</w:t>
      </w:r>
      <w:r w:rsidR="00A713D6">
        <w:t xml:space="preserve">. </w:t>
      </w:r>
      <w:r w:rsidR="004777AD">
        <w:t>Whil</w:t>
      </w:r>
      <w:r>
        <w:t>e</w:t>
      </w:r>
      <w:r w:rsidR="004777AD">
        <w:t xml:space="preserve"> I note, and can appreciate the genuine concerns, the</w:t>
      </w:r>
      <w:r>
        <w:t xml:space="preserve">se </w:t>
      </w:r>
      <w:r w:rsidR="004777AD">
        <w:t>are not matters which can be taken into consideration under the 1981 Act.</w:t>
      </w:r>
    </w:p>
    <w:p w14:paraId="5C399C64" w14:textId="73C024B3" w:rsidR="00355FCC" w:rsidRDefault="00EC5F86" w:rsidP="00EC5F86">
      <w:pPr>
        <w:pStyle w:val="Heading6blackfont"/>
      </w:pPr>
      <w:r>
        <w:t>Conclusions</w:t>
      </w:r>
    </w:p>
    <w:p w14:paraId="79852DB6" w14:textId="3B9267B1" w:rsidR="00B70B59" w:rsidRDefault="00EC5F86" w:rsidP="00EC5F86">
      <w:pPr>
        <w:pStyle w:val="Style1"/>
        <w:numPr>
          <w:ilvl w:val="0"/>
          <w:numId w:val="21"/>
        </w:numPr>
        <w:tabs>
          <w:tab w:val="clear" w:pos="720"/>
        </w:tabs>
      </w:pPr>
      <w:r w:rsidRPr="004D0DA6">
        <w:t>I have found that there is sufficient user evidence to demonstrate use of the Order route</w:t>
      </w:r>
      <w:r w:rsidR="000A7C8D">
        <w:t xml:space="preserve"> </w:t>
      </w:r>
      <w:r w:rsidRPr="004D0DA6">
        <w:t>between 19</w:t>
      </w:r>
      <w:r w:rsidR="008B232F">
        <w:t>88</w:t>
      </w:r>
      <w:r w:rsidRPr="004D0DA6">
        <w:t xml:space="preserve"> and</w:t>
      </w:r>
      <w:r>
        <w:t xml:space="preserve"> 20</w:t>
      </w:r>
      <w:r w:rsidR="008B232F">
        <w:t>08</w:t>
      </w:r>
      <w:r w:rsidR="00A713D6">
        <w:t xml:space="preserve">. </w:t>
      </w:r>
      <w:r w:rsidRPr="004D0DA6">
        <w:t>There is no</w:t>
      </w:r>
      <w:r w:rsidR="004C1973">
        <w:t xml:space="preserve"> </w:t>
      </w:r>
      <w:r w:rsidRPr="004D0DA6">
        <w:t>evidence that</w:t>
      </w:r>
      <w:r w:rsidR="00E50F98">
        <w:t xml:space="preserve"> the</w:t>
      </w:r>
      <w:r w:rsidRPr="004D0DA6">
        <w:t xml:space="preserve"> use was interrupted or that it was not ‘as of right’</w:t>
      </w:r>
      <w:r w:rsidR="00A713D6">
        <w:t xml:space="preserve">. </w:t>
      </w:r>
      <w:r w:rsidRPr="004D0DA6">
        <w:t>I have not identified any evidence to show a lack of intention to dedicate a public right of way over the Order route within the 20</w:t>
      </w:r>
      <w:r>
        <w:t>-</w:t>
      </w:r>
      <w:r w:rsidRPr="004D0DA6">
        <w:t>year period</w:t>
      </w:r>
      <w:r w:rsidR="00A713D6">
        <w:t xml:space="preserve">. </w:t>
      </w:r>
      <w:r w:rsidR="00936480">
        <w:t>I am also satisfied that the evidence meets the test for dedication under common law</w:t>
      </w:r>
      <w:r w:rsidR="00A713D6">
        <w:t xml:space="preserve">. </w:t>
      </w:r>
    </w:p>
    <w:p w14:paraId="168744AF" w14:textId="0B71387D" w:rsidR="00EC5F86" w:rsidRDefault="00EC5F86" w:rsidP="00794491">
      <w:pPr>
        <w:pStyle w:val="Style1"/>
        <w:numPr>
          <w:ilvl w:val="0"/>
          <w:numId w:val="21"/>
        </w:numPr>
        <w:tabs>
          <w:tab w:val="clear" w:pos="720"/>
        </w:tabs>
      </w:pPr>
      <w:r w:rsidRPr="004D0DA6">
        <w:t xml:space="preserve">Therefore, on the balance of probabilities, and considering the </w:t>
      </w:r>
      <w:proofErr w:type="gramStart"/>
      <w:r w:rsidRPr="004D0DA6">
        <w:t>evidence as a whole, I</w:t>
      </w:r>
      <w:proofErr w:type="gramEnd"/>
      <w:r w:rsidRPr="004D0DA6">
        <w:t xml:space="preserve"> am satisfied, that the Order route should be recorded as </w:t>
      </w:r>
      <w:r w:rsidR="000A7C8D">
        <w:t xml:space="preserve">a </w:t>
      </w:r>
      <w:r w:rsidRPr="004D0DA6">
        <w:t>public footpath</w:t>
      </w:r>
      <w:r w:rsidR="00A713D6">
        <w:t xml:space="preserve">. </w:t>
      </w:r>
      <w:r w:rsidRPr="004D0DA6">
        <w:t>Having regard to these and all other matters raised I conclude that the Order should be confirmed</w:t>
      </w:r>
      <w:r w:rsidR="005779A2">
        <w:t xml:space="preserve"> subject to the modification set out below</w:t>
      </w:r>
      <w:r w:rsidR="00A713D6">
        <w:t>.</w:t>
      </w:r>
    </w:p>
    <w:p w14:paraId="0BFF5C69" w14:textId="08764493" w:rsidR="00EC5F86" w:rsidRPr="00626B27" w:rsidRDefault="00EC5F86" w:rsidP="00626B27">
      <w:pPr>
        <w:pStyle w:val="Style1"/>
        <w:numPr>
          <w:ilvl w:val="0"/>
          <w:numId w:val="0"/>
        </w:numPr>
      </w:pPr>
      <w:r w:rsidRPr="008C42E6">
        <w:rPr>
          <w:b/>
          <w:szCs w:val="22"/>
        </w:rPr>
        <w:t>Formal Decision</w:t>
      </w:r>
    </w:p>
    <w:p w14:paraId="3A7A363C" w14:textId="34DE5F49" w:rsidR="00C267F0" w:rsidRDefault="00626B27" w:rsidP="00A713D6">
      <w:pPr>
        <w:pStyle w:val="Style1"/>
        <w:numPr>
          <w:ilvl w:val="0"/>
          <w:numId w:val="21"/>
        </w:numPr>
        <w:tabs>
          <w:tab w:val="clear" w:pos="720"/>
        </w:tabs>
      </w:pPr>
      <w:r w:rsidRPr="00626B27">
        <w:t xml:space="preserve">I propose to confirm the Order subject to the following modification: </w:t>
      </w:r>
    </w:p>
    <w:p w14:paraId="44E522D8" w14:textId="6F278F93" w:rsidR="00EC5F86" w:rsidRDefault="00626B27" w:rsidP="00A713D6">
      <w:pPr>
        <w:pStyle w:val="Style1"/>
        <w:numPr>
          <w:ilvl w:val="0"/>
          <w:numId w:val="30"/>
        </w:numPr>
      </w:pPr>
      <w:r w:rsidRPr="00626B27">
        <w:t>Delete</w:t>
      </w:r>
      <w:r w:rsidR="00A713D6">
        <w:t xml:space="preserve"> “</w:t>
      </w:r>
      <w:r w:rsidR="00A713D6" w:rsidRPr="00A713D6">
        <w:rPr>
          <w:i/>
          <w:iCs/>
        </w:rPr>
        <w:t>Th</w:t>
      </w:r>
      <w:r w:rsidR="00A713D6">
        <w:rPr>
          <w:i/>
          <w:iCs/>
        </w:rPr>
        <w:t>e</w:t>
      </w:r>
      <w:r w:rsidR="00A713D6" w:rsidRPr="00A713D6">
        <w:rPr>
          <w:i/>
          <w:iCs/>
        </w:rPr>
        <w:t xml:space="preserve"> width of the footpath varies between 18 metres and 4.5 metres as shown (shaded grey) on the order plan</w:t>
      </w:r>
      <w:r w:rsidR="00A713D6" w:rsidRPr="00A713D6">
        <w:t>”</w:t>
      </w:r>
      <w:r w:rsidR="00A713D6">
        <w:t xml:space="preserve"> and replace with </w:t>
      </w:r>
      <w:r w:rsidR="00C267F0" w:rsidRPr="00C267F0">
        <w:t>“</w:t>
      </w:r>
      <w:r w:rsidR="00C267F0" w:rsidRPr="00A713D6">
        <w:rPr>
          <w:i/>
          <w:iCs/>
        </w:rPr>
        <w:t>The width of the footpath varies between 16 metres and 3.4 metres as shown (shaded grey) on the order plan</w:t>
      </w:r>
      <w:r w:rsidR="00C267F0" w:rsidRPr="00C267F0">
        <w:t>”</w:t>
      </w:r>
      <w:r w:rsidR="00A713D6">
        <w:t xml:space="preserve">. </w:t>
      </w:r>
    </w:p>
    <w:p w14:paraId="0ABE70DD" w14:textId="77777777" w:rsidR="00A713D6" w:rsidRDefault="00A713D6" w:rsidP="00EC5F86">
      <w:pPr>
        <w:tabs>
          <w:tab w:val="left" w:pos="432"/>
        </w:tabs>
        <w:spacing w:before="180"/>
        <w:outlineLvl w:val="0"/>
        <w:rPr>
          <w:rFonts w:ascii="Monotype Corsiva" w:hAnsi="Monotype Corsiva"/>
          <w:color w:val="000000"/>
          <w:kern w:val="28"/>
          <w:sz w:val="36"/>
          <w:szCs w:val="36"/>
        </w:rPr>
      </w:pPr>
    </w:p>
    <w:p w14:paraId="2576A0D9" w14:textId="51FA4F3B" w:rsidR="00EC5F86" w:rsidRPr="001D10DF" w:rsidRDefault="00EC5F86" w:rsidP="00EC5F86">
      <w:pPr>
        <w:tabs>
          <w:tab w:val="left" w:pos="432"/>
        </w:tabs>
        <w:spacing w:before="180"/>
        <w:outlineLvl w:val="0"/>
        <w:rPr>
          <w:rFonts w:ascii="Monotype Corsiva" w:hAnsi="Monotype Corsiva"/>
          <w:color w:val="000000"/>
          <w:kern w:val="28"/>
          <w:sz w:val="36"/>
          <w:szCs w:val="36"/>
        </w:rPr>
      </w:pPr>
      <w:r w:rsidRPr="001D10DF">
        <w:rPr>
          <w:rFonts w:ascii="Monotype Corsiva" w:hAnsi="Monotype Corsiva"/>
          <w:color w:val="000000"/>
          <w:kern w:val="28"/>
          <w:sz w:val="36"/>
          <w:szCs w:val="36"/>
        </w:rPr>
        <w:t xml:space="preserve">D. M. Young </w:t>
      </w:r>
    </w:p>
    <w:p w14:paraId="53055948" w14:textId="77777777" w:rsidR="00EC5F86" w:rsidRPr="001D10DF" w:rsidRDefault="00EC5F86" w:rsidP="00EC5F86">
      <w:pPr>
        <w:tabs>
          <w:tab w:val="left" w:pos="432"/>
        </w:tabs>
        <w:spacing w:before="180"/>
        <w:ind w:left="431" w:hanging="431"/>
        <w:outlineLvl w:val="0"/>
        <w:rPr>
          <w:color w:val="000000"/>
          <w:kern w:val="28"/>
        </w:rPr>
      </w:pPr>
      <w:r w:rsidRPr="001D10DF">
        <w:rPr>
          <w:b/>
          <w:color w:val="000000"/>
          <w:kern w:val="28"/>
          <w:szCs w:val="22"/>
        </w:rPr>
        <w:t>Inspector</w:t>
      </w:r>
    </w:p>
    <w:p w14:paraId="05E10535" w14:textId="19A3069E" w:rsidR="00EC5F86" w:rsidRDefault="00EC5F86" w:rsidP="00A84704">
      <w:pPr>
        <w:pStyle w:val="Style1"/>
        <w:numPr>
          <w:ilvl w:val="0"/>
          <w:numId w:val="0"/>
        </w:numPr>
      </w:pPr>
    </w:p>
    <w:p w14:paraId="1E418FC7" w14:textId="21BB6412" w:rsidR="00A84704" w:rsidRDefault="00A84704" w:rsidP="00A84704">
      <w:pPr>
        <w:pStyle w:val="Style1"/>
        <w:numPr>
          <w:ilvl w:val="0"/>
          <w:numId w:val="0"/>
        </w:numPr>
      </w:pPr>
    </w:p>
    <w:p w14:paraId="03AF8BFF" w14:textId="77777777" w:rsidR="00E50F98" w:rsidRDefault="00E50F98" w:rsidP="00A84704">
      <w:pPr>
        <w:pStyle w:val="Style1"/>
        <w:numPr>
          <w:ilvl w:val="0"/>
          <w:numId w:val="0"/>
        </w:numPr>
      </w:pPr>
    </w:p>
    <w:p w14:paraId="2CFABDC3" w14:textId="2A4EB6A9" w:rsidR="00936480" w:rsidRDefault="00936480" w:rsidP="00A84704">
      <w:pPr>
        <w:pStyle w:val="Style1"/>
        <w:numPr>
          <w:ilvl w:val="0"/>
          <w:numId w:val="0"/>
        </w:numPr>
      </w:pPr>
    </w:p>
    <w:p w14:paraId="4E9E1B48" w14:textId="31064D73" w:rsidR="00A84704" w:rsidRPr="0079154A" w:rsidRDefault="00A84704" w:rsidP="00A84704">
      <w:pPr>
        <w:tabs>
          <w:tab w:val="left" w:pos="432"/>
        </w:tabs>
        <w:spacing w:before="180"/>
        <w:outlineLvl w:val="0"/>
        <w:rPr>
          <w:b/>
          <w:bCs/>
          <w:color w:val="000000"/>
          <w:kern w:val="28"/>
        </w:rPr>
      </w:pPr>
      <w:r w:rsidRPr="00B75A21">
        <w:rPr>
          <w:b/>
          <w:bCs/>
          <w:color w:val="000000"/>
          <w:kern w:val="28"/>
        </w:rPr>
        <w:lastRenderedPageBreak/>
        <w:t>APPEARANCES</w:t>
      </w:r>
    </w:p>
    <w:p w14:paraId="314D7617" w14:textId="77777777" w:rsidR="00E65B64" w:rsidRDefault="00E65B64" w:rsidP="00A84704">
      <w:pPr>
        <w:tabs>
          <w:tab w:val="left" w:pos="432"/>
        </w:tabs>
        <w:spacing w:before="180"/>
        <w:outlineLvl w:val="0"/>
        <w:rPr>
          <w:b/>
          <w:bCs/>
          <w:color w:val="000000"/>
          <w:kern w:val="28"/>
        </w:rPr>
      </w:pPr>
    </w:p>
    <w:p w14:paraId="22898248" w14:textId="58257D87" w:rsidR="00A84704" w:rsidRPr="00B75A21" w:rsidRDefault="00A84704" w:rsidP="00A84704">
      <w:pPr>
        <w:tabs>
          <w:tab w:val="left" w:pos="432"/>
        </w:tabs>
        <w:spacing w:before="180"/>
        <w:outlineLvl w:val="0"/>
        <w:rPr>
          <w:b/>
          <w:bCs/>
          <w:color w:val="000000"/>
          <w:kern w:val="28"/>
        </w:rPr>
      </w:pPr>
      <w:r w:rsidRPr="008B7F97">
        <w:rPr>
          <w:b/>
          <w:bCs/>
          <w:color w:val="000000"/>
          <w:kern w:val="28"/>
        </w:rPr>
        <w:t xml:space="preserve">For </w:t>
      </w:r>
      <w:r w:rsidR="00785E55">
        <w:rPr>
          <w:b/>
          <w:bCs/>
          <w:color w:val="000000"/>
          <w:kern w:val="28"/>
        </w:rPr>
        <w:t>Somerset</w:t>
      </w:r>
      <w:r>
        <w:rPr>
          <w:b/>
          <w:bCs/>
          <w:color w:val="000000"/>
          <w:kern w:val="28"/>
        </w:rPr>
        <w:t xml:space="preserve"> Council</w:t>
      </w:r>
    </w:p>
    <w:p w14:paraId="1B3DA015" w14:textId="66EF99E1" w:rsidR="00393503" w:rsidRDefault="00E758FC" w:rsidP="00A84704">
      <w:pPr>
        <w:tabs>
          <w:tab w:val="left" w:pos="432"/>
        </w:tabs>
        <w:spacing w:before="180"/>
        <w:outlineLvl w:val="0"/>
        <w:rPr>
          <w:color w:val="000000"/>
          <w:kern w:val="28"/>
        </w:rPr>
      </w:pPr>
      <w:r>
        <w:rPr>
          <w:color w:val="000000"/>
          <w:kern w:val="28"/>
        </w:rPr>
        <w:t>Mr Robin Carr</w:t>
      </w:r>
      <w:r w:rsidR="00513972">
        <w:rPr>
          <w:color w:val="000000"/>
          <w:kern w:val="28"/>
        </w:rPr>
        <w:t xml:space="preserve"> instructed by the Head of Legal Services, Somerset Council </w:t>
      </w:r>
    </w:p>
    <w:p w14:paraId="5E11F734" w14:textId="6B10F6B0" w:rsidR="00D9515E" w:rsidRPr="00D9515E" w:rsidRDefault="00393503" w:rsidP="00D9515E">
      <w:pPr>
        <w:tabs>
          <w:tab w:val="left" w:pos="432"/>
        </w:tabs>
        <w:spacing w:before="180"/>
        <w:outlineLvl w:val="0"/>
        <w:rPr>
          <w:color w:val="000000"/>
          <w:kern w:val="28"/>
        </w:rPr>
      </w:pPr>
      <w:r>
        <w:rPr>
          <w:i/>
          <w:iCs/>
          <w:color w:val="000000"/>
          <w:kern w:val="28"/>
        </w:rPr>
        <w:t>H</w:t>
      </w:r>
      <w:r w:rsidR="00A84704" w:rsidRPr="00F0750C">
        <w:rPr>
          <w:i/>
          <w:iCs/>
          <w:color w:val="000000"/>
          <w:kern w:val="28"/>
        </w:rPr>
        <w:t xml:space="preserve">e </w:t>
      </w:r>
      <w:proofErr w:type="gramStart"/>
      <w:r w:rsidR="00A84704" w:rsidRPr="00F0750C">
        <w:rPr>
          <w:i/>
          <w:iCs/>
          <w:color w:val="000000"/>
          <w:kern w:val="28"/>
        </w:rPr>
        <w:t>called</w:t>
      </w:r>
      <w:proofErr w:type="gramEnd"/>
      <w:r w:rsidR="00D9515E">
        <w:rPr>
          <w:color w:val="000000"/>
          <w:kern w:val="28"/>
        </w:rPr>
        <w:tab/>
      </w:r>
    </w:p>
    <w:p w14:paraId="5B13762D" w14:textId="2D812940" w:rsidR="00F262FA" w:rsidRPr="00F262FA" w:rsidRDefault="00F262FA" w:rsidP="00F262FA">
      <w:pPr>
        <w:pStyle w:val="Style1"/>
        <w:numPr>
          <w:ilvl w:val="0"/>
          <w:numId w:val="0"/>
        </w:numPr>
        <w:ind w:left="431" w:hanging="431"/>
      </w:pPr>
      <w:r w:rsidRPr="00F262FA">
        <w:t>C</w:t>
      </w:r>
      <w:r w:rsidR="000B6D4D">
        <w:t>live</w:t>
      </w:r>
      <w:r w:rsidRPr="00F262FA">
        <w:t xml:space="preserve"> Gil</w:t>
      </w:r>
      <w:r>
        <w:t>l</w:t>
      </w:r>
      <w:r w:rsidRPr="00F262FA">
        <w:rPr>
          <w:color w:val="auto"/>
          <w:kern w:val="0"/>
        </w:rPr>
        <w:t xml:space="preserve"> </w:t>
      </w:r>
      <w:r>
        <w:rPr>
          <w:color w:val="auto"/>
          <w:kern w:val="0"/>
        </w:rPr>
        <w:tab/>
      </w:r>
      <w:r>
        <w:rPr>
          <w:color w:val="auto"/>
          <w:kern w:val="0"/>
        </w:rPr>
        <w:tab/>
      </w:r>
      <w:r>
        <w:rPr>
          <w:color w:val="auto"/>
          <w:kern w:val="0"/>
        </w:rPr>
        <w:tab/>
      </w:r>
      <w:r>
        <w:rPr>
          <w:color w:val="auto"/>
          <w:kern w:val="0"/>
        </w:rPr>
        <w:tab/>
      </w:r>
      <w:r>
        <w:rPr>
          <w:color w:val="auto"/>
          <w:kern w:val="0"/>
        </w:rPr>
        <w:tab/>
      </w:r>
      <w:r w:rsidRPr="00F262FA">
        <w:t>Local Resident</w:t>
      </w:r>
      <w:r>
        <w:tab/>
      </w:r>
      <w:r>
        <w:tab/>
      </w:r>
      <w:r>
        <w:tab/>
      </w:r>
      <w:r>
        <w:tab/>
      </w:r>
    </w:p>
    <w:p w14:paraId="14A97AD6" w14:textId="643118AC" w:rsidR="00F262FA" w:rsidRPr="00F262FA" w:rsidRDefault="00F262FA" w:rsidP="00F262FA">
      <w:pPr>
        <w:pStyle w:val="Style1"/>
        <w:numPr>
          <w:ilvl w:val="0"/>
          <w:numId w:val="0"/>
        </w:numPr>
        <w:ind w:left="431" w:hanging="431"/>
      </w:pPr>
      <w:r w:rsidRPr="00F262FA">
        <w:t>J</w:t>
      </w:r>
      <w:r>
        <w:t>ulie</w:t>
      </w:r>
      <w:r w:rsidRPr="00F262FA">
        <w:t xml:space="preserve"> Gill </w:t>
      </w:r>
      <w:r>
        <w:tab/>
      </w:r>
      <w:r>
        <w:tab/>
      </w:r>
      <w:r>
        <w:tab/>
      </w:r>
      <w:r>
        <w:tab/>
      </w:r>
      <w:r>
        <w:tab/>
      </w:r>
      <w:r w:rsidRPr="00F262FA">
        <w:t>Local Resident</w:t>
      </w:r>
    </w:p>
    <w:p w14:paraId="44DA1917" w14:textId="211B23BA" w:rsidR="00F262FA" w:rsidRPr="00F262FA" w:rsidRDefault="00F262FA" w:rsidP="000B6D4D">
      <w:pPr>
        <w:pStyle w:val="Style1"/>
        <w:numPr>
          <w:ilvl w:val="0"/>
          <w:numId w:val="0"/>
        </w:numPr>
        <w:ind w:left="431" w:hanging="431"/>
      </w:pPr>
      <w:r w:rsidRPr="00F262FA">
        <w:t>M</w:t>
      </w:r>
      <w:r w:rsidR="006275D6">
        <w:t>arcelle</w:t>
      </w:r>
      <w:r w:rsidRPr="00F262FA">
        <w:t xml:space="preserve"> Hayman </w:t>
      </w:r>
      <w:r>
        <w:tab/>
      </w:r>
      <w:r>
        <w:tab/>
      </w:r>
      <w:r>
        <w:tab/>
      </w:r>
      <w:r w:rsidR="000B6D4D">
        <w:tab/>
      </w:r>
      <w:r w:rsidRPr="00770DCD">
        <w:t>Local Resident</w:t>
      </w:r>
      <w:r w:rsidRPr="00F262FA">
        <w:t xml:space="preserve"> </w:t>
      </w:r>
    </w:p>
    <w:p w14:paraId="7E016DC7" w14:textId="4FDE10B2" w:rsidR="00F262FA" w:rsidRPr="00F262FA" w:rsidRDefault="00F262FA" w:rsidP="00F262FA">
      <w:pPr>
        <w:pStyle w:val="Style1"/>
        <w:numPr>
          <w:ilvl w:val="0"/>
          <w:numId w:val="0"/>
        </w:numPr>
      </w:pPr>
      <w:r w:rsidRPr="00F262FA">
        <w:t>P</w:t>
      </w:r>
      <w:r w:rsidR="00E47944">
        <w:t xml:space="preserve">eter </w:t>
      </w:r>
      <w:r w:rsidRPr="00F262FA">
        <w:t xml:space="preserve">Hine </w:t>
      </w:r>
      <w:r>
        <w:tab/>
      </w:r>
      <w:r>
        <w:tab/>
      </w:r>
      <w:r>
        <w:tab/>
      </w:r>
      <w:r>
        <w:tab/>
      </w:r>
      <w:r>
        <w:tab/>
      </w:r>
      <w:r w:rsidRPr="00770DCD">
        <w:t>Local Resident</w:t>
      </w:r>
      <w:r>
        <w:tab/>
      </w:r>
      <w:r w:rsidRPr="00F262FA">
        <w:t xml:space="preserve"> </w:t>
      </w:r>
    </w:p>
    <w:p w14:paraId="17DD771D" w14:textId="261FBB8F" w:rsidR="00F262FA" w:rsidRPr="00F262FA" w:rsidRDefault="00F262FA" w:rsidP="00F262FA">
      <w:pPr>
        <w:pStyle w:val="Style1"/>
        <w:numPr>
          <w:ilvl w:val="0"/>
          <w:numId w:val="0"/>
        </w:numPr>
        <w:ind w:left="431" w:hanging="431"/>
      </w:pPr>
      <w:r w:rsidRPr="00F262FA">
        <w:t>S</w:t>
      </w:r>
      <w:r w:rsidR="00134737">
        <w:t>andie</w:t>
      </w:r>
      <w:r w:rsidRPr="00F262FA">
        <w:t xml:space="preserve"> </w:t>
      </w:r>
      <w:proofErr w:type="spellStart"/>
      <w:r w:rsidRPr="00F262FA">
        <w:t>Butterton</w:t>
      </w:r>
      <w:proofErr w:type="spellEnd"/>
      <w:r w:rsidRPr="00F262FA">
        <w:t xml:space="preserve"> </w:t>
      </w:r>
      <w:r>
        <w:tab/>
      </w:r>
      <w:r>
        <w:tab/>
      </w:r>
      <w:r>
        <w:tab/>
      </w:r>
      <w:r>
        <w:tab/>
      </w:r>
      <w:r w:rsidRPr="00770DCD">
        <w:t>Local Resident</w:t>
      </w:r>
    </w:p>
    <w:p w14:paraId="262F44EA" w14:textId="6C05E205" w:rsidR="00F262FA" w:rsidRPr="00F262FA" w:rsidRDefault="00F262FA" w:rsidP="00F262FA">
      <w:pPr>
        <w:pStyle w:val="Style1"/>
        <w:numPr>
          <w:ilvl w:val="0"/>
          <w:numId w:val="0"/>
        </w:numPr>
        <w:ind w:left="431" w:hanging="431"/>
      </w:pPr>
      <w:r w:rsidRPr="00F262FA">
        <w:t>P</w:t>
      </w:r>
      <w:r w:rsidR="0022193D">
        <w:t>aul</w:t>
      </w:r>
      <w:r w:rsidRPr="00F262FA">
        <w:t xml:space="preserve"> Hunt </w:t>
      </w:r>
      <w:r>
        <w:tab/>
      </w:r>
      <w:r>
        <w:tab/>
      </w:r>
      <w:r>
        <w:tab/>
      </w:r>
      <w:r>
        <w:tab/>
      </w:r>
      <w:r>
        <w:tab/>
      </w:r>
      <w:r w:rsidRPr="00770DCD">
        <w:t>Local Resident</w:t>
      </w:r>
    </w:p>
    <w:p w14:paraId="7E739361" w14:textId="0D4423EA" w:rsidR="00F262FA" w:rsidRPr="00F262FA" w:rsidRDefault="00F262FA" w:rsidP="00F262FA">
      <w:pPr>
        <w:pStyle w:val="Style1"/>
        <w:numPr>
          <w:ilvl w:val="0"/>
          <w:numId w:val="0"/>
        </w:numPr>
        <w:ind w:left="431" w:hanging="431"/>
      </w:pPr>
      <w:r w:rsidRPr="00F262FA">
        <w:t>V</w:t>
      </w:r>
      <w:r w:rsidR="00BF626F">
        <w:t>iv</w:t>
      </w:r>
      <w:r w:rsidR="00D10943">
        <w:t>ien</w:t>
      </w:r>
      <w:r w:rsidRPr="00F262FA">
        <w:t xml:space="preserve"> Rae </w:t>
      </w:r>
      <w:r>
        <w:tab/>
      </w:r>
      <w:r>
        <w:tab/>
      </w:r>
      <w:r>
        <w:tab/>
      </w:r>
      <w:r>
        <w:tab/>
      </w:r>
      <w:r>
        <w:tab/>
      </w:r>
      <w:r w:rsidRPr="00770DCD">
        <w:t>Local Resident</w:t>
      </w:r>
    </w:p>
    <w:p w14:paraId="32E9F04B" w14:textId="33435380" w:rsidR="00F262FA" w:rsidRPr="00F262FA" w:rsidRDefault="00F262FA" w:rsidP="00F262FA">
      <w:pPr>
        <w:pStyle w:val="Style1"/>
        <w:numPr>
          <w:ilvl w:val="0"/>
          <w:numId w:val="0"/>
        </w:numPr>
        <w:ind w:left="431" w:hanging="431"/>
      </w:pPr>
      <w:r w:rsidRPr="00F262FA">
        <w:t>P</w:t>
      </w:r>
      <w:r w:rsidR="00D10943">
        <w:t>eter</w:t>
      </w:r>
      <w:r w:rsidRPr="00F262FA">
        <w:t xml:space="preserve"> Rae </w:t>
      </w:r>
      <w:r>
        <w:tab/>
      </w:r>
      <w:r>
        <w:tab/>
      </w:r>
      <w:r>
        <w:tab/>
      </w:r>
      <w:r>
        <w:tab/>
      </w:r>
      <w:r>
        <w:tab/>
      </w:r>
      <w:r w:rsidRPr="00770DCD">
        <w:t>Local Resident</w:t>
      </w:r>
    </w:p>
    <w:p w14:paraId="53B4310E" w14:textId="3918AB3F" w:rsidR="00F262FA" w:rsidRPr="00F262FA" w:rsidRDefault="00F262FA" w:rsidP="00F262FA">
      <w:pPr>
        <w:pStyle w:val="Style1"/>
        <w:numPr>
          <w:ilvl w:val="0"/>
          <w:numId w:val="0"/>
        </w:numPr>
        <w:ind w:left="431" w:hanging="431"/>
      </w:pPr>
      <w:r w:rsidRPr="00F262FA">
        <w:t>M</w:t>
      </w:r>
      <w:r w:rsidR="00314A4B">
        <w:t>arsha</w:t>
      </w:r>
      <w:r w:rsidRPr="00F262FA">
        <w:t xml:space="preserve"> Webber </w:t>
      </w:r>
      <w:r>
        <w:tab/>
      </w:r>
      <w:r>
        <w:tab/>
      </w:r>
      <w:r>
        <w:tab/>
      </w:r>
      <w:r>
        <w:tab/>
      </w:r>
      <w:r w:rsidRPr="00770DCD">
        <w:t>Local Resident</w:t>
      </w:r>
    </w:p>
    <w:p w14:paraId="42CACEB0" w14:textId="5AEF6590" w:rsidR="00F262FA" w:rsidRPr="00F262FA" w:rsidRDefault="00F262FA" w:rsidP="00F262FA">
      <w:pPr>
        <w:pStyle w:val="Style1"/>
        <w:numPr>
          <w:ilvl w:val="0"/>
          <w:numId w:val="0"/>
        </w:numPr>
        <w:ind w:left="431" w:hanging="431"/>
      </w:pPr>
      <w:r w:rsidRPr="00F262FA">
        <w:t xml:space="preserve">Mr </w:t>
      </w:r>
      <w:r>
        <w:t xml:space="preserve">Andrew </w:t>
      </w:r>
      <w:r w:rsidRPr="00F262FA">
        <w:t xml:space="preserve">Saint </w:t>
      </w:r>
      <w:r>
        <w:tab/>
      </w:r>
      <w:r>
        <w:tab/>
      </w:r>
      <w:r>
        <w:tab/>
      </w:r>
      <w:r>
        <w:tab/>
        <w:t xml:space="preserve">Rights of Way Officer, Somerset Council </w:t>
      </w:r>
    </w:p>
    <w:p w14:paraId="05D0ACAC" w14:textId="77777777" w:rsidR="00F262FA" w:rsidRDefault="00F262FA" w:rsidP="00393503">
      <w:pPr>
        <w:pStyle w:val="Style1"/>
        <w:numPr>
          <w:ilvl w:val="0"/>
          <w:numId w:val="0"/>
        </w:numPr>
      </w:pPr>
    </w:p>
    <w:p w14:paraId="3EC30175" w14:textId="4D365CEC" w:rsidR="00751D7C" w:rsidRDefault="00A84704" w:rsidP="00751D7C">
      <w:pPr>
        <w:tabs>
          <w:tab w:val="left" w:pos="432"/>
        </w:tabs>
        <w:spacing w:before="180"/>
        <w:outlineLvl w:val="0"/>
        <w:rPr>
          <w:b/>
          <w:bCs/>
          <w:color w:val="000000"/>
          <w:kern w:val="28"/>
        </w:rPr>
      </w:pPr>
      <w:r w:rsidRPr="002722C4">
        <w:rPr>
          <w:b/>
          <w:bCs/>
          <w:color w:val="000000"/>
          <w:kern w:val="28"/>
        </w:rPr>
        <w:t xml:space="preserve">In </w:t>
      </w:r>
      <w:r w:rsidR="0079154A">
        <w:rPr>
          <w:b/>
          <w:bCs/>
          <w:color w:val="000000"/>
          <w:kern w:val="28"/>
        </w:rPr>
        <w:t>o</w:t>
      </w:r>
      <w:r w:rsidRPr="002722C4">
        <w:rPr>
          <w:b/>
          <w:bCs/>
          <w:color w:val="000000"/>
          <w:kern w:val="28"/>
        </w:rPr>
        <w:t xml:space="preserve">pposition to the Order </w:t>
      </w:r>
    </w:p>
    <w:p w14:paraId="17E2F06F" w14:textId="4C323FB6" w:rsidR="00A84704" w:rsidRPr="00751D7C" w:rsidRDefault="009B13ED" w:rsidP="00751D7C">
      <w:pPr>
        <w:tabs>
          <w:tab w:val="left" w:pos="432"/>
        </w:tabs>
        <w:spacing w:before="180"/>
        <w:outlineLvl w:val="0"/>
        <w:rPr>
          <w:b/>
          <w:bCs/>
          <w:color w:val="000000"/>
          <w:kern w:val="28"/>
        </w:rPr>
      </w:pPr>
      <w:r>
        <w:t>Mr And</w:t>
      </w:r>
      <w:r w:rsidR="00751D7C">
        <w:t>y</w:t>
      </w:r>
      <w:r>
        <w:t xml:space="preserve"> Dunlop</w:t>
      </w:r>
      <w:r w:rsidR="0088214F">
        <w:tab/>
      </w:r>
      <w:r w:rsidR="0088214F">
        <w:tab/>
      </w:r>
      <w:r w:rsidR="0088214F">
        <w:tab/>
      </w:r>
      <w:r w:rsidR="0088214F">
        <w:tab/>
        <w:t>Landowner</w:t>
      </w:r>
      <w:r w:rsidR="00342345">
        <w:t>’s Agent</w:t>
      </w:r>
    </w:p>
    <w:p w14:paraId="2094A738" w14:textId="6722F262" w:rsidR="00342345" w:rsidRDefault="00342345" w:rsidP="00A84704">
      <w:pPr>
        <w:pStyle w:val="Style1"/>
        <w:numPr>
          <w:ilvl w:val="0"/>
          <w:numId w:val="0"/>
        </w:numPr>
      </w:pPr>
      <w:r>
        <w:t xml:space="preserve">Chrstine Curtis </w:t>
      </w:r>
      <w:r>
        <w:tab/>
      </w:r>
      <w:r>
        <w:tab/>
      </w:r>
      <w:r>
        <w:tab/>
      </w:r>
      <w:r>
        <w:tab/>
        <w:t xml:space="preserve">Landowner </w:t>
      </w:r>
    </w:p>
    <w:p w14:paraId="2BEF79B9" w14:textId="1D1D80B5" w:rsidR="00A84704" w:rsidRDefault="00A84704" w:rsidP="00A84704">
      <w:pPr>
        <w:pStyle w:val="Style1"/>
        <w:numPr>
          <w:ilvl w:val="0"/>
          <w:numId w:val="0"/>
        </w:numPr>
      </w:pPr>
    </w:p>
    <w:p w14:paraId="382EC911" w14:textId="15173120" w:rsidR="00FA7B81" w:rsidRDefault="00FA7B81">
      <w:pPr>
        <w:rPr>
          <w:color w:val="000000"/>
          <w:kern w:val="28"/>
        </w:rPr>
      </w:pPr>
      <w:r>
        <w:br w:type="page"/>
      </w:r>
    </w:p>
    <w:p w14:paraId="6C43EEFF" w14:textId="7411349D" w:rsidR="00FA7B81" w:rsidRPr="00FA7B81" w:rsidRDefault="00FA7B81" w:rsidP="00FA7B81">
      <w:pPr>
        <w:pStyle w:val="Style1"/>
        <w:numPr>
          <w:ilvl w:val="0"/>
          <w:numId w:val="0"/>
        </w:numPr>
      </w:pPr>
      <w:r w:rsidRPr="00FA7B81">
        <w:lastRenderedPageBreak/>
        <w:drawing>
          <wp:inline distT="0" distB="0" distL="0" distR="0" wp14:anchorId="4E173B1F" wp14:editId="3C38BE81">
            <wp:extent cx="5508393" cy="7789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888" cy="7804386"/>
                    </a:xfrm>
                    <a:prstGeom prst="rect">
                      <a:avLst/>
                    </a:prstGeom>
                    <a:noFill/>
                    <a:ln>
                      <a:noFill/>
                    </a:ln>
                  </pic:spPr>
                </pic:pic>
              </a:graphicData>
            </a:graphic>
          </wp:inline>
        </w:drawing>
      </w:r>
    </w:p>
    <w:p w14:paraId="35C45671" w14:textId="77777777" w:rsidR="0088214F" w:rsidRPr="00EC5F86" w:rsidRDefault="0088214F">
      <w:pPr>
        <w:pStyle w:val="Style1"/>
        <w:numPr>
          <w:ilvl w:val="0"/>
          <w:numId w:val="0"/>
        </w:numPr>
      </w:pPr>
    </w:p>
    <w:sectPr w:rsidR="0088214F" w:rsidRPr="00EC5F86" w:rsidSect="00943089">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4093" w14:textId="77777777" w:rsidR="00943089" w:rsidRDefault="00943089" w:rsidP="00F62916">
      <w:r>
        <w:separator/>
      </w:r>
    </w:p>
  </w:endnote>
  <w:endnote w:type="continuationSeparator" w:id="0">
    <w:p w14:paraId="651864B8" w14:textId="77777777" w:rsidR="00943089" w:rsidRDefault="0094308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B10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F3FB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1A6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C6BE7FE" wp14:editId="02AFE4D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DEB1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58DF91E" w14:textId="77777777" w:rsidR="00366F95" w:rsidRPr="00E45340" w:rsidRDefault="00784AE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883" w14:textId="77777777" w:rsidR="00366F95" w:rsidRDefault="00366F95" w:rsidP="00EC5F8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0EB3020" wp14:editId="49A2068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7BBF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9E09E86" w14:textId="77777777" w:rsidR="00366F95" w:rsidRPr="00451EE4" w:rsidRDefault="00784AE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12C9" w14:textId="77777777" w:rsidR="00943089" w:rsidRDefault="00943089" w:rsidP="00F62916">
      <w:r>
        <w:separator/>
      </w:r>
    </w:p>
  </w:footnote>
  <w:footnote w:type="continuationSeparator" w:id="0">
    <w:p w14:paraId="0560C98C" w14:textId="77777777" w:rsidR="00943089" w:rsidRDefault="0094308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8DBE68E" w14:textId="77777777">
      <w:tc>
        <w:tcPr>
          <w:tcW w:w="9520" w:type="dxa"/>
        </w:tcPr>
        <w:p w14:paraId="60020738" w14:textId="6609B472" w:rsidR="00366F95" w:rsidRDefault="00EC5F86">
          <w:pPr>
            <w:pStyle w:val="Footer"/>
          </w:pPr>
          <w:r>
            <w:t>Order Decision ROW/32</w:t>
          </w:r>
          <w:r w:rsidR="009C6606">
            <w:t>96722</w:t>
          </w:r>
        </w:p>
      </w:tc>
    </w:tr>
  </w:tbl>
  <w:p w14:paraId="3728AF0D"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0E866AC3" wp14:editId="55BA701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DFF9"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92F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C822DE"/>
    <w:multiLevelType w:val="hybridMultilevel"/>
    <w:tmpl w:val="A9A82DFC"/>
    <w:lvl w:ilvl="0" w:tplc="A25AD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1C46D2"/>
    <w:multiLevelType w:val="hybridMultilevel"/>
    <w:tmpl w:val="3664FE1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5E24FEA"/>
    <w:multiLevelType w:val="hybridMultilevel"/>
    <w:tmpl w:val="C2A4C03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9170367">
    <w:abstractNumId w:val="19"/>
  </w:num>
  <w:num w:numId="2" w16cid:durableId="499927515">
    <w:abstractNumId w:val="19"/>
  </w:num>
  <w:num w:numId="3" w16cid:durableId="1918173915">
    <w:abstractNumId w:val="22"/>
  </w:num>
  <w:num w:numId="4" w16cid:durableId="1647854265">
    <w:abstractNumId w:val="0"/>
  </w:num>
  <w:num w:numId="5" w16cid:durableId="1178233056">
    <w:abstractNumId w:val="10"/>
  </w:num>
  <w:num w:numId="6" w16cid:durableId="386993927">
    <w:abstractNumId w:val="18"/>
  </w:num>
  <w:num w:numId="7" w16cid:durableId="2072607821">
    <w:abstractNumId w:val="23"/>
  </w:num>
  <w:num w:numId="8" w16cid:durableId="659120586">
    <w:abstractNumId w:val="17"/>
  </w:num>
  <w:num w:numId="9" w16cid:durableId="409619751">
    <w:abstractNumId w:val="5"/>
  </w:num>
  <w:num w:numId="10" w16cid:durableId="136455815">
    <w:abstractNumId w:val="6"/>
  </w:num>
  <w:num w:numId="11" w16cid:durableId="484587132">
    <w:abstractNumId w:val="13"/>
  </w:num>
  <w:num w:numId="12" w16cid:durableId="207186940">
    <w:abstractNumId w:val="14"/>
  </w:num>
  <w:num w:numId="13" w16cid:durableId="892934970">
    <w:abstractNumId w:val="9"/>
  </w:num>
  <w:num w:numId="14" w16cid:durableId="349338610">
    <w:abstractNumId w:val="12"/>
  </w:num>
  <w:num w:numId="15" w16cid:durableId="435639560">
    <w:abstractNumId w:val="15"/>
  </w:num>
  <w:num w:numId="16" w16cid:durableId="493255884">
    <w:abstractNumId w:val="1"/>
  </w:num>
  <w:num w:numId="17" w16cid:durableId="1271737907">
    <w:abstractNumId w:val="16"/>
  </w:num>
  <w:num w:numId="18" w16cid:durableId="773982610">
    <w:abstractNumId w:val="7"/>
  </w:num>
  <w:num w:numId="19" w16cid:durableId="1375428723">
    <w:abstractNumId w:val="3"/>
  </w:num>
  <w:num w:numId="20" w16cid:durableId="1196847741">
    <w:abstractNumId w:val="8"/>
  </w:num>
  <w:num w:numId="21" w16cid:durableId="98062957">
    <w:abstractNumId w:val="11"/>
  </w:num>
  <w:num w:numId="22" w16cid:durableId="155464519">
    <w:abstractNumId w:val="11"/>
  </w:num>
  <w:num w:numId="23" w16cid:durableId="1713575682">
    <w:abstractNumId w:val="20"/>
  </w:num>
  <w:num w:numId="24" w16cid:durableId="61608899">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274606547">
    <w:abstractNumId w:val="11"/>
    <w:lvlOverride w:ilvl="0">
      <w:lvl w:ilvl="0">
        <w:start w:val="1"/>
        <w:numFmt w:val="decimal"/>
        <w:pStyle w:val="Style1"/>
        <w:lvlText w:val="%1."/>
        <w:lvlJc w:val="left"/>
        <w:pPr>
          <w:tabs>
            <w:tab w:val="num" w:pos="720"/>
          </w:tabs>
          <w:ind w:left="431" w:hanging="431"/>
        </w:pPr>
        <w:rPr>
          <w:rFonts w:hint="default"/>
          <w:b w:val="0"/>
          <w:bCs w:val="0"/>
          <w:i w:val="0"/>
          <w:iCs/>
        </w:rPr>
      </w:lvl>
    </w:lvlOverride>
  </w:num>
  <w:num w:numId="26" w16cid:durableId="539778708">
    <w:abstractNumId w:val="11"/>
    <w:lvlOverride w:ilvl="0">
      <w:startOverride w:val="1"/>
      <w:lvl w:ilvl="0">
        <w:start w:val="1"/>
        <w:numFmt w:val="decimal"/>
        <w:pStyle w:val="Style1"/>
        <w:lvlText w:val="%1."/>
        <w:lvlJc w:val="left"/>
        <w:pPr>
          <w:tabs>
            <w:tab w:val="num" w:pos="720"/>
          </w:tabs>
          <w:ind w:left="431" w:hanging="431"/>
        </w:pPr>
        <w:rPr>
          <w:rFonts w:hint="default"/>
        </w:rPr>
      </w:lvl>
    </w:lvlOverride>
    <w:lvlOverride w:ilvl="1">
      <w:startOverride w:val="1"/>
      <w:lvl w:ilvl="1">
        <w:start w:val="1"/>
        <w:numFmt w:val="decimal"/>
        <w:pStyle w:val="Heading2"/>
        <w:lvlText w:val="%1.%2"/>
        <w:lvlJc w:val="left"/>
        <w:pPr>
          <w:tabs>
            <w:tab w:val="num" w:pos="578"/>
          </w:tabs>
          <w:ind w:left="578" w:hanging="578"/>
        </w:pPr>
        <w:rPr>
          <w:rFonts w:hint="default"/>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2"/>
          </w:tabs>
          <w:ind w:left="862" w:hanging="862"/>
        </w:pPr>
        <w:rPr>
          <w:rFonts w:hint="default"/>
        </w:rPr>
      </w:lvl>
    </w:lvlOverride>
    <w:lvlOverride w:ilvl="4">
      <w:startOverride w:val="1"/>
      <w:lvl w:ilvl="4">
        <w:start w:val="1"/>
        <w:numFmt w:val="decimal"/>
        <w:pStyle w:val="Heading5"/>
        <w:lvlText w:val="%1.%2.%3.%4.%5"/>
        <w:lvlJc w:val="left"/>
        <w:pPr>
          <w:tabs>
            <w:tab w:val="num" w:pos="1009"/>
          </w:tabs>
          <w:ind w:left="1009" w:hanging="1009"/>
        </w:pPr>
        <w:rPr>
          <w:rFonts w:hint="default"/>
        </w:rPr>
      </w:lvl>
    </w:lvlOverride>
    <w:lvlOverride w:ilvl="5">
      <w:startOverride w:val="1"/>
      <w:lvl w:ilvl="5">
        <w:start w:val="1"/>
        <w:numFmt w:val="decimal"/>
        <w:lvlText w:val="%1.%2.%3.%4.%5.%6"/>
        <w:lvlJc w:val="left"/>
        <w:pPr>
          <w:tabs>
            <w:tab w:val="num" w:pos="1151"/>
          </w:tabs>
          <w:ind w:left="1151" w:hanging="1151"/>
        </w:pPr>
        <w:rPr>
          <w:rFonts w:hint="default"/>
        </w:rPr>
      </w:lvl>
    </w:lvlOverride>
    <w:lvlOverride w:ilvl="6">
      <w:startOverride w:val="1"/>
      <w:lvl w:ilvl="6">
        <w:start w:val="1"/>
        <w:numFmt w:val="decimal"/>
        <w:pStyle w:val="Heading7"/>
        <w:lvlText w:val="%1.%2.%3.%4.%5.%6.%7"/>
        <w:lvlJc w:val="left"/>
        <w:pPr>
          <w:tabs>
            <w:tab w:val="num" w:pos="1298"/>
          </w:tabs>
          <w:ind w:left="1298" w:hanging="1298"/>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2"/>
          </w:tabs>
          <w:ind w:left="1582" w:hanging="1582"/>
        </w:pPr>
        <w:rPr>
          <w:rFonts w:hint="default"/>
        </w:rPr>
      </w:lvl>
    </w:lvlOverride>
  </w:num>
  <w:num w:numId="27" w16cid:durableId="426386219">
    <w:abstractNumId w:val="11"/>
  </w:num>
  <w:num w:numId="28" w16cid:durableId="414860109">
    <w:abstractNumId w:val="11"/>
  </w:num>
  <w:num w:numId="29" w16cid:durableId="279343901">
    <w:abstractNumId w:val="21"/>
  </w:num>
  <w:num w:numId="30" w16cid:durableId="2047943065">
    <w:abstractNumId w:val="4"/>
  </w:num>
  <w:num w:numId="31" w16cid:durableId="208741210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C5F86"/>
    <w:rsid w:val="000001F2"/>
    <w:rsid w:val="00000831"/>
    <w:rsid w:val="0000335F"/>
    <w:rsid w:val="000134DC"/>
    <w:rsid w:val="0001522B"/>
    <w:rsid w:val="00016FB6"/>
    <w:rsid w:val="000171C9"/>
    <w:rsid w:val="000175B5"/>
    <w:rsid w:val="00020D3B"/>
    <w:rsid w:val="00024500"/>
    <w:rsid w:val="000246F3"/>
    <w:rsid w:val="000247B2"/>
    <w:rsid w:val="000253D9"/>
    <w:rsid w:val="000264DB"/>
    <w:rsid w:val="000276D6"/>
    <w:rsid w:val="00030BBD"/>
    <w:rsid w:val="00034191"/>
    <w:rsid w:val="00043563"/>
    <w:rsid w:val="00046145"/>
    <w:rsid w:val="0004625F"/>
    <w:rsid w:val="00053135"/>
    <w:rsid w:val="00055C6D"/>
    <w:rsid w:val="000560C1"/>
    <w:rsid w:val="00061EA3"/>
    <w:rsid w:val="00064CB1"/>
    <w:rsid w:val="000658D5"/>
    <w:rsid w:val="00070C48"/>
    <w:rsid w:val="00073A29"/>
    <w:rsid w:val="00076BC1"/>
    <w:rsid w:val="00077358"/>
    <w:rsid w:val="0008019E"/>
    <w:rsid w:val="00084E0F"/>
    <w:rsid w:val="00085B44"/>
    <w:rsid w:val="00087155"/>
    <w:rsid w:val="00087477"/>
    <w:rsid w:val="00087DEC"/>
    <w:rsid w:val="00087FB0"/>
    <w:rsid w:val="000912C7"/>
    <w:rsid w:val="00091F00"/>
    <w:rsid w:val="00094A44"/>
    <w:rsid w:val="000A4AEB"/>
    <w:rsid w:val="000A5713"/>
    <w:rsid w:val="000A64AE"/>
    <w:rsid w:val="000A7A2A"/>
    <w:rsid w:val="000A7C8D"/>
    <w:rsid w:val="000B02BC"/>
    <w:rsid w:val="000B0589"/>
    <w:rsid w:val="000B52C7"/>
    <w:rsid w:val="000B59E1"/>
    <w:rsid w:val="000B6230"/>
    <w:rsid w:val="000B6D4D"/>
    <w:rsid w:val="000C1F41"/>
    <w:rsid w:val="000C2FB2"/>
    <w:rsid w:val="000C3F13"/>
    <w:rsid w:val="000C5098"/>
    <w:rsid w:val="000C527A"/>
    <w:rsid w:val="000C698E"/>
    <w:rsid w:val="000D0673"/>
    <w:rsid w:val="000D10D9"/>
    <w:rsid w:val="000D23EF"/>
    <w:rsid w:val="000D2984"/>
    <w:rsid w:val="000E57C1"/>
    <w:rsid w:val="000E7B6F"/>
    <w:rsid w:val="000F16F4"/>
    <w:rsid w:val="000F47E4"/>
    <w:rsid w:val="000F6EC2"/>
    <w:rsid w:val="001000CB"/>
    <w:rsid w:val="00100325"/>
    <w:rsid w:val="001017BF"/>
    <w:rsid w:val="001021CB"/>
    <w:rsid w:val="00104D93"/>
    <w:rsid w:val="00112CDB"/>
    <w:rsid w:val="00125B20"/>
    <w:rsid w:val="00134737"/>
    <w:rsid w:val="00136AEB"/>
    <w:rsid w:val="00143328"/>
    <w:rsid w:val="001440C3"/>
    <w:rsid w:val="00145087"/>
    <w:rsid w:val="0014654F"/>
    <w:rsid w:val="001504D0"/>
    <w:rsid w:val="00152C92"/>
    <w:rsid w:val="00153717"/>
    <w:rsid w:val="00154100"/>
    <w:rsid w:val="00161B5C"/>
    <w:rsid w:val="001652A0"/>
    <w:rsid w:val="00172F2A"/>
    <w:rsid w:val="001807AD"/>
    <w:rsid w:val="001840B9"/>
    <w:rsid w:val="0019145F"/>
    <w:rsid w:val="0019740C"/>
    <w:rsid w:val="00197B5B"/>
    <w:rsid w:val="001A203B"/>
    <w:rsid w:val="001A204E"/>
    <w:rsid w:val="001A6705"/>
    <w:rsid w:val="001A7391"/>
    <w:rsid w:val="001B37BF"/>
    <w:rsid w:val="001B6AE0"/>
    <w:rsid w:val="001C1147"/>
    <w:rsid w:val="001C721D"/>
    <w:rsid w:val="001D0496"/>
    <w:rsid w:val="001D0FCA"/>
    <w:rsid w:val="001D2CDB"/>
    <w:rsid w:val="001D573A"/>
    <w:rsid w:val="001E2605"/>
    <w:rsid w:val="001F0A6D"/>
    <w:rsid w:val="001F1BF0"/>
    <w:rsid w:val="001F3636"/>
    <w:rsid w:val="001F365F"/>
    <w:rsid w:val="001F45D3"/>
    <w:rsid w:val="001F5990"/>
    <w:rsid w:val="002051E5"/>
    <w:rsid w:val="00206377"/>
    <w:rsid w:val="00207816"/>
    <w:rsid w:val="00210713"/>
    <w:rsid w:val="00212C8F"/>
    <w:rsid w:val="0022193D"/>
    <w:rsid w:val="00221C5F"/>
    <w:rsid w:val="00230074"/>
    <w:rsid w:val="00230C9A"/>
    <w:rsid w:val="002318C0"/>
    <w:rsid w:val="00233C65"/>
    <w:rsid w:val="00234F91"/>
    <w:rsid w:val="002410FF"/>
    <w:rsid w:val="00242A5E"/>
    <w:rsid w:val="00245877"/>
    <w:rsid w:val="002504B3"/>
    <w:rsid w:val="002565F3"/>
    <w:rsid w:val="00262126"/>
    <w:rsid w:val="002669C1"/>
    <w:rsid w:val="00271A1A"/>
    <w:rsid w:val="00280C21"/>
    <w:rsid w:val="002816E8"/>
    <w:rsid w:val="002819AB"/>
    <w:rsid w:val="002958D9"/>
    <w:rsid w:val="002A7C72"/>
    <w:rsid w:val="002B44B5"/>
    <w:rsid w:val="002B5A3A"/>
    <w:rsid w:val="002C068A"/>
    <w:rsid w:val="002C2524"/>
    <w:rsid w:val="002C563B"/>
    <w:rsid w:val="002C6C68"/>
    <w:rsid w:val="002D5A7C"/>
    <w:rsid w:val="002E4581"/>
    <w:rsid w:val="002E6E3D"/>
    <w:rsid w:val="002E6F00"/>
    <w:rsid w:val="002E769E"/>
    <w:rsid w:val="002F41FE"/>
    <w:rsid w:val="002F531C"/>
    <w:rsid w:val="00303CA5"/>
    <w:rsid w:val="00304810"/>
    <w:rsid w:val="0030500E"/>
    <w:rsid w:val="00305DAD"/>
    <w:rsid w:val="00307131"/>
    <w:rsid w:val="00311A68"/>
    <w:rsid w:val="003122CF"/>
    <w:rsid w:val="00312FAF"/>
    <w:rsid w:val="0031355D"/>
    <w:rsid w:val="00314A4B"/>
    <w:rsid w:val="00315CCC"/>
    <w:rsid w:val="0031736B"/>
    <w:rsid w:val="0031792C"/>
    <w:rsid w:val="003206FD"/>
    <w:rsid w:val="003208E7"/>
    <w:rsid w:val="0032650E"/>
    <w:rsid w:val="00326C71"/>
    <w:rsid w:val="00335077"/>
    <w:rsid w:val="00342345"/>
    <w:rsid w:val="00343727"/>
    <w:rsid w:val="00343A1F"/>
    <w:rsid w:val="00344294"/>
    <w:rsid w:val="00344CD1"/>
    <w:rsid w:val="0034626A"/>
    <w:rsid w:val="00350CE3"/>
    <w:rsid w:val="00354AA6"/>
    <w:rsid w:val="00355FCC"/>
    <w:rsid w:val="00356FE3"/>
    <w:rsid w:val="00360664"/>
    <w:rsid w:val="00361890"/>
    <w:rsid w:val="003631DC"/>
    <w:rsid w:val="00364E17"/>
    <w:rsid w:val="00366F95"/>
    <w:rsid w:val="00370918"/>
    <w:rsid w:val="003753FE"/>
    <w:rsid w:val="00384FDF"/>
    <w:rsid w:val="003913D6"/>
    <w:rsid w:val="00391FF6"/>
    <w:rsid w:val="00392672"/>
    <w:rsid w:val="00392913"/>
    <w:rsid w:val="00393503"/>
    <w:rsid w:val="003941CF"/>
    <w:rsid w:val="00395969"/>
    <w:rsid w:val="003A5718"/>
    <w:rsid w:val="003B2FE6"/>
    <w:rsid w:val="003B4EE6"/>
    <w:rsid w:val="003C034A"/>
    <w:rsid w:val="003C2257"/>
    <w:rsid w:val="003C7E5C"/>
    <w:rsid w:val="003D0025"/>
    <w:rsid w:val="003D1D4A"/>
    <w:rsid w:val="003D3715"/>
    <w:rsid w:val="003D67FB"/>
    <w:rsid w:val="003D7F92"/>
    <w:rsid w:val="003E190C"/>
    <w:rsid w:val="003E4FFD"/>
    <w:rsid w:val="003E54CC"/>
    <w:rsid w:val="003F3533"/>
    <w:rsid w:val="003F6ED9"/>
    <w:rsid w:val="003F7DFB"/>
    <w:rsid w:val="00400391"/>
    <w:rsid w:val="004029F3"/>
    <w:rsid w:val="00407908"/>
    <w:rsid w:val="00412A9C"/>
    <w:rsid w:val="0041462A"/>
    <w:rsid w:val="004156F0"/>
    <w:rsid w:val="004260CB"/>
    <w:rsid w:val="00430CD6"/>
    <w:rsid w:val="00434739"/>
    <w:rsid w:val="00436AE4"/>
    <w:rsid w:val="004400E4"/>
    <w:rsid w:val="00444A74"/>
    <w:rsid w:val="00446B0A"/>
    <w:rsid w:val="00447440"/>
    <w:rsid w:val="004474DE"/>
    <w:rsid w:val="00451EE4"/>
    <w:rsid w:val="004522C1"/>
    <w:rsid w:val="00453E15"/>
    <w:rsid w:val="00465DB3"/>
    <w:rsid w:val="0046604E"/>
    <w:rsid w:val="00466F67"/>
    <w:rsid w:val="00467262"/>
    <w:rsid w:val="0047718B"/>
    <w:rsid w:val="004777AD"/>
    <w:rsid w:val="0048041A"/>
    <w:rsid w:val="004825C3"/>
    <w:rsid w:val="00483D15"/>
    <w:rsid w:val="0048496A"/>
    <w:rsid w:val="00487712"/>
    <w:rsid w:val="00490FE0"/>
    <w:rsid w:val="004969FE"/>
    <w:rsid w:val="004976CF"/>
    <w:rsid w:val="00497AFD"/>
    <w:rsid w:val="004A2EB8"/>
    <w:rsid w:val="004A67FC"/>
    <w:rsid w:val="004A79E2"/>
    <w:rsid w:val="004B60A1"/>
    <w:rsid w:val="004C07CB"/>
    <w:rsid w:val="004C1973"/>
    <w:rsid w:val="004C2495"/>
    <w:rsid w:val="004C2FCD"/>
    <w:rsid w:val="004C6B03"/>
    <w:rsid w:val="004D3665"/>
    <w:rsid w:val="004D52E0"/>
    <w:rsid w:val="004E04E0"/>
    <w:rsid w:val="004E17CB"/>
    <w:rsid w:val="004E46E7"/>
    <w:rsid w:val="004E5F03"/>
    <w:rsid w:val="004E6091"/>
    <w:rsid w:val="004F248E"/>
    <w:rsid w:val="004F274A"/>
    <w:rsid w:val="004F791C"/>
    <w:rsid w:val="00503F7C"/>
    <w:rsid w:val="00506851"/>
    <w:rsid w:val="0051176F"/>
    <w:rsid w:val="00513972"/>
    <w:rsid w:val="00513994"/>
    <w:rsid w:val="00515F26"/>
    <w:rsid w:val="00516DF4"/>
    <w:rsid w:val="0052347F"/>
    <w:rsid w:val="00523706"/>
    <w:rsid w:val="00523C6E"/>
    <w:rsid w:val="005250D3"/>
    <w:rsid w:val="00530325"/>
    <w:rsid w:val="005304F4"/>
    <w:rsid w:val="00541734"/>
    <w:rsid w:val="00542B4C"/>
    <w:rsid w:val="00544CBE"/>
    <w:rsid w:val="005521CA"/>
    <w:rsid w:val="00561593"/>
    <w:rsid w:val="00561E69"/>
    <w:rsid w:val="0056634F"/>
    <w:rsid w:val="0057098A"/>
    <w:rsid w:val="005718AF"/>
    <w:rsid w:val="00571FD4"/>
    <w:rsid w:val="00572879"/>
    <w:rsid w:val="0057471E"/>
    <w:rsid w:val="00576398"/>
    <w:rsid w:val="0057782A"/>
    <w:rsid w:val="005779A2"/>
    <w:rsid w:val="00582DB5"/>
    <w:rsid w:val="00591235"/>
    <w:rsid w:val="0059150B"/>
    <w:rsid w:val="005A0799"/>
    <w:rsid w:val="005A3A64"/>
    <w:rsid w:val="005A3DE2"/>
    <w:rsid w:val="005B57D3"/>
    <w:rsid w:val="005B7A1F"/>
    <w:rsid w:val="005C2242"/>
    <w:rsid w:val="005C3C8C"/>
    <w:rsid w:val="005D585E"/>
    <w:rsid w:val="005D739E"/>
    <w:rsid w:val="005E28E8"/>
    <w:rsid w:val="005E34E1"/>
    <w:rsid w:val="005E34FF"/>
    <w:rsid w:val="005E3542"/>
    <w:rsid w:val="005E52F9"/>
    <w:rsid w:val="005E6053"/>
    <w:rsid w:val="005F10ED"/>
    <w:rsid w:val="005F1261"/>
    <w:rsid w:val="00600B3B"/>
    <w:rsid w:val="00602315"/>
    <w:rsid w:val="0060480E"/>
    <w:rsid w:val="00605022"/>
    <w:rsid w:val="006052EF"/>
    <w:rsid w:val="00610721"/>
    <w:rsid w:val="006127F0"/>
    <w:rsid w:val="00614A0D"/>
    <w:rsid w:val="00614E46"/>
    <w:rsid w:val="00615462"/>
    <w:rsid w:val="00626B27"/>
    <w:rsid w:val="006275D6"/>
    <w:rsid w:val="00630A86"/>
    <w:rsid w:val="006319E6"/>
    <w:rsid w:val="00632975"/>
    <w:rsid w:val="0063373D"/>
    <w:rsid w:val="006344B7"/>
    <w:rsid w:val="0063468A"/>
    <w:rsid w:val="00646958"/>
    <w:rsid w:val="006539F5"/>
    <w:rsid w:val="00653ABE"/>
    <w:rsid w:val="0065719B"/>
    <w:rsid w:val="00657C16"/>
    <w:rsid w:val="0066322F"/>
    <w:rsid w:val="00671803"/>
    <w:rsid w:val="0068030B"/>
    <w:rsid w:val="00681108"/>
    <w:rsid w:val="00683417"/>
    <w:rsid w:val="006844E3"/>
    <w:rsid w:val="00685A46"/>
    <w:rsid w:val="00686F7B"/>
    <w:rsid w:val="00692BCE"/>
    <w:rsid w:val="00693B14"/>
    <w:rsid w:val="0069559D"/>
    <w:rsid w:val="00696368"/>
    <w:rsid w:val="006A48AF"/>
    <w:rsid w:val="006A5BB3"/>
    <w:rsid w:val="006A7B8B"/>
    <w:rsid w:val="006B1016"/>
    <w:rsid w:val="006C0FD4"/>
    <w:rsid w:val="006C18FD"/>
    <w:rsid w:val="006C1A3C"/>
    <w:rsid w:val="006C4424"/>
    <w:rsid w:val="006C4C25"/>
    <w:rsid w:val="006C5BC9"/>
    <w:rsid w:val="006C69DD"/>
    <w:rsid w:val="006C6D1A"/>
    <w:rsid w:val="006D2457"/>
    <w:rsid w:val="006D2842"/>
    <w:rsid w:val="006D43B5"/>
    <w:rsid w:val="006D5133"/>
    <w:rsid w:val="006D6531"/>
    <w:rsid w:val="006E3641"/>
    <w:rsid w:val="006E5275"/>
    <w:rsid w:val="006F16D9"/>
    <w:rsid w:val="006F6386"/>
    <w:rsid w:val="006F6496"/>
    <w:rsid w:val="007017A3"/>
    <w:rsid w:val="00701CFB"/>
    <w:rsid w:val="00702C6B"/>
    <w:rsid w:val="00704126"/>
    <w:rsid w:val="00711599"/>
    <w:rsid w:val="0071233F"/>
    <w:rsid w:val="0071604A"/>
    <w:rsid w:val="007254D4"/>
    <w:rsid w:val="00732BBE"/>
    <w:rsid w:val="00733D70"/>
    <w:rsid w:val="0074451F"/>
    <w:rsid w:val="00744547"/>
    <w:rsid w:val="00747F80"/>
    <w:rsid w:val="00751D7C"/>
    <w:rsid w:val="00752C10"/>
    <w:rsid w:val="007568FC"/>
    <w:rsid w:val="00756916"/>
    <w:rsid w:val="00756924"/>
    <w:rsid w:val="00765780"/>
    <w:rsid w:val="00770DCD"/>
    <w:rsid w:val="00772377"/>
    <w:rsid w:val="0077611C"/>
    <w:rsid w:val="007822BD"/>
    <w:rsid w:val="007826DA"/>
    <w:rsid w:val="0078354C"/>
    <w:rsid w:val="00785862"/>
    <w:rsid w:val="00785E55"/>
    <w:rsid w:val="007860B0"/>
    <w:rsid w:val="00791242"/>
    <w:rsid w:val="0079154A"/>
    <w:rsid w:val="00792AB2"/>
    <w:rsid w:val="00794491"/>
    <w:rsid w:val="007A0537"/>
    <w:rsid w:val="007A06BE"/>
    <w:rsid w:val="007A2CE7"/>
    <w:rsid w:val="007A526B"/>
    <w:rsid w:val="007B4C9B"/>
    <w:rsid w:val="007B5266"/>
    <w:rsid w:val="007C020C"/>
    <w:rsid w:val="007C1DBC"/>
    <w:rsid w:val="007C1F6A"/>
    <w:rsid w:val="007C43D4"/>
    <w:rsid w:val="007D18CF"/>
    <w:rsid w:val="007D33D3"/>
    <w:rsid w:val="007D65B4"/>
    <w:rsid w:val="007E3105"/>
    <w:rsid w:val="007E759B"/>
    <w:rsid w:val="007F1352"/>
    <w:rsid w:val="007F2345"/>
    <w:rsid w:val="007F3F10"/>
    <w:rsid w:val="007F59EB"/>
    <w:rsid w:val="007F608D"/>
    <w:rsid w:val="00805543"/>
    <w:rsid w:val="00806F2A"/>
    <w:rsid w:val="00807B43"/>
    <w:rsid w:val="008100EB"/>
    <w:rsid w:val="00811E14"/>
    <w:rsid w:val="0081290F"/>
    <w:rsid w:val="008133F6"/>
    <w:rsid w:val="00815AFE"/>
    <w:rsid w:val="00823F4B"/>
    <w:rsid w:val="00825A36"/>
    <w:rsid w:val="00827937"/>
    <w:rsid w:val="00834368"/>
    <w:rsid w:val="008411A4"/>
    <w:rsid w:val="00842FA8"/>
    <w:rsid w:val="008544D6"/>
    <w:rsid w:val="008766E9"/>
    <w:rsid w:val="00877EB7"/>
    <w:rsid w:val="008800B3"/>
    <w:rsid w:val="0088214F"/>
    <w:rsid w:val="00882B66"/>
    <w:rsid w:val="00883FC3"/>
    <w:rsid w:val="0089311C"/>
    <w:rsid w:val="0089314C"/>
    <w:rsid w:val="008A03E3"/>
    <w:rsid w:val="008A0C72"/>
    <w:rsid w:val="008A0FDC"/>
    <w:rsid w:val="008A35CF"/>
    <w:rsid w:val="008A409C"/>
    <w:rsid w:val="008A66B9"/>
    <w:rsid w:val="008A6D44"/>
    <w:rsid w:val="008B161C"/>
    <w:rsid w:val="008B232F"/>
    <w:rsid w:val="008C10A5"/>
    <w:rsid w:val="008C3C02"/>
    <w:rsid w:val="008C6FA3"/>
    <w:rsid w:val="008D0BDF"/>
    <w:rsid w:val="008D3EEA"/>
    <w:rsid w:val="008E359C"/>
    <w:rsid w:val="008E4163"/>
    <w:rsid w:val="00901334"/>
    <w:rsid w:val="00903406"/>
    <w:rsid w:val="009124CE"/>
    <w:rsid w:val="00912818"/>
    <w:rsid w:val="00912954"/>
    <w:rsid w:val="00915160"/>
    <w:rsid w:val="00921F34"/>
    <w:rsid w:val="00922984"/>
    <w:rsid w:val="0092304C"/>
    <w:rsid w:val="00923F06"/>
    <w:rsid w:val="0092562E"/>
    <w:rsid w:val="00936480"/>
    <w:rsid w:val="009425F8"/>
    <w:rsid w:val="00943089"/>
    <w:rsid w:val="00950A18"/>
    <w:rsid w:val="009513CA"/>
    <w:rsid w:val="009533E2"/>
    <w:rsid w:val="009556DE"/>
    <w:rsid w:val="00960B10"/>
    <w:rsid w:val="0097190A"/>
    <w:rsid w:val="00982753"/>
    <w:rsid w:val="009841DA"/>
    <w:rsid w:val="00986627"/>
    <w:rsid w:val="00994A8E"/>
    <w:rsid w:val="00994B2B"/>
    <w:rsid w:val="00996685"/>
    <w:rsid w:val="009A2AB3"/>
    <w:rsid w:val="009A3866"/>
    <w:rsid w:val="009A72D8"/>
    <w:rsid w:val="009B13ED"/>
    <w:rsid w:val="009B3075"/>
    <w:rsid w:val="009B3392"/>
    <w:rsid w:val="009B72ED"/>
    <w:rsid w:val="009B7BD4"/>
    <w:rsid w:val="009B7F3F"/>
    <w:rsid w:val="009C1BA7"/>
    <w:rsid w:val="009C6606"/>
    <w:rsid w:val="009D411D"/>
    <w:rsid w:val="009D7766"/>
    <w:rsid w:val="009E1215"/>
    <w:rsid w:val="009E1447"/>
    <w:rsid w:val="009E179D"/>
    <w:rsid w:val="009E3C69"/>
    <w:rsid w:val="009E4076"/>
    <w:rsid w:val="009E6FB7"/>
    <w:rsid w:val="009F3AF9"/>
    <w:rsid w:val="00A00FCD"/>
    <w:rsid w:val="00A01139"/>
    <w:rsid w:val="00A0476A"/>
    <w:rsid w:val="00A0681D"/>
    <w:rsid w:val="00A101CD"/>
    <w:rsid w:val="00A17BD9"/>
    <w:rsid w:val="00A226AD"/>
    <w:rsid w:val="00A23FC7"/>
    <w:rsid w:val="00A318C5"/>
    <w:rsid w:val="00A3240A"/>
    <w:rsid w:val="00A3402A"/>
    <w:rsid w:val="00A418A7"/>
    <w:rsid w:val="00A45425"/>
    <w:rsid w:val="00A527CE"/>
    <w:rsid w:val="00A535E2"/>
    <w:rsid w:val="00A552AF"/>
    <w:rsid w:val="00A55AF6"/>
    <w:rsid w:val="00A5760C"/>
    <w:rsid w:val="00A60B2A"/>
    <w:rsid w:val="00A60DB3"/>
    <w:rsid w:val="00A614CF"/>
    <w:rsid w:val="00A6315C"/>
    <w:rsid w:val="00A634DA"/>
    <w:rsid w:val="00A63D10"/>
    <w:rsid w:val="00A713D6"/>
    <w:rsid w:val="00A72E65"/>
    <w:rsid w:val="00A75907"/>
    <w:rsid w:val="00A80475"/>
    <w:rsid w:val="00A84704"/>
    <w:rsid w:val="00A9299B"/>
    <w:rsid w:val="00AB7059"/>
    <w:rsid w:val="00AC2D32"/>
    <w:rsid w:val="00AC3D48"/>
    <w:rsid w:val="00AC7FA6"/>
    <w:rsid w:val="00AD0E39"/>
    <w:rsid w:val="00AD101D"/>
    <w:rsid w:val="00AD2F56"/>
    <w:rsid w:val="00AD37BF"/>
    <w:rsid w:val="00AD4F0F"/>
    <w:rsid w:val="00AD72A5"/>
    <w:rsid w:val="00AE0519"/>
    <w:rsid w:val="00AE2FAA"/>
    <w:rsid w:val="00AE390E"/>
    <w:rsid w:val="00AF24B4"/>
    <w:rsid w:val="00AF36CB"/>
    <w:rsid w:val="00AF3829"/>
    <w:rsid w:val="00AF52F1"/>
    <w:rsid w:val="00AF567B"/>
    <w:rsid w:val="00AF59E7"/>
    <w:rsid w:val="00AF7321"/>
    <w:rsid w:val="00B049F2"/>
    <w:rsid w:val="00B13EF6"/>
    <w:rsid w:val="00B1799A"/>
    <w:rsid w:val="00B2478A"/>
    <w:rsid w:val="00B32324"/>
    <w:rsid w:val="00B32903"/>
    <w:rsid w:val="00B33131"/>
    <w:rsid w:val="00B33A80"/>
    <w:rsid w:val="00B345C9"/>
    <w:rsid w:val="00B4737F"/>
    <w:rsid w:val="00B51D9F"/>
    <w:rsid w:val="00B5206A"/>
    <w:rsid w:val="00B5297C"/>
    <w:rsid w:val="00B52F75"/>
    <w:rsid w:val="00B54D3C"/>
    <w:rsid w:val="00B56990"/>
    <w:rsid w:val="00B619BA"/>
    <w:rsid w:val="00B61A59"/>
    <w:rsid w:val="00B66D36"/>
    <w:rsid w:val="00B670B6"/>
    <w:rsid w:val="00B70B59"/>
    <w:rsid w:val="00B7142C"/>
    <w:rsid w:val="00B82CAA"/>
    <w:rsid w:val="00B8371E"/>
    <w:rsid w:val="00B86340"/>
    <w:rsid w:val="00B8722C"/>
    <w:rsid w:val="00B91725"/>
    <w:rsid w:val="00B91D3E"/>
    <w:rsid w:val="00B92795"/>
    <w:rsid w:val="00B946AD"/>
    <w:rsid w:val="00BB2962"/>
    <w:rsid w:val="00BB32AE"/>
    <w:rsid w:val="00BB5124"/>
    <w:rsid w:val="00BC0524"/>
    <w:rsid w:val="00BC24C8"/>
    <w:rsid w:val="00BC2702"/>
    <w:rsid w:val="00BC3B6A"/>
    <w:rsid w:val="00BC70E2"/>
    <w:rsid w:val="00BC781C"/>
    <w:rsid w:val="00BD09CD"/>
    <w:rsid w:val="00BD11F2"/>
    <w:rsid w:val="00BD1FC4"/>
    <w:rsid w:val="00BD2294"/>
    <w:rsid w:val="00BD3F20"/>
    <w:rsid w:val="00BD651D"/>
    <w:rsid w:val="00BD7743"/>
    <w:rsid w:val="00BE140F"/>
    <w:rsid w:val="00BE6377"/>
    <w:rsid w:val="00BF34D7"/>
    <w:rsid w:val="00BF626F"/>
    <w:rsid w:val="00C00E8A"/>
    <w:rsid w:val="00C05192"/>
    <w:rsid w:val="00C110AE"/>
    <w:rsid w:val="00C11BD0"/>
    <w:rsid w:val="00C12749"/>
    <w:rsid w:val="00C224DB"/>
    <w:rsid w:val="00C267F0"/>
    <w:rsid w:val="00C274BD"/>
    <w:rsid w:val="00C3110F"/>
    <w:rsid w:val="00C33871"/>
    <w:rsid w:val="00C36797"/>
    <w:rsid w:val="00C40EA6"/>
    <w:rsid w:val="00C452ED"/>
    <w:rsid w:val="00C47A6C"/>
    <w:rsid w:val="00C53ABA"/>
    <w:rsid w:val="00C56F45"/>
    <w:rsid w:val="00C57B84"/>
    <w:rsid w:val="00C60FD0"/>
    <w:rsid w:val="00C62622"/>
    <w:rsid w:val="00C64362"/>
    <w:rsid w:val="00C64C25"/>
    <w:rsid w:val="00C74873"/>
    <w:rsid w:val="00C80A59"/>
    <w:rsid w:val="00C80E0F"/>
    <w:rsid w:val="00C81996"/>
    <w:rsid w:val="00C8343C"/>
    <w:rsid w:val="00C83B59"/>
    <w:rsid w:val="00C857CB"/>
    <w:rsid w:val="00C85A55"/>
    <w:rsid w:val="00C8740F"/>
    <w:rsid w:val="00C9149E"/>
    <w:rsid w:val="00C915A8"/>
    <w:rsid w:val="00C945EE"/>
    <w:rsid w:val="00C94603"/>
    <w:rsid w:val="00C9585B"/>
    <w:rsid w:val="00CA2078"/>
    <w:rsid w:val="00CA3EDD"/>
    <w:rsid w:val="00CA4B59"/>
    <w:rsid w:val="00CA5225"/>
    <w:rsid w:val="00CB110A"/>
    <w:rsid w:val="00CB336D"/>
    <w:rsid w:val="00CB3B34"/>
    <w:rsid w:val="00CB4473"/>
    <w:rsid w:val="00CC4638"/>
    <w:rsid w:val="00CC50AC"/>
    <w:rsid w:val="00CC66EF"/>
    <w:rsid w:val="00CD0271"/>
    <w:rsid w:val="00CE21C0"/>
    <w:rsid w:val="00CE3DAA"/>
    <w:rsid w:val="00CE4859"/>
    <w:rsid w:val="00CE75B7"/>
    <w:rsid w:val="00CF2995"/>
    <w:rsid w:val="00CF52DA"/>
    <w:rsid w:val="00D02B48"/>
    <w:rsid w:val="00D03CC8"/>
    <w:rsid w:val="00D07787"/>
    <w:rsid w:val="00D10943"/>
    <w:rsid w:val="00D109F1"/>
    <w:rsid w:val="00D1120A"/>
    <w:rsid w:val="00D125BE"/>
    <w:rsid w:val="00D1410D"/>
    <w:rsid w:val="00D21183"/>
    <w:rsid w:val="00D2212F"/>
    <w:rsid w:val="00D249EC"/>
    <w:rsid w:val="00D342E3"/>
    <w:rsid w:val="00D354A3"/>
    <w:rsid w:val="00D423EB"/>
    <w:rsid w:val="00D43DE8"/>
    <w:rsid w:val="00D555DA"/>
    <w:rsid w:val="00D60126"/>
    <w:rsid w:val="00D60808"/>
    <w:rsid w:val="00D60C96"/>
    <w:rsid w:val="00D632D1"/>
    <w:rsid w:val="00D653DC"/>
    <w:rsid w:val="00D66376"/>
    <w:rsid w:val="00D66382"/>
    <w:rsid w:val="00D85EEA"/>
    <w:rsid w:val="00D9515E"/>
    <w:rsid w:val="00D9584B"/>
    <w:rsid w:val="00DB0931"/>
    <w:rsid w:val="00DB1128"/>
    <w:rsid w:val="00DB674C"/>
    <w:rsid w:val="00DB7937"/>
    <w:rsid w:val="00DC4940"/>
    <w:rsid w:val="00DD0F21"/>
    <w:rsid w:val="00DE1114"/>
    <w:rsid w:val="00DE265F"/>
    <w:rsid w:val="00DF4CF0"/>
    <w:rsid w:val="00E0325F"/>
    <w:rsid w:val="00E04238"/>
    <w:rsid w:val="00E11244"/>
    <w:rsid w:val="00E15353"/>
    <w:rsid w:val="00E16CAE"/>
    <w:rsid w:val="00E17796"/>
    <w:rsid w:val="00E246FA"/>
    <w:rsid w:val="00E32341"/>
    <w:rsid w:val="00E45340"/>
    <w:rsid w:val="00E47944"/>
    <w:rsid w:val="00E50F98"/>
    <w:rsid w:val="00E515DB"/>
    <w:rsid w:val="00E51D5C"/>
    <w:rsid w:val="00E54F7C"/>
    <w:rsid w:val="00E56E9D"/>
    <w:rsid w:val="00E629FD"/>
    <w:rsid w:val="00E6553D"/>
    <w:rsid w:val="00E65B64"/>
    <w:rsid w:val="00E66EE7"/>
    <w:rsid w:val="00E674D1"/>
    <w:rsid w:val="00E674DD"/>
    <w:rsid w:val="00E67B22"/>
    <w:rsid w:val="00E74076"/>
    <w:rsid w:val="00E758FC"/>
    <w:rsid w:val="00E772E1"/>
    <w:rsid w:val="00E777C6"/>
    <w:rsid w:val="00E8066C"/>
    <w:rsid w:val="00E81323"/>
    <w:rsid w:val="00E85E3D"/>
    <w:rsid w:val="00E8622A"/>
    <w:rsid w:val="00E974ED"/>
    <w:rsid w:val="00EA13E1"/>
    <w:rsid w:val="00EA406E"/>
    <w:rsid w:val="00EA43AC"/>
    <w:rsid w:val="00EA52D3"/>
    <w:rsid w:val="00EA73CE"/>
    <w:rsid w:val="00EB2329"/>
    <w:rsid w:val="00EC5F86"/>
    <w:rsid w:val="00ED043A"/>
    <w:rsid w:val="00ED3727"/>
    <w:rsid w:val="00ED3DDF"/>
    <w:rsid w:val="00ED3FF4"/>
    <w:rsid w:val="00ED50F4"/>
    <w:rsid w:val="00EE1C1A"/>
    <w:rsid w:val="00EE2613"/>
    <w:rsid w:val="00EE4E09"/>
    <w:rsid w:val="00EE550A"/>
    <w:rsid w:val="00EE5ACF"/>
    <w:rsid w:val="00EF0DCB"/>
    <w:rsid w:val="00EF1E98"/>
    <w:rsid w:val="00EF2AA5"/>
    <w:rsid w:val="00EF5820"/>
    <w:rsid w:val="00EF66D5"/>
    <w:rsid w:val="00F017E8"/>
    <w:rsid w:val="00F0478C"/>
    <w:rsid w:val="00F1025A"/>
    <w:rsid w:val="00F14F02"/>
    <w:rsid w:val="00F2297F"/>
    <w:rsid w:val="00F23895"/>
    <w:rsid w:val="00F23D90"/>
    <w:rsid w:val="00F262FA"/>
    <w:rsid w:val="00F275B0"/>
    <w:rsid w:val="00F32372"/>
    <w:rsid w:val="00F35EDC"/>
    <w:rsid w:val="00F475EC"/>
    <w:rsid w:val="00F53FA2"/>
    <w:rsid w:val="00F54A01"/>
    <w:rsid w:val="00F54AB3"/>
    <w:rsid w:val="00F62916"/>
    <w:rsid w:val="00F63D9A"/>
    <w:rsid w:val="00F659A3"/>
    <w:rsid w:val="00F73933"/>
    <w:rsid w:val="00F73F61"/>
    <w:rsid w:val="00F7417F"/>
    <w:rsid w:val="00F74838"/>
    <w:rsid w:val="00F76883"/>
    <w:rsid w:val="00F80BAC"/>
    <w:rsid w:val="00F83806"/>
    <w:rsid w:val="00F91EC5"/>
    <w:rsid w:val="00FA02D2"/>
    <w:rsid w:val="00FA68A1"/>
    <w:rsid w:val="00FA7B81"/>
    <w:rsid w:val="00FB5770"/>
    <w:rsid w:val="00FB685C"/>
    <w:rsid w:val="00FB743C"/>
    <w:rsid w:val="00FC0B12"/>
    <w:rsid w:val="00FC1729"/>
    <w:rsid w:val="00FC2027"/>
    <w:rsid w:val="00FC43DA"/>
    <w:rsid w:val="00FC64A9"/>
    <w:rsid w:val="00FC6E8D"/>
    <w:rsid w:val="00FD307B"/>
    <w:rsid w:val="00FE68E4"/>
    <w:rsid w:val="00FF34A3"/>
    <w:rsid w:val="00FF3EE2"/>
    <w:rsid w:val="00FF6B4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F6A5C"/>
  <w15:docId w15:val="{D8A3A0B5-120B-48FE-8A89-89FFD117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EC5F86"/>
    <w:rPr>
      <w:rFonts w:ascii="Verdana" w:hAnsi="Verdana"/>
      <w:sz w:val="16"/>
    </w:rPr>
  </w:style>
  <w:style w:type="numbering" w:customStyle="1" w:styleId="StylesList1">
    <w:name w:val="StylesList1"/>
    <w:uiPriority w:val="99"/>
    <w:rsid w:val="00EC5F86"/>
  </w:style>
  <w:style w:type="character" w:styleId="FootnoteReference">
    <w:name w:val="footnote reference"/>
    <w:basedOn w:val="DefaultParagraphFont"/>
    <w:unhideWhenUsed/>
    <w:rsid w:val="00EC5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571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20" ma:contentTypeDescription="Create a new document." ma:contentTypeScope="" ma:versionID="6af1e11678603c4587cd9c3955e49d05">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FD704F-485C-4070-9E7C-B2474F9EDFA5}"/>
</file>

<file path=customXml/itemProps3.xml><?xml version="1.0" encoding="utf-8"?>
<ds:datastoreItem xmlns:ds="http://schemas.openxmlformats.org/officeDocument/2006/customXml" ds:itemID="{8A480D2E-A004-45ED-AC10-3C6B80F48612}">
  <ds:schemaRefs>
    <ds:schemaRef ds:uri="http://schemas.microsoft.com/sharepoint/v3/contenttype/forms"/>
  </ds:schemaRefs>
</ds:datastoreItem>
</file>

<file path=customXml/itemProps4.xml><?xml version="1.0" encoding="utf-8"?>
<ds:datastoreItem xmlns:ds="http://schemas.openxmlformats.org/officeDocument/2006/customXml" ds:itemID="{CCF74E35-7AB3-441A-BA12-DEB457F64799}">
  <ds:schemaRefs>
    <ds:schemaRef ds:uri="http://schemas.microsoft.com/office/2006/documentManagement/types"/>
    <ds:schemaRef ds:uri="http://purl.org/dc/elements/1.1/"/>
    <ds:schemaRef ds:uri="171a6d4e-846b-4045-8024-24f3590889ec"/>
    <ds:schemaRef ds:uri="http://schemas.microsoft.com/office/infopath/2007/PartnerControls"/>
    <ds:schemaRef ds:uri="http://purl.org/dc/terms/"/>
    <ds:schemaRef ds:uri="http://schemas.openxmlformats.org/package/2006/metadata/core-properties"/>
    <ds:schemaRef ds:uri="9a4cad7d-cde0-4c4b-9900-a6ca365b296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Baylis, Caroline</cp:lastModifiedBy>
  <cp:revision>2</cp:revision>
  <cp:lastPrinted>2024-05-29T10:39:00Z</cp:lastPrinted>
  <dcterms:created xsi:type="dcterms:W3CDTF">2024-06-04T08:40:00Z</dcterms:created>
  <dcterms:modified xsi:type="dcterms:W3CDTF">2024-06-04T08:40:00Z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