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rp94v9vh5ch" w:id="0"/>
      <w:bookmarkEnd w:id="0"/>
      <w:r w:rsidDel="00000000" w:rsidR="00000000" w:rsidRPr="00000000">
        <w:rPr>
          <w:rtl w:val="0"/>
        </w:rPr>
        <w:t xml:space="preserve">Phase 3 selected projects</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2895"/>
        <w:gridCol w:w="3000"/>
        <w:tblGridChange w:id="0">
          <w:tblGrid>
            <w:gridCol w:w="3105"/>
            <w:gridCol w:w="2895"/>
            <w:gridCol w:w="3000"/>
          </w:tblGrid>
        </w:tblGridChange>
      </w:tblGrid>
      <w:tr>
        <w:trPr>
          <w:cantSplit w:val="0"/>
          <w:trHeight w:val="520" w:hRule="atLeast"/>
          <w:tblHeader w:val="1"/>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sz w:val="32"/>
                <w:szCs w:val="32"/>
              </w:rPr>
            </w:pPr>
            <w:r w:rsidDel="00000000" w:rsidR="00000000" w:rsidRPr="00000000">
              <w:rPr>
                <w:sz w:val="28"/>
                <w:szCs w:val="28"/>
                <w:rtl w:val="0"/>
              </w:rPr>
              <w:t xml:space="preserve">Fast Stream Impact Evaluation and Admin Data Use Accelerator</w:t>
            </w:r>
            <w:r w:rsidDel="00000000" w:rsidR="00000000" w:rsidRPr="00000000">
              <w:rPr>
                <w:rtl w:val="0"/>
              </w:rPr>
            </w:r>
          </w:p>
        </w:tc>
      </w:tr>
      <w:tr>
        <w:trPr>
          <w:cantSplit w:val="0"/>
          <w:trHeight w:val="520" w:hRule="atLeast"/>
          <w:tblHeader w:val="1"/>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rPr>
                <w:sz w:val="32"/>
                <w:szCs w:val="32"/>
              </w:rPr>
            </w:pPr>
            <w:r w:rsidDel="00000000" w:rsidR="00000000" w:rsidRPr="00000000">
              <w:rPr>
                <w:rtl w:val="0"/>
              </w:rPr>
              <w:t xml:space="preserve">Lead organisation(s): </w:t>
            </w:r>
            <w:hyperlink r:id="rId6">
              <w:r w:rsidDel="00000000" w:rsidR="00000000" w:rsidRPr="00000000">
                <w:rPr>
                  <w:color w:val="1155cc"/>
                  <w:u w:val="single"/>
                  <w:rtl w:val="0"/>
                </w:rPr>
                <w:t xml:space="preserve">Cabinet Office</w:t>
              </w:r>
            </w:hyperlink>
            <w:r w:rsidDel="00000000" w:rsidR="00000000" w:rsidRPr="00000000">
              <w:rPr>
                <w:rtl w:val="0"/>
              </w:rPr>
            </w:r>
          </w:p>
        </w:tc>
      </w:tr>
      <w:tr>
        <w:trPr>
          <w:cantSplit w:val="0"/>
          <w:trHeight w:val="520" w:hRule="atLeast"/>
          <w:tblHeader w:val="1"/>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Outputs/ methods:</w:t>
            </w:r>
            <w:r w:rsidDel="00000000" w:rsidR="00000000" w:rsidRPr="00000000">
              <w:rPr>
                <w:sz w:val="20"/>
                <w:szCs w:val="20"/>
                <w:rtl w:val="0"/>
              </w:rPr>
              <w:t xml:space="preserve"> </w:t>
            </w:r>
            <w:r w:rsidDel="00000000" w:rsidR="00000000" w:rsidRPr="00000000">
              <w:rPr>
                <w:rtl w:val="0"/>
              </w:rPr>
              <w:t xml:space="preserve">Regression Discontinuity Design </w:t>
            </w:r>
            <w:r w:rsidDel="00000000" w:rsidR="00000000" w:rsidRPr="00000000">
              <w:rPr>
                <w:rtl w:val="0"/>
              </w:rPr>
            </w:r>
          </w:p>
        </w:tc>
      </w:tr>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funding: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£199,950</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The project will produce an evaluation report with actionable evidence to inform decisions on how it is run and learn lessons for other recruitment schemes. It will also carry out a feasibility study assessing the use of civil service administrative data to evaluate programme outcomes.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Initial end date: March 2025</w:t>
            </w: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2895"/>
        <w:gridCol w:w="3000"/>
        <w:tblGridChange w:id="0">
          <w:tblGrid>
            <w:gridCol w:w="3105"/>
            <w:gridCol w:w="2895"/>
            <w:gridCol w:w="3000"/>
          </w:tblGrid>
        </w:tblGridChange>
      </w:tblGrid>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sz w:val="32"/>
                <w:szCs w:val="32"/>
              </w:rPr>
            </w:pPr>
            <w:r w:rsidDel="00000000" w:rsidR="00000000" w:rsidRPr="00000000">
              <w:rPr>
                <w:sz w:val="28"/>
                <w:szCs w:val="28"/>
                <w:rtl w:val="0"/>
              </w:rPr>
              <w:t xml:space="preserve">Retrospective cohort evaluation of the impact of Operation Divan on knife carrying by young people</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rPr>
                <w:sz w:val="32"/>
                <w:szCs w:val="32"/>
              </w:rPr>
            </w:pPr>
            <w:r w:rsidDel="00000000" w:rsidR="00000000" w:rsidRPr="00000000">
              <w:rPr>
                <w:rtl w:val="0"/>
              </w:rPr>
              <w:t xml:space="preserve">Lead organisation(s): </w:t>
            </w:r>
            <w:hyperlink r:id="rId7">
              <w:r w:rsidDel="00000000" w:rsidR="00000000" w:rsidRPr="00000000">
                <w:rPr>
                  <w:color w:val="1155cc"/>
                  <w:u w:val="single"/>
                  <w:rtl w:val="0"/>
                </w:rPr>
                <w:t xml:space="preserve">College of Policing</w:t>
              </w:r>
            </w:hyperlink>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t xml:space="preserve">Outputs/ methods: </w:t>
            </w:r>
            <w:r w:rsidDel="00000000" w:rsidR="00000000" w:rsidRPr="00000000">
              <w:rPr>
                <w:rtl w:val="0"/>
              </w:rPr>
              <w:t xml:space="preserve">Quasi-experimental analysis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Total funding: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£63,000 </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pPr>
            <w:r w:rsidDel="00000000" w:rsidR="00000000" w:rsidRPr="00000000">
              <w:rPr>
                <w:rtl w:val="0"/>
              </w:rPr>
              <w:t xml:space="preserve">Evaluation of Op Divan to assess the longer term impact of Op Divan on (re)offending rates amongst the target population.</w:t>
            </w:r>
          </w:p>
          <w:p w:rsidR="00000000" w:rsidDel="00000000" w:rsidP="00000000" w:rsidRDefault="00000000" w:rsidRPr="00000000" w14:paraId="00000020">
            <w:pPr>
              <w:widowControl w:val="0"/>
              <w:rPr/>
            </w:pPr>
            <w:r w:rsidDel="00000000" w:rsidR="00000000" w:rsidRPr="00000000">
              <w:rPr>
                <w:rtl w:val="0"/>
              </w:rPr>
              <w:t xml:space="preserve">Initial end date: March 2025</w:t>
            </w: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910"/>
        <w:gridCol w:w="2745"/>
        <w:tblGridChange w:id="0">
          <w:tblGrid>
            <w:gridCol w:w="3345"/>
            <w:gridCol w:w="2910"/>
            <w:gridCol w:w="2745"/>
          </w:tblGrid>
        </w:tblGridChange>
      </w:tblGrid>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sz w:val="36"/>
                <w:szCs w:val="36"/>
              </w:rPr>
            </w:pPr>
            <w:r w:rsidDel="00000000" w:rsidR="00000000" w:rsidRPr="00000000">
              <w:rPr>
                <w:sz w:val="24"/>
                <w:szCs w:val="24"/>
                <w:rtl w:val="0"/>
              </w:rPr>
              <w:t xml:space="preserve">Feeding Monitoring and Evaluation (M&amp;E) Evidence into Emission Projections and Net Zero Appraisals</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rPr>
                <w:sz w:val="32"/>
                <w:szCs w:val="32"/>
              </w:rPr>
            </w:pPr>
            <w:r w:rsidDel="00000000" w:rsidR="00000000" w:rsidRPr="00000000">
              <w:rPr>
                <w:rtl w:val="0"/>
              </w:rPr>
              <w:t xml:space="preserve">Lead organisation(s): </w:t>
            </w:r>
            <w:hyperlink r:id="rId8">
              <w:r w:rsidDel="00000000" w:rsidR="00000000" w:rsidRPr="00000000">
                <w:rPr>
                  <w:color w:val="1155cc"/>
                  <w:u w:val="single"/>
                  <w:rtl w:val="0"/>
                </w:rPr>
                <w:t xml:space="preserve">Department for Energy Security and Net Zero</w:t>
              </w:r>
            </w:hyperlink>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Outputs/ </w:t>
            </w:r>
            <w:r w:rsidDel="00000000" w:rsidR="00000000" w:rsidRPr="00000000">
              <w:rPr>
                <w:rtl w:val="0"/>
              </w:rPr>
              <w:t xml:space="preserve">methods</w:t>
            </w:r>
            <w:r w:rsidDel="00000000" w:rsidR="00000000" w:rsidRPr="00000000">
              <w:rPr>
                <w:rtl w:val="0"/>
              </w:rPr>
              <w:t xml:space="preserve">: Using evaluation data to inform future policy appraisal</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Total funding: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£160,000</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tl w:val="0"/>
              </w:rPr>
              <w:t xml:space="preserve">This project will use</w:t>
            </w:r>
            <w:r w:rsidDel="00000000" w:rsidR="00000000" w:rsidRPr="00000000">
              <w:rPr>
                <w:rtl w:val="0"/>
              </w:rPr>
              <w:t xml:space="preserve"> evaluation data to improve the projections and appraisals of future Net Zero policies.</w:t>
            </w:r>
          </w:p>
          <w:p w:rsidR="00000000" w:rsidDel="00000000" w:rsidP="00000000" w:rsidRDefault="00000000" w:rsidRPr="00000000" w14:paraId="00000031">
            <w:pPr>
              <w:widowControl w:val="0"/>
              <w:rPr/>
            </w:pPr>
            <w:r w:rsidDel="00000000" w:rsidR="00000000" w:rsidRPr="00000000">
              <w:rPr>
                <w:rtl w:val="0"/>
              </w:rPr>
              <w:t xml:space="preserve">Initial end date: March 2025</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910"/>
        <w:gridCol w:w="2745"/>
        <w:tblGridChange w:id="0">
          <w:tblGrid>
            <w:gridCol w:w="3345"/>
            <w:gridCol w:w="2910"/>
            <w:gridCol w:w="2745"/>
          </w:tblGrid>
        </w:tblGridChange>
      </w:tblGrid>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sz w:val="40"/>
                <w:szCs w:val="40"/>
              </w:rPr>
            </w:pPr>
            <w:r w:rsidDel="00000000" w:rsidR="00000000" w:rsidRPr="00000000">
              <w:rPr>
                <w:sz w:val="28"/>
                <w:szCs w:val="28"/>
                <w:rtl w:val="0"/>
              </w:rPr>
              <w:t xml:space="preserve">Energy Efficiency Scheme Evaluation</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rPr>
                <w:sz w:val="32"/>
                <w:szCs w:val="32"/>
              </w:rPr>
            </w:pPr>
            <w:r w:rsidDel="00000000" w:rsidR="00000000" w:rsidRPr="00000000">
              <w:rPr>
                <w:rtl w:val="0"/>
              </w:rPr>
              <w:t xml:space="preserve">Lead organisation(s): </w:t>
            </w:r>
            <w:hyperlink r:id="rId9">
              <w:r w:rsidDel="00000000" w:rsidR="00000000" w:rsidRPr="00000000">
                <w:rPr>
                  <w:color w:val="1155cc"/>
                  <w:u w:val="single"/>
                  <w:rtl w:val="0"/>
                </w:rPr>
                <w:t xml:space="preserve">Department for Energy Security and Net Zero</w:t>
              </w:r>
            </w:hyperlink>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Outputs/ methods: Quasi experimental analysis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Total funding: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left"/>
              <w:rPr>
                <w:sz w:val="24"/>
                <w:szCs w:val="24"/>
              </w:rPr>
            </w:pPr>
            <w:r w:rsidDel="00000000" w:rsidR="00000000" w:rsidRPr="00000000">
              <w:rPr>
                <w:rtl w:val="0"/>
              </w:rPr>
              <w:t xml:space="preserve">£160,000</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pPr>
            <w:r w:rsidDel="00000000" w:rsidR="00000000" w:rsidRPr="00000000">
              <w:rPr>
                <w:rtl w:val="0"/>
              </w:rPr>
              <w:t xml:space="preserve">The project will carry out a quasi experimental impact evaluation</w:t>
            </w:r>
            <w:r w:rsidDel="00000000" w:rsidR="00000000" w:rsidRPr="00000000">
              <w:rPr>
                <w:rtl w:val="0"/>
              </w:rPr>
              <w:t xml:space="preserve"> of the Energy Company Obligation (ECO) and development of an enhanced evaluation methodologies using the National Energy Efficiency Database (NEED). The project will develop, trial and fully document a method for measuring energy savings. It will allow us to answer the crucial question: “what impact has a scheme had on energy (gas and electricity) consumption?”</w:t>
            </w:r>
          </w:p>
          <w:p w:rsidR="00000000" w:rsidDel="00000000" w:rsidP="00000000" w:rsidRDefault="00000000" w:rsidRPr="00000000" w14:paraId="00000042">
            <w:pPr>
              <w:widowControl w:val="0"/>
              <w:rPr>
                <w:sz w:val="20"/>
                <w:szCs w:val="20"/>
              </w:rPr>
            </w:pPr>
            <w:r w:rsidDel="00000000" w:rsidR="00000000" w:rsidRPr="00000000">
              <w:rPr>
                <w:rtl w:val="0"/>
              </w:rPr>
              <w:t xml:space="preserve">Initial end date: March 2025 </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910"/>
        <w:gridCol w:w="2745"/>
        <w:tblGridChange w:id="0">
          <w:tblGrid>
            <w:gridCol w:w="3345"/>
            <w:gridCol w:w="2910"/>
            <w:gridCol w:w="2745"/>
          </w:tblGrid>
        </w:tblGridChange>
      </w:tblGrid>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sz w:val="36"/>
                <w:szCs w:val="36"/>
              </w:rPr>
            </w:pPr>
            <w:r w:rsidDel="00000000" w:rsidR="00000000" w:rsidRPr="00000000">
              <w:rPr>
                <w:sz w:val="24"/>
                <w:szCs w:val="24"/>
                <w:rtl w:val="0"/>
              </w:rPr>
              <w:t xml:space="preserve">Building evidence on wellbeing analytics to support student wellbeing and mental health</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9">
            <w:pPr>
              <w:rPr>
                <w:sz w:val="32"/>
                <w:szCs w:val="32"/>
              </w:rPr>
            </w:pPr>
            <w:r w:rsidDel="00000000" w:rsidR="00000000" w:rsidRPr="00000000">
              <w:rPr>
                <w:rtl w:val="0"/>
              </w:rPr>
              <w:t xml:space="preserve">Lead organisation(s): </w:t>
            </w:r>
            <w:hyperlink r:id="rId10">
              <w:r w:rsidDel="00000000" w:rsidR="00000000" w:rsidRPr="00000000">
                <w:rPr>
                  <w:color w:val="1155cc"/>
                  <w:u w:val="single"/>
                  <w:rtl w:val="0"/>
                </w:rPr>
                <w:t xml:space="preserve">Transforming Access and Student Outcomes in Higher Education</w:t>
              </w:r>
            </w:hyperlink>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Outputs/ methods: Multiple Randomised Controlled Trials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Total funding: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£330,000</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t xml:space="preserve">The project will support t</w:t>
            </w:r>
            <w:r w:rsidDel="00000000" w:rsidR="00000000" w:rsidRPr="00000000">
              <w:rPr>
                <w:rtl w:val="0"/>
              </w:rPr>
              <w:t xml:space="preserve">hree randomised control trials (RCTs) of university-led interventions aiming to prevent and reduce mental health issues and support wellbeing among students.</w:t>
            </w:r>
          </w:p>
          <w:p w:rsidR="00000000" w:rsidDel="00000000" w:rsidP="00000000" w:rsidRDefault="00000000" w:rsidRPr="00000000" w14:paraId="00000053">
            <w:pPr>
              <w:widowControl w:val="0"/>
              <w:rPr/>
            </w:pPr>
            <w:r w:rsidDel="00000000" w:rsidR="00000000" w:rsidRPr="00000000">
              <w:rPr>
                <w:rtl w:val="0"/>
              </w:rPr>
              <w:t xml:space="preserve">Initial end date: March 2025</w:t>
            </w: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910"/>
        <w:gridCol w:w="2745"/>
        <w:tblGridChange w:id="0">
          <w:tblGrid>
            <w:gridCol w:w="3345"/>
            <w:gridCol w:w="2910"/>
            <w:gridCol w:w="2745"/>
          </w:tblGrid>
        </w:tblGridChange>
      </w:tblGrid>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sz w:val="36"/>
                <w:szCs w:val="36"/>
              </w:rPr>
            </w:pPr>
            <w:r w:rsidDel="00000000" w:rsidR="00000000" w:rsidRPr="00000000">
              <w:rPr>
                <w:sz w:val="36"/>
                <w:szCs w:val="36"/>
                <w:rtl w:val="0"/>
              </w:rPr>
              <w:t xml:space="preserve">AI and automation in policing - scoping studies</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B">
            <w:pPr>
              <w:rPr>
                <w:sz w:val="32"/>
                <w:szCs w:val="32"/>
              </w:rPr>
            </w:pPr>
            <w:r w:rsidDel="00000000" w:rsidR="00000000" w:rsidRPr="00000000">
              <w:rPr>
                <w:rtl w:val="0"/>
              </w:rPr>
              <w:t xml:space="preserve">Lead organisation(s): </w:t>
            </w:r>
            <w:hyperlink r:id="rId11">
              <w:r w:rsidDel="00000000" w:rsidR="00000000" w:rsidRPr="00000000">
                <w:rPr>
                  <w:color w:val="1155cc"/>
                  <w:u w:val="single"/>
                  <w:rtl w:val="0"/>
                </w:rPr>
                <w:t xml:space="preserve">West Yorkshire Police</w:t>
              </w:r>
            </w:hyperlink>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Outputs/ methods: Scoping Study</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Total funding: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£20,000</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t xml:space="preserve">The project will look at the use of AI and automation to improve police productivity, focussing on the processing of Domestic Violence Prevention Notices, and the use of Retrospective Facial Recognition technology.</w:t>
            </w:r>
          </w:p>
          <w:p w:rsidR="00000000" w:rsidDel="00000000" w:rsidP="00000000" w:rsidRDefault="00000000" w:rsidRPr="00000000" w14:paraId="00000065">
            <w:pPr>
              <w:widowControl w:val="0"/>
              <w:rPr/>
            </w:pPr>
            <w:r w:rsidDel="00000000" w:rsidR="00000000" w:rsidRPr="00000000">
              <w:rPr>
                <w:rtl w:val="0"/>
              </w:rPr>
              <w:t xml:space="preserve">Initial end date: March 2025</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sz w:val="40"/>
        <w:szCs w:val="40"/>
      </w:rPr>
    </w:pPr>
    <w:r w:rsidDel="00000000" w:rsidR="00000000" w:rsidRPr="00000000">
      <w:rPr>
        <w:sz w:val="40"/>
        <w:szCs w:val="40"/>
        <w:rtl w:val="0"/>
      </w:rPr>
      <w:t xml:space="preserve">Evaluation Accelerator Fund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estyorkshire.police.uk/" TargetMode="External"/><Relationship Id="rId10" Type="http://schemas.openxmlformats.org/officeDocument/2006/relationships/hyperlink" Target="https://taso.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organisations/department-for-energy-security-and-net-zero" TargetMode="External"/><Relationship Id="rId5" Type="http://schemas.openxmlformats.org/officeDocument/2006/relationships/styles" Target="styles.xml"/><Relationship Id="rId6" Type="http://schemas.openxmlformats.org/officeDocument/2006/relationships/hyperlink" Target="https://www.gov.uk/government/organisations/cabinet-office" TargetMode="External"/><Relationship Id="rId7" Type="http://schemas.openxmlformats.org/officeDocument/2006/relationships/hyperlink" Target="https://www.college.police.uk/" TargetMode="External"/><Relationship Id="rId8" Type="http://schemas.openxmlformats.org/officeDocument/2006/relationships/hyperlink" Target="https://www.gov.uk/government/organisations/department-for-energy-security-and-net-z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