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597E" w14:textId="77777777" w:rsidR="00764B8C" w:rsidRDefault="00764B8C" w:rsidP="00764B8C">
      <w:pPr>
        <w:pStyle w:val="Conditions1"/>
        <w:numPr>
          <w:ilvl w:val="0"/>
          <w:numId w:val="0"/>
        </w:numPr>
      </w:pPr>
      <w:r>
        <w:rPr>
          <w:noProof/>
        </w:rPr>
        <w:drawing>
          <wp:inline distT="0" distB="0" distL="0" distR="0" wp14:anchorId="4ADC6F5F" wp14:editId="32879D4B">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B70DBA4" w14:textId="77777777" w:rsidR="00764B8C" w:rsidRDefault="00764B8C" w:rsidP="00764B8C"/>
    <w:p w14:paraId="23A6E424" w14:textId="77777777" w:rsidR="00764B8C" w:rsidRDefault="00764B8C" w:rsidP="00764B8C">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764B8C" w:rsidRPr="005A0799" w14:paraId="7602B74F" w14:textId="77777777" w:rsidTr="00690AF3">
        <w:trPr>
          <w:cantSplit/>
          <w:trHeight w:val="23"/>
        </w:trPr>
        <w:tc>
          <w:tcPr>
            <w:tcW w:w="9356" w:type="dxa"/>
            <w:shd w:val="clear" w:color="auto" w:fill="auto"/>
          </w:tcPr>
          <w:p w14:paraId="548B1072" w14:textId="77777777" w:rsidR="00764B8C" w:rsidRPr="00B80631" w:rsidRDefault="00764B8C" w:rsidP="00690AF3">
            <w:pPr>
              <w:spacing w:before="120"/>
              <w:ind w:left="-108" w:right="34"/>
              <w:rPr>
                <w:rFonts w:ascii="Arial" w:hAnsi="Arial" w:cs="Arial"/>
                <w:b/>
                <w:color w:val="000000"/>
                <w:sz w:val="40"/>
                <w:szCs w:val="40"/>
              </w:rPr>
            </w:pPr>
            <w:bookmarkStart w:id="0" w:name="bmkTable00"/>
            <w:bookmarkEnd w:id="0"/>
            <w:r w:rsidRPr="00B80631">
              <w:rPr>
                <w:rFonts w:ascii="Arial" w:hAnsi="Arial" w:cs="Arial"/>
                <w:b/>
                <w:color w:val="000000"/>
                <w:sz w:val="40"/>
                <w:szCs w:val="40"/>
              </w:rPr>
              <w:t>Order Decision</w:t>
            </w:r>
          </w:p>
        </w:tc>
      </w:tr>
      <w:tr w:rsidR="00764B8C" w:rsidRPr="00B054BB" w14:paraId="1A9F8A61" w14:textId="77777777" w:rsidTr="00690AF3">
        <w:trPr>
          <w:cantSplit/>
          <w:trHeight w:val="23"/>
        </w:trPr>
        <w:tc>
          <w:tcPr>
            <w:tcW w:w="9356" w:type="dxa"/>
            <w:shd w:val="clear" w:color="auto" w:fill="auto"/>
            <w:vAlign w:val="center"/>
          </w:tcPr>
          <w:p w14:paraId="613F3FFE" w14:textId="77777777" w:rsidR="00764B8C" w:rsidRPr="00B054BB" w:rsidRDefault="00764B8C" w:rsidP="00690AF3">
            <w:pPr>
              <w:spacing w:before="60"/>
              <w:ind w:left="-108" w:right="34"/>
              <w:rPr>
                <w:rFonts w:ascii="Arial" w:hAnsi="Arial" w:cs="Arial"/>
                <w:color w:val="000000"/>
                <w:szCs w:val="22"/>
              </w:rPr>
            </w:pPr>
            <w:r w:rsidRPr="00B054BB">
              <w:rPr>
                <w:rFonts w:ascii="Arial" w:hAnsi="Arial" w:cs="Arial"/>
                <w:color w:val="000000"/>
                <w:szCs w:val="22"/>
              </w:rPr>
              <w:t>On papers on file</w:t>
            </w:r>
          </w:p>
          <w:p w14:paraId="5286DB7F" w14:textId="77777777" w:rsidR="00764B8C" w:rsidRPr="00B054BB" w:rsidRDefault="00764B8C" w:rsidP="00690AF3">
            <w:pPr>
              <w:spacing w:before="60"/>
              <w:ind w:right="34"/>
              <w:rPr>
                <w:rFonts w:ascii="Arial" w:hAnsi="Arial" w:cs="Arial"/>
                <w:color w:val="000000"/>
                <w:szCs w:val="22"/>
              </w:rPr>
            </w:pPr>
          </w:p>
        </w:tc>
      </w:tr>
      <w:tr w:rsidR="00764B8C" w:rsidRPr="00B054BB" w14:paraId="27310C19" w14:textId="77777777" w:rsidTr="00690AF3">
        <w:trPr>
          <w:cantSplit/>
          <w:trHeight w:val="23"/>
        </w:trPr>
        <w:tc>
          <w:tcPr>
            <w:tcW w:w="9356" w:type="dxa"/>
            <w:shd w:val="clear" w:color="auto" w:fill="auto"/>
          </w:tcPr>
          <w:p w14:paraId="758C6CA6" w14:textId="77777777" w:rsidR="00764B8C" w:rsidRPr="00B054BB" w:rsidRDefault="00764B8C" w:rsidP="00690AF3">
            <w:pPr>
              <w:spacing w:before="180"/>
              <w:ind w:left="-108" w:right="34"/>
              <w:rPr>
                <w:rFonts w:ascii="Arial" w:hAnsi="Arial" w:cs="Arial"/>
                <w:b/>
                <w:color w:val="000000"/>
                <w:szCs w:val="22"/>
              </w:rPr>
            </w:pPr>
            <w:r w:rsidRPr="00B054BB">
              <w:rPr>
                <w:rFonts w:ascii="Arial" w:hAnsi="Arial" w:cs="Arial"/>
                <w:b/>
                <w:color w:val="000000"/>
                <w:szCs w:val="22"/>
              </w:rPr>
              <w:t>by Laura Renaudon LLM LARTPI Solicitor</w:t>
            </w:r>
          </w:p>
        </w:tc>
      </w:tr>
      <w:tr w:rsidR="00764B8C" w:rsidRPr="00EA5A94" w14:paraId="563152E3" w14:textId="77777777" w:rsidTr="00690AF3">
        <w:trPr>
          <w:cantSplit/>
          <w:trHeight w:val="23"/>
        </w:trPr>
        <w:tc>
          <w:tcPr>
            <w:tcW w:w="9356" w:type="dxa"/>
            <w:shd w:val="clear" w:color="auto" w:fill="auto"/>
          </w:tcPr>
          <w:p w14:paraId="1FA9F539" w14:textId="77777777" w:rsidR="00764B8C" w:rsidRPr="00EA5A94" w:rsidRDefault="00764B8C" w:rsidP="00690AF3">
            <w:pPr>
              <w:spacing w:before="120"/>
              <w:ind w:left="-108" w:right="34"/>
              <w:rPr>
                <w:rFonts w:ascii="Arial" w:hAnsi="Arial" w:cs="Arial"/>
                <w:b/>
                <w:color w:val="000000"/>
                <w:sz w:val="20"/>
              </w:rPr>
            </w:pPr>
            <w:r w:rsidRPr="00EA5A94">
              <w:rPr>
                <w:rFonts w:ascii="Arial" w:hAnsi="Arial" w:cs="Arial"/>
                <w:b/>
                <w:color w:val="000000"/>
                <w:sz w:val="20"/>
              </w:rPr>
              <w:t>an Inspector appointed by the Secretary of State for Environment, Food and Rural Affairs</w:t>
            </w:r>
          </w:p>
        </w:tc>
      </w:tr>
      <w:tr w:rsidR="00764B8C" w:rsidRPr="00EA5A94" w14:paraId="378CA505" w14:textId="77777777" w:rsidTr="00690AF3">
        <w:trPr>
          <w:cantSplit/>
          <w:trHeight w:val="23"/>
        </w:trPr>
        <w:tc>
          <w:tcPr>
            <w:tcW w:w="9356" w:type="dxa"/>
            <w:shd w:val="clear" w:color="auto" w:fill="auto"/>
          </w:tcPr>
          <w:p w14:paraId="3D45BDBC" w14:textId="12200EF9" w:rsidR="00764B8C" w:rsidRPr="00EA5A94" w:rsidRDefault="00764B8C" w:rsidP="00690AF3">
            <w:pPr>
              <w:spacing w:before="120"/>
              <w:ind w:left="-108" w:right="176"/>
              <w:rPr>
                <w:rFonts w:ascii="Arial" w:hAnsi="Arial" w:cs="Arial"/>
                <w:b/>
                <w:color w:val="000000"/>
                <w:sz w:val="20"/>
              </w:rPr>
            </w:pPr>
            <w:r w:rsidRPr="00EA5A94">
              <w:rPr>
                <w:rFonts w:ascii="Arial" w:hAnsi="Arial" w:cs="Arial"/>
                <w:b/>
                <w:color w:val="000000"/>
                <w:sz w:val="20"/>
              </w:rPr>
              <w:t>Decision date:</w:t>
            </w:r>
            <w:r w:rsidR="006E5636">
              <w:rPr>
                <w:rFonts w:ascii="Arial" w:hAnsi="Arial" w:cs="Arial"/>
                <w:b/>
                <w:color w:val="000000"/>
                <w:sz w:val="20"/>
              </w:rPr>
              <w:t xml:space="preserve"> 04 March 2024</w:t>
            </w:r>
          </w:p>
        </w:tc>
      </w:tr>
    </w:tbl>
    <w:p w14:paraId="29A394D9" w14:textId="77777777" w:rsidR="00764B8C" w:rsidRPr="00B054BB" w:rsidRDefault="00764B8C" w:rsidP="00764B8C">
      <w:pPr>
        <w:rPr>
          <w:rFonts w:ascii="Arial" w:hAnsi="Arial" w:cs="Arial"/>
          <w:szCs w:val="22"/>
        </w:rPr>
      </w:pPr>
    </w:p>
    <w:tbl>
      <w:tblPr>
        <w:tblW w:w="0" w:type="auto"/>
        <w:tblLayout w:type="fixed"/>
        <w:tblLook w:val="0000" w:firstRow="0" w:lastRow="0" w:firstColumn="0" w:lastColumn="0" w:noHBand="0" w:noVBand="0"/>
      </w:tblPr>
      <w:tblGrid>
        <w:gridCol w:w="9520"/>
      </w:tblGrid>
      <w:tr w:rsidR="00764B8C" w:rsidRPr="00EA5A94" w14:paraId="155AB3EA" w14:textId="77777777" w:rsidTr="00690AF3">
        <w:tc>
          <w:tcPr>
            <w:tcW w:w="9520" w:type="dxa"/>
            <w:shd w:val="clear" w:color="auto" w:fill="auto"/>
          </w:tcPr>
          <w:p w14:paraId="03920F1E" w14:textId="77777777" w:rsidR="00764B8C" w:rsidRPr="00EA5A94" w:rsidRDefault="00764B8C" w:rsidP="00690AF3">
            <w:pPr>
              <w:spacing w:after="60"/>
              <w:rPr>
                <w:rFonts w:ascii="Arial" w:hAnsi="Arial" w:cs="Arial"/>
                <w:b/>
                <w:color w:val="000000"/>
                <w:sz w:val="24"/>
                <w:szCs w:val="24"/>
              </w:rPr>
            </w:pPr>
            <w:r w:rsidRPr="00EA5A94">
              <w:rPr>
                <w:rFonts w:ascii="Arial" w:hAnsi="Arial" w:cs="Arial"/>
                <w:b/>
                <w:color w:val="000000"/>
                <w:sz w:val="24"/>
                <w:szCs w:val="24"/>
              </w:rPr>
              <w:t>Order Ref: ROW/3320118</w:t>
            </w:r>
          </w:p>
        </w:tc>
      </w:tr>
      <w:tr w:rsidR="00764B8C" w:rsidRPr="00EA5A94" w14:paraId="5A148409" w14:textId="77777777" w:rsidTr="00690AF3">
        <w:tc>
          <w:tcPr>
            <w:tcW w:w="9520" w:type="dxa"/>
            <w:shd w:val="clear" w:color="auto" w:fill="auto"/>
          </w:tcPr>
          <w:p w14:paraId="53B4CC75" w14:textId="77777777" w:rsidR="00764B8C" w:rsidRPr="00EA5A94" w:rsidRDefault="00764B8C" w:rsidP="00690AF3">
            <w:pPr>
              <w:pStyle w:val="TBullet"/>
              <w:rPr>
                <w:rFonts w:ascii="Arial" w:hAnsi="Arial" w:cs="Arial"/>
                <w:sz w:val="24"/>
                <w:szCs w:val="24"/>
              </w:rPr>
            </w:pPr>
            <w:r w:rsidRPr="00EA5A94">
              <w:rPr>
                <w:rFonts w:ascii="Arial" w:hAnsi="Arial" w:cs="Arial"/>
                <w:sz w:val="24"/>
                <w:szCs w:val="24"/>
              </w:rPr>
              <w:t>This Order is made under Section 53(2)(b) of the Wildlife and Countryside Act 1981 (the 1981 Act) and is known as the West Sussex County Council (Chichester No. 1: Felpham (Addition of Public Footpaths)) Definitive Map Modification Order 2022.</w:t>
            </w:r>
          </w:p>
        </w:tc>
      </w:tr>
      <w:tr w:rsidR="00764B8C" w:rsidRPr="00EA5A94" w14:paraId="69C227A8" w14:textId="77777777" w:rsidTr="00690AF3">
        <w:tc>
          <w:tcPr>
            <w:tcW w:w="9520" w:type="dxa"/>
            <w:shd w:val="clear" w:color="auto" w:fill="auto"/>
          </w:tcPr>
          <w:p w14:paraId="601A3DCF" w14:textId="77777777" w:rsidR="00764B8C" w:rsidRPr="00EA5A94" w:rsidRDefault="00764B8C" w:rsidP="00690AF3">
            <w:pPr>
              <w:pStyle w:val="TBullet"/>
              <w:rPr>
                <w:rFonts w:ascii="Arial" w:hAnsi="Arial" w:cs="Arial"/>
                <w:sz w:val="24"/>
                <w:szCs w:val="24"/>
              </w:rPr>
            </w:pPr>
            <w:r w:rsidRPr="00EA5A94">
              <w:rPr>
                <w:rFonts w:ascii="Arial" w:hAnsi="Arial" w:cs="Arial"/>
                <w:sz w:val="24"/>
                <w:szCs w:val="24"/>
              </w:rPr>
              <w:t>The Order is dated 4 October 2022 and proposes to modify the Definitive Map and Statement for the area by adding footpaths as shown in the Order plan and described in the Order Schedule.</w:t>
            </w:r>
          </w:p>
        </w:tc>
      </w:tr>
      <w:tr w:rsidR="00764B8C" w:rsidRPr="00EA5A94" w14:paraId="18A4CC97" w14:textId="77777777" w:rsidTr="00690AF3">
        <w:tc>
          <w:tcPr>
            <w:tcW w:w="9520" w:type="dxa"/>
            <w:shd w:val="clear" w:color="auto" w:fill="auto"/>
          </w:tcPr>
          <w:p w14:paraId="587842BA" w14:textId="77777777" w:rsidR="00764B8C" w:rsidRPr="00EA5A94" w:rsidRDefault="00764B8C" w:rsidP="00690AF3">
            <w:pPr>
              <w:pStyle w:val="TBullet"/>
              <w:rPr>
                <w:rFonts w:ascii="Arial" w:hAnsi="Arial" w:cs="Arial"/>
                <w:sz w:val="24"/>
                <w:szCs w:val="24"/>
              </w:rPr>
            </w:pPr>
            <w:r w:rsidRPr="00EA5A94">
              <w:rPr>
                <w:rFonts w:ascii="Arial" w:hAnsi="Arial" w:cs="Arial"/>
                <w:sz w:val="24"/>
                <w:szCs w:val="24"/>
              </w:rPr>
              <w:t>There was one objection outstanding when West Sussex County Council (‘the Council’) submitted the Order to the Secretary of State for Environment, Food and Rural Affairs for confirmation.</w:t>
            </w:r>
          </w:p>
        </w:tc>
      </w:tr>
      <w:tr w:rsidR="00764B8C" w:rsidRPr="00EA5A94" w14:paraId="6C5BEA93" w14:textId="77777777" w:rsidTr="00690AF3">
        <w:tc>
          <w:tcPr>
            <w:tcW w:w="9520" w:type="dxa"/>
            <w:shd w:val="clear" w:color="auto" w:fill="auto"/>
          </w:tcPr>
          <w:p w14:paraId="0549695E" w14:textId="77777777" w:rsidR="00764B8C" w:rsidRPr="00EA5A94" w:rsidRDefault="00764B8C" w:rsidP="00690AF3">
            <w:pPr>
              <w:spacing w:before="60"/>
              <w:rPr>
                <w:rFonts w:ascii="Arial" w:hAnsi="Arial" w:cs="Arial"/>
                <w:b/>
                <w:color w:val="000000"/>
                <w:sz w:val="24"/>
                <w:szCs w:val="24"/>
              </w:rPr>
            </w:pPr>
            <w:r w:rsidRPr="00EA5A94">
              <w:rPr>
                <w:rFonts w:ascii="Arial" w:hAnsi="Arial" w:cs="Arial"/>
                <w:b/>
                <w:color w:val="000000"/>
                <w:sz w:val="24"/>
                <w:szCs w:val="24"/>
              </w:rPr>
              <w:t>Summary of Decision: The Order is confirmed.</w:t>
            </w:r>
          </w:p>
        </w:tc>
      </w:tr>
      <w:tr w:rsidR="00764B8C" w:rsidRPr="00EA5A94" w14:paraId="2FB4B268" w14:textId="77777777" w:rsidTr="00690AF3">
        <w:tc>
          <w:tcPr>
            <w:tcW w:w="9520" w:type="dxa"/>
            <w:tcBorders>
              <w:bottom w:val="single" w:sz="6" w:space="0" w:color="000000"/>
            </w:tcBorders>
            <w:shd w:val="clear" w:color="auto" w:fill="auto"/>
          </w:tcPr>
          <w:p w14:paraId="1D4308C8" w14:textId="77777777" w:rsidR="00764B8C" w:rsidRPr="00EA5A94" w:rsidRDefault="00764B8C" w:rsidP="00690AF3">
            <w:pPr>
              <w:spacing w:before="60"/>
              <w:rPr>
                <w:rFonts w:ascii="Arial" w:hAnsi="Arial" w:cs="Arial"/>
                <w:b/>
                <w:color w:val="000000"/>
                <w:sz w:val="24"/>
                <w:szCs w:val="24"/>
              </w:rPr>
            </w:pPr>
            <w:bookmarkStart w:id="1" w:name="bmkReturn"/>
            <w:bookmarkEnd w:id="1"/>
          </w:p>
        </w:tc>
      </w:tr>
    </w:tbl>
    <w:p w14:paraId="422CF9C7" w14:textId="77777777" w:rsidR="00764B8C" w:rsidRPr="00EA5A94" w:rsidRDefault="00764B8C" w:rsidP="00764B8C">
      <w:pPr>
        <w:pStyle w:val="Heading6blackfont"/>
        <w:rPr>
          <w:rFonts w:ascii="Arial" w:hAnsi="Arial" w:cs="Arial"/>
          <w:sz w:val="24"/>
          <w:szCs w:val="24"/>
        </w:rPr>
      </w:pPr>
      <w:r w:rsidRPr="00EA5A94">
        <w:rPr>
          <w:rFonts w:ascii="Arial" w:hAnsi="Arial" w:cs="Arial"/>
          <w:sz w:val="24"/>
          <w:szCs w:val="24"/>
        </w:rPr>
        <w:t>Procedural Matters</w:t>
      </w:r>
    </w:p>
    <w:p w14:paraId="52771165"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I have been appointed by the Secretary of State for Environment, Food and Rural Affairs to determine whether this Order should be confirmed on the basis of the papers submitted. I have not visited the site but am satisfied that I can make my decision without the need to do so.</w:t>
      </w:r>
    </w:p>
    <w:p w14:paraId="3CE3422F" w14:textId="17CF80E9" w:rsidR="00764B8C" w:rsidRPr="00EA5A94" w:rsidRDefault="00764B8C" w:rsidP="00764B8C">
      <w:pPr>
        <w:pStyle w:val="Style1"/>
        <w:rPr>
          <w:rFonts w:ascii="Arial" w:hAnsi="Arial" w:cs="Arial"/>
          <w:sz w:val="24"/>
          <w:szCs w:val="24"/>
        </w:rPr>
      </w:pPr>
      <w:r w:rsidRPr="00EA5A94">
        <w:rPr>
          <w:rFonts w:ascii="Arial" w:hAnsi="Arial" w:cs="Arial"/>
          <w:sz w:val="24"/>
          <w:szCs w:val="24"/>
        </w:rPr>
        <w:t>The Order was made further to applications made to add footpaths at Sea Drive, Summerley Estate (Path 1); at Hinde Road Twittern, Summerley Estate (Path 2); and at Rudwick Way, Summerley Estate (Path 3).</w:t>
      </w:r>
    </w:p>
    <w:p w14:paraId="756ECD87"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 xml:space="preserve">Objections were raised by the present owners of much of the Summerley Estate, the Summerley Estate Management Company Limited, on 16 June 2022 and in subsequent correspondence. Another now dissolved company is understood to be registered as the owner of some small sections of the Order routes. </w:t>
      </w:r>
    </w:p>
    <w:p w14:paraId="36CFA6AF"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The Order was submitted by the Council for confirmation on 5 April 2023.</w:t>
      </w:r>
    </w:p>
    <w:p w14:paraId="573A5E1E" w14:textId="77777777" w:rsidR="00764B8C" w:rsidRPr="00EA5A94" w:rsidRDefault="00764B8C" w:rsidP="00764B8C">
      <w:pPr>
        <w:pStyle w:val="Heading6blackfont"/>
        <w:rPr>
          <w:rFonts w:ascii="Arial" w:hAnsi="Arial" w:cs="Arial"/>
          <w:sz w:val="24"/>
          <w:szCs w:val="24"/>
        </w:rPr>
      </w:pPr>
      <w:r w:rsidRPr="00EA5A94">
        <w:rPr>
          <w:rFonts w:ascii="Arial" w:hAnsi="Arial" w:cs="Arial"/>
          <w:sz w:val="24"/>
          <w:szCs w:val="24"/>
        </w:rPr>
        <w:t>The Main Issues</w:t>
      </w:r>
    </w:p>
    <w:p w14:paraId="753976DE"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The Council made the Definitive Map Modification Order (DMMO) under Section 53(2)(b) of the 1981 Act on the occurrence of an event specified in sub-section 53(3)(c)(i). Accordingly, the main issue is whether, on the balance of probabilities, the evidence discovered (when considered with all other evidence available) is sufficient to show that a public right of way which is not shown on the Definitive Map and Statement subsists over land to which the map relates.</w:t>
      </w:r>
    </w:p>
    <w:p w14:paraId="389217E9"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lastRenderedPageBreak/>
        <w:t xml:space="preserve">Deemed dedication arises under the statutory provisions of the Highways Act 1980 (‘the 1980 Act’) where a way over any land has been actually enjoyed by the public as of right and without interruption for a full period of 20 years, with that 20 year period to be calculated retrospectively from the date when the right of the public to use the way is brought into question. Alternatively at common law dedication by the landowner and acceptance by the public may be shown. </w:t>
      </w:r>
    </w:p>
    <w:p w14:paraId="57AC29D3" w14:textId="77777777" w:rsidR="00764B8C" w:rsidRPr="00EA5A94" w:rsidRDefault="00764B8C" w:rsidP="00764B8C">
      <w:pPr>
        <w:pStyle w:val="Heading6blackfont"/>
        <w:rPr>
          <w:rFonts w:ascii="Arial" w:hAnsi="Arial" w:cs="Arial"/>
          <w:sz w:val="24"/>
          <w:szCs w:val="24"/>
        </w:rPr>
      </w:pPr>
      <w:r w:rsidRPr="00EA5A94">
        <w:rPr>
          <w:rFonts w:ascii="Arial" w:hAnsi="Arial" w:cs="Arial"/>
          <w:sz w:val="24"/>
          <w:szCs w:val="24"/>
        </w:rPr>
        <w:t>Reasons</w:t>
      </w:r>
    </w:p>
    <w:p w14:paraId="1AB0E626" w14:textId="5B81B26C" w:rsidR="00764B8C" w:rsidRPr="00EA5A94" w:rsidRDefault="00764B8C" w:rsidP="00764B8C">
      <w:pPr>
        <w:pStyle w:val="Style1"/>
        <w:rPr>
          <w:rFonts w:ascii="Arial" w:hAnsi="Arial" w:cs="Arial"/>
          <w:sz w:val="24"/>
          <w:szCs w:val="24"/>
        </w:rPr>
      </w:pPr>
      <w:r w:rsidRPr="00EA5A94">
        <w:rPr>
          <w:rFonts w:ascii="Arial" w:hAnsi="Arial" w:cs="Arial"/>
          <w:sz w:val="24"/>
          <w:szCs w:val="24"/>
        </w:rPr>
        <w:t xml:space="preserve">The objecting landowner acquired an interest in the relevant land in May 2020 and this was followed by the lodging of a Landowner Deposit under 31(6) of the Highways Act 1980 and by the erection of some signs around the estate indicating that the ways were not public rights of way. Together these matters brought the use of the ways </w:t>
      </w:r>
      <w:r w:rsidR="00FC3D3F">
        <w:rPr>
          <w:rFonts w:ascii="Arial" w:hAnsi="Arial" w:cs="Arial"/>
          <w:sz w:val="24"/>
          <w:szCs w:val="24"/>
        </w:rPr>
        <w:t xml:space="preserve">by the public </w:t>
      </w:r>
      <w:r w:rsidRPr="00EA5A94">
        <w:rPr>
          <w:rFonts w:ascii="Arial" w:hAnsi="Arial" w:cs="Arial"/>
          <w:sz w:val="24"/>
          <w:szCs w:val="24"/>
        </w:rPr>
        <w:t>into question. To confirm the Order I should be satisfied, on the balance of probability, that the rights subsist.</w:t>
      </w:r>
    </w:p>
    <w:p w14:paraId="0F79F502" w14:textId="19A6CA61" w:rsidR="00764B8C" w:rsidRPr="00EA5A94" w:rsidRDefault="00764B8C" w:rsidP="00764B8C">
      <w:pPr>
        <w:pStyle w:val="Style1"/>
        <w:rPr>
          <w:rFonts w:ascii="Arial" w:hAnsi="Arial" w:cs="Arial"/>
          <w:sz w:val="24"/>
          <w:szCs w:val="24"/>
        </w:rPr>
      </w:pPr>
      <w:r w:rsidRPr="00EA5A94">
        <w:rPr>
          <w:rFonts w:ascii="Arial" w:hAnsi="Arial" w:cs="Arial"/>
          <w:sz w:val="24"/>
          <w:szCs w:val="24"/>
        </w:rPr>
        <w:t xml:space="preserve">In consideration of that I am aided by a large number of user evidence forms collated by the applicants, demonstrating ample use of the ways in question for a full period of over 20 years prior to the use having been brought into question. </w:t>
      </w:r>
    </w:p>
    <w:p w14:paraId="54B916DB" w14:textId="22C7B620" w:rsidR="00764B8C" w:rsidRPr="00EA5A94" w:rsidRDefault="00764B8C" w:rsidP="00764B8C">
      <w:pPr>
        <w:pStyle w:val="Style1"/>
        <w:rPr>
          <w:rFonts w:ascii="Arial" w:hAnsi="Arial" w:cs="Arial"/>
          <w:sz w:val="24"/>
          <w:szCs w:val="24"/>
        </w:rPr>
      </w:pPr>
      <w:r w:rsidRPr="00EA5A94">
        <w:rPr>
          <w:rFonts w:ascii="Arial" w:hAnsi="Arial" w:cs="Arial"/>
          <w:sz w:val="24"/>
          <w:szCs w:val="24"/>
        </w:rPr>
        <w:t>The present landowner appears to have no knowledge as to the use of the ways prior to the time of their acquisition, shortly before the ways were brought into question. There is no information from previous landowners and therefore, in the absence of any contradicting claims or evidence, the question arises whether the evidence adduced by the applicants for modification is sufficient to demonstrate that the rights subsist.</w:t>
      </w:r>
    </w:p>
    <w:p w14:paraId="5BAEB430"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A considerable body of evidence has been supplied demonstrating that each of the three claimed paths has been used by a number of different people up to several hundred times a year up to and during the relevant 20 year period expiring in May 2020. I am in no doubt that each of the ways has been used without force and without secrecy for a sufficient period of time.</w:t>
      </w:r>
    </w:p>
    <w:p w14:paraId="58436D1A"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As to whether the user has been by the public, or alternatively if it has been then whether it has taken place with permission, I note that a large proportion of those claiming use of the ways give residential addresses close to the ways over which the rights are claimed. This, together with some information given in support of the applications, raises a question mark about what private easements or other rights or permissions those residential occupiers may already have to pass through parts of the Summerley Estate on foot. Additionally, a number of those giving evidence say that their use, at least in part, has been attributable to private rights when visiting friends on the Summerley Estate.</w:t>
      </w:r>
    </w:p>
    <w:p w14:paraId="2DBD6C37"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 xml:space="preserve">The Landowner’s Deposit relating to the Summerley Estate covered an area within which the paths are situated, extending to north of Broomcroft Road and Rudwick’s Close. Streets including Leverton Avenue, Hinde Road and Caledon Avenue, where many of those giving evidence to support the application live, are excluded from the area of the Deposit. </w:t>
      </w:r>
    </w:p>
    <w:p w14:paraId="56ED57CA" w14:textId="4ACB87FA" w:rsidR="00764B8C" w:rsidRPr="00EA5A94" w:rsidRDefault="00764B8C" w:rsidP="00764B8C">
      <w:pPr>
        <w:pStyle w:val="Style1"/>
        <w:rPr>
          <w:rFonts w:ascii="Arial" w:hAnsi="Arial" w:cs="Arial"/>
          <w:sz w:val="24"/>
          <w:szCs w:val="24"/>
        </w:rPr>
      </w:pPr>
      <w:r w:rsidRPr="00EA5A94">
        <w:rPr>
          <w:rFonts w:ascii="Arial" w:hAnsi="Arial" w:cs="Arial"/>
          <w:sz w:val="24"/>
          <w:szCs w:val="24"/>
        </w:rPr>
        <w:t xml:space="preserve">The original sales particulars of what I understand to be an adjoining estate to the Summerley Estate, Summerley Fields, are supplied by the applicants. These particulars referred to a show home on Caledon Avenue, but the extent of the Summerley Fields estate (and whether it includes streets such as Leverton Avenue or Hinde Road) is not given. The particulars state that the residents of Summerley </w:t>
      </w:r>
      <w:r w:rsidRPr="00EA5A94">
        <w:rPr>
          <w:rFonts w:ascii="Arial" w:hAnsi="Arial" w:cs="Arial"/>
          <w:sz w:val="24"/>
          <w:szCs w:val="24"/>
        </w:rPr>
        <w:lastRenderedPageBreak/>
        <w:t xml:space="preserve">Fields would have a reserved right of access on foot through the Summerley Estate to the sea shore. This raises the question whether those residents of Summerley Fields now giving evidence in support of the Order have used the ways by right (rather than as of right). By this I mean that if their use of the ways was attributable to a pre-existing private right or permission, then it could not found a claim for a public right of way.  </w:t>
      </w:r>
    </w:p>
    <w:p w14:paraId="6A4DCA1B"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No information has been supplied by the landowner that might counter the applicants’ claims that the use has been by the public and without permission. No details of any particular routes of access that might have been reserved to the Summerley Fields residents by those early conveyances have been supplied to me. Although the sales particulars referred to access rights to the sea shore, they did not state that this would be a generalised access right over the whole of the Summerley Estate. I would expect the eventual conveyance to have described or depicted any particular routes over which access rights were being given. There is no evidence that any such routes coincided with the ones now claimed under the Order. The landowner has conceded in correspondence that local residents from surrounding estates continue to use the Order routes freely without suggesting that they have any private right to do so.</w:t>
      </w:r>
    </w:p>
    <w:p w14:paraId="454F52F6"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 xml:space="preserve">Although a number of those submitting user evidence forms have attributed at least some of their use to private rights, principally when visiting friends on the Summerley Estate, a large number do not. Excluding those users who refer to private rights of access still leaves a large number whose claimed use supports the assertion of public rights.  </w:t>
      </w:r>
    </w:p>
    <w:p w14:paraId="0F2E8974" w14:textId="67436F40" w:rsidR="00764B8C" w:rsidRDefault="00764B8C" w:rsidP="00764B8C">
      <w:pPr>
        <w:pStyle w:val="Style1"/>
        <w:rPr>
          <w:rFonts w:ascii="Arial" w:hAnsi="Arial" w:cs="Arial"/>
          <w:sz w:val="24"/>
          <w:szCs w:val="24"/>
        </w:rPr>
      </w:pPr>
      <w:r w:rsidRPr="00EA5A94">
        <w:rPr>
          <w:rFonts w:ascii="Arial" w:hAnsi="Arial" w:cs="Arial"/>
          <w:sz w:val="24"/>
          <w:szCs w:val="24"/>
        </w:rPr>
        <w:t xml:space="preserve">Reference to the original particulars of sale, and the access by some of those giving evidence as private visitors, gives rise to some doubt as to the nature of the use of those occupying properties at Summerley Fields. However, </w:t>
      </w:r>
      <w:r w:rsidR="00D1195D">
        <w:rPr>
          <w:rFonts w:ascii="Arial" w:hAnsi="Arial" w:cs="Arial"/>
          <w:sz w:val="24"/>
          <w:szCs w:val="24"/>
        </w:rPr>
        <w:t>a</w:t>
      </w:r>
      <w:r w:rsidRPr="00EA5A94">
        <w:rPr>
          <w:rFonts w:ascii="Arial" w:hAnsi="Arial" w:cs="Arial"/>
          <w:sz w:val="24"/>
          <w:szCs w:val="24"/>
        </w:rPr>
        <w:t xml:space="preserve"> large number </w:t>
      </w:r>
      <w:r w:rsidR="00647832">
        <w:rPr>
          <w:rFonts w:ascii="Arial" w:hAnsi="Arial" w:cs="Arial"/>
          <w:sz w:val="24"/>
          <w:szCs w:val="24"/>
        </w:rPr>
        <w:t>have claimed the existence of</w:t>
      </w:r>
      <w:r w:rsidRPr="00EA5A94">
        <w:rPr>
          <w:rFonts w:ascii="Arial" w:hAnsi="Arial" w:cs="Arial"/>
          <w:sz w:val="24"/>
          <w:szCs w:val="24"/>
        </w:rPr>
        <w:t xml:space="preserve"> public rights, and in </w:t>
      </w:r>
      <w:r w:rsidR="00647832">
        <w:rPr>
          <w:rFonts w:ascii="Arial" w:hAnsi="Arial" w:cs="Arial"/>
          <w:sz w:val="24"/>
          <w:szCs w:val="24"/>
        </w:rPr>
        <w:t>I am not given</w:t>
      </w:r>
      <w:r w:rsidRPr="00EA5A94">
        <w:rPr>
          <w:rFonts w:ascii="Arial" w:hAnsi="Arial" w:cs="Arial"/>
          <w:sz w:val="24"/>
          <w:szCs w:val="24"/>
        </w:rPr>
        <w:t xml:space="preserve"> evidence as to the nature of any rights reserved by conveyance to access the sea shore via the Summerley Estate</w:t>
      </w:r>
      <w:r w:rsidR="00647832">
        <w:rPr>
          <w:rFonts w:ascii="Arial" w:hAnsi="Arial" w:cs="Arial"/>
          <w:sz w:val="24"/>
          <w:szCs w:val="24"/>
        </w:rPr>
        <w:t>.</w:t>
      </w:r>
      <w:r w:rsidR="00320042">
        <w:rPr>
          <w:rFonts w:ascii="Arial" w:hAnsi="Arial" w:cs="Arial"/>
          <w:sz w:val="24"/>
          <w:szCs w:val="24"/>
        </w:rPr>
        <w:t xml:space="preserve"> There is no evidence of any lack of intention to dedicate</w:t>
      </w:r>
      <w:r w:rsidR="005361F8">
        <w:rPr>
          <w:rFonts w:ascii="Arial" w:hAnsi="Arial" w:cs="Arial"/>
          <w:sz w:val="24"/>
          <w:szCs w:val="24"/>
        </w:rPr>
        <w:t xml:space="preserve"> the ways by or on behalf of the landowner during the relevant period.</w:t>
      </w:r>
      <w:r w:rsidR="00647832">
        <w:rPr>
          <w:rFonts w:ascii="Arial" w:hAnsi="Arial" w:cs="Arial"/>
          <w:sz w:val="24"/>
          <w:szCs w:val="24"/>
        </w:rPr>
        <w:t xml:space="preserve"> </w:t>
      </w:r>
      <w:r w:rsidR="006E4159">
        <w:rPr>
          <w:rFonts w:ascii="Arial" w:hAnsi="Arial" w:cs="Arial"/>
          <w:sz w:val="24"/>
          <w:szCs w:val="24"/>
        </w:rPr>
        <w:t>Therefore any</w:t>
      </w:r>
      <w:r w:rsidRPr="00EA5A94">
        <w:rPr>
          <w:rFonts w:ascii="Arial" w:hAnsi="Arial" w:cs="Arial"/>
          <w:sz w:val="24"/>
          <w:szCs w:val="24"/>
        </w:rPr>
        <w:t xml:space="preserve"> doubt</w:t>
      </w:r>
      <w:r w:rsidR="006E4159">
        <w:rPr>
          <w:rFonts w:ascii="Arial" w:hAnsi="Arial" w:cs="Arial"/>
          <w:sz w:val="24"/>
          <w:szCs w:val="24"/>
        </w:rPr>
        <w:t xml:space="preserve"> as to the nature of the use is not sufficient</w:t>
      </w:r>
      <w:r w:rsidRPr="00EA5A94">
        <w:rPr>
          <w:rFonts w:ascii="Arial" w:hAnsi="Arial" w:cs="Arial"/>
          <w:sz w:val="24"/>
          <w:szCs w:val="24"/>
        </w:rPr>
        <w:t xml:space="preserve"> to prevent the applicants from discharging the burden of proof to demonstrate, </w:t>
      </w:r>
      <w:r w:rsidR="00320042">
        <w:rPr>
          <w:rFonts w:ascii="Arial" w:hAnsi="Arial" w:cs="Arial"/>
          <w:sz w:val="24"/>
          <w:szCs w:val="24"/>
        </w:rPr>
        <w:t>on the balance of</w:t>
      </w:r>
      <w:r w:rsidRPr="00EA5A94">
        <w:rPr>
          <w:rFonts w:ascii="Arial" w:hAnsi="Arial" w:cs="Arial"/>
          <w:sz w:val="24"/>
          <w:szCs w:val="24"/>
        </w:rPr>
        <w:t xml:space="preserve"> probabilit</w:t>
      </w:r>
      <w:r w:rsidR="00320042">
        <w:rPr>
          <w:rFonts w:ascii="Arial" w:hAnsi="Arial" w:cs="Arial"/>
          <w:sz w:val="24"/>
          <w:szCs w:val="24"/>
        </w:rPr>
        <w:t>ies</w:t>
      </w:r>
      <w:r w:rsidRPr="00EA5A94">
        <w:rPr>
          <w:rFonts w:ascii="Arial" w:hAnsi="Arial" w:cs="Arial"/>
          <w:sz w:val="24"/>
          <w:szCs w:val="24"/>
        </w:rPr>
        <w:t>, the existence of the rights claimed.</w:t>
      </w:r>
    </w:p>
    <w:p w14:paraId="7E9E5CF8" w14:textId="7DC8116D" w:rsidR="00E31945" w:rsidRPr="00E31945" w:rsidRDefault="00E31945" w:rsidP="00E31945">
      <w:pPr>
        <w:pStyle w:val="Style1"/>
        <w:numPr>
          <w:ilvl w:val="0"/>
          <w:numId w:val="0"/>
        </w:numPr>
        <w:rPr>
          <w:rFonts w:ascii="Arial" w:hAnsi="Arial" w:cs="Arial"/>
          <w:b/>
          <w:bCs/>
          <w:sz w:val="24"/>
          <w:szCs w:val="24"/>
        </w:rPr>
      </w:pPr>
      <w:r>
        <w:rPr>
          <w:rFonts w:ascii="Arial" w:hAnsi="Arial" w:cs="Arial"/>
          <w:b/>
          <w:bCs/>
          <w:sz w:val="24"/>
          <w:szCs w:val="24"/>
        </w:rPr>
        <w:t>Other Matters</w:t>
      </w:r>
    </w:p>
    <w:p w14:paraId="730BFC99" w14:textId="416EE6D4" w:rsidR="00E31945" w:rsidRPr="00EA5A94" w:rsidRDefault="00E31945" w:rsidP="00764B8C">
      <w:pPr>
        <w:pStyle w:val="Style1"/>
        <w:rPr>
          <w:rFonts w:ascii="Arial" w:hAnsi="Arial" w:cs="Arial"/>
          <w:sz w:val="24"/>
          <w:szCs w:val="24"/>
        </w:rPr>
      </w:pPr>
      <w:r w:rsidRPr="00EA5A94">
        <w:rPr>
          <w:rFonts w:ascii="Arial" w:hAnsi="Arial" w:cs="Arial"/>
          <w:sz w:val="24"/>
          <w:szCs w:val="24"/>
        </w:rPr>
        <w:t>The landowner’s objection raised a number of issues, principally concerned with the health and safety of users of the paths if they are to become public rights of way. However</w:t>
      </w:r>
      <w:r>
        <w:rPr>
          <w:rFonts w:ascii="Arial" w:hAnsi="Arial" w:cs="Arial"/>
          <w:sz w:val="24"/>
          <w:szCs w:val="24"/>
        </w:rPr>
        <w:t>,</w:t>
      </w:r>
      <w:r w:rsidRPr="00EA5A94">
        <w:rPr>
          <w:rFonts w:ascii="Arial" w:hAnsi="Arial" w:cs="Arial"/>
          <w:sz w:val="24"/>
          <w:szCs w:val="24"/>
        </w:rPr>
        <w:t xml:space="preserve"> the question that arises before me is whether the paths in fact already are public rights of way, if they have been dedicated and used by the public in satisfaction of the provisions I have referred to above. The merits, or otherwise, are not relevant considerations. Thus the landowner’s objection has not raised matters that are relevant to my deliberations. The lack of any relevant objections having been raised has been communicated to the interested parties, and is the main reason why it is appropriate for me to consider the matter on the papers only</w:t>
      </w:r>
      <w:r>
        <w:rPr>
          <w:rFonts w:ascii="Arial" w:hAnsi="Arial" w:cs="Arial"/>
          <w:sz w:val="24"/>
          <w:szCs w:val="24"/>
        </w:rPr>
        <w:t>.</w:t>
      </w:r>
    </w:p>
    <w:p w14:paraId="075BD1B4" w14:textId="77777777" w:rsidR="00764B8C" w:rsidRPr="00EA5A94" w:rsidRDefault="00764B8C" w:rsidP="00764B8C">
      <w:pPr>
        <w:pStyle w:val="Heading6blackfont"/>
        <w:rPr>
          <w:rFonts w:ascii="Arial" w:hAnsi="Arial" w:cs="Arial"/>
          <w:sz w:val="24"/>
          <w:szCs w:val="24"/>
        </w:rPr>
      </w:pPr>
      <w:r w:rsidRPr="00EA5A94">
        <w:rPr>
          <w:rFonts w:ascii="Arial" w:hAnsi="Arial" w:cs="Arial"/>
          <w:sz w:val="24"/>
          <w:szCs w:val="24"/>
        </w:rPr>
        <w:t>Conclusion</w:t>
      </w:r>
    </w:p>
    <w:p w14:paraId="6888A075" w14:textId="58356546" w:rsidR="00764B8C" w:rsidRPr="00EA5A94" w:rsidRDefault="00E26688" w:rsidP="00764B8C">
      <w:pPr>
        <w:pStyle w:val="Style1"/>
        <w:rPr>
          <w:rFonts w:ascii="Arial" w:hAnsi="Arial" w:cs="Arial"/>
          <w:sz w:val="24"/>
          <w:szCs w:val="24"/>
        </w:rPr>
      </w:pPr>
      <w:r>
        <w:rPr>
          <w:rFonts w:ascii="Arial" w:hAnsi="Arial" w:cs="Arial"/>
          <w:sz w:val="24"/>
          <w:szCs w:val="24"/>
        </w:rPr>
        <w:t xml:space="preserve">A large number of user evidence forms have been supplied </w:t>
      </w:r>
      <w:r w:rsidR="0019316E">
        <w:rPr>
          <w:rFonts w:ascii="Arial" w:hAnsi="Arial" w:cs="Arial"/>
          <w:sz w:val="24"/>
          <w:szCs w:val="24"/>
        </w:rPr>
        <w:t>asserting</w:t>
      </w:r>
      <w:r w:rsidR="0047602E">
        <w:rPr>
          <w:rFonts w:ascii="Arial" w:hAnsi="Arial" w:cs="Arial"/>
          <w:sz w:val="24"/>
          <w:szCs w:val="24"/>
        </w:rPr>
        <w:t>, and demonstrating, ample</w:t>
      </w:r>
      <w:r w:rsidR="0019316E">
        <w:rPr>
          <w:rFonts w:ascii="Arial" w:hAnsi="Arial" w:cs="Arial"/>
          <w:sz w:val="24"/>
          <w:szCs w:val="24"/>
        </w:rPr>
        <w:t xml:space="preserve"> use by the public of the ways for </w:t>
      </w:r>
      <w:r w:rsidR="0047602E">
        <w:rPr>
          <w:rFonts w:ascii="Arial" w:hAnsi="Arial" w:cs="Arial"/>
          <w:sz w:val="24"/>
          <w:szCs w:val="24"/>
        </w:rPr>
        <w:t xml:space="preserve">the relevant period of 20 </w:t>
      </w:r>
      <w:r w:rsidR="0047602E">
        <w:rPr>
          <w:rFonts w:ascii="Arial" w:hAnsi="Arial" w:cs="Arial"/>
          <w:sz w:val="24"/>
          <w:szCs w:val="24"/>
        </w:rPr>
        <w:lastRenderedPageBreak/>
        <w:t>years before the use was brought into question</w:t>
      </w:r>
      <w:r w:rsidR="00E77637">
        <w:rPr>
          <w:rFonts w:ascii="Arial" w:hAnsi="Arial" w:cs="Arial"/>
          <w:sz w:val="24"/>
          <w:szCs w:val="24"/>
        </w:rPr>
        <w:t xml:space="preserve"> in May 2020. This use was without force or secrecy and, on the balance of probabilities based on the evidence before me, also without permission.</w:t>
      </w:r>
      <w:r w:rsidR="000C231F">
        <w:rPr>
          <w:rFonts w:ascii="Arial" w:hAnsi="Arial" w:cs="Arial"/>
          <w:sz w:val="24"/>
          <w:szCs w:val="24"/>
        </w:rPr>
        <w:t xml:space="preserve"> There is no evidence of any lack of intention to dedicate the ways by or on behalf of the landowner until the use was brought into question in May 2020. </w:t>
      </w:r>
      <w:r w:rsidR="00764B8C" w:rsidRPr="00EA5A94">
        <w:rPr>
          <w:rFonts w:ascii="Arial" w:hAnsi="Arial" w:cs="Arial"/>
          <w:sz w:val="24"/>
          <w:szCs w:val="24"/>
        </w:rPr>
        <w:t>I shall therefore confirm the Order.</w:t>
      </w:r>
    </w:p>
    <w:p w14:paraId="5C809FF0" w14:textId="77777777" w:rsidR="00764B8C" w:rsidRPr="00EA5A94" w:rsidRDefault="00764B8C" w:rsidP="00764B8C">
      <w:pPr>
        <w:pStyle w:val="Style1"/>
        <w:numPr>
          <w:ilvl w:val="0"/>
          <w:numId w:val="0"/>
        </w:numPr>
        <w:rPr>
          <w:rFonts w:ascii="Arial" w:hAnsi="Arial" w:cs="Arial"/>
          <w:b/>
          <w:bCs/>
          <w:sz w:val="24"/>
          <w:szCs w:val="24"/>
        </w:rPr>
      </w:pPr>
      <w:r w:rsidRPr="00EA5A94">
        <w:rPr>
          <w:rFonts w:ascii="Arial" w:hAnsi="Arial" w:cs="Arial"/>
          <w:b/>
          <w:bCs/>
          <w:sz w:val="24"/>
          <w:szCs w:val="24"/>
        </w:rPr>
        <w:t>Formal Decision</w:t>
      </w:r>
    </w:p>
    <w:p w14:paraId="4D84A88E" w14:textId="77777777" w:rsidR="00764B8C" w:rsidRPr="00EA5A94" w:rsidRDefault="00764B8C" w:rsidP="00764B8C">
      <w:pPr>
        <w:pStyle w:val="Style1"/>
        <w:rPr>
          <w:rFonts w:ascii="Arial" w:hAnsi="Arial" w:cs="Arial"/>
          <w:sz w:val="24"/>
          <w:szCs w:val="24"/>
        </w:rPr>
      </w:pPr>
      <w:r w:rsidRPr="00EA5A94">
        <w:rPr>
          <w:rFonts w:ascii="Arial" w:hAnsi="Arial" w:cs="Arial"/>
          <w:sz w:val="24"/>
          <w:szCs w:val="24"/>
        </w:rPr>
        <w:t>The Order is confirmed.</w:t>
      </w:r>
    </w:p>
    <w:p w14:paraId="75433EC7" w14:textId="77777777" w:rsidR="00764B8C" w:rsidRPr="000C231F" w:rsidRDefault="00764B8C" w:rsidP="00764B8C">
      <w:pPr>
        <w:pStyle w:val="Style1"/>
        <w:numPr>
          <w:ilvl w:val="0"/>
          <w:numId w:val="0"/>
        </w:numPr>
        <w:ind w:left="431" w:hanging="431"/>
        <w:rPr>
          <w:rFonts w:ascii="Monotype Corsiva" w:hAnsi="Monotype Corsiva" w:cs="Arial"/>
          <w:sz w:val="36"/>
          <w:szCs w:val="36"/>
        </w:rPr>
      </w:pPr>
      <w:r w:rsidRPr="000C231F">
        <w:rPr>
          <w:rFonts w:ascii="Monotype Corsiva" w:hAnsi="Monotype Corsiva" w:cs="Arial"/>
          <w:sz w:val="36"/>
          <w:szCs w:val="36"/>
        </w:rPr>
        <w:t>Laura Renaudon</w:t>
      </w:r>
    </w:p>
    <w:p w14:paraId="2FCC476A" w14:textId="7D6CBB75" w:rsidR="006E5636" w:rsidRDefault="00764B8C" w:rsidP="00764B8C">
      <w:pPr>
        <w:pStyle w:val="Style1"/>
        <w:numPr>
          <w:ilvl w:val="0"/>
          <w:numId w:val="0"/>
        </w:numPr>
        <w:ind w:left="431" w:hanging="431"/>
        <w:rPr>
          <w:rFonts w:ascii="Arial" w:hAnsi="Arial" w:cs="Arial"/>
          <w:sz w:val="24"/>
          <w:szCs w:val="24"/>
        </w:rPr>
      </w:pPr>
      <w:r w:rsidRPr="00EA5A94">
        <w:rPr>
          <w:rFonts w:ascii="Arial" w:hAnsi="Arial" w:cs="Arial"/>
          <w:sz w:val="24"/>
          <w:szCs w:val="24"/>
        </w:rPr>
        <w:t>INSPECTOR</w:t>
      </w:r>
    </w:p>
    <w:p w14:paraId="72A0531C" w14:textId="77777777" w:rsidR="006E5636" w:rsidRDefault="006E5636" w:rsidP="00764B8C">
      <w:pPr>
        <w:pStyle w:val="Style1"/>
        <w:numPr>
          <w:ilvl w:val="0"/>
          <w:numId w:val="0"/>
        </w:numPr>
        <w:ind w:left="431" w:hanging="431"/>
        <w:rPr>
          <w:rFonts w:ascii="Arial" w:hAnsi="Arial" w:cs="Arial"/>
          <w:sz w:val="24"/>
          <w:szCs w:val="24"/>
        </w:rPr>
      </w:pPr>
    </w:p>
    <w:p w14:paraId="48C3400D" w14:textId="057D1508" w:rsidR="006E5636" w:rsidRDefault="006E5636">
      <w:pPr>
        <w:spacing w:after="160" w:line="259" w:lineRule="auto"/>
        <w:rPr>
          <w:rFonts w:ascii="Arial" w:hAnsi="Arial" w:cs="Arial"/>
          <w:color w:val="000000"/>
          <w:kern w:val="28"/>
          <w:sz w:val="24"/>
          <w:szCs w:val="24"/>
        </w:rPr>
      </w:pPr>
      <w:r>
        <w:rPr>
          <w:rFonts w:ascii="Arial" w:hAnsi="Arial" w:cs="Arial"/>
          <w:sz w:val="24"/>
          <w:szCs w:val="24"/>
        </w:rPr>
        <w:br w:type="page"/>
      </w:r>
    </w:p>
    <w:p w14:paraId="2A9C935F" w14:textId="511ED0A0" w:rsidR="006E5636" w:rsidRDefault="006E5636" w:rsidP="00764B8C">
      <w:pPr>
        <w:pStyle w:val="Style1"/>
        <w:numPr>
          <w:ilvl w:val="0"/>
          <w:numId w:val="0"/>
        </w:numPr>
        <w:ind w:left="431" w:hanging="431"/>
        <w:rPr>
          <w:rFonts w:ascii="Arial" w:hAnsi="Arial" w:cs="Arial"/>
          <w:sz w:val="24"/>
          <w:szCs w:val="24"/>
        </w:rPr>
      </w:pPr>
      <w:r>
        <w:rPr>
          <w:rFonts w:ascii="Arial" w:hAnsi="Arial" w:cs="Arial"/>
          <w:sz w:val="24"/>
          <w:szCs w:val="24"/>
        </w:rPr>
        <w:t>ORDER MAP - COPY NOT TO SCALE</w:t>
      </w:r>
    </w:p>
    <w:p w14:paraId="129CAA43" w14:textId="77777777" w:rsidR="006E5636" w:rsidRDefault="006E5636" w:rsidP="00764B8C">
      <w:pPr>
        <w:pStyle w:val="Style1"/>
        <w:numPr>
          <w:ilvl w:val="0"/>
          <w:numId w:val="0"/>
        </w:numPr>
        <w:ind w:left="431" w:hanging="431"/>
        <w:rPr>
          <w:rFonts w:ascii="Arial" w:hAnsi="Arial" w:cs="Arial"/>
          <w:sz w:val="24"/>
          <w:szCs w:val="24"/>
        </w:rPr>
      </w:pPr>
    </w:p>
    <w:p w14:paraId="40F12030" w14:textId="0AA8DD04" w:rsidR="00764B8C" w:rsidRPr="00EA5A94" w:rsidRDefault="006E5636" w:rsidP="00764B8C">
      <w:pPr>
        <w:pStyle w:val="Style1"/>
        <w:numPr>
          <w:ilvl w:val="0"/>
          <w:numId w:val="0"/>
        </w:numPr>
        <w:ind w:left="431" w:hanging="431"/>
        <w:rPr>
          <w:rFonts w:ascii="Arial" w:hAnsi="Arial" w:cs="Arial"/>
          <w:sz w:val="24"/>
          <w:szCs w:val="24"/>
        </w:rPr>
      </w:pPr>
      <w:r w:rsidRPr="006E5636">
        <w:rPr>
          <w:rFonts w:ascii="Arial" w:hAnsi="Arial" w:cs="Arial"/>
          <w:noProof/>
          <w:sz w:val="24"/>
          <w:szCs w:val="24"/>
        </w:rPr>
        <w:drawing>
          <wp:inline distT="0" distB="0" distL="0" distR="0" wp14:anchorId="2D432227" wp14:editId="098B917D">
            <wp:extent cx="5908040" cy="8342630"/>
            <wp:effectExtent l="0" t="0" r="0" b="127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sectPr w:rsidR="00764B8C" w:rsidRPr="00EA5A94" w:rsidSect="00E674DD">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AECC5" w14:textId="77777777" w:rsidR="00B80631" w:rsidRDefault="00B80631">
      <w:r>
        <w:separator/>
      </w:r>
    </w:p>
  </w:endnote>
  <w:endnote w:type="continuationSeparator" w:id="0">
    <w:p w14:paraId="127A6366" w14:textId="77777777" w:rsidR="00B80631" w:rsidRDefault="00B80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5E84" w14:textId="77777777" w:rsidR="00764B8C" w:rsidRDefault="00764B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39751" w14:textId="77777777" w:rsidR="00764B8C" w:rsidRDefault="00764B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AB00" w14:textId="77777777" w:rsidR="00764B8C" w:rsidRDefault="00764B8C">
    <w:pPr>
      <w:pStyle w:val="Noindent"/>
      <w:spacing w:before="120"/>
      <w:jc w:val="center"/>
      <w:rPr>
        <w:rStyle w:val="PageNumber"/>
      </w:rPr>
    </w:pPr>
    <w:r>
      <w:rPr>
        <w:noProof/>
        <w:sz w:val="18"/>
      </w:rPr>
      <mc:AlternateContent>
        <mc:Choice Requires="wps">
          <w:drawing>
            <wp:anchor distT="0" distB="0" distL="114300" distR="114300" simplePos="0" relativeHeight="251661312" behindDoc="0" locked="0" layoutInCell="1" allowOverlap="1" wp14:anchorId="38D1F0A3" wp14:editId="5844BCFD">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114E6" id="Line 17"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1390786" w14:textId="77777777" w:rsidR="00764B8C" w:rsidRPr="00E45340" w:rsidRDefault="00B37E58" w:rsidP="00E45340">
    <w:pPr>
      <w:pStyle w:val="Footer"/>
      <w:ind w:right="-52"/>
      <w:rPr>
        <w:sz w:val="16"/>
        <w:szCs w:val="16"/>
      </w:rPr>
    </w:pPr>
    <w:hyperlink r:id="rId1" w:history="1">
      <w:r w:rsidR="00764B8C" w:rsidRPr="00026922">
        <w:rPr>
          <w:rStyle w:val="Hyperlink"/>
          <w:sz w:val="16"/>
          <w:szCs w:val="16"/>
        </w:rPr>
        <w:t>https://www.gov.uk/planning-inspectorate</w:t>
      </w:r>
    </w:hyperlink>
    <w:r w:rsidR="00764B8C">
      <w:rPr>
        <w:sz w:val="16"/>
        <w:szCs w:val="16"/>
      </w:rPr>
      <w:t xml:space="preserve">                          </w:t>
    </w:r>
    <w:r w:rsidR="00764B8C">
      <w:rPr>
        <w:rStyle w:val="PageNumber"/>
      </w:rPr>
      <w:fldChar w:fldCharType="begin"/>
    </w:r>
    <w:r w:rsidR="00764B8C">
      <w:rPr>
        <w:rStyle w:val="PageNumber"/>
      </w:rPr>
      <w:instrText xml:space="preserve"> PAGE </w:instrText>
    </w:r>
    <w:r w:rsidR="00764B8C">
      <w:rPr>
        <w:rStyle w:val="PageNumber"/>
      </w:rPr>
      <w:fldChar w:fldCharType="separate"/>
    </w:r>
    <w:r w:rsidR="00764B8C">
      <w:rPr>
        <w:rStyle w:val="PageNumber"/>
        <w:noProof/>
      </w:rPr>
      <w:t>2</w:t>
    </w:r>
    <w:r w:rsidR="00764B8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2BC1" w14:textId="77777777" w:rsidR="00764B8C" w:rsidRDefault="00764B8C" w:rsidP="00A64EAF">
    <w:pPr>
      <w:pStyle w:val="Footer"/>
      <w:pBdr>
        <w:bottom w:val="none" w:sz="0" w:space="0" w:color="000000"/>
      </w:pBdr>
      <w:ind w:right="-52"/>
    </w:pPr>
    <w:r>
      <w:rPr>
        <w:noProof/>
      </w:rPr>
      <mc:AlternateContent>
        <mc:Choice Requires="wps">
          <w:drawing>
            <wp:anchor distT="0" distB="0" distL="114300" distR="114300" simplePos="0" relativeHeight="251659264" behindDoc="0" locked="0" layoutInCell="1" allowOverlap="1" wp14:anchorId="27F5EA9E" wp14:editId="6013183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50329" id="Line 1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3E64914" w14:textId="77777777" w:rsidR="00764B8C" w:rsidRPr="00451EE4" w:rsidRDefault="00B37E58">
    <w:pPr>
      <w:pStyle w:val="Footer"/>
      <w:ind w:right="-52"/>
      <w:rPr>
        <w:sz w:val="16"/>
        <w:szCs w:val="16"/>
      </w:rPr>
    </w:pPr>
    <w:hyperlink r:id="rId1" w:history="1">
      <w:r w:rsidR="00764B8C"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A214D" w14:textId="77777777" w:rsidR="00B80631" w:rsidRDefault="00B80631">
      <w:r>
        <w:separator/>
      </w:r>
    </w:p>
  </w:footnote>
  <w:footnote w:type="continuationSeparator" w:id="0">
    <w:p w14:paraId="60345788" w14:textId="77777777" w:rsidR="00B80631" w:rsidRDefault="00B80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1302774" w14:textId="77777777">
      <w:tc>
        <w:tcPr>
          <w:tcW w:w="9520" w:type="dxa"/>
        </w:tcPr>
        <w:p w14:paraId="4D4A29BD" w14:textId="77777777" w:rsidR="00764B8C" w:rsidRDefault="00764B8C">
          <w:pPr>
            <w:pStyle w:val="Footer"/>
          </w:pPr>
          <w:r>
            <w:t>Order Decision ROW/3320118</w:t>
          </w:r>
        </w:p>
      </w:tc>
    </w:tr>
  </w:tbl>
  <w:p w14:paraId="1F666748" w14:textId="77777777" w:rsidR="00764B8C" w:rsidRDefault="00764B8C" w:rsidP="00087477">
    <w:pPr>
      <w:pStyle w:val="Footer"/>
      <w:spacing w:after="180"/>
    </w:pPr>
    <w:r>
      <w:rPr>
        <w:noProof/>
      </w:rPr>
      <mc:AlternateContent>
        <mc:Choice Requires="wps">
          <w:drawing>
            <wp:anchor distT="0" distB="0" distL="114300" distR="114300" simplePos="0" relativeHeight="251660288" behindDoc="0" locked="0" layoutInCell="1" allowOverlap="1" wp14:anchorId="35FC1520" wp14:editId="4A59209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C510" id="Line 14"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9B21" w14:textId="77777777" w:rsidR="00764B8C" w:rsidRDefault="00764B8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1693648805">
    <w:abstractNumId w:val="3"/>
  </w:num>
  <w:num w:numId="2" w16cid:durableId="1849170598">
    <w:abstractNumId w:val="1"/>
  </w:num>
  <w:num w:numId="3" w16cid:durableId="402681827">
    <w:abstractNumId w:val="0"/>
  </w:num>
  <w:num w:numId="4" w16cid:durableId="819231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084"/>
    <w:rsid w:val="000C231F"/>
    <w:rsid w:val="0019316E"/>
    <w:rsid w:val="00302790"/>
    <w:rsid w:val="00320042"/>
    <w:rsid w:val="0047602E"/>
    <w:rsid w:val="005361F8"/>
    <w:rsid w:val="00647832"/>
    <w:rsid w:val="006834C6"/>
    <w:rsid w:val="006E4159"/>
    <w:rsid w:val="006E5636"/>
    <w:rsid w:val="00764B8C"/>
    <w:rsid w:val="00A06F6B"/>
    <w:rsid w:val="00AF5084"/>
    <w:rsid w:val="00B37E58"/>
    <w:rsid w:val="00B80631"/>
    <w:rsid w:val="00BB0052"/>
    <w:rsid w:val="00D1195D"/>
    <w:rsid w:val="00E26688"/>
    <w:rsid w:val="00E31945"/>
    <w:rsid w:val="00E77637"/>
    <w:rsid w:val="00EA5A94"/>
    <w:rsid w:val="00FC3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C79D"/>
  <w15:chartTrackingRefBased/>
  <w15:docId w15:val="{6BE68F90-557F-4A14-9EB5-B5FAFA10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B8C"/>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764B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764B8C"/>
    <w:pPr>
      <w:keepNext/>
      <w:numPr>
        <w:ilvl w:val="1"/>
        <w:numId w:val="3"/>
      </w:numPr>
      <w:spacing w:before="360" w:after="60"/>
      <w:outlineLvl w:val="1"/>
    </w:pPr>
    <w:rPr>
      <w:color w:val="000000"/>
      <w:sz w:val="44"/>
    </w:rPr>
  </w:style>
  <w:style w:type="paragraph" w:styleId="Heading3">
    <w:name w:val="heading 3"/>
    <w:basedOn w:val="Normal"/>
    <w:next w:val="Normal"/>
    <w:link w:val="Heading3Char"/>
    <w:qFormat/>
    <w:rsid w:val="00764B8C"/>
    <w:pPr>
      <w:keepNext/>
      <w:widowControl w:val="0"/>
      <w:numPr>
        <w:ilvl w:val="2"/>
        <w:numId w:val="3"/>
      </w:numPr>
      <w:spacing w:before="320" w:after="60"/>
      <w:outlineLvl w:val="2"/>
    </w:pPr>
    <w:rPr>
      <w:caps/>
      <w:color w:val="000000"/>
      <w:sz w:val="28"/>
    </w:rPr>
  </w:style>
  <w:style w:type="paragraph" w:styleId="Heading4">
    <w:name w:val="heading 4"/>
    <w:basedOn w:val="Normal"/>
    <w:next w:val="Normal"/>
    <w:link w:val="Heading4Char"/>
    <w:qFormat/>
    <w:rsid w:val="00764B8C"/>
    <w:pPr>
      <w:keepNext/>
      <w:widowControl w:val="0"/>
      <w:numPr>
        <w:ilvl w:val="3"/>
        <w:numId w:val="3"/>
      </w:numPr>
      <w:spacing w:before="240" w:after="40"/>
      <w:outlineLvl w:val="3"/>
    </w:pPr>
    <w:rPr>
      <w:b/>
      <w:i/>
      <w:color w:val="000000"/>
    </w:rPr>
  </w:style>
  <w:style w:type="paragraph" w:styleId="Heading5">
    <w:name w:val="heading 5"/>
    <w:basedOn w:val="Normal"/>
    <w:next w:val="Normal"/>
    <w:link w:val="Heading5Char"/>
    <w:qFormat/>
    <w:rsid w:val="00764B8C"/>
    <w:pPr>
      <w:keepNext/>
      <w:numPr>
        <w:ilvl w:val="4"/>
        <w:numId w:val="3"/>
      </w:numPr>
      <w:spacing w:before="220" w:after="40"/>
      <w:outlineLvl w:val="4"/>
    </w:pPr>
    <w:rPr>
      <w:color w:val="000000"/>
    </w:rPr>
  </w:style>
  <w:style w:type="paragraph" w:styleId="Heading6">
    <w:name w:val="heading 6"/>
    <w:basedOn w:val="Normal"/>
    <w:next w:val="Normal"/>
    <w:link w:val="Heading6Char"/>
    <w:uiPriority w:val="9"/>
    <w:semiHidden/>
    <w:unhideWhenUsed/>
    <w:qFormat/>
    <w:rsid w:val="00764B8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764B8C"/>
    <w:pPr>
      <w:numPr>
        <w:ilvl w:val="6"/>
        <w:numId w:val="3"/>
      </w:numPr>
      <w:tabs>
        <w:tab w:val="left" w:pos="993"/>
      </w:tabs>
      <w:spacing w:after="60"/>
      <w:outlineLvl w:val="6"/>
    </w:pPr>
    <w:rPr>
      <w:color w:val="000000"/>
      <w:sz w:val="20"/>
    </w:rPr>
  </w:style>
  <w:style w:type="paragraph" w:styleId="Heading8">
    <w:name w:val="heading 8"/>
    <w:basedOn w:val="Normal"/>
    <w:next w:val="Normal"/>
    <w:link w:val="Heading8Char"/>
    <w:qFormat/>
    <w:rsid w:val="00764B8C"/>
    <w:pPr>
      <w:numPr>
        <w:ilvl w:val="7"/>
        <w:numId w:val="3"/>
      </w:numPr>
      <w:spacing w:before="140" w:after="20"/>
      <w:outlineLvl w:val="7"/>
    </w:pPr>
    <w:rPr>
      <w:i/>
      <w:color w:val="000000"/>
      <w:sz w:val="18"/>
    </w:rPr>
  </w:style>
  <w:style w:type="paragraph" w:styleId="Heading9">
    <w:name w:val="heading 9"/>
    <w:basedOn w:val="Normal"/>
    <w:next w:val="Normal"/>
    <w:link w:val="Heading9Char"/>
    <w:qFormat/>
    <w:rsid w:val="00764B8C"/>
    <w:pPr>
      <w:keepNext/>
      <w:widowControl w:val="0"/>
      <w:numPr>
        <w:ilvl w:val="8"/>
        <w:numId w:val="3"/>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64B8C"/>
    <w:rPr>
      <w:rFonts w:ascii="Verdana" w:eastAsia="Times New Roman" w:hAnsi="Verdana" w:cs="Times New Roman"/>
      <w:color w:val="000000"/>
      <w:kern w:val="0"/>
      <w:sz w:val="44"/>
      <w:szCs w:val="20"/>
      <w:lang w:eastAsia="en-GB"/>
      <w14:ligatures w14:val="none"/>
    </w:rPr>
  </w:style>
  <w:style w:type="character" w:customStyle="1" w:styleId="Heading3Char">
    <w:name w:val="Heading 3 Char"/>
    <w:basedOn w:val="DefaultParagraphFont"/>
    <w:link w:val="Heading3"/>
    <w:rsid w:val="00764B8C"/>
    <w:rPr>
      <w:rFonts w:ascii="Verdana" w:eastAsia="Times New Roman" w:hAnsi="Verdana" w:cs="Times New Roman"/>
      <w:caps/>
      <w:color w:val="000000"/>
      <w:kern w:val="0"/>
      <w:sz w:val="28"/>
      <w:szCs w:val="20"/>
      <w:lang w:eastAsia="en-GB"/>
      <w14:ligatures w14:val="none"/>
    </w:rPr>
  </w:style>
  <w:style w:type="character" w:customStyle="1" w:styleId="Heading4Char">
    <w:name w:val="Heading 4 Char"/>
    <w:basedOn w:val="DefaultParagraphFont"/>
    <w:link w:val="Heading4"/>
    <w:rsid w:val="00764B8C"/>
    <w:rPr>
      <w:rFonts w:ascii="Verdana" w:eastAsia="Times New Roman" w:hAnsi="Verdana" w:cs="Times New Roman"/>
      <w:b/>
      <w:i/>
      <w:color w:val="000000"/>
      <w:kern w:val="0"/>
      <w:szCs w:val="20"/>
      <w:lang w:eastAsia="en-GB"/>
      <w14:ligatures w14:val="none"/>
    </w:rPr>
  </w:style>
  <w:style w:type="character" w:customStyle="1" w:styleId="Heading5Char">
    <w:name w:val="Heading 5 Char"/>
    <w:basedOn w:val="DefaultParagraphFont"/>
    <w:link w:val="Heading5"/>
    <w:rsid w:val="00764B8C"/>
    <w:rPr>
      <w:rFonts w:ascii="Verdana" w:eastAsia="Times New Roman" w:hAnsi="Verdana" w:cs="Times New Roman"/>
      <w:color w:val="000000"/>
      <w:kern w:val="0"/>
      <w:szCs w:val="20"/>
      <w:lang w:eastAsia="en-GB"/>
      <w14:ligatures w14:val="none"/>
    </w:rPr>
  </w:style>
  <w:style w:type="character" w:customStyle="1" w:styleId="Heading7Char">
    <w:name w:val="Heading 7 Char"/>
    <w:basedOn w:val="DefaultParagraphFont"/>
    <w:link w:val="Heading7"/>
    <w:rsid w:val="00764B8C"/>
    <w:rPr>
      <w:rFonts w:ascii="Verdana" w:eastAsia="Times New Roman" w:hAnsi="Verdana" w:cs="Times New Roman"/>
      <w:color w:val="000000"/>
      <w:kern w:val="0"/>
      <w:sz w:val="20"/>
      <w:szCs w:val="20"/>
      <w:lang w:eastAsia="en-GB"/>
      <w14:ligatures w14:val="none"/>
    </w:rPr>
  </w:style>
  <w:style w:type="character" w:customStyle="1" w:styleId="Heading8Char">
    <w:name w:val="Heading 8 Char"/>
    <w:basedOn w:val="DefaultParagraphFont"/>
    <w:link w:val="Heading8"/>
    <w:rsid w:val="00764B8C"/>
    <w:rPr>
      <w:rFonts w:ascii="Verdana" w:eastAsia="Times New Roman" w:hAnsi="Verdana" w:cs="Times New Roman"/>
      <w:i/>
      <w:color w:val="000000"/>
      <w:kern w:val="0"/>
      <w:sz w:val="18"/>
      <w:szCs w:val="20"/>
      <w:lang w:eastAsia="en-GB"/>
      <w14:ligatures w14:val="none"/>
    </w:rPr>
  </w:style>
  <w:style w:type="character" w:customStyle="1" w:styleId="Heading9Char">
    <w:name w:val="Heading 9 Char"/>
    <w:basedOn w:val="DefaultParagraphFont"/>
    <w:link w:val="Heading9"/>
    <w:rsid w:val="00764B8C"/>
    <w:rPr>
      <w:rFonts w:ascii="Verdana" w:eastAsia="Times New Roman" w:hAnsi="Verdana" w:cs="Times New Roman"/>
      <w:color w:val="000000"/>
      <w:kern w:val="0"/>
      <w:sz w:val="14"/>
      <w:szCs w:val="20"/>
      <w:lang w:eastAsia="en-GB"/>
      <w14:ligatures w14:val="none"/>
    </w:rPr>
  </w:style>
  <w:style w:type="paragraph" w:styleId="Header">
    <w:name w:val="header"/>
    <w:basedOn w:val="Normal"/>
    <w:link w:val="HeaderChar"/>
    <w:rsid w:val="00764B8C"/>
    <w:pPr>
      <w:tabs>
        <w:tab w:val="center" w:pos="4153"/>
        <w:tab w:val="right" w:pos="8306"/>
      </w:tabs>
    </w:pPr>
  </w:style>
  <w:style w:type="character" w:customStyle="1" w:styleId="HeaderChar">
    <w:name w:val="Header Char"/>
    <w:basedOn w:val="DefaultParagraphFont"/>
    <w:link w:val="Header"/>
    <w:rsid w:val="00764B8C"/>
    <w:rPr>
      <w:rFonts w:ascii="Verdana" w:eastAsia="Times New Roman" w:hAnsi="Verdana" w:cs="Times New Roman"/>
      <w:kern w:val="0"/>
      <w:szCs w:val="20"/>
      <w:lang w:eastAsia="en-GB"/>
      <w14:ligatures w14:val="none"/>
    </w:rPr>
  </w:style>
  <w:style w:type="paragraph" w:styleId="Footer">
    <w:name w:val="footer"/>
    <w:basedOn w:val="Normal"/>
    <w:link w:val="FooterChar"/>
    <w:rsid w:val="00764B8C"/>
    <w:pPr>
      <w:tabs>
        <w:tab w:val="center" w:pos="4153"/>
        <w:tab w:val="right" w:pos="8306"/>
      </w:tabs>
    </w:pPr>
    <w:rPr>
      <w:sz w:val="18"/>
    </w:rPr>
  </w:style>
  <w:style w:type="character" w:customStyle="1" w:styleId="FooterChar">
    <w:name w:val="Footer Char"/>
    <w:basedOn w:val="DefaultParagraphFont"/>
    <w:link w:val="Footer"/>
    <w:rsid w:val="00764B8C"/>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764B8C"/>
    <w:rPr>
      <w:rFonts w:ascii="Verdana" w:hAnsi="Verdana"/>
      <w:sz w:val="18"/>
    </w:rPr>
  </w:style>
  <w:style w:type="paragraph" w:customStyle="1" w:styleId="Noindent">
    <w:name w:val="No indent"/>
    <w:basedOn w:val="Normal"/>
    <w:rsid w:val="00764B8C"/>
    <w:pPr>
      <w:tabs>
        <w:tab w:val="left" w:pos="426"/>
      </w:tabs>
    </w:pPr>
  </w:style>
  <w:style w:type="paragraph" w:customStyle="1" w:styleId="TBullet">
    <w:name w:val="T_Bullet"/>
    <w:basedOn w:val="Normal"/>
    <w:rsid w:val="00764B8C"/>
    <w:pPr>
      <w:numPr>
        <w:numId w:val="1"/>
      </w:numPr>
      <w:tabs>
        <w:tab w:val="left" w:pos="851"/>
      </w:tabs>
    </w:pPr>
    <w:rPr>
      <w:color w:val="000000"/>
      <w:sz w:val="20"/>
    </w:rPr>
  </w:style>
  <w:style w:type="paragraph" w:customStyle="1" w:styleId="Style1">
    <w:name w:val="Style1"/>
    <w:basedOn w:val="Heading1"/>
    <w:link w:val="Style1Char"/>
    <w:rsid w:val="00764B8C"/>
    <w:pPr>
      <w:keepNext w:val="0"/>
      <w:keepLines w:val="0"/>
      <w:numPr>
        <w:numId w:val="3"/>
      </w:numPr>
      <w:tabs>
        <w:tab w:val="clear" w:pos="720"/>
        <w:tab w:val="left" w:pos="432"/>
      </w:tabs>
      <w:spacing w:before="180"/>
    </w:pPr>
    <w:rPr>
      <w:rFonts w:ascii="Verdana" w:eastAsia="Times New Roman" w:hAnsi="Verdana" w:cs="Times New Roman"/>
      <w:color w:val="000000"/>
      <w:kern w:val="28"/>
      <w:sz w:val="22"/>
      <w:szCs w:val="20"/>
    </w:rPr>
  </w:style>
  <w:style w:type="paragraph" w:customStyle="1" w:styleId="Conditions1">
    <w:name w:val="Conditions1"/>
    <w:rsid w:val="00764B8C"/>
    <w:pPr>
      <w:numPr>
        <w:numId w:val="4"/>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764B8C"/>
    <w:pPr>
      <w:numPr>
        <w:ilvl w:val="2"/>
        <w:numId w:val="4"/>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764B8C"/>
    <w:pPr>
      <w:keepLines w:val="0"/>
      <w:widowControl w:val="0"/>
      <w:spacing w:before="180"/>
    </w:pPr>
    <w:rPr>
      <w:rFonts w:ascii="Verdana" w:eastAsia="Times New Roman" w:hAnsi="Verdana" w:cs="Times New Roman"/>
      <w:b/>
      <w:color w:val="000000"/>
      <w:szCs w:val="22"/>
    </w:rPr>
  </w:style>
  <w:style w:type="character" w:styleId="Hyperlink">
    <w:name w:val="Hyperlink"/>
    <w:basedOn w:val="DefaultParagraphFont"/>
    <w:rsid w:val="00764B8C"/>
    <w:rPr>
      <w:color w:val="0000FF"/>
      <w:u w:val="single"/>
    </w:rPr>
  </w:style>
  <w:style w:type="paragraph" w:customStyle="1" w:styleId="ConditionsBullet">
    <w:name w:val="ConditionsBullet"/>
    <w:basedOn w:val="Conditions2"/>
    <w:qFormat/>
    <w:rsid w:val="00764B8C"/>
    <w:pPr>
      <w:numPr>
        <w:ilvl w:val="3"/>
      </w:numPr>
      <w:spacing w:before="0"/>
    </w:pPr>
  </w:style>
  <w:style w:type="numbering" w:customStyle="1" w:styleId="ConditionsList">
    <w:name w:val="ConditionsList"/>
    <w:uiPriority w:val="99"/>
    <w:rsid w:val="00764B8C"/>
    <w:pPr>
      <w:numPr>
        <w:numId w:val="2"/>
      </w:numPr>
    </w:pPr>
  </w:style>
  <w:style w:type="paragraph" w:customStyle="1" w:styleId="ConditionsNoNumber">
    <w:name w:val="ConditionsNoNumber"/>
    <w:basedOn w:val="Normal"/>
    <w:qFormat/>
    <w:rsid w:val="00764B8C"/>
    <w:pPr>
      <w:numPr>
        <w:ilvl w:val="1"/>
        <w:numId w:val="4"/>
      </w:numPr>
      <w:spacing w:before="120"/>
    </w:pPr>
  </w:style>
  <w:style w:type="paragraph" w:customStyle="1" w:styleId="ConditionsNoNumberNoSpaceBefore">
    <w:name w:val="ConditionsNoNumberNoSpaceBefore"/>
    <w:basedOn w:val="ConditionsNoNumber"/>
    <w:qFormat/>
    <w:rsid w:val="00764B8C"/>
    <w:pPr>
      <w:numPr>
        <w:ilvl w:val="4"/>
      </w:numPr>
      <w:spacing w:before="0"/>
    </w:pPr>
  </w:style>
  <w:style w:type="numbering" w:customStyle="1" w:styleId="StylesList">
    <w:name w:val="StylesList"/>
    <w:uiPriority w:val="99"/>
    <w:rsid w:val="00764B8C"/>
    <w:pPr>
      <w:numPr>
        <w:numId w:val="3"/>
      </w:numPr>
    </w:pPr>
  </w:style>
  <w:style w:type="character" w:customStyle="1" w:styleId="Style1Char">
    <w:name w:val="Style1 Char"/>
    <w:basedOn w:val="DefaultParagraphFont"/>
    <w:link w:val="Style1"/>
    <w:locked/>
    <w:rsid w:val="00764B8C"/>
    <w:rPr>
      <w:rFonts w:ascii="Verdana" w:eastAsia="Times New Roman" w:hAnsi="Verdana" w:cs="Times New Roman"/>
      <w:color w:val="000000"/>
      <w:kern w:val="28"/>
      <w:szCs w:val="20"/>
      <w:lang w:eastAsia="en-GB"/>
      <w14:ligatures w14:val="none"/>
    </w:rPr>
  </w:style>
  <w:style w:type="character" w:customStyle="1" w:styleId="Heading1Char">
    <w:name w:val="Heading 1 Char"/>
    <w:basedOn w:val="DefaultParagraphFont"/>
    <w:link w:val="Heading1"/>
    <w:uiPriority w:val="9"/>
    <w:rsid w:val="00764B8C"/>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6Char">
    <w:name w:val="Heading 6 Char"/>
    <w:basedOn w:val="DefaultParagraphFont"/>
    <w:link w:val="Heading6"/>
    <w:uiPriority w:val="9"/>
    <w:semiHidden/>
    <w:rsid w:val="00764B8C"/>
    <w:rPr>
      <w:rFonts w:asciiTheme="majorHAnsi" w:eastAsiaTheme="majorEastAsia" w:hAnsiTheme="majorHAnsi" w:cstheme="majorBidi"/>
      <w:color w:val="1F3763" w:themeColor="accent1" w:themeShade="7F"/>
      <w:kern w:val="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Renaudon, Laura</DisplayName>
        <AccountId>1063</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6133E1-0DFF-4645-9D55-F880632A8F63}"/>
</file>

<file path=customXml/itemProps2.xml><?xml version="1.0" encoding="utf-8"?>
<ds:datastoreItem xmlns:ds="http://schemas.openxmlformats.org/officeDocument/2006/customXml" ds:itemID="{894E8EDE-4E79-43C3-B0CE-2488871C26BD}">
  <ds:schemaRefs>
    <ds:schemaRef ds:uri="http://schemas.microsoft.com/sharepoint/v3/contenttype/forms"/>
  </ds:schemaRefs>
</ds:datastoreItem>
</file>

<file path=customXml/itemProps3.xml><?xml version="1.0" encoding="utf-8"?>
<ds:datastoreItem xmlns:ds="http://schemas.openxmlformats.org/officeDocument/2006/customXml" ds:itemID="{9A8740DD-0344-4E37-9282-42E7D2959283}">
  <ds:schemaRefs>
    <ds:schemaRef ds:uri="http://purl.org/dc/elements/1.1/"/>
    <ds:schemaRef ds:uri="http://schemas.microsoft.com/office/2006/metadata/properties"/>
    <ds:schemaRef ds:uri="http://schemas.openxmlformats.org/package/2006/metadata/core-properties"/>
    <ds:schemaRef ds:uri="c9a31704-8876-44e3-a39c-721bd2a9d2da"/>
    <ds:schemaRef ds:uri="http://schemas.microsoft.com/office/2006/documentManagement/types"/>
    <ds:schemaRef ds:uri="http://purl.org/dc/terms/"/>
    <ds:schemaRef ds:uri="2c0906fd-6b37-47b4-88d3-437ffaecbb7d"/>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1425</Words>
  <Characters>8129</Characters>
  <Application>Microsoft Office Word</Application>
  <DocSecurity>0</DocSecurity>
  <Lines>67</Lines>
  <Paragraphs>19</Paragraphs>
  <ScaleCrop>false</ScaleCrop>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Richards, Clive</cp:lastModifiedBy>
  <cp:revision>4</cp:revision>
  <dcterms:created xsi:type="dcterms:W3CDTF">2024-03-04T07:57:00Z</dcterms:created>
  <dcterms:modified xsi:type="dcterms:W3CDTF">2024-03-04T07:58:00Z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