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7E9A" w14:textId="1D905815" w:rsidR="00E011B3" w:rsidRPr="00E011B3" w:rsidRDefault="00854121" w:rsidP="00E011B3">
      <w:pPr>
        <w:pStyle w:val="ORRLetterHeader"/>
        <w:keepNext w:val="0"/>
        <w:spacing w:before="0" w:after="0"/>
        <w:rPr>
          <w:rStyle w:val="cf11"/>
          <w:rFonts w:ascii="Arial" w:hAnsi="Arial" w:cs="Arial"/>
          <w:caps/>
          <w:color w:val="000000"/>
          <w:kern w:val="0"/>
          <w:sz w:val="26"/>
          <w:szCs w:val="26"/>
          <w:shd w:val="clear" w:color="auto" w:fill="auto"/>
        </w:rPr>
      </w:pPr>
      <w:bookmarkStart w:id="0" w:name="_Toc343769512"/>
      <w:r>
        <w:rPr>
          <w:noProof/>
        </w:rPr>
        <w:drawing>
          <wp:inline distT="0" distB="0" distL="0" distR="0" wp14:anchorId="5683B79A" wp14:editId="1EBCFA8E">
            <wp:extent cx="1839595" cy="1169670"/>
            <wp:effectExtent l="0" t="0" r="8255" b="0"/>
            <wp:docPr id="29166589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6589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595" cy="1169670"/>
                    </a:xfrm>
                    <a:prstGeom prst="rect">
                      <a:avLst/>
                    </a:prstGeom>
                    <a:noFill/>
                    <a:ln>
                      <a:noFill/>
                    </a:ln>
                  </pic:spPr>
                </pic:pic>
              </a:graphicData>
            </a:graphic>
          </wp:inline>
        </w:drawing>
      </w:r>
      <w:bookmarkEnd w:id="0"/>
    </w:p>
    <w:p w14:paraId="02E8D722" w14:textId="77777777" w:rsidR="006E2037" w:rsidRDefault="006E2037" w:rsidP="005F6FC2">
      <w:pPr>
        <w:pStyle w:val="pf0"/>
        <w:rPr>
          <w:rStyle w:val="cf11"/>
          <w:rFonts w:ascii="Arial" w:hAnsi="Arial" w:cs="Arial"/>
          <w:b/>
          <w:bCs/>
          <w:sz w:val="28"/>
          <w:szCs w:val="28"/>
        </w:rPr>
      </w:pPr>
    </w:p>
    <w:p w14:paraId="047BF4FF" w14:textId="3DB87055" w:rsidR="00E011B3" w:rsidRPr="006E2037" w:rsidRDefault="00AB0423" w:rsidP="005F6FC2">
      <w:pPr>
        <w:pStyle w:val="pf0"/>
        <w:rPr>
          <w:rStyle w:val="cf11"/>
          <w:rFonts w:ascii="Arial" w:hAnsi="Arial" w:cs="Arial"/>
          <w:sz w:val="28"/>
          <w:szCs w:val="28"/>
        </w:rPr>
      </w:pPr>
      <w:r>
        <w:rPr>
          <w:rStyle w:val="cf11"/>
          <w:rFonts w:ascii="Arial" w:hAnsi="Arial" w:cs="Arial"/>
          <w:b/>
          <w:bCs/>
          <w:sz w:val="28"/>
          <w:szCs w:val="28"/>
        </w:rPr>
        <w:t xml:space="preserve">Lane rental checklist </w:t>
      </w:r>
      <w:r w:rsidR="00E07711">
        <w:rPr>
          <w:rStyle w:val="cf11"/>
          <w:rFonts w:ascii="Arial" w:hAnsi="Arial" w:cs="Arial"/>
          <w:b/>
          <w:bCs/>
          <w:sz w:val="28"/>
          <w:szCs w:val="28"/>
        </w:rPr>
        <w:t>for authorities applying</w:t>
      </w:r>
      <w:r w:rsidR="00CD02BC">
        <w:rPr>
          <w:rStyle w:val="cf11"/>
          <w:rFonts w:ascii="Arial" w:hAnsi="Arial" w:cs="Arial"/>
          <w:b/>
          <w:bCs/>
          <w:sz w:val="28"/>
          <w:szCs w:val="28"/>
        </w:rPr>
        <w:t xml:space="preserve"> </w:t>
      </w:r>
      <w:r w:rsidR="00E07711" w:rsidRPr="006E2037">
        <w:rPr>
          <w:rStyle w:val="cf11"/>
          <w:rFonts w:ascii="Arial" w:hAnsi="Arial" w:cs="Arial"/>
          <w:b/>
          <w:bCs/>
          <w:sz w:val="28"/>
          <w:szCs w:val="28"/>
        </w:rPr>
        <w:t xml:space="preserve">to develop a lane rental </w:t>
      </w:r>
      <w:proofErr w:type="gramStart"/>
      <w:r w:rsidR="00E07711" w:rsidRPr="006E2037">
        <w:rPr>
          <w:rStyle w:val="cf11"/>
          <w:rFonts w:ascii="Arial" w:hAnsi="Arial" w:cs="Arial"/>
          <w:b/>
          <w:bCs/>
          <w:sz w:val="28"/>
          <w:szCs w:val="28"/>
        </w:rPr>
        <w:t>scheme</w:t>
      </w:r>
      <w:proofErr w:type="gramEnd"/>
      <w:r w:rsidR="00E07711" w:rsidRPr="006E2037">
        <w:rPr>
          <w:rStyle w:val="cf11"/>
          <w:rFonts w:ascii="Arial" w:hAnsi="Arial" w:cs="Arial"/>
          <w:b/>
          <w:bCs/>
          <w:sz w:val="28"/>
          <w:szCs w:val="28"/>
        </w:rPr>
        <w:t xml:space="preserve"> </w:t>
      </w:r>
    </w:p>
    <w:p w14:paraId="0E18A73F" w14:textId="77777777" w:rsidR="006E2037" w:rsidRDefault="006E2037" w:rsidP="00B9471B">
      <w:pPr>
        <w:pStyle w:val="BodyText"/>
        <w:spacing w:after="0" w:line="276" w:lineRule="auto"/>
        <w:rPr>
          <w:sz w:val="24"/>
          <w:szCs w:val="24"/>
        </w:rPr>
      </w:pPr>
    </w:p>
    <w:p w14:paraId="2BCB8DEC" w14:textId="562615A1" w:rsidR="00B9471B" w:rsidRDefault="00EA153B" w:rsidP="00B9471B">
      <w:pPr>
        <w:pStyle w:val="BodyText"/>
        <w:spacing w:after="0" w:line="276" w:lineRule="auto"/>
        <w:rPr>
          <w:sz w:val="24"/>
          <w:szCs w:val="24"/>
        </w:rPr>
      </w:pPr>
      <w:r>
        <w:rPr>
          <w:sz w:val="24"/>
          <w:szCs w:val="24"/>
        </w:rPr>
        <w:t>W</w:t>
      </w:r>
      <w:r w:rsidR="001643AD">
        <w:rPr>
          <w:sz w:val="24"/>
          <w:szCs w:val="24"/>
        </w:rPr>
        <w:t xml:space="preserve">hen </w:t>
      </w:r>
      <w:r w:rsidR="007B306D">
        <w:rPr>
          <w:sz w:val="24"/>
          <w:szCs w:val="24"/>
        </w:rPr>
        <w:t>compil</w:t>
      </w:r>
      <w:r w:rsidR="00B56587">
        <w:rPr>
          <w:sz w:val="24"/>
          <w:szCs w:val="24"/>
        </w:rPr>
        <w:t>ing</w:t>
      </w:r>
      <w:r w:rsidR="001643AD">
        <w:rPr>
          <w:sz w:val="24"/>
          <w:szCs w:val="24"/>
        </w:rPr>
        <w:t xml:space="preserve"> original documentation </w:t>
      </w:r>
      <w:r w:rsidR="00C16661">
        <w:rPr>
          <w:sz w:val="24"/>
          <w:szCs w:val="24"/>
        </w:rPr>
        <w:t>for consideration by</w:t>
      </w:r>
      <w:r w:rsidR="00B9471B" w:rsidRPr="00CD67F5">
        <w:rPr>
          <w:sz w:val="24"/>
          <w:szCs w:val="24"/>
        </w:rPr>
        <w:t xml:space="preserve"> the </w:t>
      </w:r>
      <w:r w:rsidR="00EA12D7">
        <w:rPr>
          <w:sz w:val="24"/>
          <w:szCs w:val="24"/>
        </w:rPr>
        <w:t>Secretary of State for Transport</w:t>
      </w:r>
      <w:r w:rsidR="00B9471B" w:rsidRPr="00CD67F5">
        <w:rPr>
          <w:sz w:val="24"/>
          <w:szCs w:val="24"/>
        </w:rPr>
        <w:t xml:space="preserve"> </w:t>
      </w:r>
      <w:r w:rsidR="00863E3A">
        <w:rPr>
          <w:sz w:val="24"/>
          <w:szCs w:val="24"/>
        </w:rPr>
        <w:t xml:space="preserve">to operate lane rental </w:t>
      </w:r>
      <w:r w:rsidR="00B9471B" w:rsidRPr="00CD67F5">
        <w:rPr>
          <w:sz w:val="24"/>
          <w:szCs w:val="24"/>
        </w:rPr>
        <w:t xml:space="preserve">under </w:t>
      </w:r>
      <w:r w:rsidR="006B12E5" w:rsidRPr="006B12E5">
        <w:rPr>
          <w:sz w:val="24"/>
          <w:szCs w:val="24"/>
        </w:rPr>
        <w:t>section 74A of the New Roads and Street Works Act 1991 (NRSWA</w:t>
      </w:r>
      <w:r w:rsidR="006509D3">
        <w:rPr>
          <w:sz w:val="24"/>
          <w:szCs w:val="24"/>
        </w:rPr>
        <w:t>)</w:t>
      </w:r>
      <w:r>
        <w:rPr>
          <w:sz w:val="24"/>
          <w:szCs w:val="24"/>
        </w:rPr>
        <w:t xml:space="preserve">, </w:t>
      </w:r>
      <w:r w:rsidR="00AF23DB">
        <w:rPr>
          <w:sz w:val="24"/>
          <w:szCs w:val="24"/>
        </w:rPr>
        <w:t xml:space="preserve">please </w:t>
      </w:r>
      <w:r>
        <w:rPr>
          <w:sz w:val="24"/>
          <w:szCs w:val="24"/>
        </w:rPr>
        <w:t>complete this form</w:t>
      </w:r>
      <w:r w:rsidR="006E2037">
        <w:rPr>
          <w:sz w:val="24"/>
          <w:szCs w:val="24"/>
        </w:rPr>
        <w:t>.</w:t>
      </w:r>
    </w:p>
    <w:p w14:paraId="6D5E659F" w14:textId="77777777" w:rsidR="008D7FDB" w:rsidRDefault="008D7FDB" w:rsidP="00B9471B">
      <w:pPr>
        <w:pStyle w:val="BodyText"/>
        <w:spacing w:after="0" w:line="276" w:lineRule="auto"/>
        <w:rPr>
          <w:sz w:val="24"/>
          <w:szCs w:val="24"/>
        </w:rPr>
      </w:pPr>
    </w:p>
    <w:p w14:paraId="0142A300" w14:textId="658EF261" w:rsidR="00B9471B" w:rsidRDefault="00EA153B" w:rsidP="009801C8">
      <w:pPr>
        <w:numPr>
          <w:ilvl w:val="0"/>
          <w:numId w:val="2"/>
        </w:numPr>
      </w:pPr>
      <w:r>
        <w:t>Before you start, carefully</w:t>
      </w:r>
      <w:r w:rsidR="00B9471B">
        <w:t xml:space="preserve"> read the </w:t>
      </w:r>
      <w:r w:rsidR="00ED4DDE">
        <w:t>Department for Transport (</w:t>
      </w:r>
      <w:r w:rsidR="00B9471B">
        <w:t>DfT</w:t>
      </w:r>
      <w:r w:rsidR="00ED4DDE">
        <w:t>)</w:t>
      </w:r>
      <w:r w:rsidR="00B9471B">
        <w:t xml:space="preserve"> guidance </w:t>
      </w:r>
      <w:r w:rsidR="006E2037">
        <w:br/>
      </w:r>
      <w:hyperlink r:id="rId11" w:history="1">
        <w:r>
          <w:rPr>
            <w:rStyle w:val="Hyperlink"/>
            <w:b/>
            <w:bCs/>
          </w:rPr>
          <w:t>Street works lane rental charges</w:t>
        </w:r>
      </w:hyperlink>
      <w:r w:rsidR="008A6818">
        <w:rPr>
          <w:b/>
          <w:bCs/>
        </w:rPr>
        <w:t xml:space="preserve"> </w:t>
      </w:r>
      <w:r w:rsidR="008A6818" w:rsidRPr="00E9078F">
        <w:t xml:space="preserve">for authorities seeking to develop </w:t>
      </w:r>
      <w:r w:rsidR="00E9078F" w:rsidRPr="00E9078F">
        <w:t xml:space="preserve">lane rental. </w:t>
      </w:r>
    </w:p>
    <w:p w14:paraId="4AFDD4D5" w14:textId="3CEB96AE" w:rsidR="006509D3" w:rsidRPr="008D7FDB" w:rsidRDefault="006509D3" w:rsidP="006509D3">
      <w:pPr>
        <w:pStyle w:val="BodyText"/>
        <w:numPr>
          <w:ilvl w:val="0"/>
          <w:numId w:val="2"/>
        </w:numPr>
        <w:spacing w:after="0" w:line="276" w:lineRule="auto"/>
        <w:rPr>
          <w:sz w:val="24"/>
          <w:szCs w:val="24"/>
        </w:rPr>
      </w:pPr>
      <w:r w:rsidRPr="008D7FDB">
        <w:rPr>
          <w:sz w:val="24"/>
          <w:szCs w:val="24"/>
        </w:rPr>
        <w:t xml:space="preserve">The checklist below </w:t>
      </w:r>
      <w:r>
        <w:rPr>
          <w:sz w:val="24"/>
          <w:szCs w:val="24"/>
        </w:rPr>
        <w:t>can</w:t>
      </w:r>
      <w:r w:rsidRPr="008D7FDB">
        <w:rPr>
          <w:sz w:val="24"/>
          <w:szCs w:val="24"/>
        </w:rPr>
        <w:t xml:space="preserve"> be submitted alongside other scheme documentation</w:t>
      </w:r>
      <w:r>
        <w:rPr>
          <w:sz w:val="24"/>
          <w:szCs w:val="24"/>
        </w:rPr>
        <w:t xml:space="preserve"> </w:t>
      </w:r>
      <w:r w:rsidR="006E2037">
        <w:rPr>
          <w:sz w:val="24"/>
          <w:szCs w:val="24"/>
        </w:rPr>
        <w:br/>
      </w:r>
      <w:r>
        <w:rPr>
          <w:sz w:val="24"/>
          <w:szCs w:val="24"/>
        </w:rPr>
        <w:t xml:space="preserve">set out in </w:t>
      </w:r>
      <w:r w:rsidR="00EA153B">
        <w:rPr>
          <w:sz w:val="24"/>
          <w:szCs w:val="24"/>
        </w:rPr>
        <w:t xml:space="preserve">DfT </w:t>
      </w:r>
      <w:r>
        <w:rPr>
          <w:sz w:val="24"/>
          <w:szCs w:val="24"/>
        </w:rPr>
        <w:t>guidance</w:t>
      </w:r>
      <w:r w:rsidRPr="008D7FDB">
        <w:rPr>
          <w:sz w:val="24"/>
          <w:szCs w:val="24"/>
        </w:rPr>
        <w:t xml:space="preserve">. </w:t>
      </w:r>
      <w:r w:rsidR="008C61CD">
        <w:rPr>
          <w:sz w:val="24"/>
          <w:szCs w:val="24"/>
        </w:rPr>
        <w:t>A</w:t>
      </w:r>
      <w:r w:rsidR="00EA153B">
        <w:rPr>
          <w:sz w:val="24"/>
          <w:szCs w:val="24"/>
        </w:rPr>
        <w:t>lternatively, a</w:t>
      </w:r>
      <w:r w:rsidR="008C61CD">
        <w:rPr>
          <w:sz w:val="24"/>
          <w:szCs w:val="24"/>
        </w:rPr>
        <w:t xml:space="preserve">uthorities </w:t>
      </w:r>
      <w:r w:rsidR="00790E2B">
        <w:rPr>
          <w:sz w:val="24"/>
          <w:szCs w:val="24"/>
        </w:rPr>
        <w:t xml:space="preserve">can submit their own form </w:t>
      </w:r>
      <w:r w:rsidR="006E2037">
        <w:rPr>
          <w:sz w:val="24"/>
          <w:szCs w:val="24"/>
        </w:rPr>
        <w:br/>
      </w:r>
      <w:r w:rsidR="008C61CD">
        <w:rPr>
          <w:sz w:val="24"/>
          <w:szCs w:val="24"/>
        </w:rPr>
        <w:t>and p</w:t>
      </w:r>
      <w:r w:rsidRPr="008D7FDB">
        <w:rPr>
          <w:sz w:val="24"/>
          <w:szCs w:val="24"/>
        </w:rPr>
        <w:t xml:space="preserve">roposals from multiple authorities </w:t>
      </w:r>
      <w:r w:rsidR="00EA153B">
        <w:rPr>
          <w:sz w:val="24"/>
          <w:szCs w:val="24"/>
        </w:rPr>
        <w:t>(</w:t>
      </w:r>
      <w:r w:rsidRPr="008D7FDB">
        <w:rPr>
          <w:sz w:val="24"/>
          <w:szCs w:val="24"/>
        </w:rPr>
        <w:t>joint schemes</w:t>
      </w:r>
      <w:r w:rsidR="00EA153B">
        <w:rPr>
          <w:sz w:val="24"/>
          <w:szCs w:val="24"/>
        </w:rPr>
        <w:t>)</w:t>
      </w:r>
      <w:r w:rsidRPr="008D7FDB">
        <w:rPr>
          <w:sz w:val="24"/>
          <w:szCs w:val="24"/>
        </w:rPr>
        <w:t xml:space="preserve"> </w:t>
      </w:r>
      <w:r w:rsidR="00AF23DB">
        <w:rPr>
          <w:sz w:val="24"/>
          <w:szCs w:val="24"/>
        </w:rPr>
        <w:t>or amend</w:t>
      </w:r>
      <w:r w:rsidR="00AF23DB" w:rsidRPr="008D7FDB">
        <w:rPr>
          <w:sz w:val="24"/>
          <w:szCs w:val="24"/>
        </w:rPr>
        <w:t xml:space="preserve"> </w:t>
      </w:r>
      <w:r w:rsidR="00AF23DB">
        <w:rPr>
          <w:sz w:val="24"/>
          <w:szCs w:val="24"/>
        </w:rPr>
        <w:t>this form to</w:t>
      </w:r>
      <w:r w:rsidR="00AF23DB" w:rsidRPr="008D7FDB">
        <w:rPr>
          <w:sz w:val="24"/>
          <w:szCs w:val="24"/>
        </w:rPr>
        <w:t xml:space="preserve"> </w:t>
      </w:r>
      <w:r w:rsidR="006E2037">
        <w:rPr>
          <w:sz w:val="24"/>
          <w:szCs w:val="24"/>
        </w:rPr>
        <w:br/>
      </w:r>
      <w:r w:rsidRPr="008D7FDB">
        <w:rPr>
          <w:sz w:val="24"/>
          <w:szCs w:val="24"/>
        </w:rPr>
        <w:t xml:space="preserve">suit their </w:t>
      </w:r>
      <w:r w:rsidR="003D727B">
        <w:rPr>
          <w:sz w:val="24"/>
          <w:szCs w:val="24"/>
        </w:rPr>
        <w:t>needs</w:t>
      </w:r>
      <w:r w:rsidR="00F60D36">
        <w:rPr>
          <w:sz w:val="24"/>
          <w:szCs w:val="24"/>
        </w:rPr>
        <w:t xml:space="preserve">. </w:t>
      </w:r>
    </w:p>
    <w:p w14:paraId="48359765" w14:textId="77777777" w:rsidR="006509D3" w:rsidRDefault="006509D3" w:rsidP="006E2037">
      <w:pPr>
        <w:numPr>
          <w:ilvl w:val="0"/>
          <w:numId w:val="0"/>
        </w:numPr>
        <w:ind w:left="720" w:hanging="720"/>
      </w:pPr>
    </w:p>
    <w:p w14:paraId="2EBB5465" w14:textId="77777777" w:rsidR="006E2037" w:rsidRDefault="006E2037" w:rsidP="006E2037">
      <w:pPr>
        <w:numPr>
          <w:ilvl w:val="0"/>
          <w:numId w:val="0"/>
        </w:numPr>
        <w:ind w:left="720" w:hanging="720"/>
      </w:pPr>
    </w:p>
    <w:p w14:paraId="1B4FADF3" w14:textId="47BF19C1" w:rsidR="006E2037" w:rsidRPr="0095441D" w:rsidRDefault="007E7422" w:rsidP="006E2037">
      <w:pPr>
        <w:numPr>
          <w:ilvl w:val="0"/>
          <w:numId w:val="0"/>
        </w:numPr>
        <w:ind w:left="720" w:hanging="720"/>
        <w:rPr>
          <w:rStyle w:val="Strong"/>
        </w:rPr>
      </w:pPr>
      <w:r w:rsidRPr="0095441D">
        <w:rPr>
          <w:rStyle w:val="Strong"/>
        </w:rPr>
        <w:t>1. Appellant details</w:t>
      </w:r>
    </w:p>
    <w:tbl>
      <w:tblPr>
        <w:tblStyle w:val="TableGrid"/>
        <w:tblW w:w="0" w:type="auto"/>
        <w:tblLook w:val="04A0" w:firstRow="1" w:lastRow="0" w:firstColumn="1" w:lastColumn="0" w:noHBand="0" w:noVBand="1"/>
      </w:tblPr>
      <w:tblGrid>
        <w:gridCol w:w="4613"/>
        <w:gridCol w:w="4403"/>
      </w:tblGrid>
      <w:tr w:rsidR="004E3F05" w:rsidRPr="004E3F05" w14:paraId="0C21E115" w14:textId="77777777" w:rsidTr="004E3F05">
        <w:tc>
          <w:tcPr>
            <w:tcW w:w="4613" w:type="dxa"/>
            <w:shd w:val="clear" w:color="auto" w:fill="000000" w:themeFill="text1"/>
          </w:tcPr>
          <w:p w14:paraId="50ACFD6A" w14:textId="7E0CCFDB" w:rsidR="00517CE1" w:rsidRPr="004E3F05" w:rsidRDefault="00517CE1">
            <w:pPr>
              <w:numPr>
                <w:ilvl w:val="0"/>
                <w:numId w:val="0"/>
              </w:numPr>
              <w:rPr>
                <w:color w:val="FFFFFF" w:themeColor="background1"/>
              </w:rPr>
            </w:pPr>
            <w:r w:rsidRPr="004E3F05">
              <w:rPr>
                <w:rStyle w:val="Strong"/>
                <w:color w:val="FFFFFF" w:themeColor="background1"/>
              </w:rPr>
              <w:t>Required</w:t>
            </w:r>
          </w:p>
        </w:tc>
        <w:tc>
          <w:tcPr>
            <w:tcW w:w="4403" w:type="dxa"/>
            <w:shd w:val="clear" w:color="auto" w:fill="000000" w:themeFill="text1"/>
          </w:tcPr>
          <w:p w14:paraId="1782B336" w14:textId="67AFC40D" w:rsidR="00517CE1" w:rsidRPr="004E3F05" w:rsidRDefault="00517CE1">
            <w:pPr>
              <w:numPr>
                <w:ilvl w:val="0"/>
                <w:numId w:val="0"/>
              </w:numPr>
              <w:rPr>
                <w:color w:val="FFFFFF" w:themeColor="background1"/>
                <w:szCs w:val="24"/>
              </w:rPr>
            </w:pPr>
            <w:r w:rsidRPr="004E3F05">
              <w:rPr>
                <w:rStyle w:val="Strong"/>
                <w:color w:val="FFFFFF" w:themeColor="background1"/>
              </w:rPr>
              <w:t>Your details</w:t>
            </w:r>
          </w:p>
        </w:tc>
      </w:tr>
      <w:tr w:rsidR="00102B0F" w14:paraId="49B5DAEA" w14:textId="77777777" w:rsidTr="012582D3">
        <w:tc>
          <w:tcPr>
            <w:tcW w:w="4613" w:type="dxa"/>
          </w:tcPr>
          <w:p w14:paraId="5172F1AA" w14:textId="4C88A693" w:rsidR="00B9471B" w:rsidRDefault="00F96B88">
            <w:pPr>
              <w:numPr>
                <w:ilvl w:val="0"/>
                <w:numId w:val="0"/>
              </w:numPr>
            </w:pPr>
            <w:r w:rsidRPr="00627C33">
              <w:t>Full legal name of highway authority or authorities</w:t>
            </w:r>
          </w:p>
        </w:tc>
        <w:tc>
          <w:tcPr>
            <w:tcW w:w="4403" w:type="dxa"/>
          </w:tcPr>
          <w:p w14:paraId="41ADF5A7" w14:textId="77777777" w:rsidR="00B9471B" w:rsidRPr="00102B0F" w:rsidRDefault="00B9471B">
            <w:pPr>
              <w:numPr>
                <w:ilvl w:val="0"/>
                <w:numId w:val="0"/>
              </w:numPr>
              <w:rPr>
                <w:szCs w:val="24"/>
              </w:rPr>
            </w:pPr>
          </w:p>
        </w:tc>
      </w:tr>
      <w:tr w:rsidR="007B306D" w14:paraId="6FF8F573" w14:textId="77777777" w:rsidTr="012582D3">
        <w:trPr>
          <w:trHeight w:val="300"/>
        </w:trPr>
        <w:tc>
          <w:tcPr>
            <w:tcW w:w="4613" w:type="dxa"/>
          </w:tcPr>
          <w:p w14:paraId="72683547" w14:textId="78E083EF" w:rsidR="006E2037" w:rsidRPr="006E2037" w:rsidRDefault="007B306D" w:rsidP="007B306D">
            <w:pPr>
              <w:numPr>
                <w:ilvl w:val="0"/>
                <w:numId w:val="0"/>
              </w:numPr>
            </w:pPr>
            <w:r w:rsidRPr="00627C33">
              <w:t>Date final checks completed</w:t>
            </w:r>
          </w:p>
        </w:tc>
        <w:tc>
          <w:tcPr>
            <w:tcW w:w="4403" w:type="dxa"/>
          </w:tcPr>
          <w:p w14:paraId="4906919D" w14:textId="5EBA0104" w:rsidR="007B306D" w:rsidRDefault="007B306D" w:rsidP="007B306D">
            <w:pPr>
              <w:numPr>
                <w:ilvl w:val="0"/>
                <w:numId w:val="0"/>
              </w:numPr>
            </w:pPr>
          </w:p>
        </w:tc>
      </w:tr>
      <w:tr w:rsidR="007B306D" w14:paraId="791F5918" w14:textId="77777777" w:rsidTr="012582D3">
        <w:trPr>
          <w:trHeight w:val="300"/>
        </w:trPr>
        <w:tc>
          <w:tcPr>
            <w:tcW w:w="4613" w:type="dxa"/>
          </w:tcPr>
          <w:p w14:paraId="6AA09D88" w14:textId="5AD0FFE5" w:rsidR="007B306D" w:rsidRDefault="007B306D" w:rsidP="007B306D">
            <w:pPr>
              <w:numPr>
                <w:ilvl w:val="0"/>
                <w:numId w:val="0"/>
              </w:numPr>
              <w:rPr>
                <w:rFonts w:eastAsia="Calibri" w:cs="Arial"/>
                <w:color w:val="000000" w:themeColor="text1"/>
              </w:rPr>
            </w:pPr>
            <w:r w:rsidRPr="00627C33">
              <w:t>Senior officer final clearance</w:t>
            </w:r>
            <w:r w:rsidR="00AF23DB">
              <w:t xml:space="preserve"> </w:t>
            </w:r>
            <w:r w:rsidR="006E2037">
              <w:br/>
            </w:r>
            <w:r w:rsidR="00AF23DB">
              <w:t>(print or sign your name)</w:t>
            </w:r>
          </w:p>
        </w:tc>
        <w:tc>
          <w:tcPr>
            <w:tcW w:w="4403" w:type="dxa"/>
          </w:tcPr>
          <w:p w14:paraId="3C4FE750" w14:textId="394A8187" w:rsidR="007B306D" w:rsidRDefault="007B306D" w:rsidP="007B306D">
            <w:pPr>
              <w:numPr>
                <w:ilvl w:val="0"/>
                <w:numId w:val="0"/>
              </w:numPr>
            </w:pPr>
          </w:p>
        </w:tc>
      </w:tr>
      <w:tr w:rsidR="007B306D" w14:paraId="32D2A14C" w14:textId="77777777" w:rsidTr="012582D3">
        <w:tc>
          <w:tcPr>
            <w:tcW w:w="4613" w:type="dxa"/>
          </w:tcPr>
          <w:p w14:paraId="609C1547" w14:textId="1EF5CC02" w:rsidR="007B306D" w:rsidRDefault="007B306D" w:rsidP="007B306D">
            <w:pPr>
              <w:numPr>
                <w:ilvl w:val="0"/>
                <w:numId w:val="0"/>
              </w:numPr>
            </w:pPr>
            <w:r w:rsidRPr="00627C33">
              <w:t>Finance officer final clearance</w:t>
            </w:r>
            <w:r w:rsidR="00AF23DB">
              <w:t xml:space="preserve"> </w:t>
            </w:r>
            <w:r w:rsidR="006E2037">
              <w:br/>
              <w:t>(</w:t>
            </w:r>
            <w:r w:rsidR="00AF23DB">
              <w:t>print or sign your name)</w:t>
            </w:r>
          </w:p>
        </w:tc>
        <w:tc>
          <w:tcPr>
            <w:tcW w:w="4403" w:type="dxa"/>
          </w:tcPr>
          <w:p w14:paraId="5EE92F90" w14:textId="77777777" w:rsidR="007B306D" w:rsidRPr="00102B0F" w:rsidRDefault="007B306D" w:rsidP="007B306D">
            <w:pPr>
              <w:numPr>
                <w:ilvl w:val="0"/>
                <w:numId w:val="0"/>
              </w:numPr>
              <w:rPr>
                <w:szCs w:val="24"/>
              </w:rPr>
            </w:pPr>
          </w:p>
        </w:tc>
      </w:tr>
    </w:tbl>
    <w:p w14:paraId="20074F4A" w14:textId="77777777" w:rsidR="006E2037" w:rsidRDefault="006E2037">
      <w:r>
        <w:br w:type="page"/>
      </w:r>
    </w:p>
    <w:p w14:paraId="08F8A816" w14:textId="77777777" w:rsidR="007E7422" w:rsidRPr="0095441D" w:rsidRDefault="007E7422" w:rsidP="007E7422">
      <w:pPr>
        <w:numPr>
          <w:ilvl w:val="0"/>
          <w:numId w:val="0"/>
        </w:numPr>
        <w:spacing w:after="0" w:line="240" w:lineRule="auto"/>
        <w:rPr>
          <w:rStyle w:val="Strong"/>
        </w:rPr>
      </w:pPr>
      <w:r w:rsidRPr="0095441D">
        <w:rPr>
          <w:rStyle w:val="Strong"/>
        </w:rPr>
        <w:lastRenderedPageBreak/>
        <w:t>2. Checklist stating scheme application documentation requirements</w:t>
      </w:r>
    </w:p>
    <w:p w14:paraId="23A57A1D" w14:textId="46551C73" w:rsidR="007E7422" w:rsidRPr="00F117DA" w:rsidRDefault="007E7422" w:rsidP="00F117DA">
      <w:pPr>
        <w:numPr>
          <w:ilvl w:val="0"/>
          <w:numId w:val="0"/>
        </w:numPr>
        <w:ind w:left="720" w:hanging="720"/>
      </w:pPr>
      <w:r>
        <w:t xml:space="preserve">Confirm </w:t>
      </w:r>
      <w:r w:rsidRPr="00F117DA">
        <w:t>location within application (include page and document)</w:t>
      </w:r>
    </w:p>
    <w:tbl>
      <w:tblPr>
        <w:tblStyle w:val="TableGrid"/>
        <w:tblW w:w="0" w:type="auto"/>
        <w:tblLook w:val="04A0" w:firstRow="1" w:lastRow="0" w:firstColumn="1" w:lastColumn="0" w:noHBand="0" w:noVBand="1"/>
      </w:tblPr>
      <w:tblGrid>
        <w:gridCol w:w="4613"/>
        <w:gridCol w:w="4403"/>
      </w:tblGrid>
      <w:tr w:rsidR="00DE752E" w14:paraId="3D95E9FC" w14:textId="77777777" w:rsidTr="00DE752E">
        <w:tc>
          <w:tcPr>
            <w:tcW w:w="4613" w:type="dxa"/>
            <w:shd w:val="clear" w:color="auto" w:fill="000000" w:themeFill="text1"/>
          </w:tcPr>
          <w:p w14:paraId="5BCE00EF" w14:textId="77777777" w:rsidR="00DE752E" w:rsidRPr="00DE752E" w:rsidRDefault="00DE752E" w:rsidP="00DE752E">
            <w:pPr>
              <w:numPr>
                <w:ilvl w:val="0"/>
                <w:numId w:val="0"/>
              </w:numPr>
              <w:spacing w:after="0" w:line="240" w:lineRule="auto"/>
              <w:rPr>
                <w:rStyle w:val="Strong"/>
                <w:color w:val="FFFFFF" w:themeColor="background1"/>
              </w:rPr>
            </w:pPr>
            <w:r w:rsidRPr="00DE752E">
              <w:rPr>
                <w:rStyle w:val="Strong"/>
                <w:color w:val="FFFFFF" w:themeColor="background1"/>
              </w:rPr>
              <w:t>Required</w:t>
            </w:r>
          </w:p>
          <w:p w14:paraId="3B3DBF0D" w14:textId="77777777" w:rsidR="00DE752E" w:rsidRPr="00627C33" w:rsidRDefault="00DE752E" w:rsidP="00DE752E">
            <w:pPr>
              <w:numPr>
                <w:ilvl w:val="0"/>
                <w:numId w:val="2"/>
              </w:numPr>
              <w:spacing w:before="120" w:after="120" w:line="240" w:lineRule="auto"/>
            </w:pPr>
          </w:p>
        </w:tc>
        <w:tc>
          <w:tcPr>
            <w:tcW w:w="4403" w:type="dxa"/>
            <w:shd w:val="clear" w:color="auto" w:fill="000000" w:themeFill="text1"/>
          </w:tcPr>
          <w:p w14:paraId="4AD73841" w14:textId="1BA435E2" w:rsidR="00DE752E" w:rsidRPr="00DE752E" w:rsidRDefault="00DE752E" w:rsidP="00DE752E">
            <w:pPr>
              <w:numPr>
                <w:ilvl w:val="0"/>
                <w:numId w:val="0"/>
              </w:numPr>
              <w:rPr>
                <w:color w:val="FFFFFF" w:themeColor="background1"/>
                <w:szCs w:val="24"/>
              </w:rPr>
            </w:pPr>
            <w:r w:rsidRPr="00DE752E">
              <w:rPr>
                <w:rStyle w:val="Strong"/>
                <w:color w:val="FFFFFF" w:themeColor="background1"/>
              </w:rPr>
              <w:t>Your response</w:t>
            </w:r>
          </w:p>
        </w:tc>
      </w:tr>
      <w:tr w:rsidR="00DE752E" w14:paraId="30DA9B43" w14:textId="77777777" w:rsidTr="012582D3">
        <w:tc>
          <w:tcPr>
            <w:tcW w:w="4613" w:type="dxa"/>
          </w:tcPr>
          <w:p w14:paraId="7A119768" w14:textId="3D460470" w:rsidR="00DE752E" w:rsidRPr="012582D3" w:rsidRDefault="00DE752E" w:rsidP="00DE752E">
            <w:pPr>
              <w:numPr>
                <w:ilvl w:val="0"/>
                <w:numId w:val="2"/>
              </w:numPr>
              <w:spacing w:before="120" w:after="120" w:line="240" w:lineRule="auto"/>
              <w:rPr>
                <w:rFonts w:eastAsia="Calibri" w:cs="Arial"/>
                <w:color w:val="000000" w:themeColor="text1"/>
              </w:rPr>
            </w:pPr>
            <w:r w:rsidRPr="00627C33">
              <w:t xml:space="preserve">Scheme compliance statement (letter signed by </w:t>
            </w:r>
            <w:r>
              <w:t>c</w:t>
            </w:r>
            <w:r w:rsidRPr="00627C33">
              <w:t xml:space="preserve">hief </w:t>
            </w:r>
            <w:r>
              <w:t>e</w:t>
            </w:r>
            <w:r w:rsidRPr="00627C33">
              <w:t xml:space="preserve">xecutive or similar) headed to include </w:t>
            </w:r>
            <w:r>
              <w:t xml:space="preserve">the </w:t>
            </w:r>
            <w:r w:rsidRPr="00627C33">
              <w:t xml:space="preserve">legal name of </w:t>
            </w:r>
            <w:r>
              <w:br/>
            </w:r>
            <w:r w:rsidRPr="00627C33">
              <w:t>the authority</w:t>
            </w:r>
            <w:r>
              <w:t>.</w:t>
            </w:r>
          </w:p>
        </w:tc>
        <w:tc>
          <w:tcPr>
            <w:tcW w:w="4403" w:type="dxa"/>
          </w:tcPr>
          <w:p w14:paraId="0FEA76C2" w14:textId="77777777" w:rsidR="00DE752E" w:rsidRPr="00102B0F" w:rsidRDefault="00DE752E" w:rsidP="00DE752E">
            <w:pPr>
              <w:numPr>
                <w:ilvl w:val="0"/>
                <w:numId w:val="0"/>
              </w:numPr>
              <w:rPr>
                <w:szCs w:val="24"/>
              </w:rPr>
            </w:pPr>
          </w:p>
        </w:tc>
      </w:tr>
      <w:tr w:rsidR="00DE752E" w14:paraId="2E10B7D9" w14:textId="77777777" w:rsidTr="012582D3">
        <w:tc>
          <w:tcPr>
            <w:tcW w:w="4613" w:type="dxa"/>
          </w:tcPr>
          <w:p w14:paraId="4D832850" w14:textId="4B5AF0AB" w:rsidR="00DE752E" w:rsidRPr="012582D3" w:rsidRDefault="00DE752E" w:rsidP="00DE752E">
            <w:pPr>
              <w:numPr>
                <w:ilvl w:val="0"/>
                <w:numId w:val="2"/>
              </w:numPr>
              <w:spacing w:before="120" w:after="120" w:line="240" w:lineRule="auto"/>
              <w:jc w:val="both"/>
              <w:rPr>
                <w:rFonts w:eastAsia="Calibri" w:cs="Arial"/>
                <w:color w:val="000000" w:themeColor="text1"/>
              </w:rPr>
            </w:pPr>
            <w:r w:rsidRPr="00627C33">
              <w:t>Scheme objectives including the benefits expected</w:t>
            </w:r>
            <w:r>
              <w:t>.</w:t>
            </w:r>
          </w:p>
        </w:tc>
        <w:tc>
          <w:tcPr>
            <w:tcW w:w="4403" w:type="dxa"/>
          </w:tcPr>
          <w:p w14:paraId="3BAE7023" w14:textId="77777777" w:rsidR="00DE752E" w:rsidRPr="00102B0F" w:rsidRDefault="00DE752E" w:rsidP="00DE752E">
            <w:pPr>
              <w:numPr>
                <w:ilvl w:val="0"/>
                <w:numId w:val="0"/>
              </w:numPr>
              <w:rPr>
                <w:szCs w:val="24"/>
              </w:rPr>
            </w:pPr>
          </w:p>
        </w:tc>
      </w:tr>
      <w:tr w:rsidR="00DE752E" w14:paraId="6EC03927" w14:textId="77777777" w:rsidTr="012582D3">
        <w:tc>
          <w:tcPr>
            <w:tcW w:w="4613" w:type="dxa"/>
          </w:tcPr>
          <w:p w14:paraId="5269BE19" w14:textId="5F9C41D7" w:rsidR="00DE752E" w:rsidRPr="012582D3" w:rsidRDefault="00DE752E" w:rsidP="00DE752E">
            <w:pPr>
              <w:numPr>
                <w:ilvl w:val="0"/>
                <w:numId w:val="2"/>
              </w:numPr>
              <w:spacing w:before="120" w:after="120" w:line="240" w:lineRule="auto"/>
              <w:jc w:val="both"/>
              <w:rPr>
                <w:rFonts w:eastAsia="Calibri" w:cs="Arial"/>
                <w:color w:val="000000" w:themeColor="text1"/>
              </w:rPr>
            </w:pPr>
            <w:r w:rsidRPr="00627C33">
              <w:t>Proposed implementation date</w:t>
            </w:r>
            <w:r>
              <w:t>.</w:t>
            </w:r>
          </w:p>
        </w:tc>
        <w:tc>
          <w:tcPr>
            <w:tcW w:w="4403" w:type="dxa"/>
          </w:tcPr>
          <w:p w14:paraId="3DAE9CC0" w14:textId="77777777" w:rsidR="00DE752E" w:rsidRPr="00102B0F" w:rsidRDefault="00DE752E" w:rsidP="00DE752E">
            <w:pPr>
              <w:numPr>
                <w:ilvl w:val="0"/>
                <w:numId w:val="0"/>
              </w:numPr>
              <w:rPr>
                <w:szCs w:val="24"/>
              </w:rPr>
            </w:pPr>
          </w:p>
        </w:tc>
      </w:tr>
      <w:tr w:rsidR="00DE752E" w14:paraId="711C9BAB" w14:textId="77777777" w:rsidTr="012582D3">
        <w:tc>
          <w:tcPr>
            <w:tcW w:w="4613" w:type="dxa"/>
          </w:tcPr>
          <w:p w14:paraId="5F5D9157" w14:textId="39AFDF81" w:rsidR="00DE752E" w:rsidRPr="012582D3" w:rsidRDefault="00DE752E" w:rsidP="00DE752E">
            <w:pPr>
              <w:numPr>
                <w:ilvl w:val="0"/>
                <w:numId w:val="2"/>
              </w:numPr>
              <w:spacing w:before="120" w:after="120" w:line="240" w:lineRule="auto"/>
              <w:rPr>
                <w:rFonts w:eastAsia="Calibri" w:cs="Arial"/>
                <w:color w:val="000000" w:themeColor="text1"/>
              </w:rPr>
            </w:pPr>
            <w:r w:rsidRPr="00627C33">
              <w:t>Table demonstrating regulatory compliance</w:t>
            </w:r>
            <w:r>
              <w:t>.</w:t>
            </w:r>
          </w:p>
        </w:tc>
        <w:tc>
          <w:tcPr>
            <w:tcW w:w="4403" w:type="dxa"/>
          </w:tcPr>
          <w:p w14:paraId="239DA055" w14:textId="77777777" w:rsidR="00DE752E" w:rsidRPr="00102B0F" w:rsidRDefault="00DE752E" w:rsidP="00DE752E">
            <w:pPr>
              <w:numPr>
                <w:ilvl w:val="0"/>
                <w:numId w:val="0"/>
              </w:numPr>
              <w:rPr>
                <w:szCs w:val="24"/>
              </w:rPr>
            </w:pPr>
          </w:p>
        </w:tc>
      </w:tr>
      <w:tr w:rsidR="00DE752E" w14:paraId="37283224" w14:textId="77777777" w:rsidTr="012582D3">
        <w:tc>
          <w:tcPr>
            <w:tcW w:w="4613" w:type="dxa"/>
          </w:tcPr>
          <w:p w14:paraId="00D19D59" w14:textId="2837BA29" w:rsidR="00DE752E" w:rsidRPr="006E2037" w:rsidRDefault="00DE752E" w:rsidP="00DE752E">
            <w:pPr>
              <w:numPr>
                <w:ilvl w:val="0"/>
                <w:numId w:val="2"/>
              </w:numPr>
              <w:spacing w:before="120" w:after="120" w:line="240" w:lineRule="auto"/>
              <w:rPr>
                <w:rFonts w:eastAsia="Calibri" w:cs="Arial"/>
                <w:color w:val="000000"/>
              </w:rPr>
            </w:pPr>
            <w:r w:rsidRPr="00627C33">
              <w:t xml:space="preserve">Statement of compliance with the lane rental parity obligation. </w:t>
            </w:r>
          </w:p>
          <w:p w14:paraId="5C04004A" w14:textId="35CE2DAF" w:rsidR="00DE752E" w:rsidRPr="00CD67F5" w:rsidRDefault="00DE752E" w:rsidP="00DE752E">
            <w:pPr>
              <w:numPr>
                <w:ilvl w:val="0"/>
                <w:numId w:val="2"/>
              </w:numPr>
              <w:spacing w:before="120" w:after="120" w:line="240" w:lineRule="auto"/>
              <w:rPr>
                <w:rFonts w:eastAsia="Calibri" w:cs="Arial"/>
                <w:color w:val="000000"/>
              </w:rPr>
            </w:pPr>
            <w:r w:rsidRPr="00627C33">
              <w:t>State the authority</w:t>
            </w:r>
            <w:r>
              <w:t>’</w:t>
            </w:r>
            <w:r w:rsidRPr="00627C33">
              <w:t>s position on whether the same standards and charges apply to an authority</w:t>
            </w:r>
            <w:r>
              <w:t>’</w:t>
            </w:r>
            <w:r w:rsidRPr="00627C33">
              <w:t>s own activities and works</w:t>
            </w:r>
            <w:r>
              <w:t>.</w:t>
            </w:r>
            <w:r w:rsidRPr="00627C33">
              <w:t xml:space="preserve"> </w:t>
            </w:r>
            <w:r>
              <w:t>P</w:t>
            </w:r>
            <w:r w:rsidRPr="00627C33">
              <w:t>rovide an undertaking that lane rental charges will be applied to all registerable activities</w:t>
            </w:r>
            <w:r>
              <w:t>.</w:t>
            </w:r>
            <w:r w:rsidRPr="00627C33">
              <w:t xml:space="preserve">  </w:t>
            </w:r>
          </w:p>
        </w:tc>
        <w:tc>
          <w:tcPr>
            <w:tcW w:w="4403" w:type="dxa"/>
          </w:tcPr>
          <w:p w14:paraId="208C0854" w14:textId="77777777" w:rsidR="00DE752E" w:rsidRPr="00102B0F" w:rsidRDefault="00DE752E" w:rsidP="00DE752E">
            <w:pPr>
              <w:numPr>
                <w:ilvl w:val="0"/>
                <w:numId w:val="0"/>
              </w:numPr>
              <w:rPr>
                <w:szCs w:val="24"/>
              </w:rPr>
            </w:pPr>
          </w:p>
        </w:tc>
      </w:tr>
      <w:tr w:rsidR="00DE752E" w14:paraId="67B0B63F" w14:textId="77777777" w:rsidTr="012582D3">
        <w:trPr>
          <w:trHeight w:val="300"/>
        </w:trPr>
        <w:tc>
          <w:tcPr>
            <w:tcW w:w="4613" w:type="dxa"/>
          </w:tcPr>
          <w:p w14:paraId="1C7BF48A" w14:textId="57E69D2F" w:rsidR="00DE752E" w:rsidRDefault="00DE752E" w:rsidP="00DE752E">
            <w:pPr>
              <w:spacing w:before="120" w:after="120" w:line="240" w:lineRule="auto"/>
              <w:ind w:left="0"/>
              <w:rPr>
                <w:rFonts w:eastAsia="Calibri" w:cs="Arial"/>
                <w:color w:val="000000" w:themeColor="text1"/>
              </w:rPr>
            </w:pPr>
            <w:r w:rsidRPr="00627C33">
              <w:t>Clearly define and specify the streets or parts of streets to which the lane rental will apply</w:t>
            </w:r>
            <w:r>
              <w:t>.</w:t>
            </w:r>
            <w:r w:rsidRPr="00627C33">
              <w:t xml:space="preserve"> </w:t>
            </w:r>
            <w:r>
              <w:t>Also</w:t>
            </w:r>
            <w:r w:rsidRPr="00627C33">
              <w:t xml:space="preserve"> clearly set out the times when lane rental will operate on those streets (which must be wholly within the area of the authority applying to run the scheme). The authority must also specify proposed network coverage</w:t>
            </w:r>
            <w:r>
              <w:t>.</w:t>
            </w:r>
          </w:p>
        </w:tc>
        <w:tc>
          <w:tcPr>
            <w:tcW w:w="4403" w:type="dxa"/>
          </w:tcPr>
          <w:p w14:paraId="4D3F6791" w14:textId="68DC54F5" w:rsidR="00DE752E" w:rsidRDefault="00DE752E" w:rsidP="00DE752E"/>
        </w:tc>
      </w:tr>
      <w:tr w:rsidR="00DE752E" w14:paraId="73F745F7" w14:textId="77777777" w:rsidTr="012582D3">
        <w:tc>
          <w:tcPr>
            <w:tcW w:w="4613" w:type="dxa"/>
          </w:tcPr>
          <w:p w14:paraId="09D33AC6" w14:textId="4528ED8A" w:rsidR="00DE752E" w:rsidRPr="006E2037" w:rsidRDefault="00DE752E" w:rsidP="00DE752E">
            <w:pPr>
              <w:numPr>
                <w:ilvl w:val="0"/>
                <w:numId w:val="2"/>
              </w:numPr>
              <w:spacing w:before="120" w:after="120" w:line="240" w:lineRule="auto"/>
              <w:rPr>
                <w:rFonts w:eastAsia="Calibri" w:cs="Arial"/>
                <w:color w:val="000000"/>
              </w:rPr>
            </w:pPr>
            <w:r w:rsidRPr="00627C33">
              <w:t>Set out the planned evaluation and reporting structure, includ</w:t>
            </w:r>
            <w:r>
              <w:t>ing:</w:t>
            </w:r>
            <w:r w:rsidRPr="00627C33">
              <w:t xml:space="preserve"> </w:t>
            </w:r>
          </w:p>
          <w:p w14:paraId="6B8EFCFC" w14:textId="4E2D9C53" w:rsidR="00DE752E" w:rsidRPr="006E2037" w:rsidRDefault="00DE752E" w:rsidP="00DE752E">
            <w:pPr>
              <w:pStyle w:val="ListParagraph"/>
              <w:numPr>
                <w:ilvl w:val="0"/>
                <w:numId w:val="5"/>
              </w:numPr>
              <w:spacing w:before="120" w:after="120" w:line="240" w:lineRule="auto"/>
              <w:rPr>
                <w:rFonts w:eastAsia="Calibri" w:cs="Arial"/>
                <w:color w:val="000000"/>
              </w:rPr>
            </w:pPr>
            <w:r w:rsidRPr="00627C33">
              <w:t>an evaluation methodology</w:t>
            </w:r>
          </w:p>
          <w:p w14:paraId="061DA5F3" w14:textId="29392029" w:rsidR="00DE752E" w:rsidRPr="006E2037" w:rsidRDefault="00DE752E" w:rsidP="00DE752E">
            <w:pPr>
              <w:pStyle w:val="ListParagraph"/>
              <w:numPr>
                <w:ilvl w:val="0"/>
                <w:numId w:val="5"/>
              </w:numPr>
              <w:spacing w:before="120" w:after="120" w:line="240" w:lineRule="auto"/>
              <w:rPr>
                <w:rFonts w:eastAsia="Calibri" w:cs="Arial"/>
                <w:color w:val="000000"/>
              </w:rPr>
            </w:pPr>
            <w:r w:rsidRPr="00627C33">
              <w:t xml:space="preserve">an evaluation programme setting out when the evaluation will be carried </w:t>
            </w:r>
            <w:proofErr w:type="gramStart"/>
            <w:r w:rsidRPr="00627C33">
              <w:t>out</w:t>
            </w:r>
            <w:proofErr w:type="gramEnd"/>
          </w:p>
          <w:p w14:paraId="6AAEE8F1" w14:textId="77777777" w:rsidR="00DE752E" w:rsidRPr="006E2037" w:rsidRDefault="00DE752E" w:rsidP="00DE752E">
            <w:pPr>
              <w:pStyle w:val="ListParagraph"/>
              <w:numPr>
                <w:ilvl w:val="0"/>
                <w:numId w:val="5"/>
              </w:numPr>
              <w:spacing w:before="120" w:after="120" w:line="240" w:lineRule="auto"/>
              <w:rPr>
                <w:rFonts w:eastAsia="Calibri" w:cs="Arial"/>
                <w:color w:val="000000"/>
              </w:rPr>
            </w:pPr>
            <w:r w:rsidRPr="00627C33">
              <w:t xml:space="preserve">the baseline data against which scheme performance will be </w:t>
            </w:r>
            <w:proofErr w:type="gramStart"/>
            <w:r w:rsidRPr="00627C33">
              <w:t>measured</w:t>
            </w:r>
            <w:proofErr w:type="gramEnd"/>
          </w:p>
          <w:p w14:paraId="1C186EB0" w14:textId="35006EDF" w:rsidR="00DE752E" w:rsidRPr="00D62343" w:rsidRDefault="00DE752E" w:rsidP="00DE752E">
            <w:pPr>
              <w:pStyle w:val="ListParagraph"/>
              <w:numPr>
                <w:ilvl w:val="0"/>
                <w:numId w:val="5"/>
              </w:numPr>
              <w:spacing w:before="120" w:after="120" w:line="240" w:lineRule="auto"/>
              <w:rPr>
                <w:rFonts w:eastAsia="Calibri" w:cs="Arial"/>
                <w:color w:val="000000"/>
              </w:rPr>
            </w:pPr>
            <w:r w:rsidRPr="00627C33">
              <w:t>a formal statement that this evaluation will be fully resourced</w:t>
            </w:r>
          </w:p>
        </w:tc>
        <w:tc>
          <w:tcPr>
            <w:tcW w:w="4403" w:type="dxa"/>
          </w:tcPr>
          <w:p w14:paraId="705B2715" w14:textId="77777777" w:rsidR="00DE752E" w:rsidRPr="00102B0F" w:rsidRDefault="00DE752E" w:rsidP="00DE752E">
            <w:pPr>
              <w:numPr>
                <w:ilvl w:val="0"/>
                <w:numId w:val="0"/>
              </w:numPr>
              <w:rPr>
                <w:szCs w:val="24"/>
              </w:rPr>
            </w:pPr>
          </w:p>
        </w:tc>
      </w:tr>
      <w:tr w:rsidR="004E3F05" w14:paraId="412F5439" w14:textId="77777777" w:rsidTr="00DE752E">
        <w:tc>
          <w:tcPr>
            <w:tcW w:w="4613" w:type="dxa"/>
            <w:shd w:val="clear" w:color="auto" w:fill="FFFFFF" w:themeFill="background1"/>
          </w:tcPr>
          <w:p w14:paraId="3D09D19F" w14:textId="77777777" w:rsidR="004E3F05" w:rsidRPr="00DE752E" w:rsidRDefault="004E3F05" w:rsidP="004E3F05">
            <w:pPr>
              <w:numPr>
                <w:ilvl w:val="0"/>
                <w:numId w:val="0"/>
              </w:numPr>
              <w:spacing w:after="0" w:line="240" w:lineRule="auto"/>
              <w:rPr>
                <w:rStyle w:val="Strong"/>
              </w:rPr>
            </w:pPr>
            <w:r w:rsidRPr="00DE752E">
              <w:rPr>
                <w:rStyle w:val="Strong"/>
              </w:rPr>
              <w:lastRenderedPageBreak/>
              <w:t>Required</w:t>
            </w:r>
          </w:p>
          <w:p w14:paraId="488DEECD" w14:textId="77777777" w:rsidR="004E3F05" w:rsidRDefault="004E3F05" w:rsidP="006E2037">
            <w:pPr>
              <w:numPr>
                <w:ilvl w:val="0"/>
                <w:numId w:val="2"/>
              </w:numPr>
              <w:spacing w:before="120" w:after="120" w:line="240" w:lineRule="auto"/>
            </w:pPr>
          </w:p>
        </w:tc>
        <w:tc>
          <w:tcPr>
            <w:tcW w:w="4403" w:type="dxa"/>
            <w:shd w:val="clear" w:color="auto" w:fill="FFFFFF" w:themeFill="background1"/>
          </w:tcPr>
          <w:p w14:paraId="080EF73B" w14:textId="5B7C724A" w:rsidR="004E3F05" w:rsidRPr="00DE752E" w:rsidRDefault="004E3F05" w:rsidP="006D340F">
            <w:pPr>
              <w:numPr>
                <w:ilvl w:val="0"/>
                <w:numId w:val="0"/>
              </w:numPr>
              <w:rPr>
                <w:szCs w:val="24"/>
              </w:rPr>
            </w:pPr>
            <w:r w:rsidRPr="00DE752E">
              <w:rPr>
                <w:rStyle w:val="Strong"/>
              </w:rPr>
              <w:t>Your response</w:t>
            </w:r>
          </w:p>
        </w:tc>
      </w:tr>
      <w:tr w:rsidR="006D340F" w14:paraId="6B0D7E15" w14:textId="77777777" w:rsidTr="012582D3">
        <w:tc>
          <w:tcPr>
            <w:tcW w:w="4613" w:type="dxa"/>
          </w:tcPr>
          <w:p w14:paraId="7043FFF3" w14:textId="41BB684B" w:rsidR="006D340F" w:rsidRPr="00CD67F5" w:rsidRDefault="00D62343" w:rsidP="006E2037">
            <w:pPr>
              <w:numPr>
                <w:ilvl w:val="0"/>
                <w:numId w:val="2"/>
              </w:numPr>
              <w:spacing w:before="120" w:after="120" w:line="240" w:lineRule="auto"/>
              <w:rPr>
                <w:rFonts w:eastAsia="Calibri" w:cs="Arial"/>
                <w:color w:val="000000"/>
              </w:rPr>
            </w:pPr>
            <w:r>
              <w:t>Provide c</w:t>
            </w:r>
            <w:r w:rsidRPr="00627C33">
              <w:t xml:space="preserve">onfirmation </w:t>
            </w:r>
            <w:r>
              <w:t xml:space="preserve">that </w:t>
            </w:r>
            <w:r w:rsidR="006D340F" w:rsidRPr="00627C33">
              <w:t>utility companies and other works promoters have been notified of scheme proposals and will provide</w:t>
            </w:r>
            <w:r>
              <w:t xml:space="preserve"> at least</w:t>
            </w:r>
            <w:r w:rsidR="006D340F" w:rsidRPr="00627C33">
              <w:t xml:space="preserve"> 12 weeks' notice of scheme commencement</w:t>
            </w:r>
            <w:r>
              <w:t>.</w:t>
            </w:r>
          </w:p>
        </w:tc>
        <w:tc>
          <w:tcPr>
            <w:tcW w:w="4403" w:type="dxa"/>
          </w:tcPr>
          <w:p w14:paraId="7BBF0AC7" w14:textId="77777777" w:rsidR="006D340F" w:rsidRPr="00102B0F" w:rsidRDefault="006D340F" w:rsidP="006D340F">
            <w:pPr>
              <w:numPr>
                <w:ilvl w:val="0"/>
                <w:numId w:val="0"/>
              </w:numPr>
              <w:rPr>
                <w:szCs w:val="24"/>
              </w:rPr>
            </w:pPr>
          </w:p>
        </w:tc>
      </w:tr>
      <w:tr w:rsidR="006D340F" w14:paraId="7D921DDE" w14:textId="77777777" w:rsidTr="012582D3">
        <w:tc>
          <w:tcPr>
            <w:tcW w:w="4613" w:type="dxa"/>
          </w:tcPr>
          <w:p w14:paraId="7FAAED54" w14:textId="080F579A" w:rsidR="006D340F" w:rsidRPr="00CD67F5" w:rsidRDefault="00D62343" w:rsidP="006D340F">
            <w:pPr>
              <w:numPr>
                <w:ilvl w:val="0"/>
                <w:numId w:val="2"/>
              </w:numPr>
              <w:spacing w:before="120" w:after="120" w:line="240" w:lineRule="auto"/>
              <w:rPr>
                <w:rFonts w:eastAsia="Calibri" w:cs="Arial"/>
                <w:color w:val="000000"/>
                <w:szCs w:val="24"/>
              </w:rPr>
            </w:pPr>
            <w:r>
              <w:t>Provide c</w:t>
            </w:r>
            <w:r w:rsidRPr="00627C33">
              <w:t xml:space="preserve">onfirmation </w:t>
            </w:r>
            <w:r w:rsidR="006D340F" w:rsidRPr="00627C33">
              <w:t>that all required consultation processes have been met and details of any changes have been made following that consultation</w:t>
            </w:r>
            <w:r>
              <w:t>.</w:t>
            </w:r>
          </w:p>
        </w:tc>
        <w:tc>
          <w:tcPr>
            <w:tcW w:w="4403" w:type="dxa"/>
          </w:tcPr>
          <w:p w14:paraId="5B5F998A" w14:textId="77777777" w:rsidR="006D340F" w:rsidRPr="00102B0F" w:rsidRDefault="006D340F" w:rsidP="006D340F">
            <w:pPr>
              <w:numPr>
                <w:ilvl w:val="0"/>
                <w:numId w:val="0"/>
              </w:numPr>
              <w:rPr>
                <w:szCs w:val="24"/>
              </w:rPr>
            </w:pPr>
          </w:p>
        </w:tc>
      </w:tr>
      <w:tr w:rsidR="006D340F" w14:paraId="257ED6A4" w14:textId="77777777" w:rsidTr="012582D3">
        <w:tc>
          <w:tcPr>
            <w:tcW w:w="4613" w:type="dxa"/>
          </w:tcPr>
          <w:p w14:paraId="6990CC93" w14:textId="4FA0718E" w:rsidR="006D340F" w:rsidRPr="00791E64" w:rsidRDefault="00D62343" w:rsidP="006D340F">
            <w:pPr>
              <w:numPr>
                <w:ilvl w:val="0"/>
                <w:numId w:val="2"/>
              </w:numPr>
              <w:spacing w:before="120" w:after="120" w:line="240" w:lineRule="auto"/>
              <w:rPr>
                <w:rFonts w:eastAsia="Calibri" w:cs="Arial"/>
                <w:color w:val="000000"/>
              </w:rPr>
            </w:pPr>
            <w:r>
              <w:t>Provide co</w:t>
            </w:r>
            <w:r w:rsidRPr="00627C33">
              <w:t xml:space="preserve">nfirmation </w:t>
            </w:r>
            <w:r w:rsidR="006D340F" w:rsidRPr="00627C33">
              <w:t>that all financial requirements have been met</w:t>
            </w:r>
            <w:r>
              <w:t>.</w:t>
            </w:r>
          </w:p>
        </w:tc>
        <w:tc>
          <w:tcPr>
            <w:tcW w:w="4403" w:type="dxa"/>
          </w:tcPr>
          <w:p w14:paraId="73051836" w14:textId="77777777" w:rsidR="006D340F" w:rsidRPr="00102B0F" w:rsidRDefault="006D340F" w:rsidP="006D340F">
            <w:pPr>
              <w:numPr>
                <w:ilvl w:val="0"/>
                <w:numId w:val="0"/>
              </w:numPr>
              <w:rPr>
                <w:szCs w:val="24"/>
              </w:rPr>
            </w:pPr>
          </w:p>
        </w:tc>
      </w:tr>
      <w:tr w:rsidR="00C31A43" w14:paraId="0AA26691" w14:textId="77777777" w:rsidTr="012582D3">
        <w:trPr>
          <w:trHeight w:val="300"/>
        </w:trPr>
        <w:tc>
          <w:tcPr>
            <w:tcW w:w="4613" w:type="dxa"/>
          </w:tcPr>
          <w:p w14:paraId="6D3B2DE6" w14:textId="593140C8" w:rsidR="00C31A43" w:rsidRPr="00627C33" w:rsidRDefault="00D62343" w:rsidP="006D340F">
            <w:pPr>
              <w:numPr>
                <w:ilvl w:val="0"/>
                <w:numId w:val="2"/>
              </w:numPr>
              <w:spacing w:before="120" w:after="120" w:line="240" w:lineRule="auto"/>
            </w:pPr>
            <w:r>
              <w:t>Provide c</w:t>
            </w:r>
            <w:r w:rsidRPr="00627C33">
              <w:t xml:space="preserve">onfirmation </w:t>
            </w:r>
            <w:r w:rsidR="00C31A43" w:rsidRPr="00627C33">
              <w:t>that traffic sensitive street designations have been reviewed and updated</w:t>
            </w:r>
            <w:r>
              <w:t>.</w:t>
            </w:r>
          </w:p>
        </w:tc>
        <w:tc>
          <w:tcPr>
            <w:tcW w:w="4403" w:type="dxa"/>
          </w:tcPr>
          <w:p w14:paraId="125CBBEE" w14:textId="77777777" w:rsidR="00C31A43" w:rsidRDefault="00C31A43" w:rsidP="006D340F">
            <w:pPr>
              <w:numPr>
                <w:ilvl w:val="0"/>
                <w:numId w:val="0"/>
              </w:numPr>
              <w:ind w:left="720" w:hanging="720"/>
            </w:pPr>
          </w:p>
        </w:tc>
      </w:tr>
      <w:tr w:rsidR="006D340F" w14:paraId="447A575B" w14:textId="77777777" w:rsidTr="012582D3">
        <w:tc>
          <w:tcPr>
            <w:tcW w:w="4613" w:type="dxa"/>
          </w:tcPr>
          <w:p w14:paraId="02A66D0C" w14:textId="518F1D95" w:rsidR="006D340F" w:rsidRPr="00627C33" w:rsidRDefault="00D62343" w:rsidP="006D340F">
            <w:pPr>
              <w:numPr>
                <w:ilvl w:val="0"/>
                <w:numId w:val="0"/>
              </w:numPr>
            </w:pPr>
            <w:r>
              <w:t>Provide c</w:t>
            </w:r>
            <w:r w:rsidRPr="00627C33">
              <w:t xml:space="preserve">opies </w:t>
            </w:r>
            <w:r w:rsidR="006D340F" w:rsidRPr="00627C33">
              <w:t xml:space="preserve">of all permit scheme evaluation reports as required by the permit scheme amendment regulation 2015 (regulation 16A). </w:t>
            </w:r>
          </w:p>
          <w:p w14:paraId="67EFA1DE" w14:textId="08480D69" w:rsidR="00D62343" w:rsidRPr="006E2037" w:rsidRDefault="006D340F" w:rsidP="006D340F">
            <w:pPr>
              <w:numPr>
                <w:ilvl w:val="0"/>
                <w:numId w:val="2"/>
              </w:numPr>
              <w:spacing w:before="120" w:after="120" w:line="240" w:lineRule="auto"/>
              <w:rPr>
                <w:rFonts w:eastAsia="Calibri" w:cs="Arial"/>
                <w:i/>
                <w:color w:val="000000"/>
                <w:szCs w:val="24"/>
              </w:rPr>
            </w:pPr>
            <w:r w:rsidRPr="00627C33">
              <w:t xml:space="preserve">As a minimum, all applicants need to </w:t>
            </w:r>
            <w:r w:rsidR="00D62343">
              <w:t>operate</w:t>
            </w:r>
            <w:r w:rsidRPr="00627C33">
              <w:t xml:space="preserve"> a permit scheme and have provided at least one 12-month evaluation. </w:t>
            </w:r>
          </w:p>
          <w:p w14:paraId="5E7DF252" w14:textId="77777777" w:rsidR="00D62343" w:rsidRPr="006E2037" w:rsidRDefault="00D62343" w:rsidP="006D340F">
            <w:pPr>
              <w:numPr>
                <w:ilvl w:val="0"/>
                <w:numId w:val="2"/>
              </w:numPr>
              <w:spacing w:before="120" w:after="120" w:line="240" w:lineRule="auto"/>
              <w:rPr>
                <w:rFonts w:eastAsia="Calibri" w:cs="Arial"/>
                <w:i/>
                <w:color w:val="000000"/>
                <w:szCs w:val="24"/>
              </w:rPr>
            </w:pPr>
          </w:p>
          <w:p w14:paraId="22E6787F" w14:textId="1BC7E3E1" w:rsidR="006D340F" w:rsidRPr="00CD67F5" w:rsidRDefault="006D340F" w:rsidP="006D340F">
            <w:pPr>
              <w:numPr>
                <w:ilvl w:val="0"/>
                <w:numId w:val="2"/>
              </w:numPr>
              <w:spacing w:before="120" w:after="120" w:line="240" w:lineRule="auto"/>
              <w:rPr>
                <w:rFonts w:eastAsia="Calibri" w:cs="Arial"/>
                <w:i/>
                <w:color w:val="000000"/>
                <w:szCs w:val="24"/>
              </w:rPr>
            </w:pPr>
            <w:r w:rsidRPr="00627C33">
              <w:t>All schemes operating permit schemes must fully comply with the requirements in the relevant regulations</w:t>
            </w:r>
          </w:p>
        </w:tc>
        <w:tc>
          <w:tcPr>
            <w:tcW w:w="4403" w:type="dxa"/>
          </w:tcPr>
          <w:p w14:paraId="7EA96AFD" w14:textId="0B5C8A3C" w:rsidR="006D340F" w:rsidRPr="00102B0F" w:rsidRDefault="006D340F" w:rsidP="006D340F">
            <w:pPr>
              <w:numPr>
                <w:ilvl w:val="0"/>
                <w:numId w:val="0"/>
              </w:numPr>
              <w:spacing w:before="120" w:after="0" w:line="240" w:lineRule="auto"/>
              <w:jc w:val="both"/>
              <w:rPr>
                <w:rFonts w:eastAsia="Calibri" w:cs="Arial"/>
                <w:szCs w:val="24"/>
              </w:rPr>
            </w:pPr>
          </w:p>
        </w:tc>
      </w:tr>
      <w:tr w:rsidR="006D340F" w14:paraId="0EC74765" w14:textId="77777777" w:rsidTr="006E2037">
        <w:tc>
          <w:tcPr>
            <w:tcW w:w="4613" w:type="dxa"/>
            <w:tcBorders>
              <w:bottom w:val="single" w:sz="4" w:space="0" w:color="auto"/>
            </w:tcBorders>
          </w:tcPr>
          <w:p w14:paraId="18BE0C71" w14:textId="12F2E3DE" w:rsidR="006D340F" w:rsidRPr="00CD67F5" w:rsidRDefault="00D62343" w:rsidP="006D340F">
            <w:pPr>
              <w:numPr>
                <w:ilvl w:val="0"/>
                <w:numId w:val="2"/>
              </w:numPr>
              <w:spacing w:before="120" w:after="120" w:line="240" w:lineRule="auto"/>
              <w:rPr>
                <w:rFonts w:eastAsia="Calibri" w:cs="Arial"/>
                <w:i/>
                <w:color w:val="000000"/>
                <w:szCs w:val="24"/>
              </w:rPr>
            </w:pPr>
            <w:r>
              <w:t>Provide d</w:t>
            </w:r>
            <w:r w:rsidRPr="00627C33">
              <w:t xml:space="preserve">etails </w:t>
            </w:r>
            <w:r w:rsidR="006D340F" w:rsidRPr="00627C33">
              <w:t xml:space="preserve">of any transitional arrangements </w:t>
            </w:r>
            <w:r>
              <w:t>that</w:t>
            </w:r>
            <w:r w:rsidRPr="00627C33">
              <w:t xml:space="preserve"> </w:t>
            </w:r>
            <w:r w:rsidR="006D340F" w:rsidRPr="00627C33">
              <w:t>the authority would wish to apply in relation to the scheme coming into effect</w:t>
            </w:r>
            <w:r>
              <w:t>.</w:t>
            </w:r>
          </w:p>
        </w:tc>
        <w:tc>
          <w:tcPr>
            <w:tcW w:w="4403" w:type="dxa"/>
          </w:tcPr>
          <w:p w14:paraId="4DF017A1" w14:textId="782FC57C" w:rsidR="006D340F" w:rsidRPr="00102B0F" w:rsidRDefault="006D340F" w:rsidP="006D340F">
            <w:pPr>
              <w:numPr>
                <w:ilvl w:val="0"/>
                <w:numId w:val="0"/>
              </w:numPr>
              <w:rPr>
                <w:szCs w:val="24"/>
              </w:rPr>
            </w:pPr>
          </w:p>
        </w:tc>
      </w:tr>
      <w:tr w:rsidR="006D340F" w14:paraId="275B072D" w14:textId="77777777" w:rsidTr="006E2037">
        <w:tc>
          <w:tcPr>
            <w:tcW w:w="4613" w:type="dxa"/>
            <w:tcBorders>
              <w:bottom w:val="single" w:sz="4" w:space="0" w:color="auto"/>
            </w:tcBorders>
          </w:tcPr>
          <w:p w14:paraId="56EB18A6" w14:textId="0B1C70A0" w:rsidR="006D340F" w:rsidRPr="00627C33" w:rsidRDefault="00D62343" w:rsidP="00D62343">
            <w:pPr>
              <w:numPr>
                <w:ilvl w:val="0"/>
                <w:numId w:val="0"/>
              </w:numPr>
            </w:pPr>
            <w:r>
              <w:t>Provide r</w:t>
            </w:r>
            <w:r w:rsidRPr="00627C33">
              <w:t xml:space="preserve">eferences </w:t>
            </w:r>
            <w:r w:rsidR="006D340F" w:rsidRPr="00627C33">
              <w:t>to handling national infrastructure projects</w:t>
            </w:r>
            <w:r w:rsidR="00823D2B">
              <w:t xml:space="preserve"> (such as heat networks</w:t>
            </w:r>
            <w:r w:rsidR="00FB4F24">
              <w:t xml:space="preserve"> and</w:t>
            </w:r>
            <w:r w:rsidR="00823D2B">
              <w:t xml:space="preserve"> electric vehicle charging infrastruc</w:t>
            </w:r>
            <w:r w:rsidR="00FB4F24">
              <w:t>ture</w:t>
            </w:r>
            <w:r w:rsidR="00823D2B">
              <w:t xml:space="preserve"> and broadband rollout)</w:t>
            </w:r>
            <w:r>
              <w:t>.</w:t>
            </w:r>
          </w:p>
          <w:p w14:paraId="39854087" w14:textId="59EB4B81" w:rsidR="006D340F" w:rsidRPr="006E2037" w:rsidRDefault="006D340F" w:rsidP="006E2037">
            <w:pPr>
              <w:numPr>
                <w:ilvl w:val="0"/>
                <w:numId w:val="0"/>
              </w:numPr>
              <w:spacing w:before="120" w:after="120" w:line="240" w:lineRule="auto"/>
            </w:pPr>
            <w:r w:rsidRPr="00627C33">
              <w:t>To note lane rental is dis-applied from HS2 works under the High-Speed Rail (London</w:t>
            </w:r>
            <w:r w:rsidR="006E2037">
              <w:t xml:space="preserve"> </w:t>
            </w:r>
            <w:r w:rsidR="00D62343">
              <w:t>to</w:t>
            </w:r>
            <w:r w:rsidRPr="00627C33">
              <w:t xml:space="preserve"> West Midlands) Act 2017</w:t>
            </w:r>
            <w:r w:rsidR="00D62343">
              <w:t>.</w:t>
            </w:r>
          </w:p>
        </w:tc>
        <w:tc>
          <w:tcPr>
            <w:tcW w:w="4403" w:type="dxa"/>
          </w:tcPr>
          <w:p w14:paraId="480949A5" w14:textId="5BB80DE5" w:rsidR="006D340F" w:rsidRPr="00102B0F" w:rsidRDefault="006D340F" w:rsidP="006D340F">
            <w:pPr>
              <w:numPr>
                <w:ilvl w:val="0"/>
                <w:numId w:val="0"/>
              </w:numPr>
              <w:rPr>
                <w:szCs w:val="24"/>
              </w:rPr>
            </w:pPr>
          </w:p>
        </w:tc>
      </w:tr>
      <w:tr w:rsidR="00DE752E" w14:paraId="6A66E665" w14:textId="77777777" w:rsidTr="00DE752E">
        <w:tc>
          <w:tcPr>
            <w:tcW w:w="4613" w:type="dxa"/>
            <w:tcBorders>
              <w:top w:val="single" w:sz="4" w:space="0" w:color="auto"/>
            </w:tcBorders>
            <w:shd w:val="clear" w:color="auto" w:fill="000000" w:themeFill="text1"/>
          </w:tcPr>
          <w:p w14:paraId="3A156084" w14:textId="77777777" w:rsidR="00DE752E" w:rsidRPr="00DE752E" w:rsidRDefault="00DE752E" w:rsidP="00DE752E">
            <w:pPr>
              <w:numPr>
                <w:ilvl w:val="0"/>
                <w:numId w:val="0"/>
              </w:numPr>
              <w:spacing w:after="0" w:line="240" w:lineRule="auto"/>
              <w:rPr>
                <w:rStyle w:val="Strong"/>
                <w:color w:val="FFFFFF" w:themeColor="background1"/>
              </w:rPr>
            </w:pPr>
            <w:r w:rsidRPr="00DE752E">
              <w:rPr>
                <w:rStyle w:val="Strong"/>
                <w:color w:val="FFFFFF" w:themeColor="background1"/>
              </w:rPr>
              <w:lastRenderedPageBreak/>
              <w:t>Required</w:t>
            </w:r>
          </w:p>
          <w:p w14:paraId="08506EE4" w14:textId="77777777" w:rsidR="00DE752E" w:rsidRDefault="00DE752E" w:rsidP="00DE752E">
            <w:pPr>
              <w:numPr>
                <w:ilvl w:val="0"/>
                <w:numId w:val="0"/>
              </w:numPr>
            </w:pPr>
          </w:p>
        </w:tc>
        <w:tc>
          <w:tcPr>
            <w:tcW w:w="4403" w:type="dxa"/>
            <w:shd w:val="clear" w:color="auto" w:fill="000000" w:themeFill="text1"/>
          </w:tcPr>
          <w:p w14:paraId="10BAD415" w14:textId="53A39253" w:rsidR="00DE752E" w:rsidRPr="00DE752E" w:rsidRDefault="00DE752E" w:rsidP="00DE752E">
            <w:pPr>
              <w:numPr>
                <w:ilvl w:val="0"/>
                <w:numId w:val="0"/>
              </w:numPr>
              <w:rPr>
                <w:color w:val="FFFFFF" w:themeColor="background1"/>
                <w:szCs w:val="24"/>
              </w:rPr>
            </w:pPr>
            <w:r w:rsidRPr="00DE752E">
              <w:rPr>
                <w:rStyle w:val="Strong"/>
                <w:color w:val="FFFFFF" w:themeColor="background1"/>
              </w:rPr>
              <w:t>Your response</w:t>
            </w:r>
          </w:p>
        </w:tc>
      </w:tr>
      <w:tr w:rsidR="00DE752E" w14:paraId="5CF55B25" w14:textId="77777777" w:rsidTr="006E2037">
        <w:tc>
          <w:tcPr>
            <w:tcW w:w="4613" w:type="dxa"/>
            <w:tcBorders>
              <w:top w:val="single" w:sz="4" w:space="0" w:color="auto"/>
            </w:tcBorders>
          </w:tcPr>
          <w:p w14:paraId="4771EB09" w14:textId="3392B2D0" w:rsidR="00DE752E" w:rsidRDefault="00DE752E" w:rsidP="00DE752E">
            <w:pPr>
              <w:numPr>
                <w:ilvl w:val="0"/>
                <w:numId w:val="0"/>
              </w:numPr>
            </w:pPr>
            <w:r>
              <w:t>Provide d</w:t>
            </w:r>
            <w:r w:rsidRPr="00627C33">
              <w:t>etails of the team that will be in place to operate the scheme</w:t>
            </w:r>
            <w:r>
              <w:t xml:space="preserve">. </w:t>
            </w:r>
          </w:p>
          <w:p w14:paraId="0C1B57DC" w14:textId="6CAA3CCC" w:rsidR="00DE752E" w:rsidRPr="006E2037" w:rsidRDefault="00DE752E" w:rsidP="00DE752E">
            <w:pPr>
              <w:numPr>
                <w:ilvl w:val="0"/>
                <w:numId w:val="0"/>
              </w:numPr>
            </w:pPr>
            <w:r>
              <w:t>Include</w:t>
            </w:r>
            <w:r w:rsidRPr="00627C33">
              <w:t xml:space="preserve"> contact information </w:t>
            </w:r>
            <w:r>
              <w:t xml:space="preserve">such as </w:t>
            </w:r>
            <w:r w:rsidRPr="00627C33">
              <w:t>email and telephone</w:t>
            </w:r>
            <w:r>
              <w:t xml:space="preserve"> number.</w:t>
            </w:r>
          </w:p>
        </w:tc>
        <w:tc>
          <w:tcPr>
            <w:tcW w:w="4403" w:type="dxa"/>
          </w:tcPr>
          <w:p w14:paraId="10064E45" w14:textId="3EFA011A" w:rsidR="00DE752E" w:rsidRPr="00102B0F" w:rsidRDefault="00DE752E" w:rsidP="00DE752E">
            <w:pPr>
              <w:numPr>
                <w:ilvl w:val="0"/>
                <w:numId w:val="0"/>
              </w:numPr>
              <w:rPr>
                <w:szCs w:val="24"/>
              </w:rPr>
            </w:pPr>
          </w:p>
        </w:tc>
      </w:tr>
      <w:tr w:rsidR="00DE752E" w14:paraId="150D42A3" w14:textId="77777777" w:rsidTr="012582D3">
        <w:trPr>
          <w:trHeight w:val="300"/>
        </w:trPr>
        <w:tc>
          <w:tcPr>
            <w:tcW w:w="4613" w:type="dxa"/>
          </w:tcPr>
          <w:p w14:paraId="3F359658" w14:textId="0A87D75D" w:rsidR="00DE752E" w:rsidRDefault="00DE752E" w:rsidP="00DE752E">
            <w:pPr>
              <w:spacing w:before="120" w:after="120" w:line="240" w:lineRule="auto"/>
              <w:ind w:left="0"/>
              <w:rPr>
                <w:rFonts w:eastAsia="Calibri" w:cs="Arial"/>
                <w:color w:val="000000" w:themeColor="text1"/>
              </w:rPr>
            </w:pPr>
            <w:r>
              <w:t>Provide a</w:t>
            </w:r>
            <w:r w:rsidRPr="00627C33">
              <w:t xml:space="preserve"> completed cost-benefit analysis </w:t>
            </w:r>
            <w:r>
              <w:t>form</w:t>
            </w:r>
            <w:r w:rsidRPr="00627C33">
              <w:t xml:space="preserve"> (published alongside </w:t>
            </w:r>
            <w:r>
              <w:br/>
              <w:t>the</w:t>
            </w:r>
            <w:r w:rsidRPr="00627C33">
              <w:t xml:space="preserve"> guidance)</w:t>
            </w:r>
            <w:r>
              <w:t>.</w:t>
            </w:r>
            <w:r w:rsidRPr="00627C33">
              <w:t xml:space="preserve"> </w:t>
            </w:r>
          </w:p>
        </w:tc>
        <w:tc>
          <w:tcPr>
            <w:tcW w:w="4403" w:type="dxa"/>
          </w:tcPr>
          <w:p w14:paraId="30C125A8" w14:textId="2BEF9D9C" w:rsidR="00DE752E" w:rsidRDefault="00DE752E" w:rsidP="00DE752E">
            <w:pPr>
              <w:numPr>
                <w:ilvl w:val="0"/>
                <w:numId w:val="0"/>
              </w:numPr>
              <w:rPr>
                <w:rFonts w:eastAsia="Calibri" w:cs="Arial"/>
              </w:rPr>
            </w:pPr>
          </w:p>
        </w:tc>
      </w:tr>
    </w:tbl>
    <w:p w14:paraId="205B0588" w14:textId="77777777" w:rsidR="00A163CE" w:rsidRDefault="00A163CE" w:rsidP="00C94C71">
      <w:pPr>
        <w:numPr>
          <w:ilvl w:val="0"/>
          <w:numId w:val="0"/>
        </w:numPr>
      </w:pPr>
    </w:p>
    <w:p w14:paraId="16B69690" w14:textId="27EAD4BA" w:rsidR="00F117DA" w:rsidRPr="0095441D" w:rsidRDefault="00F117DA" w:rsidP="00F117DA">
      <w:pPr>
        <w:numPr>
          <w:ilvl w:val="0"/>
          <w:numId w:val="0"/>
        </w:numPr>
        <w:spacing w:after="0" w:line="240" w:lineRule="auto"/>
        <w:rPr>
          <w:rStyle w:val="Strong"/>
        </w:rPr>
      </w:pPr>
      <w:r w:rsidRPr="0095441D">
        <w:rPr>
          <w:rStyle w:val="Strong"/>
        </w:rPr>
        <w:t>3. Sending this form to DfT</w:t>
      </w:r>
    </w:p>
    <w:p w14:paraId="531E2203" w14:textId="77777777" w:rsidR="00F117DA" w:rsidRDefault="00F117DA" w:rsidP="00F117DA">
      <w:pPr>
        <w:numPr>
          <w:ilvl w:val="0"/>
          <w:numId w:val="0"/>
        </w:numPr>
        <w:spacing w:after="0" w:line="240" w:lineRule="auto"/>
        <w:rPr>
          <w:b/>
          <w:bCs/>
        </w:rPr>
      </w:pPr>
    </w:p>
    <w:p w14:paraId="5B3300C3" w14:textId="4AC6A8CA" w:rsidR="00F117DA" w:rsidRPr="00765D83" w:rsidRDefault="00F117DA" w:rsidP="00F117DA">
      <w:pPr>
        <w:numPr>
          <w:ilvl w:val="0"/>
          <w:numId w:val="0"/>
        </w:numPr>
        <w:spacing w:after="0" w:line="240" w:lineRule="auto"/>
        <w:rPr>
          <w:rFonts w:eastAsia="Calibri" w:cs="Arial"/>
          <w:szCs w:val="24"/>
        </w:rPr>
      </w:pPr>
      <w:r>
        <w:rPr>
          <w:rFonts w:eastAsia="Calibri" w:cs="Arial"/>
        </w:rPr>
        <w:t>You can send this form by</w:t>
      </w:r>
      <w:r w:rsidRPr="012582D3">
        <w:rPr>
          <w:rFonts w:eastAsia="Calibri" w:cs="Arial"/>
        </w:rPr>
        <w:t xml:space="preserve"> </w:t>
      </w:r>
      <w:r>
        <w:rPr>
          <w:rFonts w:eastAsia="Calibri" w:cs="Arial"/>
        </w:rPr>
        <w:t>e</w:t>
      </w:r>
      <w:r w:rsidRPr="012582D3">
        <w:rPr>
          <w:rFonts w:eastAsia="Calibri" w:cs="Arial"/>
        </w:rPr>
        <w:t>mail</w:t>
      </w:r>
      <w:r>
        <w:rPr>
          <w:rFonts w:eastAsia="Calibri" w:cs="Arial"/>
        </w:rPr>
        <w:t xml:space="preserve"> to </w:t>
      </w:r>
      <w:hyperlink r:id="rId12" w:history="1">
        <w:r>
          <w:rPr>
            <w:rStyle w:val="Hyperlink"/>
          </w:rPr>
          <w:t>street.manager@dft.gov.uk</w:t>
        </w:r>
      </w:hyperlink>
      <w:r>
        <w:t>.</w:t>
      </w:r>
    </w:p>
    <w:p w14:paraId="558A5DD4" w14:textId="4EB1184C" w:rsidR="00F117DA" w:rsidRDefault="00F117DA" w:rsidP="00F117DA">
      <w:pPr>
        <w:numPr>
          <w:ilvl w:val="0"/>
          <w:numId w:val="2"/>
        </w:numPr>
        <w:spacing w:after="0"/>
        <w:rPr>
          <w:rFonts w:eastAsia="Calibri" w:cs="Arial"/>
        </w:rPr>
      </w:pPr>
      <w:r w:rsidRPr="012582D3">
        <w:rPr>
          <w:rFonts w:eastAsia="Calibri" w:cs="Arial"/>
        </w:rPr>
        <w:t xml:space="preserve"> </w:t>
      </w:r>
    </w:p>
    <w:p w14:paraId="62AF1439" w14:textId="4EC7B54A" w:rsidR="00F117DA" w:rsidRPr="00124C7A" w:rsidRDefault="00F117DA" w:rsidP="00124C7A">
      <w:pPr>
        <w:numPr>
          <w:ilvl w:val="0"/>
          <w:numId w:val="2"/>
        </w:numPr>
        <w:spacing w:after="0"/>
        <w:rPr>
          <w:rFonts w:eastAsia="Calibri" w:cs="Arial"/>
        </w:rPr>
      </w:pPr>
      <w:r>
        <w:rPr>
          <w:rFonts w:eastAsia="Calibri" w:cs="Arial"/>
        </w:rPr>
        <w:t>S</w:t>
      </w:r>
      <w:r w:rsidRPr="00F117DA">
        <w:rPr>
          <w:rFonts w:eastAsia="Calibri" w:cs="Arial"/>
        </w:rPr>
        <w:t>upply a copy of this application checklist form or similar alongside relevant scheme supporting documents and information. The subject line of the email should be marked ‘Confidential Lane Rental Application FAO Head of Street Works &amp; Regulation Policy: [highway authority name]’</w:t>
      </w:r>
    </w:p>
    <w:sectPr w:rsidR="00F117DA" w:rsidRPr="00124C7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954" w14:textId="77777777" w:rsidR="00D47517" w:rsidRDefault="00D47517" w:rsidP="003471D2">
      <w:pPr>
        <w:spacing w:after="0" w:line="240" w:lineRule="auto"/>
      </w:pPr>
      <w:r>
        <w:separator/>
      </w:r>
    </w:p>
  </w:endnote>
  <w:endnote w:type="continuationSeparator" w:id="0">
    <w:p w14:paraId="4570ADA4" w14:textId="77777777" w:rsidR="00D47517" w:rsidRDefault="00D47517" w:rsidP="0034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330456"/>
      <w:docPartObj>
        <w:docPartGallery w:val="Page Numbers (Bottom of Page)"/>
        <w:docPartUnique/>
      </w:docPartObj>
    </w:sdtPr>
    <w:sdtEndPr>
      <w:rPr>
        <w:noProof/>
      </w:rPr>
    </w:sdtEndPr>
    <w:sdtContent>
      <w:p w14:paraId="1D626AEE" w14:textId="555971A8" w:rsidR="003471D2" w:rsidRDefault="003471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784F9" w14:textId="77777777" w:rsidR="003471D2" w:rsidRDefault="0034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1C45" w14:textId="77777777" w:rsidR="00D47517" w:rsidRDefault="00D47517" w:rsidP="003471D2">
      <w:pPr>
        <w:spacing w:after="0" w:line="240" w:lineRule="auto"/>
      </w:pPr>
      <w:r>
        <w:separator/>
      </w:r>
    </w:p>
  </w:footnote>
  <w:footnote w:type="continuationSeparator" w:id="0">
    <w:p w14:paraId="7F4A9832" w14:textId="77777777" w:rsidR="00D47517" w:rsidRDefault="00D47517" w:rsidP="00347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E8C"/>
    <w:multiLevelType w:val="hybridMultilevel"/>
    <w:tmpl w:val="299224B6"/>
    <w:lvl w:ilvl="0" w:tplc="02220EC8">
      <w:start w:val="1"/>
      <w:numFmt w:val="decimal"/>
      <w:pStyle w:val="Normal"/>
      <w:lvlText w:val=""/>
      <w:lvlJc w:val="left"/>
      <w:pPr>
        <w:tabs>
          <w:tab w:val="num" w:pos="720"/>
        </w:tabs>
        <w:ind w:left="720" w:hanging="720"/>
      </w:pPr>
    </w:lvl>
    <w:lvl w:ilvl="1" w:tplc="5F14025C">
      <w:start w:val="1"/>
      <w:numFmt w:val="decimal"/>
      <w:lvlText w:val="%2."/>
      <w:lvlJc w:val="left"/>
      <w:pPr>
        <w:tabs>
          <w:tab w:val="num" w:pos="1440"/>
        </w:tabs>
        <w:ind w:left="1440" w:hanging="720"/>
      </w:pPr>
    </w:lvl>
    <w:lvl w:ilvl="2" w:tplc="F24AA9CC">
      <w:start w:val="1"/>
      <w:numFmt w:val="decimal"/>
      <w:lvlText w:val="%3."/>
      <w:lvlJc w:val="left"/>
      <w:pPr>
        <w:tabs>
          <w:tab w:val="num" w:pos="2160"/>
        </w:tabs>
        <w:ind w:left="2160" w:hanging="720"/>
      </w:pPr>
    </w:lvl>
    <w:lvl w:ilvl="3" w:tplc="9780A752">
      <w:start w:val="1"/>
      <w:numFmt w:val="decimal"/>
      <w:lvlText w:val="%4."/>
      <w:lvlJc w:val="left"/>
      <w:pPr>
        <w:tabs>
          <w:tab w:val="num" w:pos="2880"/>
        </w:tabs>
        <w:ind w:left="2880" w:hanging="720"/>
      </w:pPr>
    </w:lvl>
    <w:lvl w:ilvl="4" w:tplc="804C66A2">
      <w:start w:val="1"/>
      <w:numFmt w:val="decimal"/>
      <w:lvlText w:val="%5."/>
      <w:lvlJc w:val="left"/>
      <w:pPr>
        <w:tabs>
          <w:tab w:val="num" w:pos="3600"/>
        </w:tabs>
        <w:ind w:left="3600" w:hanging="720"/>
      </w:pPr>
    </w:lvl>
    <w:lvl w:ilvl="5" w:tplc="DBA00DB8">
      <w:start w:val="1"/>
      <w:numFmt w:val="decimal"/>
      <w:lvlText w:val="%6."/>
      <w:lvlJc w:val="left"/>
      <w:pPr>
        <w:tabs>
          <w:tab w:val="num" w:pos="4320"/>
        </w:tabs>
        <w:ind w:left="4320" w:hanging="720"/>
      </w:pPr>
    </w:lvl>
    <w:lvl w:ilvl="6" w:tplc="B922F088">
      <w:start w:val="1"/>
      <w:numFmt w:val="decimal"/>
      <w:lvlText w:val="%7."/>
      <w:lvlJc w:val="left"/>
      <w:pPr>
        <w:tabs>
          <w:tab w:val="num" w:pos="5040"/>
        </w:tabs>
        <w:ind w:left="5040" w:hanging="720"/>
      </w:pPr>
    </w:lvl>
    <w:lvl w:ilvl="7" w:tplc="4C14171A">
      <w:start w:val="1"/>
      <w:numFmt w:val="decimal"/>
      <w:lvlText w:val="%8."/>
      <w:lvlJc w:val="left"/>
      <w:pPr>
        <w:tabs>
          <w:tab w:val="num" w:pos="5760"/>
        </w:tabs>
        <w:ind w:left="5760" w:hanging="720"/>
      </w:pPr>
    </w:lvl>
    <w:lvl w:ilvl="8" w:tplc="93B047B0">
      <w:start w:val="1"/>
      <w:numFmt w:val="decimal"/>
      <w:lvlText w:val="%9."/>
      <w:lvlJc w:val="left"/>
      <w:pPr>
        <w:tabs>
          <w:tab w:val="num" w:pos="6480"/>
        </w:tabs>
        <w:ind w:left="6480" w:hanging="720"/>
      </w:pPr>
    </w:lvl>
  </w:abstractNum>
  <w:abstractNum w:abstractNumId="1" w15:restartNumberingAfterBreak="0">
    <w:nsid w:val="1A526DA0"/>
    <w:multiLevelType w:val="hybridMultilevel"/>
    <w:tmpl w:val="AA7C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A15A2"/>
    <w:multiLevelType w:val="multilevel"/>
    <w:tmpl w:val="DB281934"/>
    <w:styleLink w:val="ORRNormalList"/>
    <w:lvl w:ilvl="0">
      <w:start w:val="1"/>
      <w:numFmt w:val="none"/>
      <w:suff w:val="nothing"/>
      <w:lvlText w:val=""/>
      <w:lvlJc w:val="left"/>
      <w:pPr>
        <w:ind w:left="0" w:firstLine="0"/>
      </w:pPr>
      <w:rPr>
        <w:rFonts w:hint="default"/>
      </w:rPr>
    </w:lvl>
    <w:lvl w:ilvl="1">
      <w:start w:val="1"/>
      <w:numFmt w:val="lowerLetter"/>
      <w:lvlText w:val="(%2)"/>
      <w:lvlJc w:val="left"/>
      <w:pPr>
        <w:tabs>
          <w:tab w:val="num" w:pos="567"/>
        </w:tabs>
        <w:ind w:left="567" w:hanging="567"/>
      </w:pPr>
      <w:rPr>
        <w:rFonts w:hint="default"/>
        <w:color w:val="auto"/>
        <w:szCs w:val="28"/>
      </w:rPr>
    </w:lvl>
    <w:lvl w:ilvl="2">
      <w:start w:val="1"/>
      <w:numFmt w:val="lowerRoman"/>
      <w:lvlText w:val="(%3)"/>
      <w:lvlJc w:val="left"/>
      <w:pPr>
        <w:tabs>
          <w:tab w:val="num" w:pos="1134"/>
        </w:tabs>
        <w:ind w:left="1134" w:hanging="567"/>
      </w:pPr>
      <w:rPr>
        <w:rFonts w:hint="default"/>
        <w:color w:val="auto"/>
      </w:rPr>
    </w:lvl>
    <w:lvl w:ilvl="3">
      <w:start w:val="1"/>
      <w:numFmt w:val="decimal"/>
      <w:lvlText w:val="(%4)"/>
      <w:lvlJc w:val="left"/>
      <w:pPr>
        <w:tabs>
          <w:tab w:val="num" w:pos="1701"/>
        </w:tabs>
        <w:ind w:left="1701" w:hanging="567"/>
      </w:pPr>
      <w:rPr>
        <w:rFonts w:hint="default"/>
        <w:color w:val="auto"/>
      </w:rPr>
    </w:lvl>
    <w:lvl w:ilvl="4">
      <w:start w:val="1"/>
      <w:numFmt w:val="bullet"/>
      <w:lvlText w:val="●"/>
      <w:lvlJc w:val="left"/>
      <w:pPr>
        <w:tabs>
          <w:tab w:val="num" w:pos="567"/>
        </w:tabs>
        <w:ind w:left="567" w:hanging="567"/>
      </w:pPr>
      <w:rPr>
        <w:rFonts w:ascii="Arial" w:hAnsi="Arial" w:hint="default"/>
        <w:color w:val="44546A" w:themeColor="text2"/>
      </w:rPr>
    </w:lvl>
    <w:lvl w:ilvl="5">
      <w:start w:val="1"/>
      <w:numFmt w:val="bullet"/>
      <w:lvlText w:val="–"/>
      <w:lvlJc w:val="left"/>
      <w:pPr>
        <w:tabs>
          <w:tab w:val="num" w:pos="1134"/>
        </w:tabs>
        <w:ind w:left="1134" w:hanging="567"/>
      </w:pPr>
      <w:rPr>
        <w:rFonts w:ascii="Arial" w:hAnsi="Arial" w:hint="default"/>
        <w:color w:val="44546A" w:themeColor="text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1F63AD"/>
    <w:multiLevelType w:val="hybridMultilevel"/>
    <w:tmpl w:val="5DFE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00F1F"/>
    <w:multiLevelType w:val="hybridMultilevel"/>
    <w:tmpl w:val="73FAAD32"/>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77524EBB"/>
    <w:multiLevelType w:val="multilevel"/>
    <w:tmpl w:val="DB281934"/>
    <w:numStyleLink w:val="ORRNormalList"/>
  </w:abstractNum>
  <w:num w:numId="1" w16cid:durableId="1479808869">
    <w:abstractNumId w:val="2"/>
  </w:num>
  <w:num w:numId="2" w16cid:durableId="648823940">
    <w:abstractNumId w:val="5"/>
  </w:num>
  <w:num w:numId="3" w16cid:durableId="961616324">
    <w:abstractNumId w:val="4"/>
  </w:num>
  <w:num w:numId="4" w16cid:durableId="1387952883">
    <w:abstractNumId w:val="0"/>
  </w:num>
  <w:num w:numId="5" w16cid:durableId="1505977391">
    <w:abstractNumId w:val="1"/>
  </w:num>
  <w:num w:numId="6" w16cid:durableId="1891573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B"/>
    <w:rsid w:val="00031371"/>
    <w:rsid w:val="00055799"/>
    <w:rsid w:val="0006168F"/>
    <w:rsid w:val="000A0652"/>
    <w:rsid w:val="000A5C0C"/>
    <w:rsid w:val="000C0625"/>
    <w:rsid w:val="00102B0F"/>
    <w:rsid w:val="00124C7A"/>
    <w:rsid w:val="001643AD"/>
    <w:rsid w:val="00182894"/>
    <w:rsid w:val="00182ECB"/>
    <w:rsid w:val="001C0DCF"/>
    <w:rsid w:val="001D7899"/>
    <w:rsid w:val="001E0268"/>
    <w:rsid w:val="0025328C"/>
    <w:rsid w:val="00262BB0"/>
    <w:rsid w:val="003178BE"/>
    <w:rsid w:val="003471D2"/>
    <w:rsid w:val="0037257C"/>
    <w:rsid w:val="0039AD66"/>
    <w:rsid w:val="003B137A"/>
    <w:rsid w:val="003C2A73"/>
    <w:rsid w:val="003D727B"/>
    <w:rsid w:val="003F4EE1"/>
    <w:rsid w:val="00410633"/>
    <w:rsid w:val="00426F18"/>
    <w:rsid w:val="0046191B"/>
    <w:rsid w:val="004A47E0"/>
    <w:rsid w:val="004C2AD0"/>
    <w:rsid w:val="004D0A4C"/>
    <w:rsid w:val="004E3F05"/>
    <w:rsid w:val="00517CE1"/>
    <w:rsid w:val="00521170"/>
    <w:rsid w:val="00535D12"/>
    <w:rsid w:val="0056104C"/>
    <w:rsid w:val="00571CCC"/>
    <w:rsid w:val="00576863"/>
    <w:rsid w:val="005902A0"/>
    <w:rsid w:val="005A2C67"/>
    <w:rsid w:val="005D0353"/>
    <w:rsid w:val="005D55DB"/>
    <w:rsid w:val="005D5B9B"/>
    <w:rsid w:val="005F6FC2"/>
    <w:rsid w:val="00607BC0"/>
    <w:rsid w:val="00627C33"/>
    <w:rsid w:val="006509D3"/>
    <w:rsid w:val="00660AC3"/>
    <w:rsid w:val="006A745C"/>
    <w:rsid w:val="006B12E5"/>
    <w:rsid w:val="006B507F"/>
    <w:rsid w:val="006D340F"/>
    <w:rsid w:val="006E2037"/>
    <w:rsid w:val="006F62CB"/>
    <w:rsid w:val="00730F3D"/>
    <w:rsid w:val="00765D83"/>
    <w:rsid w:val="00766459"/>
    <w:rsid w:val="00786BFA"/>
    <w:rsid w:val="00790E2B"/>
    <w:rsid w:val="00791E64"/>
    <w:rsid w:val="007A73A6"/>
    <w:rsid w:val="007A7F0D"/>
    <w:rsid w:val="007B306D"/>
    <w:rsid w:val="007E7422"/>
    <w:rsid w:val="0080396E"/>
    <w:rsid w:val="0080683C"/>
    <w:rsid w:val="00823D2B"/>
    <w:rsid w:val="00827E16"/>
    <w:rsid w:val="00846C6D"/>
    <w:rsid w:val="00854121"/>
    <w:rsid w:val="00863E3A"/>
    <w:rsid w:val="00870E9F"/>
    <w:rsid w:val="008778A2"/>
    <w:rsid w:val="008838DF"/>
    <w:rsid w:val="008844DE"/>
    <w:rsid w:val="008859C5"/>
    <w:rsid w:val="0088674F"/>
    <w:rsid w:val="008A6818"/>
    <w:rsid w:val="008A7CAA"/>
    <w:rsid w:val="008C61CD"/>
    <w:rsid w:val="008D1239"/>
    <w:rsid w:val="008D7FDB"/>
    <w:rsid w:val="0095441D"/>
    <w:rsid w:val="009801C8"/>
    <w:rsid w:val="00987EA4"/>
    <w:rsid w:val="00994604"/>
    <w:rsid w:val="009A50E7"/>
    <w:rsid w:val="009B73DD"/>
    <w:rsid w:val="00A163CE"/>
    <w:rsid w:val="00A70403"/>
    <w:rsid w:val="00AB0423"/>
    <w:rsid w:val="00AB0545"/>
    <w:rsid w:val="00AD03EE"/>
    <w:rsid w:val="00AF23DB"/>
    <w:rsid w:val="00B56587"/>
    <w:rsid w:val="00B9471B"/>
    <w:rsid w:val="00BD0FA3"/>
    <w:rsid w:val="00C16661"/>
    <w:rsid w:val="00C23381"/>
    <w:rsid w:val="00C30C5D"/>
    <w:rsid w:val="00C31A43"/>
    <w:rsid w:val="00C332AA"/>
    <w:rsid w:val="00C72631"/>
    <w:rsid w:val="00C94C71"/>
    <w:rsid w:val="00CA3839"/>
    <w:rsid w:val="00CD02BC"/>
    <w:rsid w:val="00CE5464"/>
    <w:rsid w:val="00D203F4"/>
    <w:rsid w:val="00D47517"/>
    <w:rsid w:val="00D5291F"/>
    <w:rsid w:val="00D62343"/>
    <w:rsid w:val="00D630F3"/>
    <w:rsid w:val="00D6713D"/>
    <w:rsid w:val="00D70125"/>
    <w:rsid w:val="00DB4922"/>
    <w:rsid w:val="00DC2F88"/>
    <w:rsid w:val="00DC413A"/>
    <w:rsid w:val="00DE752E"/>
    <w:rsid w:val="00E011B3"/>
    <w:rsid w:val="00E06A25"/>
    <w:rsid w:val="00E07711"/>
    <w:rsid w:val="00E144AC"/>
    <w:rsid w:val="00E32D3B"/>
    <w:rsid w:val="00E43276"/>
    <w:rsid w:val="00E9078F"/>
    <w:rsid w:val="00EA12D7"/>
    <w:rsid w:val="00EA153B"/>
    <w:rsid w:val="00EA1657"/>
    <w:rsid w:val="00EC0D92"/>
    <w:rsid w:val="00ED4DDE"/>
    <w:rsid w:val="00EE1706"/>
    <w:rsid w:val="00F07209"/>
    <w:rsid w:val="00F117DA"/>
    <w:rsid w:val="00F30911"/>
    <w:rsid w:val="00F60D36"/>
    <w:rsid w:val="00F70E95"/>
    <w:rsid w:val="00F96B88"/>
    <w:rsid w:val="00F97712"/>
    <w:rsid w:val="00F97FF8"/>
    <w:rsid w:val="00FA464A"/>
    <w:rsid w:val="00FB4F24"/>
    <w:rsid w:val="00FD219F"/>
    <w:rsid w:val="00FF4686"/>
    <w:rsid w:val="012582D3"/>
    <w:rsid w:val="01D57DC7"/>
    <w:rsid w:val="021EFF39"/>
    <w:rsid w:val="03666283"/>
    <w:rsid w:val="050D1E89"/>
    <w:rsid w:val="06688C9C"/>
    <w:rsid w:val="0688F38E"/>
    <w:rsid w:val="071E96B7"/>
    <w:rsid w:val="14C5E9CB"/>
    <w:rsid w:val="15C98BCC"/>
    <w:rsid w:val="15DDB5E7"/>
    <w:rsid w:val="175B6BA9"/>
    <w:rsid w:val="177B234D"/>
    <w:rsid w:val="17DB6888"/>
    <w:rsid w:val="1C9FF0E6"/>
    <w:rsid w:val="1D1D1961"/>
    <w:rsid w:val="201E6F60"/>
    <w:rsid w:val="221291A0"/>
    <w:rsid w:val="23450BE9"/>
    <w:rsid w:val="2413EFEA"/>
    <w:rsid w:val="27497EE4"/>
    <w:rsid w:val="2880542A"/>
    <w:rsid w:val="2C8B2FBD"/>
    <w:rsid w:val="2F873655"/>
    <w:rsid w:val="2FD39DEF"/>
    <w:rsid w:val="3024ACEA"/>
    <w:rsid w:val="331A508B"/>
    <w:rsid w:val="39729184"/>
    <w:rsid w:val="3C4112A8"/>
    <w:rsid w:val="3CAA3246"/>
    <w:rsid w:val="3E8365A8"/>
    <w:rsid w:val="461A6417"/>
    <w:rsid w:val="4CDD98A4"/>
    <w:rsid w:val="50511F46"/>
    <w:rsid w:val="54829B18"/>
    <w:rsid w:val="55679CAF"/>
    <w:rsid w:val="5628850C"/>
    <w:rsid w:val="580CACB2"/>
    <w:rsid w:val="58419C8B"/>
    <w:rsid w:val="5AAF9297"/>
    <w:rsid w:val="5AEC9CDF"/>
    <w:rsid w:val="5B44D617"/>
    <w:rsid w:val="5CD670D9"/>
    <w:rsid w:val="5DCE5E39"/>
    <w:rsid w:val="5E9A2343"/>
    <w:rsid w:val="6109CB15"/>
    <w:rsid w:val="62A15057"/>
    <w:rsid w:val="62AAE91E"/>
    <w:rsid w:val="67B0AB0D"/>
    <w:rsid w:val="68C915E2"/>
    <w:rsid w:val="695F30BE"/>
    <w:rsid w:val="6AFB011F"/>
    <w:rsid w:val="6B8E75F3"/>
    <w:rsid w:val="6D575185"/>
    <w:rsid w:val="6FA968D8"/>
    <w:rsid w:val="71F5C0C0"/>
    <w:rsid w:val="72F6F4A6"/>
    <w:rsid w:val="76BC636F"/>
    <w:rsid w:val="7A7106CE"/>
    <w:rsid w:val="7A8A7694"/>
    <w:rsid w:val="7B7F649F"/>
    <w:rsid w:val="7B8F679F"/>
    <w:rsid w:val="7BB2EDE6"/>
    <w:rsid w:val="7C5211AF"/>
    <w:rsid w:val="7F9C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76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B9471B"/>
    <w:pPr>
      <w:numPr>
        <w:numId w:val="4"/>
      </w:numPr>
      <w:spacing w:after="240" w:line="288" w:lineRule="auto"/>
    </w:pPr>
    <w:rPr>
      <w:rFonts w:ascii="Arial" w:hAnsi="Arial"/>
      <w:sz w:val="24"/>
    </w:rPr>
  </w:style>
  <w:style w:type="paragraph" w:styleId="Heading1">
    <w:name w:val="heading 1"/>
    <w:basedOn w:val="Normal"/>
    <w:next w:val="Normal"/>
    <w:link w:val="Heading1Char"/>
    <w:uiPriority w:val="9"/>
    <w:qFormat/>
    <w:rsid w:val="00B94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117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round">
    <w:name w:val="Normal Bullet (round)"/>
    <w:aliases w:val="Normal Bullet (square)"/>
    <w:basedOn w:val="Normal"/>
    <w:uiPriority w:val="4"/>
    <w:qFormat/>
    <w:rsid w:val="00B9471B"/>
    <w:pPr>
      <w:numPr>
        <w:numId w:val="0"/>
      </w:numPr>
      <w:tabs>
        <w:tab w:val="num" w:pos="567"/>
      </w:tabs>
      <w:ind w:left="567" w:hanging="567"/>
    </w:pPr>
  </w:style>
  <w:style w:type="paragraph" w:customStyle="1" w:styleId="NormalBullet-">
    <w:name w:val="Normal Bullet (-)"/>
    <w:basedOn w:val="Normal"/>
    <w:uiPriority w:val="5"/>
    <w:qFormat/>
    <w:rsid w:val="00B9471B"/>
    <w:pPr>
      <w:numPr>
        <w:numId w:val="0"/>
      </w:numPr>
      <w:tabs>
        <w:tab w:val="num" w:pos="1134"/>
      </w:tabs>
      <w:ind w:left="1134" w:hanging="567"/>
    </w:pPr>
  </w:style>
  <w:style w:type="paragraph" w:customStyle="1" w:styleId="NormalBulletalpha">
    <w:name w:val="Normal Bullet (alpha)"/>
    <w:basedOn w:val="Normal"/>
    <w:uiPriority w:val="5"/>
    <w:qFormat/>
    <w:rsid w:val="00B9471B"/>
    <w:pPr>
      <w:numPr>
        <w:numId w:val="0"/>
      </w:numPr>
      <w:tabs>
        <w:tab w:val="num" w:pos="567"/>
      </w:tabs>
      <w:ind w:left="567" w:hanging="567"/>
    </w:pPr>
  </w:style>
  <w:style w:type="paragraph" w:customStyle="1" w:styleId="NormalBulletroman">
    <w:name w:val="Normal Bullet (roman)"/>
    <w:basedOn w:val="Normal"/>
    <w:uiPriority w:val="5"/>
    <w:qFormat/>
    <w:rsid w:val="00B9471B"/>
    <w:pPr>
      <w:numPr>
        <w:numId w:val="0"/>
      </w:numPr>
      <w:tabs>
        <w:tab w:val="num" w:pos="1134"/>
      </w:tabs>
      <w:ind w:left="1134" w:hanging="567"/>
    </w:pPr>
  </w:style>
  <w:style w:type="paragraph" w:customStyle="1" w:styleId="NormalBulletnumber">
    <w:name w:val="Normal Bullet (number)"/>
    <w:basedOn w:val="NormalBulletroman"/>
    <w:uiPriority w:val="6"/>
    <w:qFormat/>
    <w:rsid w:val="00B9471B"/>
    <w:pPr>
      <w:tabs>
        <w:tab w:val="clear" w:pos="1134"/>
        <w:tab w:val="num" w:pos="1701"/>
      </w:tabs>
      <w:ind w:left="1701"/>
    </w:pPr>
  </w:style>
  <w:style w:type="numbering" w:customStyle="1" w:styleId="ORRNormalList">
    <w:name w:val="ORRNormalList"/>
    <w:uiPriority w:val="99"/>
    <w:rsid w:val="00B9471B"/>
    <w:pPr>
      <w:numPr>
        <w:numId w:val="1"/>
      </w:numPr>
    </w:pPr>
  </w:style>
  <w:style w:type="character" w:styleId="Hyperlink">
    <w:name w:val="Hyperlink"/>
    <w:basedOn w:val="DefaultParagraphFont"/>
    <w:uiPriority w:val="99"/>
    <w:unhideWhenUsed/>
    <w:rsid w:val="00B9471B"/>
    <w:rPr>
      <w:color w:val="0563C1" w:themeColor="hyperlink"/>
      <w:u w:val="single"/>
    </w:rPr>
  </w:style>
  <w:style w:type="table" w:styleId="TableGrid">
    <w:name w:val="Table Grid"/>
    <w:basedOn w:val="TableNormal"/>
    <w:uiPriority w:val="39"/>
    <w:rsid w:val="00B9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71B"/>
    <w:rPr>
      <w:sz w:val="16"/>
      <w:szCs w:val="16"/>
    </w:rPr>
  </w:style>
  <w:style w:type="paragraph" w:styleId="CommentText">
    <w:name w:val="annotation text"/>
    <w:basedOn w:val="Normal"/>
    <w:link w:val="CommentTextChar"/>
    <w:uiPriority w:val="99"/>
    <w:unhideWhenUsed/>
    <w:rsid w:val="00B9471B"/>
    <w:pPr>
      <w:spacing w:line="240" w:lineRule="auto"/>
    </w:pPr>
    <w:rPr>
      <w:sz w:val="20"/>
      <w:szCs w:val="20"/>
    </w:rPr>
  </w:style>
  <w:style w:type="character" w:customStyle="1" w:styleId="CommentTextChar">
    <w:name w:val="Comment Text Char"/>
    <w:basedOn w:val="DefaultParagraphFont"/>
    <w:link w:val="CommentText"/>
    <w:uiPriority w:val="99"/>
    <w:rsid w:val="00B9471B"/>
    <w:rPr>
      <w:rFonts w:ascii="Arial" w:hAnsi="Arial"/>
      <w:sz w:val="20"/>
      <w:szCs w:val="20"/>
    </w:rPr>
  </w:style>
  <w:style w:type="paragraph" w:styleId="BodyText">
    <w:name w:val="Body Text"/>
    <w:basedOn w:val="Normal"/>
    <w:link w:val="BodyTextChar"/>
    <w:uiPriority w:val="99"/>
    <w:unhideWhenUsed/>
    <w:rsid w:val="00B9471B"/>
    <w:pPr>
      <w:numPr>
        <w:numId w:val="0"/>
      </w:numPr>
      <w:spacing w:line="360" w:lineRule="auto"/>
    </w:pPr>
    <w:rPr>
      <w:sz w:val="22"/>
    </w:rPr>
  </w:style>
  <w:style w:type="character" w:customStyle="1" w:styleId="BodyTextChar">
    <w:name w:val="Body Text Char"/>
    <w:basedOn w:val="DefaultParagraphFont"/>
    <w:link w:val="BodyText"/>
    <w:uiPriority w:val="99"/>
    <w:rsid w:val="00B9471B"/>
    <w:rPr>
      <w:rFonts w:ascii="Arial" w:hAnsi="Arial"/>
    </w:rPr>
  </w:style>
  <w:style w:type="paragraph" w:customStyle="1" w:styleId="ORRLetterHeader">
    <w:name w:val="ORR Letter Header"/>
    <w:basedOn w:val="Heading1"/>
    <w:rsid w:val="00B9471B"/>
    <w:pPr>
      <w:keepLines w:val="0"/>
      <w:numPr>
        <w:numId w:val="0"/>
      </w:numPr>
      <w:spacing w:before="1680" w:after="120" w:line="240" w:lineRule="auto"/>
    </w:pPr>
    <w:rPr>
      <w:rFonts w:ascii="Arial" w:eastAsia="Times New Roman" w:hAnsi="Arial" w:cs="Times New Roman"/>
      <w:b/>
      <w:bCs/>
      <w:iCs/>
      <w:color w:val="auto"/>
      <w:kern w:val="24"/>
      <w:sz w:val="28"/>
      <w:szCs w:val="20"/>
    </w:rPr>
  </w:style>
  <w:style w:type="character" w:customStyle="1" w:styleId="Heading1Char">
    <w:name w:val="Heading 1 Char"/>
    <w:basedOn w:val="DefaultParagraphFont"/>
    <w:link w:val="Heading1"/>
    <w:uiPriority w:val="9"/>
    <w:rsid w:val="00B9471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73A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0A5C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683C"/>
    <w:rPr>
      <w:b/>
      <w:bCs/>
    </w:rPr>
  </w:style>
  <w:style w:type="character" w:customStyle="1" w:styleId="CommentSubjectChar">
    <w:name w:val="Comment Subject Char"/>
    <w:basedOn w:val="CommentTextChar"/>
    <w:link w:val="CommentSubject"/>
    <w:uiPriority w:val="99"/>
    <w:semiHidden/>
    <w:rsid w:val="0080683C"/>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ED4DDE"/>
    <w:pPr>
      <w:contextualSpacing/>
    </w:pPr>
  </w:style>
  <w:style w:type="paragraph" w:customStyle="1" w:styleId="pf0">
    <w:name w:val="pf0"/>
    <w:basedOn w:val="Normal"/>
    <w:rsid w:val="008A7CAA"/>
    <w:pPr>
      <w:numPr>
        <w:numId w:val="0"/>
      </w:num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11">
    <w:name w:val="cf11"/>
    <w:basedOn w:val="DefaultParagraphFont"/>
    <w:rsid w:val="008A7CAA"/>
    <w:rPr>
      <w:rFonts w:ascii="Segoe UI" w:hAnsi="Segoe UI" w:cs="Segoe UI" w:hint="default"/>
      <w:sz w:val="18"/>
      <w:szCs w:val="18"/>
      <w:shd w:val="clear" w:color="auto" w:fill="FFFFFF"/>
    </w:rPr>
  </w:style>
  <w:style w:type="paragraph" w:styleId="Header">
    <w:name w:val="header"/>
    <w:basedOn w:val="Normal"/>
    <w:link w:val="HeaderChar"/>
    <w:uiPriority w:val="99"/>
    <w:unhideWhenUsed/>
    <w:rsid w:val="003471D2"/>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3471D2"/>
    <w:rPr>
      <w:rFonts w:ascii="Arial" w:hAnsi="Arial"/>
      <w:sz w:val="24"/>
    </w:rPr>
  </w:style>
  <w:style w:type="paragraph" w:styleId="Footer">
    <w:name w:val="footer"/>
    <w:basedOn w:val="Normal"/>
    <w:link w:val="FooterChar"/>
    <w:uiPriority w:val="99"/>
    <w:unhideWhenUsed/>
    <w:rsid w:val="003471D2"/>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3471D2"/>
    <w:rPr>
      <w:rFonts w:ascii="Arial" w:hAnsi="Arial"/>
      <w:sz w:val="24"/>
    </w:rPr>
  </w:style>
  <w:style w:type="character" w:customStyle="1" w:styleId="Heading4Char">
    <w:name w:val="Heading 4 Char"/>
    <w:basedOn w:val="DefaultParagraphFont"/>
    <w:link w:val="Heading4"/>
    <w:uiPriority w:val="9"/>
    <w:rsid w:val="00F117DA"/>
    <w:rPr>
      <w:rFonts w:asciiTheme="majorHAnsi" w:eastAsiaTheme="majorEastAsia" w:hAnsiTheme="majorHAnsi" w:cstheme="majorBidi"/>
      <w:i/>
      <w:iCs/>
      <w:color w:val="2F5496" w:themeColor="accent1" w:themeShade="BF"/>
      <w:sz w:val="24"/>
    </w:rPr>
  </w:style>
  <w:style w:type="character" w:customStyle="1" w:styleId="Heading2Char">
    <w:name w:val="Heading 2 Char"/>
    <w:basedOn w:val="DefaultParagraphFont"/>
    <w:link w:val="Heading2"/>
    <w:uiPriority w:val="9"/>
    <w:rsid w:val="00F117D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11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5903">
      <w:bodyDiv w:val="1"/>
      <w:marLeft w:val="0"/>
      <w:marRight w:val="0"/>
      <w:marTop w:val="0"/>
      <w:marBottom w:val="0"/>
      <w:divBdr>
        <w:top w:val="none" w:sz="0" w:space="0" w:color="auto"/>
        <w:left w:val="none" w:sz="0" w:space="0" w:color="auto"/>
        <w:bottom w:val="none" w:sz="0" w:space="0" w:color="auto"/>
        <w:right w:val="none" w:sz="0" w:space="0" w:color="auto"/>
      </w:divBdr>
    </w:div>
    <w:div w:id="656109161">
      <w:bodyDiv w:val="1"/>
      <w:marLeft w:val="0"/>
      <w:marRight w:val="0"/>
      <w:marTop w:val="0"/>
      <w:marBottom w:val="0"/>
      <w:divBdr>
        <w:top w:val="none" w:sz="0" w:space="0" w:color="auto"/>
        <w:left w:val="none" w:sz="0" w:space="0" w:color="auto"/>
        <w:bottom w:val="none" w:sz="0" w:space="0" w:color="auto"/>
        <w:right w:val="none" w:sz="0" w:space="0" w:color="auto"/>
      </w:divBdr>
    </w:div>
    <w:div w:id="12784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manager@df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reet-works-lane-rental/lane-rental-schemes-guidance-for-english-highway-author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160ff2b44854ccfb759c5e28252469a xmlns="99a4d6c6-ce51-4eb0-b677-b94713792112">
      <Terms xmlns="http://schemas.microsoft.com/office/infopath/2007/PartnerControls"/>
    </p160ff2b44854ccfb759c5e28252469a>
    <dlc_EmailTo xmlns="15ff3d39-6e7b-4d70-9b7c-8d9fe85d0f29" xsi:nil="true"/>
    <faff6b9e154c4d7b9916e7f194058523 xmlns="99a4d6c6-ce51-4eb0-b677-b94713792112">
      <Terms xmlns="http://schemas.microsoft.com/office/infopath/2007/PartnerControls"/>
    </faff6b9e154c4d7b9916e7f194058523>
    <TaxCatchAll xmlns="15ff3d39-6e7b-4d70-9b7c-8d9fe85d0f29"/>
    <dlc_EmailSubject xmlns="15ff3d39-6e7b-4d70-9b7c-8d9fe85d0f29" xsi:nil="true"/>
    <dlc_EmailCC xmlns="15ff3d39-6e7b-4d70-9b7c-8d9fe85d0f29" xsi:nil="true"/>
    <Historical_x0020_Importance xmlns="15ff3d39-6e7b-4d70-9b7c-8d9fe85d0f29">false</Historical_x0020_Importance>
    <lcf76f155ced4ddcb4097134ff3c332f xmlns="a2792cbb-292d-4978-a395-9a9acd5eced8">
      <Terms xmlns="http://schemas.microsoft.com/office/infopath/2007/PartnerControls"/>
    </lcf76f155ced4ddcb4097134ff3c332f>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1B858CC2404382F1A2DE671ADA10" ma:contentTypeVersion="18" ma:contentTypeDescription="Create a new document." ma:contentTypeScope="" ma:versionID="298628d6b5eceff446987e957203d4d1">
  <xsd:schema xmlns:xsd="http://www.w3.org/2001/XMLSchema" xmlns:xs="http://www.w3.org/2001/XMLSchema" xmlns:p="http://schemas.microsoft.com/office/2006/metadata/properties" xmlns:ns2="99a4d6c6-ce51-4eb0-b677-b94713792112" xmlns:ns3="15ff3d39-6e7b-4d70-9b7c-8d9fe85d0f29" xmlns:ns4="a2792cbb-292d-4978-a395-9a9acd5eced8" targetNamespace="http://schemas.microsoft.com/office/2006/metadata/properties" ma:root="true" ma:fieldsID="19f7925fa7e19c470eb5e48de351c814" ns2:_="" ns3:_="" ns4:_="">
    <xsd:import namespace="99a4d6c6-ce51-4eb0-b677-b94713792112"/>
    <xsd:import namespace="15ff3d39-6e7b-4d70-9b7c-8d9fe85d0f29"/>
    <xsd:import namespace="a2792cbb-292d-4978-a395-9a9acd5eced8"/>
    <xsd:element name="properties">
      <xsd:complexType>
        <xsd:sequence>
          <xsd:element name="documentManagement">
            <xsd:complexType>
              <xsd:all>
                <xsd:element ref="ns3:Security_x0020_Classification" minOccurs="0"/>
                <xsd:element ref="ns3:Historical_x0020_Importance" minOccurs="0"/>
                <xsd:element ref="ns2:faff6b9e154c4d7b9916e7f194058523" minOccurs="0"/>
                <xsd:element ref="ns3:TaxCatchAll" minOccurs="0"/>
                <xsd:element ref="ns3:TaxCatchAllLabel" minOccurs="0"/>
                <xsd:element ref="ns2:p160ff2b44854ccfb759c5e28252469a"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4d6c6-ce51-4eb0-b677-b94713792112" elementFormDefault="qualified">
    <xsd:import namespace="http://schemas.microsoft.com/office/2006/documentManagement/types"/>
    <xsd:import namespace="http://schemas.microsoft.com/office/infopath/2007/PartnerControls"/>
    <xsd:element name="faff6b9e154c4d7b9916e7f194058523" ma:index="8" nillable="true" ma:taxonomy="true" ma:internalName="faff6b9e154c4d7b9916e7f194058523" ma:taxonomyFieldName="FinancialYear" ma:displayName="Financial Year" ma:default="" ma:fieldId="{faff6b9e-154c-4d7b-9916-e7f194058523}"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p160ff2b44854ccfb759c5e28252469a" ma:index="12" nillable="true" ma:taxonomy="true" ma:internalName="p160ff2b44854ccfb759c5e28252469a" ma:taxonomyFieldName="CustomTag" ma:displayName="Custom Tag" ma:default="" ma:fieldId="{9160ff2b-4485-4ccf-b759-c5e28252469a}" ma:sspId="5de26ec3-896b-4bef-bed1-ad194f885b2b" ma:termSetId="51c93482-312b-4664-ab72-180dd9c3b7f1"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Historical_x0020_Importance" ma:index="5" nillable="true" ma:displayName="Historical Importance" ma:default="0" ma:internalName="Historical_x0020_Importance">
      <xsd:simpleType>
        <xsd:restriction base="dms:Boolean"/>
      </xsd:simpleType>
    </xsd:element>
    <xsd:element name="TaxCatchAll" ma:index="9" nillable="true" ma:displayName="Taxonomy Catch All Column" ma:hidden="true" ma:list="{5388ea89-8184-48af-9899-63205301ba25}" ma:internalName="TaxCatchAll" ma:showField="CatchAllData" ma:web="99a4d6c6-ce51-4eb0-b677-b9471379211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388ea89-8184-48af-9899-63205301ba25}" ma:internalName="TaxCatchAllLabel" ma:readOnly="true" ma:showField="CatchAllDataLabel" ma:web="99a4d6c6-ce51-4eb0-b677-b94713792112">
      <xsd:complexType>
        <xsd:complexContent>
          <xsd:extension base="dms:MultiChoiceLookup">
            <xsd:sequence>
              <xsd:element name="Value" type="dms:Lookup" maxOccurs="unbounded" minOccurs="0" nillable="true"/>
            </xsd:sequence>
          </xsd:extension>
        </xsd:complexContent>
      </xsd:complexType>
    </xsd:element>
    <xsd:element name="dlc_EmailBCC" ma:index="32" nillable="true" ma:displayName="BCC" ma:description="" ma:internalName="dlc_EmailBCC">
      <xsd:simpleType>
        <xsd:restriction base="dms:Note">
          <xsd:maxLength value="1024"/>
        </xsd:restriction>
      </xsd:simpleType>
    </xsd:element>
    <xsd:element name="dlc_EmailCC" ma:index="33" nillable="true" ma:displayName="CC" ma:description="" ma:internalName="dlc_EmailCC">
      <xsd:simpleType>
        <xsd:restriction base="dms:Note">
          <xsd:maxLength value="1024"/>
        </xsd:restriction>
      </xsd:simpleType>
    </xsd:element>
    <xsd:element name="dlc_EmailReceivedUTC" ma:index="34" nillable="true" ma:displayName="Date Received" ma:description="" ma:internalName="dlc_EmailReceivedUTC">
      <xsd:simpleType>
        <xsd:restriction base="dms:DateTime"/>
      </xsd:simpleType>
    </xsd:element>
    <xsd:element name="dlc_EmailSentUTC" ma:index="35" nillable="true" ma:displayName="Date Sent" ma:description="" ma:internalName="dlc_EmailSentUTC">
      <xsd:simpleType>
        <xsd:restriction base="dms:DateTime"/>
      </xsd:simpleType>
    </xsd:element>
    <xsd:element name="dlc_EmailFrom" ma:index="36" nillable="true" ma:displayName="From" ma:description="" ma:internalName="dlc_EmailFrom">
      <xsd:simpleType>
        <xsd:restriction base="dms:Text">
          <xsd:maxLength value="255"/>
        </xsd:restriction>
      </xsd:simpleType>
    </xsd:element>
    <xsd:element name="dlc_EmailSubject" ma:index="37" nillable="true" ma:displayName="Subject" ma:description="" ma:internalName="dlc_EmailSubject">
      <xsd:simpleType>
        <xsd:restriction base="dms:Note"/>
      </xsd:simpleType>
    </xsd:element>
    <xsd:element name="dlc_EmailTo" ma:index="38"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792cbb-292d-4978-a395-9a9acd5eced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6DAF3-7D17-454E-8926-090FE42BDA63}">
  <ds:schemaRefs>
    <ds:schemaRef ds:uri="http://schemas.microsoft.com/office/2006/metadata/properties"/>
    <ds:schemaRef ds:uri="http://schemas.microsoft.com/office/infopath/2007/PartnerControls"/>
    <ds:schemaRef ds:uri="99a4d6c6-ce51-4eb0-b677-b94713792112"/>
    <ds:schemaRef ds:uri="15ff3d39-6e7b-4d70-9b7c-8d9fe85d0f29"/>
    <ds:schemaRef ds:uri="a2792cbb-292d-4978-a395-9a9acd5eced8"/>
  </ds:schemaRefs>
</ds:datastoreItem>
</file>

<file path=customXml/itemProps2.xml><?xml version="1.0" encoding="utf-8"?>
<ds:datastoreItem xmlns:ds="http://schemas.openxmlformats.org/officeDocument/2006/customXml" ds:itemID="{170A36AF-4482-4AC2-9C78-E3EC005F31CA}">
  <ds:schemaRefs>
    <ds:schemaRef ds:uri="http://schemas.microsoft.com/sharepoint/v3/contenttype/forms"/>
  </ds:schemaRefs>
</ds:datastoreItem>
</file>

<file path=customXml/itemProps3.xml><?xml version="1.0" encoding="utf-8"?>
<ds:datastoreItem xmlns:ds="http://schemas.openxmlformats.org/officeDocument/2006/customXml" ds:itemID="{D5710E1A-B9F4-4E0F-88FF-2BDDAE07D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4d6c6-ce51-4eb0-b677-b94713792112"/>
    <ds:schemaRef ds:uri="15ff3d39-6e7b-4d70-9b7c-8d9fe85d0f29"/>
    <ds:schemaRef ds:uri="a2792cbb-292d-4978-a395-9a9acd5ec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8b782fb-41e1-48ea-bfc3-ad7558ce7136}" enabled="0" method="" siteId="{28b782fb-41e1-48ea-bfc3-ad7558ce7136}"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Lane rental application checklist</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 rental application checklist</dc:title>
  <dc:subject/>
  <dc:creator/>
  <cp:keywords/>
  <dc:description/>
  <cp:lastModifiedBy/>
  <cp:revision>1</cp:revision>
  <dcterms:created xsi:type="dcterms:W3CDTF">2024-03-07T13:08:00Z</dcterms:created>
  <dcterms:modified xsi:type="dcterms:W3CDTF">2024-03-07T15:18:00Z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0x0101007C321B858CC2404382F1A2DE671ADA10</vt:lpwstr>
  </property>
</Properties>
</file>