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58D3" w14:textId="2E2D628E" w:rsidR="00985576" w:rsidRPr="00985576" w:rsidRDefault="000D2D88" w:rsidP="00985576">
      <w:pPr>
        <w:pStyle w:val="Numberedpara"/>
        <w:numPr>
          <w:ilvl w:val="0"/>
          <w:numId w:val="0"/>
        </w:numPr>
        <w:spacing w:line="240" w:lineRule="auto"/>
        <w:jc w:val="left"/>
        <w:rPr>
          <w:rFonts w:ascii="Arial" w:hAnsi="Arial" w:cs="Arial"/>
          <w:iCs/>
          <w:sz w:val="36"/>
          <w:szCs w:val="36"/>
        </w:rPr>
      </w:pPr>
      <w:r w:rsidRPr="00985576">
        <w:rPr>
          <w:rFonts w:ascii="Arial" w:hAnsi="Arial" w:cs="Arial"/>
          <w:iCs/>
          <w:sz w:val="36"/>
          <w:szCs w:val="36"/>
        </w:rPr>
        <w:t>PF10</w:t>
      </w:r>
    </w:p>
    <w:p w14:paraId="1F009FCD" w14:textId="1980D321" w:rsidR="000D2D88" w:rsidRPr="00985576" w:rsidRDefault="000D2D88" w:rsidP="00985576">
      <w:pPr>
        <w:pStyle w:val="Numberedpara"/>
        <w:numPr>
          <w:ilvl w:val="0"/>
          <w:numId w:val="0"/>
        </w:numPr>
        <w:spacing w:line="240" w:lineRule="auto"/>
        <w:jc w:val="left"/>
        <w:rPr>
          <w:rFonts w:ascii="Arial" w:hAnsi="Arial" w:cs="Arial"/>
          <w:b/>
          <w:bCs/>
          <w:iCs/>
          <w:sz w:val="36"/>
          <w:szCs w:val="36"/>
        </w:rPr>
      </w:pPr>
      <w:r w:rsidRPr="00985576">
        <w:rPr>
          <w:rFonts w:ascii="Arial" w:hAnsi="Arial" w:cs="Arial"/>
          <w:b/>
          <w:bCs/>
          <w:iCs/>
          <w:sz w:val="36"/>
          <w:szCs w:val="36"/>
        </w:rPr>
        <w:t>Anonymity for children and protected parties – prohibition of publication order</w:t>
      </w:r>
    </w:p>
    <w:p w14:paraId="75FF40C7" w14:textId="77777777" w:rsidR="000D2D88" w:rsidRPr="00985576" w:rsidRDefault="000D2D88" w:rsidP="000D2D88">
      <w:pPr>
        <w:tabs>
          <w:tab w:val="left" w:pos="-1440"/>
        </w:tabs>
        <w:spacing w:line="360" w:lineRule="auto"/>
        <w:rPr>
          <w:rFonts w:ascii="Arial" w:hAnsi="Arial" w:cs="Arial"/>
          <w:b/>
          <w:bCs/>
          <w:caps/>
          <w:sz w:val="24"/>
          <w:szCs w:val="24"/>
        </w:rPr>
      </w:pPr>
    </w:p>
    <w:p w14:paraId="5C65132B" w14:textId="77777777" w:rsidR="000D2D88" w:rsidRPr="00985576" w:rsidRDefault="000D2D88" w:rsidP="000D2D88">
      <w:pPr>
        <w:tabs>
          <w:tab w:val="left" w:pos="-1440"/>
        </w:tabs>
        <w:spacing w:line="360" w:lineRule="auto"/>
        <w:jc w:val="center"/>
        <w:rPr>
          <w:rFonts w:ascii="Arial" w:hAnsi="Arial" w:cs="Arial"/>
          <w:b/>
          <w:bCs/>
          <w:caps/>
          <w:sz w:val="24"/>
          <w:szCs w:val="24"/>
        </w:rPr>
      </w:pPr>
      <w:r w:rsidRPr="00985576">
        <w:rPr>
          <w:rFonts w:ascii="Arial" w:hAnsi="Arial" w:cs="Arial"/>
          <w:b/>
          <w:bCs/>
          <w:caps/>
          <w:sz w:val="24"/>
          <w:szCs w:val="24"/>
        </w:rPr>
        <w:t>[HEADING]</w:t>
      </w:r>
    </w:p>
    <w:p w14:paraId="2C9D42A5" w14:textId="77777777" w:rsidR="000D2D88" w:rsidRPr="00985576" w:rsidRDefault="000D2D88" w:rsidP="000D2D88">
      <w:pPr>
        <w:tabs>
          <w:tab w:val="left" w:pos="-1440"/>
        </w:tabs>
        <w:spacing w:line="360" w:lineRule="auto"/>
        <w:jc w:val="center"/>
        <w:rPr>
          <w:rFonts w:ascii="Arial" w:hAnsi="Arial" w:cs="Arial"/>
          <w:b/>
          <w:bCs/>
          <w:caps/>
          <w:sz w:val="24"/>
          <w:szCs w:val="24"/>
        </w:rPr>
      </w:pPr>
    </w:p>
    <w:p w14:paraId="28128E9B" w14:textId="77777777" w:rsidR="000D2D88" w:rsidRPr="00985576" w:rsidRDefault="000D2D88" w:rsidP="000D2D88">
      <w:pPr>
        <w:tabs>
          <w:tab w:val="left" w:pos="-1440"/>
        </w:tabs>
        <w:spacing w:line="360" w:lineRule="auto"/>
        <w:jc w:val="center"/>
        <w:rPr>
          <w:rFonts w:ascii="Arial" w:hAnsi="Arial" w:cs="Arial"/>
          <w:b/>
          <w:bCs/>
          <w:caps/>
          <w:sz w:val="24"/>
          <w:szCs w:val="24"/>
        </w:rPr>
      </w:pPr>
      <w:r w:rsidRPr="00985576">
        <w:rPr>
          <w:rFonts w:ascii="Arial" w:hAnsi="Arial" w:cs="Arial"/>
          <w:b/>
          <w:bCs/>
          <w:caps/>
          <w:sz w:val="24"/>
          <w:szCs w:val="24"/>
        </w:rPr>
        <w:t>[</w:t>
      </w:r>
      <w:r w:rsidRPr="00985576">
        <w:rPr>
          <w:rFonts w:ascii="Arial" w:hAnsi="Arial" w:cs="Arial"/>
          <w:b/>
          <w:i/>
          <w:iCs/>
          <w:sz w:val="24"/>
          <w:szCs w:val="24"/>
        </w:rPr>
        <w:t>TBC</w:t>
      </w:r>
      <w:r w:rsidRPr="00985576">
        <w:rPr>
          <w:rFonts w:ascii="Arial" w:hAnsi="Arial" w:cs="Arial"/>
          <w:b/>
          <w:bCs/>
          <w:caps/>
          <w:sz w:val="24"/>
          <w:szCs w:val="24"/>
        </w:rPr>
        <w:t>]</w:t>
      </w:r>
    </w:p>
    <w:p w14:paraId="6AF5A1E7" w14:textId="77777777" w:rsidR="000D2D88" w:rsidRPr="00985576" w:rsidRDefault="000D2D88" w:rsidP="000D2D88">
      <w:pPr>
        <w:tabs>
          <w:tab w:val="left" w:pos="-1440"/>
        </w:tabs>
        <w:spacing w:line="360" w:lineRule="auto"/>
        <w:jc w:val="center"/>
        <w:rPr>
          <w:rFonts w:ascii="Arial" w:hAnsi="Arial" w:cs="Arial"/>
          <w:b/>
          <w:bCs/>
          <w:sz w:val="24"/>
          <w:szCs w:val="24"/>
        </w:rPr>
      </w:pPr>
      <w:r w:rsidRPr="00985576">
        <w:rPr>
          <w:rFonts w:ascii="Arial" w:hAnsi="Arial" w:cs="Arial"/>
          <w:b/>
          <w:bCs/>
          <w:sz w:val="24"/>
          <w:szCs w:val="24"/>
        </w:rPr>
        <w:t>(a child / protected party by his/her Litigation Friend, [</w:t>
      </w:r>
      <w:r w:rsidRPr="00985576">
        <w:rPr>
          <w:rFonts w:ascii="Arial" w:hAnsi="Arial" w:cs="Arial"/>
          <w:b/>
          <w:i/>
          <w:iCs/>
          <w:sz w:val="24"/>
          <w:szCs w:val="24"/>
        </w:rPr>
        <w:t>TBC</w:t>
      </w:r>
      <w:r w:rsidRPr="00985576">
        <w:rPr>
          <w:rFonts w:ascii="Arial" w:hAnsi="Arial" w:cs="Arial"/>
          <w:b/>
          <w:bCs/>
          <w:sz w:val="24"/>
          <w:szCs w:val="24"/>
        </w:rPr>
        <w:t>])</w:t>
      </w:r>
    </w:p>
    <w:p w14:paraId="6C5113B3" w14:textId="77777777" w:rsidR="000D2D88" w:rsidRPr="00985576" w:rsidRDefault="000D2D88" w:rsidP="000D2D88">
      <w:pPr>
        <w:tabs>
          <w:tab w:val="left" w:pos="-1440"/>
        </w:tabs>
        <w:spacing w:line="360" w:lineRule="auto"/>
        <w:jc w:val="right"/>
        <w:rPr>
          <w:rFonts w:ascii="Arial" w:hAnsi="Arial" w:cs="Arial"/>
          <w:sz w:val="24"/>
          <w:szCs w:val="24"/>
          <w:u w:val="single"/>
        </w:rPr>
      </w:pPr>
      <w:r w:rsidRPr="00985576">
        <w:rPr>
          <w:rFonts w:ascii="Arial" w:hAnsi="Arial" w:cs="Arial"/>
          <w:sz w:val="24"/>
          <w:szCs w:val="24"/>
          <w:u w:val="single"/>
        </w:rPr>
        <w:t>Claimant</w:t>
      </w:r>
    </w:p>
    <w:p w14:paraId="7D6DB2BC" w14:textId="77777777" w:rsidR="000D2D88" w:rsidRPr="00985576" w:rsidRDefault="000D2D88" w:rsidP="000D2D88">
      <w:pPr>
        <w:tabs>
          <w:tab w:val="left" w:pos="-1440"/>
        </w:tabs>
        <w:spacing w:line="360" w:lineRule="auto"/>
        <w:jc w:val="center"/>
        <w:rPr>
          <w:rFonts w:ascii="Arial" w:hAnsi="Arial" w:cs="Arial"/>
          <w:b/>
          <w:bCs/>
          <w:sz w:val="24"/>
          <w:szCs w:val="24"/>
        </w:rPr>
      </w:pPr>
      <w:r w:rsidRPr="00985576">
        <w:rPr>
          <w:rFonts w:ascii="Arial" w:hAnsi="Arial" w:cs="Arial"/>
          <w:b/>
          <w:bCs/>
          <w:sz w:val="24"/>
          <w:szCs w:val="24"/>
        </w:rPr>
        <w:t>and</w:t>
      </w:r>
    </w:p>
    <w:p w14:paraId="746EC81C" w14:textId="77777777" w:rsidR="000D2D88" w:rsidRPr="00985576" w:rsidRDefault="000D2D88" w:rsidP="000D2D88">
      <w:pPr>
        <w:tabs>
          <w:tab w:val="left" w:pos="-1440"/>
        </w:tabs>
        <w:spacing w:line="360" w:lineRule="auto"/>
        <w:jc w:val="center"/>
        <w:rPr>
          <w:rFonts w:ascii="Arial" w:hAnsi="Arial" w:cs="Arial"/>
          <w:b/>
          <w:bCs/>
          <w:sz w:val="24"/>
          <w:szCs w:val="24"/>
        </w:rPr>
      </w:pPr>
    </w:p>
    <w:p w14:paraId="58FFD713" w14:textId="77777777" w:rsidR="000D2D88" w:rsidRPr="00985576" w:rsidRDefault="000D2D88" w:rsidP="000D2D88">
      <w:pPr>
        <w:tabs>
          <w:tab w:val="left" w:pos="-1440"/>
        </w:tabs>
        <w:spacing w:line="360" w:lineRule="auto"/>
        <w:jc w:val="center"/>
        <w:rPr>
          <w:rFonts w:ascii="Arial" w:hAnsi="Arial" w:cs="Arial"/>
          <w:b/>
          <w:bCs/>
          <w:sz w:val="24"/>
          <w:szCs w:val="24"/>
        </w:rPr>
      </w:pPr>
      <w:r w:rsidRPr="00985576">
        <w:rPr>
          <w:rFonts w:ascii="Arial" w:hAnsi="Arial" w:cs="Arial"/>
          <w:b/>
          <w:bCs/>
          <w:sz w:val="24"/>
          <w:szCs w:val="24"/>
        </w:rPr>
        <w:t>[DEFENDANT]</w:t>
      </w:r>
    </w:p>
    <w:p w14:paraId="69EAEC4F" w14:textId="77777777" w:rsidR="000D2D88" w:rsidRPr="00985576" w:rsidRDefault="000D2D88" w:rsidP="000D2D88">
      <w:pPr>
        <w:tabs>
          <w:tab w:val="left" w:pos="-1440"/>
        </w:tabs>
        <w:spacing w:line="360" w:lineRule="auto"/>
        <w:jc w:val="right"/>
        <w:rPr>
          <w:rFonts w:ascii="Arial" w:hAnsi="Arial" w:cs="Arial"/>
          <w:sz w:val="24"/>
          <w:szCs w:val="24"/>
          <w:u w:val="single"/>
        </w:rPr>
      </w:pPr>
      <w:r w:rsidRPr="00985576">
        <w:rPr>
          <w:rFonts w:ascii="Arial" w:hAnsi="Arial" w:cs="Arial"/>
          <w:sz w:val="24"/>
          <w:szCs w:val="24"/>
          <w:u w:val="single"/>
        </w:rPr>
        <w:t>Defendant</w:t>
      </w:r>
    </w:p>
    <w:p w14:paraId="74788EED" w14:textId="77777777" w:rsidR="000D2D88" w:rsidRPr="00985576" w:rsidRDefault="000D2D88" w:rsidP="000D2D88">
      <w:pPr>
        <w:tabs>
          <w:tab w:val="left" w:pos="-1440"/>
        </w:tabs>
        <w:spacing w:line="360" w:lineRule="auto"/>
        <w:rPr>
          <w:rFonts w:ascii="Arial" w:hAnsi="Arial" w:cs="Arial"/>
          <w:b/>
          <w:bCs/>
          <w:sz w:val="24"/>
          <w:szCs w:val="24"/>
        </w:rPr>
      </w:pPr>
    </w:p>
    <w:p w14:paraId="50102072" w14:textId="77777777" w:rsidR="000D2D88" w:rsidRPr="00985576" w:rsidRDefault="000D2D88" w:rsidP="000D2D88">
      <w:pPr>
        <w:tabs>
          <w:tab w:val="left" w:pos="-1440"/>
        </w:tabs>
        <w:spacing w:line="360" w:lineRule="auto"/>
        <w:jc w:val="center"/>
        <w:rPr>
          <w:rFonts w:ascii="Arial" w:hAnsi="Arial" w:cs="Arial"/>
          <w:b/>
          <w:bCs/>
          <w:sz w:val="24"/>
          <w:szCs w:val="24"/>
        </w:rPr>
      </w:pPr>
      <w:r w:rsidRPr="00985576">
        <w:rPr>
          <w:rFonts w:ascii="Arial" w:hAnsi="Arial" w:cs="Arial"/>
          <w:b/>
          <w:bCs/>
          <w:sz w:val="24"/>
          <w:szCs w:val="24"/>
        </w:rPr>
        <w:t>ANONYMITY ORDER</w:t>
      </w:r>
    </w:p>
    <w:p w14:paraId="15B9831E" w14:textId="77777777" w:rsidR="000D2D88" w:rsidRPr="00985576" w:rsidRDefault="000D2D88" w:rsidP="000D2D88">
      <w:pPr>
        <w:spacing w:line="600" w:lineRule="auto"/>
        <w:jc w:val="center"/>
        <w:rPr>
          <w:rFonts w:ascii="Arial" w:hAnsi="Arial" w:cs="Arial"/>
          <w:sz w:val="24"/>
          <w:szCs w:val="24"/>
        </w:rPr>
      </w:pPr>
    </w:p>
    <w:p w14:paraId="08E7D73D" w14:textId="3D4CCC84" w:rsidR="000D2D88" w:rsidRPr="00985576" w:rsidRDefault="000D2D88" w:rsidP="00985576">
      <w:pPr>
        <w:tabs>
          <w:tab w:val="left" w:pos="-1440"/>
        </w:tabs>
        <w:spacing w:line="360" w:lineRule="auto"/>
        <w:jc w:val="left"/>
        <w:rPr>
          <w:rFonts w:ascii="Arial" w:eastAsia="Calibri" w:hAnsi="Arial" w:cs="Arial"/>
          <w:bCs/>
          <w:sz w:val="24"/>
          <w:szCs w:val="24"/>
        </w:rPr>
      </w:pPr>
      <w:r w:rsidRPr="00985576">
        <w:rPr>
          <w:rFonts w:ascii="Arial" w:hAnsi="Arial" w:cs="Arial"/>
          <w:b/>
          <w:bCs/>
          <w:caps/>
          <w:sz w:val="24"/>
          <w:szCs w:val="24"/>
        </w:rPr>
        <w:t xml:space="preserve">Before </w:t>
      </w:r>
      <w:r w:rsidRPr="00985576">
        <w:rPr>
          <w:rFonts w:ascii="Arial" w:hAnsi="Arial" w:cs="Arial"/>
          <w:sz w:val="24"/>
          <w:szCs w:val="24"/>
        </w:rPr>
        <w:t>[</w:t>
      </w:r>
      <w:r w:rsidRPr="00985576">
        <w:rPr>
          <w:rFonts w:ascii="Arial" w:hAnsi="Arial" w:cs="Arial"/>
          <w:i/>
          <w:sz w:val="24"/>
          <w:szCs w:val="24"/>
        </w:rPr>
        <w:t>Judge / Master</w:t>
      </w:r>
      <w:r w:rsidRPr="00985576">
        <w:rPr>
          <w:rFonts w:ascii="Arial" w:hAnsi="Arial" w:cs="Arial"/>
          <w:sz w:val="24"/>
          <w:szCs w:val="24"/>
        </w:rPr>
        <w:t>] sitting at [</w:t>
      </w:r>
      <w:r w:rsidRPr="00985576">
        <w:rPr>
          <w:rFonts w:ascii="Arial" w:hAnsi="Arial" w:cs="Arial"/>
          <w:i/>
          <w:sz w:val="24"/>
          <w:szCs w:val="24"/>
        </w:rPr>
        <w:t>Court</w:t>
      </w:r>
      <w:r w:rsidRPr="00985576">
        <w:rPr>
          <w:rFonts w:ascii="Arial" w:hAnsi="Arial" w:cs="Arial"/>
          <w:sz w:val="24"/>
          <w:szCs w:val="24"/>
        </w:rPr>
        <w:t>] on [</w:t>
      </w:r>
      <w:r w:rsidRPr="00985576">
        <w:rPr>
          <w:rFonts w:ascii="Arial" w:hAnsi="Arial" w:cs="Arial"/>
          <w:i/>
          <w:sz w:val="24"/>
          <w:szCs w:val="24"/>
        </w:rPr>
        <w:t>date</w:t>
      </w:r>
      <w:r w:rsidRPr="00985576">
        <w:rPr>
          <w:rFonts w:ascii="Arial" w:hAnsi="Arial" w:cs="Arial"/>
          <w:sz w:val="24"/>
          <w:szCs w:val="24"/>
        </w:rPr>
        <w:t>].</w:t>
      </w:r>
    </w:p>
    <w:p w14:paraId="4139019F" w14:textId="77777777" w:rsidR="000D2D88" w:rsidRPr="00985576" w:rsidRDefault="000D2D88" w:rsidP="00985576">
      <w:pPr>
        <w:tabs>
          <w:tab w:val="left" w:pos="-1440"/>
        </w:tabs>
        <w:spacing w:line="360" w:lineRule="auto"/>
        <w:jc w:val="left"/>
        <w:rPr>
          <w:rFonts w:ascii="Arial" w:hAnsi="Arial" w:cs="Arial"/>
          <w:bCs/>
          <w:sz w:val="24"/>
          <w:szCs w:val="24"/>
        </w:rPr>
      </w:pPr>
    </w:p>
    <w:p w14:paraId="43000F06" w14:textId="570498B5" w:rsidR="000D2D88" w:rsidRPr="00985576" w:rsidRDefault="000D2D88" w:rsidP="00985576">
      <w:pPr>
        <w:tabs>
          <w:tab w:val="left" w:pos="-1440"/>
        </w:tabs>
        <w:spacing w:line="360" w:lineRule="auto"/>
        <w:jc w:val="left"/>
        <w:rPr>
          <w:rFonts w:ascii="Arial" w:hAnsi="Arial" w:cs="Arial"/>
          <w:sz w:val="24"/>
          <w:szCs w:val="24"/>
        </w:rPr>
      </w:pPr>
      <w:r w:rsidRPr="00985576">
        <w:rPr>
          <w:rFonts w:ascii="Arial" w:hAnsi="Arial" w:cs="Arial"/>
          <w:b/>
          <w:bCs/>
          <w:sz w:val="24"/>
          <w:szCs w:val="24"/>
        </w:rPr>
        <w:t xml:space="preserve">UPON HEARING </w:t>
      </w:r>
      <w:r w:rsidRPr="00985576">
        <w:rPr>
          <w:rFonts w:ascii="Arial" w:hAnsi="Arial" w:cs="Arial"/>
          <w:bCs/>
          <w:sz w:val="24"/>
          <w:szCs w:val="24"/>
        </w:rPr>
        <w:t>[</w:t>
      </w:r>
      <w:r w:rsidRPr="00985576">
        <w:rPr>
          <w:rFonts w:ascii="Arial" w:hAnsi="Arial" w:cs="Arial"/>
          <w:bCs/>
          <w:i/>
          <w:sz w:val="24"/>
          <w:szCs w:val="24"/>
        </w:rPr>
        <w:t>Counsel / Solicitor</w:t>
      </w:r>
      <w:r w:rsidRPr="00985576">
        <w:rPr>
          <w:rFonts w:ascii="Arial" w:hAnsi="Arial" w:cs="Arial"/>
          <w:bCs/>
          <w:sz w:val="24"/>
          <w:szCs w:val="24"/>
        </w:rPr>
        <w:t>]</w:t>
      </w:r>
      <w:r w:rsidRPr="00985576">
        <w:rPr>
          <w:rFonts w:ascii="Arial" w:hAnsi="Arial" w:cs="Arial"/>
          <w:sz w:val="24"/>
          <w:szCs w:val="24"/>
        </w:rPr>
        <w:t>.</w:t>
      </w:r>
    </w:p>
    <w:p w14:paraId="744D1FFC" w14:textId="77777777" w:rsidR="000D2D88" w:rsidRPr="00985576" w:rsidRDefault="000D2D88" w:rsidP="00985576">
      <w:pPr>
        <w:tabs>
          <w:tab w:val="left" w:pos="-1440"/>
        </w:tabs>
        <w:spacing w:line="360" w:lineRule="auto"/>
        <w:jc w:val="left"/>
        <w:rPr>
          <w:rFonts w:ascii="Arial" w:hAnsi="Arial" w:cs="Arial"/>
          <w:bCs/>
          <w:sz w:val="24"/>
          <w:szCs w:val="24"/>
        </w:rPr>
      </w:pPr>
    </w:p>
    <w:p w14:paraId="4DD0F956" w14:textId="77777777" w:rsidR="000D2D88" w:rsidRPr="00985576" w:rsidRDefault="000D2D88" w:rsidP="00985576">
      <w:pPr>
        <w:spacing w:line="360" w:lineRule="auto"/>
        <w:jc w:val="left"/>
        <w:rPr>
          <w:rFonts w:ascii="Arial" w:hAnsi="Arial" w:cs="Arial"/>
          <w:sz w:val="24"/>
          <w:szCs w:val="24"/>
        </w:rPr>
      </w:pPr>
      <w:r w:rsidRPr="00985576">
        <w:rPr>
          <w:rFonts w:ascii="Arial" w:hAnsi="Arial" w:cs="Arial"/>
          <w:b/>
          <w:sz w:val="24"/>
          <w:szCs w:val="24"/>
        </w:rPr>
        <w:t>AND UPON [</w:t>
      </w:r>
      <w:r w:rsidRPr="00985576">
        <w:rPr>
          <w:rFonts w:ascii="Arial" w:hAnsi="Arial" w:cs="Arial"/>
          <w:bCs/>
          <w:i/>
          <w:iCs/>
          <w:sz w:val="24"/>
          <w:szCs w:val="24"/>
        </w:rPr>
        <w:t xml:space="preserve">the application notice dated… ] </w:t>
      </w:r>
      <w:r w:rsidRPr="00985576">
        <w:rPr>
          <w:rFonts w:ascii="Arial" w:hAnsi="Arial" w:cs="Arial"/>
          <w:sz w:val="24"/>
          <w:szCs w:val="24"/>
        </w:rPr>
        <w:t>:</w:t>
      </w:r>
    </w:p>
    <w:p w14:paraId="64FA3C92" w14:textId="77777777" w:rsidR="000D2D88" w:rsidRPr="00985576" w:rsidRDefault="000D2D88" w:rsidP="00985576">
      <w:pPr>
        <w:numPr>
          <w:ilvl w:val="0"/>
          <w:numId w:val="3"/>
        </w:numPr>
        <w:spacing w:after="0" w:line="360" w:lineRule="auto"/>
        <w:ind w:left="567" w:hanging="567"/>
        <w:jc w:val="left"/>
        <w:rPr>
          <w:rFonts w:ascii="Arial" w:hAnsi="Arial" w:cs="Arial"/>
          <w:sz w:val="24"/>
          <w:szCs w:val="24"/>
        </w:rPr>
      </w:pPr>
      <w:r w:rsidRPr="00985576">
        <w:rPr>
          <w:rFonts w:ascii="Arial" w:hAnsi="Arial" w:cs="Arial"/>
          <w:sz w:val="24"/>
          <w:szCs w:val="24"/>
        </w:rPr>
        <w:t>Consideration of the Article 8 rights of [</w:t>
      </w:r>
      <w:r w:rsidRPr="00985576">
        <w:rPr>
          <w:rFonts w:ascii="Arial" w:hAnsi="Arial" w:cs="Arial"/>
          <w:i/>
          <w:iCs/>
          <w:sz w:val="24"/>
          <w:szCs w:val="24"/>
        </w:rPr>
        <w:t>the Claimant/another person]</w:t>
      </w:r>
      <w:r w:rsidRPr="00985576">
        <w:rPr>
          <w:rFonts w:ascii="Arial" w:hAnsi="Arial" w:cs="Arial"/>
          <w:sz w:val="24"/>
          <w:szCs w:val="24"/>
        </w:rPr>
        <w:t xml:space="preserve"> to respect for private and family life, and the Article 10 right to freedom of expression.</w:t>
      </w:r>
    </w:p>
    <w:p w14:paraId="6EF28F31" w14:textId="77777777" w:rsidR="000D2D88" w:rsidRPr="00985576" w:rsidRDefault="000D2D88" w:rsidP="00985576">
      <w:pPr>
        <w:numPr>
          <w:ilvl w:val="0"/>
          <w:numId w:val="3"/>
        </w:numPr>
        <w:spacing w:after="0" w:line="360" w:lineRule="auto"/>
        <w:ind w:left="567" w:hanging="567"/>
        <w:jc w:val="left"/>
        <w:rPr>
          <w:rFonts w:ascii="Arial" w:hAnsi="Arial" w:cs="Arial"/>
          <w:sz w:val="24"/>
          <w:szCs w:val="24"/>
        </w:rPr>
      </w:pPr>
      <w:r w:rsidRPr="00985576">
        <w:rPr>
          <w:rFonts w:ascii="Arial" w:hAnsi="Arial" w:cs="Arial"/>
          <w:sz w:val="24"/>
          <w:szCs w:val="24"/>
        </w:rPr>
        <w:t xml:space="preserve">It appearing that non-disclosure of the identity of the Claimant is necessary to secure the proper administration of justice and in order to protect the interests </w:t>
      </w:r>
      <w:r w:rsidRPr="00985576">
        <w:rPr>
          <w:rFonts w:ascii="Arial" w:hAnsi="Arial" w:cs="Arial"/>
          <w:sz w:val="24"/>
          <w:szCs w:val="24"/>
        </w:rPr>
        <w:lastRenderedPageBreak/>
        <w:t>of [</w:t>
      </w:r>
      <w:r w:rsidRPr="00985576">
        <w:rPr>
          <w:rFonts w:ascii="Arial" w:hAnsi="Arial" w:cs="Arial"/>
          <w:i/>
          <w:iCs/>
          <w:sz w:val="24"/>
          <w:szCs w:val="24"/>
        </w:rPr>
        <w:t>the Claimant/another person</w:t>
      </w:r>
      <w:r w:rsidRPr="00985576">
        <w:rPr>
          <w:rFonts w:ascii="Arial" w:hAnsi="Arial" w:cs="Arial"/>
          <w:sz w:val="24"/>
          <w:szCs w:val="24"/>
        </w:rPr>
        <w:t>] and that there is no sufficient countervailing public interest in disclosure.</w:t>
      </w:r>
    </w:p>
    <w:p w14:paraId="6A6C490D" w14:textId="77777777" w:rsidR="000D2D88" w:rsidRPr="00985576" w:rsidRDefault="000D2D88" w:rsidP="00985576">
      <w:pPr>
        <w:numPr>
          <w:ilvl w:val="0"/>
          <w:numId w:val="3"/>
        </w:numPr>
        <w:spacing w:after="0" w:line="360" w:lineRule="auto"/>
        <w:ind w:left="567" w:hanging="567"/>
        <w:jc w:val="left"/>
        <w:rPr>
          <w:rFonts w:ascii="Arial" w:hAnsi="Arial" w:cs="Arial"/>
          <w:sz w:val="24"/>
          <w:szCs w:val="24"/>
        </w:rPr>
      </w:pPr>
      <w:r w:rsidRPr="00985576">
        <w:rPr>
          <w:rFonts w:ascii="Arial" w:hAnsi="Arial" w:cs="Arial"/>
          <w:sz w:val="24"/>
          <w:szCs w:val="24"/>
        </w:rPr>
        <w:t>The Defendant indicating its neutrality to the making of the order and there being no representations from the press or any other interested party.</w:t>
      </w:r>
    </w:p>
    <w:p w14:paraId="573B7A79" w14:textId="77777777" w:rsidR="000D2D88" w:rsidRPr="00985576" w:rsidRDefault="000D2D88" w:rsidP="00985576">
      <w:pPr>
        <w:spacing w:line="360" w:lineRule="auto"/>
        <w:jc w:val="left"/>
        <w:rPr>
          <w:rFonts w:ascii="Arial" w:hAnsi="Arial" w:cs="Arial"/>
          <w:sz w:val="24"/>
          <w:szCs w:val="24"/>
        </w:rPr>
      </w:pPr>
    </w:p>
    <w:p w14:paraId="1FD64C60" w14:textId="6B783E73" w:rsidR="000D2D88" w:rsidRPr="00985576" w:rsidRDefault="000D2D88" w:rsidP="00985576">
      <w:pPr>
        <w:spacing w:line="360" w:lineRule="auto"/>
        <w:jc w:val="left"/>
        <w:rPr>
          <w:rFonts w:ascii="Arial" w:hAnsi="Arial" w:cs="Arial"/>
          <w:sz w:val="24"/>
          <w:szCs w:val="24"/>
        </w:rPr>
      </w:pPr>
      <w:r w:rsidRPr="00985576">
        <w:rPr>
          <w:rFonts w:ascii="Arial" w:hAnsi="Arial" w:cs="Arial"/>
          <w:b/>
          <w:sz w:val="24"/>
          <w:szCs w:val="24"/>
        </w:rPr>
        <w:t>AND PURSUANT</w:t>
      </w:r>
      <w:r w:rsidRPr="00985576">
        <w:rPr>
          <w:rFonts w:ascii="Arial" w:hAnsi="Arial" w:cs="Arial"/>
          <w:sz w:val="24"/>
          <w:szCs w:val="24"/>
        </w:rPr>
        <w:t xml:space="preserve"> to section 6 of the Human Rights Act 1998 and CPR rules 5.4C, 5.4D and 39.2(4)</w:t>
      </w:r>
    </w:p>
    <w:p w14:paraId="7B3CBF3C" w14:textId="77777777" w:rsidR="000D2D88" w:rsidRPr="00985576" w:rsidRDefault="000D2D88" w:rsidP="00985576">
      <w:pPr>
        <w:spacing w:line="360" w:lineRule="auto"/>
        <w:jc w:val="left"/>
        <w:rPr>
          <w:rFonts w:ascii="Arial" w:hAnsi="Arial" w:cs="Arial"/>
          <w:sz w:val="24"/>
          <w:szCs w:val="24"/>
        </w:rPr>
      </w:pPr>
    </w:p>
    <w:p w14:paraId="6481621F" w14:textId="77777777" w:rsidR="000D2D88" w:rsidRPr="00985576" w:rsidRDefault="000D2D88" w:rsidP="00985576">
      <w:pPr>
        <w:spacing w:line="360" w:lineRule="auto"/>
        <w:jc w:val="left"/>
        <w:rPr>
          <w:rFonts w:ascii="Arial" w:hAnsi="Arial" w:cs="Arial"/>
          <w:b/>
          <w:bCs/>
          <w:sz w:val="24"/>
          <w:szCs w:val="24"/>
        </w:rPr>
      </w:pPr>
      <w:r w:rsidRPr="00985576">
        <w:rPr>
          <w:rFonts w:ascii="Arial" w:hAnsi="Arial" w:cs="Arial"/>
          <w:b/>
          <w:bCs/>
          <w:sz w:val="24"/>
          <w:szCs w:val="24"/>
        </w:rPr>
        <w:t xml:space="preserve">WHEREAS </w:t>
      </w:r>
      <w:r w:rsidRPr="00985576">
        <w:rPr>
          <w:rFonts w:ascii="Arial" w:hAnsi="Arial" w:cs="Arial"/>
          <w:sz w:val="24"/>
          <w:szCs w:val="24"/>
        </w:rPr>
        <w:t>for the purposes of this order:</w:t>
      </w:r>
    </w:p>
    <w:p w14:paraId="529E2CE2" w14:textId="77777777" w:rsidR="000D2D88" w:rsidRPr="00985576" w:rsidRDefault="000D2D88" w:rsidP="00985576">
      <w:pPr>
        <w:pStyle w:val="Heading1"/>
        <w:numPr>
          <w:ilvl w:val="0"/>
          <w:numId w:val="4"/>
        </w:numPr>
        <w:tabs>
          <w:tab w:val="left" w:pos="1418"/>
        </w:tabs>
        <w:spacing w:after="0" w:line="360" w:lineRule="auto"/>
        <w:ind w:left="720" w:hanging="360"/>
        <w:jc w:val="left"/>
        <w:rPr>
          <w:rFonts w:ascii="Arial" w:eastAsiaTheme="minorHAnsi" w:hAnsi="Arial" w:cs="Arial"/>
          <w:b w:val="0"/>
          <w:sz w:val="24"/>
          <w:szCs w:val="24"/>
        </w:rPr>
      </w:pPr>
      <w:r w:rsidRPr="00985576">
        <w:rPr>
          <w:rFonts w:ascii="Arial" w:eastAsiaTheme="minorHAnsi" w:hAnsi="Arial" w:cs="Arial"/>
          <w:b w:val="0"/>
          <w:sz w:val="24"/>
          <w:szCs w:val="24"/>
        </w:rPr>
        <w:t>‘Publication’ includes any speech, writing, broadcast, or other communication in whatever form (including internet and social media), which is addressed to the public at large or any section of the public.</w:t>
      </w:r>
    </w:p>
    <w:p w14:paraId="192CA9FA" w14:textId="77777777" w:rsidR="000D2D88" w:rsidRPr="00985576" w:rsidRDefault="000D2D88" w:rsidP="00985576">
      <w:pPr>
        <w:pStyle w:val="Heading1"/>
        <w:numPr>
          <w:ilvl w:val="0"/>
          <w:numId w:val="4"/>
        </w:numPr>
        <w:tabs>
          <w:tab w:val="left" w:pos="1418"/>
        </w:tabs>
        <w:spacing w:after="0" w:line="360" w:lineRule="auto"/>
        <w:ind w:left="720" w:hanging="360"/>
        <w:jc w:val="left"/>
        <w:rPr>
          <w:rFonts w:ascii="Arial" w:eastAsiaTheme="minorHAnsi" w:hAnsi="Arial" w:cs="Arial"/>
          <w:b w:val="0"/>
          <w:sz w:val="24"/>
          <w:szCs w:val="24"/>
        </w:rPr>
      </w:pPr>
      <w:r w:rsidRPr="00985576">
        <w:rPr>
          <w:rFonts w:ascii="Arial" w:eastAsiaTheme="minorHAnsi" w:hAnsi="Arial" w:cs="Arial"/>
          <w:b w:val="0"/>
          <w:sz w:val="24"/>
          <w:szCs w:val="24"/>
        </w:rPr>
        <w:t xml:space="preserve">Publication for the purpose of this Order includes any further publication (as defined in subparagraph (i) above) from the date of this Order, even if such information has derived from a previous stage or stages of these proceedings. </w:t>
      </w:r>
    </w:p>
    <w:p w14:paraId="6181A76C" w14:textId="77777777" w:rsidR="000D2D88" w:rsidRPr="00985576" w:rsidRDefault="000D2D88" w:rsidP="00985576">
      <w:pPr>
        <w:spacing w:line="360" w:lineRule="auto"/>
        <w:jc w:val="left"/>
        <w:rPr>
          <w:rFonts w:ascii="Arial" w:hAnsi="Arial" w:cs="Arial"/>
          <w:b/>
          <w:sz w:val="24"/>
          <w:szCs w:val="24"/>
        </w:rPr>
      </w:pPr>
    </w:p>
    <w:p w14:paraId="4600BEA3" w14:textId="77777777" w:rsidR="000D2D88" w:rsidRPr="00985576" w:rsidRDefault="000D2D88" w:rsidP="00985576">
      <w:pPr>
        <w:spacing w:line="360" w:lineRule="auto"/>
        <w:jc w:val="left"/>
        <w:rPr>
          <w:rFonts w:ascii="Arial" w:hAnsi="Arial" w:cs="Arial"/>
          <w:b/>
          <w:sz w:val="24"/>
          <w:szCs w:val="24"/>
        </w:rPr>
      </w:pPr>
      <w:r w:rsidRPr="00985576">
        <w:rPr>
          <w:rFonts w:ascii="Arial" w:hAnsi="Arial" w:cs="Arial"/>
          <w:b/>
          <w:sz w:val="24"/>
          <w:szCs w:val="24"/>
        </w:rPr>
        <w:t>IT IS ORDERED [BY CONSENT] THAT:</w:t>
      </w:r>
    </w:p>
    <w:p w14:paraId="259E5C57" w14:textId="77777777"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sz w:val="24"/>
          <w:szCs w:val="24"/>
        </w:rPr>
      </w:pPr>
      <w:r w:rsidRPr="00985576">
        <w:rPr>
          <w:rFonts w:ascii="Arial" w:eastAsiaTheme="minorHAnsi" w:hAnsi="Arial" w:cs="Arial"/>
          <w:b w:val="0"/>
          <w:sz w:val="24"/>
          <w:szCs w:val="24"/>
        </w:rPr>
        <w:t>The identity of the Claimant as a party to these proceedings is confidential and shall not be published.</w:t>
      </w:r>
    </w:p>
    <w:p w14:paraId="47494960" w14:textId="666348AB"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sz w:val="24"/>
          <w:szCs w:val="24"/>
        </w:rPr>
      </w:pPr>
      <w:r w:rsidRPr="00985576">
        <w:rPr>
          <w:rFonts w:ascii="Arial" w:eastAsiaTheme="minorHAnsi" w:hAnsi="Arial" w:cs="Arial"/>
          <w:b w:val="0"/>
          <w:sz w:val="24"/>
          <w:szCs w:val="24"/>
        </w:rPr>
        <w:t>Pursuant to CPR Rule 39.2(4), there shall not be disclosed in any report of these proceedings or other publication the name or address of the Claimant, the Claimant’s Litigation Friend or other immediate family members, or any details (including other names, addresses, or a specific combination of facts) that could lead to the identification of the Claimant in these proceedings. The Claimant and the Litigation Friend shall be referred to as set out at paragraph 3 of this Order.</w:t>
      </w:r>
    </w:p>
    <w:p w14:paraId="6190C48F" w14:textId="77777777"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sz w:val="24"/>
          <w:szCs w:val="24"/>
        </w:rPr>
      </w:pPr>
      <w:r w:rsidRPr="00985576">
        <w:rPr>
          <w:rFonts w:ascii="Arial" w:eastAsiaTheme="minorHAnsi" w:hAnsi="Arial" w:cs="Arial"/>
          <w:b w:val="0"/>
          <w:sz w:val="24"/>
          <w:szCs w:val="24"/>
        </w:rPr>
        <w:t>In any judgment or report of these proceedings, or other publication (by whatever medium) in relation thereto:</w:t>
      </w:r>
    </w:p>
    <w:p w14:paraId="09D1963E" w14:textId="77777777" w:rsidR="000D2D88" w:rsidRPr="00985576" w:rsidRDefault="000D2D88" w:rsidP="00985576">
      <w:pPr>
        <w:pStyle w:val="Heading1"/>
        <w:numPr>
          <w:ilvl w:val="0"/>
          <w:numId w:val="6"/>
        </w:numPr>
        <w:spacing w:after="0" w:line="360" w:lineRule="auto"/>
        <w:ind w:left="1418" w:hanging="851"/>
        <w:jc w:val="left"/>
        <w:rPr>
          <w:rFonts w:ascii="Arial" w:eastAsiaTheme="minorHAnsi" w:hAnsi="Arial" w:cs="Arial"/>
          <w:b w:val="0"/>
          <w:sz w:val="24"/>
          <w:szCs w:val="24"/>
        </w:rPr>
      </w:pPr>
      <w:r w:rsidRPr="00985576">
        <w:rPr>
          <w:rFonts w:ascii="Arial" w:eastAsiaTheme="minorHAnsi" w:hAnsi="Arial" w:cs="Arial"/>
          <w:b w:val="0"/>
          <w:sz w:val="24"/>
          <w:szCs w:val="24"/>
        </w:rPr>
        <w:t>The Claimant shall be referred to as “[</w:t>
      </w:r>
      <w:r w:rsidRPr="00985576">
        <w:rPr>
          <w:rFonts w:ascii="Arial" w:eastAsiaTheme="minorHAnsi" w:hAnsi="Arial" w:cs="Arial"/>
          <w:b w:val="0"/>
          <w:i/>
          <w:iCs/>
          <w:sz w:val="24"/>
          <w:szCs w:val="24"/>
        </w:rPr>
        <w:t>TBC</w:t>
      </w:r>
      <w:r w:rsidRPr="00985576">
        <w:rPr>
          <w:rFonts w:ascii="Arial" w:eastAsiaTheme="minorHAnsi" w:hAnsi="Arial" w:cs="Arial"/>
          <w:b w:val="0"/>
          <w:sz w:val="24"/>
          <w:szCs w:val="24"/>
        </w:rPr>
        <w:t>]”.</w:t>
      </w:r>
    </w:p>
    <w:p w14:paraId="487D7867" w14:textId="77777777" w:rsidR="000D2D88" w:rsidRPr="00985576" w:rsidRDefault="000D2D88" w:rsidP="00985576">
      <w:pPr>
        <w:pStyle w:val="Heading1"/>
        <w:numPr>
          <w:ilvl w:val="0"/>
          <w:numId w:val="6"/>
        </w:numPr>
        <w:spacing w:after="0" w:line="360" w:lineRule="auto"/>
        <w:ind w:left="1418" w:hanging="851"/>
        <w:jc w:val="left"/>
        <w:rPr>
          <w:rFonts w:ascii="Arial" w:eastAsiaTheme="minorHAnsi" w:hAnsi="Arial" w:cs="Arial"/>
          <w:b w:val="0"/>
          <w:sz w:val="24"/>
          <w:szCs w:val="24"/>
        </w:rPr>
      </w:pPr>
      <w:r w:rsidRPr="00985576">
        <w:rPr>
          <w:rFonts w:ascii="Arial" w:eastAsiaTheme="minorHAnsi" w:hAnsi="Arial" w:cs="Arial"/>
          <w:b w:val="0"/>
          <w:sz w:val="24"/>
          <w:szCs w:val="24"/>
        </w:rPr>
        <w:t>The Litigation Friend shall be referred to as “[</w:t>
      </w:r>
      <w:r w:rsidRPr="00985576">
        <w:rPr>
          <w:rFonts w:ascii="Arial" w:eastAsiaTheme="minorHAnsi" w:hAnsi="Arial" w:cs="Arial"/>
          <w:b w:val="0"/>
          <w:i/>
          <w:iCs/>
          <w:sz w:val="24"/>
          <w:szCs w:val="24"/>
        </w:rPr>
        <w:t>TBC</w:t>
      </w:r>
      <w:r w:rsidRPr="00985576">
        <w:rPr>
          <w:rFonts w:ascii="Arial" w:eastAsiaTheme="minorHAnsi" w:hAnsi="Arial" w:cs="Arial"/>
          <w:b w:val="0"/>
          <w:sz w:val="24"/>
          <w:szCs w:val="24"/>
        </w:rPr>
        <w:t>]”.</w:t>
      </w:r>
    </w:p>
    <w:p w14:paraId="1A731B8B" w14:textId="61F9CE52" w:rsidR="00985576" w:rsidRPr="00985576" w:rsidRDefault="000D2D88" w:rsidP="00985576">
      <w:pPr>
        <w:pStyle w:val="Heading1"/>
        <w:numPr>
          <w:ilvl w:val="0"/>
          <w:numId w:val="6"/>
        </w:numPr>
        <w:spacing w:after="0" w:line="360" w:lineRule="auto"/>
        <w:ind w:left="1418" w:hanging="851"/>
        <w:jc w:val="left"/>
        <w:rPr>
          <w:rFonts w:ascii="Arial" w:eastAsiaTheme="minorHAnsi" w:hAnsi="Arial" w:cs="Arial"/>
          <w:b w:val="0"/>
          <w:sz w:val="24"/>
          <w:szCs w:val="24"/>
        </w:rPr>
      </w:pPr>
      <w:r w:rsidRPr="00985576">
        <w:rPr>
          <w:rFonts w:ascii="Arial" w:eastAsiaTheme="minorHAnsi" w:hAnsi="Arial" w:cs="Arial"/>
          <w:b w:val="0"/>
          <w:sz w:val="24"/>
          <w:szCs w:val="24"/>
        </w:rPr>
        <w:lastRenderedPageBreak/>
        <w:t>Any other details which, on their own or together with other information publicly available, may lead to the identification of the Claimant (including any names of other immediate family members or their addresses) shall be redacted before publication.</w:t>
      </w:r>
    </w:p>
    <w:p w14:paraId="3BB30E1F" w14:textId="77777777"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sz w:val="24"/>
          <w:szCs w:val="24"/>
        </w:rPr>
      </w:pPr>
      <w:r w:rsidRPr="00985576">
        <w:rPr>
          <w:rFonts w:ascii="Arial" w:eastAsiaTheme="minorHAnsi" w:hAnsi="Arial" w:cs="Arial"/>
          <w:b w:val="0"/>
          <w:sz w:val="24"/>
          <w:szCs w:val="24"/>
        </w:rPr>
        <w:t>Pursuant to CPR Rules 5.4C and 5.4D:</w:t>
      </w:r>
    </w:p>
    <w:p w14:paraId="5F319DDE" w14:textId="77777777" w:rsidR="000D2D88" w:rsidRPr="00985576" w:rsidRDefault="000D2D88" w:rsidP="00985576">
      <w:pPr>
        <w:pStyle w:val="Heading1"/>
        <w:numPr>
          <w:ilvl w:val="0"/>
          <w:numId w:val="7"/>
        </w:numPr>
        <w:spacing w:after="0" w:line="360" w:lineRule="auto"/>
        <w:ind w:left="1418" w:hanging="851"/>
        <w:jc w:val="left"/>
        <w:rPr>
          <w:rFonts w:ascii="Arial" w:eastAsiaTheme="minorHAnsi" w:hAnsi="Arial" w:cs="Arial"/>
          <w:b w:val="0"/>
          <w:sz w:val="24"/>
          <w:szCs w:val="24"/>
        </w:rPr>
      </w:pPr>
      <w:r w:rsidRPr="00985576">
        <w:rPr>
          <w:rFonts w:ascii="Arial" w:eastAsiaTheme="minorHAnsi" w:hAnsi="Arial" w:cs="Arial"/>
          <w:b w:val="0"/>
          <w:sz w:val="24"/>
          <w:szCs w:val="24"/>
        </w:rPr>
        <w:t>A person who is not a party to the proceedings may not obtain a copy of a statement of case, judgment or order from the Court records unless the statement of case, judgment or order has been anonymised in accordance with subparagraphs 3(i) to (iii) above.</w:t>
      </w:r>
    </w:p>
    <w:p w14:paraId="0D8228FD" w14:textId="77777777" w:rsidR="000D2D88" w:rsidRPr="00985576" w:rsidRDefault="000D2D88" w:rsidP="00985576">
      <w:pPr>
        <w:pStyle w:val="Heading1"/>
        <w:numPr>
          <w:ilvl w:val="0"/>
          <w:numId w:val="7"/>
        </w:numPr>
        <w:spacing w:after="0" w:line="360" w:lineRule="auto"/>
        <w:ind w:left="1418" w:hanging="851"/>
        <w:jc w:val="left"/>
        <w:rPr>
          <w:rFonts w:ascii="Arial" w:eastAsiaTheme="minorHAnsi" w:hAnsi="Arial" w:cs="Arial"/>
          <w:b w:val="0"/>
          <w:sz w:val="24"/>
          <w:szCs w:val="24"/>
        </w:rPr>
      </w:pPr>
      <w:r w:rsidRPr="00985576">
        <w:rPr>
          <w:rFonts w:ascii="Arial" w:eastAsiaTheme="minorHAnsi" w:hAnsi="Arial" w:cs="Arial"/>
          <w:b w:val="0"/>
          <w:sz w:val="24"/>
          <w:szCs w:val="24"/>
        </w:rPr>
        <w:t>If a person who is not a party to the proceedings applies (pursuant to CPR r.5.4C(1B) or (2)) for permission to inspect or obtain a copy of any other document or communication, such application shall be on at least 7 days’ notice to the Claimant’s solicitor, trustee or deputy.</w:t>
      </w:r>
    </w:p>
    <w:p w14:paraId="556B357F" w14:textId="77777777"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sz w:val="24"/>
          <w:szCs w:val="24"/>
        </w:rPr>
      </w:pPr>
      <w:r w:rsidRPr="00985576">
        <w:rPr>
          <w:rFonts w:ascii="Arial" w:eastAsiaTheme="minorHAnsi" w:hAnsi="Arial" w:cs="Arial"/>
          <w:b w:val="0"/>
          <w:sz w:val="24"/>
          <w:szCs w:val="24"/>
        </w:rPr>
        <w:t>The Claimant’s solicitor shall file with the Court an electronic (PDF) bundle of the statements of case that has been anonymised in accordance with paragraph 3 above by [</w:t>
      </w:r>
      <w:r w:rsidRPr="00985576">
        <w:rPr>
          <w:rFonts w:ascii="Arial" w:eastAsiaTheme="minorHAnsi" w:hAnsi="Arial" w:cs="Arial"/>
          <w:b w:val="0"/>
          <w:i/>
          <w:iCs/>
          <w:sz w:val="24"/>
          <w:szCs w:val="24"/>
        </w:rPr>
        <w:t>date – 21 days from date of the order</w:t>
      </w:r>
      <w:r w:rsidRPr="00985576">
        <w:rPr>
          <w:rFonts w:ascii="Arial" w:eastAsiaTheme="minorHAnsi" w:hAnsi="Arial" w:cs="Arial"/>
          <w:b w:val="0"/>
          <w:sz w:val="24"/>
          <w:szCs w:val="24"/>
        </w:rPr>
        <w:t>], and re-filed in the event that any statement of case is amended, within 21 days of such amendment being approved.</w:t>
      </w:r>
    </w:p>
    <w:p w14:paraId="0CF01CD6" w14:textId="77777777"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sz w:val="24"/>
          <w:szCs w:val="24"/>
        </w:rPr>
      </w:pPr>
      <w:r w:rsidRPr="00985576">
        <w:rPr>
          <w:rFonts w:ascii="Arial" w:eastAsiaTheme="minorHAnsi" w:hAnsi="Arial" w:cs="Arial"/>
          <w:b w:val="0"/>
          <w:sz w:val="24"/>
          <w:szCs w:val="24"/>
        </w:rPr>
        <w:t>The Court file shall be clearly marked with the words “An anonymity order was made in this case on [</w:t>
      </w:r>
      <w:r w:rsidRPr="00985576">
        <w:rPr>
          <w:rFonts w:ascii="Arial" w:eastAsiaTheme="minorHAnsi" w:hAnsi="Arial" w:cs="Arial"/>
          <w:b w:val="0"/>
          <w:i/>
          <w:iCs/>
          <w:sz w:val="24"/>
          <w:szCs w:val="24"/>
        </w:rPr>
        <w:t>date of this Order</w:t>
      </w:r>
      <w:r w:rsidRPr="00985576">
        <w:rPr>
          <w:rFonts w:ascii="Arial" w:eastAsiaTheme="minorHAnsi" w:hAnsi="Arial" w:cs="Arial"/>
          <w:b w:val="0"/>
          <w:sz w:val="24"/>
          <w:szCs w:val="24"/>
        </w:rPr>
        <w:t xml:space="preserve">] and any application by a non-party to inspect or obtain a copy document from this file must be dealt with in accordance with the terms of that Order.” </w:t>
      </w:r>
    </w:p>
    <w:p w14:paraId="728EED18" w14:textId="77777777"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sz w:val="24"/>
          <w:szCs w:val="24"/>
        </w:rPr>
      </w:pPr>
      <w:r w:rsidRPr="00985576">
        <w:rPr>
          <w:rFonts w:ascii="Arial" w:eastAsiaTheme="minorHAnsi" w:hAnsi="Arial" w:cs="Arial"/>
          <w:b w:val="0"/>
          <w:sz w:val="24"/>
          <w:szCs w:val="24"/>
        </w:rPr>
        <w:t xml:space="preserve">Any interested party, whether or not a party to the proceedings, may apply to the Court to vary or discharge this Order, provided that any such application is made on 7 days’ notice to the Claimant’s solicitor, trustee or deputy. </w:t>
      </w:r>
    </w:p>
    <w:p w14:paraId="702AAA20" w14:textId="463D6336"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bCs w:val="0"/>
          <w:sz w:val="24"/>
          <w:szCs w:val="24"/>
        </w:rPr>
      </w:pPr>
      <w:r w:rsidRPr="00985576">
        <w:rPr>
          <w:rFonts w:ascii="Arial" w:eastAsiaTheme="minorHAnsi" w:hAnsi="Arial" w:cs="Arial"/>
          <w:b w:val="0"/>
          <w:sz w:val="24"/>
          <w:szCs w:val="24"/>
        </w:rPr>
        <w:t>Pursuant to the ‘Practice Guidance: Publication of Privacy and Anonymity Orders’ issued by the Master of the Rolls dated 16 April 2019 a copy of this Order shall be published on the Judicial Website of the High Court of Justice (</w:t>
      </w:r>
      <w:hyperlink r:id="rId8" w:history="1">
        <w:r w:rsidRPr="00985576">
          <w:rPr>
            <w:rStyle w:val="Hyperlink"/>
            <w:rFonts w:ascii="Arial" w:eastAsiaTheme="minorHAnsi" w:hAnsi="Arial" w:cs="Arial"/>
            <w:b w:val="0"/>
            <w:sz w:val="24"/>
            <w:szCs w:val="24"/>
          </w:rPr>
          <w:t>www.judiciary.uk</w:t>
        </w:r>
      </w:hyperlink>
      <w:r w:rsidRPr="00985576">
        <w:rPr>
          <w:rFonts w:ascii="Arial" w:eastAsiaTheme="minorHAnsi" w:hAnsi="Arial" w:cs="Arial"/>
          <w:b w:val="0"/>
          <w:sz w:val="24"/>
          <w:szCs w:val="24"/>
        </w:rPr>
        <w:t xml:space="preserve">). For that purpose, a court officer will send a copy of the order by email to the Judicial Office at </w:t>
      </w:r>
      <w:hyperlink r:id="rId9" w:history="1">
        <w:r w:rsidRPr="00985576">
          <w:rPr>
            <w:rStyle w:val="Hyperlink"/>
            <w:rFonts w:ascii="Arial" w:eastAsiaTheme="minorHAnsi" w:hAnsi="Arial" w:cs="Arial"/>
            <w:b w:val="0"/>
            <w:bCs w:val="0"/>
            <w:sz w:val="24"/>
            <w:szCs w:val="24"/>
          </w:rPr>
          <w:t>judicialwebupdates@judiciary.uk</w:t>
        </w:r>
      </w:hyperlink>
      <w:r w:rsidRPr="00985576">
        <w:rPr>
          <w:rFonts w:ascii="Arial" w:eastAsiaTheme="minorHAnsi" w:hAnsi="Arial" w:cs="Arial"/>
          <w:b w:val="0"/>
          <w:bCs w:val="0"/>
          <w:sz w:val="24"/>
          <w:szCs w:val="24"/>
        </w:rPr>
        <w:t>.</w:t>
      </w:r>
    </w:p>
    <w:p w14:paraId="2FCD89EF" w14:textId="77777777" w:rsidR="000D2D88" w:rsidRPr="00985576" w:rsidRDefault="000D2D88" w:rsidP="00985576">
      <w:pPr>
        <w:pStyle w:val="Heading1"/>
        <w:numPr>
          <w:ilvl w:val="0"/>
          <w:numId w:val="5"/>
        </w:numPr>
        <w:spacing w:after="0" w:line="360" w:lineRule="auto"/>
        <w:ind w:left="567" w:hanging="567"/>
        <w:jc w:val="left"/>
        <w:rPr>
          <w:rFonts w:ascii="Arial" w:eastAsiaTheme="minorHAnsi" w:hAnsi="Arial" w:cs="Arial"/>
          <w:b w:val="0"/>
          <w:bCs w:val="0"/>
          <w:sz w:val="24"/>
          <w:szCs w:val="24"/>
        </w:rPr>
      </w:pPr>
      <w:r w:rsidRPr="00985576">
        <w:rPr>
          <w:rFonts w:ascii="Arial" w:eastAsiaTheme="minorHAnsi" w:hAnsi="Arial" w:cs="Arial"/>
          <w:b w:val="0"/>
          <w:bCs w:val="0"/>
          <w:sz w:val="24"/>
          <w:szCs w:val="24"/>
        </w:rPr>
        <w:t>The costs of obtaining this order be costs in the [</w:t>
      </w:r>
      <w:r w:rsidRPr="00985576">
        <w:rPr>
          <w:rFonts w:ascii="Arial" w:eastAsiaTheme="minorHAnsi" w:hAnsi="Arial" w:cs="Arial"/>
          <w:b w:val="0"/>
          <w:bCs w:val="0"/>
          <w:i/>
          <w:iCs/>
          <w:sz w:val="24"/>
          <w:szCs w:val="24"/>
        </w:rPr>
        <w:t>case / claim / assessment</w:t>
      </w:r>
      <w:r w:rsidRPr="00985576">
        <w:rPr>
          <w:rFonts w:ascii="Arial" w:eastAsiaTheme="minorHAnsi" w:hAnsi="Arial" w:cs="Arial"/>
          <w:b w:val="0"/>
          <w:bCs w:val="0"/>
          <w:sz w:val="24"/>
          <w:szCs w:val="24"/>
        </w:rPr>
        <w:t>].</w:t>
      </w:r>
    </w:p>
    <w:p w14:paraId="2ECFC9E2" w14:textId="77777777" w:rsidR="000D2D88" w:rsidRPr="00985576" w:rsidRDefault="000D2D88" w:rsidP="00985576">
      <w:pPr>
        <w:jc w:val="left"/>
        <w:rPr>
          <w:rFonts w:ascii="Arial" w:hAnsi="Arial" w:cs="Arial"/>
          <w:sz w:val="24"/>
          <w:szCs w:val="24"/>
        </w:rPr>
      </w:pPr>
    </w:p>
    <w:p w14:paraId="7480C03C" w14:textId="77777777" w:rsidR="000D2D88" w:rsidRPr="00985576" w:rsidRDefault="000D2D88" w:rsidP="00985576">
      <w:pPr>
        <w:jc w:val="left"/>
        <w:rPr>
          <w:rFonts w:ascii="Arial" w:hAnsi="Arial" w:cs="Arial"/>
          <w:b/>
          <w:bCs/>
          <w:sz w:val="24"/>
          <w:szCs w:val="24"/>
        </w:rPr>
      </w:pPr>
      <w:r w:rsidRPr="00985576">
        <w:rPr>
          <w:rFonts w:ascii="Arial" w:hAnsi="Arial" w:cs="Arial"/>
          <w:b/>
          <w:bCs/>
          <w:sz w:val="24"/>
          <w:szCs w:val="24"/>
        </w:rPr>
        <w:t>DATED ….</w:t>
      </w:r>
    </w:p>
    <w:p w14:paraId="584BBC26" w14:textId="18F53296" w:rsidR="000D2D88" w:rsidRPr="00985576" w:rsidRDefault="000D2D88" w:rsidP="00985576">
      <w:pPr>
        <w:jc w:val="left"/>
        <w:rPr>
          <w:rFonts w:ascii="Arial" w:hAnsi="Arial" w:cs="Arial"/>
          <w:b/>
          <w:bCs/>
          <w:sz w:val="24"/>
          <w:szCs w:val="24"/>
        </w:rPr>
      </w:pPr>
      <w:r w:rsidRPr="00985576">
        <w:rPr>
          <w:rFonts w:ascii="Arial" w:hAnsi="Arial" w:cs="Arial"/>
          <w:b/>
          <w:bCs/>
          <w:sz w:val="24"/>
          <w:szCs w:val="24"/>
        </w:rPr>
        <w:lastRenderedPageBreak/>
        <w:t>EXPLANATORY NOTE</w:t>
      </w:r>
    </w:p>
    <w:p w14:paraId="6C7DD518" w14:textId="77777777" w:rsidR="000D2D88" w:rsidRPr="00985576" w:rsidRDefault="000D2D88" w:rsidP="00985576">
      <w:pPr>
        <w:jc w:val="left"/>
        <w:rPr>
          <w:rFonts w:ascii="Arial" w:hAnsi="Arial" w:cs="Arial"/>
          <w:sz w:val="24"/>
          <w:szCs w:val="24"/>
        </w:rPr>
      </w:pPr>
    </w:p>
    <w:p w14:paraId="3264EB03" w14:textId="77777777" w:rsidR="000D2D88" w:rsidRPr="00985576" w:rsidRDefault="000D2D88" w:rsidP="00985576">
      <w:pPr>
        <w:pStyle w:val="Heading1"/>
        <w:numPr>
          <w:ilvl w:val="0"/>
          <w:numId w:val="8"/>
        </w:numPr>
        <w:spacing w:after="0" w:line="360" w:lineRule="auto"/>
        <w:ind w:left="360"/>
        <w:jc w:val="left"/>
        <w:rPr>
          <w:rFonts w:ascii="Arial" w:eastAsiaTheme="minorHAnsi" w:hAnsi="Arial" w:cs="Arial"/>
          <w:b w:val="0"/>
          <w:sz w:val="24"/>
          <w:szCs w:val="24"/>
        </w:rPr>
      </w:pPr>
      <w:r w:rsidRPr="00985576">
        <w:rPr>
          <w:rFonts w:ascii="Arial" w:eastAsiaTheme="minorHAnsi" w:hAnsi="Arial" w:cs="Arial"/>
          <w:b w:val="0"/>
          <w:sz w:val="24"/>
          <w:szCs w:val="24"/>
        </w:rPr>
        <w:t>This Form is designed for use in personal injury and clinical negligence cases in which the claimant is a child or a protected party whose interests are assessed to require their identity to be kept confidential.</w:t>
      </w:r>
    </w:p>
    <w:p w14:paraId="64989E24" w14:textId="0A6F7B63" w:rsidR="000D2D88" w:rsidRPr="00985576" w:rsidRDefault="000D2D88" w:rsidP="00985576">
      <w:pPr>
        <w:pStyle w:val="Heading1"/>
        <w:numPr>
          <w:ilvl w:val="0"/>
          <w:numId w:val="8"/>
        </w:numPr>
        <w:spacing w:after="0" w:line="360" w:lineRule="auto"/>
        <w:ind w:left="360"/>
        <w:jc w:val="left"/>
        <w:rPr>
          <w:rFonts w:ascii="Arial" w:eastAsiaTheme="minorHAnsi" w:hAnsi="Arial" w:cs="Arial"/>
          <w:b w:val="0"/>
          <w:sz w:val="24"/>
          <w:szCs w:val="24"/>
        </w:rPr>
      </w:pPr>
      <w:r w:rsidRPr="00985576">
        <w:rPr>
          <w:rFonts w:ascii="Arial" w:eastAsiaTheme="minorHAnsi" w:hAnsi="Arial" w:cs="Arial"/>
          <w:b w:val="0"/>
          <w:sz w:val="24"/>
          <w:szCs w:val="24"/>
        </w:rPr>
        <w:t>The Form assumes that the party to be anonymised is the claimant. Adjustment will be required where that is not the case; for example where the order is to protect dependant children in a claim under the Fatal Accidents Act 1976.</w:t>
      </w:r>
    </w:p>
    <w:p w14:paraId="4DF7B2EE" w14:textId="5A911214" w:rsidR="000D2D88" w:rsidRPr="00985576" w:rsidRDefault="000D2D88" w:rsidP="00985576">
      <w:pPr>
        <w:pStyle w:val="Heading1"/>
        <w:numPr>
          <w:ilvl w:val="0"/>
          <w:numId w:val="8"/>
        </w:numPr>
        <w:spacing w:after="0" w:line="360" w:lineRule="auto"/>
        <w:ind w:left="360"/>
        <w:jc w:val="left"/>
        <w:rPr>
          <w:rFonts w:ascii="Arial" w:eastAsiaTheme="minorHAnsi" w:hAnsi="Arial" w:cs="Arial"/>
          <w:b w:val="0"/>
          <w:sz w:val="24"/>
          <w:szCs w:val="24"/>
        </w:rPr>
      </w:pPr>
      <w:r w:rsidRPr="00985576">
        <w:rPr>
          <w:rFonts w:ascii="Arial" w:eastAsiaTheme="minorHAnsi" w:hAnsi="Arial" w:cs="Arial"/>
          <w:b w:val="0"/>
          <w:sz w:val="24"/>
          <w:szCs w:val="24"/>
        </w:rPr>
        <w:t>For the HMCTS computer system, the anonymised name of the claimant should be three letters. These should not be the same letter, nor consecutive letters: so avoid, e.g. XXX, WWW, ABC, PQR, etc.]</w:t>
      </w:r>
      <w:r w:rsidR="00407FDD" w:rsidRPr="00985576">
        <w:rPr>
          <w:rFonts w:ascii="Arial" w:eastAsiaTheme="minorHAnsi" w:hAnsi="Arial" w:cs="Arial"/>
          <w:b w:val="0"/>
          <w:sz w:val="24"/>
          <w:szCs w:val="24"/>
        </w:rPr>
        <w:t>.</w:t>
      </w:r>
    </w:p>
    <w:p w14:paraId="329824DC" w14:textId="77777777" w:rsidR="000D2D88" w:rsidRPr="00985576" w:rsidRDefault="000D2D88" w:rsidP="00985576">
      <w:pPr>
        <w:pStyle w:val="Heading1"/>
        <w:numPr>
          <w:ilvl w:val="0"/>
          <w:numId w:val="8"/>
        </w:numPr>
        <w:spacing w:after="0" w:line="360" w:lineRule="auto"/>
        <w:ind w:left="360"/>
        <w:jc w:val="left"/>
        <w:rPr>
          <w:rFonts w:ascii="Arial" w:eastAsiaTheme="minorHAnsi" w:hAnsi="Arial" w:cs="Arial"/>
          <w:b w:val="0"/>
          <w:sz w:val="24"/>
          <w:szCs w:val="24"/>
        </w:rPr>
      </w:pPr>
      <w:r w:rsidRPr="00985576">
        <w:rPr>
          <w:rFonts w:ascii="Arial" w:eastAsiaTheme="minorHAnsi" w:hAnsi="Arial" w:cs="Arial"/>
          <w:b w:val="0"/>
          <w:sz w:val="24"/>
          <w:szCs w:val="24"/>
        </w:rPr>
        <w:t xml:space="preserve">The heading should be anonymised in the order itself, once made, as the general provision in the </w:t>
      </w:r>
      <w:hyperlink r:id="rId10" w:history="1">
        <w:r w:rsidRPr="00985576">
          <w:rPr>
            <w:rStyle w:val="Hyperlink"/>
            <w:rFonts w:ascii="Arial" w:eastAsiaTheme="minorHAnsi" w:hAnsi="Arial" w:cs="Arial"/>
            <w:b w:val="0"/>
            <w:color w:val="4472C4" w:themeColor="accent1"/>
            <w:sz w:val="24"/>
            <w:szCs w:val="24"/>
          </w:rPr>
          <w:t>Practice Guidance: Publication of Privacy and Anonymity Orders dated 16 April 2019</w:t>
        </w:r>
      </w:hyperlink>
      <w:r w:rsidRPr="00985576">
        <w:rPr>
          <w:rFonts w:ascii="Arial" w:eastAsiaTheme="minorHAnsi" w:hAnsi="Arial" w:cs="Arial"/>
          <w:b w:val="0"/>
          <w:color w:val="FF0000"/>
          <w:sz w:val="24"/>
          <w:szCs w:val="24"/>
        </w:rPr>
        <w:t xml:space="preserve"> </w:t>
      </w:r>
      <w:r w:rsidRPr="00985576">
        <w:rPr>
          <w:rFonts w:ascii="Arial" w:eastAsiaTheme="minorHAnsi" w:hAnsi="Arial" w:cs="Arial"/>
          <w:b w:val="0"/>
          <w:sz w:val="24"/>
          <w:szCs w:val="24"/>
        </w:rPr>
        <w:t>is for the orders to be published on the website of the Judiciary of England and Wales (as also provided at paragraph 8 of the Form).</w:t>
      </w:r>
    </w:p>
    <w:p w14:paraId="11CAE1F1" w14:textId="1CA3FF97" w:rsidR="000D2D88" w:rsidRPr="00985576" w:rsidRDefault="000D2D88" w:rsidP="00985576">
      <w:pPr>
        <w:pStyle w:val="Heading1"/>
        <w:numPr>
          <w:ilvl w:val="0"/>
          <w:numId w:val="8"/>
        </w:numPr>
        <w:spacing w:after="0" w:line="360" w:lineRule="auto"/>
        <w:ind w:left="360"/>
        <w:jc w:val="left"/>
        <w:rPr>
          <w:rFonts w:ascii="Arial" w:eastAsiaTheme="minorHAnsi" w:hAnsi="Arial" w:cs="Arial"/>
          <w:b w:val="0"/>
          <w:sz w:val="24"/>
          <w:szCs w:val="24"/>
        </w:rPr>
      </w:pPr>
      <w:r w:rsidRPr="00985576">
        <w:rPr>
          <w:rFonts w:ascii="Arial" w:eastAsiaTheme="minorHAnsi" w:hAnsi="Arial" w:cs="Arial"/>
          <w:b w:val="0"/>
          <w:sz w:val="24"/>
          <w:szCs w:val="24"/>
        </w:rPr>
        <w:t>The order defines the scope of ‘publication’ and makes clear that it is a communication which is “addressed to the public at large or any section of the public”. Set out below is a non-exhaustive list of examples of communications and records which would not constitute publication within the meaning of this order (providing always that proper steps are taken to protect the confidentiality of information from being made public). In this list references to ‘the anonymised party’ include that party’s appointed representatives and advisers, such as solicitor, Litigation Friend, attorney, trustee and deputy.</w:t>
      </w:r>
    </w:p>
    <w:p w14:paraId="2F4AA21C" w14:textId="77777777" w:rsidR="000D2D88" w:rsidRPr="00985576" w:rsidRDefault="000D2D88" w:rsidP="00985576">
      <w:pPr>
        <w:pStyle w:val="ColorfulList-Accent11"/>
        <w:numPr>
          <w:ilvl w:val="0"/>
          <w:numId w:val="9"/>
        </w:numPr>
        <w:autoSpaceDE/>
        <w:spacing w:after="120"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t>Communications between the Court Funds Office and the anonymised party in relation to the payment of money into the Court Funds Office for the benefit of the anonymised party or the investment or treatment of payment out of such money.</w:t>
      </w:r>
    </w:p>
    <w:p w14:paraId="5D39D18E" w14:textId="71DD2A93" w:rsidR="000D2D88" w:rsidRPr="00985576" w:rsidRDefault="000D2D88" w:rsidP="00985576">
      <w:pPr>
        <w:pStyle w:val="ColorfulList-Accent11"/>
        <w:numPr>
          <w:ilvl w:val="0"/>
          <w:numId w:val="9"/>
        </w:numPr>
        <w:autoSpaceDE/>
        <w:spacing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t>Communications between the Court Funds Office, the anonymised party, and any financial institution concerned as to the receipt or investment of such money.</w:t>
      </w:r>
    </w:p>
    <w:p w14:paraId="0E291612" w14:textId="77777777" w:rsidR="000D2D88" w:rsidRPr="00985576" w:rsidRDefault="000D2D88" w:rsidP="00985576">
      <w:pPr>
        <w:pStyle w:val="ColorfulList-Accent11"/>
        <w:numPr>
          <w:ilvl w:val="0"/>
          <w:numId w:val="9"/>
        </w:numPr>
        <w:autoSpaceDE/>
        <w:spacing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t>Records kept by the Court Funds Office, the anonymised party, and any financial institution concerned as to the receipt or investment of the Claimant’s money.</w:t>
      </w:r>
    </w:p>
    <w:p w14:paraId="59407014" w14:textId="77777777" w:rsidR="000D2D88" w:rsidRPr="00985576" w:rsidRDefault="000D2D88" w:rsidP="00985576">
      <w:pPr>
        <w:pStyle w:val="ColorfulList-Accent11"/>
        <w:numPr>
          <w:ilvl w:val="0"/>
          <w:numId w:val="9"/>
        </w:numPr>
        <w:autoSpaceDE/>
        <w:spacing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lastRenderedPageBreak/>
        <w:t>Retention by all parties to the claim, their representatives, and their advisers of their unredacted files for the purposes of their continuing functions and obligations in relation to the proceedings.</w:t>
      </w:r>
    </w:p>
    <w:p w14:paraId="18188A4E" w14:textId="77777777" w:rsidR="000D2D88" w:rsidRPr="00985576" w:rsidRDefault="000D2D88" w:rsidP="00985576">
      <w:pPr>
        <w:pStyle w:val="ColorfulList-Accent11"/>
        <w:numPr>
          <w:ilvl w:val="0"/>
          <w:numId w:val="9"/>
        </w:numPr>
        <w:autoSpaceDE/>
        <w:spacing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t>Communications between the Defendant(s), their insurers, or their successors in title and their legal and professional advisers, reinsurers, HM Revenue and Customs (or its successor), the Compensation Recovery Unit or any other person required by law.</w:t>
      </w:r>
    </w:p>
    <w:p w14:paraId="007EA06A" w14:textId="77777777" w:rsidR="000D2D88" w:rsidRPr="00985576" w:rsidRDefault="000D2D88" w:rsidP="00985576">
      <w:pPr>
        <w:pStyle w:val="ColorfulList-Accent11"/>
        <w:numPr>
          <w:ilvl w:val="0"/>
          <w:numId w:val="9"/>
        </w:numPr>
        <w:autoSpaceDE/>
        <w:spacing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t xml:space="preserve">Communications between the anonymised party’s representatives and advisers in managing that party’s affairs. </w:t>
      </w:r>
    </w:p>
    <w:p w14:paraId="14DCC054" w14:textId="77777777" w:rsidR="000D2D88" w:rsidRPr="00985576" w:rsidRDefault="000D2D88" w:rsidP="00985576">
      <w:pPr>
        <w:pStyle w:val="ColorfulList-Accent11"/>
        <w:numPr>
          <w:ilvl w:val="0"/>
          <w:numId w:val="9"/>
        </w:numPr>
        <w:autoSpaceDE/>
        <w:spacing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t>Communications for the purpose of obtaining medical care, advice or treatment for the anonymised party.</w:t>
      </w:r>
    </w:p>
    <w:p w14:paraId="78D7D315" w14:textId="5112F9E2" w:rsidR="0009130D" w:rsidRPr="00985576" w:rsidRDefault="000D2D88" w:rsidP="00985576">
      <w:pPr>
        <w:pStyle w:val="ColorfulList-Accent11"/>
        <w:numPr>
          <w:ilvl w:val="0"/>
          <w:numId w:val="9"/>
        </w:numPr>
        <w:autoSpaceDE/>
        <w:spacing w:line="360" w:lineRule="auto"/>
        <w:ind w:left="1418" w:hanging="992"/>
        <w:contextualSpacing/>
        <w:rPr>
          <w:rFonts w:ascii="Arial" w:eastAsiaTheme="minorHAnsi" w:hAnsi="Arial" w:cs="Arial"/>
          <w:bCs/>
          <w:kern w:val="2"/>
          <w14:ligatures w14:val="standardContextual"/>
        </w:rPr>
      </w:pPr>
      <w:r w:rsidRPr="00985576">
        <w:rPr>
          <w:rFonts w:ascii="Arial" w:eastAsiaTheme="minorHAnsi" w:hAnsi="Arial" w:cs="Arial"/>
          <w:bCs/>
          <w:kern w:val="2"/>
          <w14:ligatures w14:val="standardContextual"/>
        </w:rPr>
        <w:t>Communications by or on behalf of a paying party for the purposes of ascertaining whether the anonymised party is alive, so entitled to continuing periodical payments.</w:t>
      </w:r>
    </w:p>
    <w:sectPr w:rsidR="0009130D" w:rsidRPr="0098557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16B6" w14:textId="77777777" w:rsidR="000D6200" w:rsidRDefault="000D6200" w:rsidP="00985576">
      <w:pPr>
        <w:spacing w:after="0" w:line="240" w:lineRule="auto"/>
      </w:pPr>
      <w:r>
        <w:separator/>
      </w:r>
    </w:p>
  </w:endnote>
  <w:endnote w:type="continuationSeparator" w:id="0">
    <w:p w14:paraId="04C9266E" w14:textId="77777777" w:rsidR="000D6200" w:rsidRDefault="000D6200" w:rsidP="0098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B5A3" w14:textId="095A483E" w:rsidR="00985576" w:rsidRPr="00985576" w:rsidRDefault="00985576" w:rsidP="00985576">
    <w:pPr>
      <w:pStyle w:val="Numberedpara"/>
      <w:numPr>
        <w:ilvl w:val="0"/>
        <w:numId w:val="0"/>
      </w:numPr>
      <w:spacing w:line="240" w:lineRule="auto"/>
      <w:jc w:val="left"/>
      <w:rPr>
        <w:rFonts w:ascii="Arial" w:hAnsi="Arial" w:cs="Arial"/>
        <w:iCs/>
        <w:sz w:val="16"/>
        <w:szCs w:val="16"/>
      </w:rPr>
    </w:pPr>
    <w:r w:rsidRPr="00985576">
      <w:rPr>
        <w:rFonts w:ascii="Arial" w:hAnsi="Arial" w:cs="Arial"/>
        <w:b/>
        <w:bCs/>
        <w:iCs/>
        <w:sz w:val="16"/>
        <w:szCs w:val="16"/>
      </w:rPr>
      <w:t xml:space="preserve">PF10 </w:t>
    </w:r>
    <w:r w:rsidRPr="00985576">
      <w:rPr>
        <w:rFonts w:ascii="Arial" w:hAnsi="Arial" w:cs="Arial"/>
        <w:iCs/>
        <w:sz w:val="16"/>
        <w:szCs w:val="16"/>
      </w:rPr>
      <w:t>Anonymity for children and protected parties – prohibition of publication order</w:t>
    </w:r>
    <w:r>
      <w:rPr>
        <w:rFonts w:ascii="Arial" w:hAnsi="Arial" w:cs="Arial"/>
        <w:iCs/>
        <w:sz w:val="16"/>
        <w:szCs w:val="16"/>
      </w:rPr>
      <w:t xml:space="preserve"> (02.24)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FEB4" w14:textId="77777777" w:rsidR="000D6200" w:rsidRDefault="000D6200" w:rsidP="00985576">
      <w:pPr>
        <w:spacing w:after="0" w:line="240" w:lineRule="auto"/>
      </w:pPr>
      <w:r>
        <w:separator/>
      </w:r>
    </w:p>
  </w:footnote>
  <w:footnote w:type="continuationSeparator" w:id="0">
    <w:p w14:paraId="4CCE27EB" w14:textId="77777777" w:rsidR="000D6200" w:rsidRDefault="000D6200" w:rsidP="0098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5EA"/>
    <w:multiLevelType w:val="hybridMultilevel"/>
    <w:tmpl w:val="42F89A30"/>
    <w:lvl w:ilvl="0" w:tplc="C75821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2B001D"/>
    <w:multiLevelType w:val="hybridMultilevel"/>
    <w:tmpl w:val="64D4A9BA"/>
    <w:lvl w:ilvl="0" w:tplc="B3124F90">
      <w:start w:val="1"/>
      <w:numFmt w:val="lowerRoman"/>
      <w:lvlText w:val="(%1)"/>
      <w:lvlJc w:val="left"/>
      <w:pPr>
        <w:ind w:left="1080" w:hanging="360"/>
      </w:pPr>
      <w:rPr>
        <w:rFonts w:ascii="Book Antiqua" w:eastAsia="Times New Roman" w:hAnsi="Book Antiqua"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89A703A"/>
    <w:multiLevelType w:val="hybridMultilevel"/>
    <w:tmpl w:val="CEFC3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2872BF"/>
    <w:multiLevelType w:val="hybridMultilevel"/>
    <w:tmpl w:val="0A9A38F6"/>
    <w:lvl w:ilvl="0" w:tplc="3576482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1916CF6"/>
    <w:multiLevelType w:val="hybridMultilevel"/>
    <w:tmpl w:val="36AEFC68"/>
    <w:lvl w:ilvl="0" w:tplc="A9D84E2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3C7A559E"/>
    <w:multiLevelType w:val="hybridMultilevel"/>
    <w:tmpl w:val="95FA0B4C"/>
    <w:lvl w:ilvl="0" w:tplc="C75821A0">
      <w:start w:val="1"/>
      <w:numFmt w:val="decimal"/>
      <w:lvlText w:val="(%1)"/>
      <w:lvlJc w:val="left"/>
      <w:pPr>
        <w:ind w:left="1440" w:hanging="7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55A67F8B"/>
    <w:multiLevelType w:val="multilevel"/>
    <w:tmpl w:val="762A891C"/>
    <w:lvl w:ilvl="0">
      <w:start w:val="1"/>
      <w:numFmt w:val="decimal"/>
      <w:pStyle w:val="Numberedpara"/>
      <w:lvlText w:val="%1."/>
      <w:lvlJc w:val="left"/>
      <w:pPr>
        <w:ind w:left="360" w:hanging="360"/>
      </w:pPr>
    </w:lvl>
    <w:lvl w:ilvl="1">
      <w:start w:val="1"/>
      <w:numFmt w:val="decimal"/>
      <w:pStyle w:val="Subpara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317021"/>
    <w:multiLevelType w:val="hybridMultilevel"/>
    <w:tmpl w:val="4EF8CF94"/>
    <w:lvl w:ilvl="0" w:tplc="D01C5A7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A5E2495"/>
    <w:multiLevelType w:val="hybridMultilevel"/>
    <w:tmpl w:val="F51E1E22"/>
    <w:lvl w:ilvl="0" w:tplc="81D8D7A4">
      <w:start w:val="1"/>
      <w:numFmt w:val="upperLetter"/>
      <w:pStyle w:val="Heading1"/>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277888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6715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2292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6991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8792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989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2359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95938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4794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88"/>
    <w:rsid w:val="00085FF9"/>
    <w:rsid w:val="0009130D"/>
    <w:rsid w:val="000D2D88"/>
    <w:rsid w:val="000D6200"/>
    <w:rsid w:val="00407FDD"/>
    <w:rsid w:val="007E34A5"/>
    <w:rsid w:val="008C6C74"/>
    <w:rsid w:val="00985576"/>
    <w:rsid w:val="00AD5A06"/>
    <w:rsid w:val="00C44A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1843"/>
  <w15:chartTrackingRefBased/>
  <w15:docId w15:val="{7B6BFDA4-45A5-4FF6-AD46-2D91F5A3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88"/>
    <w:pPr>
      <w:spacing w:line="256" w:lineRule="auto"/>
      <w:jc w:val="both"/>
    </w:pPr>
    <w:rPr>
      <w:rFonts w:ascii="Book Antiqua" w:hAnsi="Book Antiqua"/>
    </w:rPr>
  </w:style>
  <w:style w:type="paragraph" w:styleId="Heading1">
    <w:name w:val="heading 1"/>
    <w:basedOn w:val="Normal"/>
    <w:next w:val="Normal"/>
    <w:link w:val="Heading1Char"/>
    <w:uiPriority w:val="9"/>
    <w:qFormat/>
    <w:rsid w:val="000D2D88"/>
    <w:pPr>
      <w:numPr>
        <w:numId w:val="1"/>
      </w:numPr>
      <w:ind w:left="360"/>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D88"/>
    <w:rPr>
      <w:rFonts w:ascii="Book Antiqua" w:eastAsia="Times New Roman" w:hAnsi="Book Antiqua" w:cs="Times New Roman"/>
      <w:b/>
      <w:bCs/>
    </w:rPr>
  </w:style>
  <w:style w:type="character" w:styleId="Hyperlink">
    <w:name w:val="Hyperlink"/>
    <w:basedOn w:val="DefaultParagraphFont"/>
    <w:uiPriority w:val="99"/>
    <w:semiHidden/>
    <w:unhideWhenUsed/>
    <w:rsid w:val="000D2D88"/>
    <w:rPr>
      <w:color w:val="0563C1" w:themeColor="hyperlink"/>
      <w:u w:val="single"/>
    </w:rPr>
  </w:style>
  <w:style w:type="character" w:customStyle="1" w:styleId="NumberedparaChar">
    <w:name w:val="Numbered para Char"/>
    <w:basedOn w:val="DefaultParagraphFont"/>
    <w:link w:val="Numberedpara"/>
    <w:locked/>
    <w:rsid w:val="000D2D88"/>
    <w:rPr>
      <w:rFonts w:ascii="Book Antiqua" w:hAnsi="Book Antiqua"/>
    </w:rPr>
  </w:style>
  <w:style w:type="paragraph" w:customStyle="1" w:styleId="Numberedpara">
    <w:name w:val="Numbered para"/>
    <w:basedOn w:val="Normal"/>
    <w:link w:val="NumberedparaChar"/>
    <w:qFormat/>
    <w:rsid w:val="000D2D88"/>
    <w:pPr>
      <w:numPr>
        <w:numId w:val="2"/>
      </w:numPr>
      <w:spacing w:before="120" w:after="120" w:line="360" w:lineRule="auto"/>
    </w:pPr>
  </w:style>
  <w:style w:type="paragraph" w:customStyle="1" w:styleId="Subparanumbered">
    <w:name w:val="Subpara numbered"/>
    <w:basedOn w:val="Normal"/>
    <w:qFormat/>
    <w:rsid w:val="000D2D88"/>
    <w:pPr>
      <w:numPr>
        <w:ilvl w:val="1"/>
        <w:numId w:val="2"/>
      </w:numPr>
      <w:spacing w:before="120" w:after="120" w:line="360" w:lineRule="auto"/>
    </w:pPr>
  </w:style>
  <w:style w:type="paragraph" w:customStyle="1" w:styleId="ColorfulList-Accent11">
    <w:name w:val="Colorful List - Accent 11"/>
    <w:basedOn w:val="Normal"/>
    <w:uiPriority w:val="34"/>
    <w:qFormat/>
    <w:rsid w:val="000D2D88"/>
    <w:pPr>
      <w:autoSpaceDE w:val="0"/>
      <w:autoSpaceDN w:val="0"/>
      <w:spacing w:after="0" w:line="240" w:lineRule="auto"/>
      <w:ind w:left="720"/>
      <w:jc w:val="left"/>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D2D88"/>
    <w:pPr>
      <w:spacing w:after="0" w:line="240" w:lineRule="auto"/>
    </w:pPr>
    <w:rPr>
      <w:rFonts w:ascii="Book Antiqua" w:hAnsi="Book Antiqua"/>
    </w:rPr>
  </w:style>
  <w:style w:type="paragraph" w:styleId="Header">
    <w:name w:val="header"/>
    <w:basedOn w:val="Normal"/>
    <w:link w:val="HeaderChar"/>
    <w:uiPriority w:val="99"/>
    <w:unhideWhenUsed/>
    <w:rsid w:val="0098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576"/>
    <w:rPr>
      <w:rFonts w:ascii="Book Antiqua" w:hAnsi="Book Antiqua"/>
    </w:rPr>
  </w:style>
  <w:style w:type="paragraph" w:styleId="Footer">
    <w:name w:val="footer"/>
    <w:basedOn w:val="Normal"/>
    <w:link w:val="FooterChar"/>
    <w:uiPriority w:val="99"/>
    <w:unhideWhenUsed/>
    <w:rsid w:val="0098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576"/>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iciary.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udiciary.uk/wp-content/uploads/2019/04/PG-Pt-39-Anonymity-and-Privacy-Orders-Final-16-April-2019-1.pdf" TargetMode="External"/><Relationship Id="rId4" Type="http://schemas.openxmlformats.org/officeDocument/2006/relationships/settings" Target="settings.xml"/><Relationship Id="rId9" Type="http://schemas.openxmlformats.org/officeDocument/2006/relationships/hyperlink" Target="mailto:judicialwebupdates@judiciary.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6693-E297-4C92-8F33-EA804AC6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PF10</vt:lpstr>
    </vt:vector>
  </TitlesOfParts>
  <Manager/>
  <Company/>
  <LinksUpToDate>false</LinksUpToDate>
  <CharactersWithSpaces>7648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PF10</dc:title>
  <dc:subject/>
  <dc:creator>Campbell-Adams, Bayley</dc:creator>
  <cp:keywords/>
  <dc:description/>
  <cp:lastModifiedBy>Campbell-Adams, Bayley</cp:lastModifiedBy>
  <cp:revision>2</cp:revision>
  <dcterms:created xsi:type="dcterms:W3CDTF">2024-02-09T10:15:00Z</dcterms:created>
  <dcterms:modified xsi:type="dcterms:W3CDTF">2024-02-09T10:15:00Z</dcterms:modified>
  <cp:category/>
</cp:coreProperties>
</file>