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D5DB" w14:textId="77777777" w:rsidR="000B0589" w:rsidRDefault="000B0589" w:rsidP="00BC2702">
      <w:pPr>
        <w:pStyle w:val="Conditions1"/>
        <w:numPr>
          <w:ilvl w:val="0"/>
          <w:numId w:val="0"/>
        </w:numPr>
      </w:pPr>
      <w:r>
        <w:rPr>
          <w:noProof/>
        </w:rPr>
        <w:drawing>
          <wp:inline distT="0" distB="0" distL="0" distR="0" wp14:anchorId="06C1D969" wp14:editId="7736E4C3">
            <wp:extent cx="3419475" cy="359623"/>
            <wp:effectExtent l="0" t="0" r="0" b="2540"/>
            <wp:docPr id="4" name="Picture 1" descr="Planning Inspectorat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10;"/>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464244E" w14:textId="77777777" w:rsidR="000B0589" w:rsidRDefault="000B0589" w:rsidP="00A5760C"/>
    <w:p w14:paraId="10D16D7A"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31FB1A47" w14:textId="77777777" w:rsidTr="007E4403">
        <w:trPr>
          <w:cantSplit/>
          <w:trHeight w:val="23"/>
        </w:trPr>
        <w:tc>
          <w:tcPr>
            <w:tcW w:w="9356" w:type="dxa"/>
            <w:shd w:val="clear" w:color="auto" w:fill="auto"/>
          </w:tcPr>
          <w:p w14:paraId="4D618A15" w14:textId="4CEB102D" w:rsidR="000B0589" w:rsidRPr="007E4403" w:rsidRDefault="007E4403" w:rsidP="002E2646">
            <w:pPr>
              <w:spacing w:before="120"/>
              <w:ind w:left="-108" w:right="34"/>
              <w:rPr>
                <w:b/>
                <w:color w:val="000000"/>
                <w:sz w:val="40"/>
                <w:szCs w:val="40"/>
              </w:rPr>
            </w:pPr>
            <w:bookmarkStart w:id="0" w:name="bmkTable00"/>
            <w:bookmarkEnd w:id="0"/>
            <w:r>
              <w:rPr>
                <w:b/>
                <w:color w:val="000000"/>
                <w:sz w:val="40"/>
                <w:szCs w:val="40"/>
              </w:rPr>
              <w:t>App</w:t>
            </w:r>
            <w:r w:rsidR="005B14F3">
              <w:rPr>
                <w:b/>
                <w:color w:val="000000"/>
                <w:sz w:val="40"/>
                <w:szCs w:val="40"/>
              </w:rPr>
              <w:t>lication</w:t>
            </w:r>
            <w:r>
              <w:rPr>
                <w:b/>
                <w:color w:val="000000"/>
                <w:sz w:val="40"/>
                <w:szCs w:val="40"/>
              </w:rPr>
              <w:t xml:space="preserve"> Decision</w:t>
            </w:r>
          </w:p>
        </w:tc>
      </w:tr>
      <w:tr w:rsidR="000B0589" w:rsidRPr="000C3F13" w14:paraId="71D7B696" w14:textId="77777777" w:rsidTr="007E4403">
        <w:trPr>
          <w:cantSplit/>
          <w:trHeight w:val="23"/>
        </w:trPr>
        <w:tc>
          <w:tcPr>
            <w:tcW w:w="9356" w:type="dxa"/>
            <w:shd w:val="clear" w:color="auto" w:fill="auto"/>
            <w:vAlign w:val="center"/>
          </w:tcPr>
          <w:p w14:paraId="092BD6AF" w14:textId="1FFB7508" w:rsidR="000B0589" w:rsidRPr="007E4403" w:rsidRDefault="007E4403" w:rsidP="007E4403">
            <w:pPr>
              <w:spacing w:before="60"/>
              <w:ind w:left="-108" w:right="34"/>
              <w:rPr>
                <w:color w:val="000000"/>
                <w:szCs w:val="22"/>
              </w:rPr>
            </w:pPr>
            <w:r>
              <w:rPr>
                <w:color w:val="000000"/>
                <w:szCs w:val="22"/>
              </w:rPr>
              <w:t xml:space="preserve">Site visit made on </w:t>
            </w:r>
            <w:r w:rsidR="00D0778D">
              <w:rPr>
                <w:color w:val="000000"/>
                <w:szCs w:val="22"/>
              </w:rPr>
              <w:t>12</w:t>
            </w:r>
            <w:r w:rsidR="00D23E81">
              <w:rPr>
                <w:color w:val="000000"/>
                <w:szCs w:val="22"/>
              </w:rPr>
              <w:t xml:space="preserve"> December</w:t>
            </w:r>
            <w:r w:rsidR="00333368">
              <w:rPr>
                <w:color w:val="000000"/>
                <w:szCs w:val="22"/>
              </w:rPr>
              <w:t xml:space="preserve"> 2023</w:t>
            </w:r>
          </w:p>
        </w:tc>
      </w:tr>
      <w:tr w:rsidR="000B0589" w:rsidRPr="00361890" w14:paraId="2781263F" w14:textId="77777777" w:rsidTr="007E4403">
        <w:trPr>
          <w:cantSplit/>
          <w:trHeight w:val="23"/>
        </w:trPr>
        <w:tc>
          <w:tcPr>
            <w:tcW w:w="9356" w:type="dxa"/>
            <w:shd w:val="clear" w:color="auto" w:fill="auto"/>
          </w:tcPr>
          <w:p w14:paraId="7B848F7A" w14:textId="1D0DD08F" w:rsidR="000B0589" w:rsidRPr="007E4403" w:rsidRDefault="007E4403" w:rsidP="007E4403">
            <w:pPr>
              <w:spacing w:before="180"/>
              <w:ind w:left="-108" w:right="34"/>
              <w:rPr>
                <w:b/>
                <w:color w:val="000000"/>
                <w:sz w:val="16"/>
                <w:szCs w:val="22"/>
              </w:rPr>
            </w:pPr>
            <w:r>
              <w:rPr>
                <w:b/>
                <w:color w:val="000000"/>
                <w:szCs w:val="22"/>
              </w:rPr>
              <w:t xml:space="preserve">by David Wyborn </w:t>
            </w:r>
            <w:proofErr w:type="gramStart"/>
            <w:r>
              <w:rPr>
                <w:b/>
                <w:color w:val="000000"/>
                <w:szCs w:val="22"/>
              </w:rPr>
              <w:t>BSc(</w:t>
            </w:r>
            <w:proofErr w:type="gramEnd"/>
            <w:r>
              <w:rPr>
                <w:b/>
                <w:color w:val="000000"/>
                <w:szCs w:val="22"/>
              </w:rPr>
              <w:t>Hons) MPhil MRTPI</w:t>
            </w:r>
          </w:p>
        </w:tc>
      </w:tr>
      <w:tr w:rsidR="000B0589" w:rsidRPr="00361890" w14:paraId="741D9E01" w14:textId="77777777" w:rsidTr="007E4403">
        <w:trPr>
          <w:cantSplit/>
          <w:trHeight w:val="23"/>
        </w:trPr>
        <w:tc>
          <w:tcPr>
            <w:tcW w:w="9356" w:type="dxa"/>
            <w:shd w:val="clear" w:color="auto" w:fill="auto"/>
          </w:tcPr>
          <w:p w14:paraId="20A4FA28" w14:textId="7D43C7FD" w:rsidR="000B0589" w:rsidRPr="007E4403" w:rsidRDefault="007E4403" w:rsidP="002E2646">
            <w:pPr>
              <w:spacing w:before="120"/>
              <w:ind w:left="-108" w:right="34"/>
              <w:rPr>
                <w:b/>
                <w:color w:val="000000"/>
                <w:sz w:val="16"/>
                <w:szCs w:val="16"/>
              </w:rPr>
            </w:pPr>
            <w:r>
              <w:rPr>
                <w:b/>
                <w:color w:val="000000"/>
                <w:sz w:val="16"/>
                <w:szCs w:val="16"/>
              </w:rPr>
              <w:t xml:space="preserve">an Inspector appointed by the Secretary of State for </w:t>
            </w:r>
            <w:r w:rsidR="005B14F3">
              <w:rPr>
                <w:b/>
                <w:color w:val="000000"/>
                <w:sz w:val="16"/>
                <w:szCs w:val="16"/>
              </w:rPr>
              <w:t>Environment, Food and Rural Affairs</w:t>
            </w:r>
          </w:p>
        </w:tc>
      </w:tr>
      <w:tr w:rsidR="000B0589" w:rsidRPr="00A101CD" w14:paraId="4C663494" w14:textId="77777777" w:rsidTr="007E4403">
        <w:trPr>
          <w:cantSplit/>
          <w:trHeight w:val="23"/>
        </w:trPr>
        <w:tc>
          <w:tcPr>
            <w:tcW w:w="9356" w:type="dxa"/>
            <w:shd w:val="clear" w:color="auto" w:fill="auto"/>
          </w:tcPr>
          <w:p w14:paraId="2F438586" w14:textId="4A33527E"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8E335D">
              <w:rPr>
                <w:b/>
                <w:color w:val="000000"/>
                <w:sz w:val="16"/>
                <w:szCs w:val="16"/>
              </w:rPr>
              <w:t xml:space="preserve"> 5 February 2024</w:t>
            </w:r>
          </w:p>
        </w:tc>
      </w:tr>
    </w:tbl>
    <w:p w14:paraId="13627919" w14:textId="77777777" w:rsidR="007E4403" w:rsidRDefault="007E4403" w:rsidP="000B0589"/>
    <w:tbl>
      <w:tblPr>
        <w:tblW w:w="0" w:type="auto"/>
        <w:tblLayout w:type="fixed"/>
        <w:tblLook w:val="0000" w:firstRow="0" w:lastRow="0" w:firstColumn="0" w:lastColumn="0" w:noHBand="0" w:noVBand="0"/>
      </w:tblPr>
      <w:tblGrid>
        <w:gridCol w:w="9520"/>
      </w:tblGrid>
      <w:tr w:rsidR="007E4403" w14:paraId="107056BB" w14:textId="77777777" w:rsidTr="007E4403">
        <w:tc>
          <w:tcPr>
            <w:tcW w:w="9520" w:type="dxa"/>
            <w:shd w:val="clear" w:color="auto" w:fill="auto"/>
          </w:tcPr>
          <w:p w14:paraId="4A70FFB5" w14:textId="564A1E4D" w:rsidR="007E4403" w:rsidRDefault="007E4403" w:rsidP="000B0589">
            <w:pPr>
              <w:rPr>
                <w:b/>
                <w:color w:val="000000"/>
              </w:rPr>
            </w:pPr>
            <w:r>
              <w:rPr>
                <w:b/>
                <w:color w:val="000000"/>
              </w:rPr>
              <w:t>App</w:t>
            </w:r>
            <w:r w:rsidR="005B14F3">
              <w:rPr>
                <w:b/>
                <w:color w:val="000000"/>
              </w:rPr>
              <w:t xml:space="preserve">lication </w:t>
            </w:r>
            <w:r>
              <w:rPr>
                <w:b/>
                <w:color w:val="000000"/>
              </w:rPr>
              <w:t xml:space="preserve">Ref: </w:t>
            </w:r>
            <w:r w:rsidR="005B14F3">
              <w:rPr>
                <w:b/>
                <w:color w:val="000000"/>
              </w:rPr>
              <w:t>COM/</w:t>
            </w:r>
            <w:r w:rsidR="00824D8E">
              <w:rPr>
                <w:b/>
                <w:color w:val="000000"/>
              </w:rPr>
              <w:t>3</w:t>
            </w:r>
            <w:r w:rsidR="00DB0319">
              <w:rPr>
                <w:b/>
                <w:color w:val="000000"/>
              </w:rPr>
              <w:t>319558</w:t>
            </w:r>
          </w:p>
          <w:p w14:paraId="7247DF13" w14:textId="77777777" w:rsidR="00233E31" w:rsidRDefault="002879D4" w:rsidP="00233E31">
            <w:pPr>
              <w:spacing w:after="60"/>
              <w:rPr>
                <w:b/>
                <w:color w:val="000000"/>
              </w:rPr>
            </w:pPr>
            <w:r>
              <w:rPr>
                <w:b/>
                <w:color w:val="000000"/>
              </w:rPr>
              <w:t xml:space="preserve">Land at </w:t>
            </w:r>
            <w:r w:rsidR="00233E31">
              <w:rPr>
                <w:b/>
                <w:color w:val="000000"/>
              </w:rPr>
              <w:t xml:space="preserve">Caradon Hill, Cornwall </w:t>
            </w:r>
          </w:p>
          <w:p w14:paraId="1D7B9CFB" w14:textId="35DCCA41" w:rsidR="002A6FE6" w:rsidRPr="00614B7D" w:rsidRDefault="00CD1FD7" w:rsidP="00233E31">
            <w:pPr>
              <w:spacing w:after="60"/>
              <w:rPr>
                <w:sz w:val="20"/>
              </w:rPr>
            </w:pPr>
            <w:r w:rsidRPr="00614B7D">
              <w:rPr>
                <w:sz w:val="20"/>
              </w:rPr>
              <w:t>Register Unit No: CL</w:t>
            </w:r>
            <w:r w:rsidR="00D04B13">
              <w:rPr>
                <w:sz w:val="20"/>
              </w:rPr>
              <w:t>107</w:t>
            </w:r>
          </w:p>
          <w:p w14:paraId="4A4FFCA1" w14:textId="7C69039D" w:rsidR="00CD1FD7" w:rsidRDefault="00CD1FD7" w:rsidP="006446FB">
            <w:pPr>
              <w:pStyle w:val="NoSpacing"/>
              <w:rPr>
                <w:sz w:val="20"/>
              </w:rPr>
            </w:pPr>
            <w:r w:rsidRPr="00614B7D">
              <w:rPr>
                <w:sz w:val="20"/>
              </w:rPr>
              <w:t xml:space="preserve">Commons Registration Authority: </w:t>
            </w:r>
            <w:r w:rsidR="00DB0319">
              <w:rPr>
                <w:sz w:val="20"/>
              </w:rPr>
              <w:t xml:space="preserve">Cornwall </w:t>
            </w:r>
            <w:r w:rsidRPr="00614B7D">
              <w:rPr>
                <w:sz w:val="20"/>
              </w:rPr>
              <w:t>Council</w:t>
            </w:r>
          </w:p>
          <w:p w14:paraId="131B1138" w14:textId="4B4FAA95" w:rsidR="00614B7D" w:rsidRPr="007E4403" w:rsidRDefault="00614B7D" w:rsidP="006446FB">
            <w:pPr>
              <w:pStyle w:val="NoSpacing"/>
              <w:rPr>
                <w:b/>
              </w:rPr>
            </w:pPr>
          </w:p>
        </w:tc>
      </w:tr>
      <w:tr w:rsidR="007E4403" w14:paraId="382F6C60" w14:textId="77777777" w:rsidTr="007E4403">
        <w:tc>
          <w:tcPr>
            <w:tcW w:w="9520" w:type="dxa"/>
            <w:shd w:val="clear" w:color="auto" w:fill="auto"/>
          </w:tcPr>
          <w:p w14:paraId="22873600" w14:textId="659B7845" w:rsidR="007E4403" w:rsidRPr="00A63A0A" w:rsidRDefault="007E4403" w:rsidP="007E4403">
            <w:pPr>
              <w:pStyle w:val="TBullet"/>
            </w:pPr>
            <w:r w:rsidRPr="00A63A0A">
              <w:t xml:space="preserve">The </w:t>
            </w:r>
            <w:r w:rsidR="00391385" w:rsidRPr="00A63A0A">
              <w:t xml:space="preserve">application, dated </w:t>
            </w:r>
            <w:r w:rsidR="00393CB0">
              <w:t>29</w:t>
            </w:r>
            <w:r w:rsidR="0002116A" w:rsidRPr="00A63A0A">
              <w:t xml:space="preserve"> March 202</w:t>
            </w:r>
            <w:r w:rsidR="00393CB0">
              <w:t>3</w:t>
            </w:r>
            <w:r w:rsidR="00391385" w:rsidRPr="00A63A0A">
              <w:t>, is made under section 38 of the Commons Act 2006</w:t>
            </w:r>
            <w:r w:rsidR="00FE5520" w:rsidRPr="00A63A0A">
              <w:t xml:space="preserve"> for consent to carry out restricted works on common land</w:t>
            </w:r>
            <w:r w:rsidR="00391385" w:rsidRPr="00A63A0A">
              <w:t xml:space="preserve">. </w:t>
            </w:r>
          </w:p>
        </w:tc>
      </w:tr>
      <w:tr w:rsidR="007E4403" w14:paraId="308BEEC5" w14:textId="77777777" w:rsidTr="007E4403">
        <w:tc>
          <w:tcPr>
            <w:tcW w:w="9520" w:type="dxa"/>
            <w:shd w:val="clear" w:color="auto" w:fill="auto"/>
          </w:tcPr>
          <w:p w14:paraId="66539BC6" w14:textId="3D938BFC" w:rsidR="007E4403" w:rsidRPr="00A63A0A" w:rsidRDefault="007E4403" w:rsidP="007E4403">
            <w:pPr>
              <w:pStyle w:val="TBullet"/>
            </w:pPr>
            <w:r w:rsidRPr="00A63A0A">
              <w:t xml:space="preserve">The </w:t>
            </w:r>
            <w:r w:rsidR="00391385" w:rsidRPr="00A63A0A">
              <w:t xml:space="preserve">application is made by </w:t>
            </w:r>
            <w:r w:rsidR="00D44FC6">
              <w:t xml:space="preserve">Mr </w:t>
            </w:r>
            <w:r w:rsidR="002548C1" w:rsidRPr="00A63A0A">
              <w:rPr>
                <w:rStyle w:val="normaltextrun"/>
                <w:shd w:val="clear" w:color="auto" w:fill="FFFFFF"/>
              </w:rPr>
              <w:t>Mark Bunt of Kivells on behalf of Mr Colin Medlan</w:t>
            </w:r>
            <w:r w:rsidR="005E6852" w:rsidRPr="00A63A0A">
              <w:rPr>
                <w:rStyle w:val="normaltextrun"/>
                <w:shd w:val="clear" w:color="auto" w:fill="FFFFFF"/>
              </w:rPr>
              <w:t>d</w:t>
            </w:r>
            <w:r w:rsidR="003C2972" w:rsidRPr="00A63A0A">
              <w:t xml:space="preserve">. </w:t>
            </w:r>
          </w:p>
        </w:tc>
      </w:tr>
      <w:tr w:rsidR="007E4403" w14:paraId="743C4A92" w14:textId="77777777" w:rsidTr="007E4403">
        <w:tc>
          <w:tcPr>
            <w:tcW w:w="9520" w:type="dxa"/>
            <w:shd w:val="clear" w:color="auto" w:fill="auto"/>
          </w:tcPr>
          <w:p w14:paraId="19F201D0" w14:textId="24436B40" w:rsidR="007E4403" w:rsidRPr="00A63A0A" w:rsidRDefault="007E4403" w:rsidP="001234F0">
            <w:pPr>
              <w:pStyle w:val="TBullet"/>
            </w:pPr>
            <w:r w:rsidRPr="00A63A0A">
              <w:t xml:space="preserve">The application </w:t>
            </w:r>
            <w:r w:rsidR="00754C73" w:rsidRPr="00A63A0A">
              <w:t xml:space="preserve">works are </w:t>
            </w:r>
            <w:r w:rsidR="002D260E" w:rsidRPr="00A63A0A">
              <w:t>described a</w:t>
            </w:r>
            <w:r w:rsidR="00F2778E" w:rsidRPr="00A63A0A">
              <w:t>s</w:t>
            </w:r>
            <w:r w:rsidR="009B34EF" w:rsidRPr="00A63A0A">
              <w:t xml:space="preserve"> </w:t>
            </w:r>
            <w:r w:rsidR="00A63A0A" w:rsidRPr="00A63A0A">
              <w:t>s</w:t>
            </w:r>
            <w:r w:rsidR="009B34EF" w:rsidRPr="00A63A0A">
              <w:t>tock proof fencing consisting of tanalised posts, sheep netting and two strands of barbed wire, up to a maximum height of 1.2m.  The total length being 255m in three separate locations.</w:t>
            </w:r>
          </w:p>
        </w:tc>
      </w:tr>
      <w:tr w:rsidR="007E4403" w14:paraId="6568A32F" w14:textId="77777777" w:rsidTr="00A213B5">
        <w:tc>
          <w:tcPr>
            <w:tcW w:w="9520" w:type="dxa"/>
            <w:shd w:val="clear" w:color="auto" w:fill="auto"/>
          </w:tcPr>
          <w:p w14:paraId="6B81961C" w14:textId="77777777" w:rsidR="007E4403" w:rsidRPr="007E4403" w:rsidRDefault="007E4403" w:rsidP="007E4403">
            <w:pPr>
              <w:rPr>
                <w:b/>
                <w:color w:val="000000"/>
                <w:sz w:val="4"/>
              </w:rPr>
            </w:pPr>
            <w:bookmarkStart w:id="1" w:name="bmkReturn"/>
            <w:bookmarkEnd w:id="1"/>
          </w:p>
        </w:tc>
      </w:tr>
      <w:tr w:rsidR="00A213B5" w14:paraId="3FA81BFC" w14:textId="77777777" w:rsidTr="007E4403">
        <w:tc>
          <w:tcPr>
            <w:tcW w:w="9520" w:type="dxa"/>
            <w:tcBorders>
              <w:bottom w:val="single" w:sz="6" w:space="0" w:color="000000"/>
            </w:tcBorders>
            <w:shd w:val="clear" w:color="auto" w:fill="auto"/>
          </w:tcPr>
          <w:p w14:paraId="7E23D4D0" w14:textId="77777777" w:rsidR="00A213B5" w:rsidRPr="007E4403" w:rsidRDefault="00A213B5" w:rsidP="007E4403">
            <w:pPr>
              <w:rPr>
                <w:b/>
                <w:color w:val="000000"/>
                <w:sz w:val="4"/>
              </w:rPr>
            </w:pPr>
          </w:p>
        </w:tc>
      </w:tr>
    </w:tbl>
    <w:p w14:paraId="76727A70" w14:textId="1AE70861" w:rsidR="007E4403" w:rsidRDefault="007E4403" w:rsidP="007E4403">
      <w:pPr>
        <w:pStyle w:val="Heading6blackfont"/>
      </w:pPr>
      <w:r>
        <w:t>Decision</w:t>
      </w:r>
      <w:r w:rsidR="00B761C8">
        <w:t>s</w:t>
      </w:r>
    </w:p>
    <w:p w14:paraId="3050361D" w14:textId="6A309571" w:rsidR="00DE7162" w:rsidRPr="004607AE" w:rsidRDefault="00FF463D" w:rsidP="007E4403">
      <w:pPr>
        <w:pStyle w:val="Style1"/>
      </w:pPr>
      <w:r w:rsidRPr="004607AE">
        <w:t>C</w:t>
      </w:r>
      <w:r w:rsidR="006005A1" w:rsidRPr="004607AE">
        <w:t xml:space="preserve">onsent is </w:t>
      </w:r>
      <w:r w:rsidR="00DE7162" w:rsidRPr="000174B3">
        <w:rPr>
          <w:b/>
          <w:bCs/>
        </w:rPr>
        <w:t>granted</w:t>
      </w:r>
      <w:r w:rsidR="00DE7162" w:rsidRPr="004607AE">
        <w:t xml:space="preserve"> </w:t>
      </w:r>
      <w:r w:rsidR="00C767F2" w:rsidRPr="004607AE">
        <w:t xml:space="preserve">for the </w:t>
      </w:r>
      <w:r w:rsidR="002E3304">
        <w:t xml:space="preserve">permanent </w:t>
      </w:r>
      <w:r w:rsidR="00C767F2" w:rsidRPr="004607AE">
        <w:t xml:space="preserve">works so far as they relate to the construction of </w:t>
      </w:r>
      <w:r w:rsidR="00DE7162" w:rsidRPr="004607AE">
        <w:t xml:space="preserve">stock proof fencing </w:t>
      </w:r>
      <w:r w:rsidR="0044170B" w:rsidRPr="004607AE">
        <w:t>consisting of tanalised posts, sheep netting and two strands of barbed wire, up to a maximum height of 1.2m</w:t>
      </w:r>
      <w:r w:rsidR="00C767F2" w:rsidRPr="004607AE">
        <w:t>,</w:t>
      </w:r>
      <w:r w:rsidR="0044170B" w:rsidRPr="004607AE">
        <w:t xml:space="preserve"> </w:t>
      </w:r>
      <w:r w:rsidR="00DE7162" w:rsidRPr="004607AE">
        <w:t xml:space="preserve">around </w:t>
      </w:r>
      <w:r w:rsidR="0044170B" w:rsidRPr="004607AE">
        <w:t xml:space="preserve">the disused mine as shown on Plan </w:t>
      </w:r>
      <w:r w:rsidR="00C767F2" w:rsidRPr="004607AE">
        <w:t>3</w:t>
      </w:r>
      <w:r w:rsidR="008C430B" w:rsidRPr="004607AE">
        <w:t xml:space="preserve">, in accordance with the application dated </w:t>
      </w:r>
      <w:r w:rsidR="00393CB0">
        <w:t>29</w:t>
      </w:r>
      <w:r w:rsidR="008C430B" w:rsidRPr="004607AE">
        <w:t xml:space="preserve"> March 202</w:t>
      </w:r>
      <w:r w:rsidR="00393CB0">
        <w:t>3</w:t>
      </w:r>
      <w:r w:rsidR="0044170B" w:rsidRPr="004607AE">
        <w:t xml:space="preserve">. </w:t>
      </w:r>
    </w:p>
    <w:p w14:paraId="7B0FAFDB" w14:textId="7C479358" w:rsidR="007E4403" w:rsidRDefault="00C767F2" w:rsidP="00D45C34">
      <w:pPr>
        <w:pStyle w:val="Style1"/>
      </w:pPr>
      <w:r w:rsidRPr="004607AE">
        <w:t xml:space="preserve">Consent is </w:t>
      </w:r>
      <w:r w:rsidRPr="000174B3">
        <w:rPr>
          <w:b/>
          <w:bCs/>
        </w:rPr>
        <w:t>refused</w:t>
      </w:r>
      <w:r w:rsidRPr="004607AE">
        <w:t xml:space="preserve"> for the works so far as they relate to the construction of stock proof fencing consisting</w:t>
      </w:r>
      <w:r w:rsidRPr="00A63A0A">
        <w:t xml:space="preserve"> of tanalised posts, sheep netting and two strands of barbed wire, up to a maximum height of 1.2m</w:t>
      </w:r>
      <w:r>
        <w:t>, around the built mining structures as shown on Plan</w:t>
      </w:r>
      <w:r w:rsidR="0077307F">
        <w:t xml:space="preserve">s 2 and 4, as proposed within the application dated </w:t>
      </w:r>
      <w:r w:rsidR="00393CB0">
        <w:t>29</w:t>
      </w:r>
      <w:r w:rsidR="0077307F">
        <w:t xml:space="preserve"> March 202</w:t>
      </w:r>
      <w:r w:rsidR="00393CB0">
        <w:t>3</w:t>
      </w:r>
      <w:r w:rsidR="0077307F">
        <w:t>.</w:t>
      </w:r>
      <w:r w:rsidR="006005A1">
        <w:t xml:space="preserve"> </w:t>
      </w:r>
    </w:p>
    <w:p w14:paraId="69BB991F" w14:textId="28E6FF8F" w:rsidR="007E4403" w:rsidRDefault="007E4403" w:rsidP="007E4403">
      <w:pPr>
        <w:pStyle w:val="Heading6blackfont"/>
      </w:pPr>
      <w:r>
        <w:t>Preliminary Matters</w:t>
      </w:r>
      <w:r w:rsidR="009D77E8">
        <w:t xml:space="preserve">, </w:t>
      </w:r>
      <w:r w:rsidR="00E44BB6">
        <w:t>B</w:t>
      </w:r>
      <w:r w:rsidR="009D77E8">
        <w:t xml:space="preserve">ackground and </w:t>
      </w:r>
      <w:r w:rsidR="00E44BB6">
        <w:t>A</w:t>
      </w:r>
      <w:r w:rsidR="009D77E8">
        <w:t>pplication</w:t>
      </w:r>
    </w:p>
    <w:p w14:paraId="2769DFBE" w14:textId="65C67D4D" w:rsidR="00356157" w:rsidRDefault="00EA1C4D" w:rsidP="00A952B3">
      <w:pPr>
        <w:pStyle w:val="Style1"/>
      </w:pPr>
      <w:r>
        <w:t xml:space="preserve">Section 38 of the Commons Act 2006 (the 2006 Act) </w:t>
      </w:r>
      <w:r w:rsidR="00356157">
        <w:t>prohibits res</w:t>
      </w:r>
      <w:r w:rsidR="00553992">
        <w:t>tricted</w:t>
      </w:r>
      <w:r w:rsidR="00356157">
        <w:t xml:space="preserve"> works on common land unless consent is obtained. Restricted works include </w:t>
      </w:r>
      <w:r w:rsidR="000B34BB">
        <w:t xml:space="preserve">works </w:t>
      </w:r>
      <w:r w:rsidR="00242B11">
        <w:t xml:space="preserve">which have the effect of preventing or impeding access to or over land, and this includes the erection of fencing. </w:t>
      </w:r>
    </w:p>
    <w:p w14:paraId="79607273" w14:textId="4A66E0B1" w:rsidR="00BE17AD" w:rsidRDefault="00242B11" w:rsidP="00A952B3">
      <w:pPr>
        <w:pStyle w:val="Style1"/>
      </w:pPr>
      <w:r>
        <w:t>In this case, the common land at Caradon Hill (CL107) extends to</w:t>
      </w:r>
      <w:r w:rsidR="000D714E">
        <w:t xml:space="preserve"> </w:t>
      </w:r>
      <w:r w:rsidR="00BA0877">
        <w:t xml:space="preserve">430 acres or thereabouts in the Parish of Linkinhorne. </w:t>
      </w:r>
      <w:r w:rsidR="00DC1F1A">
        <w:t>T</w:t>
      </w:r>
      <w:r w:rsidR="00916000">
        <w:t xml:space="preserve">he </w:t>
      </w:r>
      <w:r w:rsidR="00DC1F1A">
        <w:t xml:space="preserve">common land falls within the Minions Conservation Area, </w:t>
      </w:r>
      <w:r w:rsidR="00575EF5">
        <w:t xml:space="preserve">an Area of Great Landscape Value </w:t>
      </w:r>
      <w:r w:rsidR="00EA03A5">
        <w:t xml:space="preserve">and </w:t>
      </w:r>
      <w:r w:rsidR="00DC1F1A">
        <w:t xml:space="preserve">the Cornwall and West Devon </w:t>
      </w:r>
      <w:r w:rsidR="00D46ACD">
        <w:t>Mining Landscape World Heritage Site</w:t>
      </w:r>
      <w:r w:rsidR="00D744D2">
        <w:t xml:space="preserve"> </w:t>
      </w:r>
      <w:r w:rsidR="00FA0D87">
        <w:t xml:space="preserve">- </w:t>
      </w:r>
      <w:r w:rsidR="00D744D2">
        <w:t>Caradon Mining District</w:t>
      </w:r>
      <w:r w:rsidR="00996267">
        <w:t xml:space="preserve"> section</w:t>
      </w:r>
      <w:r w:rsidR="00B90902">
        <w:t xml:space="preserve"> (WHS)</w:t>
      </w:r>
      <w:r w:rsidR="002E2BBA">
        <w:t xml:space="preserve">. </w:t>
      </w:r>
      <w:r w:rsidR="008A4161">
        <w:t xml:space="preserve">Large parts of the </w:t>
      </w:r>
      <w:r w:rsidR="00D86892">
        <w:t xml:space="preserve">broadly northern section of the common </w:t>
      </w:r>
      <w:r w:rsidR="008A4161">
        <w:t>are</w:t>
      </w:r>
      <w:r w:rsidR="00D86892">
        <w:t xml:space="preserve"> designated a </w:t>
      </w:r>
      <w:r w:rsidR="002E6034">
        <w:t>Scheduled</w:t>
      </w:r>
      <w:r w:rsidR="000A495A">
        <w:t xml:space="preserve"> Monument and is </w:t>
      </w:r>
      <w:r w:rsidR="00BE17AD">
        <w:t>identified as medieval and post-medieval ti</w:t>
      </w:r>
      <w:r w:rsidR="00A63656">
        <w:t>n</w:t>
      </w:r>
      <w:r w:rsidR="00BE17AD">
        <w:t xml:space="preserve"> and copper mines with medieval field system on the middle and lower northern slopes of Caradon Hill. </w:t>
      </w:r>
      <w:r w:rsidR="00EA03A5">
        <w:t>L</w:t>
      </w:r>
      <w:r w:rsidR="00A8369B">
        <w:t>ocated with</w:t>
      </w:r>
      <w:r w:rsidR="00970EEA">
        <w:t>in</w:t>
      </w:r>
      <w:r w:rsidR="00A8369B">
        <w:t xml:space="preserve"> the </w:t>
      </w:r>
      <w:r w:rsidR="008948D6">
        <w:t xml:space="preserve">Scheduled Monument </w:t>
      </w:r>
      <w:r w:rsidR="00B6666C">
        <w:t>is</w:t>
      </w:r>
      <w:r w:rsidR="000130A4">
        <w:t xml:space="preserve"> a Grade II Listed building. </w:t>
      </w:r>
      <w:r w:rsidR="00EA03A5">
        <w:t>T</w:t>
      </w:r>
      <w:r w:rsidR="000130A4">
        <w:t xml:space="preserve">he </w:t>
      </w:r>
      <w:r w:rsidR="00513C2F">
        <w:t>liste</w:t>
      </w:r>
      <w:r w:rsidR="00A8369B">
        <w:t>d</w:t>
      </w:r>
      <w:r w:rsidR="00513C2F">
        <w:t xml:space="preserve"> building is described as Whe</w:t>
      </w:r>
      <w:r w:rsidR="002E6034">
        <w:t>al Jenkin</w:t>
      </w:r>
      <w:r w:rsidR="00513C2F">
        <w:t xml:space="preserve"> group of </w:t>
      </w:r>
      <w:r w:rsidR="002E6034">
        <w:t xml:space="preserve">two engine houses and one chimney. </w:t>
      </w:r>
      <w:r w:rsidR="00A63656">
        <w:t xml:space="preserve">One of the engine </w:t>
      </w:r>
      <w:r w:rsidR="00A63656">
        <w:lastRenderedPageBreak/>
        <w:t xml:space="preserve">houses together with the chimney </w:t>
      </w:r>
      <w:r w:rsidR="00D04F9E">
        <w:t xml:space="preserve">(as shown on Plan 4) </w:t>
      </w:r>
      <w:r w:rsidR="00A63656">
        <w:t xml:space="preserve">are somewhat separated from the </w:t>
      </w:r>
      <w:r w:rsidR="004D39AA">
        <w:t xml:space="preserve">other engine house </w:t>
      </w:r>
      <w:r w:rsidR="00D14046">
        <w:t xml:space="preserve">(as shown on Plan 2) </w:t>
      </w:r>
      <w:r w:rsidR="004D39AA">
        <w:t>which lies to the broadly south-</w:t>
      </w:r>
      <w:r w:rsidR="00F1218B">
        <w:t>w</w:t>
      </w:r>
      <w:r w:rsidR="004D39AA">
        <w:t>est</w:t>
      </w:r>
      <w:r w:rsidR="003524E2">
        <w:t xml:space="preserve"> of </w:t>
      </w:r>
      <w:r w:rsidR="000B55F1">
        <w:t>the engine house with chimney</w:t>
      </w:r>
      <w:r w:rsidR="004D39AA">
        <w:t xml:space="preserve"> on this open common land. </w:t>
      </w:r>
      <w:r w:rsidR="00B90902">
        <w:t>T</w:t>
      </w:r>
      <w:r w:rsidR="00B26E3C">
        <w:t>he application plan</w:t>
      </w:r>
      <w:r w:rsidR="00F774E6">
        <w:t>,</w:t>
      </w:r>
      <w:r w:rsidR="00B26E3C">
        <w:t xml:space="preserve"> which shows the </w:t>
      </w:r>
      <w:r w:rsidR="00B90902">
        <w:t xml:space="preserve">general </w:t>
      </w:r>
      <w:r w:rsidR="00B26E3C">
        <w:t>location</w:t>
      </w:r>
      <w:r w:rsidR="00B90902">
        <w:t xml:space="preserve">s for </w:t>
      </w:r>
      <w:r w:rsidR="00B26E3C">
        <w:t>the proposed fencing</w:t>
      </w:r>
      <w:r w:rsidR="00F774E6">
        <w:t>,</w:t>
      </w:r>
      <w:r w:rsidR="00B26E3C">
        <w:t xml:space="preserve"> is attached at the end of this decision. </w:t>
      </w:r>
    </w:p>
    <w:p w14:paraId="310A0588" w14:textId="2B564C08" w:rsidR="002E6034" w:rsidRDefault="00EA03A5" w:rsidP="00A952B3">
      <w:pPr>
        <w:pStyle w:val="Style1"/>
      </w:pPr>
      <w:r>
        <w:t>T</w:t>
      </w:r>
      <w:r w:rsidR="007516B6">
        <w:t xml:space="preserve">he two engine houses and the chimney are </w:t>
      </w:r>
      <w:r w:rsidR="009F2565">
        <w:t>tall structure</w:t>
      </w:r>
      <w:r>
        <w:t>s</w:t>
      </w:r>
      <w:r w:rsidR="009F2565">
        <w:t xml:space="preserve">, </w:t>
      </w:r>
      <w:r w:rsidR="007516B6">
        <w:t xml:space="preserve">prominent in the landscape </w:t>
      </w:r>
      <w:r w:rsidR="009F2565">
        <w:t xml:space="preserve">and </w:t>
      </w:r>
      <w:r w:rsidR="007516B6">
        <w:t>surround</w:t>
      </w:r>
      <w:r>
        <w:t>ed</w:t>
      </w:r>
      <w:r w:rsidR="007516B6">
        <w:t xml:space="preserve"> by open common land. </w:t>
      </w:r>
      <w:r>
        <w:t>T</w:t>
      </w:r>
      <w:r w:rsidR="007516B6">
        <w:t>h</w:t>
      </w:r>
      <w:r w:rsidR="008A6FD8">
        <w:t>ere are some, now overgrown, piles of mining waste in their vicinit</w:t>
      </w:r>
      <w:r>
        <w:t>ies</w:t>
      </w:r>
      <w:r w:rsidR="008A6FD8">
        <w:t xml:space="preserve">. </w:t>
      </w:r>
    </w:p>
    <w:p w14:paraId="31DFE1E5" w14:textId="22D7F2D5" w:rsidR="00EA03A5" w:rsidRDefault="00B67BF7" w:rsidP="00A952B3">
      <w:pPr>
        <w:pStyle w:val="Style1"/>
      </w:pPr>
      <w:r>
        <w:t>T</w:t>
      </w:r>
      <w:r w:rsidR="008A6FD8">
        <w:t>he application seeks cons</w:t>
      </w:r>
      <w:r w:rsidR="00EA03A5">
        <w:t>ent to</w:t>
      </w:r>
      <w:r w:rsidR="000B55F1">
        <w:t xml:space="preserve"> separately</w:t>
      </w:r>
      <w:r w:rsidR="00EA03A5">
        <w:t xml:space="preserve"> erect fencing around </w:t>
      </w:r>
      <w:r>
        <w:t xml:space="preserve">both engine houses and the chimney. </w:t>
      </w:r>
      <w:r w:rsidR="00E57B73">
        <w:t>I</w:t>
      </w:r>
      <w:r w:rsidR="00ED0C06">
        <w:t xml:space="preserve">n the more </w:t>
      </w:r>
      <w:proofErr w:type="gramStart"/>
      <w:r w:rsidR="00ED0C06">
        <w:t>south eastern</w:t>
      </w:r>
      <w:proofErr w:type="gramEnd"/>
      <w:r w:rsidR="00ED0C06">
        <w:t xml:space="preserve"> section </w:t>
      </w:r>
      <w:r w:rsidR="00C86B65">
        <w:t>of the common</w:t>
      </w:r>
      <w:r w:rsidR="00E75B2E">
        <w:t>,</w:t>
      </w:r>
      <w:r w:rsidR="00C86B65">
        <w:t xml:space="preserve"> fencing is also proposed to </w:t>
      </w:r>
      <w:r w:rsidR="00A60B7A">
        <w:t xml:space="preserve">circle a disused mine </w:t>
      </w:r>
      <w:r w:rsidR="00D853EE">
        <w:t>(as shown on Plan 3)</w:t>
      </w:r>
      <w:r w:rsidR="00A60B7A">
        <w:t xml:space="preserve">. </w:t>
      </w:r>
      <w:r w:rsidR="00EF7FC6">
        <w:t>T</w:t>
      </w:r>
      <w:r w:rsidR="00A60B7A">
        <w:t xml:space="preserve">his latter feature is located </w:t>
      </w:r>
      <w:r w:rsidR="00A6428F">
        <w:t xml:space="preserve">within the Conservation Area and WHS, but beyond the </w:t>
      </w:r>
      <w:r w:rsidR="00995414">
        <w:t>Scheduled</w:t>
      </w:r>
      <w:r w:rsidR="00A6428F">
        <w:t xml:space="preserve"> Monument. </w:t>
      </w:r>
    </w:p>
    <w:p w14:paraId="29CD5447" w14:textId="710F32DA" w:rsidR="00A6428F" w:rsidRDefault="007E5D95" w:rsidP="00A952B3">
      <w:pPr>
        <w:pStyle w:val="Style1"/>
      </w:pPr>
      <w:r>
        <w:t>T</w:t>
      </w:r>
      <w:r w:rsidR="00A6428F">
        <w:t xml:space="preserve">he proposed </w:t>
      </w:r>
      <w:r w:rsidR="00016AD9">
        <w:t xml:space="preserve">permanent </w:t>
      </w:r>
      <w:r w:rsidR="00A6428F">
        <w:t>fencing</w:t>
      </w:r>
      <w:r w:rsidR="00EF7FC6">
        <w:t xml:space="preserve">, as indicated on the application form, </w:t>
      </w:r>
      <w:r w:rsidR="00A6428F">
        <w:t xml:space="preserve">would be constructed from tanalised posts, with netting stretched between them. </w:t>
      </w:r>
      <w:r>
        <w:t>T</w:t>
      </w:r>
      <w:r w:rsidR="00A6428F">
        <w:t xml:space="preserve">he </w:t>
      </w:r>
      <w:r>
        <w:t xml:space="preserve">fence </w:t>
      </w:r>
      <w:r w:rsidR="00A6428F">
        <w:t xml:space="preserve">height would be 1.2m and in total the four </w:t>
      </w:r>
      <w:r w:rsidR="00E75B2E">
        <w:t>lengths</w:t>
      </w:r>
      <w:r w:rsidR="00A6428F">
        <w:t xml:space="preserve"> of fencing would extend to about 255m. </w:t>
      </w:r>
    </w:p>
    <w:p w14:paraId="6D222922" w14:textId="1D42EA12" w:rsidR="002C4B0E" w:rsidRDefault="004B131D" w:rsidP="00F5228F">
      <w:pPr>
        <w:pStyle w:val="Style1"/>
      </w:pPr>
      <w:r>
        <w:t>T</w:t>
      </w:r>
      <w:r w:rsidR="007E5D95">
        <w:t xml:space="preserve">he applicant has </w:t>
      </w:r>
      <w:r w:rsidR="005A15A1">
        <w:t>detailed</w:t>
      </w:r>
      <w:r w:rsidR="007E5D95">
        <w:t xml:space="preserve"> that the fencing is required to fence around historic mining structures which pose a danger to the </w:t>
      </w:r>
      <w:proofErr w:type="gramStart"/>
      <w:r w:rsidR="007E5D95">
        <w:t>general public</w:t>
      </w:r>
      <w:proofErr w:type="gramEnd"/>
      <w:r w:rsidR="007E5D95">
        <w:t xml:space="preserve"> and grazing livestock. </w:t>
      </w:r>
      <w:r w:rsidR="005A15A1">
        <w:t>It is</w:t>
      </w:r>
      <w:r w:rsidR="002C4B0E">
        <w:t xml:space="preserve"> explained that the type of fencing w</w:t>
      </w:r>
      <w:r w:rsidR="00133E0D">
        <w:t xml:space="preserve">ould </w:t>
      </w:r>
      <w:r w:rsidR="002C4B0E">
        <w:t xml:space="preserve">be suitable to keep out grazing sheep, cattle and horses and deter members of the </w:t>
      </w:r>
      <w:proofErr w:type="gramStart"/>
      <w:r w:rsidR="002C4B0E">
        <w:t>general public</w:t>
      </w:r>
      <w:proofErr w:type="gramEnd"/>
      <w:r w:rsidR="002C4B0E">
        <w:t xml:space="preserve"> from accessing the areas. </w:t>
      </w:r>
      <w:r w:rsidR="00133E0D">
        <w:t>T</w:t>
      </w:r>
      <w:r w:rsidR="0004786F">
        <w:t>he submissions set out that n</w:t>
      </w:r>
      <w:r w:rsidR="002C4B0E">
        <w:t>o other types of fencing have been considered on the basis</w:t>
      </w:r>
      <w:r w:rsidR="00B90902">
        <w:t xml:space="preserve"> </w:t>
      </w:r>
      <w:r w:rsidR="005A15A1">
        <w:t>that</w:t>
      </w:r>
      <w:r w:rsidR="002C4B0E">
        <w:t xml:space="preserve"> stock fencing</w:t>
      </w:r>
      <w:r w:rsidR="007C2D8C">
        <w:t xml:space="preserve"> </w:t>
      </w:r>
      <w:r w:rsidR="002C4B0E">
        <w:t>is the accepted solution for the identified problem and is in keeping with the setting</w:t>
      </w:r>
      <w:r w:rsidR="00A015F7">
        <w:t xml:space="preserve">. </w:t>
      </w:r>
      <w:r w:rsidR="002863FA">
        <w:t>T</w:t>
      </w:r>
      <w:r w:rsidR="0004786F">
        <w:t>he applicant does not consider that t</w:t>
      </w:r>
      <w:r w:rsidR="002C4B0E">
        <w:t xml:space="preserve">emporary fencing </w:t>
      </w:r>
      <w:r w:rsidR="0004786F">
        <w:t xml:space="preserve">would be </w:t>
      </w:r>
      <w:r w:rsidR="002C4B0E">
        <w:t xml:space="preserve">appropriate as a permanent solution is required </w:t>
      </w:r>
      <w:proofErr w:type="gramStart"/>
      <w:r w:rsidR="002C4B0E">
        <w:t>in order to</w:t>
      </w:r>
      <w:proofErr w:type="gramEnd"/>
      <w:r w:rsidR="002C4B0E">
        <w:t xml:space="preserve"> protect the general public and grazing livestock. </w:t>
      </w:r>
    </w:p>
    <w:p w14:paraId="27D22D2A" w14:textId="6472551E" w:rsidR="008B6999" w:rsidRDefault="008B6999" w:rsidP="005527EA">
      <w:pPr>
        <w:pStyle w:val="Style1"/>
      </w:pPr>
      <w:r>
        <w:t>In responding to representations from the O</w:t>
      </w:r>
      <w:r w:rsidR="002B2127">
        <w:t xml:space="preserve">SS </w:t>
      </w:r>
      <w:r w:rsidR="00C75BDE">
        <w:t>(Open Spaces Society)</w:t>
      </w:r>
      <w:r w:rsidR="008501D6">
        <w:t xml:space="preserve">, </w:t>
      </w:r>
      <w:r>
        <w:t xml:space="preserve">the </w:t>
      </w:r>
      <w:r w:rsidR="00796873">
        <w:t xml:space="preserve">applicant has explained that </w:t>
      </w:r>
      <w:r w:rsidR="00D12FAB">
        <w:t xml:space="preserve">it is accepted </w:t>
      </w:r>
      <w:r w:rsidRPr="008B6999">
        <w:t xml:space="preserve">that signage warning of a potential hazard </w:t>
      </w:r>
      <w:r w:rsidR="00D12FAB">
        <w:t>c</w:t>
      </w:r>
      <w:r w:rsidRPr="008B6999">
        <w:t>ould be beneficial</w:t>
      </w:r>
      <w:r w:rsidR="00D12FAB">
        <w:t>. However</w:t>
      </w:r>
      <w:r w:rsidRPr="008B6999">
        <w:t xml:space="preserve">, the applicant is concerned that signage alone may be an insufficient step </w:t>
      </w:r>
      <w:r w:rsidR="0010064F">
        <w:t xml:space="preserve">to </w:t>
      </w:r>
      <w:r w:rsidRPr="008B6999">
        <w:t xml:space="preserve">adequately protect persons from harm in this case, given the potential severity of the harm that could be caused to a person being injured by falling </w:t>
      </w:r>
      <w:proofErr w:type="gramStart"/>
      <w:r w:rsidRPr="008B6999">
        <w:t>stone work</w:t>
      </w:r>
      <w:proofErr w:type="gramEnd"/>
      <w:r w:rsidRPr="008B6999">
        <w:t xml:space="preserve">. The applicant is also conscious of potential statutory obligations which may arise to fence off former </w:t>
      </w:r>
      <w:proofErr w:type="gramStart"/>
      <w:r w:rsidRPr="008B6999">
        <w:t>mine</w:t>
      </w:r>
      <w:proofErr w:type="gramEnd"/>
      <w:r w:rsidRPr="008B6999">
        <w:t xml:space="preserve"> workings.</w:t>
      </w:r>
    </w:p>
    <w:p w14:paraId="1272CB6E" w14:textId="1225EEA2" w:rsidR="00EA74BF" w:rsidRDefault="002863FA" w:rsidP="009506F1">
      <w:pPr>
        <w:pStyle w:val="Style1"/>
      </w:pPr>
      <w:r>
        <w:t>At my site visit</w:t>
      </w:r>
      <w:r w:rsidR="00D4210E">
        <w:t>,</w:t>
      </w:r>
      <w:r w:rsidR="00EA74BF">
        <w:t xml:space="preserve"> I was accompanied by the applicant’s agent, two </w:t>
      </w:r>
      <w:r w:rsidR="00EE5FAE">
        <w:t>Councillors from</w:t>
      </w:r>
      <w:r w:rsidR="00EA74BF">
        <w:t xml:space="preserve"> Link</w:t>
      </w:r>
      <w:r w:rsidR="00EE5FAE">
        <w:t>in</w:t>
      </w:r>
      <w:r w:rsidR="00EA74BF">
        <w:t>horne Parish Council</w:t>
      </w:r>
      <w:r w:rsidR="00D4210E">
        <w:t xml:space="preserve"> </w:t>
      </w:r>
      <w:r w:rsidR="00EA74BF">
        <w:t>and a representative</w:t>
      </w:r>
      <w:r w:rsidR="00EE5FAE">
        <w:t xml:space="preserve"> of the O</w:t>
      </w:r>
      <w:r w:rsidR="00C75BDE">
        <w:t>SS</w:t>
      </w:r>
      <w:r w:rsidR="00EE5FAE">
        <w:t>. I</w:t>
      </w:r>
      <w:r w:rsidR="005337E8">
        <w:t>t was evident</w:t>
      </w:r>
      <w:r>
        <w:t xml:space="preserve"> </w:t>
      </w:r>
      <w:r w:rsidR="00EE5FAE">
        <w:t xml:space="preserve">at the site visit </w:t>
      </w:r>
      <w:r>
        <w:t xml:space="preserve">that fencing around these </w:t>
      </w:r>
      <w:r w:rsidR="00992DAD">
        <w:t>features</w:t>
      </w:r>
      <w:r>
        <w:t xml:space="preserve"> had been </w:t>
      </w:r>
      <w:r w:rsidR="007F4A83">
        <w:t>constructed</w:t>
      </w:r>
      <w:r>
        <w:t xml:space="preserve">. </w:t>
      </w:r>
      <w:r w:rsidR="007F4A83">
        <w:t>W</w:t>
      </w:r>
      <w:r>
        <w:t xml:space="preserve">ith the </w:t>
      </w:r>
      <w:r w:rsidR="005337E8">
        <w:t xml:space="preserve">separate </w:t>
      </w:r>
      <w:r>
        <w:t>engine house</w:t>
      </w:r>
      <w:r w:rsidR="00554B53">
        <w:t>,</w:t>
      </w:r>
      <w:r>
        <w:t xml:space="preserve"> </w:t>
      </w:r>
      <w:r w:rsidR="0051396D">
        <w:t>this fencing substantially aligned with the proposed fencing on the submitted plan</w:t>
      </w:r>
      <w:r w:rsidR="00700B15">
        <w:t xml:space="preserve"> (Plan 2)</w:t>
      </w:r>
      <w:r w:rsidR="00992DAD">
        <w:t xml:space="preserve"> and </w:t>
      </w:r>
      <w:r w:rsidR="007E15F7">
        <w:t>connect</w:t>
      </w:r>
      <w:r w:rsidR="00A252FF">
        <w:t>ed</w:t>
      </w:r>
      <w:r w:rsidR="007E15F7">
        <w:t xml:space="preserve"> with lo</w:t>
      </w:r>
      <w:r w:rsidR="00A867BF">
        <w:t xml:space="preserve">ngstanding fencing around a small section of land to the </w:t>
      </w:r>
      <w:r w:rsidR="00EA74BF">
        <w:t>immediate west of th</w:t>
      </w:r>
      <w:r w:rsidR="007E15F7">
        <w:t>is engine house</w:t>
      </w:r>
      <w:r w:rsidR="00EA74BF">
        <w:t xml:space="preserve">. </w:t>
      </w:r>
    </w:p>
    <w:p w14:paraId="07CCB22B" w14:textId="600D7805" w:rsidR="00B43BAC" w:rsidRDefault="00CE116B" w:rsidP="009506F1">
      <w:pPr>
        <w:pStyle w:val="Style1"/>
      </w:pPr>
      <w:r>
        <w:t>T</w:t>
      </w:r>
      <w:r w:rsidR="0051396D">
        <w:t xml:space="preserve">he </w:t>
      </w:r>
      <w:r w:rsidR="006A61AB">
        <w:t xml:space="preserve">fencing around the </w:t>
      </w:r>
      <w:r w:rsidR="00F85DB8">
        <w:t>disused mine to the</w:t>
      </w:r>
      <w:r w:rsidR="00F774E6">
        <w:t xml:space="preserve"> </w:t>
      </w:r>
      <w:proofErr w:type="gramStart"/>
      <w:r w:rsidR="00F774E6">
        <w:t>south</w:t>
      </w:r>
      <w:r w:rsidR="00F85DB8">
        <w:t xml:space="preserve"> eastern</w:t>
      </w:r>
      <w:proofErr w:type="gramEnd"/>
      <w:r w:rsidR="00F85DB8">
        <w:t xml:space="preserve"> section </w:t>
      </w:r>
      <w:r w:rsidR="00150FED">
        <w:t>of</w:t>
      </w:r>
      <w:r w:rsidR="00F85DB8">
        <w:t xml:space="preserve"> the common, </w:t>
      </w:r>
      <w:r w:rsidR="00B43BAC">
        <w:t xml:space="preserve">also </w:t>
      </w:r>
      <w:r w:rsidR="00521DF3">
        <w:t xml:space="preserve">substantially </w:t>
      </w:r>
      <w:r w:rsidR="00F85DB8">
        <w:t xml:space="preserve">follows the boundaries of the </w:t>
      </w:r>
      <w:r w:rsidR="00F774E6">
        <w:t xml:space="preserve">top of the sloping sides to the </w:t>
      </w:r>
      <w:r w:rsidR="00521DF3">
        <w:t>mine area</w:t>
      </w:r>
      <w:r w:rsidR="00700B15">
        <w:t xml:space="preserve">, </w:t>
      </w:r>
      <w:r w:rsidR="007E15F7">
        <w:t xml:space="preserve">and which is </w:t>
      </w:r>
      <w:r w:rsidR="00700B15">
        <w:t>shown on Plan 3</w:t>
      </w:r>
      <w:r w:rsidR="00521DF3">
        <w:t>.</w:t>
      </w:r>
    </w:p>
    <w:p w14:paraId="1BF2889F" w14:textId="02E8CFF8" w:rsidR="0051396D" w:rsidRDefault="00B43BAC" w:rsidP="002A4711">
      <w:pPr>
        <w:pStyle w:val="Style1"/>
      </w:pPr>
      <w:r>
        <w:t xml:space="preserve">However, with the engine house and associated chimney, rather than with the alignment shown on Plan 4 with each structure </w:t>
      </w:r>
      <w:r w:rsidR="00A252FF">
        <w:t xml:space="preserve">proposed to be </w:t>
      </w:r>
      <w:r>
        <w:t>separately fenced, the fencing enclosed both structures together and include</w:t>
      </w:r>
      <w:r w:rsidR="004840C0">
        <w:t>d</w:t>
      </w:r>
      <w:r>
        <w:t xml:space="preserve"> a more </w:t>
      </w:r>
      <w:r>
        <w:lastRenderedPageBreak/>
        <w:t>extensive area of land</w:t>
      </w:r>
      <w:r w:rsidR="00EF1732">
        <w:t>. This create</w:t>
      </w:r>
      <w:r w:rsidR="00D5618D">
        <w:t>s</w:t>
      </w:r>
      <w:r>
        <w:t xml:space="preserve"> a broadly rectangular shape</w:t>
      </w:r>
      <w:r w:rsidR="00006B9C">
        <w:t xml:space="preserve">. </w:t>
      </w:r>
      <w:r w:rsidR="005C0F84">
        <w:t>T</w:t>
      </w:r>
      <w:r w:rsidR="005A57BD">
        <w:t xml:space="preserve">his materially differs from the fencing </w:t>
      </w:r>
      <w:r w:rsidR="007E15F7">
        <w:t>proposed</w:t>
      </w:r>
      <w:r w:rsidR="005A57BD">
        <w:t xml:space="preserve"> in the application. I</w:t>
      </w:r>
      <w:r w:rsidR="00006B9C">
        <w:t xml:space="preserve">t is necessary to </w:t>
      </w:r>
      <w:r w:rsidR="00480BD0">
        <w:t>consider</w:t>
      </w:r>
      <w:r w:rsidR="00006B9C">
        <w:t xml:space="preserve"> the application proposal as submitted</w:t>
      </w:r>
      <w:r w:rsidR="000A2E61">
        <w:t xml:space="preserve"> </w:t>
      </w:r>
      <w:r w:rsidR="00006B9C">
        <w:t>and</w:t>
      </w:r>
      <w:r w:rsidR="000A2E61">
        <w:t>,</w:t>
      </w:r>
      <w:r w:rsidR="00006B9C">
        <w:t xml:space="preserve"> therefore</w:t>
      </w:r>
      <w:r w:rsidR="000A2E61">
        <w:t>,</w:t>
      </w:r>
      <w:r w:rsidR="00006B9C">
        <w:t xml:space="preserve"> I will determine the fencing proposal around the engine house and chimney based on the submitted Plan 4</w:t>
      </w:r>
      <w:r w:rsidR="00454A89">
        <w:t xml:space="preserve">, </w:t>
      </w:r>
      <w:r w:rsidR="00006B9C">
        <w:t xml:space="preserve">rather than the </w:t>
      </w:r>
      <w:r w:rsidR="0033482E">
        <w:t xml:space="preserve">alignment and length of </w:t>
      </w:r>
      <w:r w:rsidR="00006B9C">
        <w:t xml:space="preserve">fencing </w:t>
      </w:r>
      <w:r w:rsidR="00E372F5">
        <w:t xml:space="preserve">that </w:t>
      </w:r>
      <w:r w:rsidR="00006B9C">
        <w:t xml:space="preserve">has been erected on the ground. </w:t>
      </w:r>
    </w:p>
    <w:p w14:paraId="4E566062" w14:textId="666889BC" w:rsidR="007E4403" w:rsidRPr="00DF1CAE" w:rsidRDefault="007E4403" w:rsidP="00A952B3">
      <w:pPr>
        <w:pStyle w:val="Style1"/>
        <w:numPr>
          <w:ilvl w:val="0"/>
          <w:numId w:val="0"/>
        </w:numPr>
        <w:rPr>
          <w:b/>
          <w:bCs/>
        </w:rPr>
      </w:pPr>
      <w:r w:rsidRPr="00DF1CAE">
        <w:rPr>
          <w:b/>
          <w:bCs/>
        </w:rPr>
        <w:t>Main Issues</w:t>
      </w:r>
    </w:p>
    <w:p w14:paraId="5937B6F8" w14:textId="59C6BD73" w:rsidR="007E4403" w:rsidRDefault="00DF1CAE" w:rsidP="00F07B66">
      <w:pPr>
        <w:pStyle w:val="Style1"/>
      </w:pPr>
      <w:r>
        <w:t xml:space="preserve">I am required by section 39 of the </w:t>
      </w:r>
      <w:r w:rsidR="00594DAB">
        <w:t>2006 Act</w:t>
      </w:r>
      <w:r>
        <w:t xml:space="preserve"> to have regard to the following in determining this application. </w:t>
      </w:r>
    </w:p>
    <w:p w14:paraId="5B68A427" w14:textId="4FCEE0DB" w:rsidR="00DF1CAE" w:rsidRDefault="00325399" w:rsidP="00C475A6">
      <w:pPr>
        <w:pStyle w:val="Style1"/>
        <w:numPr>
          <w:ilvl w:val="0"/>
          <w:numId w:val="24"/>
        </w:numPr>
      </w:pPr>
      <w:r>
        <w:t>t</w:t>
      </w:r>
      <w:r w:rsidR="00DF1CAE">
        <w:t xml:space="preserve">he interests of persons having rights in relation to, or occupying, the land (and </w:t>
      </w:r>
      <w:proofErr w:type="gramStart"/>
      <w:r w:rsidR="00DF1CAE">
        <w:t>in particular persons</w:t>
      </w:r>
      <w:proofErr w:type="gramEnd"/>
      <w:r w:rsidR="00DF1CAE">
        <w:t xml:space="preserve"> exercising rights of common over it): </w:t>
      </w:r>
    </w:p>
    <w:p w14:paraId="0541D637" w14:textId="45144E8C" w:rsidR="00DF1CAE" w:rsidRDefault="00325399" w:rsidP="00C475A6">
      <w:pPr>
        <w:pStyle w:val="Style1"/>
        <w:numPr>
          <w:ilvl w:val="0"/>
          <w:numId w:val="24"/>
        </w:numPr>
      </w:pPr>
      <w:r>
        <w:t>t</w:t>
      </w:r>
      <w:r w:rsidR="00DF1CAE">
        <w:t>he interests of the neighbourhood:</w:t>
      </w:r>
    </w:p>
    <w:p w14:paraId="5798B2CD" w14:textId="424E2E84" w:rsidR="004A76AE" w:rsidRDefault="00325399" w:rsidP="00C475A6">
      <w:pPr>
        <w:pStyle w:val="Style1"/>
        <w:numPr>
          <w:ilvl w:val="0"/>
          <w:numId w:val="24"/>
        </w:numPr>
      </w:pPr>
      <w:r>
        <w:t>t</w:t>
      </w:r>
      <w:r w:rsidR="00DF1CAE">
        <w:t>he public interest</w:t>
      </w:r>
      <w:r w:rsidR="00D86F37">
        <w:t xml:space="preserve"> (w</w:t>
      </w:r>
      <w:r w:rsidR="00D86F37" w:rsidRPr="00847860">
        <w:t>hich includes the interest in nature conservation, the conservation of the landscape, the protection of public rights of access to any area of land and the protection of archaeological remains and features of historic interest</w:t>
      </w:r>
      <w:r w:rsidR="00D86F37">
        <w:t>)</w:t>
      </w:r>
      <w:r w:rsidR="004A76AE">
        <w:t>: and</w:t>
      </w:r>
    </w:p>
    <w:p w14:paraId="65B684CC" w14:textId="2EBA5680" w:rsidR="004A76AE" w:rsidRDefault="00325399" w:rsidP="00C475A6">
      <w:pPr>
        <w:pStyle w:val="Style1"/>
        <w:numPr>
          <w:ilvl w:val="0"/>
          <w:numId w:val="24"/>
        </w:numPr>
      </w:pPr>
      <w:r>
        <w:t>a</w:t>
      </w:r>
      <w:r w:rsidR="004A76AE">
        <w:t xml:space="preserve">ny other matter considered to be relevant. </w:t>
      </w:r>
    </w:p>
    <w:p w14:paraId="31FCBDBB" w14:textId="2DD6B390" w:rsidR="004572A7" w:rsidRDefault="004A76AE" w:rsidP="00F07B66">
      <w:pPr>
        <w:pStyle w:val="Style1"/>
      </w:pPr>
      <w:r>
        <w:t xml:space="preserve">Section 39(3) of the </w:t>
      </w:r>
      <w:r w:rsidR="004572A7">
        <w:t xml:space="preserve">2006 Act provides that consent may be given in relation to all or parts of the proposed works and subject to such modifications and conditions relating to the proposed works as are thought fit. </w:t>
      </w:r>
    </w:p>
    <w:p w14:paraId="7A375E1D" w14:textId="48FE28F1" w:rsidR="007E4403" w:rsidRPr="007E4403" w:rsidRDefault="00023885" w:rsidP="00F07B66">
      <w:pPr>
        <w:pStyle w:val="Style1"/>
      </w:pPr>
      <w:r>
        <w:t>Defra’s Common Land Consents Policy</w:t>
      </w:r>
      <w:r w:rsidR="00935004">
        <w:t xml:space="preserve"> (the Consents Policy)</w:t>
      </w:r>
      <w:r>
        <w:t xml:space="preserve">, published in November 2015, sets out the </w:t>
      </w:r>
      <w:r w:rsidR="00FD0637">
        <w:t>policy objecti</w:t>
      </w:r>
      <w:r w:rsidR="008C6A27">
        <w:t>ves</w:t>
      </w:r>
      <w:r w:rsidR="00FD0637">
        <w:t xml:space="preserve"> for </w:t>
      </w:r>
      <w:r w:rsidR="007120ED">
        <w:t xml:space="preserve">protecting </w:t>
      </w:r>
      <w:r w:rsidR="00FD0637">
        <w:t xml:space="preserve">common land and </w:t>
      </w:r>
      <w:r w:rsidR="000B073A">
        <w:t xml:space="preserve">the approach when considering </w:t>
      </w:r>
      <w:r w:rsidR="00C05BB3">
        <w:t>application</w:t>
      </w:r>
      <w:r w:rsidR="00FE7210">
        <w:t>s</w:t>
      </w:r>
      <w:r w:rsidR="00C05BB3">
        <w:t xml:space="preserve"> for works on common land. </w:t>
      </w:r>
      <w:r w:rsidR="00C475A6">
        <w:t>I will have regard to this policy document in my considerations.</w:t>
      </w:r>
    </w:p>
    <w:p w14:paraId="68143943" w14:textId="1A8ECC48" w:rsidR="00355FCC" w:rsidRDefault="007E4403" w:rsidP="007E4403">
      <w:pPr>
        <w:pStyle w:val="Heading6blackfont"/>
      </w:pPr>
      <w:r>
        <w:t>Reasons</w:t>
      </w:r>
    </w:p>
    <w:p w14:paraId="23C27A82" w14:textId="6D6D63D1" w:rsidR="00A952B3" w:rsidRPr="00A952B3" w:rsidRDefault="00A952B3" w:rsidP="00A952B3">
      <w:pPr>
        <w:pStyle w:val="Style1"/>
        <w:numPr>
          <w:ilvl w:val="0"/>
          <w:numId w:val="0"/>
        </w:numPr>
        <w:ind w:left="431" w:hanging="431"/>
        <w:rPr>
          <w:b/>
          <w:bCs/>
        </w:rPr>
      </w:pPr>
      <w:r w:rsidRPr="00A952B3">
        <w:rPr>
          <w:b/>
          <w:bCs/>
        </w:rPr>
        <w:t>Representations and Objections</w:t>
      </w:r>
    </w:p>
    <w:p w14:paraId="08C3C406" w14:textId="777662D5" w:rsidR="00FF4800" w:rsidRDefault="00B1519F" w:rsidP="003A20BA">
      <w:pPr>
        <w:pStyle w:val="Style1"/>
      </w:pPr>
      <w:r>
        <w:t>Link</w:t>
      </w:r>
      <w:r w:rsidR="00575EF5">
        <w:t xml:space="preserve">inhorne Parish Council has commented that it is mindful that this is an </w:t>
      </w:r>
      <w:r w:rsidR="00F049C9">
        <w:t>A</w:t>
      </w:r>
      <w:r w:rsidR="00575EF5">
        <w:t>rea of Great Landscape Value, a conservation area and a W</w:t>
      </w:r>
      <w:r w:rsidR="002949B7">
        <w:t>HS</w:t>
      </w:r>
      <w:r w:rsidR="00FF4800">
        <w:t xml:space="preserve"> and the Cou</w:t>
      </w:r>
      <w:r w:rsidR="00575EF5">
        <w:t xml:space="preserve">ncil’s preference </w:t>
      </w:r>
      <w:r w:rsidR="00FF4800">
        <w:t xml:space="preserve">is </w:t>
      </w:r>
      <w:r w:rsidR="00575EF5">
        <w:t>that</w:t>
      </w:r>
      <w:r w:rsidR="00A83273">
        <w:t>,</w:t>
      </w:r>
      <w:r w:rsidR="00575EF5">
        <w:t xml:space="preserve"> as both </w:t>
      </w:r>
      <w:r w:rsidR="00FF4800">
        <w:t xml:space="preserve">structures </w:t>
      </w:r>
      <w:r w:rsidR="00575EF5">
        <w:t>are listed buildings</w:t>
      </w:r>
      <w:r w:rsidR="00480BD0">
        <w:t>,</w:t>
      </w:r>
      <w:r w:rsidR="00575EF5">
        <w:t xml:space="preserve"> these buildings are ultimately stabilised</w:t>
      </w:r>
      <w:r w:rsidR="00A015F7">
        <w:t xml:space="preserve">. </w:t>
      </w:r>
      <w:r w:rsidR="00575EF5">
        <w:t xml:space="preserve">Fencing should only be seen as a temporary measure providing its purpose is to facilitate the conduct of stabilisation works to the listed structures and it is required for public safety purposes. </w:t>
      </w:r>
    </w:p>
    <w:p w14:paraId="00F282DC" w14:textId="6E1225CD" w:rsidR="00575EF5" w:rsidRDefault="00FF4800" w:rsidP="003A20BA">
      <w:pPr>
        <w:pStyle w:val="Style1"/>
      </w:pPr>
      <w:r>
        <w:t xml:space="preserve">The </w:t>
      </w:r>
      <w:r w:rsidR="00575EF5">
        <w:t xml:space="preserve">Parish Council also </w:t>
      </w:r>
      <w:r>
        <w:t xml:space="preserve">comment </w:t>
      </w:r>
      <w:r w:rsidR="00575EF5">
        <w:t>that any positioning of fencing posts should be overseen / supervised by the county archaeologist to ensure that all features of historical and archaeological significance are protected.</w:t>
      </w:r>
    </w:p>
    <w:p w14:paraId="5E25D35B" w14:textId="57660F86" w:rsidR="00E65626" w:rsidRDefault="00FF4800" w:rsidP="003A20BA">
      <w:pPr>
        <w:pStyle w:val="Style1"/>
      </w:pPr>
      <w:r>
        <w:t xml:space="preserve">The OSS has made </w:t>
      </w:r>
      <w:r w:rsidR="00382754">
        <w:t>objections to the application.</w:t>
      </w:r>
      <w:r w:rsidR="00F049C9">
        <w:t xml:space="preserve"> These </w:t>
      </w:r>
      <w:r w:rsidR="00382754">
        <w:t>include that th</w:t>
      </w:r>
      <w:r w:rsidR="003671FA">
        <w:t>e mining structures have endured since the 19</w:t>
      </w:r>
      <w:r w:rsidR="003671FA" w:rsidRPr="003671FA">
        <w:rPr>
          <w:vertAlign w:val="superscript"/>
        </w:rPr>
        <w:t>th</w:t>
      </w:r>
      <w:r w:rsidR="003671FA">
        <w:t xml:space="preserve"> </w:t>
      </w:r>
      <w:r w:rsidR="00A83273">
        <w:t>C</w:t>
      </w:r>
      <w:r w:rsidR="003671FA">
        <w:t xml:space="preserve">entury </w:t>
      </w:r>
      <w:r w:rsidR="00365B13">
        <w:t xml:space="preserve">and have been unprotected for many years. </w:t>
      </w:r>
      <w:r w:rsidR="00F049C9">
        <w:t>T</w:t>
      </w:r>
      <w:r w:rsidR="00365B13">
        <w:t>he OSS say that there may be a risk to the public or to livestock, but no evidence has been add</w:t>
      </w:r>
      <w:r w:rsidR="00A23657">
        <w:t>uc</w:t>
      </w:r>
      <w:r w:rsidR="00365B13">
        <w:t xml:space="preserve">ed </w:t>
      </w:r>
      <w:r w:rsidR="00243137">
        <w:t xml:space="preserve">of the nature or scale of that risk, and whether fencing is justified </w:t>
      </w:r>
      <w:proofErr w:type="gramStart"/>
      <w:r w:rsidR="00243137">
        <w:t>so as to</w:t>
      </w:r>
      <w:proofErr w:type="gramEnd"/>
      <w:r w:rsidR="00243137">
        <w:t xml:space="preserve"> exclude the public from access to and around the structures. </w:t>
      </w:r>
      <w:r w:rsidR="00D267B4">
        <w:t>T</w:t>
      </w:r>
      <w:r w:rsidR="00144EA1">
        <w:t xml:space="preserve">here is also no </w:t>
      </w:r>
      <w:r w:rsidR="00380F2A">
        <w:t xml:space="preserve">information as to whether minor repairs could be </w:t>
      </w:r>
      <w:r w:rsidR="00E9754A">
        <w:t>undertaken,</w:t>
      </w:r>
      <w:r w:rsidR="00380F2A">
        <w:t xml:space="preserve"> or the occupier’s liability </w:t>
      </w:r>
      <w:r w:rsidR="00A23657">
        <w:t>minimised</w:t>
      </w:r>
      <w:r w:rsidR="00380F2A">
        <w:t xml:space="preserve"> by the display of warning notices. </w:t>
      </w:r>
    </w:p>
    <w:p w14:paraId="511D73B2" w14:textId="616A3F83" w:rsidR="00E52B67" w:rsidRDefault="009060B6" w:rsidP="003A20BA">
      <w:pPr>
        <w:pStyle w:val="Style1"/>
      </w:pPr>
      <w:r>
        <w:lastRenderedPageBreak/>
        <w:t>T</w:t>
      </w:r>
      <w:r w:rsidR="008F0609">
        <w:t xml:space="preserve">he OSS comment on the submissions from Historic England </w:t>
      </w:r>
      <w:r w:rsidR="00E52B67">
        <w:t xml:space="preserve">which explain that </w:t>
      </w:r>
      <w:r w:rsidR="00E52B67" w:rsidRPr="00E265E1">
        <w:t>the location of the proposed fencing work lies within part of a Scheduled Monument, and that the proposed works involve ground disturbance or have the potential to have a visual impact within a Scheduled Monument.</w:t>
      </w:r>
      <w:r w:rsidR="00E52B67">
        <w:t xml:space="preserve"> </w:t>
      </w:r>
      <w:r w:rsidR="00D267B4">
        <w:t>T</w:t>
      </w:r>
      <w:r w:rsidR="00E52B67">
        <w:t xml:space="preserve">he OSS note that </w:t>
      </w:r>
      <w:r w:rsidR="007C3679">
        <w:t>Historic</w:t>
      </w:r>
      <w:r w:rsidR="00E52B67">
        <w:t xml:space="preserve"> England recommend that pre-</w:t>
      </w:r>
      <w:r w:rsidR="00972CC1">
        <w:t>application</w:t>
      </w:r>
      <w:r w:rsidR="00E52B67">
        <w:t xml:space="preserve"> consultation takes place with it prior to any submissions for Scheduled Monument Consent. </w:t>
      </w:r>
      <w:r w:rsidR="00D267B4">
        <w:t>T</w:t>
      </w:r>
      <w:r w:rsidR="00E52B67">
        <w:t xml:space="preserve">he OSS object to the application on the basis that </w:t>
      </w:r>
      <w:r w:rsidR="007C3679" w:rsidRPr="007C3679">
        <w:t>the Environment Secretary</w:t>
      </w:r>
      <w:r w:rsidR="003A20BA">
        <w:t xml:space="preserve">, following the advice of Historic England, is now </w:t>
      </w:r>
      <w:r w:rsidR="007C3679" w:rsidRPr="007C3679">
        <w:t xml:space="preserve">aware that the application will affect a Scheduled Monument, but has no information on which </w:t>
      </w:r>
      <w:r w:rsidR="003A20BA">
        <w:t xml:space="preserve">to </w:t>
      </w:r>
      <w:r w:rsidR="007C3679" w:rsidRPr="007C3679">
        <w:t>assess the impact — other than that there will be an impact</w:t>
      </w:r>
      <w:r w:rsidR="003A20BA">
        <w:t xml:space="preserve">. </w:t>
      </w:r>
      <w:r w:rsidR="00D267B4">
        <w:t>O</w:t>
      </w:r>
      <w:r w:rsidR="003A20BA">
        <w:t xml:space="preserve">n this basis, the OSS consider that the application should be refused. </w:t>
      </w:r>
    </w:p>
    <w:p w14:paraId="733FA997" w14:textId="5960434E" w:rsidR="00DF1CAE" w:rsidRPr="0067368A" w:rsidRDefault="00663B11" w:rsidP="00DF1CAE">
      <w:pPr>
        <w:pStyle w:val="Style1"/>
        <w:numPr>
          <w:ilvl w:val="0"/>
          <w:numId w:val="0"/>
        </w:numPr>
        <w:ind w:left="431" w:hanging="431"/>
        <w:rPr>
          <w:b/>
          <w:bCs/>
          <w:i/>
          <w:iCs/>
        </w:rPr>
      </w:pPr>
      <w:r w:rsidRPr="0067368A">
        <w:rPr>
          <w:b/>
          <w:bCs/>
          <w:i/>
          <w:iCs/>
        </w:rPr>
        <w:t>The interests of those occupying or having rights over the land</w:t>
      </w:r>
    </w:p>
    <w:p w14:paraId="355D975B" w14:textId="307A06DF" w:rsidR="00D267B4" w:rsidRDefault="00B91A83" w:rsidP="00D267B4">
      <w:pPr>
        <w:pStyle w:val="Style1"/>
      </w:pPr>
      <w:r>
        <w:t xml:space="preserve">The Register </w:t>
      </w:r>
      <w:r w:rsidR="00442A8C">
        <w:t xml:space="preserve">identifies some </w:t>
      </w:r>
      <w:r w:rsidR="001837ED">
        <w:t xml:space="preserve">easements and rights such as </w:t>
      </w:r>
      <w:r w:rsidR="0039688D">
        <w:t xml:space="preserve">the provision of a mains water supply across a part of the common, </w:t>
      </w:r>
      <w:r w:rsidR="00D46EE6">
        <w:t xml:space="preserve">and </w:t>
      </w:r>
      <w:r w:rsidR="0039688D">
        <w:t xml:space="preserve">a company with a claimed </w:t>
      </w:r>
      <w:r w:rsidR="0039688D" w:rsidRPr="00D267B4">
        <w:t xml:space="preserve">right to prospect for drill test bore holes and work minerals below the surface </w:t>
      </w:r>
      <w:r w:rsidR="002C1BE9" w:rsidRPr="00D267B4">
        <w:t>o</w:t>
      </w:r>
      <w:r w:rsidR="0039688D" w:rsidRPr="00D267B4">
        <w:t xml:space="preserve">f the ground. </w:t>
      </w:r>
    </w:p>
    <w:p w14:paraId="347924CD" w14:textId="2117AA4B" w:rsidR="005109DD" w:rsidRPr="00D267B4" w:rsidRDefault="00B6422C" w:rsidP="00D267B4">
      <w:pPr>
        <w:pStyle w:val="Style1"/>
      </w:pPr>
      <w:r w:rsidRPr="00D267B4">
        <w:t>I</w:t>
      </w:r>
      <w:r w:rsidR="005109DD" w:rsidRPr="00D267B4">
        <w:t xml:space="preserve">n terms of rights of common, </w:t>
      </w:r>
      <w:r w:rsidR="00FB549E" w:rsidRPr="00D267B4">
        <w:t xml:space="preserve">the Register </w:t>
      </w:r>
      <w:r w:rsidR="008D7954" w:rsidRPr="00D267B4">
        <w:t xml:space="preserve">details that </w:t>
      </w:r>
      <w:r w:rsidR="00AE7C04" w:rsidRPr="00D267B4">
        <w:t>the o</w:t>
      </w:r>
      <w:r w:rsidR="00FC3AEC" w:rsidRPr="00D267B4">
        <w:t xml:space="preserve">ccupant </w:t>
      </w:r>
      <w:r w:rsidR="00AE7C04" w:rsidRPr="00D267B4">
        <w:t>of Marke Valley</w:t>
      </w:r>
      <w:r w:rsidR="00AE7C04">
        <w:t>, Upton Cross</w:t>
      </w:r>
      <w:r w:rsidR="00305256">
        <w:t>, Liskeard</w:t>
      </w:r>
      <w:r w:rsidR="00AE7C04">
        <w:t xml:space="preserve"> </w:t>
      </w:r>
      <w:r w:rsidR="008D7954">
        <w:t xml:space="preserve">has a </w:t>
      </w:r>
      <w:r w:rsidR="00AE7C04">
        <w:t>right to graze 10 head of cattle, 10 sheep and 2 horses over the unit,</w:t>
      </w:r>
      <w:r w:rsidR="0004111E">
        <w:t xml:space="preserve"> </w:t>
      </w:r>
      <w:r w:rsidR="00A272EE">
        <w:t xml:space="preserve">and </w:t>
      </w:r>
      <w:r w:rsidR="00980BB1">
        <w:t xml:space="preserve">that </w:t>
      </w:r>
      <w:r w:rsidR="00AE7C04">
        <w:t xml:space="preserve">the </w:t>
      </w:r>
      <w:r w:rsidR="00FC3AEC">
        <w:t xml:space="preserve">occupant of East Caradon Farm </w:t>
      </w:r>
      <w:r w:rsidR="007F66A7">
        <w:t xml:space="preserve">has the right to graze 6 head of cattle or </w:t>
      </w:r>
      <w:r w:rsidR="0002224C">
        <w:t xml:space="preserve">6 ponies or 30 sheep over the whole of the register unit. </w:t>
      </w:r>
      <w:r w:rsidR="00A272EE">
        <w:t>A</w:t>
      </w:r>
      <w:r w:rsidR="0002224C">
        <w:t xml:space="preserve"> partial entitlement </w:t>
      </w:r>
      <w:r w:rsidR="00F057F2">
        <w:t>to exercise th</w:t>
      </w:r>
      <w:r w:rsidR="008929DB">
        <w:t>is</w:t>
      </w:r>
      <w:r w:rsidR="00F057F2">
        <w:t xml:space="preserve"> latter right </w:t>
      </w:r>
      <w:r w:rsidR="008929DB">
        <w:t xml:space="preserve">has been made and this now rests with Mr Bolitho of West Trezeland to graze 4 head of cattle or 4 ponies or 20 sheep over the whole unit. </w:t>
      </w:r>
      <w:r w:rsidR="00A8345A">
        <w:t>I</w:t>
      </w:r>
      <w:r w:rsidR="008929DB">
        <w:t xml:space="preserve">t is understood that </w:t>
      </w:r>
      <w:r w:rsidR="00D35ACE">
        <w:t xml:space="preserve">this </w:t>
      </w:r>
      <w:r w:rsidR="00D70B77">
        <w:t xml:space="preserve">person </w:t>
      </w:r>
      <w:r w:rsidR="00D35ACE">
        <w:t xml:space="preserve">is the only </w:t>
      </w:r>
      <w:r w:rsidR="00AE328C">
        <w:t xml:space="preserve">active </w:t>
      </w:r>
      <w:r w:rsidR="00D70B77">
        <w:t>commoner</w:t>
      </w:r>
      <w:r w:rsidR="00D35ACE">
        <w:t xml:space="preserve"> </w:t>
      </w:r>
      <w:r w:rsidR="003C2671">
        <w:t>who</w:t>
      </w:r>
      <w:r w:rsidR="00D35ACE">
        <w:t xml:space="preserve"> exercises grazing rights</w:t>
      </w:r>
      <w:r w:rsidR="00AE328C">
        <w:t xml:space="preserve"> throughout the year.</w:t>
      </w:r>
      <w:r w:rsidR="00D35ACE">
        <w:t xml:space="preserve"> </w:t>
      </w:r>
    </w:p>
    <w:p w14:paraId="41689785" w14:textId="4069ED47" w:rsidR="00D267B4" w:rsidRDefault="007C39D5" w:rsidP="00D267B4">
      <w:pPr>
        <w:pStyle w:val="Style1"/>
      </w:pPr>
      <w:r>
        <w:t>T</w:t>
      </w:r>
      <w:r w:rsidR="00AE328C">
        <w:t>he</w:t>
      </w:r>
      <w:r w:rsidR="00D135AA">
        <w:t xml:space="preserve">re have been no objections to the proposed fencing from </w:t>
      </w:r>
      <w:r w:rsidR="00D44C8E">
        <w:t xml:space="preserve">any </w:t>
      </w:r>
      <w:r w:rsidR="005A47C6">
        <w:t xml:space="preserve">of those with ability to exercise common rights. The fencing would exclude </w:t>
      </w:r>
      <w:r w:rsidR="007C5729">
        <w:t xml:space="preserve">the ability to graze </w:t>
      </w:r>
      <w:r w:rsidR="00B00DB5">
        <w:t>small</w:t>
      </w:r>
      <w:r w:rsidR="007C5729">
        <w:t xml:space="preserve"> sections of land around the buildings and the </w:t>
      </w:r>
      <w:r w:rsidR="002922A9">
        <w:t xml:space="preserve">steep surrounding sides and base area of the </w:t>
      </w:r>
      <w:r w:rsidR="002949B7">
        <w:t xml:space="preserve">disused </w:t>
      </w:r>
      <w:proofErr w:type="gramStart"/>
      <w:r w:rsidR="002922A9">
        <w:t xml:space="preserve">mine, </w:t>
      </w:r>
      <w:r w:rsidR="007C5729">
        <w:t>but</w:t>
      </w:r>
      <w:proofErr w:type="gramEnd"/>
      <w:r w:rsidR="007C5729">
        <w:t xml:space="preserve"> given the</w:t>
      </w:r>
      <w:r w:rsidR="00D9126F">
        <w:t xml:space="preserve"> limited extent of</w:t>
      </w:r>
      <w:r w:rsidR="007C5729">
        <w:t xml:space="preserve"> land </w:t>
      </w:r>
      <w:r w:rsidR="00D9126F">
        <w:t xml:space="preserve">in these areas </w:t>
      </w:r>
      <w:r w:rsidR="004C7D69">
        <w:t xml:space="preserve">which would be suitable </w:t>
      </w:r>
      <w:r w:rsidR="007C5729">
        <w:t>for grazing</w:t>
      </w:r>
      <w:r w:rsidR="00D9126F">
        <w:t>, the enclosure</w:t>
      </w:r>
      <w:r w:rsidR="00D267B4">
        <w:t>s</w:t>
      </w:r>
      <w:r w:rsidR="00D9126F">
        <w:t xml:space="preserve"> would not prevent grazing to a</w:t>
      </w:r>
      <w:r w:rsidR="00D267B4">
        <w:t>ny</w:t>
      </w:r>
      <w:r w:rsidR="007C5729">
        <w:t xml:space="preserve"> meaningful extent. </w:t>
      </w:r>
    </w:p>
    <w:p w14:paraId="1ADEB5ED" w14:textId="3AEA165C" w:rsidR="00663B11" w:rsidRPr="00D267B4" w:rsidRDefault="00663B11" w:rsidP="00BB4B6A">
      <w:pPr>
        <w:pStyle w:val="Style1"/>
        <w:numPr>
          <w:ilvl w:val="0"/>
          <w:numId w:val="0"/>
        </w:numPr>
        <w:rPr>
          <w:b/>
          <w:bCs/>
          <w:i/>
          <w:iCs/>
        </w:rPr>
      </w:pPr>
      <w:r w:rsidRPr="00D267B4">
        <w:rPr>
          <w:b/>
          <w:bCs/>
          <w:i/>
          <w:iCs/>
        </w:rPr>
        <w:t>The interests of the neighbourhood</w:t>
      </w:r>
    </w:p>
    <w:p w14:paraId="56DE7761" w14:textId="77777777" w:rsidR="00B1729B" w:rsidRDefault="00BC40FA" w:rsidP="00B1729B">
      <w:pPr>
        <w:pStyle w:val="Style1"/>
      </w:pPr>
      <w:r>
        <w:t xml:space="preserve">There is </w:t>
      </w:r>
      <w:r w:rsidR="00127204">
        <w:t xml:space="preserve">no definition of the concept of “neighbourhood” within the terms of the </w:t>
      </w:r>
      <w:r w:rsidR="00050224">
        <w:t xml:space="preserve">2006 Act. </w:t>
      </w:r>
      <w:r w:rsidR="006415DF">
        <w:t>H</w:t>
      </w:r>
      <w:r w:rsidR="00050224">
        <w:t xml:space="preserve">owever, in general terms works should only be permitted on common land if </w:t>
      </w:r>
      <w:r w:rsidR="00AB6921">
        <w:t xml:space="preserve">they maintain or improve the condition of the common, or where they confer some wider public benefit </w:t>
      </w:r>
      <w:r w:rsidR="00935004">
        <w:t xml:space="preserve">and are either temporary in duration or have no significant </w:t>
      </w:r>
      <w:r w:rsidR="00424731">
        <w:t>or</w:t>
      </w:r>
      <w:r w:rsidR="00935004">
        <w:t xml:space="preserve"> last</w:t>
      </w:r>
      <w:r w:rsidR="00B64AA1">
        <w:t>ing</w:t>
      </w:r>
      <w:r w:rsidR="00935004">
        <w:t xml:space="preserve"> impact</w:t>
      </w:r>
      <w:r w:rsidR="001940E4">
        <w:t xml:space="preserve"> (paragraph 3.2 of the Consents Policy)</w:t>
      </w:r>
      <w:r w:rsidR="00935004">
        <w:t>.</w:t>
      </w:r>
    </w:p>
    <w:p w14:paraId="5E75F1A6" w14:textId="109C5A3A" w:rsidR="00893C38" w:rsidRDefault="00893C38" w:rsidP="00893C38">
      <w:pPr>
        <w:pStyle w:val="Style1"/>
      </w:pPr>
      <w:r>
        <w:t xml:space="preserve">Access to the common on foot is available under the Countryside and Rights of Way Act 2000. </w:t>
      </w:r>
      <w:r w:rsidR="00281435">
        <w:t>T</w:t>
      </w:r>
      <w:r>
        <w:t xml:space="preserve">he works would not affect any public rights of </w:t>
      </w:r>
      <w:proofErr w:type="gramStart"/>
      <w:r>
        <w:t>way</w:t>
      </w:r>
      <w:r w:rsidR="00ED5719">
        <w:t>, but</w:t>
      </w:r>
      <w:proofErr w:type="gramEnd"/>
      <w:r w:rsidR="00ED5719">
        <w:t xml:space="preserve"> would prevent access within the enclosed sections of the common. </w:t>
      </w:r>
    </w:p>
    <w:p w14:paraId="2DF2723E" w14:textId="12C86EA3" w:rsidR="00464044" w:rsidRDefault="000A0AE7" w:rsidP="00893C38">
      <w:pPr>
        <w:pStyle w:val="Style1"/>
      </w:pPr>
      <w:r>
        <w:t>W</w:t>
      </w:r>
      <w:r w:rsidR="00ED5719">
        <w:t xml:space="preserve">ith the </w:t>
      </w:r>
      <w:r w:rsidR="00C55648">
        <w:t xml:space="preserve">disused </w:t>
      </w:r>
      <w:r w:rsidR="00ED5719">
        <w:t xml:space="preserve">mine </w:t>
      </w:r>
      <w:r w:rsidR="00C55648">
        <w:t>site</w:t>
      </w:r>
      <w:r w:rsidR="001E6AB1">
        <w:t xml:space="preserve"> (Plan 3)</w:t>
      </w:r>
      <w:r w:rsidR="00ED5719">
        <w:t xml:space="preserve">, this </w:t>
      </w:r>
      <w:r w:rsidR="00A77F0D">
        <w:t>fenced area encloses the s</w:t>
      </w:r>
      <w:r w:rsidR="00ED5719">
        <w:t xml:space="preserve">teep sides down to the base of the </w:t>
      </w:r>
      <w:r w:rsidR="00450EBC">
        <w:t xml:space="preserve">mine </w:t>
      </w:r>
      <w:r w:rsidR="00367856">
        <w:t>area</w:t>
      </w:r>
      <w:r w:rsidR="00CC5D20">
        <w:t>. It</w:t>
      </w:r>
      <w:r w:rsidR="00F2480D">
        <w:t xml:space="preserve"> was evident at the site visit that a</w:t>
      </w:r>
      <w:r w:rsidR="00722CFE">
        <w:t xml:space="preserve"> </w:t>
      </w:r>
      <w:r w:rsidR="00F2480D">
        <w:t>section of land had</w:t>
      </w:r>
      <w:r w:rsidR="00CC5D20">
        <w:t xml:space="preserve"> </w:t>
      </w:r>
      <w:proofErr w:type="gramStart"/>
      <w:r w:rsidR="00CC5D20">
        <w:t>fairly</w:t>
      </w:r>
      <w:r w:rsidR="00FA585C">
        <w:t xml:space="preserve"> recently</w:t>
      </w:r>
      <w:proofErr w:type="gramEnd"/>
      <w:r w:rsidR="00FA585C">
        <w:t xml:space="preserve"> </w:t>
      </w:r>
      <w:r w:rsidR="00F2480D">
        <w:t xml:space="preserve">collapsed. </w:t>
      </w:r>
      <w:r w:rsidR="00D95548">
        <w:t>W</w:t>
      </w:r>
      <w:r w:rsidR="00F2480D">
        <w:t xml:space="preserve">ith the sound of running water underground at this location, it is reasonable to assume that </w:t>
      </w:r>
      <w:r w:rsidR="00FA585C">
        <w:t xml:space="preserve">this section of land </w:t>
      </w:r>
      <w:r w:rsidR="00D95548">
        <w:t xml:space="preserve">within the </w:t>
      </w:r>
      <w:r w:rsidR="00C55648">
        <w:t xml:space="preserve">originally excavated </w:t>
      </w:r>
      <w:r w:rsidR="005A6DEC">
        <w:t xml:space="preserve">area </w:t>
      </w:r>
      <w:r w:rsidR="00FA585C">
        <w:t xml:space="preserve">may not be stable. </w:t>
      </w:r>
      <w:r w:rsidR="008E53B8">
        <w:t>I</w:t>
      </w:r>
      <w:r w:rsidR="00067DB1">
        <w:t xml:space="preserve">t is </w:t>
      </w:r>
      <w:r w:rsidR="008E53B8">
        <w:t>likely</w:t>
      </w:r>
      <w:r w:rsidR="00067DB1">
        <w:t xml:space="preserve"> that the stability of the land in and around this immediate area </w:t>
      </w:r>
      <w:r w:rsidR="005A6DEC">
        <w:t>c</w:t>
      </w:r>
      <w:r w:rsidR="00067DB1">
        <w:t xml:space="preserve">ould pose some form of </w:t>
      </w:r>
      <w:r w:rsidR="00067DB1">
        <w:lastRenderedPageBreak/>
        <w:t xml:space="preserve">risk in the </w:t>
      </w:r>
      <w:r w:rsidR="00C65610">
        <w:t xml:space="preserve">short </w:t>
      </w:r>
      <w:r w:rsidR="0033306C">
        <w:t>and</w:t>
      </w:r>
      <w:r w:rsidR="00C65610">
        <w:t xml:space="preserve"> </w:t>
      </w:r>
      <w:r w:rsidR="00067DB1">
        <w:t xml:space="preserve">longer term. </w:t>
      </w:r>
      <w:r w:rsidR="00C97D59">
        <w:t>T</w:t>
      </w:r>
      <w:r w:rsidR="00067DB1">
        <w:t xml:space="preserve">he fencing prevents </w:t>
      </w:r>
      <w:r w:rsidR="005A6DEC">
        <w:t xml:space="preserve">access to this area </w:t>
      </w:r>
      <w:r w:rsidR="00A924DD">
        <w:t>and</w:t>
      </w:r>
      <w:r w:rsidR="0033306C">
        <w:t xml:space="preserve"> maintains the </w:t>
      </w:r>
      <w:r w:rsidR="005A6DEC">
        <w:t>safety of those using th</w:t>
      </w:r>
      <w:r w:rsidR="00464044">
        <w:t xml:space="preserve">is part of the </w:t>
      </w:r>
      <w:proofErr w:type="gramStart"/>
      <w:r w:rsidR="00C65610">
        <w:t>common</w:t>
      </w:r>
      <w:r w:rsidR="009C24F9">
        <w:t>, and</w:t>
      </w:r>
      <w:proofErr w:type="gramEnd"/>
      <w:r w:rsidR="009C24F9">
        <w:t xml:space="preserve"> is therefore in the interests of the neighbourhood</w:t>
      </w:r>
      <w:r w:rsidR="00464044">
        <w:t>.</w:t>
      </w:r>
    </w:p>
    <w:p w14:paraId="0552E5BA" w14:textId="1246CE45" w:rsidR="008C11AD" w:rsidRDefault="00897CC2" w:rsidP="00340A6F">
      <w:pPr>
        <w:pStyle w:val="Style1"/>
      </w:pPr>
      <w:r>
        <w:t xml:space="preserve">To help justify the </w:t>
      </w:r>
      <w:r w:rsidR="00464044">
        <w:t xml:space="preserve">fencing around the engine </w:t>
      </w:r>
      <w:r w:rsidR="00CC5D20">
        <w:t>house</w:t>
      </w:r>
      <w:r w:rsidR="00464044">
        <w:t xml:space="preserve"> (Plan 2) and that proposed around the engine </w:t>
      </w:r>
      <w:r w:rsidR="00CC5D20">
        <w:t>house</w:t>
      </w:r>
      <w:r w:rsidR="00464044">
        <w:t xml:space="preserve"> and chimney (Plan 4), there is </w:t>
      </w:r>
      <w:r w:rsidR="00AC5074">
        <w:t xml:space="preserve">no detailed report included with the application that surveys these structures to assess their stability and explain any related risk. </w:t>
      </w:r>
      <w:r w:rsidR="000F3B07">
        <w:t xml:space="preserve">Nevertheless, there are sections of these buildings where the </w:t>
      </w:r>
      <w:r w:rsidR="002C3747">
        <w:t>masonry</w:t>
      </w:r>
      <w:r w:rsidR="0080797F">
        <w:t xml:space="preserve"> appears to be potentially an issue and the </w:t>
      </w:r>
      <w:r w:rsidR="002C3747">
        <w:t>appearance of the structure</w:t>
      </w:r>
      <w:r>
        <w:t>s</w:t>
      </w:r>
      <w:r w:rsidR="002C3747">
        <w:t xml:space="preserve"> show that some sections have fallen in the past. </w:t>
      </w:r>
      <w:r w:rsidR="00340A6F">
        <w:t>S</w:t>
      </w:r>
      <w:r w:rsidR="002C3747">
        <w:t>ome form of protection t</w:t>
      </w:r>
      <w:r w:rsidR="00340A6F">
        <w:t>o</w:t>
      </w:r>
      <w:r w:rsidR="002C3747">
        <w:t xml:space="preserve"> prevent those using the </w:t>
      </w:r>
      <w:r w:rsidR="00340A6F">
        <w:t xml:space="preserve">common from coming close to the </w:t>
      </w:r>
      <w:r w:rsidR="00451330">
        <w:t>structures</w:t>
      </w:r>
      <w:r w:rsidR="00340A6F">
        <w:t xml:space="preserve"> appears to be </w:t>
      </w:r>
      <w:r w:rsidR="00451330">
        <w:t>in the public interest</w:t>
      </w:r>
      <w:r w:rsidR="00340A6F">
        <w:t xml:space="preserve">. </w:t>
      </w:r>
      <w:r w:rsidR="00B54CEB">
        <w:t xml:space="preserve">Fencing is proposed and whether this </w:t>
      </w:r>
      <w:r w:rsidR="006022A3">
        <w:t xml:space="preserve">would be </w:t>
      </w:r>
      <w:r w:rsidR="00AF7CF6">
        <w:t xml:space="preserve">needed in the longer term is a matter I consider in more detail below. </w:t>
      </w:r>
    </w:p>
    <w:p w14:paraId="6370CEB6" w14:textId="6B7E67EE" w:rsidR="00192254" w:rsidRPr="00B1729B" w:rsidRDefault="00192254" w:rsidP="00117BA4">
      <w:pPr>
        <w:pStyle w:val="Style1"/>
      </w:pPr>
      <w:r>
        <w:t>The areas of fencing around the</w:t>
      </w:r>
      <w:r w:rsidR="00846255">
        <w:t xml:space="preserve"> built</w:t>
      </w:r>
      <w:r>
        <w:t xml:space="preserve"> features would not impact upon the general public’s ability to view them at a safe distance. The </w:t>
      </w:r>
      <w:r w:rsidR="00846255">
        <w:t>a</w:t>
      </w:r>
      <w:r>
        <w:t>pplicant’s insurers advise works were necessary from a public liability perspective, noting the fencing is a short distance from the features and if access is required (subject to necessary insurance provision being provided), this can be obtained by access through the pedestrian gates.</w:t>
      </w:r>
      <w:r w:rsidR="007C1203">
        <w:t xml:space="preserve"> </w:t>
      </w:r>
      <w:r w:rsidR="00A14E31">
        <w:t>I</w:t>
      </w:r>
      <w:r w:rsidR="008E61DB">
        <w:t xml:space="preserve">n respect of the proposals </w:t>
      </w:r>
      <w:r w:rsidR="00150462">
        <w:t xml:space="preserve">shown on Plan 2 and 4, </w:t>
      </w:r>
      <w:r w:rsidR="007C1203">
        <w:t xml:space="preserve">I </w:t>
      </w:r>
      <w:r w:rsidR="00150462">
        <w:t xml:space="preserve">conclude on </w:t>
      </w:r>
      <w:r w:rsidR="007C1203">
        <w:t>the interests of the neighbourhood and the public interest in the balance</w:t>
      </w:r>
      <w:r w:rsidR="00125DC6">
        <w:t xml:space="preserve"> and main conclusion</w:t>
      </w:r>
      <w:r w:rsidR="007C1203">
        <w:t xml:space="preserve"> below. </w:t>
      </w:r>
    </w:p>
    <w:p w14:paraId="48B40562" w14:textId="3A707615" w:rsidR="00663B11" w:rsidRPr="00FB40D3" w:rsidRDefault="00B8097E" w:rsidP="00B1729B">
      <w:pPr>
        <w:pStyle w:val="Style1"/>
        <w:numPr>
          <w:ilvl w:val="0"/>
          <w:numId w:val="0"/>
        </w:numPr>
        <w:rPr>
          <w:b/>
          <w:bCs/>
          <w:i/>
          <w:iCs/>
        </w:rPr>
      </w:pPr>
      <w:r w:rsidRPr="00FB40D3">
        <w:rPr>
          <w:b/>
          <w:bCs/>
          <w:i/>
          <w:iCs/>
        </w:rPr>
        <w:t>The public interest</w:t>
      </w:r>
    </w:p>
    <w:p w14:paraId="376FA34C" w14:textId="79DE23D6" w:rsidR="00B8097E" w:rsidRPr="00FB40D3" w:rsidRDefault="00B8097E" w:rsidP="00DF1CAE">
      <w:pPr>
        <w:pStyle w:val="Style1"/>
        <w:numPr>
          <w:ilvl w:val="0"/>
          <w:numId w:val="0"/>
        </w:numPr>
        <w:ind w:left="431" w:hanging="431"/>
        <w:rPr>
          <w:i/>
          <w:iCs/>
        </w:rPr>
      </w:pPr>
      <w:r w:rsidRPr="00FB40D3">
        <w:rPr>
          <w:i/>
          <w:iCs/>
        </w:rPr>
        <w:t>Nature conservation</w:t>
      </w:r>
    </w:p>
    <w:p w14:paraId="623243DB" w14:textId="10D0C249" w:rsidR="000D1DD3" w:rsidRDefault="000D1DD3" w:rsidP="000D1DD3">
      <w:pPr>
        <w:pStyle w:val="Style1"/>
      </w:pPr>
      <w:r>
        <w:t>Natural England has commented that</w:t>
      </w:r>
      <w:r w:rsidR="00E12330">
        <w:t xml:space="preserve">, </w:t>
      </w:r>
      <w:r>
        <w:t>at the scale of works proposed</w:t>
      </w:r>
      <w:r w:rsidR="00E12330">
        <w:t>,</w:t>
      </w:r>
      <w:r>
        <w:t xml:space="preserve"> it does not anticipate that the</w:t>
      </w:r>
      <w:r w:rsidR="00897CC2">
        <w:t>re</w:t>
      </w:r>
      <w:r>
        <w:t xml:space="preserve"> would </w:t>
      </w:r>
      <w:r w:rsidR="00DB58FA">
        <w:t>be</w:t>
      </w:r>
      <w:r>
        <w:t xml:space="preserve"> any significantly adverse effect</w:t>
      </w:r>
      <w:r w:rsidR="0069366B">
        <w:t>s</w:t>
      </w:r>
      <w:r>
        <w:t xml:space="preserve"> on the common’s overall biodiversity, </w:t>
      </w:r>
      <w:proofErr w:type="gramStart"/>
      <w:r>
        <w:t>accessibility</w:t>
      </w:r>
      <w:proofErr w:type="gramEnd"/>
      <w:r>
        <w:t xml:space="preserve"> or its landscape value. </w:t>
      </w:r>
    </w:p>
    <w:p w14:paraId="393A0E01" w14:textId="18C45A02" w:rsidR="00EC4F01" w:rsidRDefault="000C1174" w:rsidP="00340A6F">
      <w:pPr>
        <w:pStyle w:val="Style1"/>
      </w:pPr>
      <w:r>
        <w:t xml:space="preserve">Having regard to the comments of Natural </w:t>
      </w:r>
      <w:r w:rsidR="005847F0">
        <w:t>England</w:t>
      </w:r>
      <w:r w:rsidR="008035E5">
        <w:t xml:space="preserve">, </w:t>
      </w:r>
      <w:r>
        <w:t>the information forming the submissions</w:t>
      </w:r>
      <w:r w:rsidR="008035E5">
        <w:t xml:space="preserve"> and my site visit</w:t>
      </w:r>
      <w:r>
        <w:t>, i</w:t>
      </w:r>
      <w:r w:rsidR="00DB58FA" w:rsidRPr="00FE20F6">
        <w:t xml:space="preserve">n terms of nature conservation, there is no </w:t>
      </w:r>
      <w:r w:rsidR="00FE20F6" w:rsidRPr="00FE20F6">
        <w:t xml:space="preserve">clear evidence to consider </w:t>
      </w:r>
      <w:r w:rsidR="00FE20F6" w:rsidRPr="000C1174">
        <w:t xml:space="preserve">that the effects on </w:t>
      </w:r>
      <w:r w:rsidR="00450D5E" w:rsidRPr="000C1174">
        <w:t>biodiversity</w:t>
      </w:r>
      <w:r w:rsidR="00FE20F6" w:rsidRPr="000C1174">
        <w:t xml:space="preserve"> would</w:t>
      </w:r>
      <w:r w:rsidR="006343F6">
        <w:t>,</w:t>
      </w:r>
      <w:r w:rsidR="00FE20F6" w:rsidRPr="000C1174">
        <w:t xml:space="preserve"> </w:t>
      </w:r>
      <w:r w:rsidR="004C5B0F">
        <w:t>or have been</w:t>
      </w:r>
      <w:r w:rsidR="006343F6">
        <w:t>,</w:t>
      </w:r>
      <w:r w:rsidR="00FE20F6" w:rsidRPr="000C1174">
        <w:t xml:space="preserve"> harmed by the </w:t>
      </w:r>
      <w:r w:rsidR="00A924DD">
        <w:t>fencing</w:t>
      </w:r>
      <w:r w:rsidRPr="000C1174">
        <w:t>.</w:t>
      </w:r>
    </w:p>
    <w:p w14:paraId="24EE0B02" w14:textId="77777777" w:rsidR="00476A80" w:rsidRPr="00FB40D3" w:rsidRDefault="00476A80" w:rsidP="00476A80">
      <w:pPr>
        <w:pStyle w:val="Style1"/>
        <w:numPr>
          <w:ilvl w:val="0"/>
          <w:numId w:val="0"/>
        </w:numPr>
        <w:ind w:left="431" w:hanging="431"/>
        <w:rPr>
          <w:i/>
          <w:iCs/>
        </w:rPr>
      </w:pPr>
      <w:r w:rsidRPr="00FB40D3">
        <w:rPr>
          <w:i/>
          <w:iCs/>
        </w:rPr>
        <w:t xml:space="preserve">Archaeological remains and features of historic </w:t>
      </w:r>
      <w:proofErr w:type="gramStart"/>
      <w:r w:rsidRPr="00FB40D3">
        <w:rPr>
          <w:i/>
          <w:iCs/>
        </w:rPr>
        <w:t>interest</w:t>
      </w:r>
      <w:proofErr w:type="gramEnd"/>
    </w:p>
    <w:p w14:paraId="5B2908CB" w14:textId="31118237" w:rsidR="00476A80" w:rsidRDefault="00476A80" w:rsidP="00476A80">
      <w:pPr>
        <w:pStyle w:val="Style1"/>
      </w:pPr>
      <w:r>
        <w:t>Historic England has commented on the proposals</w:t>
      </w:r>
      <w:r w:rsidR="001C3E59">
        <w:t xml:space="preserve"> prior to the submissions of this commons land application. </w:t>
      </w:r>
      <w:r>
        <w:t xml:space="preserve">It explains that the land subject to this </w:t>
      </w:r>
      <w:r w:rsidR="00380D1A">
        <w:t>proposal</w:t>
      </w:r>
      <w:r>
        <w:t xml:space="preserve"> contains a rich and internationally important suite of historic mining remains</w:t>
      </w:r>
      <w:r w:rsidR="00C619B5">
        <w:t>.</w:t>
      </w:r>
    </w:p>
    <w:p w14:paraId="50432F02" w14:textId="21F92BF7" w:rsidR="00476A80" w:rsidRDefault="00476A80" w:rsidP="00476A80">
      <w:pPr>
        <w:pStyle w:val="Style1"/>
      </w:pPr>
      <w:r>
        <w:t xml:space="preserve">Historic England explain that the location of the fencing works lies within part of the Scheduled Monument (although the fencing around the disused mine is beyond this area) and that proposals involving ground disturbance and/or which have the potential to have a visual impact within a Scheduled Monument are classed as “works” under Section 2 of the </w:t>
      </w:r>
      <w:r w:rsidR="00380D1A">
        <w:t>Ancient Monuments and Archaeological Area</w:t>
      </w:r>
      <w:r w:rsidR="00305153">
        <w:t>s</w:t>
      </w:r>
      <w:r w:rsidR="00380D1A">
        <w:t xml:space="preserve"> Act 19</w:t>
      </w:r>
      <w:r>
        <w:t>79, and must first obtain Scheduled Monument Consent (SMC) from the Secretary of State for Culture, Media &amp; Sport as advised by Historic England.</w:t>
      </w:r>
    </w:p>
    <w:p w14:paraId="3C6F42B5" w14:textId="6A06C6EE" w:rsidR="00476A80" w:rsidRDefault="00476A80" w:rsidP="00476A80">
      <w:pPr>
        <w:pStyle w:val="Style1"/>
      </w:pPr>
      <w:r>
        <w:t xml:space="preserve">Historic England further advise that SMC is not normally granted for works that would be harmful to the significance of a Scheduled Monument and so the applicant or their agent is advised to undertake pre-application consultation with Historic England so that it may advise on the proposed fencing to achieve </w:t>
      </w:r>
      <w:r>
        <w:lastRenderedPageBreak/>
        <w:t xml:space="preserve">a solution that meets both the landowner’s needs and </w:t>
      </w:r>
      <w:r w:rsidR="00A924DD">
        <w:t>its</w:t>
      </w:r>
      <w:r>
        <w:t xml:space="preserve"> requirements in terms of conserving the significance of the Scheduled Monument. Historic England explain that its focus will be on minimising the extent of ground disturbance within the scheduled area, agreeing the extent and location of fencing, and its form/materials to minimise any visual intrusion.</w:t>
      </w:r>
    </w:p>
    <w:p w14:paraId="135EF193" w14:textId="6B813A7A" w:rsidR="00476A80" w:rsidRDefault="00476A80" w:rsidP="00476A80">
      <w:pPr>
        <w:pStyle w:val="Style1"/>
      </w:pPr>
      <w:r>
        <w:t xml:space="preserve">Based on this advice from Historic England, SMC will be required for the fencing works around the three built structures (Plan 2 and Plan 4) and that it appears the works could be potentially harmful to the </w:t>
      </w:r>
      <w:r w:rsidR="008D4574">
        <w:t xml:space="preserve">significance of the </w:t>
      </w:r>
      <w:r>
        <w:t>Scheduled Monument. Th</w:t>
      </w:r>
      <w:r w:rsidR="009A6E04">
        <w:t>is</w:t>
      </w:r>
      <w:r>
        <w:t xml:space="preserve"> application includes plans which show the alignment and length of the fencing, and the posts would involve some ground disturbance. There could, therefore, </w:t>
      </w:r>
      <w:proofErr w:type="gramStart"/>
      <w:r>
        <w:t>in all likelihood</w:t>
      </w:r>
      <w:proofErr w:type="gramEnd"/>
      <w:r>
        <w:t xml:space="preserve"> be some potential harm to a</w:t>
      </w:r>
      <w:r w:rsidRPr="00D82751">
        <w:t>rchaeological remains and features of historic interest</w:t>
      </w:r>
      <w:r>
        <w:t xml:space="preserve"> within the area. I am conscious that </w:t>
      </w:r>
      <w:r w:rsidR="00380D1A">
        <w:t xml:space="preserve">some </w:t>
      </w:r>
      <w:r>
        <w:t xml:space="preserve">fencing works have taken place and may have caused some ground disturbance. Nevertheless, I need to consider the scheme based on its merits </w:t>
      </w:r>
      <w:proofErr w:type="gramStart"/>
      <w:r>
        <w:t>taking into account</w:t>
      </w:r>
      <w:proofErr w:type="gramEnd"/>
      <w:r>
        <w:t xml:space="preserve"> the comments of Historic England. </w:t>
      </w:r>
    </w:p>
    <w:p w14:paraId="3C664362" w14:textId="4B253789" w:rsidR="00476A80" w:rsidRDefault="00476A80" w:rsidP="00476A80">
      <w:pPr>
        <w:pStyle w:val="Style1"/>
      </w:pPr>
      <w:r>
        <w:t xml:space="preserve">Given that the potential harm identified by Historic England would relate to a Scheduled Monument (and around a listed building), it </w:t>
      </w:r>
      <w:r w:rsidR="005D4ACD">
        <w:t xml:space="preserve">is </w:t>
      </w:r>
      <w:r>
        <w:t xml:space="preserve">a matter of heritage significance to ensure that the nature of any harm is understood and can be assessed in the overall balance of considerations. </w:t>
      </w:r>
    </w:p>
    <w:p w14:paraId="3A33DC2C" w14:textId="53C5B178" w:rsidR="00476A80" w:rsidRDefault="00476A80" w:rsidP="00476A80">
      <w:pPr>
        <w:pStyle w:val="Style1"/>
      </w:pPr>
      <w:r>
        <w:t xml:space="preserve">Historic England recommended that the applicant consulted with it to seek to achieve a solution that met both the landowner’s needs and its requirements in terms that would then inform a SMC application. I sought information from the applicant as to whether this further consultation, in the form of pre-application advice with Historic England, had taken place and </w:t>
      </w:r>
      <w:r w:rsidR="005D4ACD">
        <w:t xml:space="preserve">the </w:t>
      </w:r>
      <w:r>
        <w:t xml:space="preserve">nature of any response. However, I have no detailed information to show the outcome of any subsequent consultations with Historic England. </w:t>
      </w:r>
    </w:p>
    <w:p w14:paraId="623B66D6" w14:textId="74894113" w:rsidR="006623D1" w:rsidRDefault="009A6E04" w:rsidP="00476A80">
      <w:pPr>
        <w:pStyle w:val="Style1"/>
      </w:pPr>
      <w:r>
        <w:t>As explained</w:t>
      </w:r>
      <w:r w:rsidR="00ED52EF">
        <w:t>,</w:t>
      </w:r>
      <w:r>
        <w:t xml:space="preserve"> t</w:t>
      </w:r>
      <w:r w:rsidR="00476A80">
        <w:t xml:space="preserve">his common land application seeks to have approved an alignment and length of fencing around the built structures within the Scheduled Monument. There will also </w:t>
      </w:r>
      <w:r w:rsidR="00476A80" w:rsidRPr="00007E07">
        <w:t xml:space="preserve">be a need for </w:t>
      </w:r>
      <w:r w:rsidR="00476A80">
        <w:t>SMC</w:t>
      </w:r>
      <w:r w:rsidR="00476A80" w:rsidRPr="00007E07">
        <w:t xml:space="preserve">. </w:t>
      </w:r>
      <w:r w:rsidR="00476A80">
        <w:t>I</w:t>
      </w:r>
      <w:r w:rsidR="00476A80" w:rsidRPr="00007E07">
        <w:t xml:space="preserve">t is appreciated that one of the consent processes will need to </w:t>
      </w:r>
      <w:r w:rsidR="00476A80">
        <w:t xml:space="preserve">come </w:t>
      </w:r>
      <w:r w:rsidR="00476A80" w:rsidRPr="00007E07">
        <w:t>before the other and that</w:t>
      </w:r>
      <w:r w:rsidR="00476A80">
        <w:t>, therefore,</w:t>
      </w:r>
      <w:r w:rsidR="00476A80" w:rsidRPr="00007E07">
        <w:t xml:space="preserve"> there is a relationship between the two</w:t>
      </w:r>
      <w:r w:rsidR="00476A80">
        <w:t xml:space="preserve"> consenting procedures</w:t>
      </w:r>
      <w:r w:rsidR="00476A80" w:rsidRPr="00007E07">
        <w:t xml:space="preserve">. </w:t>
      </w:r>
      <w:r w:rsidR="00476A80">
        <w:t>However, this is a</w:t>
      </w:r>
      <w:r w:rsidR="00476A80" w:rsidRPr="00007E07">
        <w:t xml:space="preserve"> situation where Historic England has flagged the potential for harm to the significance of the Scheduled Monument from the fencing</w:t>
      </w:r>
      <w:r w:rsidR="00476A80">
        <w:t xml:space="preserve">. </w:t>
      </w:r>
    </w:p>
    <w:p w14:paraId="3DB35C70" w14:textId="2C35616B" w:rsidR="00476A80" w:rsidRDefault="00476A80" w:rsidP="00476A80">
      <w:pPr>
        <w:pStyle w:val="Style1"/>
      </w:pPr>
      <w:r>
        <w:t xml:space="preserve">It is with this background in mind that I </w:t>
      </w:r>
      <w:r w:rsidRPr="00007E07">
        <w:t xml:space="preserve">need to consider the </w:t>
      </w:r>
      <w:r>
        <w:t>effect of the proposal on a</w:t>
      </w:r>
      <w:r w:rsidRPr="00007E07">
        <w:t xml:space="preserve">rchaeological remains and features of historic interest, as part of the assessment of this application under </w:t>
      </w:r>
      <w:r w:rsidR="009A6E04">
        <w:t>the 2006 Act</w:t>
      </w:r>
      <w:r>
        <w:t>. I</w:t>
      </w:r>
      <w:r w:rsidRPr="00007E07">
        <w:t>n the absence of any detailed information from Historic England as part of a</w:t>
      </w:r>
      <w:r>
        <w:t xml:space="preserve">ny pre-application </w:t>
      </w:r>
      <w:r w:rsidRPr="00007E07">
        <w:t xml:space="preserve">consultation process, I </w:t>
      </w:r>
      <w:r>
        <w:t>consider that I need to take a precautionary approach</w:t>
      </w:r>
      <w:r w:rsidR="00D249C9">
        <w:t xml:space="preserve">. </w:t>
      </w:r>
      <w:r>
        <w:t xml:space="preserve">I </w:t>
      </w:r>
      <w:r w:rsidR="00595629">
        <w:t xml:space="preserve">am not satisfied that there is </w:t>
      </w:r>
      <w:r>
        <w:t xml:space="preserve">sufficient </w:t>
      </w:r>
      <w:r w:rsidR="00207B3D">
        <w:t xml:space="preserve">information to provide </w:t>
      </w:r>
      <w:r>
        <w:t xml:space="preserve">reassurance </w:t>
      </w:r>
      <w:r w:rsidRPr="00007E07">
        <w:t xml:space="preserve">that the </w:t>
      </w:r>
      <w:r>
        <w:t>alignment and length of fencing that forms the detail of this application, in terms of the proposals under Plan 2 and Plan 4, would not/has not harmed the Scheduled Monument. This is clearly a matter that weighs against the proposal.</w:t>
      </w:r>
    </w:p>
    <w:p w14:paraId="788C04C0" w14:textId="17607045" w:rsidR="00DD25B7" w:rsidRPr="000C1174" w:rsidRDefault="000A4FAA" w:rsidP="00476A80">
      <w:pPr>
        <w:pStyle w:val="Style1"/>
      </w:pPr>
      <w:r>
        <w:t>With the Plan 3 scheme, this land lies beyond the Scheduled Monument and there is no issue regarding the effect of the fencing on archaeology or in respect of any listed building.</w:t>
      </w:r>
    </w:p>
    <w:p w14:paraId="404A18F3" w14:textId="77777777" w:rsidR="00C06EAB" w:rsidRDefault="00C06EAB" w:rsidP="00B1729B">
      <w:pPr>
        <w:pStyle w:val="Style1"/>
        <w:numPr>
          <w:ilvl w:val="0"/>
          <w:numId w:val="0"/>
        </w:numPr>
        <w:rPr>
          <w:i/>
          <w:iCs/>
        </w:rPr>
      </w:pPr>
    </w:p>
    <w:p w14:paraId="640A8484" w14:textId="77777777" w:rsidR="00C06EAB" w:rsidRDefault="00C06EAB" w:rsidP="00B1729B">
      <w:pPr>
        <w:pStyle w:val="Style1"/>
        <w:numPr>
          <w:ilvl w:val="0"/>
          <w:numId w:val="0"/>
        </w:numPr>
        <w:rPr>
          <w:i/>
          <w:iCs/>
        </w:rPr>
      </w:pPr>
    </w:p>
    <w:p w14:paraId="7537B19C" w14:textId="75AC0A0D" w:rsidR="00DF1CAE" w:rsidRPr="005811C7" w:rsidRDefault="0067368A" w:rsidP="00B1729B">
      <w:pPr>
        <w:pStyle w:val="Style1"/>
        <w:numPr>
          <w:ilvl w:val="0"/>
          <w:numId w:val="0"/>
        </w:numPr>
        <w:rPr>
          <w:i/>
          <w:iCs/>
        </w:rPr>
      </w:pPr>
      <w:r w:rsidRPr="005811C7">
        <w:rPr>
          <w:i/>
          <w:iCs/>
        </w:rPr>
        <w:lastRenderedPageBreak/>
        <w:t>Conservation of the landscape</w:t>
      </w:r>
    </w:p>
    <w:p w14:paraId="58A5FD2C" w14:textId="01D7675A" w:rsidR="00B1729B" w:rsidRDefault="005811C7" w:rsidP="00DF4F22">
      <w:pPr>
        <w:pStyle w:val="Style1"/>
      </w:pPr>
      <w:r>
        <w:t>I</w:t>
      </w:r>
      <w:r w:rsidR="000C1174">
        <w:t xml:space="preserve">n </w:t>
      </w:r>
      <w:r w:rsidR="00DF4F22">
        <w:t xml:space="preserve">relation to </w:t>
      </w:r>
      <w:r w:rsidR="000C1174">
        <w:t xml:space="preserve">the wider common, the fencing would </w:t>
      </w:r>
      <w:r w:rsidR="00B374E0">
        <w:t xml:space="preserve">not </w:t>
      </w:r>
      <w:r w:rsidR="005847F0">
        <w:t xml:space="preserve">impact on the wider area, but </w:t>
      </w:r>
      <w:r w:rsidR="00497AA0">
        <w:t xml:space="preserve">would </w:t>
      </w:r>
      <w:r w:rsidR="005847F0">
        <w:t xml:space="preserve">be confined around the three </w:t>
      </w:r>
      <w:r w:rsidR="00E12330">
        <w:t xml:space="preserve">built </w:t>
      </w:r>
      <w:r w:rsidR="005847F0">
        <w:t xml:space="preserve">structures and the top of the </w:t>
      </w:r>
      <w:r w:rsidR="00E12330">
        <w:t xml:space="preserve">disused </w:t>
      </w:r>
      <w:r w:rsidR="005847F0">
        <w:t xml:space="preserve">mine. </w:t>
      </w:r>
    </w:p>
    <w:p w14:paraId="62EF611B" w14:textId="7570FAF9" w:rsidR="0068231B" w:rsidRDefault="00F61801" w:rsidP="002A3240">
      <w:pPr>
        <w:pStyle w:val="Style1"/>
      </w:pPr>
      <w:r>
        <w:t>The fencing consists of timber posts and mes</w:t>
      </w:r>
      <w:r w:rsidR="002E49FB">
        <w:t>h</w:t>
      </w:r>
      <w:r>
        <w:t xml:space="preserve"> fencing stretched between them. </w:t>
      </w:r>
      <w:r w:rsidR="00FF1CEB">
        <w:t>T</w:t>
      </w:r>
      <w:r>
        <w:t xml:space="preserve">his type of stock fencing is considered to </w:t>
      </w:r>
      <w:r w:rsidR="00FF1CEB">
        <w:t xml:space="preserve">have </w:t>
      </w:r>
      <w:r w:rsidR="00CD113F">
        <w:t xml:space="preserve">a modest </w:t>
      </w:r>
      <w:r>
        <w:t xml:space="preserve">visual impact </w:t>
      </w:r>
      <w:r w:rsidR="00CD113F">
        <w:t xml:space="preserve">and would be </w:t>
      </w:r>
      <w:r>
        <w:t xml:space="preserve">fencing suitable for its function and is </w:t>
      </w:r>
      <w:proofErr w:type="gramStart"/>
      <w:r>
        <w:t>similar to</w:t>
      </w:r>
      <w:proofErr w:type="gramEnd"/>
      <w:r>
        <w:t xml:space="preserve"> </w:t>
      </w:r>
      <w:r w:rsidR="00D861D8">
        <w:t xml:space="preserve">some </w:t>
      </w:r>
      <w:r>
        <w:t xml:space="preserve">other fencing in the wider area. </w:t>
      </w:r>
      <w:r w:rsidR="00630AE0">
        <w:t>I</w:t>
      </w:r>
      <w:r w:rsidR="00482F2B">
        <w:t>t would not be especially prominent, n</w:t>
      </w:r>
      <w:r>
        <w:t>evertheless, t</w:t>
      </w:r>
      <w:r w:rsidR="00AE7A07">
        <w:t xml:space="preserve">he fencing would add </w:t>
      </w:r>
      <w:r w:rsidR="00557588">
        <w:t xml:space="preserve">some </w:t>
      </w:r>
      <w:r w:rsidR="00AE7A07">
        <w:t>clutter to the common</w:t>
      </w:r>
      <w:r w:rsidR="00DA54DF">
        <w:t>.</w:t>
      </w:r>
    </w:p>
    <w:p w14:paraId="6993F564" w14:textId="2C49EFC7" w:rsidR="00DB7250" w:rsidRDefault="0068231B" w:rsidP="002A3240">
      <w:pPr>
        <w:pStyle w:val="Style1"/>
      </w:pPr>
      <w:r>
        <w:t xml:space="preserve">In terms of the </w:t>
      </w:r>
      <w:r w:rsidR="00482F2B">
        <w:t>justification for the fencing around the engine houses and chimney, t</w:t>
      </w:r>
      <w:r w:rsidR="009350E3">
        <w:t xml:space="preserve">he </w:t>
      </w:r>
      <w:r w:rsidR="00343E09">
        <w:t>submissions from the applicant highlight the risk posed by the</w:t>
      </w:r>
      <w:r w:rsidR="00482F2B">
        <w:t>se</w:t>
      </w:r>
      <w:r w:rsidR="00343E09">
        <w:t xml:space="preserve"> structures, and it is explained that there is no reasonable prospect of works </w:t>
      </w:r>
      <w:r w:rsidR="009350E3">
        <w:t xml:space="preserve">in the foreseeable future </w:t>
      </w:r>
      <w:r w:rsidR="00343E09">
        <w:t xml:space="preserve">to secure their </w:t>
      </w:r>
      <w:r w:rsidR="009350E3">
        <w:t xml:space="preserve">maintenance. </w:t>
      </w:r>
      <w:r w:rsidR="0014346A">
        <w:t>However, it would be preferable in terms of the landscape</w:t>
      </w:r>
      <w:r w:rsidR="00DB7250">
        <w:t xml:space="preserve"> and </w:t>
      </w:r>
      <w:r w:rsidR="00E2779C">
        <w:t xml:space="preserve">the setting around </w:t>
      </w:r>
      <w:r w:rsidR="00DB7250">
        <w:t xml:space="preserve">these buildings within the Scheduled Monument </w:t>
      </w:r>
      <w:r w:rsidR="0014346A">
        <w:t>if the fencing around the</w:t>
      </w:r>
      <w:r w:rsidR="00482F2B">
        <w:t xml:space="preserve">se </w:t>
      </w:r>
      <w:r w:rsidR="00DB7250">
        <w:t>structure</w:t>
      </w:r>
      <w:r w:rsidR="00A015F7">
        <w:t>s</w:t>
      </w:r>
      <w:r w:rsidR="00DA54DF">
        <w:t xml:space="preserve"> </w:t>
      </w:r>
      <w:r w:rsidR="00DB7250">
        <w:t xml:space="preserve">did not </w:t>
      </w:r>
      <w:r w:rsidR="00626452">
        <w:t xml:space="preserve">need to </w:t>
      </w:r>
      <w:r w:rsidR="00DB7250">
        <w:t xml:space="preserve">take place at all, or for </w:t>
      </w:r>
      <w:r w:rsidR="00626452">
        <w:t xml:space="preserve">no </w:t>
      </w:r>
      <w:r w:rsidR="00DB7250">
        <w:t>longer period than necessary</w:t>
      </w:r>
      <w:r w:rsidR="0014346A">
        <w:t xml:space="preserve">. </w:t>
      </w:r>
    </w:p>
    <w:p w14:paraId="44DE42A7" w14:textId="317630CA" w:rsidR="008F1791" w:rsidRDefault="009D7F77" w:rsidP="00DF4F22">
      <w:pPr>
        <w:pStyle w:val="Style1"/>
      </w:pPr>
      <w:r>
        <w:t>T</w:t>
      </w:r>
      <w:r w:rsidR="00EF5AB6">
        <w:t xml:space="preserve">here is </w:t>
      </w:r>
      <w:r w:rsidR="000B79A5">
        <w:t xml:space="preserve">little clear evidence of </w:t>
      </w:r>
      <w:r w:rsidR="00AC31B5">
        <w:t>any</w:t>
      </w:r>
      <w:r w:rsidR="004A03AA">
        <w:t xml:space="preserve"> </w:t>
      </w:r>
      <w:r w:rsidR="00AC31B5">
        <w:t xml:space="preserve">practical </w:t>
      </w:r>
      <w:r w:rsidR="004A03AA">
        <w:t xml:space="preserve">option </w:t>
      </w:r>
      <w:r>
        <w:t xml:space="preserve">towards securing </w:t>
      </w:r>
      <w:r w:rsidR="000B79A5">
        <w:t>the stabilisation</w:t>
      </w:r>
      <w:r w:rsidR="00DB7250">
        <w:t xml:space="preserve"> of the structures</w:t>
      </w:r>
      <w:r w:rsidR="000B79A5">
        <w:t xml:space="preserve"> </w:t>
      </w:r>
      <w:r w:rsidR="00482F2B">
        <w:t xml:space="preserve">at the present time </w:t>
      </w:r>
      <w:r w:rsidR="000B79A5">
        <w:t xml:space="preserve">such that any </w:t>
      </w:r>
      <w:r w:rsidR="00B3279C">
        <w:t>risk</w:t>
      </w:r>
      <w:r w:rsidR="000B79A5">
        <w:t xml:space="preserve"> from falling </w:t>
      </w:r>
      <w:r w:rsidR="00B3279C">
        <w:t>masonry</w:t>
      </w:r>
      <w:r w:rsidR="000B79A5">
        <w:t xml:space="preserve"> </w:t>
      </w:r>
      <w:r w:rsidR="00F02498">
        <w:t>c</w:t>
      </w:r>
      <w:r w:rsidR="000B79A5">
        <w:t xml:space="preserve">ould be </w:t>
      </w:r>
      <w:r w:rsidR="00B3279C">
        <w:t>substantially</w:t>
      </w:r>
      <w:r w:rsidR="000B79A5">
        <w:t xml:space="preserve"> reduced </w:t>
      </w:r>
      <w:r w:rsidR="00A738C2">
        <w:t xml:space="preserve">to a level </w:t>
      </w:r>
      <w:r w:rsidR="000B79A5">
        <w:t>that th</w:t>
      </w:r>
      <w:r w:rsidR="00EF5AB6">
        <w:t xml:space="preserve">en </w:t>
      </w:r>
      <w:r w:rsidR="000B79A5">
        <w:t xml:space="preserve">may negate the need for the fencing. </w:t>
      </w:r>
      <w:r w:rsidR="00AC31B5">
        <w:t>Nevertheless, i</w:t>
      </w:r>
      <w:r w:rsidR="00AE7A07">
        <w:t xml:space="preserve">f I was minded to </w:t>
      </w:r>
      <w:r w:rsidR="00B3279C">
        <w:t>consent to</w:t>
      </w:r>
      <w:r w:rsidR="00AE7A07">
        <w:t xml:space="preserve"> th</w:t>
      </w:r>
      <w:r w:rsidR="00912F90">
        <w:t xml:space="preserve">ese fencing </w:t>
      </w:r>
      <w:r w:rsidR="00AE7A07">
        <w:t>works, I would need to consider whether a temporary consent was warranted</w:t>
      </w:r>
      <w:r w:rsidR="00912F90">
        <w:t xml:space="preserve">, such </w:t>
      </w:r>
      <w:r>
        <w:t>that it wo</w:t>
      </w:r>
      <w:r w:rsidR="0094703C">
        <w:t xml:space="preserve">uld </w:t>
      </w:r>
      <w:r>
        <w:t xml:space="preserve">enable </w:t>
      </w:r>
      <w:r w:rsidR="0094703C">
        <w:t xml:space="preserve">the ability to </w:t>
      </w:r>
      <w:r w:rsidR="00AB0FC0">
        <w:t xml:space="preserve">assess </w:t>
      </w:r>
      <w:r w:rsidR="00912F90">
        <w:t xml:space="preserve">the condition of the </w:t>
      </w:r>
      <w:r w:rsidR="0095289E">
        <w:t>structures</w:t>
      </w:r>
      <w:r w:rsidR="00912F90">
        <w:t xml:space="preserve">, and </w:t>
      </w:r>
      <w:r w:rsidR="0095289E">
        <w:t xml:space="preserve">whether </w:t>
      </w:r>
      <w:r w:rsidR="00912F90">
        <w:t>the need for the fencing</w:t>
      </w:r>
      <w:r w:rsidR="00A479DA">
        <w:t xml:space="preserve"> at th</w:t>
      </w:r>
      <w:r w:rsidR="0095289E">
        <w:t>e end of any temp</w:t>
      </w:r>
      <w:r w:rsidR="0021727C">
        <w:t>orary</w:t>
      </w:r>
      <w:r w:rsidR="0095289E">
        <w:t xml:space="preserve"> period </w:t>
      </w:r>
      <w:r w:rsidR="00B3279C">
        <w:t>was justified at th</w:t>
      </w:r>
      <w:r w:rsidR="0095289E">
        <w:t xml:space="preserve">at time. </w:t>
      </w:r>
      <w:r w:rsidR="00EF5D54">
        <w:t>T</w:t>
      </w:r>
      <w:r w:rsidR="008A0F18">
        <w:t>his approach would accord with th</w:t>
      </w:r>
      <w:r w:rsidR="000C09BF">
        <w:t>e advice in paragraph 4.2 of the Consents Policy</w:t>
      </w:r>
      <w:r w:rsidR="00FA591A">
        <w:t>.</w:t>
      </w:r>
    </w:p>
    <w:p w14:paraId="004593CE" w14:textId="3ED8F12C" w:rsidR="00AE0010" w:rsidRDefault="00AE0010" w:rsidP="00AE0010">
      <w:pPr>
        <w:pStyle w:val="Style1"/>
      </w:pPr>
      <w:r>
        <w:t xml:space="preserve">In the case of the disused mine, while </w:t>
      </w:r>
      <w:r w:rsidR="00EE50DB">
        <w:t xml:space="preserve">this </w:t>
      </w:r>
      <w:r>
        <w:t>fencing adds a</w:t>
      </w:r>
      <w:r w:rsidR="00626452">
        <w:t xml:space="preserve"> modest</w:t>
      </w:r>
      <w:r>
        <w:t xml:space="preserve"> amount of clutter to the landscape, there is a clear safety reason for its provision and </w:t>
      </w:r>
      <w:proofErr w:type="gramStart"/>
      <w:r>
        <w:t>location</w:t>
      </w:r>
      <w:proofErr w:type="gramEnd"/>
      <w:r w:rsidR="0016263E">
        <w:t xml:space="preserve"> and</w:t>
      </w:r>
      <w:r w:rsidR="00AC31B5">
        <w:t xml:space="preserve"> </w:t>
      </w:r>
      <w:r w:rsidR="0016263E">
        <w:t>it is unlikely that th</w:t>
      </w:r>
      <w:r w:rsidR="00070622">
        <w:t>is</w:t>
      </w:r>
      <w:r w:rsidR="0016263E">
        <w:t xml:space="preserve"> present risk could be reduced in the longer term</w:t>
      </w:r>
      <w:r>
        <w:t xml:space="preserve">. </w:t>
      </w:r>
    </w:p>
    <w:p w14:paraId="2A103772" w14:textId="0B3537B7" w:rsidR="00715861" w:rsidRPr="00FB40D3" w:rsidRDefault="00715861" w:rsidP="00DF1CAE">
      <w:pPr>
        <w:pStyle w:val="Style1"/>
        <w:numPr>
          <w:ilvl w:val="0"/>
          <w:numId w:val="0"/>
        </w:numPr>
        <w:ind w:left="431" w:hanging="431"/>
        <w:rPr>
          <w:i/>
          <w:iCs/>
        </w:rPr>
      </w:pPr>
      <w:r w:rsidRPr="00FB40D3">
        <w:rPr>
          <w:i/>
          <w:iCs/>
        </w:rPr>
        <w:t>Public access</w:t>
      </w:r>
    </w:p>
    <w:p w14:paraId="0F24D2A6" w14:textId="0015C599" w:rsidR="00117BA4" w:rsidRDefault="00117BA4" w:rsidP="00DF4F22">
      <w:pPr>
        <w:pStyle w:val="Style1"/>
      </w:pPr>
      <w:r>
        <w:t xml:space="preserve">I have explained the effects of the proposal on public access in the section on the interests of the neighbourhood above. </w:t>
      </w:r>
      <w:r w:rsidR="00070622">
        <w:t>T</w:t>
      </w:r>
      <w:r>
        <w:t xml:space="preserve">he evidence indicates that there is a long term need to restrict access to the </w:t>
      </w:r>
      <w:r w:rsidR="00626452">
        <w:t xml:space="preserve">disused </w:t>
      </w:r>
      <w:r>
        <w:t xml:space="preserve">mine area on health and safety grounds. </w:t>
      </w:r>
      <w:r w:rsidR="00144A82">
        <w:t>W</w:t>
      </w:r>
      <w:r w:rsidR="008F080B">
        <w:t xml:space="preserve">hile some form of </w:t>
      </w:r>
      <w:r w:rsidR="00130108">
        <w:t xml:space="preserve">fencing around the </w:t>
      </w:r>
      <w:r w:rsidR="00EE50DB">
        <w:t xml:space="preserve">built </w:t>
      </w:r>
      <w:r w:rsidR="00130108">
        <w:t>structures</w:t>
      </w:r>
      <w:r w:rsidR="008F080B">
        <w:t xml:space="preserve"> </w:t>
      </w:r>
      <w:r w:rsidR="00130108">
        <w:t>appears to be justified at the present time,</w:t>
      </w:r>
      <w:r w:rsidR="00BD799D">
        <w:t xml:space="preserve"> if I was satisfied by the alignment and </w:t>
      </w:r>
      <w:r w:rsidR="002C42DC">
        <w:t xml:space="preserve">I was minded </w:t>
      </w:r>
      <w:proofErr w:type="gramStart"/>
      <w:r w:rsidR="002C42DC">
        <w:t>to grant</w:t>
      </w:r>
      <w:proofErr w:type="gramEnd"/>
      <w:r w:rsidR="002C42DC">
        <w:t xml:space="preserve"> a consent it would be </w:t>
      </w:r>
      <w:r w:rsidR="00DF4F22">
        <w:t>necessary</w:t>
      </w:r>
      <w:r w:rsidR="002C42DC">
        <w:t xml:space="preserve"> to consider whether a temporary consent was </w:t>
      </w:r>
      <w:r w:rsidR="00DF4F22">
        <w:t>more merited than a permanent consent.</w:t>
      </w:r>
      <w:r w:rsidR="00CB1E9C">
        <w:t xml:space="preserve"> This is something I examine below.</w:t>
      </w:r>
      <w:r w:rsidR="00DF4F22">
        <w:t xml:space="preserve"> </w:t>
      </w:r>
    </w:p>
    <w:p w14:paraId="019F0476" w14:textId="71AB8E5A" w:rsidR="00715861" w:rsidRPr="00B1729B" w:rsidRDefault="00715861" w:rsidP="00DF1CAE">
      <w:pPr>
        <w:pStyle w:val="Style1"/>
        <w:numPr>
          <w:ilvl w:val="0"/>
          <w:numId w:val="0"/>
        </w:numPr>
        <w:ind w:left="431" w:hanging="431"/>
        <w:rPr>
          <w:b/>
          <w:bCs/>
        </w:rPr>
      </w:pPr>
      <w:r w:rsidRPr="00B1729B">
        <w:rPr>
          <w:b/>
          <w:bCs/>
        </w:rPr>
        <w:t xml:space="preserve">Other </w:t>
      </w:r>
      <w:r w:rsidR="00825F88" w:rsidRPr="00B1729B">
        <w:rPr>
          <w:b/>
          <w:bCs/>
        </w:rPr>
        <w:t>M</w:t>
      </w:r>
      <w:r w:rsidRPr="00B1729B">
        <w:rPr>
          <w:b/>
          <w:bCs/>
        </w:rPr>
        <w:t>atters</w:t>
      </w:r>
    </w:p>
    <w:p w14:paraId="77F1A245" w14:textId="4A20E1A2" w:rsidR="00AF7BFC" w:rsidRDefault="00AF7BFC" w:rsidP="00D358B1">
      <w:pPr>
        <w:pStyle w:val="Style1"/>
      </w:pPr>
      <w:r>
        <w:t xml:space="preserve">The main issues in </w:t>
      </w:r>
      <w:r w:rsidR="009F33AB">
        <w:t xml:space="preserve">this appeal </w:t>
      </w:r>
      <w:r w:rsidR="00D358B1">
        <w:t xml:space="preserve">have been considered above, and there are no other matters of material </w:t>
      </w:r>
      <w:r w:rsidR="002132DB">
        <w:t>relevance</w:t>
      </w:r>
      <w:r w:rsidR="003E408A">
        <w:t xml:space="preserve"> to weigh in the</w:t>
      </w:r>
      <w:r w:rsidR="006B09D6">
        <w:t xml:space="preserve"> following</w:t>
      </w:r>
      <w:r w:rsidR="003E408A">
        <w:t xml:space="preserve"> balance</w:t>
      </w:r>
      <w:r w:rsidR="00D358B1">
        <w:t xml:space="preserve">. </w:t>
      </w:r>
    </w:p>
    <w:p w14:paraId="745B1302" w14:textId="5BC8BAB4" w:rsidR="00FB40D3" w:rsidRPr="00A540E4" w:rsidRDefault="004077F4" w:rsidP="00A540E4">
      <w:pPr>
        <w:pStyle w:val="Style1"/>
        <w:numPr>
          <w:ilvl w:val="0"/>
          <w:numId w:val="0"/>
        </w:numPr>
      </w:pPr>
      <w:proofErr w:type="gramStart"/>
      <w:r w:rsidRPr="00A540E4">
        <w:rPr>
          <w:b/>
          <w:bCs/>
        </w:rPr>
        <w:t>Overall</w:t>
      </w:r>
      <w:proofErr w:type="gramEnd"/>
      <w:r w:rsidRPr="00A540E4">
        <w:rPr>
          <w:b/>
          <w:bCs/>
        </w:rPr>
        <w:t xml:space="preserve"> Balance and </w:t>
      </w:r>
      <w:r w:rsidR="00FB40D3" w:rsidRPr="00A540E4">
        <w:rPr>
          <w:b/>
          <w:bCs/>
        </w:rPr>
        <w:t>Conclusion</w:t>
      </w:r>
    </w:p>
    <w:p w14:paraId="67931A84" w14:textId="447A47E3" w:rsidR="00674625" w:rsidRDefault="00CC739D" w:rsidP="00B70510">
      <w:pPr>
        <w:pStyle w:val="Style1"/>
      </w:pPr>
      <w:r>
        <w:t xml:space="preserve">The </w:t>
      </w:r>
      <w:r w:rsidR="00C7408F">
        <w:t xml:space="preserve">area in and around the disused mine to the </w:t>
      </w:r>
      <w:proofErr w:type="gramStart"/>
      <w:r w:rsidR="00831A9D">
        <w:t xml:space="preserve">south </w:t>
      </w:r>
      <w:r w:rsidR="00C7408F">
        <w:t>east</w:t>
      </w:r>
      <w:proofErr w:type="gramEnd"/>
      <w:r w:rsidR="00C7408F">
        <w:t xml:space="preserve"> of the common </w:t>
      </w:r>
      <w:r w:rsidR="00CC0205">
        <w:t xml:space="preserve">(Plan 3) </w:t>
      </w:r>
      <w:r w:rsidR="00D74727">
        <w:t xml:space="preserve">poses a health and safety hazard for both walkers and livestock. </w:t>
      </w:r>
      <w:r w:rsidR="000714F5">
        <w:t>T</w:t>
      </w:r>
      <w:r w:rsidR="00E3445A">
        <w:t xml:space="preserve">he </w:t>
      </w:r>
      <w:r w:rsidR="00627D8A">
        <w:t xml:space="preserve">fencing </w:t>
      </w:r>
      <w:r w:rsidR="000714F5">
        <w:t xml:space="preserve">addresses this risk by </w:t>
      </w:r>
      <w:r w:rsidR="00627D8A">
        <w:t>prevent</w:t>
      </w:r>
      <w:r w:rsidR="000714F5">
        <w:t>ing</w:t>
      </w:r>
      <w:r w:rsidR="00627D8A">
        <w:t xml:space="preserve"> access to the section of land tha</w:t>
      </w:r>
      <w:r w:rsidR="00AC31B5">
        <w:t>t</w:t>
      </w:r>
      <w:r w:rsidR="00627D8A">
        <w:t xml:space="preserve"> has </w:t>
      </w:r>
      <w:r w:rsidR="00560007">
        <w:lastRenderedPageBreak/>
        <w:t xml:space="preserve">collapsed, as well </w:t>
      </w:r>
      <w:r w:rsidR="00AC31B5">
        <w:t xml:space="preserve">as </w:t>
      </w:r>
      <w:r w:rsidR="003F34D4">
        <w:t xml:space="preserve">screening </w:t>
      </w:r>
      <w:r w:rsidR="00560007">
        <w:t xml:space="preserve">the steep slopes down to the </w:t>
      </w:r>
      <w:r w:rsidR="00B22772">
        <w:t xml:space="preserve">disused </w:t>
      </w:r>
      <w:proofErr w:type="gramStart"/>
      <w:r w:rsidR="00B22772">
        <w:t>mine</w:t>
      </w:r>
      <w:proofErr w:type="gramEnd"/>
      <w:r w:rsidR="00B22772">
        <w:t xml:space="preserve"> area. </w:t>
      </w:r>
      <w:r w:rsidR="005140E5">
        <w:t>T</w:t>
      </w:r>
      <w:r w:rsidR="00D74727">
        <w:t xml:space="preserve">his land lies beyond the </w:t>
      </w:r>
      <w:r w:rsidR="00275681">
        <w:t>Scheduled Monument and there is no issue regarding the effect of the fencing on archaeology</w:t>
      </w:r>
      <w:r w:rsidR="00BD799D">
        <w:t xml:space="preserve"> or </w:t>
      </w:r>
      <w:r w:rsidR="00AC31B5">
        <w:t>i</w:t>
      </w:r>
      <w:r w:rsidR="00BD799D">
        <w:t>n respect of any listed building</w:t>
      </w:r>
      <w:r w:rsidR="00275681">
        <w:t xml:space="preserve">. </w:t>
      </w:r>
    </w:p>
    <w:p w14:paraId="2ECA891B" w14:textId="79083341" w:rsidR="00EF1A44" w:rsidRDefault="00797318" w:rsidP="00B70510">
      <w:pPr>
        <w:pStyle w:val="Style1"/>
      </w:pPr>
      <w:r>
        <w:t>W</w:t>
      </w:r>
      <w:r w:rsidR="00275681">
        <w:t xml:space="preserve">hile there </w:t>
      </w:r>
      <w:r w:rsidR="00AB582B">
        <w:t xml:space="preserve">is </w:t>
      </w:r>
      <w:r w:rsidR="00275681">
        <w:t>some harm</w:t>
      </w:r>
      <w:r w:rsidR="00867054">
        <w:t xml:space="preserve"> at th</w:t>
      </w:r>
      <w:r w:rsidR="00FA7306">
        <w:t>is</w:t>
      </w:r>
      <w:r w:rsidR="00867054">
        <w:t xml:space="preserve"> disused mine area</w:t>
      </w:r>
      <w:r w:rsidR="00275681">
        <w:t xml:space="preserve"> from the additional visual clutter of the fence posts within the landscape</w:t>
      </w:r>
      <w:r w:rsidR="00831A9D">
        <w:t>,</w:t>
      </w:r>
      <w:r w:rsidR="00275681">
        <w:t xml:space="preserve"> this is </w:t>
      </w:r>
      <w:r>
        <w:t xml:space="preserve">more than outweighed by the need </w:t>
      </w:r>
      <w:r w:rsidR="00B22772">
        <w:t>to ensure a safe environment for walkers and livestock</w:t>
      </w:r>
      <w:r w:rsidR="009270EC">
        <w:t xml:space="preserve"> within this part of the common</w:t>
      </w:r>
      <w:r w:rsidR="00B22772">
        <w:t xml:space="preserve">. </w:t>
      </w:r>
      <w:r w:rsidR="00C04493">
        <w:t>I conclude that t</w:t>
      </w:r>
      <w:r w:rsidR="008B299F">
        <w:t>he balance of considerations</w:t>
      </w:r>
      <w:r w:rsidR="00F91C66">
        <w:t xml:space="preserve">, and the public interest, </w:t>
      </w:r>
      <w:r w:rsidR="008B299F">
        <w:t xml:space="preserve">clearly falls in favour of approval </w:t>
      </w:r>
      <w:r w:rsidR="00831A9D">
        <w:t xml:space="preserve">of this </w:t>
      </w:r>
      <w:r w:rsidR="008B299F">
        <w:t>fencing</w:t>
      </w:r>
      <w:r w:rsidR="00F61C14">
        <w:t xml:space="preserve">. </w:t>
      </w:r>
      <w:r w:rsidR="000A77A7">
        <w:t>A</w:t>
      </w:r>
      <w:r w:rsidR="00973A19">
        <w:t>s there is no reasonable prospect of th</w:t>
      </w:r>
      <w:r w:rsidR="009270EC">
        <w:t>is</w:t>
      </w:r>
      <w:r w:rsidR="00973A19">
        <w:t xml:space="preserve"> health and safety hazard being </w:t>
      </w:r>
      <w:r w:rsidR="00674625">
        <w:t>resolved</w:t>
      </w:r>
      <w:r w:rsidR="00950046">
        <w:t>,</w:t>
      </w:r>
      <w:r w:rsidR="00674625">
        <w:t xml:space="preserve"> because of the </w:t>
      </w:r>
      <w:r w:rsidR="00950046">
        <w:t xml:space="preserve">on-going </w:t>
      </w:r>
      <w:r w:rsidR="00674625">
        <w:t xml:space="preserve">nature of the hazard and the condition of the surrounding land, it is appropriate that the fencing </w:t>
      </w:r>
      <w:r w:rsidR="005F7D26">
        <w:t xml:space="preserve">should </w:t>
      </w:r>
      <w:r w:rsidR="00674625">
        <w:t xml:space="preserve">be allowed on a permanent basis. </w:t>
      </w:r>
      <w:r w:rsidR="005A717C">
        <w:t xml:space="preserve">Signage </w:t>
      </w:r>
      <w:r w:rsidR="00A70B43">
        <w:t xml:space="preserve">is not an appropriate or proportionate response to </w:t>
      </w:r>
      <w:r w:rsidR="00D86012">
        <w:t xml:space="preserve">addressing the safety issues </w:t>
      </w:r>
      <w:r w:rsidR="00790627">
        <w:t xml:space="preserve">around this disused </w:t>
      </w:r>
      <w:proofErr w:type="gramStart"/>
      <w:r w:rsidR="00790627">
        <w:t>mine</w:t>
      </w:r>
      <w:proofErr w:type="gramEnd"/>
      <w:r w:rsidR="00790627">
        <w:t xml:space="preserve"> area</w:t>
      </w:r>
      <w:r w:rsidR="00A70B43">
        <w:t xml:space="preserve">. </w:t>
      </w:r>
    </w:p>
    <w:p w14:paraId="60086686" w14:textId="1407F0B1" w:rsidR="0003072D" w:rsidRDefault="00817BA6" w:rsidP="0013420E">
      <w:pPr>
        <w:pStyle w:val="Style1"/>
      </w:pPr>
      <w:r>
        <w:t>In</w:t>
      </w:r>
      <w:r w:rsidR="00F61C14">
        <w:t xml:space="preserve"> terms of the fencing around the </w:t>
      </w:r>
      <w:r w:rsidR="00AF293F">
        <w:t xml:space="preserve">built </w:t>
      </w:r>
      <w:r w:rsidR="00260866">
        <w:t>mining structures on the western side of the common</w:t>
      </w:r>
      <w:r w:rsidR="00944E00">
        <w:t xml:space="preserve"> (Plan 2 and </w:t>
      </w:r>
      <w:r w:rsidR="006E10D4">
        <w:t xml:space="preserve">Plan </w:t>
      </w:r>
      <w:r w:rsidR="00944E00">
        <w:t>4)</w:t>
      </w:r>
      <w:r w:rsidR="00260866">
        <w:t xml:space="preserve">, the considerations are more balanced. </w:t>
      </w:r>
      <w:r w:rsidR="001D40D4">
        <w:t>T</w:t>
      </w:r>
      <w:r w:rsidR="005F7D26">
        <w:t>here</w:t>
      </w:r>
      <w:r w:rsidR="00415436">
        <w:t xml:space="preserve"> appears to be a</w:t>
      </w:r>
      <w:r w:rsidR="005F7D26">
        <w:t xml:space="preserve"> hazard from the potential instability of parts of the</w:t>
      </w:r>
      <w:r w:rsidR="006C3941">
        <w:t>se</w:t>
      </w:r>
      <w:r w:rsidR="0002344A">
        <w:t xml:space="preserve"> </w:t>
      </w:r>
      <w:r w:rsidR="000E5116">
        <w:t>structures,</w:t>
      </w:r>
      <w:r w:rsidR="005F7D26">
        <w:t xml:space="preserve"> but this has not been fully quantified</w:t>
      </w:r>
      <w:r w:rsidR="00144A82">
        <w:t>, for instance,</w:t>
      </w:r>
      <w:r w:rsidR="005F7D26">
        <w:t xml:space="preserve"> in the form of a structural report from a qualified person. </w:t>
      </w:r>
      <w:r w:rsidR="001D40D4">
        <w:t>T</w:t>
      </w:r>
      <w:r w:rsidR="000E5116">
        <w:t xml:space="preserve">he applicant advises that there is no </w:t>
      </w:r>
      <w:r w:rsidR="00B44BB4">
        <w:t xml:space="preserve">reasonable </w:t>
      </w:r>
      <w:r w:rsidR="000E5116">
        <w:t xml:space="preserve">prospect of the condition of the structures being addressed in the foreseeable future. </w:t>
      </w:r>
      <w:r w:rsidR="00D1024E">
        <w:t>Furthermore,</w:t>
      </w:r>
      <w:r w:rsidR="00B4758E">
        <w:t xml:space="preserve"> it is explained </w:t>
      </w:r>
      <w:r w:rsidR="00D1024E">
        <w:t xml:space="preserve">by the applicant </w:t>
      </w:r>
      <w:r w:rsidR="00B4758E">
        <w:t>that a</w:t>
      </w:r>
      <w:r w:rsidR="00B4758E" w:rsidRPr="00B4758E">
        <w:t>ny remedial works to make safe the structure</w:t>
      </w:r>
      <w:r w:rsidR="001715A3">
        <w:t>s</w:t>
      </w:r>
      <w:r w:rsidR="00B4758E" w:rsidRPr="00B4758E">
        <w:t xml:space="preserve"> would be prohibitively expensive and</w:t>
      </w:r>
      <w:r w:rsidR="00CB2810">
        <w:t xml:space="preserve"> the</w:t>
      </w:r>
      <w:r w:rsidR="00B4758E" w:rsidRPr="00B4758E">
        <w:t xml:space="preserve"> appearance of what is there a</w:t>
      </w:r>
      <w:r w:rsidR="00CB2810">
        <w:t>t</w:t>
      </w:r>
      <w:r w:rsidR="00B4758E" w:rsidRPr="00B4758E">
        <w:t xml:space="preserve"> present could be altered to the structures</w:t>
      </w:r>
      <w:r w:rsidR="001715A3">
        <w:t>’</w:t>
      </w:r>
      <w:r w:rsidR="00B4758E" w:rsidRPr="00B4758E">
        <w:t xml:space="preserve"> detriment by any modern supporting structures, which is precisely what</w:t>
      </w:r>
      <w:r w:rsidR="00D1024E">
        <w:t xml:space="preserve"> is sough</w:t>
      </w:r>
      <w:r w:rsidR="00831A35">
        <w:t>t</w:t>
      </w:r>
      <w:r w:rsidR="00D1024E">
        <w:t xml:space="preserve"> to be avoided. </w:t>
      </w:r>
      <w:r w:rsidR="000E5116">
        <w:t>However, they are iconic structures in the landscape</w:t>
      </w:r>
      <w:r w:rsidR="00822568">
        <w:t xml:space="preserve"> related to the mining </w:t>
      </w:r>
      <w:r w:rsidR="00842D2B">
        <w:t>heritage</w:t>
      </w:r>
      <w:r w:rsidR="00822568">
        <w:t xml:space="preserve"> of the WHS, a listed building and </w:t>
      </w:r>
      <w:r w:rsidR="006C3941">
        <w:t xml:space="preserve">form part of the </w:t>
      </w:r>
      <w:r w:rsidR="00822568">
        <w:t xml:space="preserve">Scheduled </w:t>
      </w:r>
      <w:r w:rsidR="00842D2B">
        <w:t>Monument</w:t>
      </w:r>
      <w:r w:rsidR="00822568">
        <w:t xml:space="preserve">. </w:t>
      </w:r>
      <w:r w:rsidR="001D40D4">
        <w:t>I</w:t>
      </w:r>
      <w:r w:rsidR="00822568">
        <w:t>n these circumstances, I am not satisfied</w:t>
      </w:r>
      <w:r w:rsidR="001D40D4">
        <w:t xml:space="preserve"> </w:t>
      </w:r>
      <w:r w:rsidR="00B44BB4">
        <w:t xml:space="preserve">by the evidence </w:t>
      </w:r>
      <w:r w:rsidR="00822568">
        <w:t>that</w:t>
      </w:r>
      <w:r w:rsidR="00AB1D45">
        <w:t>,</w:t>
      </w:r>
      <w:r w:rsidR="00822568">
        <w:t xml:space="preserve"> in time</w:t>
      </w:r>
      <w:r w:rsidR="00AB1D45">
        <w:t>,</w:t>
      </w:r>
      <w:r w:rsidR="00822568">
        <w:t xml:space="preserve"> </w:t>
      </w:r>
      <w:r w:rsidR="00AB1D45">
        <w:t xml:space="preserve">some form of </w:t>
      </w:r>
      <w:r w:rsidR="00831A35">
        <w:t xml:space="preserve">sensitive and agreed </w:t>
      </w:r>
      <w:r w:rsidR="00AB1D45">
        <w:t xml:space="preserve">remedial action </w:t>
      </w:r>
      <w:r w:rsidR="00396B75">
        <w:t>c</w:t>
      </w:r>
      <w:r w:rsidR="00AB1D45">
        <w:t xml:space="preserve">ould </w:t>
      </w:r>
      <w:r w:rsidR="007D0BA3">
        <w:t xml:space="preserve">not </w:t>
      </w:r>
      <w:r w:rsidR="00AB1D45">
        <w:t xml:space="preserve">come forward to </w:t>
      </w:r>
      <w:r w:rsidR="007D0BA3">
        <w:t xml:space="preserve">seek to </w:t>
      </w:r>
      <w:r w:rsidR="00842D2B">
        <w:t>stabilise them</w:t>
      </w:r>
      <w:r w:rsidR="0058516F">
        <w:t>, and</w:t>
      </w:r>
      <w:r w:rsidR="00556567">
        <w:t xml:space="preserve"> such an approach </w:t>
      </w:r>
      <w:r w:rsidR="0058516F">
        <w:t>would be in the interests of the neighbourhood</w:t>
      </w:r>
      <w:r w:rsidR="00842D2B">
        <w:t>.</w:t>
      </w:r>
      <w:r w:rsidR="0003072D">
        <w:t xml:space="preserve"> </w:t>
      </w:r>
    </w:p>
    <w:p w14:paraId="0AB063FA" w14:textId="629C0EA7" w:rsidR="006623D1" w:rsidRDefault="003F6844" w:rsidP="00144A82">
      <w:pPr>
        <w:pStyle w:val="Style1"/>
      </w:pPr>
      <w:r>
        <w:t>In terms of the conservation of the landscape, t</w:t>
      </w:r>
      <w:r w:rsidR="00842D2B">
        <w:t xml:space="preserve">he fencing adds a </w:t>
      </w:r>
      <w:r w:rsidR="00415436">
        <w:t>modest</w:t>
      </w:r>
      <w:r w:rsidR="00842D2B">
        <w:t xml:space="preserve"> am</w:t>
      </w:r>
      <w:r w:rsidR="00BC3852">
        <w:t xml:space="preserve">ount of clutter </w:t>
      </w:r>
      <w:r w:rsidR="001D3EE3">
        <w:t>around these structures within this part of the</w:t>
      </w:r>
      <w:r w:rsidR="007D0BA3">
        <w:t xml:space="preserve"> </w:t>
      </w:r>
      <w:r>
        <w:t>common</w:t>
      </w:r>
      <w:r w:rsidR="00415436">
        <w:t xml:space="preserve">. </w:t>
      </w:r>
    </w:p>
    <w:p w14:paraId="421A1B95" w14:textId="6DF15F5B" w:rsidR="00C710A6" w:rsidRDefault="00103665" w:rsidP="00C710A6">
      <w:pPr>
        <w:pStyle w:val="Style1"/>
      </w:pPr>
      <w:r>
        <w:t>I</w:t>
      </w:r>
      <w:r w:rsidR="00B04725">
        <w:t>n</w:t>
      </w:r>
      <w:r w:rsidR="006028C2">
        <w:t xml:space="preserve"> </w:t>
      </w:r>
      <w:r w:rsidR="00E21CD8">
        <w:t xml:space="preserve">the </w:t>
      </w:r>
      <w:r>
        <w:t>absence</w:t>
      </w:r>
      <w:r w:rsidR="006028C2">
        <w:t xml:space="preserve"> of detailed assessment and comments from Historic England as part of the process of pre-application advice in advance of the SMC application, </w:t>
      </w:r>
      <w:r w:rsidR="006B6F85">
        <w:t xml:space="preserve">I </w:t>
      </w:r>
      <w:r w:rsidR="006028C2">
        <w:t xml:space="preserve">do not have </w:t>
      </w:r>
      <w:r w:rsidR="006623D1">
        <w:t xml:space="preserve">sufficient </w:t>
      </w:r>
      <w:r w:rsidR="006B6F85">
        <w:t>reassurance</w:t>
      </w:r>
      <w:r w:rsidR="006028C2">
        <w:t xml:space="preserve"> that the </w:t>
      </w:r>
      <w:r>
        <w:t>alignment of the fencing would minimise the potential harm to the</w:t>
      </w:r>
      <w:r w:rsidR="00396B75">
        <w:t xml:space="preserve"> significance of the</w:t>
      </w:r>
      <w:r>
        <w:t xml:space="preserve"> Scheduled Monument</w:t>
      </w:r>
      <w:r w:rsidR="00396B75">
        <w:t xml:space="preserve">. </w:t>
      </w:r>
      <w:r w:rsidR="00AC41BE">
        <w:t>T</w:t>
      </w:r>
      <w:r w:rsidR="00525851">
        <w:t xml:space="preserve">his is a </w:t>
      </w:r>
      <w:r>
        <w:t xml:space="preserve">necessary consideration of the public interest in this case, </w:t>
      </w:r>
      <w:r w:rsidR="00EE42FD">
        <w:t xml:space="preserve">especially in </w:t>
      </w:r>
      <w:r w:rsidR="00525851">
        <w:t xml:space="preserve">regard of </w:t>
      </w:r>
      <w:r>
        <w:t>the assessment of the proposal in terms of a</w:t>
      </w:r>
      <w:r w:rsidRPr="00103665">
        <w:t>rchaeological remains and features of historic interest</w:t>
      </w:r>
      <w:r>
        <w:t xml:space="preserve">. </w:t>
      </w:r>
      <w:r w:rsidR="00B25755">
        <w:t>Th</w:t>
      </w:r>
      <w:r w:rsidR="00A532DF">
        <w:t xml:space="preserve">ese </w:t>
      </w:r>
      <w:r w:rsidR="00763A14">
        <w:t xml:space="preserve">concerns </w:t>
      </w:r>
      <w:r w:rsidR="00065983">
        <w:t xml:space="preserve">apply both </w:t>
      </w:r>
      <w:r w:rsidR="00A532DF">
        <w:t xml:space="preserve">to the </w:t>
      </w:r>
      <w:r w:rsidR="00065983">
        <w:t>consideration of ei</w:t>
      </w:r>
      <w:r w:rsidR="00A532DF">
        <w:t xml:space="preserve">ther a temporary or permanent consent. </w:t>
      </w:r>
      <w:r w:rsidR="00EE42FD">
        <w:t>I</w:t>
      </w:r>
      <w:r>
        <w:t>n these circumstances</w:t>
      </w:r>
      <w:r w:rsidR="00525851">
        <w:t xml:space="preserve"> and </w:t>
      </w:r>
      <w:proofErr w:type="gramStart"/>
      <w:r>
        <w:t>on the basis of</w:t>
      </w:r>
      <w:proofErr w:type="gramEnd"/>
      <w:r>
        <w:t xml:space="preserve"> the evidence before me, I con</w:t>
      </w:r>
      <w:r w:rsidR="00C04493">
        <w:t xml:space="preserve">clude </w:t>
      </w:r>
      <w:r>
        <w:t>that the balance falls against th</w:t>
      </w:r>
      <w:r w:rsidR="00EE42FD">
        <w:t>is part of the</w:t>
      </w:r>
      <w:r>
        <w:t xml:space="preserve"> scheme and that the sections of the fencing around the built mining structures </w:t>
      </w:r>
      <w:r w:rsidR="00214697">
        <w:t>should not be approved</w:t>
      </w:r>
      <w:r w:rsidR="00B25755">
        <w:t xml:space="preserve"> either on a temporary or permanent basis</w:t>
      </w:r>
      <w:r w:rsidR="0094412D">
        <w:t xml:space="preserve">, at this time. </w:t>
      </w:r>
    </w:p>
    <w:p w14:paraId="54B623AF" w14:textId="56E5ADD8" w:rsidR="00214697" w:rsidRDefault="00214697" w:rsidP="00C710A6">
      <w:pPr>
        <w:pStyle w:val="Style1"/>
      </w:pPr>
      <w:r>
        <w:t xml:space="preserve">I consider that these conclusions are generally consistent with the representations from </w:t>
      </w:r>
      <w:r w:rsidR="00770955">
        <w:t xml:space="preserve">Linkinhorne Parish Council and the OSS. </w:t>
      </w:r>
    </w:p>
    <w:p w14:paraId="789CCEFC" w14:textId="25FC7917" w:rsidR="00F200A8" w:rsidRDefault="00525851" w:rsidP="00F200A8">
      <w:pPr>
        <w:pStyle w:val="Style1"/>
      </w:pPr>
      <w:r>
        <w:t>S</w:t>
      </w:r>
      <w:r w:rsidR="00A60B7A">
        <w:t>ection 39(</w:t>
      </w:r>
      <w:r w:rsidR="004D6C89">
        <w:t xml:space="preserve">3) </w:t>
      </w:r>
      <w:r w:rsidR="001076C8">
        <w:t xml:space="preserve">of the 2006 Act </w:t>
      </w:r>
      <w:r w:rsidR="004D6C89">
        <w:t xml:space="preserve">says that </w:t>
      </w:r>
      <w:r w:rsidR="000608F6">
        <w:t xml:space="preserve">consent may be given to </w:t>
      </w:r>
      <w:r w:rsidR="000608F6" w:rsidRPr="00525851">
        <w:t>all or part of</w:t>
      </w:r>
      <w:r w:rsidR="000608F6">
        <w:t xml:space="preserve"> the works subject to modifications and conditions relating to the proposed works as </w:t>
      </w:r>
      <w:r w:rsidR="00065983">
        <w:t xml:space="preserve">the </w:t>
      </w:r>
      <w:r w:rsidR="000608F6">
        <w:t xml:space="preserve">appropriate </w:t>
      </w:r>
      <w:r w:rsidR="00604FDB">
        <w:t>national</w:t>
      </w:r>
      <w:r w:rsidR="000608F6">
        <w:t xml:space="preserve"> authority thinks fit. </w:t>
      </w:r>
      <w:r>
        <w:t>Co</w:t>
      </w:r>
      <w:r w:rsidR="00CC1A85">
        <w:t xml:space="preserve">nsequently, a split decision </w:t>
      </w:r>
      <w:r>
        <w:t xml:space="preserve">may </w:t>
      </w:r>
      <w:r w:rsidR="00CC1A85">
        <w:t>be granted</w:t>
      </w:r>
      <w:r w:rsidR="00F47465">
        <w:t>,</w:t>
      </w:r>
      <w:r w:rsidR="00CC1A85">
        <w:t xml:space="preserve"> if appropriate. </w:t>
      </w:r>
      <w:r w:rsidR="00253CBF">
        <w:t>T</w:t>
      </w:r>
      <w:r>
        <w:t>h</w:t>
      </w:r>
      <w:r w:rsidR="00065983">
        <w:t xml:space="preserve">is application </w:t>
      </w:r>
      <w:r>
        <w:t xml:space="preserve">concerns </w:t>
      </w:r>
      <w:r w:rsidR="0085799E">
        <w:t xml:space="preserve">proposals at </w:t>
      </w:r>
      <w:r w:rsidR="0085799E">
        <w:lastRenderedPageBreak/>
        <w:t xml:space="preserve">three separate parts of the common and are shown on separate plans. </w:t>
      </w:r>
      <w:r w:rsidR="00253CBF">
        <w:t>T</w:t>
      </w:r>
      <w:r w:rsidR="0085799E">
        <w:t>he proposals are</w:t>
      </w:r>
      <w:r w:rsidR="00997A0C">
        <w:t xml:space="preserve"> </w:t>
      </w:r>
      <w:r w:rsidR="0085799E">
        <w:t>severable</w:t>
      </w:r>
      <w:r w:rsidR="00013427">
        <w:t xml:space="preserve"> and could take place independent of each other.</w:t>
      </w:r>
      <w:r w:rsidR="0085799E">
        <w:t xml:space="preserve"> </w:t>
      </w:r>
      <w:r w:rsidR="0013420E">
        <w:t>Having</w:t>
      </w:r>
      <w:r w:rsidR="0085799E">
        <w:t xml:space="preserve"> regard to the </w:t>
      </w:r>
      <w:r w:rsidR="0013420E">
        <w:t>conclusions reached above</w:t>
      </w:r>
      <w:r w:rsidR="0085799E">
        <w:t xml:space="preserve">, I intend to grant consent for the fencing works around the </w:t>
      </w:r>
      <w:r w:rsidR="00115A74">
        <w:t xml:space="preserve">disused </w:t>
      </w:r>
      <w:r w:rsidR="0013420E">
        <w:t xml:space="preserve">mine as shown on Plan 3, and refuse consent for the fencing works around the built mining structures, as shown on Plans 2 and 4. </w:t>
      </w:r>
    </w:p>
    <w:p w14:paraId="3DF8918B" w14:textId="77777777" w:rsidR="00986BAD" w:rsidRDefault="00986BAD" w:rsidP="00986BAD">
      <w:pPr>
        <w:pStyle w:val="Style1"/>
        <w:numPr>
          <w:ilvl w:val="0"/>
          <w:numId w:val="0"/>
        </w:numPr>
        <w:ind w:left="431"/>
      </w:pPr>
    </w:p>
    <w:p w14:paraId="74F79065" w14:textId="77777777" w:rsidR="0077307F" w:rsidRDefault="0016697D" w:rsidP="006B09D6">
      <w:pPr>
        <w:pStyle w:val="Style1"/>
        <w:numPr>
          <w:ilvl w:val="0"/>
          <w:numId w:val="0"/>
        </w:numPr>
        <w:ind w:left="431" w:hanging="431"/>
        <w:rPr>
          <w:rFonts w:ascii="Monotype Corsiva" w:hAnsi="Monotype Corsiva"/>
          <w:sz w:val="36"/>
          <w:szCs w:val="36"/>
        </w:rPr>
      </w:pPr>
      <w:r w:rsidRPr="00184847">
        <w:rPr>
          <w:rFonts w:ascii="Monotype Corsiva" w:hAnsi="Monotype Corsiva"/>
          <w:sz w:val="36"/>
          <w:szCs w:val="36"/>
        </w:rPr>
        <w:t>David Wyborn</w:t>
      </w:r>
      <w:r w:rsidR="0013420E">
        <w:rPr>
          <w:rFonts w:ascii="Monotype Corsiva" w:hAnsi="Monotype Corsiva"/>
          <w:sz w:val="36"/>
          <w:szCs w:val="36"/>
        </w:rPr>
        <w:t xml:space="preserve"> </w:t>
      </w:r>
      <w:r w:rsidR="006B09D6">
        <w:rPr>
          <w:rFonts w:ascii="Monotype Corsiva" w:hAnsi="Monotype Corsiva"/>
          <w:sz w:val="36"/>
          <w:szCs w:val="36"/>
        </w:rPr>
        <w:t xml:space="preserve">     </w:t>
      </w:r>
    </w:p>
    <w:p w14:paraId="19659ED7" w14:textId="22857573" w:rsidR="00092E41" w:rsidRDefault="0016697D" w:rsidP="006B09D6">
      <w:pPr>
        <w:pStyle w:val="Style1"/>
        <w:numPr>
          <w:ilvl w:val="0"/>
          <w:numId w:val="0"/>
        </w:numPr>
        <w:ind w:left="431" w:hanging="431"/>
      </w:pPr>
      <w:r>
        <w:t>INSPECTOR</w:t>
      </w:r>
    </w:p>
    <w:p w14:paraId="57039F8A" w14:textId="4DC581C1" w:rsidR="00846C28" w:rsidRDefault="00846C28" w:rsidP="006B09D6">
      <w:pPr>
        <w:pStyle w:val="Style1"/>
        <w:numPr>
          <w:ilvl w:val="0"/>
          <w:numId w:val="0"/>
        </w:numPr>
        <w:ind w:left="431" w:hanging="431"/>
      </w:pPr>
      <w:r>
        <w:rPr>
          <w:noProof/>
        </w:rPr>
        <w:lastRenderedPageBreak/>
        <w:drawing>
          <wp:inline distT="0" distB="0" distL="0" distR="0" wp14:anchorId="0DD27FB8" wp14:editId="219E05EC">
            <wp:extent cx="5439410" cy="7479030"/>
            <wp:effectExtent l="0" t="0" r="8890" b="7620"/>
            <wp:docPr id="5" name="Picture 5" descr="Plan referred to in Paragraph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lan referred to in Paragraph 4&#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9410" cy="7479030"/>
                    </a:xfrm>
                    <a:prstGeom prst="rect">
                      <a:avLst/>
                    </a:prstGeom>
                    <a:noFill/>
                    <a:ln>
                      <a:noFill/>
                    </a:ln>
                  </pic:spPr>
                </pic:pic>
              </a:graphicData>
            </a:graphic>
          </wp:inline>
        </w:drawing>
      </w:r>
    </w:p>
    <w:p w14:paraId="426C81A4" w14:textId="601A577C" w:rsidR="001359DE" w:rsidRPr="001359DE" w:rsidRDefault="001359DE" w:rsidP="001359DE">
      <w:pPr>
        <w:pStyle w:val="Style1"/>
        <w:numPr>
          <w:ilvl w:val="0"/>
          <w:numId w:val="0"/>
        </w:numPr>
        <w:ind w:left="431" w:hanging="431"/>
        <w:jc w:val="right"/>
        <w:rPr>
          <w:sz w:val="16"/>
          <w:szCs w:val="16"/>
        </w:rPr>
      </w:pPr>
      <w:r w:rsidRPr="001359DE">
        <w:rPr>
          <w:sz w:val="16"/>
          <w:szCs w:val="16"/>
        </w:rPr>
        <w:t xml:space="preserve">Copied so not to scale. </w:t>
      </w:r>
    </w:p>
    <w:sectPr w:rsidR="001359DE" w:rsidRPr="001359DE"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E08D" w14:textId="77777777" w:rsidR="00394E20" w:rsidRDefault="00394E20" w:rsidP="00F62916">
      <w:r>
        <w:separator/>
      </w:r>
    </w:p>
  </w:endnote>
  <w:endnote w:type="continuationSeparator" w:id="0">
    <w:p w14:paraId="0BF19C88" w14:textId="77777777" w:rsidR="00394E20" w:rsidRDefault="00394E20"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85D0"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A344F"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3A7E"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320A991" wp14:editId="7B17276E">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751B6"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C23D75B" w14:textId="77777777" w:rsidR="00366F95" w:rsidRPr="00E45340" w:rsidRDefault="008E335D"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051F" w14:textId="77777777" w:rsidR="00366F95" w:rsidRDefault="00366F95" w:rsidP="007E440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02C18F8" wp14:editId="42509182">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B120E"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DC84C81" w14:textId="77777777" w:rsidR="00366F95" w:rsidRPr="00451EE4" w:rsidRDefault="008E335D">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A656" w14:textId="77777777" w:rsidR="00394E20" w:rsidRDefault="00394E20" w:rsidP="00F62916">
      <w:r>
        <w:separator/>
      </w:r>
    </w:p>
  </w:footnote>
  <w:footnote w:type="continuationSeparator" w:id="0">
    <w:p w14:paraId="104C3BEC" w14:textId="77777777" w:rsidR="00394E20" w:rsidRDefault="00394E20"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14E9EBA7" w14:textId="77777777">
      <w:tc>
        <w:tcPr>
          <w:tcW w:w="9520" w:type="dxa"/>
        </w:tcPr>
        <w:p w14:paraId="2CF6D8DA" w14:textId="21855934" w:rsidR="00DB0319" w:rsidRDefault="00614B7D">
          <w:pPr>
            <w:pStyle w:val="Footer"/>
          </w:pPr>
          <w:r w:rsidRPr="00614B7D">
            <w:t>Application Ref: COM/3</w:t>
          </w:r>
          <w:r w:rsidR="00DB0319">
            <w:t>319558</w:t>
          </w:r>
        </w:p>
      </w:tc>
    </w:tr>
  </w:tbl>
  <w:p w14:paraId="6D0231F1"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28CA1260" wp14:editId="0FF31271">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6100E"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8BC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8CC1E82"/>
    <w:multiLevelType w:val="hybridMultilevel"/>
    <w:tmpl w:val="21FC1C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A0E2F7F"/>
    <w:multiLevelType w:val="hybridMultilevel"/>
    <w:tmpl w:val="6C1E17D8"/>
    <w:lvl w:ilvl="0" w:tplc="11900E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6"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15:restartNumberingAfterBreak="0">
    <w:nsid w:val="284238AD"/>
    <w:multiLevelType w:val="multilevel"/>
    <w:tmpl w:val="A22611FC"/>
    <w:numStyleLink w:val="ConditionsList"/>
  </w:abstractNum>
  <w:abstractNum w:abstractNumId="8"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9" w15:restartNumberingAfterBreak="0">
    <w:nsid w:val="297D571E"/>
    <w:multiLevelType w:val="multilevel"/>
    <w:tmpl w:val="A22611FC"/>
    <w:numStyleLink w:val="ConditionsList"/>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54797208">
    <w:abstractNumId w:val="19"/>
  </w:num>
  <w:num w:numId="2" w16cid:durableId="1975899">
    <w:abstractNumId w:val="19"/>
  </w:num>
  <w:num w:numId="3" w16cid:durableId="1854611947">
    <w:abstractNumId w:val="21"/>
  </w:num>
  <w:num w:numId="4" w16cid:durableId="1821000099">
    <w:abstractNumId w:val="0"/>
  </w:num>
  <w:num w:numId="5" w16cid:durableId="522669358">
    <w:abstractNumId w:val="10"/>
  </w:num>
  <w:num w:numId="6" w16cid:durableId="995767089">
    <w:abstractNumId w:val="18"/>
  </w:num>
  <w:num w:numId="7" w16cid:durableId="107899136">
    <w:abstractNumId w:val="22"/>
  </w:num>
  <w:num w:numId="8" w16cid:durableId="1997604701">
    <w:abstractNumId w:val="17"/>
  </w:num>
  <w:num w:numId="9" w16cid:durableId="1085613449">
    <w:abstractNumId w:val="5"/>
  </w:num>
  <w:num w:numId="10" w16cid:durableId="699479764">
    <w:abstractNumId w:val="6"/>
  </w:num>
  <w:num w:numId="11" w16cid:durableId="1201362233">
    <w:abstractNumId w:val="13"/>
  </w:num>
  <w:num w:numId="12" w16cid:durableId="1762144759">
    <w:abstractNumId w:val="14"/>
  </w:num>
  <w:num w:numId="13" w16cid:durableId="196311897">
    <w:abstractNumId w:val="9"/>
  </w:num>
  <w:num w:numId="14" w16cid:durableId="896941031">
    <w:abstractNumId w:val="12"/>
  </w:num>
  <w:num w:numId="15" w16cid:durableId="902520714">
    <w:abstractNumId w:val="15"/>
  </w:num>
  <w:num w:numId="16" w16cid:durableId="332994829">
    <w:abstractNumId w:val="1"/>
  </w:num>
  <w:num w:numId="17" w16cid:durableId="575634184">
    <w:abstractNumId w:val="16"/>
  </w:num>
  <w:num w:numId="18" w16cid:durableId="1018459017">
    <w:abstractNumId w:val="7"/>
  </w:num>
  <w:num w:numId="19" w16cid:durableId="357509843">
    <w:abstractNumId w:val="3"/>
  </w:num>
  <w:num w:numId="20" w16cid:durableId="1321695221">
    <w:abstractNumId w:val="8"/>
  </w:num>
  <w:num w:numId="21" w16cid:durableId="1601646959">
    <w:abstractNumId w:val="11"/>
  </w:num>
  <w:num w:numId="22" w16cid:durableId="1951739165">
    <w:abstractNumId w:val="11"/>
  </w:num>
  <w:num w:numId="23" w16cid:durableId="910386405">
    <w:abstractNumId w:val="20"/>
  </w:num>
  <w:num w:numId="24" w16cid:durableId="437330242">
    <w:abstractNumId w:val="2"/>
  </w:num>
  <w:num w:numId="25" w16cid:durableId="48470768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E4403"/>
    <w:rsid w:val="00001189"/>
    <w:rsid w:val="00001D34"/>
    <w:rsid w:val="0000335F"/>
    <w:rsid w:val="00006B9C"/>
    <w:rsid w:val="00007E07"/>
    <w:rsid w:val="00007EC7"/>
    <w:rsid w:val="000101B0"/>
    <w:rsid w:val="000121DC"/>
    <w:rsid w:val="000130A4"/>
    <w:rsid w:val="00013427"/>
    <w:rsid w:val="00013F22"/>
    <w:rsid w:val="00015982"/>
    <w:rsid w:val="000169DA"/>
    <w:rsid w:val="00016AD9"/>
    <w:rsid w:val="00017339"/>
    <w:rsid w:val="000174B3"/>
    <w:rsid w:val="0002116A"/>
    <w:rsid w:val="0002129B"/>
    <w:rsid w:val="0002224C"/>
    <w:rsid w:val="0002344A"/>
    <w:rsid w:val="00023885"/>
    <w:rsid w:val="00024500"/>
    <w:rsid w:val="000247B2"/>
    <w:rsid w:val="00026F81"/>
    <w:rsid w:val="00027140"/>
    <w:rsid w:val="0003072D"/>
    <w:rsid w:val="00030ABD"/>
    <w:rsid w:val="000350FD"/>
    <w:rsid w:val="000360F2"/>
    <w:rsid w:val="0004111E"/>
    <w:rsid w:val="0004298D"/>
    <w:rsid w:val="00043361"/>
    <w:rsid w:val="000448D8"/>
    <w:rsid w:val="00046145"/>
    <w:rsid w:val="0004625F"/>
    <w:rsid w:val="0004786F"/>
    <w:rsid w:val="00047FDD"/>
    <w:rsid w:val="00050224"/>
    <w:rsid w:val="00051B06"/>
    <w:rsid w:val="00053048"/>
    <w:rsid w:val="00053135"/>
    <w:rsid w:val="0005397C"/>
    <w:rsid w:val="000541EF"/>
    <w:rsid w:val="00054D67"/>
    <w:rsid w:val="00060544"/>
    <w:rsid w:val="000608F6"/>
    <w:rsid w:val="00061A82"/>
    <w:rsid w:val="000630B5"/>
    <w:rsid w:val="000646FF"/>
    <w:rsid w:val="00065983"/>
    <w:rsid w:val="00066BFE"/>
    <w:rsid w:val="00067DB1"/>
    <w:rsid w:val="00070622"/>
    <w:rsid w:val="000714F5"/>
    <w:rsid w:val="00071EB5"/>
    <w:rsid w:val="0007354C"/>
    <w:rsid w:val="00076BFC"/>
    <w:rsid w:val="00077358"/>
    <w:rsid w:val="00080237"/>
    <w:rsid w:val="00087477"/>
    <w:rsid w:val="00087DEC"/>
    <w:rsid w:val="0009090D"/>
    <w:rsid w:val="00090DEE"/>
    <w:rsid w:val="00092E41"/>
    <w:rsid w:val="00094A44"/>
    <w:rsid w:val="00094B10"/>
    <w:rsid w:val="00095F1F"/>
    <w:rsid w:val="000A0AE7"/>
    <w:rsid w:val="000A1097"/>
    <w:rsid w:val="000A2E61"/>
    <w:rsid w:val="000A41B4"/>
    <w:rsid w:val="000A440E"/>
    <w:rsid w:val="000A495A"/>
    <w:rsid w:val="000A4AEB"/>
    <w:rsid w:val="000A4F4A"/>
    <w:rsid w:val="000A4FAA"/>
    <w:rsid w:val="000A64AE"/>
    <w:rsid w:val="000A6710"/>
    <w:rsid w:val="000A77A7"/>
    <w:rsid w:val="000B02BC"/>
    <w:rsid w:val="000B0589"/>
    <w:rsid w:val="000B073A"/>
    <w:rsid w:val="000B0C0A"/>
    <w:rsid w:val="000B34BB"/>
    <w:rsid w:val="000B55F1"/>
    <w:rsid w:val="000B591D"/>
    <w:rsid w:val="000B79A5"/>
    <w:rsid w:val="000C09BF"/>
    <w:rsid w:val="000C1174"/>
    <w:rsid w:val="000C2381"/>
    <w:rsid w:val="000C2A97"/>
    <w:rsid w:val="000C3F13"/>
    <w:rsid w:val="000C4B70"/>
    <w:rsid w:val="000C5098"/>
    <w:rsid w:val="000C698E"/>
    <w:rsid w:val="000D0673"/>
    <w:rsid w:val="000D1DD3"/>
    <w:rsid w:val="000D24E5"/>
    <w:rsid w:val="000D714E"/>
    <w:rsid w:val="000E0992"/>
    <w:rsid w:val="000E0EF7"/>
    <w:rsid w:val="000E2507"/>
    <w:rsid w:val="000E5116"/>
    <w:rsid w:val="000E57C1"/>
    <w:rsid w:val="000F1638"/>
    <w:rsid w:val="000F16F4"/>
    <w:rsid w:val="000F30C6"/>
    <w:rsid w:val="000F3B07"/>
    <w:rsid w:val="000F6EC2"/>
    <w:rsid w:val="001000CB"/>
    <w:rsid w:val="0010064F"/>
    <w:rsid w:val="00100D11"/>
    <w:rsid w:val="00103665"/>
    <w:rsid w:val="00104D93"/>
    <w:rsid w:val="00106F8B"/>
    <w:rsid w:val="001076C8"/>
    <w:rsid w:val="00111397"/>
    <w:rsid w:val="00115A74"/>
    <w:rsid w:val="00117BA4"/>
    <w:rsid w:val="001234F0"/>
    <w:rsid w:val="00124292"/>
    <w:rsid w:val="00124645"/>
    <w:rsid w:val="00125DC6"/>
    <w:rsid w:val="0012634F"/>
    <w:rsid w:val="00126CFD"/>
    <w:rsid w:val="001270E8"/>
    <w:rsid w:val="00127204"/>
    <w:rsid w:val="00130108"/>
    <w:rsid w:val="00133E0D"/>
    <w:rsid w:val="0013420E"/>
    <w:rsid w:val="001350D2"/>
    <w:rsid w:val="001359DE"/>
    <w:rsid w:val="0014346A"/>
    <w:rsid w:val="001440C3"/>
    <w:rsid w:val="00144A82"/>
    <w:rsid w:val="00144EA1"/>
    <w:rsid w:val="00146A55"/>
    <w:rsid w:val="00150462"/>
    <w:rsid w:val="00150FED"/>
    <w:rsid w:val="00152C92"/>
    <w:rsid w:val="0015397D"/>
    <w:rsid w:val="00161B5C"/>
    <w:rsid w:val="0016263E"/>
    <w:rsid w:val="0016697D"/>
    <w:rsid w:val="001715A3"/>
    <w:rsid w:val="001736A2"/>
    <w:rsid w:val="00176C46"/>
    <w:rsid w:val="001837ED"/>
    <w:rsid w:val="001857BF"/>
    <w:rsid w:val="00186C69"/>
    <w:rsid w:val="00192254"/>
    <w:rsid w:val="001940E4"/>
    <w:rsid w:val="00197B5B"/>
    <w:rsid w:val="001A1E24"/>
    <w:rsid w:val="001A2C11"/>
    <w:rsid w:val="001B1415"/>
    <w:rsid w:val="001B212F"/>
    <w:rsid w:val="001B37BF"/>
    <w:rsid w:val="001B5C96"/>
    <w:rsid w:val="001C3E59"/>
    <w:rsid w:val="001C420B"/>
    <w:rsid w:val="001C5208"/>
    <w:rsid w:val="001C58ED"/>
    <w:rsid w:val="001C623E"/>
    <w:rsid w:val="001C74F6"/>
    <w:rsid w:val="001D094A"/>
    <w:rsid w:val="001D3EE3"/>
    <w:rsid w:val="001D40D4"/>
    <w:rsid w:val="001D748C"/>
    <w:rsid w:val="001E4BB2"/>
    <w:rsid w:val="001E6536"/>
    <w:rsid w:val="001E6AB1"/>
    <w:rsid w:val="001E78DB"/>
    <w:rsid w:val="001E7C3B"/>
    <w:rsid w:val="001F0D7F"/>
    <w:rsid w:val="001F285E"/>
    <w:rsid w:val="001F2C9B"/>
    <w:rsid w:val="001F4A54"/>
    <w:rsid w:val="001F5990"/>
    <w:rsid w:val="001F7D18"/>
    <w:rsid w:val="00200F43"/>
    <w:rsid w:val="00201025"/>
    <w:rsid w:val="00205ECB"/>
    <w:rsid w:val="002067ED"/>
    <w:rsid w:val="002075A6"/>
    <w:rsid w:val="00207816"/>
    <w:rsid w:val="00207B3D"/>
    <w:rsid w:val="002122DE"/>
    <w:rsid w:val="00212C8F"/>
    <w:rsid w:val="002132DB"/>
    <w:rsid w:val="00214172"/>
    <w:rsid w:val="0021448F"/>
    <w:rsid w:val="00214697"/>
    <w:rsid w:val="0021727C"/>
    <w:rsid w:val="00220363"/>
    <w:rsid w:val="002247E4"/>
    <w:rsid w:val="00233E31"/>
    <w:rsid w:val="00233FED"/>
    <w:rsid w:val="00237679"/>
    <w:rsid w:val="00242A5E"/>
    <w:rsid w:val="00242B11"/>
    <w:rsid w:val="00242D81"/>
    <w:rsid w:val="00243137"/>
    <w:rsid w:val="00251CCE"/>
    <w:rsid w:val="00253CBF"/>
    <w:rsid w:val="002548C1"/>
    <w:rsid w:val="00260866"/>
    <w:rsid w:val="002610E2"/>
    <w:rsid w:val="0026418F"/>
    <w:rsid w:val="002666BE"/>
    <w:rsid w:val="00275681"/>
    <w:rsid w:val="00281435"/>
    <w:rsid w:val="002819AB"/>
    <w:rsid w:val="002823EC"/>
    <w:rsid w:val="002863FA"/>
    <w:rsid w:val="0028695B"/>
    <w:rsid w:val="002879D4"/>
    <w:rsid w:val="00287B79"/>
    <w:rsid w:val="002902D9"/>
    <w:rsid w:val="002922A9"/>
    <w:rsid w:val="002944A3"/>
    <w:rsid w:val="002944C3"/>
    <w:rsid w:val="002949B7"/>
    <w:rsid w:val="0029563B"/>
    <w:rsid w:val="002958D9"/>
    <w:rsid w:val="00295D5A"/>
    <w:rsid w:val="002972CC"/>
    <w:rsid w:val="002A3C2D"/>
    <w:rsid w:val="002A6FE6"/>
    <w:rsid w:val="002A77C6"/>
    <w:rsid w:val="002B2127"/>
    <w:rsid w:val="002B575D"/>
    <w:rsid w:val="002B5A3A"/>
    <w:rsid w:val="002B7719"/>
    <w:rsid w:val="002C068A"/>
    <w:rsid w:val="002C16C3"/>
    <w:rsid w:val="002C1BE9"/>
    <w:rsid w:val="002C2524"/>
    <w:rsid w:val="002C3747"/>
    <w:rsid w:val="002C37A6"/>
    <w:rsid w:val="002C42DC"/>
    <w:rsid w:val="002C4B0E"/>
    <w:rsid w:val="002D0ACD"/>
    <w:rsid w:val="002D0DFA"/>
    <w:rsid w:val="002D260E"/>
    <w:rsid w:val="002D3CDD"/>
    <w:rsid w:val="002D3FE3"/>
    <w:rsid w:val="002D517F"/>
    <w:rsid w:val="002D5A7C"/>
    <w:rsid w:val="002D77B3"/>
    <w:rsid w:val="002D7D5F"/>
    <w:rsid w:val="002E05C9"/>
    <w:rsid w:val="002E1FF2"/>
    <w:rsid w:val="002E27DD"/>
    <w:rsid w:val="002E2BBA"/>
    <w:rsid w:val="002E3304"/>
    <w:rsid w:val="002E375B"/>
    <w:rsid w:val="002E49FB"/>
    <w:rsid w:val="002E6034"/>
    <w:rsid w:val="002E6CA6"/>
    <w:rsid w:val="002F20BD"/>
    <w:rsid w:val="002F69C2"/>
    <w:rsid w:val="002F6CFC"/>
    <w:rsid w:val="003021C4"/>
    <w:rsid w:val="00303CA5"/>
    <w:rsid w:val="0030500E"/>
    <w:rsid w:val="00305153"/>
    <w:rsid w:val="00305256"/>
    <w:rsid w:val="00310D6D"/>
    <w:rsid w:val="0031249F"/>
    <w:rsid w:val="0031615B"/>
    <w:rsid w:val="003165FD"/>
    <w:rsid w:val="003206FD"/>
    <w:rsid w:val="003209A7"/>
    <w:rsid w:val="00323D5F"/>
    <w:rsid w:val="00323F97"/>
    <w:rsid w:val="00324874"/>
    <w:rsid w:val="00325399"/>
    <w:rsid w:val="003325BA"/>
    <w:rsid w:val="0033306C"/>
    <w:rsid w:val="00333368"/>
    <w:rsid w:val="0033482E"/>
    <w:rsid w:val="003377B7"/>
    <w:rsid w:val="00340A6F"/>
    <w:rsid w:val="003420A5"/>
    <w:rsid w:val="00342A21"/>
    <w:rsid w:val="00343A1F"/>
    <w:rsid w:val="00343E09"/>
    <w:rsid w:val="00344294"/>
    <w:rsid w:val="00344CD1"/>
    <w:rsid w:val="00345A33"/>
    <w:rsid w:val="003524E2"/>
    <w:rsid w:val="00352549"/>
    <w:rsid w:val="00352C53"/>
    <w:rsid w:val="00352DE4"/>
    <w:rsid w:val="00355FCC"/>
    <w:rsid w:val="00356157"/>
    <w:rsid w:val="00360664"/>
    <w:rsid w:val="00361890"/>
    <w:rsid w:val="00363D03"/>
    <w:rsid w:val="00364E17"/>
    <w:rsid w:val="003655B0"/>
    <w:rsid w:val="00365B13"/>
    <w:rsid w:val="00365D74"/>
    <w:rsid w:val="00366417"/>
    <w:rsid w:val="00366F95"/>
    <w:rsid w:val="003671FA"/>
    <w:rsid w:val="00367856"/>
    <w:rsid w:val="00367A21"/>
    <w:rsid w:val="00373D8D"/>
    <w:rsid w:val="0037470B"/>
    <w:rsid w:val="003753FE"/>
    <w:rsid w:val="00377DA1"/>
    <w:rsid w:val="0038095C"/>
    <w:rsid w:val="00380C94"/>
    <w:rsid w:val="00380D1A"/>
    <w:rsid w:val="00380F2A"/>
    <w:rsid w:val="003818AF"/>
    <w:rsid w:val="00382754"/>
    <w:rsid w:val="00383FEA"/>
    <w:rsid w:val="00391385"/>
    <w:rsid w:val="0039149A"/>
    <w:rsid w:val="00392260"/>
    <w:rsid w:val="00393792"/>
    <w:rsid w:val="00393CB0"/>
    <w:rsid w:val="003941CF"/>
    <w:rsid w:val="00394E20"/>
    <w:rsid w:val="0039688D"/>
    <w:rsid w:val="00396B75"/>
    <w:rsid w:val="003A091C"/>
    <w:rsid w:val="003A2030"/>
    <w:rsid w:val="003A20BA"/>
    <w:rsid w:val="003A7F41"/>
    <w:rsid w:val="003B2FE6"/>
    <w:rsid w:val="003B4F4A"/>
    <w:rsid w:val="003B7EC2"/>
    <w:rsid w:val="003C2018"/>
    <w:rsid w:val="003C2671"/>
    <w:rsid w:val="003C2972"/>
    <w:rsid w:val="003C79C5"/>
    <w:rsid w:val="003D0A7C"/>
    <w:rsid w:val="003D1D4A"/>
    <w:rsid w:val="003D3715"/>
    <w:rsid w:val="003D4DCD"/>
    <w:rsid w:val="003D6210"/>
    <w:rsid w:val="003D7C57"/>
    <w:rsid w:val="003E1A5C"/>
    <w:rsid w:val="003E3766"/>
    <w:rsid w:val="003E3E3D"/>
    <w:rsid w:val="003E408A"/>
    <w:rsid w:val="003E46B4"/>
    <w:rsid w:val="003E54CC"/>
    <w:rsid w:val="003F3233"/>
    <w:rsid w:val="003F34D4"/>
    <w:rsid w:val="003F3533"/>
    <w:rsid w:val="003F59E0"/>
    <w:rsid w:val="003F6844"/>
    <w:rsid w:val="003F76A4"/>
    <w:rsid w:val="003F7DFB"/>
    <w:rsid w:val="003F7EEC"/>
    <w:rsid w:val="004029F2"/>
    <w:rsid w:val="004029F3"/>
    <w:rsid w:val="00404842"/>
    <w:rsid w:val="004077F4"/>
    <w:rsid w:val="00407E00"/>
    <w:rsid w:val="004140B1"/>
    <w:rsid w:val="00415436"/>
    <w:rsid w:val="004156F0"/>
    <w:rsid w:val="0041680C"/>
    <w:rsid w:val="00424731"/>
    <w:rsid w:val="004253D5"/>
    <w:rsid w:val="0042714D"/>
    <w:rsid w:val="004310B8"/>
    <w:rsid w:val="004341B1"/>
    <w:rsid w:val="00434739"/>
    <w:rsid w:val="00434743"/>
    <w:rsid w:val="00435B0D"/>
    <w:rsid w:val="00437A15"/>
    <w:rsid w:val="00440991"/>
    <w:rsid w:val="0044170B"/>
    <w:rsid w:val="00441DF9"/>
    <w:rsid w:val="00442A15"/>
    <w:rsid w:val="00442A8C"/>
    <w:rsid w:val="00442C9D"/>
    <w:rsid w:val="004474DE"/>
    <w:rsid w:val="00450D5E"/>
    <w:rsid w:val="00450EBC"/>
    <w:rsid w:val="00451330"/>
    <w:rsid w:val="00451EE4"/>
    <w:rsid w:val="004522C1"/>
    <w:rsid w:val="00453E15"/>
    <w:rsid w:val="00454A89"/>
    <w:rsid w:val="004551F3"/>
    <w:rsid w:val="004572A7"/>
    <w:rsid w:val="00457474"/>
    <w:rsid w:val="00457CA8"/>
    <w:rsid w:val="004607AE"/>
    <w:rsid w:val="00460D44"/>
    <w:rsid w:val="00461D30"/>
    <w:rsid w:val="004634B9"/>
    <w:rsid w:val="00464044"/>
    <w:rsid w:val="00467B6A"/>
    <w:rsid w:val="00470A6F"/>
    <w:rsid w:val="004738DB"/>
    <w:rsid w:val="00473D6B"/>
    <w:rsid w:val="00475434"/>
    <w:rsid w:val="00476A80"/>
    <w:rsid w:val="0047718B"/>
    <w:rsid w:val="0048041A"/>
    <w:rsid w:val="00480BD0"/>
    <w:rsid w:val="00482F2B"/>
    <w:rsid w:val="00483860"/>
    <w:rsid w:val="00483D15"/>
    <w:rsid w:val="004840C0"/>
    <w:rsid w:val="004870E8"/>
    <w:rsid w:val="004879A3"/>
    <w:rsid w:val="00494F80"/>
    <w:rsid w:val="004972A3"/>
    <w:rsid w:val="004976CF"/>
    <w:rsid w:val="00497AA0"/>
    <w:rsid w:val="004A03AA"/>
    <w:rsid w:val="004A0DAB"/>
    <w:rsid w:val="004A2EB8"/>
    <w:rsid w:val="004A34DD"/>
    <w:rsid w:val="004A368E"/>
    <w:rsid w:val="004A4652"/>
    <w:rsid w:val="004A6CD0"/>
    <w:rsid w:val="004A76AE"/>
    <w:rsid w:val="004B131D"/>
    <w:rsid w:val="004B2286"/>
    <w:rsid w:val="004B5596"/>
    <w:rsid w:val="004B75AB"/>
    <w:rsid w:val="004C07CB"/>
    <w:rsid w:val="004C2A08"/>
    <w:rsid w:val="004C5B0F"/>
    <w:rsid w:val="004C65B1"/>
    <w:rsid w:val="004C7D69"/>
    <w:rsid w:val="004D24A8"/>
    <w:rsid w:val="004D26FA"/>
    <w:rsid w:val="004D39AA"/>
    <w:rsid w:val="004D5482"/>
    <w:rsid w:val="004D6C89"/>
    <w:rsid w:val="004E04E0"/>
    <w:rsid w:val="004E17CB"/>
    <w:rsid w:val="004E3C0F"/>
    <w:rsid w:val="004E47E8"/>
    <w:rsid w:val="004E6091"/>
    <w:rsid w:val="004E7582"/>
    <w:rsid w:val="004F0626"/>
    <w:rsid w:val="004F0DDE"/>
    <w:rsid w:val="004F274A"/>
    <w:rsid w:val="004F6B81"/>
    <w:rsid w:val="004F7D1A"/>
    <w:rsid w:val="00502D98"/>
    <w:rsid w:val="00506851"/>
    <w:rsid w:val="005109DD"/>
    <w:rsid w:val="005110E8"/>
    <w:rsid w:val="005114CB"/>
    <w:rsid w:val="00511FF6"/>
    <w:rsid w:val="00512B13"/>
    <w:rsid w:val="00513676"/>
    <w:rsid w:val="0051396D"/>
    <w:rsid w:val="00513C2F"/>
    <w:rsid w:val="005140E5"/>
    <w:rsid w:val="005143A7"/>
    <w:rsid w:val="00515CB2"/>
    <w:rsid w:val="00516BAA"/>
    <w:rsid w:val="00521DF3"/>
    <w:rsid w:val="0052347F"/>
    <w:rsid w:val="00523706"/>
    <w:rsid w:val="00525851"/>
    <w:rsid w:val="00531DD7"/>
    <w:rsid w:val="005337E8"/>
    <w:rsid w:val="0053421A"/>
    <w:rsid w:val="00536241"/>
    <w:rsid w:val="0053731C"/>
    <w:rsid w:val="00537B61"/>
    <w:rsid w:val="00540A96"/>
    <w:rsid w:val="00540F89"/>
    <w:rsid w:val="00541734"/>
    <w:rsid w:val="00542B4C"/>
    <w:rsid w:val="005527EA"/>
    <w:rsid w:val="00553478"/>
    <w:rsid w:val="00553992"/>
    <w:rsid w:val="00554B53"/>
    <w:rsid w:val="00556567"/>
    <w:rsid w:val="00556F9B"/>
    <w:rsid w:val="00557588"/>
    <w:rsid w:val="00560007"/>
    <w:rsid w:val="00561E69"/>
    <w:rsid w:val="0056208E"/>
    <w:rsid w:val="00564410"/>
    <w:rsid w:val="0056619B"/>
    <w:rsid w:val="0056634F"/>
    <w:rsid w:val="005664E7"/>
    <w:rsid w:val="00567E83"/>
    <w:rsid w:val="0057098A"/>
    <w:rsid w:val="005718AF"/>
    <w:rsid w:val="00571FD4"/>
    <w:rsid w:val="00572879"/>
    <w:rsid w:val="0057471E"/>
    <w:rsid w:val="00575EF5"/>
    <w:rsid w:val="00576C49"/>
    <w:rsid w:val="0057782A"/>
    <w:rsid w:val="005811C7"/>
    <w:rsid w:val="005831CC"/>
    <w:rsid w:val="005843A4"/>
    <w:rsid w:val="005847F0"/>
    <w:rsid w:val="0058516F"/>
    <w:rsid w:val="00591235"/>
    <w:rsid w:val="00592238"/>
    <w:rsid w:val="00594DAB"/>
    <w:rsid w:val="00594E47"/>
    <w:rsid w:val="00595629"/>
    <w:rsid w:val="00596CDE"/>
    <w:rsid w:val="005970B0"/>
    <w:rsid w:val="005A0799"/>
    <w:rsid w:val="005A0A6C"/>
    <w:rsid w:val="005A15A1"/>
    <w:rsid w:val="005A2C29"/>
    <w:rsid w:val="005A3A64"/>
    <w:rsid w:val="005A47C6"/>
    <w:rsid w:val="005A5448"/>
    <w:rsid w:val="005A57BD"/>
    <w:rsid w:val="005A5CDE"/>
    <w:rsid w:val="005A6DEC"/>
    <w:rsid w:val="005A717C"/>
    <w:rsid w:val="005A7ECC"/>
    <w:rsid w:val="005B0B71"/>
    <w:rsid w:val="005B0C60"/>
    <w:rsid w:val="005B14F3"/>
    <w:rsid w:val="005B5F0F"/>
    <w:rsid w:val="005B6BD5"/>
    <w:rsid w:val="005C0F84"/>
    <w:rsid w:val="005C3FF8"/>
    <w:rsid w:val="005C5B20"/>
    <w:rsid w:val="005C5EC9"/>
    <w:rsid w:val="005D15D8"/>
    <w:rsid w:val="005D3E53"/>
    <w:rsid w:val="005D41CD"/>
    <w:rsid w:val="005D43E7"/>
    <w:rsid w:val="005D4ACD"/>
    <w:rsid w:val="005D60EC"/>
    <w:rsid w:val="005D6BDC"/>
    <w:rsid w:val="005D739E"/>
    <w:rsid w:val="005E113C"/>
    <w:rsid w:val="005E34E1"/>
    <w:rsid w:val="005E34FF"/>
    <w:rsid w:val="005E3542"/>
    <w:rsid w:val="005E52F9"/>
    <w:rsid w:val="005E6852"/>
    <w:rsid w:val="005E7F33"/>
    <w:rsid w:val="005F001B"/>
    <w:rsid w:val="005F0C01"/>
    <w:rsid w:val="005F1261"/>
    <w:rsid w:val="005F7D26"/>
    <w:rsid w:val="006005A1"/>
    <w:rsid w:val="006013E9"/>
    <w:rsid w:val="006022A3"/>
    <w:rsid w:val="00602315"/>
    <w:rsid w:val="006028C2"/>
    <w:rsid w:val="00604B68"/>
    <w:rsid w:val="00604FDB"/>
    <w:rsid w:val="006052EF"/>
    <w:rsid w:val="0060565A"/>
    <w:rsid w:val="006079E1"/>
    <w:rsid w:val="00610364"/>
    <w:rsid w:val="006109D7"/>
    <w:rsid w:val="006127F0"/>
    <w:rsid w:val="00614B7D"/>
    <w:rsid w:val="00614E46"/>
    <w:rsid w:val="00615462"/>
    <w:rsid w:val="00615901"/>
    <w:rsid w:val="006203C2"/>
    <w:rsid w:val="00623A44"/>
    <w:rsid w:val="00624069"/>
    <w:rsid w:val="00624211"/>
    <w:rsid w:val="00626452"/>
    <w:rsid w:val="00627D8A"/>
    <w:rsid w:val="00630AE0"/>
    <w:rsid w:val="006319E6"/>
    <w:rsid w:val="0063373D"/>
    <w:rsid w:val="006343F6"/>
    <w:rsid w:val="00634BBE"/>
    <w:rsid w:val="00635855"/>
    <w:rsid w:val="0063729D"/>
    <w:rsid w:val="006415DF"/>
    <w:rsid w:val="006434A2"/>
    <w:rsid w:val="006437AB"/>
    <w:rsid w:val="006446FB"/>
    <w:rsid w:val="00646112"/>
    <w:rsid w:val="00647D36"/>
    <w:rsid w:val="00650C1C"/>
    <w:rsid w:val="006526DB"/>
    <w:rsid w:val="006537D6"/>
    <w:rsid w:val="0065719B"/>
    <w:rsid w:val="006623D1"/>
    <w:rsid w:val="00662D0A"/>
    <w:rsid w:val="0066322F"/>
    <w:rsid w:val="00663B11"/>
    <w:rsid w:val="00663B71"/>
    <w:rsid w:val="00671AE3"/>
    <w:rsid w:val="00672B12"/>
    <w:rsid w:val="0067368A"/>
    <w:rsid w:val="00674625"/>
    <w:rsid w:val="00675EDD"/>
    <w:rsid w:val="00681108"/>
    <w:rsid w:val="0068231B"/>
    <w:rsid w:val="00682EFF"/>
    <w:rsid w:val="00683417"/>
    <w:rsid w:val="00683C3F"/>
    <w:rsid w:val="00685A46"/>
    <w:rsid w:val="0068771B"/>
    <w:rsid w:val="0069366B"/>
    <w:rsid w:val="00695168"/>
    <w:rsid w:val="0069559D"/>
    <w:rsid w:val="00696368"/>
    <w:rsid w:val="00696D1C"/>
    <w:rsid w:val="006A08C4"/>
    <w:rsid w:val="006A1B0C"/>
    <w:rsid w:val="006A37D7"/>
    <w:rsid w:val="006A4CCB"/>
    <w:rsid w:val="006A54C3"/>
    <w:rsid w:val="006A5BB3"/>
    <w:rsid w:val="006A61AB"/>
    <w:rsid w:val="006A7B8B"/>
    <w:rsid w:val="006B0146"/>
    <w:rsid w:val="006B09D6"/>
    <w:rsid w:val="006B3DCC"/>
    <w:rsid w:val="006B4FDD"/>
    <w:rsid w:val="006B6369"/>
    <w:rsid w:val="006B6F85"/>
    <w:rsid w:val="006C0FD4"/>
    <w:rsid w:val="006C3941"/>
    <w:rsid w:val="006C45B6"/>
    <w:rsid w:val="006C4A00"/>
    <w:rsid w:val="006C4C25"/>
    <w:rsid w:val="006C5CFB"/>
    <w:rsid w:val="006C66D5"/>
    <w:rsid w:val="006C6D1A"/>
    <w:rsid w:val="006D2842"/>
    <w:rsid w:val="006D2CF9"/>
    <w:rsid w:val="006D5133"/>
    <w:rsid w:val="006D616C"/>
    <w:rsid w:val="006D70CF"/>
    <w:rsid w:val="006E08F9"/>
    <w:rsid w:val="006E10D4"/>
    <w:rsid w:val="006E5651"/>
    <w:rsid w:val="006E5C3B"/>
    <w:rsid w:val="006F16D9"/>
    <w:rsid w:val="006F24FC"/>
    <w:rsid w:val="006F5188"/>
    <w:rsid w:val="006F6496"/>
    <w:rsid w:val="006F6563"/>
    <w:rsid w:val="006F7D58"/>
    <w:rsid w:val="00700B15"/>
    <w:rsid w:val="00704126"/>
    <w:rsid w:val="0070512B"/>
    <w:rsid w:val="00711418"/>
    <w:rsid w:val="007120ED"/>
    <w:rsid w:val="00715014"/>
    <w:rsid w:val="007151AA"/>
    <w:rsid w:val="00715861"/>
    <w:rsid w:val="0071604A"/>
    <w:rsid w:val="00716465"/>
    <w:rsid w:val="007179B1"/>
    <w:rsid w:val="007229A4"/>
    <w:rsid w:val="00722CFE"/>
    <w:rsid w:val="007239C0"/>
    <w:rsid w:val="00730148"/>
    <w:rsid w:val="0073035E"/>
    <w:rsid w:val="007304D4"/>
    <w:rsid w:val="00731E4F"/>
    <w:rsid w:val="007328FE"/>
    <w:rsid w:val="00734021"/>
    <w:rsid w:val="007344DB"/>
    <w:rsid w:val="00740CEB"/>
    <w:rsid w:val="0074281F"/>
    <w:rsid w:val="00745C99"/>
    <w:rsid w:val="00751619"/>
    <w:rsid w:val="007516B6"/>
    <w:rsid w:val="00753F47"/>
    <w:rsid w:val="00754015"/>
    <w:rsid w:val="00754847"/>
    <w:rsid w:val="00754C73"/>
    <w:rsid w:val="00763A14"/>
    <w:rsid w:val="00764763"/>
    <w:rsid w:val="00764B0E"/>
    <w:rsid w:val="00765984"/>
    <w:rsid w:val="00766D0B"/>
    <w:rsid w:val="00770955"/>
    <w:rsid w:val="0077307F"/>
    <w:rsid w:val="00781282"/>
    <w:rsid w:val="0078154C"/>
    <w:rsid w:val="00784816"/>
    <w:rsid w:val="00785862"/>
    <w:rsid w:val="007876FD"/>
    <w:rsid w:val="0078773E"/>
    <w:rsid w:val="00790627"/>
    <w:rsid w:val="00790A29"/>
    <w:rsid w:val="00791B71"/>
    <w:rsid w:val="00791B7F"/>
    <w:rsid w:val="007925AF"/>
    <w:rsid w:val="00793A56"/>
    <w:rsid w:val="00794C5C"/>
    <w:rsid w:val="00796873"/>
    <w:rsid w:val="0079691E"/>
    <w:rsid w:val="00797182"/>
    <w:rsid w:val="00797318"/>
    <w:rsid w:val="007A0537"/>
    <w:rsid w:val="007A06BE"/>
    <w:rsid w:val="007A436F"/>
    <w:rsid w:val="007A4CB4"/>
    <w:rsid w:val="007A75D2"/>
    <w:rsid w:val="007B4C9B"/>
    <w:rsid w:val="007B5E67"/>
    <w:rsid w:val="007C1203"/>
    <w:rsid w:val="007C1B46"/>
    <w:rsid w:val="007C1DBC"/>
    <w:rsid w:val="007C2C88"/>
    <w:rsid w:val="007C2D8C"/>
    <w:rsid w:val="007C3679"/>
    <w:rsid w:val="007C3753"/>
    <w:rsid w:val="007C39D5"/>
    <w:rsid w:val="007C5729"/>
    <w:rsid w:val="007C7AFB"/>
    <w:rsid w:val="007D0BA3"/>
    <w:rsid w:val="007D2A7F"/>
    <w:rsid w:val="007D302D"/>
    <w:rsid w:val="007D450E"/>
    <w:rsid w:val="007D65B4"/>
    <w:rsid w:val="007E0CDD"/>
    <w:rsid w:val="007E126A"/>
    <w:rsid w:val="007E15F7"/>
    <w:rsid w:val="007E2B34"/>
    <w:rsid w:val="007E4403"/>
    <w:rsid w:val="007E5D95"/>
    <w:rsid w:val="007E610D"/>
    <w:rsid w:val="007E685C"/>
    <w:rsid w:val="007E6BE4"/>
    <w:rsid w:val="007F078F"/>
    <w:rsid w:val="007F1352"/>
    <w:rsid w:val="007F3F10"/>
    <w:rsid w:val="007F4A83"/>
    <w:rsid w:val="007F59EB"/>
    <w:rsid w:val="007F5EFC"/>
    <w:rsid w:val="007F5FC0"/>
    <w:rsid w:val="007F66A7"/>
    <w:rsid w:val="008035E5"/>
    <w:rsid w:val="00803A77"/>
    <w:rsid w:val="00806A99"/>
    <w:rsid w:val="00806F2A"/>
    <w:rsid w:val="0080797F"/>
    <w:rsid w:val="00807CEA"/>
    <w:rsid w:val="00807D76"/>
    <w:rsid w:val="008132ED"/>
    <w:rsid w:val="0081382E"/>
    <w:rsid w:val="0081524C"/>
    <w:rsid w:val="00817358"/>
    <w:rsid w:val="00817BA6"/>
    <w:rsid w:val="00822568"/>
    <w:rsid w:val="00824D8E"/>
    <w:rsid w:val="0082568A"/>
    <w:rsid w:val="00825F88"/>
    <w:rsid w:val="00827937"/>
    <w:rsid w:val="00830D44"/>
    <w:rsid w:val="008313B9"/>
    <w:rsid w:val="00831A35"/>
    <w:rsid w:val="00831A9D"/>
    <w:rsid w:val="0083218D"/>
    <w:rsid w:val="0083221C"/>
    <w:rsid w:val="008322AE"/>
    <w:rsid w:val="00832608"/>
    <w:rsid w:val="00833C35"/>
    <w:rsid w:val="00834368"/>
    <w:rsid w:val="00836878"/>
    <w:rsid w:val="008411A4"/>
    <w:rsid w:val="00842D2B"/>
    <w:rsid w:val="00845602"/>
    <w:rsid w:val="00846255"/>
    <w:rsid w:val="008469CE"/>
    <w:rsid w:val="00846C28"/>
    <w:rsid w:val="00847860"/>
    <w:rsid w:val="008501D6"/>
    <w:rsid w:val="00854318"/>
    <w:rsid w:val="0085799E"/>
    <w:rsid w:val="00862086"/>
    <w:rsid w:val="00864C83"/>
    <w:rsid w:val="00865434"/>
    <w:rsid w:val="00865771"/>
    <w:rsid w:val="00867054"/>
    <w:rsid w:val="0086760C"/>
    <w:rsid w:val="00872C81"/>
    <w:rsid w:val="008746D5"/>
    <w:rsid w:val="00880EA5"/>
    <w:rsid w:val="00882B66"/>
    <w:rsid w:val="008835C7"/>
    <w:rsid w:val="00884B40"/>
    <w:rsid w:val="00886228"/>
    <w:rsid w:val="00886F2A"/>
    <w:rsid w:val="008929DB"/>
    <w:rsid w:val="008934FC"/>
    <w:rsid w:val="00893C38"/>
    <w:rsid w:val="008948D6"/>
    <w:rsid w:val="00895341"/>
    <w:rsid w:val="00897CC2"/>
    <w:rsid w:val="008A03E3"/>
    <w:rsid w:val="008A096A"/>
    <w:rsid w:val="008A0F18"/>
    <w:rsid w:val="008A3677"/>
    <w:rsid w:val="008A4161"/>
    <w:rsid w:val="008A45E7"/>
    <w:rsid w:val="008A6FD8"/>
    <w:rsid w:val="008B299F"/>
    <w:rsid w:val="008B32D1"/>
    <w:rsid w:val="008B621B"/>
    <w:rsid w:val="008B6999"/>
    <w:rsid w:val="008B7D7D"/>
    <w:rsid w:val="008C11AD"/>
    <w:rsid w:val="008C430B"/>
    <w:rsid w:val="008C6A27"/>
    <w:rsid w:val="008C6FA3"/>
    <w:rsid w:val="008D16C4"/>
    <w:rsid w:val="008D30FA"/>
    <w:rsid w:val="008D4574"/>
    <w:rsid w:val="008D4856"/>
    <w:rsid w:val="008D55D1"/>
    <w:rsid w:val="008D7954"/>
    <w:rsid w:val="008E077D"/>
    <w:rsid w:val="008E335D"/>
    <w:rsid w:val="008E359C"/>
    <w:rsid w:val="008E3FD0"/>
    <w:rsid w:val="008E450E"/>
    <w:rsid w:val="008E53B8"/>
    <w:rsid w:val="008E61DB"/>
    <w:rsid w:val="008F0609"/>
    <w:rsid w:val="008F07CB"/>
    <w:rsid w:val="008F080B"/>
    <w:rsid w:val="008F15F3"/>
    <w:rsid w:val="008F1791"/>
    <w:rsid w:val="008F306A"/>
    <w:rsid w:val="008F43D3"/>
    <w:rsid w:val="008F71FD"/>
    <w:rsid w:val="008F73BB"/>
    <w:rsid w:val="00901334"/>
    <w:rsid w:val="00903E37"/>
    <w:rsid w:val="009060B6"/>
    <w:rsid w:val="00906CAC"/>
    <w:rsid w:val="009124CE"/>
    <w:rsid w:val="00912954"/>
    <w:rsid w:val="00912F90"/>
    <w:rsid w:val="00913F01"/>
    <w:rsid w:val="00916000"/>
    <w:rsid w:val="00921F34"/>
    <w:rsid w:val="009227AA"/>
    <w:rsid w:val="0092304C"/>
    <w:rsid w:val="00923F06"/>
    <w:rsid w:val="0092562E"/>
    <w:rsid w:val="00925FF2"/>
    <w:rsid w:val="009270EC"/>
    <w:rsid w:val="00933F72"/>
    <w:rsid w:val="00935004"/>
    <w:rsid w:val="009350E3"/>
    <w:rsid w:val="00936952"/>
    <w:rsid w:val="00942808"/>
    <w:rsid w:val="0094412D"/>
    <w:rsid w:val="00944E00"/>
    <w:rsid w:val="00945B18"/>
    <w:rsid w:val="0094703C"/>
    <w:rsid w:val="00950046"/>
    <w:rsid w:val="0095282A"/>
    <w:rsid w:val="0095289E"/>
    <w:rsid w:val="00953CFD"/>
    <w:rsid w:val="009554F1"/>
    <w:rsid w:val="00960B10"/>
    <w:rsid w:val="0096575E"/>
    <w:rsid w:val="00970255"/>
    <w:rsid w:val="00970314"/>
    <w:rsid w:val="00970EEA"/>
    <w:rsid w:val="00972019"/>
    <w:rsid w:val="00972CC1"/>
    <w:rsid w:val="00973A19"/>
    <w:rsid w:val="00976681"/>
    <w:rsid w:val="009801D7"/>
    <w:rsid w:val="00980BB1"/>
    <w:rsid w:val="009841DA"/>
    <w:rsid w:val="00986627"/>
    <w:rsid w:val="00986BAD"/>
    <w:rsid w:val="0098722B"/>
    <w:rsid w:val="00987BBE"/>
    <w:rsid w:val="00992DAD"/>
    <w:rsid w:val="00994A8E"/>
    <w:rsid w:val="00995414"/>
    <w:rsid w:val="0099607B"/>
    <w:rsid w:val="00996267"/>
    <w:rsid w:val="00997A0C"/>
    <w:rsid w:val="009A0E6C"/>
    <w:rsid w:val="009A2989"/>
    <w:rsid w:val="009A491D"/>
    <w:rsid w:val="009A5DAF"/>
    <w:rsid w:val="009A6E04"/>
    <w:rsid w:val="009A6FDA"/>
    <w:rsid w:val="009B094F"/>
    <w:rsid w:val="009B10CE"/>
    <w:rsid w:val="009B3075"/>
    <w:rsid w:val="009B34EF"/>
    <w:rsid w:val="009B4087"/>
    <w:rsid w:val="009B6BE8"/>
    <w:rsid w:val="009B72ED"/>
    <w:rsid w:val="009B7BD4"/>
    <w:rsid w:val="009B7F3F"/>
    <w:rsid w:val="009B7F58"/>
    <w:rsid w:val="009C0D0C"/>
    <w:rsid w:val="009C1BA7"/>
    <w:rsid w:val="009C24F9"/>
    <w:rsid w:val="009C4AD0"/>
    <w:rsid w:val="009C6342"/>
    <w:rsid w:val="009C6825"/>
    <w:rsid w:val="009C7413"/>
    <w:rsid w:val="009C7F75"/>
    <w:rsid w:val="009D2BA2"/>
    <w:rsid w:val="009D2BCD"/>
    <w:rsid w:val="009D45C8"/>
    <w:rsid w:val="009D4FE4"/>
    <w:rsid w:val="009D77E8"/>
    <w:rsid w:val="009D7F77"/>
    <w:rsid w:val="009E1447"/>
    <w:rsid w:val="009E179D"/>
    <w:rsid w:val="009E2A61"/>
    <w:rsid w:val="009E2DC4"/>
    <w:rsid w:val="009E3C69"/>
    <w:rsid w:val="009E3DAD"/>
    <w:rsid w:val="009E4076"/>
    <w:rsid w:val="009E5187"/>
    <w:rsid w:val="009E590B"/>
    <w:rsid w:val="009E6FB7"/>
    <w:rsid w:val="009F2565"/>
    <w:rsid w:val="009F33AB"/>
    <w:rsid w:val="009F34D9"/>
    <w:rsid w:val="009F351E"/>
    <w:rsid w:val="009F3C92"/>
    <w:rsid w:val="009F43E0"/>
    <w:rsid w:val="009F45E7"/>
    <w:rsid w:val="009F5759"/>
    <w:rsid w:val="00A00FCD"/>
    <w:rsid w:val="00A015F7"/>
    <w:rsid w:val="00A017EF"/>
    <w:rsid w:val="00A101CD"/>
    <w:rsid w:val="00A13B2D"/>
    <w:rsid w:val="00A14E31"/>
    <w:rsid w:val="00A213B5"/>
    <w:rsid w:val="00A223FD"/>
    <w:rsid w:val="00A23657"/>
    <w:rsid w:val="00A23FC7"/>
    <w:rsid w:val="00A252FF"/>
    <w:rsid w:val="00A272EE"/>
    <w:rsid w:val="00A27551"/>
    <w:rsid w:val="00A32D4D"/>
    <w:rsid w:val="00A34C92"/>
    <w:rsid w:val="00A418A7"/>
    <w:rsid w:val="00A42126"/>
    <w:rsid w:val="00A431E0"/>
    <w:rsid w:val="00A43DA8"/>
    <w:rsid w:val="00A45919"/>
    <w:rsid w:val="00A479DA"/>
    <w:rsid w:val="00A5047C"/>
    <w:rsid w:val="00A532DF"/>
    <w:rsid w:val="00A539F9"/>
    <w:rsid w:val="00A540E4"/>
    <w:rsid w:val="00A5760C"/>
    <w:rsid w:val="00A60B7A"/>
    <w:rsid w:val="00A60DB3"/>
    <w:rsid w:val="00A63656"/>
    <w:rsid w:val="00A63A0A"/>
    <w:rsid w:val="00A63E65"/>
    <w:rsid w:val="00A6428F"/>
    <w:rsid w:val="00A65605"/>
    <w:rsid w:val="00A660F7"/>
    <w:rsid w:val="00A667EC"/>
    <w:rsid w:val="00A669A8"/>
    <w:rsid w:val="00A709FF"/>
    <w:rsid w:val="00A70B43"/>
    <w:rsid w:val="00A70E44"/>
    <w:rsid w:val="00A738C2"/>
    <w:rsid w:val="00A77C2A"/>
    <w:rsid w:val="00A77F0D"/>
    <w:rsid w:val="00A82499"/>
    <w:rsid w:val="00A83273"/>
    <w:rsid w:val="00A8345A"/>
    <w:rsid w:val="00A8369B"/>
    <w:rsid w:val="00A8431D"/>
    <w:rsid w:val="00A867BF"/>
    <w:rsid w:val="00A8768A"/>
    <w:rsid w:val="00A87A6D"/>
    <w:rsid w:val="00A90FBA"/>
    <w:rsid w:val="00A924DD"/>
    <w:rsid w:val="00A94CFE"/>
    <w:rsid w:val="00A952B3"/>
    <w:rsid w:val="00A957F8"/>
    <w:rsid w:val="00AA08FC"/>
    <w:rsid w:val="00AA1A38"/>
    <w:rsid w:val="00AA59BC"/>
    <w:rsid w:val="00AA5F68"/>
    <w:rsid w:val="00AA6175"/>
    <w:rsid w:val="00AB0FC0"/>
    <w:rsid w:val="00AB123A"/>
    <w:rsid w:val="00AB1D45"/>
    <w:rsid w:val="00AB1F19"/>
    <w:rsid w:val="00AB582B"/>
    <w:rsid w:val="00AB6921"/>
    <w:rsid w:val="00AC0538"/>
    <w:rsid w:val="00AC3100"/>
    <w:rsid w:val="00AC31B5"/>
    <w:rsid w:val="00AC41BE"/>
    <w:rsid w:val="00AC479B"/>
    <w:rsid w:val="00AC5074"/>
    <w:rsid w:val="00AC6D18"/>
    <w:rsid w:val="00AD01AB"/>
    <w:rsid w:val="00AD0E39"/>
    <w:rsid w:val="00AD2F56"/>
    <w:rsid w:val="00AD4AB4"/>
    <w:rsid w:val="00AD4B61"/>
    <w:rsid w:val="00AD4D24"/>
    <w:rsid w:val="00AE0010"/>
    <w:rsid w:val="00AE021D"/>
    <w:rsid w:val="00AE0453"/>
    <w:rsid w:val="00AE2FAA"/>
    <w:rsid w:val="00AE328C"/>
    <w:rsid w:val="00AE3AD4"/>
    <w:rsid w:val="00AE49B6"/>
    <w:rsid w:val="00AE5555"/>
    <w:rsid w:val="00AE61D2"/>
    <w:rsid w:val="00AE7A07"/>
    <w:rsid w:val="00AE7C04"/>
    <w:rsid w:val="00AF1B8A"/>
    <w:rsid w:val="00AF293F"/>
    <w:rsid w:val="00AF4E57"/>
    <w:rsid w:val="00AF5849"/>
    <w:rsid w:val="00AF6520"/>
    <w:rsid w:val="00AF78E6"/>
    <w:rsid w:val="00AF7BFC"/>
    <w:rsid w:val="00AF7CF6"/>
    <w:rsid w:val="00B00486"/>
    <w:rsid w:val="00B00DB5"/>
    <w:rsid w:val="00B0276D"/>
    <w:rsid w:val="00B04725"/>
    <w:rsid w:val="00B049F2"/>
    <w:rsid w:val="00B04D08"/>
    <w:rsid w:val="00B06E3F"/>
    <w:rsid w:val="00B12416"/>
    <w:rsid w:val="00B1519F"/>
    <w:rsid w:val="00B154B1"/>
    <w:rsid w:val="00B1620E"/>
    <w:rsid w:val="00B1729B"/>
    <w:rsid w:val="00B215F0"/>
    <w:rsid w:val="00B22772"/>
    <w:rsid w:val="00B24CAE"/>
    <w:rsid w:val="00B25755"/>
    <w:rsid w:val="00B25D07"/>
    <w:rsid w:val="00B26E3C"/>
    <w:rsid w:val="00B27EC2"/>
    <w:rsid w:val="00B32324"/>
    <w:rsid w:val="00B325DB"/>
    <w:rsid w:val="00B3279C"/>
    <w:rsid w:val="00B333AE"/>
    <w:rsid w:val="00B345C9"/>
    <w:rsid w:val="00B3567C"/>
    <w:rsid w:val="00B374E0"/>
    <w:rsid w:val="00B40489"/>
    <w:rsid w:val="00B41F58"/>
    <w:rsid w:val="00B43BAC"/>
    <w:rsid w:val="00B44BB4"/>
    <w:rsid w:val="00B4530F"/>
    <w:rsid w:val="00B4758E"/>
    <w:rsid w:val="00B47888"/>
    <w:rsid w:val="00B51A67"/>
    <w:rsid w:val="00B51D9F"/>
    <w:rsid w:val="00B54CEB"/>
    <w:rsid w:val="00B565A9"/>
    <w:rsid w:val="00B56990"/>
    <w:rsid w:val="00B6050F"/>
    <w:rsid w:val="00B61A59"/>
    <w:rsid w:val="00B62B05"/>
    <w:rsid w:val="00B6422C"/>
    <w:rsid w:val="00B64AA1"/>
    <w:rsid w:val="00B6666C"/>
    <w:rsid w:val="00B66D42"/>
    <w:rsid w:val="00B67BF7"/>
    <w:rsid w:val="00B7142C"/>
    <w:rsid w:val="00B7161C"/>
    <w:rsid w:val="00B7397A"/>
    <w:rsid w:val="00B7414A"/>
    <w:rsid w:val="00B761C8"/>
    <w:rsid w:val="00B8097E"/>
    <w:rsid w:val="00B8188F"/>
    <w:rsid w:val="00B81BF3"/>
    <w:rsid w:val="00B823AF"/>
    <w:rsid w:val="00B82A3E"/>
    <w:rsid w:val="00B839FA"/>
    <w:rsid w:val="00B83BB5"/>
    <w:rsid w:val="00B865E0"/>
    <w:rsid w:val="00B873A8"/>
    <w:rsid w:val="00B87409"/>
    <w:rsid w:val="00B90902"/>
    <w:rsid w:val="00B91A83"/>
    <w:rsid w:val="00B930D7"/>
    <w:rsid w:val="00BA0877"/>
    <w:rsid w:val="00BA744B"/>
    <w:rsid w:val="00BA7C7C"/>
    <w:rsid w:val="00BB0C93"/>
    <w:rsid w:val="00BC01CB"/>
    <w:rsid w:val="00BC0524"/>
    <w:rsid w:val="00BC19DD"/>
    <w:rsid w:val="00BC2702"/>
    <w:rsid w:val="00BC2AFA"/>
    <w:rsid w:val="00BC3852"/>
    <w:rsid w:val="00BC40FA"/>
    <w:rsid w:val="00BC5AFD"/>
    <w:rsid w:val="00BD09CD"/>
    <w:rsid w:val="00BD0B9C"/>
    <w:rsid w:val="00BD6B0B"/>
    <w:rsid w:val="00BD799D"/>
    <w:rsid w:val="00BE06F5"/>
    <w:rsid w:val="00BE17AD"/>
    <w:rsid w:val="00BE2987"/>
    <w:rsid w:val="00BE41F9"/>
    <w:rsid w:val="00BE6377"/>
    <w:rsid w:val="00BE7EF7"/>
    <w:rsid w:val="00BF1906"/>
    <w:rsid w:val="00BF34D7"/>
    <w:rsid w:val="00BF3E14"/>
    <w:rsid w:val="00BF40EB"/>
    <w:rsid w:val="00BF5EDD"/>
    <w:rsid w:val="00BF6333"/>
    <w:rsid w:val="00C00E8A"/>
    <w:rsid w:val="00C0270D"/>
    <w:rsid w:val="00C04493"/>
    <w:rsid w:val="00C05BB3"/>
    <w:rsid w:val="00C06EAB"/>
    <w:rsid w:val="00C11BD0"/>
    <w:rsid w:val="00C12D65"/>
    <w:rsid w:val="00C14116"/>
    <w:rsid w:val="00C15118"/>
    <w:rsid w:val="00C242B6"/>
    <w:rsid w:val="00C274BD"/>
    <w:rsid w:val="00C3308F"/>
    <w:rsid w:val="00C36797"/>
    <w:rsid w:val="00C36F77"/>
    <w:rsid w:val="00C40EA6"/>
    <w:rsid w:val="00C411FB"/>
    <w:rsid w:val="00C432E0"/>
    <w:rsid w:val="00C475A6"/>
    <w:rsid w:val="00C477C0"/>
    <w:rsid w:val="00C506CD"/>
    <w:rsid w:val="00C55648"/>
    <w:rsid w:val="00C55C9E"/>
    <w:rsid w:val="00C57B84"/>
    <w:rsid w:val="00C613BF"/>
    <w:rsid w:val="00C619B5"/>
    <w:rsid w:val="00C61F1A"/>
    <w:rsid w:val="00C65610"/>
    <w:rsid w:val="00C65CDB"/>
    <w:rsid w:val="00C668EA"/>
    <w:rsid w:val="00C710A6"/>
    <w:rsid w:val="00C7408F"/>
    <w:rsid w:val="00C747EC"/>
    <w:rsid w:val="00C74873"/>
    <w:rsid w:val="00C74F11"/>
    <w:rsid w:val="00C75B15"/>
    <w:rsid w:val="00C75BDE"/>
    <w:rsid w:val="00C76501"/>
    <w:rsid w:val="00C767F2"/>
    <w:rsid w:val="00C80D61"/>
    <w:rsid w:val="00C8343C"/>
    <w:rsid w:val="00C847A4"/>
    <w:rsid w:val="00C8567A"/>
    <w:rsid w:val="00C857CB"/>
    <w:rsid w:val="00C859CA"/>
    <w:rsid w:val="00C86B65"/>
    <w:rsid w:val="00C8740F"/>
    <w:rsid w:val="00C87D97"/>
    <w:rsid w:val="00C90C3E"/>
    <w:rsid w:val="00C915A8"/>
    <w:rsid w:val="00C91E08"/>
    <w:rsid w:val="00C91EDA"/>
    <w:rsid w:val="00C95287"/>
    <w:rsid w:val="00C97D59"/>
    <w:rsid w:val="00CA015F"/>
    <w:rsid w:val="00CA2E54"/>
    <w:rsid w:val="00CA4197"/>
    <w:rsid w:val="00CB14BE"/>
    <w:rsid w:val="00CB18C6"/>
    <w:rsid w:val="00CB1E9C"/>
    <w:rsid w:val="00CB2810"/>
    <w:rsid w:val="00CB7E4C"/>
    <w:rsid w:val="00CC0205"/>
    <w:rsid w:val="00CC1A85"/>
    <w:rsid w:val="00CC1EEB"/>
    <w:rsid w:val="00CC3D83"/>
    <w:rsid w:val="00CC50AC"/>
    <w:rsid w:val="00CC5696"/>
    <w:rsid w:val="00CC5D20"/>
    <w:rsid w:val="00CC6C23"/>
    <w:rsid w:val="00CC739D"/>
    <w:rsid w:val="00CD113F"/>
    <w:rsid w:val="00CD1FD7"/>
    <w:rsid w:val="00CD3A73"/>
    <w:rsid w:val="00CD617F"/>
    <w:rsid w:val="00CE116B"/>
    <w:rsid w:val="00CE142A"/>
    <w:rsid w:val="00CE1548"/>
    <w:rsid w:val="00CE1D0F"/>
    <w:rsid w:val="00CE21C0"/>
    <w:rsid w:val="00CE77FE"/>
    <w:rsid w:val="00CF27A0"/>
    <w:rsid w:val="00CF3C54"/>
    <w:rsid w:val="00D02B48"/>
    <w:rsid w:val="00D04452"/>
    <w:rsid w:val="00D04B13"/>
    <w:rsid w:val="00D04F9E"/>
    <w:rsid w:val="00D06209"/>
    <w:rsid w:val="00D06BB9"/>
    <w:rsid w:val="00D06F0E"/>
    <w:rsid w:val="00D0778D"/>
    <w:rsid w:val="00D07E9D"/>
    <w:rsid w:val="00D1024E"/>
    <w:rsid w:val="00D1120A"/>
    <w:rsid w:val="00D125BE"/>
    <w:rsid w:val="00D12FAB"/>
    <w:rsid w:val="00D13510"/>
    <w:rsid w:val="00D135AA"/>
    <w:rsid w:val="00D14046"/>
    <w:rsid w:val="00D1410D"/>
    <w:rsid w:val="00D157E5"/>
    <w:rsid w:val="00D15F61"/>
    <w:rsid w:val="00D16136"/>
    <w:rsid w:val="00D17996"/>
    <w:rsid w:val="00D213E8"/>
    <w:rsid w:val="00D2296E"/>
    <w:rsid w:val="00D234C8"/>
    <w:rsid w:val="00D23E81"/>
    <w:rsid w:val="00D249C9"/>
    <w:rsid w:val="00D267B4"/>
    <w:rsid w:val="00D3235F"/>
    <w:rsid w:val="00D33848"/>
    <w:rsid w:val="00D354A3"/>
    <w:rsid w:val="00D354FC"/>
    <w:rsid w:val="00D358B1"/>
    <w:rsid w:val="00D35ACE"/>
    <w:rsid w:val="00D35E9A"/>
    <w:rsid w:val="00D4210E"/>
    <w:rsid w:val="00D423EB"/>
    <w:rsid w:val="00D448EE"/>
    <w:rsid w:val="00D44C8E"/>
    <w:rsid w:val="00D44FC6"/>
    <w:rsid w:val="00D469F4"/>
    <w:rsid w:val="00D46ACD"/>
    <w:rsid w:val="00D46EE6"/>
    <w:rsid w:val="00D52107"/>
    <w:rsid w:val="00D537F7"/>
    <w:rsid w:val="00D555DA"/>
    <w:rsid w:val="00D5618D"/>
    <w:rsid w:val="00D563A2"/>
    <w:rsid w:val="00D57F33"/>
    <w:rsid w:val="00D60C74"/>
    <w:rsid w:val="00D70B77"/>
    <w:rsid w:val="00D744D2"/>
    <w:rsid w:val="00D74727"/>
    <w:rsid w:val="00D74F3F"/>
    <w:rsid w:val="00D750BB"/>
    <w:rsid w:val="00D76F26"/>
    <w:rsid w:val="00D8037E"/>
    <w:rsid w:val="00D81612"/>
    <w:rsid w:val="00D82751"/>
    <w:rsid w:val="00D83E8E"/>
    <w:rsid w:val="00D84C11"/>
    <w:rsid w:val="00D852A0"/>
    <w:rsid w:val="00D853EE"/>
    <w:rsid w:val="00D86012"/>
    <w:rsid w:val="00D861D8"/>
    <w:rsid w:val="00D86892"/>
    <w:rsid w:val="00D86F37"/>
    <w:rsid w:val="00D87272"/>
    <w:rsid w:val="00D874ED"/>
    <w:rsid w:val="00D8752C"/>
    <w:rsid w:val="00D9126F"/>
    <w:rsid w:val="00D934B1"/>
    <w:rsid w:val="00D942AF"/>
    <w:rsid w:val="00D94726"/>
    <w:rsid w:val="00D94A8F"/>
    <w:rsid w:val="00D95548"/>
    <w:rsid w:val="00D96568"/>
    <w:rsid w:val="00D97A4C"/>
    <w:rsid w:val="00DA0E18"/>
    <w:rsid w:val="00DA2555"/>
    <w:rsid w:val="00DA54DF"/>
    <w:rsid w:val="00DB0319"/>
    <w:rsid w:val="00DB1128"/>
    <w:rsid w:val="00DB1DAA"/>
    <w:rsid w:val="00DB25DB"/>
    <w:rsid w:val="00DB2FE8"/>
    <w:rsid w:val="00DB58FA"/>
    <w:rsid w:val="00DB6D4A"/>
    <w:rsid w:val="00DB6EFE"/>
    <w:rsid w:val="00DB7250"/>
    <w:rsid w:val="00DB7937"/>
    <w:rsid w:val="00DC0777"/>
    <w:rsid w:val="00DC1F1A"/>
    <w:rsid w:val="00DC2BDE"/>
    <w:rsid w:val="00DC325F"/>
    <w:rsid w:val="00DC7D8F"/>
    <w:rsid w:val="00DD0F21"/>
    <w:rsid w:val="00DD25B7"/>
    <w:rsid w:val="00DE265F"/>
    <w:rsid w:val="00DE3429"/>
    <w:rsid w:val="00DE3B55"/>
    <w:rsid w:val="00DE4030"/>
    <w:rsid w:val="00DE40E0"/>
    <w:rsid w:val="00DE7162"/>
    <w:rsid w:val="00DF1CAE"/>
    <w:rsid w:val="00DF448D"/>
    <w:rsid w:val="00DF4A94"/>
    <w:rsid w:val="00DF4F22"/>
    <w:rsid w:val="00E011F0"/>
    <w:rsid w:val="00E02364"/>
    <w:rsid w:val="00E05C86"/>
    <w:rsid w:val="00E11244"/>
    <w:rsid w:val="00E12330"/>
    <w:rsid w:val="00E1493E"/>
    <w:rsid w:val="00E15353"/>
    <w:rsid w:val="00E16CAE"/>
    <w:rsid w:val="00E17253"/>
    <w:rsid w:val="00E20F4D"/>
    <w:rsid w:val="00E21CD8"/>
    <w:rsid w:val="00E259EA"/>
    <w:rsid w:val="00E265E1"/>
    <w:rsid w:val="00E2779C"/>
    <w:rsid w:val="00E27D54"/>
    <w:rsid w:val="00E33C38"/>
    <w:rsid w:val="00E3445A"/>
    <w:rsid w:val="00E372F5"/>
    <w:rsid w:val="00E37E7C"/>
    <w:rsid w:val="00E4068F"/>
    <w:rsid w:val="00E434C6"/>
    <w:rsid w:val="00E43BDB"/>
    <w:rsid w:val="00E44BB6"/>
    <w:rsid w:val="00E45340"/>
    <w:rsid w:val="00E457A4"/>
    <w:rsid w:val="00E515DB"/>
    <w:rsid w:val="00E52B67"/>
    <w:rsid w:val="00E53057"/>
    <w:rsid w:val="00E54F7C"/>
    <w:rsid w:val="00E57B73"/>
    <w:rsid w:val="00E6095D"/>
    <w:rsid w:val="00E65626"/>
    <w:rsid w:val="00E674DD"/>
    <w:rsid w:val="00E67B22"/>
    <w:rsid w:val="00E7026B"/>
    <w:rsid w:val="00E7186F"/>
    <w:rsid w:val="00E75260"/>
    <w:rsid w:val="00E75B2E"/>
    <w:rsid w:val="00E75F62"/>
    <w:rsid w:val="00E76E8C"/>
    <w:rsid w:val="00E81323"/>
    <w:rsid w:val="00E827CA"/>
    <w:rsid w:val="00E83552"/>
    <w:rsid w:val="00E83C89"/>
    <w:rsid w:val="00E85E3D"/>
    <w:rsid w:val="00E91247"/>
    <w:rsid w:val="00E93F5A"/>
    <w:rsid w:val="00E974ED"/>
    <w:rsid w:val="00E9754A"/>
    <w:rsid w:val="00EA03A5"/>
    <w:rsid w:val="00EA1B92"/>
    <w:rsid w:val="00EA1C4D"/>
    <w:rsid w:val="00EA305C"/>
    <w:rsid w:val="00EA406E"/>
    <w:rsid w:val="00EA43AC"/>
    <w:rsid w:val="00EA52A2"/>
    <w:rsid w:val="00EA52D3"/>
    <w:rsid w:val="00EA554F"/>
    <w:rsid w:val="00EA55EB"/>
    <w:rsid w:val="00EA65C3"/>
    <w:rsid w:val="00EA73CE"/>
    <w:rsid w:val="00EA74BF"/>
    <w:rsid w:val="00EB1C70"/>
    <w:rsid w:val="00EB2130"/>
    <w:rsid w:val="00EB2329"/>
    <w:rsid w:val="00EB2E78"/>
    <w:rsid w:val="00EC4F01"/>
    <w:rsid w:val="00EC723A"/>
    <w:rsid w:val="00EC7C14"/>
    <w:rsid w:val="00ED043A"/>
    <w:rsid w:val="00ED0C06"/>
    <w:rsid w:val="00ED2D0F"/>
    <w:rsid w:val="00ED3727"/>
    <w:rsid w:val="00ED3D25"/>
    <w:rsid w:val="00ED3DDF"/>
    <w:rsid w:val="00ED3FF4"/>
    <w:rsid w:val="00ED50F4"/>
    <w:rsid w:val="00ED52EF"/>
    <w:rsid w:val="00ED5719"/>
    <w:rsid w:val="00ED5DBA"/>
    <w:rsid w:val="00ED6311"/>
    <w:rsid w:val="00EE046C"/>
    <w:rsid w:val="00EE0A48"/>
    <w:rsid w:val="00EE1C1A"/>
    <w:rsid w:val="00EE2613"/>
    <w:rsid w:val="00EE42FD"/>
    <w:rsid w:val="00EE50DB"/>
    <w:rsid w:val="00EE550A"/>
    <w:rsid w:val="00EE5FAE"/>
    <w:rsid w:val="00EE6553"/>
    <w:rsid w:val="00EE776B"/>
    <w:rsid w:val="00EF1732"/>
    <w:rsid w:val="00EF1A44"/>
    <w:rsid w:val="00EF1E98"/>
    <w:rsid w:val="00EF2603"/>
    <w:rsid w:val="00EF3551"/>
    <w:rsid w:val="00EF427D"/>
    <w:rsid w:val="00EF5820"/>
    <w:rsid w:val="00EF5AB6"/>
    <w:rsid w:val="00EF5D54"/>
    <w:rsid w:val="00EF7FC6"/>
    <w:rsid w:val="00F00DFB"/>
    <w:rsid w:val="00F016BA"/>
    <w:rsid w:val="00F02498"/>
    <w:rsid w:val="00F02EBA"/>
    <w:rsid w:val="00F0339B"/>
    <w:rsid w:val="00F049C9"/>
    <w:rsid w:val="00F04DC4"/>
    <w:rsid w:val="00F057F2"/>
    <w:rsid w:val="00F06744"/>
    <w:rsid w:val="00F07B66"/>
    <w:rsid w:val="00F1025A"/>
    <w:rsid w:val="00F1218B"/>
    <w:rsid w:val="00F200A8"/>
    <w:rsid w:val="00F20F66"/>
    <w:rsid w:val="00F22460"/>
    <w:rsid w:val="00F2263D"/>
    <w:rsid w:val="00F2297F"/>
    <w:rsid w:val="00F2480D"/>
    <w:rsid w:val="00F24D6B"/>
    <w:rsid w:val="00F2778E"/>
    <w:rsid w:val="00F342D9"/>
    <w:rsid w:val="00F35EDC"/>
    <w:rsid w:val="00F47465"/>
    <w:rsid w:val="00F53A6C"/>
    <w:rsid w:val="00F54891"/>
    <w:rsid w:val="00F60239"/>
    <w:rsid w:val="00F61263"/>
    <w:rsid w:val="00F61801"/>
    <w:rsid w:val="00F61C14"/>
    <w:rsid w:val="00F62916"/>
    <w:rsid w:val="00F63D9A"/>
    <w:rsid w:val="00F659A3"/>
    <w:rsid w:val="00F662F4"/>
    <w:rsid w:val="00F67FD4"/>
    <w:rsid w:val="00F73CDB"/>
    <w:rsid w:val="00F7417F"/>
    <w:rsid w:val="00F75D49"/>
    <w:rsid w:val="00F76805"/>
    <w:rsid w:val="00F774E6"/>
    <w:rsid w:val="00F82154"/>
    <w:rsid w:val="00F85DB8"/>
    <w:rsid w:val="00F8755A"/>
    <w:rsid w:val="00F91C66"/>
    <w:rsid w:val="00F91EED"/>
    <w:rsid w:val="00F92FCF"/>
    <w:rsid w:val="00F9438A"/>
    <w:rsid w:val="00F9532E"/>
    <w:rsid w:val="00FA02D2"/>
    <w:rsid w:val="00FA02FB"/>
    <w:rsid w:val="00FA059F"/>
    <w:rsid w:val="00FA0D87"/>
    <w:rsid w:val="00FA1EC3"/>
    <w:rsid w:val="00FA241E"/>
    <w:rsid w:val="00FA3BBC"/>
    <w:rsid w:val="00FA3E0E"/>
    <w:rsid w:val="00FA585C"/>
    <w:rsid w:val="00FA591A"/>
    <w:rsid w:val="00FA7306"/>
    <w:rsid w:val="00FB40D3"/>
    <w:rsid w:val="00FB549E"/>
    <w:rsid w:val="00FB743C"/>
    <w:rsid w:val="00FB7704"/>
    <w:rsid w:val="00FC3AEC"/>
    <w:rsid w:val="00FC4A43"/>
    <w:rsid w:val="00FC566E"/>
    <w:rsid w:val="00FC6E8D"/>
    <w:rsid w:val="00FC6EDD"/>
    <w:rsid w:val="00FC7731"/>
    <w:rsid w:val="00FD0637"/>
    <w:rsid w:val="00FD1DE2"/>
    <w:rsid w:val="00FD307B"/>
    <w:rsid w:val="00FD7BBC"/>
    <w:rsid w:val="00FE20F6"/>
    <w:rsid w:val="00FE5520"/>
    <w:rsid w:val="00FE68E4"/>
    <w:rsid w:val="00FE7210"/>
    <w:rsid w:val="00FE721D"/>
    <w:rsid w:val="00FF1CEB"/>
    <w:rsid w:val="00FF32BA"/>
    <w:rsid w:val="00FF34A3"/>
    <w:rsid w:val="00FF463D"/>
    <w:rsid w:val="00FF4800"/>
    <w:rsid w:val="00FF58D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5D1F2"/>
  <w15:docId w15:val="{BC014506-7699-4B71-AEE1-85F22833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uiPriority w:val="99"/>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NoSpacing">
    <w:name w:val="No Spacing"/>
    <w:uiPriority w:val="1"/>
    <w:qFormat/>
    <w:rsid w:val="006446FB"/>
    <w:rPr>
      <w:rFonts w:ascii="Verdana" w:hAnsi="Verdana"/>
      <w:sz w:val="22"/>
    </w:rPr>
  </w:style>
  <w:style w:type="character" w:styleId="FootnoteReference">
    <w:name w:val="footnote reference"/>
    <w:basedOn w:val="DefaultParagraphFont"/>
    <w:semiHidden/>
    <w:unhideWhenUsed/>
    <w:rsid w:val="00847860"/>
    <w:rPr>
      <w:vertAlign w:val="superscript"/>
    </w:rPr>
  </w:style>
  <w:style w:type="character" w:customStyle="1" w:styleId="Style1Char">
    <w:name w:val="Style1 Char"/>
    <w:basedOn w:val="DefaultParagraphFont"/>
    <w:link w:val="Style1"/>
    <w:locked/>
    <w:rsid w:val="0016697D"/>
    <w:rPr>
      <w:rFonts w:ascii="Verdana" w:hAnsi="Verdana"/>
      <w:color w:val="000000"/>
      <w:kern w:val="28"/>
      <w:sz w:val="22"/>
    </w:rPr>
  </w:style>
  <w:style w:type="paragraph" w:customStyle="1" w:styleId="paragraph">
    <w:name w:val="paragraph"/>
    <w:basedOn w:val="Normal"/>
    <w:rsid w:val="00791B7F"/>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791B7F"/>
  </w:style>
  <w:style w:type="character" w:customStyle="1" w:styleId="eop">
    <w:name w:val="eop"/>
    <w:basedOn w:val="DefaultParagraphFont"/>
    <w:rsid w:val="0079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247330">
      <w:bodyDiv w:val="1"/>
      <w:marLeft w:val="0"/>
      <w:marRight w:val="0"/>
      <w:marTop w:val="0"/>
      <w:marBottom w:val="0"/>
      <w:divBdr>
        <w:top w:val="none" w:sz="0" w:space="0" w:color="auto"/>
        <w:left w:val="none" w:sz="0" w:space="0" w:color="auto"/>
        <w:bottom w:val="none" w:sz="0" w:space="0" w:color="auto"/>
        <w:right w:val="none" w:sz="0" w:space="0" w:color="auto"/>
      </w:divBdr>
      <w:divsChild>
        <w:div w:id="870072002">
          <w:marLeft w:val="0"/>
          <w:marRight w:val="0"/>
          <w:marTop w:val="0"/>
          <w:marBottom w:val="0"/>
          <w:divBdr>
            <w:top w:val="none" w:sz="0" w:space="0" w:color="auto"/>
            <w:left w:val="none" w:sz="0" w:space="0" w:color="auto"/>
            <w:bottom w:val="none" w:sz="0" w:space="0" w:color="auto"/>
            <w:right w:val="none" w:sz="0" w:space="0" w:color="auto"/>
          </w:divBdr>
        </w:div>
        <w:div w:id="1083918398">
          <w:marLeft w:val="0"/>
          <w:marRight w:val="0"/>
          <w:marTop w:val="0"/>
          <w:marBottom w:val="0"/>
          <w:divBdr>
            <w:top w:val="none" w:sz="0" w:space="0" w:color="auto"/>
            <w:left w:val="none" w:sz="0" w:space="0" w:color="auto"/>
            <w:bottom w:val="none" w:sz="0" w:space="0" w:color="auto"/>
            <w:right w:val="none" w:sz="0" w:space="0" w:color="auto"/>
          </w:divBdr>
        </w:div>
      </w:divsChild>
    </w:div>
    <w:div w:id="517933628">
      <w:bodyDiv w:val="1"/>
      <w:marLeft w:val="0"/>
      <w:marRight w:val="0"/>
      <w:marTop w:val="0"/>
      <w:marBottom w:val="0"/>
      <w:divBdr>
        <w:top w:val="none" w:sz="0" w:space="0" w:color="auto"/>
        <w:left w:val="none" w:sz="0" w:space="0" w:color="auto"/>
        <w:bottom w:val="none" w:sz="0" w:space="0" w:color="auto"/>
        <w:right w:val="none" w:sz="0" w:space="0" w:color="auto"/>
      </w:divBdr>
    </w:div>
    <w:div w:id="1106191370">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46708661">
      <w:bodyDiv w:val="1"/>
      <w:marLeft w:val="0"/>
      <w:marRight w:val="0"/>
      <w:marTop w:val="0"/>
      <w:marBottom w:val="0"/>
      <w:divBdr>
        <w:top w:val="none" w:sz="0" w:space="0" w:color="auto"/>
        <w:left w:val="none" w:sz="0" w:space="0" w:color="auto"/>
        <w:bottom w:val="none" w:sz="0" w:space="0" w:color="auto"/>
        <w:right w:val="none" w:sz="0" w:space="0" w:color="auto"/>
      </w:divBdr>
      <w:divsChild>
        <w:div w:id="539978310">
          <w:marLeft w:val="0"/>
          <w:marRight w:val="0"/>
          <w:marTop w:val="0"/>
          <w:marBottom w:val="0"/>
          <w:divBdr>
            <w:top w:val="none" w:sz="0" w:space="0" w:color="auto"/>
            <w:left w:val="none" w:sz="0" w:space="0" w:color="auto"/>
            <w:bottom w:val="none" w:sz="0" w:space="0" w:color="auto"/>
            <w:right w:val="none" w:sz="0" w:space="0" w:color="auto"/>
          </w:divBdr>
        </w:div>
        <w:div w:id="415439536">
          <w:marLeft w:val="0"/>
          <w:marRight w:val="0"/>
          <w:marTop w:val="0"/>
          <w:marBottom w:val="0"/>
          <w:divBdr>
            <w:top w:val="none" w:sz="0" w:space="0" w:color="auto"/>
            <w:left w:val="none" w:sz="0" w:space="0" w:color="auto"/>
            <w:bottom w:val="none" w:sz="0" w:space="0" w:color="auto"/>
            <w:right w:val="none" w:sz="0" w:space="0" w:color="auto"/>
          </w:divBdr>
        </w:div>
        <w:div w:id="1834951036">
          <w:marLeft w:val="0"/>
          <w:marRight w:val="0"/>
          <w:marTop w:val="0"/>
          <w:marBottom w:val="0"/>
          <w:divBdr>
            <w:top w:val="none" w:sz="0" w:space="0" w:color="auto"/>
            <w:left w:val="none" w:sz="0" w:space="0" w:color="auto"/>
            <w:bottom w:val="none" w:sz="0" w:space="0" w:color="auto"/>
            <w:right w:val="none" w:sz="0" w:space="0" w:color="auto"/>
          </w:divBdr>
        </w:div>
        <w:div w:id="524514968">
          <w:marLeft w:val="0"/>
          <w:marRight w:val="0"/>
          <w:marTop w:val="0"/>
          <w:marBottom w:val="0"/>
          <w:divBdr>
            <w:top w:val="none" w:sz="0" w:space="0" w:color="auto"/>
            <w:left w:val="none" w:sz="0" w:space="0" w:color="auto"/>
            <w:bottom w:val="none" w:sz="0" w:space="0" w:color="auto"/>
            <w:right w:val="none" w:sz="0" w:space="0" w:color="auto"/>
          </w:divBdr>
        </w:div>
        <w:div w:id="1367364372">
          <w:marLeft w:val="0"/>
          <w:marRight w:val="0"/>
          <w:marTop w:val="0"/>
          <w:marBottom w:val="0"/>
          <w:divBdr>
            <w:top w:val="none" w:sz="0" w:space="0" w:color="auto"/>
            <w:left w:val="none" w:sz="0" w:space="0" w:color="auto"/>
            <w:bottom w:val="none" w:sz="0" w:space="0" w:color="auto"/>
            <w:right w:val="none" w:sz="0" w:space="0" w:color="auto"/>
          </w:divBdr>
        </w:div>
        <w:div w:id="911938120">
          <w:marLeft w:val="0"/>
          <w:marRight w:val="0"/>
          <w:marTop w:val="0"/>
          <w:marBottom w:val="0"/>
          <w:divBdr>
            <w:top w:val="none" w:sz="0" w:space="0" w:color="auto"/>
            <w:left w:val="none" w:sz="0" w:space="0" w:color="auto"/>
            <w:bottom w:val="none" w:sz="0" w:space="0" w:color="auto"/>
            <w:right w:val="none" w:sz="0" w:space="0" w:color="auto"/>
          </w:divBdr>
        </w:div>
      </w:divsChild>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797992847">
      <w:bodyDiv w:val="1"/>
      <w:marLeft w:val="0"/>
      <w:marRight w:val="0"/>
      <w:marTop w:val="0"/>
      <w:marBottom w:val="0"/>
      <w:divBdr>
        <w:top w:val="none" w:sz="0" w:space="0" w:color="auto"/>
        <w:left w:val="none" w:sz="0" w:space="0" w:color="auto"/>
        <w:bottom w:val="none" w:sz="0" w:space="0" w:color="auto"/>
        <w:right w:val="none" w:sz="0" w:space="0" w:color="auto"/>
      </w:divBdr>
      <w:divsChild>
        <w:div w:id="435296531">
          <w:marLeft w:val="0"/>
          <w:marRight w:val="0"/>
          <w:marTop w:val="0"/>
          <w:marBottom w:val="0"/>
          <w:divBdr>
            <w:top w:val="none" w:sz="0" w:space="0" w:color="auto"/>
            <w:left w:val="none" w:sz="0" w:space="0" w:color="auto"/>
            <w:bottom w:val="none" w:sz="0" w:space="0" w:color="auto"/>
            <w:right w:val="none" w:sz="0" w:space="0" w:color="auto"/>
          </w:divBdr>
        </w:div>
        <w:div w:id="256135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
        <AccountId xsi:nil="true"/>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4FBA5-950B-41AE-A934-F677C4F4D8D4}">
  <ds:schemaRefs>
    <ds:schemaRef ds:uri="http://schemas.openxmlformats.org/officeDocument/2006/bibliography"/>
  </ds:schemaRefs>
</ds:datastoreItem>
</file>

<file path=customXml/itemProps2.xml><?xml version="1.0" encoding="utf-8"?>
<ds:datastoreItem xmlns:ds="http://schemas.openxmlformats.org/officeDocument/2006/customXml" ds:itemID="{6047197C-4B9B-4506-B92A-EE7A483533F2}">
  <ds:schemaRefs>
    <ds:schemaRef ds:uri="http://schemas.microsoft.com/office/2006/metadata/properties"/>
    <ds:schemaRef ds:uri="http://schemas.microsoft.com/office/infopath/2007/PartnerControls"/>
    <ds:schemaRef ds:uri="c9a31704-8876-44e3-a39c-721bd2a9d2da"/>
    <ds:schemaRef ds:uri="2c0906fd-6b37-47b4-88d3-437ffaecbb7d"/>
  </ds:schemaRefs>
</ds:datastoreItem>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8A3A984-CFE0-402E-B4B5-A02FEA8D31B9}"/>
</file>

<file path=customXml/itemProps5.xml><?xml version="1.0" encoding="utf-8"?>
<ds:datastoreItem xmlns:ds="http://schemas.openxmlformats.org/officeDocument/2006/customXml" ds:itemID="{2FBC78E3-B70F-4883-8027-932F7443F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21</TotalTime>
  <Pages>10</Pages>
  <Words>4276</Words>
  <Characters>21175</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Wyborn, David</dc:creator>
  <cp:lastModifiedBy>Davis, Rob</cp:lastModifiedBy>
  <cp:revision>3</cp:revision>
  <cp:lastPrinted>2023-12-21T14:09:00Z</cp:lastPrinted>
  <dcterms:created xsi:type="dcterms:W3CDTF">2024-02-05T11:31:00Z</dcterms:created>
  <dcterms:modified xsi:type="dcterms:W3CDTF">2024-02-05T13:14:00Z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y fmtid="{D5CDD505-2E9C-101B-9397-08002B2CF9AE}" pid="12" name="MediaServiceImageTags">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_ExtendedDescription">
    <vt:lpwstr/>
  </property>
  <property fmtid="{D5CDD505-2E9C-101B-9397-08002B2CF9AE}" pid="17" name="TriggerFlowInfo">
    <vt:lpwstr/>
  </property>
</Properties>
</file>